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C72A8" w14:textId="58D07D7E" w:rsidR="006B3C54" w:rsidRDefault="00A52EE1">
      <w:pPr>
        <w:pStyle w:val="Title"/>
      </w:pPr>
      <w:r>
        <w:t>Incorporating landscape patterns can improve</w:t>
      </w:r>
      <w:r w:rsidR="000B5A6C">
        <w:t xml:space="preserve"> </w:t>
      </w:r>
      <w:r>
        <w:t xml:space="preserve">global-scale </w:t>
      </w:r>
      <w:r w:rsidR="000B5A6C">
        <w:t xml:space="preserve">models of </w:t>
      </w:r>
      <w:r>
        <w:t>land use and land cover change</w:t>
      </w:r>
    </w:p>
    <w:p w14:paraId="1BB47C1E" w14:textId="31D5A5CB" w:rsidR="00525D00" w:rsidRDefault="00525D00" w:rsidP="00525D00">
      <w:pPr>
        <w:rPr>
          <w:vertAlign w:val="superscript"/>
        </w:rPr>
      </w:pPr>
      <w:r>
        <w:t>Tamsin L. Woodman</w:t>
      </w:r>
      <w:r>
        <w:rPr>
          <w:vertAlign w:val="superscript"/>
        </w:rPr>
        <w:t>1,2</w:t>
      </w:r>
      <w:r>
        <w:t>*, Peter Alexander</w:t>
      </w:r>
      <w:r>
        <w:rPr>
          <w:vertAlign w:val="superscript"/>
        </w:rPr>
        <w:t>2,3</w:t>
      </w:r>
      <w:r>
        <w:t>,</w:t>
      </w:r>
      <w:r>
        <w:rPr>
          <w:vertAlign w:val="superscript"/>
        </w:rPr>
        <w:t xml:space="preserve"> </w:t>
      </w:r>
      <w:r>
        <w:t>David F.R.P. Burslem</w:t>
      </w:r>
      <w:r>
        <w:rPr>
          <w:vertAlign w:val="superscript"/>
        </w:rPr>
        <w:t>1</w:t>
      </w:r>
      <w:r>
        <w:t>, Justin M.J Travis</w:t>
      </w:r>
      <w:r>
        <w:rPr>
          <w:vertAlign w:val="superscript"/>
        </w:rPr>
        <w:t>1</w:t>
      </w:r>
      <w:r w:rsidR="00EA73A3">
        <w:rPr>
          <w:vertAlign w:val="superscript"/>
        </w:rPr>
        <w:t>,4</w:t>
      </w:r>
      <w:r>
        <w:t>, Felix Eigenbrod</w:t>
      </w:r>
      <w:r w:rsidR="00CA4FB1">
        <w:rPr>
          <w:vertAlign w:val="superscript"/>
        </w:rPr>
        <w:t>5</w:t>
      </w:r>
    </w:p>
    <w:p w14:paraId="760A4663" w14:textId="77777777" w:rsidR="00525D00" w:rsidRDefault="00525D00" w:rsidP="00525D00">
      <w:pPr>
        <w:spacing w:after="0"/>
      </w:pPr>
      <w:r>
        <w:rPr>
          <w:vertAlign w:val="superscript"/>
        </w:rPr>
        <w:t>1</w:t>
      </w:r>
      <w:r>
        <w:t xml:space="preserve">School of Biological Sciences, University of Aberdeen, Zoology Building, </w:t>
      </w:r>
      <w:proofErr w:type="spellStart"/>
      <w:r>
        <w:t>Tillydrone</w:t>
      </w:r>
      <w:proofErr w:type="spellEnd"/>
      <w:r>
        <w:t xml:space="preserve"> Avenue, Aberdeen, AB24 2TZ, UK</w:t>
      </w:r>
    </w:p>
    <w:p w14:paraId="033B4CB7" w14:textId="77777777" w:rsidR="00525D00" w:rsidRDefault="00525D00" w:rsidP="00525D00">
      <w:pPr>
        <w:spacing w:after="0"/>
      </w:pPr>
      <w:r>
        <w:rPr>
          <w:vertAlign w:val="superscript"/>
        </w:rPr>
        <w:t>2</w:t>
      </w:r>
      <w:r>
        <w:t>School of GeoSciences, University of Edinburgh, Drummond Street, Edinburgh, EH8 9XP, UK</w:t>
      </w:r>
    </w:p>
    <w:p w14:paraId="14FAA8A1" w14:textId="77777777" w:rsidR="00525D00" w:rsidRDefault="00525D00" w:rsidP="00525D00">
      <w:pPr>
        <w:spacing w:after="0"/>
      </w:pPr>
      <w:r>
        <w:rPr>
          <w:vertAlign w:val="superscript"/>
        </w:rPr>
        <w:t>3</w:t>
      </w:r>
      <w:r>
        <w:t>Global Academy of Agriculture and Food Systems, University of Edinburgh, Edinburgh, EH25 9RG, UK</w:t>
      </w:r>
    </w:p>
    <w:p w14:paraId="3B53FA97" w14:textId="79EE9F4A" w:rsidR="00EA73A3" w:rsidRDefault="00CA4FB1" w:rsidP="00525D00">
      <w:pPr>
        <w:spacing w:after="0"/>
      </w:pPr>
      <w:r>
        <w:rPr>
          <w:vertAlign w:val="superscript"/>
        </w:rPr>
        <w:t>4</w:t>
      </w:r>
      <w:r w:rsidR="00EA73A3" w:rsidRPr="001015F7">
        <w:t xml:space="preserve">Faculty of Forestry, Universitas Gadjah </w:t>
      </w:r>
      <w:proofErr w:type="spellStart"/>
      <w:r w:rsidR="00EA73A3" w:rsidRPr="001015F7">
        <w:t>Mada</w:t>
      </w:r>
      <w:proofErr w:type="spellEnd"/>
      <w:r w:rsidR="00EA73A3" w:rsidRPr="001015F7">
        <w:t xml:space="preserve">, Jl. </w:t>
      </w:r>
      <w:proofErr w:type="spellStart"/>
      <w:r w:rsidR="00EA73A3" w:rsidRPr="001015F7">
        <w:t>Agro</w:t>
      </w:r>
      <w:proofErr w:type="spellEnd"/>
      <w:r w:rsidR="00EA73A3" w:rsidRPr="001015F7">
        <w:t xml:space="preserve"> No. 1 </w:t>
      </w:r>
      <w:proofErr w:type="spellStart"/>
      <w:r w:rsidR="00EA73A3" w:rsidRPr="001015F7">
        <w:t>Bulaksumur</w:t>
      </w:r>
      <w:proofErr w:type="spellEnd"/>
      <w:r w:rsidR="00EA73A3" w:rsidRPr="001015F7">
        <w:t xml:space="preserve">, </w:t>
      </w:r>
      <w:proofErr w:type="spellStart"/>
      <w:r w:rsidR="00EA73A3" w:rsidRPr="001015F7">
        <w:t>Sleman</w:t>
      </w:r>
      <w:proofErr w:type="spellEnd"/>
      <w:r w:rsidR="00EA73A3" w:rsidRPr="001015F7">
        <w:t>, Yogyakarta</w:t>
      </w:r>
    </w:p>
    <w:p w14:paraId="6F23D90B" w14:textId="36240B08" w:rsidR="00525D00" w:rsidRDefault="00CA4FB1" w:rsidP="00525D00">
      <w:pPr>
        <w:spacing w:after="0"/>
      </w:pPr>
      <w:r>
        <w:rPr>
          <w:vertAlign w:val="superscript"/>
        </w:rPr>
        <w:t>5</w:t>
      </w:r>
      <w:r w:rsidR="00525D00">
        <w:t>School of Geography and Environmental Science, University of Southampton, Highfield Campus, Southampton, SO17 1BJ, UK</w:t>
      </w:r>
    </w:p>
    <w:p w14:paraId="4D4A6073" w14:textId="77777777" w:rsidR="00525D00" w:rsidRDefault="00525D00" w:rsidP="00525D00">
      <w:pPr>
        <w:spacing w:after="0"/>
      </w:pPr>
    </w:p>
    <w:p w14:paraId="3962F385" w14:textId="77777777" w:rsidR="00525D00" w:rsidRDefault="00525D00" w:rsidP="00525D00">
      <w:r>
        <w:t xml:space="preserve">*Corresponding author, </w:t>
      </w:r>
      <w:hyperlink r:id="rId8" w:history="1">
        <w:r w:rsidRPr="00CB176A">
          <w:rPr>
            <w:rStyle w:val="Hyperlink"/>
          </w:rPr>
          <w:t>tamsin.woodman@ed.ac.uk</w:t>
        </w:r>
      </w:hyperlink>
    </w:p>
    <w:p w14:paraId="242503B2" w14:textId="77777777" w:rsidR="00525D00" w:rsidRPr="006C6757" w:rsidRDefault="00525D00" w:rsidP="00525D00">
      <w:r>
        <w:br w:type="page"/>
      </w:r>
    </w:p>
    <w:p w14:paraId="2A6C72B0" w14:textId="77777777" w:rsidR="006B3C54" w:rsidRDefault="00A52EE1">
      <w:pPr>
        <w:pStyle w:val="Heading1"/>
      </w:pPr>
      <w:r>
        <w:lastRenderedPageBreak/>
        <w:t>Abstract</w:t>
      </w:r>
    </w:p>
    <w:p w14:paraId="2A6C72B1" w14:textId="03E12299" w:rsidR="006B3C54" w:rsidRDefault="00A52EE1">
      <w:r>
        <w:t xml:space="preserve">Environmental and socioeconomic </w:t>
      </w:r>
      <w:r w:rsidR="00C96FCF">
        <w:t>variable</w:t>
      </w:r>
      <w:r>
        <w:t xml:space="preserve">s </w:t>
      </w:r>
      <w:r w:rsidR="00C96FCF">
        <w:t>that are used to predict</w:t>
      </w:r>
      <w:r>
        <w:t xml:space="preserve"> land use and land cover (LULC) change </w:t>
      </w:r>
      <w:r w:rsidR="00C96FCF">
        <w:t xml:space="preserve">in </w:t>
      </w:r>
      <w:r>
        <w:t xml:space="preserve">most global-scale land use models miss some LULC change processes, </w:t>
      </w:r>
      <w:r w:rsidR="003F1407">
        <w:t>including</w:t>
      </w:r>
      <w:r>
        <w:t xml:space="preserve"> cropland expansion in frontier areas. We tested whether incorporating landscape metrics, which measure the spatial arrangement of landscapes and vary according to complex anthropogenic and environmental factors, </w:t>
      </w:r>
      <w:r w:rsidR="00ED577E">
        <w:t>in</w:t>
      </w:r>
      <w:r>
        <w:t xml:space="preserve"> global- and continental-scale machine learning models of LULC change from 1992 to 2020 improved model performance when compared to socioeconomic and biophysical </w:t>
      </w:r>
      <w:r w:rsidR="00ED577E">
        <w:t>variable</w:t>
      </w:r>
      <w:r>
        <w:t xml:space="preserve">s. Two types of LULC change were modelled: cropland expansion and forest loss. Including landscape metrics always improved the accuracy of cropland expansion models, but enhanced performance of forest loss models </w:t>
      </w:r>
      <w:r w:rsidR="000728EF">
        <w:t xml:space="preserve">for only </w:t>
      </w:r>
      <w:r>
        <w:t>coarse</w:t>
      </w:r>
      <w:r w:rsidR="000728EF">
        <w:t>r</w:t>
      </w:r>
      <w:r>
        <w:t xml:space="preserve"> resolution </w:t>
      </w:r>
      <w:r w:rsidR="000728EF">
        <w:t>pixel</w:t>
      </w:r>
      <w:r>
        <w:t xml:space="preserve">s of </w:t>
      </w:r>
      <w:r w:rsidR="00042425">
        <w:t>80</w:t>
      </w:r>
      <w:r>
        <w:t xml:space="preserve"> </w:t>
      </w:r>
      <w:r w:rsidR="00042425">
        <w:t xml:space="preserve">x 80 </w:t>
      </w:r>
      <w:r>
        <w:t xml:space="preserve">km. Therefore, landscape metrics may provide additional insights for </w:t>
      </w:r>
      <w:r w:rsidR="002D5C18">
        <w:t>modelling</w:t>
      </w:r>
      <w:r>
        <w:t xml:space="preserve"> LULC change beyond socioeconomic and biophysical variables, but further research is needed to assess the impact of spatial scale on their effectiveness.</w:t>
      </w:r>
    </w:p>
    <w:p w14:paraId="2A6C72B2" w14:textId="77777777" w:rsidR="006B3C54" w:rsidRDefault="00A52EE1">
      <w:pPr>
        <w:pStyle w:val="Heading1"/>
      </w:pPr>
      <w:r>
        <w:t>Keywords</w:t>
      </w:r>
    </w:p>
    <w:p w14:paraId="2A6C72B3" w14:textId="77777777" w:rsidR="006B3C54" w:rsidRDefault="00A52EE1">
      <w:r>
        <w:t>Landscape patterns</w:t>
      </w:r>
    </w:p>
    <w:p w14:paraId="2A6C72B4" w14:textId="77777777" w:rsidR="006B3C54" w:rsidRDefault="00A52EE1">
      <w:r>
        <w:t>Landscape metrics</w:t>
      </w:r>
    </w:p>
    <w:p w14:paraId="2A6C72B5" w14:textId="77777777" w:rsidR="006B3C54" w:rsidRDefault="00A52EE1">
      <w:r>
        <w:t>Random forests</w:t>
      </w:r>
    </w:p>
    <w:p w14:paraId="2A6C72B6" w14:textId="77777777" w:rsidR="006B3C54" w:rsidRDefault="00A52EE1">
      <w:r>
        <w:t>Land use and land cover</w:t>
      </w:r>
    </w:p>
    <w:p w14:paraId="2A6C72B7" w14:textId="77777777" w:rsidR="006B3C54" w:rsidRDefault="00A52EE1">
      <w:r>
        <w:t>Land use modelling</w:t>
      </w:r>
    </w:p>
    <w:p w14:paraId="2A6C72C0" w14:textId="77777777" w:rsidR="006B3C54" w:rsidRDefault="00A52EE1">
      <w:pPr>
        <w:pStyle w:val="Heading1"/>
        <w:numPr>
          <w:ilvl w:val="0"/>
          <w:numId w:val="2"/>
        </w:numPr>
      </w:pPr>
      <w:r>
        <w:t>Introduction</w:t>
      </w:r>
    </w:p>
    <w:p w14:paraId="2A6C72C1" w14:textId="7A78708B" w:rsidR="006B3C54" w:rsidRDefault="00A52EE1">
      <w:r>
        <w:t xml:space="preserve">Anthropogenic land use and land cover (LULC) change has wide-ranging impacts on the Earth system. LULC change is a major driver of biodiversity loss </w:t>
      </w:r>
      <w:r w:rsidR="00DA2F92">
        <w:fldChar w:fldCharType="begin"/>
      </w:r>
      <w:r w:rsidR="00FC2E85">
        <w:instrText xml:space="preserve"> ADDIN ZOTERO_ITEM CSL_CITATION {"citationID":"g1jmjC5b","properties":{"formattedCitation":"(Jaureguiberry et al., 2022; Newbold et al., 2015; Pereira et al., 2012)","plainCitation":"(Jaureguiberry et al., 2022; Newbold et al., 2015; Pereira et al., 2012)","noteIndex":0},"citationItems":[{"id":1545,"uris":["http://zotero.org/users/10985147/items/YUSNQTIA"],"itemData":{"id":1545,"type":"article-journal","container-title":"Science Advances","DOI":"10.1126/sciadv.abm9982","issue":"November","journalAbbreviation":"Sci. Adv.","page":"eabm9982","title":"The direct drivers of recent global anthropogenic biodiversity loss","volume":"2022","author":[{"family":"Jaureguiberry","given":"Pedro"},{"family":"Titeux","given":"Nicolas"},{"family":"Wiemers","given":"Martin"},{"family":"Bowler","given":"Diana E"},{"family":"Coscieme","given":"Luca"},{"family":"Golden","given":"Abigail S"},{"family":"Guerra","given":"Carlos A"},{"family":"Jacob","given":"Ute"},{"family":"Takahashi","given":"Yasuo"},{"family":"Settele","given":"Josef"},{"family":"Díaz","given":"Sandra"},{"family":"Molnár","given":"Zsolt"},{"family":"Purvis","given":"Andy"}],"issued":{"date-parts":[["2022"]]}}},{"id":1528,"uris":["http://zotero.org/users/10985147/items/CDX96L7F"],"itemData":{"id":1528,"type":"article-journal","abstract":"Human activities, especially conversion and degradation of habitats, are causing global biodiversity declines. How local ecological assemblages are responding is less clear - a concern given their importance for many ecosystem functions and services. We analysed a terrestrial assemblage database of unprecedented geographic and taxonomic coverage to quantify local biodiversity responses to land use and related changes. Here we show that in the worst-affected habitats, these pressures reduce within-sample species richness by an average of 76.5%, total abundance by 39.5% and rarefaction-based richness by 40.3%. We estimate that, globally, these pressures have already slightly reduced average within-sample richness (by 13.6%), total abundance (10.7%) and rarefaction-based richness (8.1%), with changes showing marked spatial variation. Rapid further losses are predicted under a business-as-usual land-use scenario; within-sample richness is projected to fall by a further 3.4% globally by 2100, with losses concentrated in biodiverse but economically poor countries. Strong mitigation can deliver much more positive biodiversity changes (up to a 1.9% average increase) that are less strongly related to countries' socioeconomic status.","container-title":"Nature","DOI":"10.1038/nature14324","ISSN":"14764687","note":"PMID: 25832402\nCitation Key: Newbold2015","page":"45-50","title":"Global effects of land use on local terrestrial biodiversity","volume":"520","author":[{"family":"Newbold","given":"Tim"},{"family":"Hudson","given":"Lawrence N."},{"family":"Hill","given":"Samantha L.L."},{"family":"Contu","given":"Sara"},{"family":"Lysenko","given":"Igor"},{"family":"Senior","given":"Rebecca A."},{"family":"Börger","given":"Luca"},{"family":"Bennett","given":"Dominic J."},{"family":"Choimes","given":"Argyrios"},{"family":"Collen","given":"Ben"},{"family":"Day","given":"Julie"},{"family":"De Palma","given":"Adriana"},{"family":"Díaz","given":"Sandra"},{"family":"Echeverria-Londoño","given":"Susy"},{"family":"Edgar","given":"Melanie J."},{"family":"Feldman","given":"Anat"},{"family":"Garon","given":"Morgan"},{"family":"Harrison","given":"Michelle L.K."},{"family":"Alhusseini","given":"Tamera"},{"family":"Ingram","given":"Daniel J."},{"family":"Itescu","given":"Yuval"},{"family":"Kattge","given":"Jens"},{"family":"Kemp","given":"Victoria"},{"family":"Kirkpatrick","given":"Lucinda"},{"family":"Kleyer","given":"Michael"},{"family":"Correia","given":"David Laginha Pinto"},{"family":"Martin","given":"Callum D."},{"family":"Meiri","given":"Shai"},{"family":"Novosolov","given":"Maria"},{"family":"Pan","given":"Yuan"},{"family":"Phillips","given":"Helen R.P."},{"family":"Purves","given":"Drew W."},{"family":"Robinson","given":"Alexandra"},{"family":"Simpson","given":"Jake"},{"family":"Tuck","given":"Sean L."},{"family":"Weiher","given":"Evan"},{"family":"White","given":"Hannah J."},{"family":"Ewers","given":"Robert M."},{"family":"Mace","given":"Georgina M."},{"family":"Scharlemann","given":"Jörn P.W."},{"family":"Purvis","given":"Andy"}],"issued":{"date-parts":[["2015"]]}}},{"id":1524,"uris":["http://zotero.org/users/10985147/items/LHJGURG5"],"itemData":{"id":1524,"type":"article-journal","abstract":"Global biodiversity change is one of the most pressing environmental issues of our time. Here, we review current scientific knowledge on global biodiversity change and identify the main knowledge gaps. We discuss two components of biodiversity change-biodiversity alterations and biodiversity loss-across four dimensions of biodiversity: species extinctions, species abundances, species distributions, and genetic diversity. We briefly review the impacts that modern humans and their ancestors have had on biodiversity and discuss the recent declines and alterations in biodiversity. We analyze the direct pressures on biodiversity change: habitat change, overexploitation, exotic species, pollution, and climate change. We discuss the underlying causes, such as demographic growth and resource use, and review existing scenario projections. We identify successes and impending opportunities in biodiversity policy and management, and highlight gaps in biodiversity monitoring and models. Finally, we discuss how the ecosystem services framework can be used to identify undesirable biodiversity change and allocate conservation efforts. © Copyright ©2012 by Annual Reviews. All rights reserved.","container-title":"Annual Review of Environment and Resources","DOI":"10.1146/annurev-environ-042911-093511","ISSN":"15435938","journalAbbreviation":"Annu. Rev. Environ. Resour.","note":"Citation Key: Pereira2012","page":"25-50","title":"Global biodiversity change: The bad, the good, and the unknown","volume":"37","author":[{"family":"Pereira","given":"Henrique Miguel"},{"family":"Navarro","given":"Laetitia Marie"},{"family":"Martins","given":"Inês Santos"}],"issued":{"date-parts":[["2012"]]}}}],"schema":"https://github.com/citation-style-language/schema/raw/master/csl-citation.json"} </w:instrText>
      </w:r>
      <w:r w:rsidR="00DA2F92">
        <w:fldChar w:fldCharType="separate"/>
      </w:r>
      <w:r w:rsidR="00550ED7" w:rsidRPr="00550ED7">
        <w:t>(Jaureguiberry et al., 2022; Newbold et al., 2015; Pereira et al., 2012)</w:t>
      </w:r>
      <w:r w:rsidR="00DA2F92">
        <w:fldChar w:fldCharType="end"/>
      </w:r>
      <w:r>
        <w:t xml:space="preserve"> and contributes to climate change via shifts in vegetation structure </w:t>
      </w:r>
      <w:r w:rsidR="00DA2F92">
        <w:fldChar w:fldCharType="begin"/>
      </w:r>
      <w:r w:rsidR="00FC2E85">
        <w:instrText xml:space="preserve"> ADDIN ZOTERO_ITEM CSL_CITATION {"citationID":"LG6G13y1","properties":{"formattedCitation":"(Forzieri et al., 2017)","plainCitation":"(Forzieri et al., 2017)","noteIndex":0},"citationItems":[{"id":1559,"uris":["http://zotero.org/users/10985147/items/BVG3EBFH"],"itemData":{"id":1559,"type":"article-journal","abstract":"Increasing terrestrial biomass has important impacts on the climate that affects it.\n          , \n            The vegetation-climate loop\n            \n              Just as terrestrial plant biomass is growing in response to increasing atmospheric CO\n              2\n              , climate change, and other anthropogenic influences, so is climate affected by those variations in vegetation. Forzieri\n              et al.\n              used satellite observations to analyze how changes in leaf area index (LAI), a measure of vegetation density, have influenced the terrestrial energy balance and local climates over the past several decades. An increase in LAI has helped to warm boreal zones through a reduction of surface albedo and to cool arid regions of the southern hemisphere by increasing surface evaporation. Furthermore, more densely vegetated areas displayed a greater capacity to mitigate the impact of rapid climate fluctuations on the surface energy budget.\n            \n            \n              Science\n              , this issue p.\n              1180\n            \n          , \n            Changes in vegetation cover associated with the observed greening may affect several biophysical processes, whose net effects on climate are unclear. We analyzed remotely sensed dynamics in leaf area index (LAI) and energy fluxes in order to explore the associated variation in local climate. We show that the increasing trend in LAI contributed to the warming of boreal zones through a reduction of surface albedo and to an evaporation-driven cooling in arid regions. The interplay between LAI and surface biophysics is amplified up to five times under extreme warm-dry and cold-wet years. Altogether, these signals reveal that the recent dynamics in global vegetation have had relevant biophysical impacts on the local climates and should be considered in the design of local mitigation and adaptation plans.","container-title":"Science","DOI":"10.1126/science.aal1727","ISSN":"0036-8075, 1095-9203","issue":"6343","journalAbbreviation":"Science","language":"en","page":"1180-1184","source":"DOI.org (Crossref)","title":"Satellites reveal contrasting responses of regional climate to the widespread greening of Earth","volume":"356","author":[{"family":"Forzieri","given":"Giovanni"},{"family":"Alkama","given":"Ramdane"},{"family":"Miralles","given":"Diego G."},{"family":"Cescatti","given":"Alessandro"}],"issued":{"date-parts":[["2017",6,16]]}}}],"schema":"https://github.com/citation-style-language/schema/raw/master/csl-citation.json"} </w:instrText>
      </w:r>
      <w:r w:rsidR="00DA2F92">
        <w:fldChar w:fldCharType="separate"/>
      </w:r>
      <w:r w:rsidR="00550ED7" w:rsidRPr="00550ED7">
        <w:t>(Forzieri et al., 2017)</w:t>
      </w:r>
      <w:r w:rsidR="00DA2F92">
        <w:fldChar w:fldCharType="end"/>
      </w:r>
      <w:r>
        <w:t xml:space="preserve"> and greenhouse gas emissions </w:t>
      </w:r>
      <w:r w:rsidR="00DA2F92">
        <w:fldChar w:fldCharType="begin"/>
      </w:r>
      <w:r w:rsidR="00FC2E85">
        <w:instrText xml:space="preserve"> ADDIN ZOTERO_ITEM CSL_CITATION {"citationID":"rvFq6qsS","properties":{"formattedCitation":"(Foley et al., 2011; Jia et al., 2019)","plainCitation":"(Foley et al., 2011; Jia et al., 2019)","noteIndex":0},"citationItems":[{"id":1544,"uris":["http://zotero.org/users/10985147/items/YZ3TUTAY"],"itemData":{"id":1544,"type":"chapter","container-title":"Climate Change and Land: an IPCC special report on climate change, desertification, land degradation, sustainable land management, food security, and greenhouse gas fluxes in terrestrial ecosystems","ISBN":"978-1-00-915798-8","note":"DOI: 10.1017/9781009157988.004","page":"131-248","title":"Land–climate interactions","author":[{"family":"Jia","given":"G."},{"family":"Shevliakova","given":"E."},{"family":"Artaxo","given":"P."},{"family":"De Noblet-Ducoudré","given":"N."},{"family":"Houghton","given":"R."},{"family":"House","given":"J."},{"family":"Kitajima","given":"K."},{"family":"Lennard","given":"C."},{"family":"Popp","given":"A."},{"family":"Sirin","given":"A."},{"family":"Sukumar","given":"R."},{"family":"Verchot","given":"L."}],"editor":[{"family":"Shukla","given":"P.R."},{"family":"Skea","given":"J."},{"family":"Calvo Buendia","given":"E."},{"family":"Masson-Delmotte","given":"V."},{"family":"Pörtner","given":"H.-O."},{"family":"Roberts","given":"D.C."},{"family":"Zhai","given":"P."},{"family":"Slade","given":"R."},{"family":"Connors","given":"S."},{"family":"Diemen","given":"R.","non-dropping-particle":"van"},{"family":"Ferrat","given":"M."},{"family":"Haughey","given":"E."},{"family":"Luz","given":"S."},{"family":"Neogi","given":"S."},{"family":"Pathak","given":"M."},{"family":"Petzold","given":"J."},{"family":"Portugal Pereira","given":"J."},{"family":"Vyas","given":"P."},{"family":"Huntley","given":"E."},{"family":"Kissick","given":"K."},{"family":"Belkacemi","given":"M."},{"family":"Malley","given":"J."}],"issued":{"date-parts":[["2019"]]}}},{"id":1560,"uris":["http://zotero.org/users/10985147/items/NVNNUTSZ"],"itemData":{"id":1560,"type":"article-journal","abstract":"Increasing population and consumption are placing unprecedented demands on agriculture and natural resources. Today, approximately a billion people are chronically malnourished while our agricultural systems are concurrently degrading land, water, biodiversity and climate on a global scale. To meet the world's future food security and sustainability needs, food production must grow substantially while, at the same time, agriculture's environmental footprint must shrink dramatically. Here we analyse solutions to this dilemma, showing that tremendous progress could be made by halting agricultural expansion, closing ĝ€̃ yield gaps' on underperforming lands, increasing cropping efficiency, shifting diets and reducing waste. Together, these strategies could double food production while greatly reducing the environmental impacts of agriculture. © 2011 Macmillan Publishers Limited. All rights reserved.","container-title":"Nature","DOI":"10.1038/nature10452","ISSN":"00280836","note":"PMID: 21993620\nCitation Key: Foley2011","page":"337-342","title":"Solutions for a cultivated planet","volume":"478","author":[{"family":"Foley","given":"Jonathan A."},{"family":"Ramankutty","given":"Navin"},{"family":"Brauman","given":"Kate A."},{"family":"Cassidy","given":"Emily S."},{"family":"Gerber","given":"James S."},{"family":"Johnston","given":"Matt"},{"family":"Mueller","given":"Nathaniel D."},{"family":"O'Connell","given":"Christine"},{"family":"Ray","given":"Deepak K."},{"family":"West","given":"Paul C."},{"family":"Balzer","given":"Christian"},{"family":"Bennett","given":"Elena M."},{"family":"Carpenter","given":"Stephen R."},{"family":"Hill","given":"Jason"},{"family":"Monfreda","given":"Chad"},{"family":"Polasky","given":"Stephen"},{"family":"Rockström","given":"Johan"},{"family":"Sheehan","given":"John"},{"family":"Siebert","given":"Stefan"},{"family":"Tilman","given":"David"},{"family":"Zaks","given":"David P.M."}],"issued":{"date-parts":[["2011",10,20]]}}}],"schema":"https://github.com/citation-style-language/schema/raw/master/csl-citation.json"} </w:instrText>
      </w:r>
      <w:r w:rsidR="00DA2F92">
        <w:fldChar w:fldCharType="separate"/>
      </w:r>
      <w:r w:rsidR="00550ED7" w:rsidRPr="00550ED7">
        <w:t>(Foley et al., 2011; Jia et al., 2019)</w:t>
      </w:r>
      <w:r w:rsidR="00DA2F92">
        <w:fldChar w:fldCharType="end"/>
      </w:r>
      <w:r>
        <w:t xml:space="preserve">. Land cover change has occurred over approximately one third of the Earth’s surface since 1960 </w:t>
      </w:r>
      <w:r w:rsidR="00DA2F92">
        <w:fldChar w:fldCharType="begin"/>
      </w:r>
      <w:r w:rsidR="00FC2E85">
        <w:instrText xml:space="preserve"> ADDIN ZOTERO_ITEM CSL_CITATION {"citationID":"reD3plOm","properties":{"formattedCitation":"(Winkler et al., 2021)","plainCitation":"(Winkler et al., 2021)","noteIndex":0},"citationItems":[{"id":1500,"uris":["http://zotero.org/users/10985147/items/7J2V943B"],"itemData":{"id":1500,"type":"article-journal","abstract":"Quantifying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volume":"12","author":[{"family":"Winkler","given":"Karina"},{"family":"Fuchs","given":"Richard"},{"family":"Rounsevell","given":"Mark"},{"family":"Herold","given":"Martin"}],"issued":{"date-parts":[["2021"]]}}}],"schema":"https://github.com/citation-style-language/schema/raw/master/csl-citation.json"} </w:instrText>
      </w:r>
      <w:r w:rsidR="00DA2F92">
        <w:fldChar w:fldCharType="separate"/>
      </w:r>
      <w:r w:rsidR="00550ED7" w:rsidRPr="00550ED7">
        <w:t>(Winkler et al., 2021)</w:t>
      </w:r>
      <w:r w:rsidR="00DA2F92">
        <w:fldChar w:fldCharType="end"/>
      </w:r>
      <w:r>
        <w:t xml:space="preserve"> and is expected to continue into the future </w:t>
      </w:r>
      <w:r w:rsidR="00DA2F92">
        <w:fldChar w:fldCharType="begin"/>
      </w:r>
      <w:r w:rsidR="00FC2E85">
        <w:instrText xml:space="preserve"> ADDIN ZOTERO_ITEM CSL_CITATION {"citationID":"TvQ8YGGP","properties":{"formattedCitation":"(Foley et al., 2011; Rabin et al., 2020; Tilman et al., 2011)","plainCitation":"(Foley et al., 2011; Rabin et al., 2020; Tilman et al., 2011)","noteIndex":0},"citationItems":[{"id":1560,"uris":["http://zotero.org/users/10985147/items/NVNNUTSZ"],"itemData":{"id":1560,"type":"article-journal","abstract":"Increasing population and consumption are placing unprecedented demands on agriculture and natural resources. Today, approximately a billion people are chronically malnourished while our agricultural systems are concurrently degrading land, water, biodiversity and climate on a global scale. To meet the world's future food security and sustainability needs, food production must grow substantially while, at the same time, agriculture's environmental footprint must shrink dramatically. Here we analyse solutions to this dilemma, showing that tremendous progress could be made by halting agricultural expansion, closing ĝ€̃ yield gaps' on underperforming lands, increasing cropping efficiency, shifting diets and reducing waste. Together, these strategies could double food production while greatly reducing the environmental impacts of agriculture. © 2011 Macmillan Publishers Limited. All rights reserved.","container-title":"Nature","DOI":"10.1038/nature10452","ISSN":"00280836","note":"PMID: 21993620\nCitation Key: Foley2011","page":"337-342","title":"Solutions for a cultivated planet","volume":"478","author":[{"family":"Foley","given":"Jonathan A."},{"family":"Ramankutty","given":"Navin"},{"family":"Brauman","given":"Kate A."},{"family":"Cassidy","given":"Emily S."},{"family":"Gerber","given":"James S."},{"family":"Johnston","given":"Matt"},{"family":"Mueller","given":"Nathaniel D."},{"family":"O'Connell","given":"Christine"},{"family":"Ray","given":"Deepak K."},{"family":"West","given":"Paul C."},{"family":"Balzer","given":"Christian"},{"family":"Bennett","given":"Elena M."},{"family":"Carpenter","given":"Stephen R."},{"family":"Hill","given":"Jason"},{"family":"Monfreda","given":"Chad"},{"family":"Polasky","given":"Stephen"},{"family":"Rockström","given":"Johan"},{"family":"Sheehan","given":"John"},{"family":"Siebert","given":"Stefan"},{"family":"Tilman","given":"David"},{"family":"Zaks","given":"David P.M."}],"issued":{"date-parts":[["2011",10,20]]}}},{"id":1520,"uris":["http://zotero.org/users/10985147/items/VSXUFFVJ"],"itemData":{"id":1520,"type":"article-journal","abstract":"A future of increasing atmospheric carbon dioxide concentrations, changing climate, growing human populations, and shifting socioeconomic conditions means that the global agricultural system will need to adapt in order to feed the world. These changes will affect not only agricultural land but terrestrial ecosystems in general. Here, we use the coupled land use and vegetation model LandSyMM (Land System Modular Model) to quantify future land use change (LUC) and resulting impacts on ecosystem service indicators relating to carbon sequestration, runoff, biodiversity, and nitrogen pollution. We additionally hold certain variables, such as climate or land use, constant to assess the relative contribution of different drivers to the projected impacts. Some ecosystem services depend critically on land use and management: for example, carbon storage, the gain in which is more than 2.5 times higher in a low-LUC scenario (Shared Socioeconomic Pathway 4 and Representative Concentration Pathway 6.0; SSP4-60) than a high-LUC one with the same carbon dioxide and climate trajectory (SSP3-60). Other trends are mostly dominated by the direct effects of climate change and carbon dioxide increase. For example, in those two scenarios, extreme high monthly runoff increases across 54% and 53% of land, respectively, with a mean increase of 23% in both. Scenarios in which climate change mitigation is more difficult (SSPs 3 and 5) have the strongest impacts on ecosystem service indicators, such as a loss of 13%-19% of land in biodiversity hotspots and a 28% increase in nitrogen pollution. Evaluating a suite of ecosystem service indicators across scenarios enables the identification of tradeoffs and co-benefits associated with different climate change mitigation and adaptation strategies and socioeconomic developments.","container-title":"Earth System Dynamics","DOI":"10.5194/esd-11-357-2020","ISSN":"21904987","issue":"2","journalAbbreviation":"Earth Syst. Dyn.","page":"357-376","title":"Impacts of future agricultural change on ecosystem service indicators","volume":"11","author":[{"family":"Rabin","given":"Sam S."},{"family":"Alexander","given":"Peter"},{"family":"Henry","given":"Roslyn"},{"family":"Anthoni","given":"Peter"},{"family":"Pugh","given":"Thomas A.M."},{"family":"Rounsevell","given":"Mark"},{"family":"Arneth","given":"Almut"}],"issued":{"date-parts":[["2020"]]}}},{"id":1511,"uris":["http://zotero.org/users/10985147/items/G9AQSHQA"],"itemData":{"id":1511,"type":"article-journal","abstract":"Global food demand is increasing rapidly, as are the environmental impacts of agricultural expansion. Here, we project global demand for crop production in 2050 and evaluate the environmental impacts of alternative ways that this demand might be met. We find that per capita demand for crops, when measured as caloric or protein content of all crops combined, has been a similarly increasing function of per capita real income since 1960. This relationship forecasts a 100-110% increase in global crop demand from 2005 to 2050. Quantitative assessments show that the environmental impacts of meeting this demand depend on how global agriculture expands. If current trends of greater agricultural intensification in richer nations and greater land clearing (extensification) in poorer nations were to continue, </w:instrText>
      </w:r>
      <w:r w:rsidR="00FC2E85">
        <w:rPr>
          <w:rFonts w:ascii="Cambria Math" w:hAnsi="Cambria Math" w:cs="Cambria Math"/>
        </w:rPr>
        <w:instrText>∼</w:instrText>
      </w:r>
      <w:r w:rsidR="00FC2E85">
        <w:instrText xml:space="preserve">1 billion ha of land would be cleared globally by 2050, with CO 2-C equivalent greenhouse gas emissions reaching </w:instrText>
      </w:r>
      <w:r w:rsidR="00FC2E85">
        <w:rPr>
          <w:rFonts w:ascii="Cambria Math" w:hAnsi="Cambria Math" w:cs="Cambria Math"/>
        </w:rPr>
        <w:instrText>∼</w:instrText>
      </w:r>
      <w:r w:rsidR="00FC2E85">
        <w:instrText xml:space="preserve">3 Gt y -1 and N use </w:instrText>
      </w:r>
      <w:r w:rsidR="00FC2E85">
        <w:rPr>
          <w:rFonts w:ascii="Cambria Math" w:hAnsi="Cambria Math" w:cs="Cambria Math"/>
        </w:rPr>
        <w:instrText>∼</w:instrText>
      </w:r>
      <w:r w:rsidR="00FC2E85">
        <w:instrText xml:space="preserve">250 Mt y -1 by then. In contrast, if 2050 crop demand was met by moderate intensification focused on existing croplands of underyielding nations, adaptation and transfer of high-yielding technologies to these croplands, and global technological improvements, our analyses forecast land clearing of only </w:instrText>
      </w:r>
      <w:r w:rsidR="00FC2E85">
        <w:rPr>
          <w:rFonts w:ascii="Cambria Math" w:hAnsi="Cambria Math" w:cs="Cambria Math"/>
        </w:rPr>
        <w:instrText>∼</w:instrText>
      </w:r>
      <w:r w:rsidR="00FC2E85">
        <w:instrText xml:space="preserve">0.2 billion ha, greenhouse gas emissions of </w:instrText>
      </w:r>
      <w:r w:rsidR="00FC2E85">
        <w:rPr>
          <w:rFonts w:ascii="Cambria Math" w:hAnsi="Cambria Math" w:cs="Cambria Math"/>
        </w:rPr>
        <w:instrText>∼</w:instrText>
      </w:r>
      <w:r w:rsidR="00FC2E85">
        <w:instrText xml:space="preserve">1 Gt y -1, and global N use of </w:instrText>
      </w:r>
      <w:r w:rsidR="00FC2E85">
        <w:rPr>
          <w:rFonts w:ascii="Cambria Math" w:hAnsi="Cambria Math" w:cs="Cambria Math"/>
        </w:rPr>
        <w:instrText>∼</w:instrText>
      </w:r>
      <w:r w:rsidR="00FC2E85">
        <w:instrText xml:space="preserve">225 Mt y -1. Efficient management practices could substantially lower nitrogen use. Attainment of high yields on existing croplands of underyielding nations is of great importance if global crop demand is to be met with minimal environmental impacts.","container-title":"Proceedings of the National Academy of Sciences of the United States of America","DOI":"10.1073/pnas.1116437108","ISSN":"00278424","issue":"50","journalAbbreviation":"Proc. Natl. Acad. Sci. U.S.A.","note":"PMID: 22106295","page":"20260-20264","title":"Global food demand and the sustainable intensification of agriculture","volume":"108","author":[{"family":"Tilman","given":"David"},{"family":"Balzer","given":"Christian"},{"family":"Hill","given":"Jason"},{"family":"Befort","given":"Belinda L."}],"issued":{"date-parts":[["2011"]]}}}],"schema":"https://github.com/citation-style-language/schema/raw/master/csl-citation.json"} </w:instrText>
      </w:r>
      <w:r w:rsidR="00DA2F92">
        <w:fldChar w:fldCharType="separate"/>
      </w:r>
      <w:r w:rsidR="00550ED7" w:rsidRPr="00550ED7">
        <w:t>(Foley et al., 2011; Rabin et al., 2020; Tilman et al., 2011)</w:t>
      </w:r>
      <w:r w:rsidR="00DA2F92">
        <w:fldChar w:fldCharType="end"/>
      </w:r>
      <w:r>
        <w:t xml:space="preserve">. Anthropogenic actions also drive the fragmentation of natural ecosystems into smaller and more isolated patches </w:t>
      </w:r>
      <w:r w:rsidR="00DA2F92">
        <w:fldChar w:fldCharType="begin"/>
      </w:r>
      <w:r w:rsidR="00FC2E85">
        <w:instrText xml:space="preserve"> ADDIN ZOTERO_ITEM CSL_CITATION {"citationID":"NMyajBtG","properties":{"formattedCitation":"(Jacobson et al., 2019; Ma et al., 2023)","plainCitation":"(Jacobson et al., 2019; Ma et al., 2023)","noteIndex":0},"citationItems":[{"id":1451,"uris":["http://zotero.org/users/10985147/items/BD5F59UY"],"itemData":{"id":1451,"type":"article-journal","abstract":"Abstract\n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volume":"14","author":[{"family":"Ma","given":"Jun"},{"family":"Li","given":"Jiawei"},{"family":"Wu","given":"Wanben"},{"family":"Liu","given":"Jiajia"}],"issued":{"date-parts":[["2023",7,11]]}}},{"id":1461,"uris":["http://zotero.org/users/10985147/items/QXDWWHFA"],"itemData":{"id":1461,"type":"article-journal","abstract":"Abstract\n            \n              Habitat loss and fragmentation due to human activities is the leading cause of the loss of biodiversity and ecosystem services. Protected areas are the primary response to this challenge and are the cornerstone of biodiversity conservation efforts. Roughly 15% of land is currently protected although there is momentum to dramatically raise protected area targets towards 50%. But, how much land remains in a natural state? We answer this critical question by using open-access, frequently updated data sets on terrestrial human impacts to create a new categorical map of global human influence (‘Low Impact Areas’) at a 1 km\n              2\n              resolution. We found that 56% of the terrestrial surface, minus permanent ice and snow, currently has low human impact. This suggests that increased protected area targets could be met in areas minimally impacted by people, although there is substantial variation across ecoregions and biomes. While habitat loss is well documented, habitat fragmentation and differences in fragmentation rates between biomes has received little attention. Low Impact Areas uniquely enabled us to calculate global fragmentation rates across biomes, and we compared these to an idealized globe with no human-caused fragmentation. The land in Low Impact Areas is heavily fragmented, compromised by reduced patch size and core area, and exposed to edge effects. Tropical dry forests and temperate grasslands are the world’s most impacted biomes. We demonstrate that when habitat fragmentation is considered in addition to habitat loss, the world’s species, ecosystems and associated services are in worse condition than previously reported.","container-title":"Scientific Reports","DOI":"10.1038/s41598-019-50558-6","ISSN":"2045-2322","journalAbbreviation":"Sci. Rep.","language":"en","page":"14179","source":"DOI.org (Crossref)","title":"Global areas of low human impact (‘Low Impact Areas’) and fragmentation of the natural world","volume":"9","author":[{"family":"Jacobson","given":"Andrew P."},{"family":"Riggio","given":"Jason"},{"family":"Tait","given":"Alexander M."},{"family":"Baillie","given":"Jonathan E.M."}],"issued":{"date-parts":[["2019",10,2]]}}}],"schema":"https://github.com/citation-style-language/schema/raw/master/csl-citation.json"} </w:instrText>
      </w:r>
      <w:r w:rsidR="00DA2F92">
        <w:fldChar w:fldCharType="separate"/>
      </w:r>
      <w:r w:rsidR="00550ED7" w:rsidRPr="00550ED7">
        <w:t>(Jacobson et al., 2019; Ma et al., 2023)</w:t>
      </w:r>
      <w:r w:rsidR="00DA2F92">
        <w:fldChar w:fldCharType="end"/>
      </w:r>
      <w:r>
        <w:t xml:space="preserve">, with over 70% of the Earth’s forests now less than 1 km away from a forest edge </w:t>
      </w:r>
      <w:r w:rsidR="00DA2F92">
        <w:fldChar w:fldCharType="begin"/>
      </w:r>
      <w:r w:rsidR="00FC2E85">
        <w:instrText xml:space="preserve"> ADDIN ZOTERO_ITEM CSL_CITATION {"citationID":"IrGcopCj","properties":{"formattedCitation":"(Haddad et al., 2015)","plainCitation":"(Haddad et al., 2015)","noteIndex":0},"citationItems":[{"id":1467,"uris":["http://zotero.org/users/10985147/items/THAWMM9Z"],"itemData":{"id":1467,"type":"article-journal","abstract":"Urgent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R."}],"issued":{"date-parts":[["2015",3,6]]}}}],"schema":"https://github.com/citation-style-language/schema/raw/master/csl-citation.json"} </w:instrText>
      </w:r>
      <w:r w:rsidR="00DA2F92">
        <w:fldChar w:fldCharType="separate"/>
      </w:r>
      <w:r w:rsidR="00550ED7" w:rsidRPr="00550ED7">
        <w:t>(Haddad et al., 2015)</w:t>
      </w:r>
      <w:r w:rsidR="00DA2F92">
        <w:fldChar w:fldCharType="end"/>
      </w:r>
      <w:r>
        <w:t xml:space="preserve">. Fragmentation can have negative environmental impacts </w:t>
      </w:r>
      <w:r w:rsidR="00DA2F92">
        <w:fldChar w:fldCharType="begin"/>
      </w:r>
      <w:r w:rsidR="00FC2E85">
        <w:instrText xml:space="preserve"> ADDIN ZOTERO_ITEM CSL_CITATION {"citationID":"IXlV1lUT","properties":{"formattedCitation":"(Haddad et al., 2015; Mendes &amp; Prevedello, 2020; Peralta et al., 2023)","plainCitation":"(Haddad et al., 2015; Mendes &amp; Prevedello, 2020; Peralta et al., 2023)","noteIndex":0},"citationItems":[{"id":1467,"uris":["http://zotero.org/users/10985147/items/THAWMM9Z"],"itemData":{"id":1467,"type":"article-journal","abstract":"Urgent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R."}],"issued":{"date-parts":[["2015",3,6]]}}},{"id":1449,"uris":["http://zotero.org/users/10985147/items/9GCX95C4"],"itemData":{"id":1449,"type":"article-journal","container-title":"Landscape Ecology","DOI":"10.1007/s10980-020-01041-5","ISSN":"0921-2973, 1572-9761","journalAbbreviation":"Landsc. Ecol.","language":"en","page":"1743-1756","source":"DOI.org (Crossref)","title":"Does habitat fragmentation affect landscape-level temperatures? A global analysis","title-short":"Does habitat fragmentation affect landscape-level temperatures?","volume":"35","author":[{"family":"Mendes","given":"Clarice B."},{"family":"Prevedello","given":"Jayme A."}],"issued":{"date-parts":[["2020",8]]}}},{"id":1382,"uris":["http://zotero.org/users/10985147/items/BIQIIQ74"],"itemData":{"id":1382,"type":"article-journal","abstract":"The environmental filtering of species traits can influence the identity of their interaction partners and the contribution of species interactions to ecosystem functioning, but the extent to which this process is influenced by landscape composition and configuration remains unclear. We combined a field experiment with an agent</w:instrText>
      </w:r>
      <w:r w:rsidR="00FC2E85">
        <w:rPr>
          <w:rFonts w:ascii="Cambria Math" w:hAnsi="Cambria Math" w:cs="Cambria Math"/>
        </w:rPr>
        <w:instrText>‐</w:instrText>
      </w:r>
      <w:r w:rsidR="00FC2E85">
        <w:instrText>based model to assess how landscape structure and local flower patch isolation affect pollinator body</w:instrText>
      </w:r>
      <w:r w:rsidR="00FC2E85">
        <w:rPr>
          <w:rFonts w:ascii="Cambria Math" w:hAnsi="Cambria Math" w:cs="Cambria Math"/>
        </w:rPr>
        <w:instrText>‐</w:instrText>
      </w:r>
      <w:r w:rsidR="00FC2E85">
        <w:instrText>size distribution and plant–pollinator interactions, sampled at different spatial extents. We then evaluated how these changes in pollinator functional (i.e. body</w:instrText>
      </w:r>
      <w:r w:rsidR="00FC2E85">
        <w:rPr>
          <w:rFonts w:ascii="Cambria Math" w:hAnsi="Cambria Math" w:cs="Cambria Math"/>
        </w:rPr>
        <w:instrText>‐</w:instrText>
      </w:r>
      <w:r w:rsidR="00FC2E85">
        <w:instrText>size) diversity influence plant reproduction. We observed higher pollinator functional diversity in less</w:instrText>
      </w:r>
      <w:r w:rsidR="00FC2E85">
        <w:rPr>
          <w:rFonts w:ascii="Cambria Math" w:hAnsi="Cambria Math" w:cs="Cambria Math"/>
        </w:rPr>
        <w:instrText>‐</w:instrText>
      </w:r>
      <w:r w:rsidR="00FC2E85">
        <w:instrText>isolated patches, which promoted plant reproduction via a relationship between functional diversity and interaction complementarity. This complementarity occurred partly because larger pollinators interacted with more plant species. Moreover, we showed that patch configuration at the landscape level can change the direction of these local</w:instrText>
      </w:r>
      <w:r w:rsidR="00FC2E85">
        <w:rPr>
          <w:rFonts w:ascii="Cambria Math" w:hAnsi="Cambria Math" w:cs="Cambria Math"/>
        </w:rPr>
        <w:instrText>‐</w:instrText>
      </w:r>
      <w:r w:rsidR="00FC2E85">
        <w:instrText>scale patch isolation effects on pollinator body</w:instrText>
      </w:r>
      <w:r w:rsidR="00FC2E85">
        <w:rPr>
          <w:rFonts w:ascii="Cambria Math" w:hAnsi="Cambria Math" w:cs="Cambria Math"/>
        </w:rPr>
        <w:instrText>‐</w:instrText>
      </w:r>
      <w:r w:rsidR="00FC2E85">
        <w:instrText>size distribution, functional diversity and plant–pollinator interactions. Importantly, these relationships were robust to sampling spatial extent. Thus, management strategies to promote pollination should account for local resources and landscape structure, because response, effect and interaction traits like body size connect landscape filtering effects with local community responses and outcomes of interaction</w:instrText>
      </w:r>
      <w:r w:rsidR="00FC2E85">
        <w:rPr>
          <w:rFonts w:ascii="Cambria Math" w:hAnsi="Cambria Math" w:cs="Cambria Math"/>
        </w:rPr>
        <w:instrText>‐</w:instrText>
      </w:r>
      <w:r w:rsidR="00FC2E85">
        <w:instrText>based functions.","container-title":"Ecography","DOI":"10.1111/ecog.06453","ISSN":"0906-7590, 1600-0587","issue":"5","journalAbbreviation":"Ecography","language":"en","page":"e06453","source":"DOI.org (Crossref)","title":"Scale</w:instrText>
      </w:r>
      <w:r w:rsidR="00FC2E85">
        <w:rPr>
          <w:rFonts w:ascii="Cambria Math" w:hAnsi="Cambria Math" w:cs="Cambria Math"/>
        </w:rPr>
        <w:instrText>‐</w:instrText>
      </w:r>
      <w:r w:rsidR="00FC2E85">
        <w:instrText xml:space="preserve">dependent effects of landscape structure on pollinator traits, species interactions and pollination success","volume":"2023","author":[{"family":"Peralta","given":"Guadalupe"},{"family":"Webber","given":"Christie J."},{"family":"Perry","given":"George L. W."},{"family":"Stouffer","given":"Daniel B."},{"family":"Vázquez","given":"Diego P."},{"family":"Tylianakis","given":"Jason M."}],"issued":{"date-parts":[["2023",5]]}}}],"schema":"https://github.com/citation-style-language/schema/raw/master/csl-citation.json"} </w:instrText>
      </w:r>
      <w:r w:rsidR="00DA2F92">
        <w:fldChar w:fldCharType="separate"/>
      </w:r>
      <w:r w:rsidR="00550ED7" w:rsidRPr="00550ED7">
        <w:t>(Haddad et al., 2015; Mendes &amp; Prevedello, 2020; Peralta et al., 2023)</w:t>
      </w:r>
      <w:r w:rsidR="00DA2F92">
        <w:fldChar w:fldCharType="end"/>
      </w:r>
      <w:r>
        <w:t xml:space="preserve">, such as the estimated </w:t>
      </w:r>
      <w:r>
        <w:lastRenderedPageBreak/>
        <w:t xml:space="preserve">0.34 Gt of carbon emitted annually due to tropical forest fragmentation </w:t>
      </w:r>
      <w:r w:rsidR="00DA2F92">
        <w:fldChar w:fldCharType="begin"/>
      </w:r>
      <w:r w:rsidR="00FC2E85">
        <w:instrText xml:space="preserve"> ADDIN ZOTERO_ITEM CSL_CITATION {"citationID":"Pk4RJ900","properties":{"formattedCitation":"(Brinck et al., 2017)","plainCitation":"(Brinck et al., 2017)","noteIndex":0},"citationItems":[{"id":1487,"uris":["http://zotero.org/users/10985147/items/MZX6UUQ5"],"itemData":{"id":1487,"type":"article-journal","abstract":"Abstract\n            Deforestation in the tropics is not only responsible for direct carbon emissions but also extends the forest edge wherein trees suffer increased mortality. Here we combine high-resolution (30 m) satellite maps of forest cover with estimates of the edge effect and show that 19% of the remaining area of tropical forests lies within 100 m of a forest edge. The tropics house around 50 million forest fragments and the length of the world’s tropical forest edges sums to nearly 50 million km. Edge effects in tropical forests have caused an additional 10.3 Gt (2.1–14.4 Gt) of carbon emissions, which translates into 0.34 Gt per year and represents 31% of the currently estimated annual carbon releases due to tropical deforestation. Fragmentation substantially augments carbon emissions from tropical forests and must be taken into account when analysing the role of vegetation in the global carbon cycle.","container-title":"Nature Communications","DOI":"10.1038/ncomms14855","ISSN":"2041-1723","journalAbbreviation":"Nat. Commun.","language":"en","page":"14855","source":"DOI.org (Crossref)","title":"High resolution analysis of tropical forest fragmentation and its impact on the global carbon cycle","volume":"8","author":[{"family":"Brinck","given":"Katharina"},{"family":"Fischer","given":"Rico"},{"family":"Groeneveld","given":"Jürgen"},{"family":"Lehmann","given":"Sebastian"},{"family":"Dantas De Paula","given":"Mateus"},{"family":"Pütz","given":"Sandro"},{"family":"Sexton","given":"Joseph O."},{"family":"Song","given":"Danxia"},{"family":"Huth","given":"Andreas"}],"issued":{"date-parts":[["2017",3,17]]}}}],"schema":"https://github.com/citation-style-language/schema/raw/master/csl-citation.json"} </w:instrText>
      </w:r>
      <w:r w:rsidR="00DA2F92">
        <w:fldChar w:fldCharType="separate"/>
      </w:r>
      <w:r w:rsidR="00550ED7" w:rsidRPr="00550ED7">
        <w:t>(Brinck et al., 2017)</w:t>
      </w:r>
      <w:r w:rsidR="00DA2F92">
        <w:fldChar w:fldCharType="end"/>
      </w:r>
      <w:r>
        <w:t>. Given the impacts of LULC change and fragmentation, realistic global LULC change projections are required to inform policies that will effectively address the negative impacts of change.</w:t>
      </w:r>
    </w:p>
    <w:p w14:paraId="2A6C72C2" w14:textId="4761890E" w:rsidR="006B3C54" w:rsidRDefault="00A52EE1">
      <w:r>
        <w:t xml:space="preserve">Models of future LULC need to incorporate information on the drivers of LULC change, which are complex and vary both temporally and spatially </w:t>
      </w:r>
      <w:r w:rsidR="00DA2F92">
        <w:fldChar w:fldCharType="begin"/>
      </w:r>
      <w:r w:rsidR="00FC2E85">
        <w:instrText xml:space="preserve"> ADDIN ZOTERO_ITEM CSL_CITATION {"citationID":"kFsht1P4","properties":{"formattedCitation":"(Alexander et al., 2015; Noszczyk, 2019)","plainCitation":"(Alexander et al., 2015; Noszczyk, 2019)","noteIndex":0},"citationItems":[{"id":983,"uris":["http://zotero.org/users/10985147/items/2MCXII4U"],"itemData":{"id":983,"type":"article-journal","abstract":"The nexus of population growth and changing diets has increased the demands placed on agriculture to supply food for human consumption, animal feed and fuel. Rising incomes lead to dietary changes, from staple crops, towards commodities with greater land requirements, e.g. meat and dairy products. Despite yield improvements partially offsetting increases in demand, agricultural land has still been expanding, causing potential harm to ecosystems, e.g. through deforestation. We use country-level panel data (1961-2011) to allocate the land areas used to produce food for human consumption, waste and biofuels, and to attribute the food production area changes to diet, population and yields drivers. The results show that the production of animal products dominates agricultural land use and land use change over the 50-year period, accounting for 65% of land use change. The rate of extensification of animal production was found to have reduced more recently, principally due to the smaller effect of population growth. The area used for bioenergy was shown to be relatively small, but formed a substantial contribution (36%) to net agricultural expansion in the most recent period. Nevertheless, in comparison to dietary shifts in animal products, bioenergy accounted for less than a tenth of the increase in demand for agricultural land. Population expansion has been the largest driver for agricultural land use change, but dietary changes are a significant and growing driver. China was a notable exception, where dietary transitions dominate food consumption changes, due to rapidly rising incomes. This suggests that future dietary changes will become the principal driver for land use change, pointing to the potential need for demand-side measures to regulate agricultural expansion.","container-title":"Global Environmental Change","DOI":"10.1016/j.gloenvcha.2015.08.011","ISSN":"09593780","journalAbbreviation":"Glob. Environ. Change","note":"publisher: Elsevier Ltd","page":"138-147","title":"Drivers for global agricultural land use change: The nexus of diet, population, yield and bioenergy","volume":"35","author":[{"family":"Alexander","given":"Peter"},{"family":"Rounsevell","given":"Mark D.A."},{"family":"Dislich","given":"Claudia"},{"family":"Dodson","given":"Jennifer R."},{"family":"Engström","given":"Kerstin"},{"family":"Moran","given":"Dominic"}],"issued":{"date-parts":[["2015"]]}}},{"id":1442,"uris":["http://zotero.org/users/10985147/items/RHUIJY89"],"itemData":{"id":1442,"type":"article-journal","abstract":"Being a widespread phenomenon, land use changes are being increasingly evaluated by modeling methods, including statistical modeling. Land use changes models facilitate interpreting the causes and consequences of land use dynamics and support policy-makers in taking rational decisions. Literature offers numerous land use models developed by researchers from various ﬁelds. The goal of the article was to review the existing methods of land use change modeling, in particular, statistical models. It is, therefore, a synthesis of the knowledge found in previous studies in this domain. The discussion is based on four areas: (1) the role of modeling and models in land use changes studies, (2) major land use changes modeling methods, their advantages and limitations, (3) integrated approach to modeling, (4) and land use changes modeling in Poland. Results indicate that there are many land use changes modeling methods, each with its advantages and drawbacks. It is not an easy challenge to select the right one. Such factors as the goal of the model and research problem should be taken into consideration. The article is intended ﬁrst of all for researchers and modelers in pursuit of new research methods or improving their models.","container-title":"Human and Ecological Risk Assessment: An International Journal","DOI":"10.1080/10807039.2018.1468994","ISSN":"1080-7039, 1549-7860","journalAbbreviation":"Hum. Ecol. Risk Assess.","language":"en","page":"1377-1405","source":"DOI.org (Crossref)","title":"A review of approaches to land use changes modeling","volume":"25","author":[{"family":"Noszczyk","given":"Tomasz"}],"issued":{"date-parts":[["2019",8,18]]}}}],"schema":"https://github.com/citation-style-language/schema/raw/master/csl-citation.json"} </w:instrText>
      </w:r>
      <w:r w:rsidR="00DA2F92">
        <w:fldChar w:fldCharType="separate"/>
      </w:r>
      <w:r w:rsidR="00550ED7" w:rsidRPr="00550ED7">
        <w:t>(Alexander et al., 2015; Noszczyk, 2019)</w:t>
      </w:r>
      <w:r w:rsidR="00DA2F92">
        <w:fldChar w:fldCharType="end"/>
      </w:r>
      <w:r>
        <w:t xml:space="preserve">. For example, diet was more important as a global driver of LULC change in the period from 1994 to 2011 compared to between 1961 and 1994, although its effects differed between countries </w:t>
      </w:r>
      <w:r w:rsidR="00DA2F92">
        <w:fldChar w:fldCharType="begin"/>
      </w:r>
      <w:r w:rsidR="00FC2E85">
        <w:instrText xml:space="preserve"> ADDIN ZOTERO_ITEM CSL_CITATION {"citationID":"7vN1y59U","properties":{"formattedCitation":"(Alexander et al., 2015)","plainCitation":"(Alexander et al., 2015)","noteIndex":0},"citationItems":[{"id":983,"uris":["http://zotero.org/users/10985147/items/2MCXII4U"],"itemData":{"id":983,"type":"article-journal","abstract":"The nexus of population growth and changing diets has increased the demands placed on agriculture to supply food for human consumption, animal feed and fuel. Rising incomes lead to dietary changes, from staple crops, towards commodities with greater land requirements, e.g. meat and dairy products. Despite yield improvements partially offsetting increases in demand, agricultural land has still been expanding, causing potential harm to ecosystems, e.g. through deforestation. We use country-level panel data (1961-2011) to allocate the land areas used to produce food for human consumption, waste and biofuels, and to attribute the food production area changes to diet, population and yields drivers. The results show that the production of animal products dominates agricultural land use and land use change over the 50-year period, accounting for 65% of land use change. The rate of extensification of animal production was found to have reduced more recently, principally due to the smaller effect of population growth. The area used for bioenergy was shown to be relatively small, but formed a substantial contribution (36%) to net agricultural expansion in the most recent period. Nevertheless, in comparison to dietary shifts in animal products, bioenergy accounted for less than a tenth of the increase in demand for agricultural land. Population expansion has been the largest driver for agricultural land use change, but dietary changes are a significant and growing driver. China was a notable exception, where dietary transitions dominate food consumption changes, due to rapidly rising incomes. This suggests that future dietary changes will become the principal driver for land use change, pointing to the potential need for demand-side measures to regulate agricultural expansion.","container-title":"Global Environmental Change","DOI":"10.1016/j.gloenvcha.2015.08.011","ISSN":"09593780","journalAbbreviation":"Glob. Environ. Change","note":"publisher: Elsevier Ltd","page":"138-147","title":"Drivers for global agricultural land use change: The nexus of diet, population, yield and bioenergy","volume":"35","author":[{"family":"Alexander","given":"Peter"},{"family":"Rounsevell","given":"Mark D.A."},{"family":"Dislich","given":"Claudia"},{"family":"Dodson","given":"Jennifer R."},{"family":"Engström","given":"Kerstin"},{"family":"Moran","given":"Dominic"}],"issued":{"date-parts":[["2015"]]}}}],"schema":"https://github.com/citation-style-language/schema/raw/master/csl-citation.json"} </w:instrText>
      </w:r>
      <w:r w:rsidR="00DA2F92">
        <w:fldChar w:fldCharType="separate"/>
      </w:r>
      <w:r w:rsidR="00550ED7" w:rsidRPr="00550ED7">
        <w:t>(Alexander et al., 2015)</w:t>
      </w:r>
      <w:r w:rsidR="00DA2F92">
        <w:fldChar w:fldCharType="end"/>
      </w:r>
      <w:r>
        <w:t xml:space="preserve">. Global-scale drivers of LULC change include factors such as population </w:t>
      </w:r>
      <w:r w:rsidR="00025FE7">
        <w:t>growth</w:t>
      </w:r>
      <w:r>
        <w:t xml:space="preserve">, crop yields, and international trade </w:t>
      </w:r>
      <w:r w:rsidR="00DA2F92">
        <w:fldChar w:fldCharType="begin"/>
      </w:r>
      <w:r w:rsidR="00FC2E85">
        <w:instrText xml:space="preserve"> ADDIN ZOTERO_ITEM CSL_CITATION {"citationID":"7NVw5zRU","properties":{"formattedCitation":"(Alexander et al., 2015; Eigenbrod et al., 2020; Hertel et al., 2019; Meyfroidt et al., 2013)","plainCitation":"(Alexander et al., 2015; Eigenbrod et al., 2020; Hertel et al., 2019; Meyfroidt et al., 2013)","noteIndex":0},"citationItems":[{"id":983,"uris":["http://zotero.org/users/10985147/items/2MCXII4U"],"itemData":{"id":983,"type":"article-journal","abstract":"The nexus of population growth and changing diets has increased the demands placed on agriculture to supply food for human consumption, animal feed and fuel. Rising incomes lead to dietary changes, from staple crops, towards commodities with greater land requirements, e.g. meat and dairy products. Despite yield improvements partially offsetting increases in demand, agricultural land has still been expanding, causing potential harm to ecosystems, e.g. through deforestation. We use country-level panel data (1961-2011) to allocate the land areas used to produce food for human consumption, waste and biofuels, and to attribute the food production area changes to diet, population and yields drivers. The results show that the production of animal products dominates agricultural land use and land use change over the 50-year period, accounting for 65% of land use change. The rate of extensification of animal production was found to have reduced more recently, principally due to the smaller effect of population growth. The area used for bioenergy was shown to be relatively small, but formed a substantial contribution (36%) to net agricultural expansion in the most recent period. Nevertheless, in comparison to dietary shifts in animal products, bioenergy accounted for less than a tenth of the increase in demand for agricultural land. Population expansion has been the largest driver for agricultural land use change, but dietary changes are a significant and growing driver. China was a notable exception, where dietary transitions dominate food consumption changes, due to rapidly rising incomes. This suggests that future dietary changes will become the principal driver for land use change, pointing to the potential need for demand-side measures to regulate agricultural expansion.","container-title":"Global Environmental Change","DOI":"10.1016/j.gloenvcha.2015.08.011","ISSN":"09593780","journalAbbreviation":"Glob. Environ. Change","note":"publisher: Elsevier Ltd","page":"138-147","title":"Drivers for global agricultural land use change: The nexus of diet, population, yield and bioenergy","volume":"35","author":[{"family":"Alexander","given":"Peter"},{"family":"Rounsevell","given":"Mark D.A."},{"family":"Dislich","given":"Claudia"},{"family":"Dodson","given":"Jennifer R."},{"family":"Engström","given":"Kerstin"},{"family":"Moran","given":"Dominic"}],"issued":{"date-parts":[["2015"]]}}},{"id":1402,"uris":["http://zotero.org/users/10985147/items/BNSVFMLE"],"itemData":{"id":1402,"type":"article-journal","abstract":"The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H."}],"issued":{"date-parts":[["2020",10]]}}},{"id":1464,"uris":["http://zotero.org/users/10985147/items/URBIISJP"],"itemData":{"id":1464,"type":"article-journal","abstract":"Abstract\n            Global change drivers of land-use/cover change (LUCC) like population dynamics, economic development, and climate change are increasingly important to local sustainability studies, and can only be properly analyzed at fine-scales that capture local biophysical and socio-economic conditions. When sufficiently widespread, local feedback to stresses originating from global drivers can have regional, national, and even global impacts. A multiscale, global-to-local-to-global (GLG) framework is thus needed for comprehensive analyses of LUCC and leakage. The number of GLG-LUCC studies has grown substantially over the past years, but no reviews of this literature and their contributions have been completed so far. In fact, the largest body of literature pertains to global-to-local impacts exclusively, whereas research on local feedback to regional, national, and global spheres remain scarce, and are almost solely undertaken within large modeling institutes. As such, those are rarely readily accessible for modification and extension by outside contributors. This review of the recent GLG-LUCC studies calls for more open-source modeling and availability of data, arguing that the latter is the real constraint to more widespread analyses of GLG-LUCC impacts. Progress in this field will require contributions from hundreds of researchers around the world and from a wide variety of disciplines.","container-title":"Environmental Research Letters","DOI":"10.1088/1748-9326/ab0d33","ISSN":"1748-9326","issue":"5","journalAbbreviation":"Environ. Res. Lett.","page":"053003","source":"DOI.org (Crossref)","title":"A review of global-local-global linkages in economic land-use/cover change models","volume":"14","author":[{"family":"Hertel","given":"Thomas W"},{"family":"West","given":"Thales A P"},{"family":"Börner","given":"Jan"},{"family":"Villoria","given":"Nelson B"}],"issued":{"date-parts":[["2019",5,1]]}}},{"id":1448,"uris":["http://zotero.org/users/10985147/items/EPZM6GCX"],"itemData":{"id":1448,"type":"article-journal","container-title":"Current Opinion in Environmental Sustainability","DOI":"10.1016/j.cosust.2013.04.003","ISSN":"18773435","issue":"5","journalAbbreviation":"Curr. Opin. Environ. Sustain.","language":"en","license":"https://www.elsevier.com/tdm/userlicense/1.0/","page":"438-444","source":"DOI.org (Crossref)","title":"Globalization of land use: distant drivers of land change and geographic displacement of land use","title-short":"Globalization of land use","volume":"5","author":[{"family":"Meyfroidt","given":"Patrick"},{"family":"Lambin","given":"Eric F"},{"family":"Erb","given":"Karl-Heinz"},{"family":"Hertel","given":"Thomas W"}],"issued":{"date-parts":[["2013",10]]}}}],"schema":"https://github.com/citation-style-language/schema/raw/master/csl-citation.json"} </w:instrText>
      </w:r>
      <w:r w:rsidR="00DA2F92">
        <w:fldChar w:fldCharType="separate"/>
      </w:r>
      <w:r w:rsidR="00550ED7" w:rsidRPr="00550ED7">
        <w:t>(Alexander et al., 2015; Eigenbrod et al., 2020; Hertel et al., 2019; Meyfroidt et al., 2013)</w:t>
      </w:r>
      <w:r w:rsidR="00DA2F92">
        <w:fldChar w:fldCharType="end"/>
      </w:r>
      <w:r>
        <w:t xml:space="preserve">, whereas at local-scales variables such as infrastructure, accessibility, and policies governing the allocation of land become important </w:t>
      </w:r>
      <w:r w:rsidR="00DA2F92">
        <w:fldChar w:fldCharType="begin"/>
      </w:r>
      <w:r w:rsidR="00FC2E85">
        <w:instrText xml:space="preserve"> ADDIN ZOTERO_ITEM CSL_CITATION {"citationID":"DeemZUII","properties":{"formattedCitation":"(Armenteras et al., 2006; Santos et al., 2019; P. H. Verburg et al., 2004)","plainCitation":"(Armenteras et al., 2006; Santos et al., 2019; P. H. Verburg et al., 2004)","noteIndex":0},"citationItems":[{"id":1493,"uris":["http://zotero.org/users/10985147/items/TPW6ZJN3"],"itemData":{"id":1493,"type":"article-journal","container-title":"Ecological Indicators","DOI":"10.1016/j.ecolind.2005.03.014","ISSN":"1470160X","issue":"2","journalAbbreviation":"Ecol. Indic.","language":"en","license":"https://www.elsevier.com/tdm/userlicense/1.0/","page":"353-368","source":"DOI.org (Crossref)","title":"Patterns and causes of deforestation in the Colombian Amazon","volume":"6","author":[{"family":"Armenteras","given":"Dolors"},{"family":"Rudas","given":"Guillermo"},{"family":"Rodriguez","given":"Nelly"},{"family":"Sua","given":"Sonia"},{"family":"Romero","given":"Milton"}],"issued":{"date-parts":[["2006",4]]}}},{"id":1377,"uris":["http://zotero.org/users/10985147/items/WBJ32HV8"],"itemData":{"id":1377,"type":"article-journal","container-title":"PLOS ONE","DOI":"10.1371/journal.pone.0226224","ISSN":"1932-6203","issue":"12","journalAbbreviation":"PLoS ONE","language":"en","page":"e0226224","source":"DOI.org (Crossref)","title":"A geographically weighted random forest approach for evaluate forest change drivers in the Northern Ecuadorian Amazon","volume":"14","author":[{"family":"Santos","given":"Fabián"},{"family":"Graw","given":"Valerie"},{"family":"Bonilla","given":"Santiago"}],"editor":[{"family":"Li","given":"Zhenlong"}],"issued":{"date-parts":[["2019",12,23]]}}},{"id":1423,"uris":["http://zotero.org/users/10985147/items/K5ZAMRK9"],"itemData":{"id":1423,"type":"article-journal","abstract":"Land-use-change patterns are the result of the complex interaction between the human and the physical environment. Case studies of the determinants of land-use change can help to analyse which theory is appropriate in a particular region and stimulate the development of new theoretic understandings. In this paper an empirical method is presented to analyse the pattern of land-use change that allows a wide range of factors, from different disciplines, to contribute to the explanation of land-use change. The method is applied to the Netherlands, based on an extensive database of land-use change and its potential determinants. Historic as well as recent land-use changes are studied. Historic land-use change is related mainly to the variation in the biophysical environment. Levels of explanation are low because of the inability to address the temporal variation in location factors. For the recent changes in land use high levels of explanation are obtained. The most important changes during this period are expansions of residential, industrial/commercial, and recreational areas. The location of these changes can be explained by a combination of accessibility measures, spatial policies, and neighbourhood interactions. On the basis of these results it is possible to define priority topics for in-depth analysis of land-use-change processes and suggest factors, relations, and processes that need to be included in dynamic land-use-change models that support land-use-planning policies.","container-title":"Environment and Planning B: Planning and Design","DOI":"10.1068/b307","ISSN":"0265-8135, 1472-3417","issue":"1","journalAbbreviation":"Environ. Plann. B Plann. Des.","language":"en","license":"http://journals.sagepub.com/page/policies/text-and-data-mining-license","page":"125-150","source":"DOI.org (Crossref)","title":"Determinants of Land-Use Change Patterns in the Netherlands","volume":"31","author":[{"family":"Verburg","given":"Peter H"},{"family":"Eck","given":"Jan R Ritsema","non-dropping-particle":"van"},{"family":"Nijs","given":"Ton C M","non-dropping-particle":"de"},{"family":"Dijst","given":"Martin J"},{"family":"Schot","given":"Paul"}],"issued":{"date-parts":[["2004",2]]}}}],"schema":"https://github.com/citation-style-language/schema/raw/master/csl-citation.json"} </w:instrText>
      </w:r>
      <w:r w:rsidR="00DA2F92">
        <w:fldChar w:fldCharType="separate"/>
      </w:r>
      <w:r w:rsidR="00550ED7" w:rsidRPr="00550ED7">
        <w:t>(Armenteras et al., 2006; Santos et al., 2019; P. H. Verburg et al., 2004)</w:t>
      </w:r>
      <w:r w:rsidR="00DA2F92">
        <w:fldChar w:fldCharType="end"/>
      </w:r>
      <w:r>
        <w:t xml:space="preserve">. Furthermore, different types of LULC change are </w:t>
      </w:r>
      <w:r w:rsidR="005554CE">
        <w:t>driven</w:t>
      </w:r>
      <w:r>
        <w:t xml:space="preserve"> by diverse and sometimes distinct sets of </w:t>
      </w:r>
      <w:r w:rsidR="00D95B09">
        <w:t>factors</w:t>
      </w:r>
      <w:r>
        <w:t xml:space="preserve">. For example, cropland expansion and forest loss both have major environmental effects, such as biodiversity loss </w:t>
      </w:r>
      <w:r w:rsidR="00DA2F92">
        <w:fldChar w:fldCharType="begin"/>
      </w:r>
      <w:r w:rsidR="00FC2E85">
        <w:instrText xml:space="preserve"> ADDIN ZOTERO_ITEM CSL_CITATION {"citationID":"SHoGMPWn","properties":{"formattedCitation":"(Betts et al., 2017; Maxwell et al., 2016)","plainCitation":"(Betts et al., 2017; Maxwell et al., 2016)","noteIndex":0},"citationItems":[{"id":1409,"uris":["http://zotero.org/users/10985147/items/CUTN93YC"],"itemData":{"id":1409,"type":"article-journal","container-title":"Nature","DOI":"10.1038/nature23285","ISSN":"0028-0836, 1476-4687","journalAbbreviation":"Nature","language":"en","page":"441-444","source":"DOI.org (Crossref)","title":"Global forest loss disproportionately erodes biodiversity in intact landscapes","volume":"547","author":[{"family":"Betts","given":"Matthew G."},{"family":"Wolf","given":"Christopher"},{"family":"Ripple","given":"William J."},{"family":"Phalan","given":"Ben"},{"family":"Millers","given":"Kimberley A."},{"family":"Duarte","given":"Adam"},{"family":"Butchart","given":"Stuart H. M."},{"family":"Levi","given":"Taal"}],"issued":{"date-parts":[["2017",7]]}}},{"id":1450,"uris":["http://zotero.org/users/10985147/items/TEC8VQTA"],"itemData":{"id":1450,"type":"article-journal","container-title":"Nature","DOI":"10.1038/536143a","ISSN":"14764687","note":"PMID: 27510207\nCitation Key: Maxwell2016","page":"143-145","title":"Biodiversity: The ravages of guns, nets and bulldozers","volume":"536","author":[{"family":"Maxwell","given":"Sean L."},{"family":"Fuller","given":"Richard A."},{"family":"Brooks","given":"Thomas M."},{"family":"Watson","given":"James E.M."}],"issued":{"date-parts":[["2016"]]}}}],"schema":"https://github.com/citation-style-language/schema/raw/master/csl-citation.json"} </w:instrText>
      </w:r>
      <w:r w:rsidR="00DA2F92">
        <w:fldChar w:fldCharType="separate"/>
      </w:r>
      <w:r w:rsidR="00550ED7" w:rsidRPr="00550ED7">
        <w:t>(Betts et al., 2017; Maxwell et al., 2016)</w:t>
      </w:r>
      <w:r w:rsidR="00DA2F92">
        <w:fldChar w:fldCharType="end"/>
      </w:r>
      <w:r>
        <w:t xml:space="preserve">, and are </w:t>
      </w:r>
      <w:r w:rsidR="005554CE">
        <w:t>driven</w:t>
      </w:r>
      <w:r>
        <w:t xml:space="preserve"> by similar but distinct environmental and socioeconomic </w:t>
      </w:r>
      <w:r w:rsidR="005554CE">
        <w:t>factor</w:t>
      </w:r>
      <w:r>
        <w:t xml:space="preserve">s </w:t>
      </w:r>
      <w:r w:rsidR="00DA2F92">
        <w:fldChar w:fldCharType="begin"/>
      </w:r>
      <w:r w:rsidR="00FC2E85">
        <w:instrText xml:space="preserve"> ADDIN ZOTERO_ITEM CSL_CITATION {"citationID":"Wbecv1ka","properties":{"formattedCitation":"(Curtis et al., 2018; Eigenbrod et al., 2020)","plainCitation":"(Curtis et al., 2018; Eigenbrod et al., 2020)","noteIndex":0},"citationItems":[{"id":1404,"uris":["http://zotero.org/users/10985147/items/QPMQI3VT"],"itemData":{"id":1404,"type":"article-journal","abstract":"Mapping global deforestation patterns\n            \n              Forest loss is being driven by various factors, including commodity production, forestry, agriculture, wildfire, and urbanization. Curtis\n              et al.\n              used high-resolution Google Earth imagery to map and classify global forest loss since 2001. Just over a quarter of global forest loss is due to deforestation through permanent land use change for the production of commodities, including beef, soy, palm oil, and wood fiber. Despite regional differences and efforts by governments, conservationists, and corporations to stem the losses, the overall rate of commodity-driven deforestation has not declined since 2001.\n            \n            \n              Science\n              , this issue p.\n              1108\n            \n          , \n            A high-resolution global map enables a classification of the main drivers of forest loss.\n          , \n            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year.","container-title":"Science","DOI":"10.1126/science.aau3445","ISSN":"0036-8075, 1095-9203","issue":"6407","journalAbbreviation":"Science","language":"en","page":"1108-1111","source":"DOI.org (Crossref)","title":"Classifying drivers of global forest loss","volume":"361","author":[{"family":"Curtis","given":"Philip G."},{"family":"Slay","given":"Christy M."},{"family":"Harris","given":"Nancy L."},{"family":"Tyukavina","given":"Alexandra"},{"family":"Hansen","given":"Matthew C."}],"issued":{"date-parts":[["2018",9,14]]}}},{"id":1402,"uris":["http://zotero.org/users/10985147/items/BNSVFMLE"],"itemData":{"id":1402,"type":"article-journal","abstract":"The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DA2F92">
        <w:fldChar w:fldCharType="separate"/>
      </w:r>
      <w:r w:rsidR="00550ED7" w:rsidRPr="00550ED7">
        <w:t>(Curtis et al., 2018; Eigenbrod et al., 2020)</w:t>
      </w:r>
      <w:r w:rsidR="00DA2F92">
        <w:fldChar w:fldCharType="end"/>
      </w:r>
      <w:r>
        <w:t xml:space="preserve">. Key global drivers of forest loss from 2001 to 2015 included commodity-driven deforestation, large-scale forestry operations, and wildfire </w:t>
      </w:r>
      <w:r w:rsidR="00DA2F92">
        <w:fldChar w:fldCharType="begin"/>
      </w:r>
      <w:r w:rsidR="00FC2E85">
        <w:instrText xml:space="preserve"> ADDIN ZOTERO_ITEM CSL_CITATION {"citationID":"l0Li3bHt","properties":{"formattedCitation":"(Curtis et al., 2018)","plainCitation":"(Curtis et al., 2018)","noteIndex":0},"citationItems":[{"id":1404,"uris":["http://zotero.org/users/10985147/items/QPMQI3VT"],"itemData":{"id":1404,"type":"article-journal","abstract":"Mapping global deforestation patterns\n            \n              Forest loss is being driven by various factors, including commodity production, forestry, agriculture, wildfire, and urbanization. Curtis\n              et al.\n              used high-resolution Google Earth imagery to map and classify global forest loss since 2001. Just over a quarter of global forest loss is due to deforestation through permanent land use change for the production of commodities, including beef, soy, palm oil, and wood fiber. Despite regional differences and efforts by governments, conservationists, and corporations to stem the losses, the overall rate of commodity-driven deforestation has not declined since 2001.\n            \n            \n              Science\n              , this issue p.\n              1108\n            \n          , \n            A high-resolution global map enables a classification of the main drivers of forest loss.\n          , \n            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year.","container-title":"Science","DOI":"10.1126/science.aau3445","ISSN":"0036-8075, 1095-9203","issue":"6407","journalAbbreviation":"Science","language":"en","page":"1108-1111","source":"DOI.org (Crossref)","title":"Classifying drivers of global forest loss","volume":"361","author":[{"family":"Curtis","given":"Philip G."},{"family":"Slay","given":"Christy M."},{"family":"Harris","given":"Nancy L."},{"family":"Tyukavina","given":"Alexandra"},{"family":"Hansen","given":"Matthew C."}],"issued":{"date-parts":[["2018",9,14]]}}}],"schema":"https://github.com/citation-style-language/schema/raw/master/csl-citation.json"} </w:instrText>
      </w:r>
      <w:r w:rsidR="00DA2F92">
        <w:fldChar w:fldCharType="separate"/>
      </w:r>
      <w:r w:rsidR="00550ED7" w:rsidRPr="00550ED7">
        <w:t>(Curtis et al., 2018)</w:t>
      </w:r>
      <w:r w:rsidR="00DA2F92">
        <w:fldChar w:fldCharType="end"/>
      </w:r>
      <w:r>
        <w:t xml:space="preserve">, whereas market access, steepness of terrain, and population density were previously identified as drivers of cropland expansion </w:t>
      </w:r>
      <w:r w:rsidR="00DA2F92">
        <w:fldChar w:fldCharType="begin"/>
      </w:r>
      <w:r w:rsidR="00FC2E85">
        <w:instrText xml:space="preserve"> ADDIN ZOTERO_ITEM CSL_CITATION {"citationID":"QngXP19Y","properties":{"formattedCitation":"(Eigenbrod et al., 2020)","plainCitation":"(Eigenbrod et al., 2020)","noteIndex":0},"citationItems":[{"id":1402,"uris":["http://zotero.org/users/10985147/items/BNSVFMLE"],"itemData":{"id":1402,"type":"article-journal","abstract":"The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DA2F92">
        <w:fldChar w:fldCharType="separate"/>
      </w:r>
      <w:r w:rsidR="00550ED7" w:rsidRPr="00550ED7">
        <w:t>(Eigenbrod et al., 2020)</w:t>
      </w:r>
      <w:r w:rsidR="00DA2F92">
        <w:fldChar w:fldCharType="end"/>
      </w:r>
      <w:r>
        <w:t>. Therefore, spatial datasets of the major drivers</w:t>
      </w:r>
      <w:r w:rsidR="00420BB6">
        <w:t xml:space="preserve"> and spatial dete</w:t>
      </w:r>
      <w:r w:rsidR="00306E00">
        <w:t>rminants</w:t>
      </w:r>
      <w:r>
        <w:t xml:space="preserve"> </w:t>
      </w:r>
      <w:r w:rsidR="002F0EFB">
        <w:t xml:space="preserve">(variables that </w:t>
      </w:r>
      <w:r w:rsidR="005B1E69">
        <w:t xml:space="preserve">support the statistical </w:t>
      </w:r>
      <w:r w:rsidR="00A77107">
        <w:t>explanation of the location</w:t>
      </w:r>
      <w:r w:rsidR="005B1E69">
        <w:t xml:space="preserve"> of</w:t>
      </w:r>
      <w:r w:rsidR="00A77107">
        <w:t xml:space="preserve"> an event; </w:t>
      </w:r>
      <w:r w:rsidR="00E91F9C">
        <w:fldChar w:fldCharType="begin"/>
      </w:r>
      <w:r w:rsidR="005D0DBA">
        <w:instrText xml:space="preserve"> ADDIN ZOTERO_ITEM CSL_CITATION {"citationID":"dXCPy84y","properties":{"formattedCitation":"(Meyfroidt, 2016)","plainCitation":"(Meyfroidt, 2016)","dontUpdate":true,"noteIndex":0},"citationItems":[{"id":2704,"uris":["http://zotero.org/users/10985147/items/5LIC6KI3"],"itemData":{"id":2704,"type":"article-journal","container-title":"Journal of Land Use Science","DOI":"10.1080/1747423X.2015.1117530","ISSN":"1747-423X, 1747-4248","issue":"5","journalAbbreviation":"Journal of Land Use Science","language":"en","page":"501-522","source":"DOI.org (Crossref)","title":"Approaches and terminology for causal analysis in land systems science","volume":"11","author":[{"family":"Meyfroidt","given":"Patrick"}],"issued":{"date-parts":[["2016",9,2]]}}}],"schema":"https://github.com/citation-style-language/schema/raw/master/csl-citation.json"} </w:instrText>
      </w:r>
      <w:r w:rsidR="00E91F9C">
        <w:fldChar w:fldCharType="separate"/>
      </w:r>
      <w:r w:rsidR="00E91F9C" w:rsidRPr="00E91F9C">
        <w:t>Meyfroidt, 2016)</w:t>
      </w:r>
      <w:r w:rsidR="00E91F9C">
        <w:fldChar w:fldCharType="end"/>
      </w:r>
      <w:r w:rsidR="002F0EFB">
        <w:t xml:space="preserve"> </w:t>
      </w:r>
      <w:r>
        <w:t xml:space="preserve">of LULC change </w:t>
      </w:r>
      <w:r w:rsidR="00181327">
        <w:t>that</w:t>
      </w:r>
      <w:r>
        <w:t xml:space="preserve"> show how they vary over time are required to make accurate projections of future LULC change.</w:t>
      </w:r>
    </w:p>
    <w:p w14:paraId="2A6C72C3" w14:textId="43490AD7" w:rsidR="006B3C54" w:rsidRDefault="00A52EE1">
      <w:r>
        <w:t>Datasets of what can be thought of as ‘traditional’ drivers</w:t>
      </w:r>
      <w:r w:rsidR="002F0EFB">
        <w:t xml:space="preserve"> and spatial determinants</w:t>
      </w:r>
      <w:r>
        <w:t xml:space="preserve"> of LULC change, such as population density, gross domestic product (GDP), and temperature, do not capture all the processes that drive LULC change. A study of historic LULC distributions in Belgium found that purely autoregressive models, which used a single variable of neighbourhood composition to predict LULC, performed better or as well at predicting LULC distributions compared to models that included more traditional explanatory variables such as slope, precipitation, and elevation </w:t>
      </w:r>
      <w:r w:rsidR="00DA2F92">
        <w:fldChar w:fldCharType="begin"/>
      </w:r>
      <w:r w:rsidR="00FC2E85">
        <w:instrText xml:space="preserve"> ADDIN ZOTERO_ITEM CSL_CITATION {"citationID":"zBQmhmpF","properties":{"formattedCitation":"(Dendoncker et al., 2007)","plainCitation":"(Dendoncker et al., 2007)","noteIndex":0},"citationItems":[{"id":1567,"uris":["http://zotero.org/users/10985147/items/VKUXLKFL"],"itemData":{"id":1567,"type":"article-journal","abstract":"When statistical analyses of land use drivers are performed, they rarely deal explicitly with spatial autocorrelation. Most studies are undertaken on autocorrelation-free data samples. By doing this, a great deal of information that is present in the dataset is lost. This paper presents a spatially explicit, cross-sectional analysis of land use drivers in Belgium. It is shown that purely regressive logistic models only identify trends or global relationships between socio-economic or physico-climatic drivers and the precise location of each land use type. However, when the goal of a study is to obtain the best statistical model fit of land use distribution, a purely autoregressive model is appropriate. It is shown that this type of model deals appropriately with spatial autocorrelation as measured by the lack of autocorrelation in the deviance residuals of the model. More specifically, three types of autoregressive models are compared: (1) a set of binomial logistic regression models (one for each modelled land use) accounting only for the proportion of the modelled land use within the neighbourhood of a cell; (2) a multinomial autologistic regression that accounts for the composition of a cell's neighbourhood; and (3) a state-of-the-art Bayesian Maximum Entropy (BME) based model that accounts fully for the spatial organization of the land uses within the neighbourhood of a cell. The comparative analysis shows that the BME approach has no advantages over the other methods, for our specific application, but that accounting for the composition of a cell's neighbourhood is essential in obtaining an optimal fit. © 2006 Elsevier Ltd. All rights reserved.","container-title":"Computers, Environment and Urban Systems","DOI":"10.1016/j.compenvurbsys.2006.06.004","ISSN":"01989715","issue":"2","journalAbbreviation":"Comput. Environ. Urban Syst.","page":"188-205","title":"Spatial analysis and modelling of land use distributions in Belgium","volume":"31","author":[{"family":"Dendoncker","given":"Nicolas"},{"family":"Rounsevell","given":"Mark"},{"family":"Bogaert","given":"Patrick"}],"issued":{"date-parts":[["2007"]]}}}],"schema":"https://github.com/citation-style-language/schema/raw/master/csl-citation.json"} </w:instrText>
      </w:r>
      <w:r w:rsidR="00DA2F92">
        <w:fldChar w:fldCharType="separate"/>
      </w:r>
      <w:r w:rsidR="00550ED7" w:rsidRPr="00550ED7">
        <w:t>(Dendoncker et al., 2007)</w:t>
      </w:r>
      <w:r w:rsidR="00DA2F92">
        <w:fldChar w:fldCharType="end"/>
      </w:r>
      <w:r>
        <w:t>. The traditional variables were therefore unable to capture the processes that generated historic LULC distributions in Belgium sufficiently. Similarly, the rapid expansion of cropland in frontier regions was not captured using traditional</w:t>
      </w:r>
      <w:r w:rsidR="00946FB4">
        <w:t xml:space="preserve"> independent</w:t>
      </w:r>
      <w:r>
        <w:t xml:space="preserve"> variables in a global study of cropland expansion from 1992 to 2015 </w:t>
      </w:r>
      <w:r w:rsidR="00DA2F92">
        <w:fldChar w:fldCharType="begin"/>
      </w:r>
      <w:r w:rsidR="00FC2E85">
        <w:instrText xml:space="preserve"> ADDIN ZOTERO_ITEM CSL_CITATION {"citationID":"h1AcXfrE","properties":{"formattedCitation":"(Eigenbrod et al., 2020)","plainCitation":"(Eigenbrod et al., 2020)","noteIndex":0},"citationItems":[{"id":1402,"uris":["http://zotero.org/users/10985147/items/BNSVFMLE"],"itemData":{"id":1402,"type":"article-journal","abstract":"The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DA2F92">
        <w:fldChar w:fldCharType="separate"/>
      </w:r>
      <w:r w:rsidR="00550ED7" w:rsidRPr="00550ED7">
        <w:t>(Eigenbrod et al., 2020)</w:t>
      </w:r>
      <w:r w:rsidR="00DA2F92">
        <w:fldChar w:fldCharType="end"/>
      </w:r>
      <w:r>
        <w:t xml:space="preserve">. Moreover, it can be difficult to collect local-scale socioeconomic data to generate high resolution datasets </w:t>
      </w:r>
      <w:r w:rsidR="00DA2F92">
        <w:fldChar w:fldCharType="begin"/>
      </w:r>
      <w:r w:rsidR="00FC2E85">
        <w:instrText xml:space="preserve"> ADDIN ZOTERO_ITEM CSL_CITATION {"citationID":"kmnoFwoI","properties":{"formattedCitation":"(Hertel et al., 2019)","plainCitation":"(Hertel et al., 2019)","noteIndex":0},"citationItems":[{"id":1464,"uris":["http://zotero.org/users/10985147/items/URBIISJP"],"itemData":{"id":1464,"type":"article-journal","abstract":"Abstract\n            Global change drivers of land-use/cover change (LUCC) like population dynamics, economic development, and climate change are increasingly important to local sustainability studies, and can only be properly analyzed at fine-scales that capture local biophysical and socio-economic conditions. When sufficiently widespread, local feedback to stresses originating from global drivers can have regional, national, and even global impacts. A multiscale, global-to-local-to-global (GLG) framework is thus needed for comprehensive analyses of LUCC and leakage. The number of GLG-LUCC studies has grown substantially over the past years, but no reviews of this literature and their contributions have been completed so far. In fact, the largest body of literature pertains to global-to-local impacts exclusively, whereas research on local feedback to regional, national, and global spheres remain scarce, and are almost solely undertaken within large modeling institutes. As such, those are rarely readily accessible for modification and extension by outside contributors. This review of the recent GLG-LUCC studies calls for more open-source modeling and availability of data, arguing that the latter is the real constraint to more widespread analyses of GLG-LUCC impacts. Progress in this field will require contributions from hundreds of researchers around the world and from a wide variety of disciplines.","container-title":"Environmental Research Letters","DOI":"10.1088/1748-9326/ab0d33","ISSN":"1748-9326","issue":"5","journalAbbreviation":"Environ. Res. Lett.","page":"053003","source":"DOI.org (Crossref)","title":"A review of global-local-global linkages in economic land-use/cover change models","volume":"14","author":[{"family":"Hertel","given":"Thomas W"},{"family":"West","given":"Thales A P"},{"family":"Börner","given":"Jan"},{"family":"Villoria","given":"Nelson B"}],"issued":{"date-parts":[["2019",5,1]]}}}],"schema":"https://github.com/citation-style-language/schema/raw/master/csl-citation.json"} </w:instrText>
      </w:r>
      <w:r w:rsidR="00DA2F92">
        <w:fldChar w:fldCharType="separate"/>
      </w:r>
      <w:r w:rsidR="00550ED7" w:rsidRPr="00550ED7">
        <w:t>(Hertel et al., 2019)</w:t>
      </w:r>
      <w:r w:rsidR="00DA2F92">
        <w:fldChar w:fldCharType="end"/>
      </w:r>
      <w:r>
        <w:t xml:space="preserve">, available </w:t>
      </w:r>
      <w:r>
        <w:lastRenderedPageBreak/>
        <w:t xml:space="preserve">datasets may contain uncertainties </w:t>
      </w:r>
      <w:r w:rsidR="00DA2F92">
        <w:fldChar w:fldCharType="begin"/>
      </w:r>
      <w:r w:rsidR="00FC2E85">
        <w:instrText xml:space="preserve"> ADDIN ZOTERO_ITEM CSL_CITATION {"citationID":"r2pajd9e","properties":{"formattedCitation":"(Leyk et al., 2019)","plainCitation":"(Leyk et al., 2019)","noteIndex":0},"citationItems":[{"id":1454,"uris":["http://zotero.org/users/10985147/items/4RK6L3CW"],"itemData":{"id":1454,"type":"article-journal","abstract":"Abstract. Population data represent an essential component in studies focusing on human–nature interrelationships, disaster risk assessment and environmental health. Several recent efforts have produced global- and continental-extent gridded population data which are becoming increasingly popular among various research communities. However, these data products, which are of very different characteristics and based on different modeling assumptions, have never been systematically reviewed and compared, which may impede their appropriate use. This article fills this gap and presents, compares and discusses a set of large-scale (global and continental) gridded datasets representing population counts or densities. It focuses on data properties, methodological approaches and relative quality aspects that are important to fully understand the characteristics of the data with regard to the intended uses. Written by the data producers and members of the user community, through the lens of the “fitness for use” concept, the aim of this paper is to provide potential data users with the knowledge base needed to make informed decisions about the appropriateness of the data products available in relation to the target application and for critical analysis.","container-title":"Earth System Science Data","DOI":"10.5194/essd-11-1385-2019","ISSN":"1866-3516","issue":"3","journalAbbreviation":"Earth Syst. Sci. Data","language":"en","license":"https://creativecommons.org/licenses/by/4.0/","page":"1385-1409","source":"DOI.org (Crossref)","title":"The spatial allocation of population: a review of large-scale gridded population data products and their fitness for use","title-short":"The spatial allocation of population","volume":"11","author":[{"family":"Leyk","given":"Stefan"},{"family":"Gaughan","given":"Andrea E."},{"family":"Adamo","given":"Susana B."},{"family":"Sherbinin","given":"Alex","non-dropping-particle":"de"},{"family":"Balk","given":"Deborah"},{"family":"Freire","given":"Sergio"},{"family":"Rose","given":"Amy"},{"family":"Stevens","given":"Forrest R."},{"family":"Blankespoor","given":"Brian"},{"family":"Frye","given":"Charlie"},{"family":"Comenetz","given":"Joshua"},{"family":"Sorichetta","given":"Alessandro"},{"family":"MacManus","given":"Kytt"},{"family":"Pistolesi","given":"Linda"},{"family":"Levy","given":"Marc"},{"family":"Tatem","given":"Andrew J."},{"family":"Pesaresi","given":"Martino"}],"issued":{"date-parts":[["2019",9,11]]}}}],"schema":"https://github.com/citation-style-language/schema/raw/master/csl-citation.json"} </w:instrText>
      </w:r>
      <w:r w:rsidR="00DA2F92">
        <w:fldChar w:fldCharType="separate"/>
      </w:r>
      <w:r w:rsidR="00550ED7" w:rsidRPr="00550ED7">
        <w:t>(Leyk et al., 2019)</w:t>
      </w:r>
      <w:r w:rsidR="00DA2F92">
        <w:fldChar w:fldCharType="end"/>
      </w:r>
      <w:r>
        <w:t xml:space="preserve">, and they may not account for linkages between distant geographic regions, known as </w:t>
      </w:r>
      <w:proofErr w:type="spellStart"/>
      <w:r>
        <w:t>telecoupling</w:t>
      </w:r>
      <w:proofErr w:type="spellEnd"/>
      <w:r>
        <w:t xml:space="preserve"> </w:t>
      </w:r>
      <w:r w:rsidR="00DA2F92">
        <w:fldChar w:fldCharType="begin"/>
      </w:r>
      <w:r w:rsidR="00FC2E85">
        <w:instrText xml:space="preserve"> ADDIN ZOTERO_ITEM CSL_CITATION {"citationID":"SAKiqAe0","properties":{"formattedCitation":"(Hull &amp; Liu, 2018)","plainCitation":"(Hull &amp; Liu, 2018)","noteIndex":0},"citationItems":[{"id":1546,"uris":["http://zotero.org/users/10985147/items/35Y484V4"],"itemData":{"id":1546,"type":"article-journal","abstract":"Telecoupling refers to socioeconomic and environmental interactions between distant coupled human and natural systems, and has become more extensive and intensive in the globalized era. The integrated framework of telecoupling examines flows of information, energy, matter, people, organisms, and other things such as financial capital and goods and products around the globe. It pinpoints causes and effects arising from engagement of diverse agents in the global sphere. This first special feature on telecoupling includes 16 articles that explore diverse telecouplings including trade, migration, tourism, information exchange, and transnational product certification schemes. Here we synthesize the articles by describing eight overarching lessons learned. These include the impact of physical, social, and institutional distance on telecouplings, key roles of agents and their inter-relationships, and the important function of telecoupling in enhancing information signals over long distances. Several lessons directly apply to global sustainability challenges, such as the importance of recognizing trade-offs between local and global sustainability and the need for multi-level management and governance solutions. We also suggest five areas of future research to help propel this nascent field forward and further cement its applicability to addressing global sustainability challenges.","container-title":"Ecology and Society","DOI":"10.5751/ES-10494-230441","ISSN":"1708-3087","issue":"4","journalAbbreviation":"Ecol. Soc.","language":"en","page":"41","source":"DOI.org (Crossref)","title":"Telecoupling: A new frontier for global sustainability","title-short":"Telecoupling","volume":"23","author":[{"family":"Hull","given":"Vanessa"},{"family":"Liu","given":"Jianguo"}],"issued":{"date-parts":[["2018"]]}}}],"schema":"https://github.com/citation-style-language/schema/raw/master/csl-citation.json"} </w:instrText>
      </w:r>
      <w:r w:rsidR="00DA2F92">
        <w:fldChar w:fldCharType="separate"/>
      </w:r>
      <w:r w:rsidR="00550ED7" w:rsidRPr="00550ED7">
        <w:t>(Hull &amp; Liu, 2018)</w:t>
      </w:r>
      <w:r w:rsidR="00DA2F92">
        <w:fldChar w:fldCharType="end"/>
      </w:r>
      <w:r>
        <w:t xml:space="preserve">. Our ability to </w:t>
      </w:r>
      <w:r w:rsidR="00AB0529">
        <w:t>model</w:t>
      </w:r>
      <w:r>
        <w:t xml:space="preserve"> future LULC change might therefore be hindered where key drivers</w:t>
      </w:r>
      <w:r w:rsidR="00362EA1">
        <w:t xml:space="preserve"> and determinants</w:t>
      </w:r>
      <w:r>
        <w:t xml:space="preserve"> are missing from input datasets, either through lack of available data or uncertainty in existing datasets.</w:t>
      </w:r>
      <w:r w:rsidR="00C5168D">
        <w:t xml:space="preserve"> While historic LULC change is sometimes used </w:t>
      </w:r>
      <w:r w:rsidR="00DC2CD3">
        <w:t xml:space="preserve">in combination with other variables for predicting future LULC change, such as in hybrid cellular automata-Markov models (e.g. </w:t>
      </w:r>
      <w:r w:rsidR="00DC2CD3">
        <w:fldChar w:fldCharType="begin"/>
      </w:r>
      <w:r w:rsidR="00FC2E85">
        <w:instrText xml:space="preserve"> ADDIN ZOTERO_ITEM CSL_CITATION {"citationID":"X2bfvnLt","properties":{"formattedCitation":"(Asif et al., 2023; Tahir et al., 2025)","plainCitation":"(Asif et al., 2023; Tahir et al., 2025)","dontUpdate":true,"noteIndex":0},"citationItems":[{"id":1263,"uris":["http://zotero.org/users/10985147/items/SPD94LP3"],"itemData":{"id":1263,"type":"article-journal","container-title":"Geocarto International","DOI":"10.1080/10106049.2023.2210532","ISSN":"1010-6049, 1752-0762","issue":"1","journalAbbreviation":"Geocarto International","language":"en","page":"2210532","source":"DOI.org (Crossref)","title":"Modelling of land use and land cover changes and prediction using CA-Markov and Random Forest","volume":"38","author":[{"family":"Asif","given":"Muhammad"},{"family":"Kazmi","given":"Jamil Hasan"},{"family":"Tariq","given":"Aqil"},{"family":"Zhao","given":"Na"},{"family":"Guluzade","given":"Rufat"},{"family":"Soufan","given":"Walid"},{"family":"Almutairi","given":"Khalid F."},{"family":"Sabagh","given":"Ayman El"},{"family":"Aslam","given":"Muhammad"}],"issued":{"date-parts":[["2023",12,31]]}}},{"id":2686,"uris":["http://zotero.org/users/10985147/items/NV2G6LZN"],"itemData":{"id":2686,"type":"article-journal","container-title":"Scientific Reports","DOI":"10.1038/s41598-025-87796-w","ISSN":"2045-2322","issue":"1","journalAbbreviation":"Sci Rep","language":"en","page":"3271","source":"DOI.org (Crossref)","title":"Predicting land use and land cover changes for sustainable land management using CA-Markov modelling and GIS techniques","volume":"15","author":[{"family":"Tahir","given":"Zainab"},{"family":"Haseeb","given":"Muhammad"},{"family":"Mahmood","given":"Syed Amer"},{"family":"Batool","given":"Saira"},{"family":"Abdullah-Al-Wadud","given":"M."},{"family":"Ullah","given":"Sajid"},{"family":"Tariq","given":"Aqil"}],"issued":{"date-parts":[["2025",1,25]]}}}],"schema":"https://github.com/citation-style-language/schema/raw/master/csl-citation.json"} </w:instrText>
      </w:r>
      <w:r w:rsidR="00DC2CD3">
        <w:fldChar w:fldCharType="separate"/>
      </w:r>
      <w:r w:rsidR="00DC2CD3" w:rsidRPr="00DC2CD3">
        <w:t>Asif et al., 2023; Tahir et al., 2025)</w:t>
      </w:r>
      <w:r w:rsidR="00DC2CD3">
        <w:fldChar w:fldCharType="end"/>
      </w:r>
      <w:r w:rsidR="00DC2CD3">
        <w:t xml:space="preserve">, </w:t>
      </w:r>
      <w:r w:rsidR="003D6CD9">
        <w:t xml:space="preserve">temporal changes in the key drivers of LULC change </w:t>
      </w:r>
      <w:r w:rsidR="00071B11">
        <w:fldChar w:fldCharType="begin"/>
      </w:r>
      <w:r w:rsidR="007F55AF">
        <w:instrText xml:space="preserve"> ADDIN ZOTERO_ITEM CSL_CITATION {"citationID":"e4DFjgE4","properties":{"formattedCitation":"(Alexander et al., 2015; Eigenbrod et al., 2020)","plainCitation":"(Alexander et al., 2015; Eigenbrod et al., 2020)","noteIndex":0},"citationItems":[{"id":983,"uris":["http://zotero.org/users/10985147/items/2MCXII4U"],"itemData":{"id":983,"type":"article-journal","abstract":"The nexus of population growth and changing diets has increased the demands placed on agriculture to supply food for human consumption, animal feed and fuel. Rising incomes lead to dietary changes, from staple crops, towards commodities with greater land requirements, e.g. meat and dairy products. Despite yield improvements partially offsetting increases in demand, agricultural land has still been expanding, causing potential harm to ecosystems, e.g. through deforestation. We use country-level panel data (1961-2011) to allocate the land areas used to produce food for human consumption, waste and biofuels, and to attribute the food production area changes to diet, population and yields drivers. The results show that the production of animal products dominates agricultural land use and land use change over the 50-year period, accounting for 65% of land use change. The rate of extensification of animal production was found to have reduced more recently, principally due to the smaller effect of population growth. The area used for bioenergy was shown to be relatively small, but formed a substantial contribution (36%) to net agricultural expansion in the most recent period. Nevertheless, in comparison to dietary shifts in animal products, bioenergy accounted for less than a tenth of the increase in demand for agricultural land. Population expansion has been the largest driver for agricultural land use change, but dietary changes are a significant and growing driver. China was a notable exception, where dietary transitions dominate food consumption changes, due to rapidly rising incomes. This suggests that future dietary changes will become the principal driver for land use change, pointing to the potential need for demand-side measures to regulate agricultural expansion.","container-title":"Global Environmental Change","DOI":"10.1016/j.gloenvcha.2015.08.011","ISSN":"09593780","journalAbbreviation":"Glob. Environ. Change","note":"publisher: Elsevier Ltd","page":"138-147","title":"Drivers for global agricultural land use change: The nexus of diet, population, yield and bioenergy","volume":"35","author":[{"family":"Alexander","given":"Peter"},{"family":"Rounsevell","given":"Mark D.A."},{"family":"Dislich","given":"Claudia"},{"family":"Dodson","given":"Jennifer R."},{"family":"Engström","given":"Kerstin"},{"family":"Moran","given":"Dominic"}],"issued":{"date-parts":[["2015"]]}}},{"id":1402,"uris":["http://zotero.org/users/10985147/items/BNSVFMLE"],"itemData":{"id":1402,"type":"article-journal","abstract":"The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071B11">
        <w:fldChar w:fldCharType="separate"/>
      </w:r>
      <w:r w:rsidR="007F55AF" w:rsidRPr="007F55AF">
        <w:t>(Alexander et al., 2015; Eigenbrod et al., 2020)</w:t>
      </w:r>
      <w:r w:rsidR="00071B11">
        <w:fldChar w:fldCharType="end"/>
      </w:r>
      <w:r w:rsidR="00071B11">
        <w:t xml:space="preserve"> </w:t>
      </w:r>
      <w:r w:rsidR="003D6CD9">
        <w:t xml:space="preserve">suggest that </w:t>
      </w:r>
      <w:r w:rsidR="00023E12">
        <w:t xml:space="preserve">the use of historic LULC change </w:t>
      </w:r>
      <w:r w:rsidR="00F467B3">
        <w:t xml:space="preserve">alone </w:t>
      </w:r>
      <w:r w:rsidR="00071B11">
        <w:t>as a</w:t>
      </w:r>
      <w:r w:rsidR="00F467B3">
        <w:t>n independent</w:t>
      </w:r>
      <w:r w:rsidR="00071B11">
        <w:t xml:space="preserve"> variable </w:t>
      </w:r>
      <w:r w:rsidR="00023E12">
        <w:t xml:space="preserve">will be </w:t>
      </w:r>
      <w:r w:rsidR="00F66D6D">
        <w:t>in</w:t>
      </w:r>
      <w:r w:rsidR="00071B11">
        <w:t>sufficient</w:t>
      </w:r>
      <w:r w:rsidR="00F66D6D">
        <w:t xml:space="preserve"> for projecting future LULC change.</w:t>
      </w:r>
    </w:p>
    <w:p w14:paraId="2A6C72C4" w14:textId="538C66E3" w:rsidR="006B3C54" w:rsidRDefault="00A52EE1">
      <w:r>
        <w:t xml:space="preserve">Landscape patterns are a possible novel data source for land use modelling. Landscape metrics are used to quantify landscape pattern, where pattern is the spatial composition and configuration of a landscape </w:t>
      </w:r>
      <w:r>
        <w:fldChar w:fldCharType="begin"/>
      </w:r>
      <w:r w:rsidR="00FC2E85">
        <w:instrText xml:space="preserve"> ADDIN ZOTERO_ITEM CSL_CITATION {"citationID":"Wcx9WAAs","properties":{"formattedCitation":"(Gustafson, 1998, 2019)","plainCitation":"(Gustafson, 1998, 2019)","noteIndex":0},"citationItems":[{"id":1469,"uris":["http://zotero.org/users/10985147/items/KQ4BJDYK"],"itemData":{"id":1469,"type":"article-journal","container-title":"Ecosystems","DOI":"https://doi.org/10.1007/s100219900011","journalAbbreviation":"Ecosyst.","language":"en","page":"143-156","source":"Zotero","title":"Quantifying Landscape Spatial Pattern: What Is the State of the Art?","volume":"1","author":[{"family":"Gustafson","given":"Eric J"}],"issued":{"date-parts":[["1998"]]}}},{"id":1470,"uris":["http://zotero.org/users/10985147/items/FFJNRUHS"],"itemData":{"id":1470,"type":"article-journal","abstract":"Context Landscape ecology was founded on the idea that there is a reciprocal relationship between spatial pattern and ecological processes. I provide a retrospective look at how the state-of-the-art of landscape pattern analysis has changed since 1998.","container-title":"Landscape Ecology","DOI":"10.1007/s10980-018-0709-x","ISSN":"0921-2973, 1572-9761","journalAbbreviation":"Landsc. Ecol.","language":"en","page":"2065-2072","source":"DOI.org (Crossref)","title":"How has the state-of-the-art for quantification of landscape pattern advanced in the twenty-first century?","volume":"34","author":[{"family":"Gustafson","given":"Eric J."}],"issued":{"date-parts":[["2019",9]]}}}],"schema":"https://github.com/citation-style-language/schema/raw/master/csl-citation.json"} </w:instrText>
      </w:r>
      <w:r>
        <w:fldChar w:fldCharType="separate"/>
      </w:r>
      <w:r w:rsidR="00550ED7">
        <w:t>(Gustafson, 1998, 2019)</w:t>
      </w:r>
      <w:r>
        <w:fldChar w:fldCharType="end"/>
      </w:r>
      <w:r>
        <w:t xml:space="preserve">. A landscape is a geographic area characterised by its natural and human elements at a scale of hectares to multiple square kilometres </w:t>
      </w:r>
      <w:r>
        <w:fldChar w:fldCharType="begin"/>
      </w:r>
      <w:r w:rsidR="00FC2E85">
        <w:instrText xml:space="preserve"> ADDIN ZOTERO_ITEM CSL_CITATION {"citationID":"tzeD7sRW","properties":{"formattedCitation":"(Simensen et al., 2018; Turner, 1989)","plainCitation":"(Simensen et al., 2018; Turner, 1989)","noteIndex":0},"citationItems":[{"id":1429,"uris":["http://zotero.org/users/10985147/items/PMVAUAX8"],"itemData":{"id":1429,"type":"article-journal","container-title":"Annual Review of Ecology, Evolution, and Systematics","DOI":"https://doi.org/10.1146/annurev.es.20.110189.001131","journalAbbreviation":"Annu. Rev. Ecol. Evol. Syst.","language":"en","page":"171-97","source":"Zotero","title":"Landscape Ecology: The Effect of Pattern on Process","volume":"20","author":[{"family":"Turner","given":"Monica Goigel"}],"issued":{"date-parts":[["1989"]]}}},{"id":1432,"uris":["http://zotero.org/users/10985147/items/GBYMF4KN"],"itemData":{"id":1432,"type":"article-journal","abstract":"Due to the multidisciplinary nature of landscape research, many diﬀerent systems and methods for landscape identiﬁcation and classiﬁcation exist. This paper provides a systematic review of 54 contemporary landscape characterisation approaches from all over the world, with the aim of identifying major methodological strategies. Multivariate statistical analyses revealed segregation of the approaches according to the landscape concept applied, the degree of observer independence and various other factors involved in the landscape characterisation process. Our review conﬁrmed a major distinction between approaches rooted in the natural sciences and approaches rooted in the arts and the humanities. Three substantially diﬀerent methodological approaches or strategies were identiﬁed: 1) ‘holistic’ landscape character assessment approaches, by which visual perception and socio-cultural aspects of the landscape are emphasised; 2) landscape characterisation methods based on a priori selection of geo-ecological and land-use-related properties of the landscape; and 3) biophysical landscape characterisation approaches which rely strongly on statistical analyses in order to identify gradients of variation in the presence and/or abundance of landscape elements and properties. Assessment of landform and the composition of natural and human landscape elements was a central part of all of the reviewed methods. A trend towards increasing observer-independence over time was identiﬁed.","container-title":"Land Use Policy","DOI":"10.1016/j.landusepol.2018.04.022","ISSN":"02648377","journalAbbreviation":"Land Use Policy","language":"en","page":"557-569","source":"DOI.org (Crossref)","title":"Methods for landscape characterisation and mapping: A systematic review","title-short":"Methods for landscape characterisation and mapping","volume":"75","author":[{"family":"Simensen","given":"Trond"},{"family":"Halvorsen","given":"Rune"},{"family":"Erikstad","given":"Lars"}],"issued":{"date-parts":[["2018",6]]}}}],"schema":"https://github.com/citation-style-language/schema/raw/master/csl-citation.json"} </w:instrText>
      </w:r>
      <w:r>
        <w:fldChar w:fldCharType="separate"/>
      </w:r>
      <w:r w:rsidR="00550ED7">
        <w:t>(Simensen et al., 2018; Turner, 1989)</w:t>
      </w:r>
      <w:r>
        <w:fldChar w:fldCharType="end"/>
      </w:r>
      <w:r>
        <w:t xml:space="preserve">. Landscape patterns are driven by complex interactions between environmental and anthropogenic factors, such as climate, soil properties, species interactions, human land use, and landscape history </w:t>
      </w:r>
      <w:r>
        <w:fldChar w:fldCharType="begin"/>
      </w:r>
      <w:r w:rsidR="00FC2E85">
        <w:instrText xml:space="preserve"> ADDIN ZOTERO_ITEM CSL_CITATION {"citationID":"W5Me05FR","properties":{"formattedCitation":"(Turner &amp; Gardner, 2015; Zhu et al., 2021)","plainCitation":"(Turner &amp; Gardner, 2015; Zhu et al., 2021)","noteIndex":0},"citationItems":[{"id":1428,"uris":["http://zotero.org/users/10985147/items/MPWKM8PT"],"itemData":{"id":1428,"type":"chapter","container-title":"Landscape Ecology in Theory and Practice","event-place":"New York, NY","ISBN":"978-1-4939-2793-7","language":"en","note":"DOI: 10.1007/978-1-4939-2794-4_2","page":"33-62","publisher":"Springer","publisher-place":"New York, NY","source":"DOI.org (Crossref)","title":"Causes of Landscape Pattern","URL":"http://link.springer.com/10.1007/978-1-4939-2794-4_2","container-author":[{"family":"Turner","given":"Monica G."},{"family":"Gardner","given":"Robert H."}],"author":[{"family":"Turner","given":"Monica G."},{"family":"Gardner","given":"Robert H."}],"accessed":{"date-parts":[["2024",4,23]]},"issued":{"date-parts":[["2015"]]}}},{"id":1413,"uris":["http://zotero.org/users/10985147/items/S7MMQJ4M"],"itemData":{"id":1413,"type":"article-journal","abstract":"Analyzing the spatiotemporal characteristics and causes of landscape pattern changes in watersheds around big cities is essential for understanding the ecological consequence of urbanization and provides a basic reference for the watershed management. This study used a land-use transition matrix and landscape indices to explore the spatiotemporal change of land use and landscape pattern over Liuxihe River basin of Guangzhou in the southeast of China from 1980 to 2015 with multitemporal Landsat satellite data in response to the rapid urbanization process. Primary temporal and spatial influencing factors were first quantitatively identified through grey relation analysis (calculating correlation degree between land use changes and influencing factors) and Geodetector (detecting landscape spatial heterogeneity and its driving factors), respectively. Considerable spatial and temporal differences in land use and landscape pattern changes were observed herein, thus determining the influencing factors of these differences in the Liuxihe River basin. These changes were characterized by a large increase in construction land converted from cropland, particularly in the middle and lower reaches of the basin from 2000 to 2010, causing dramatic fragmentation and homogenization of the landscape pattern there. Meanwhile, the landscape pattern gradually transitioned from an agricultural land use dominant landscape to a construction land use dominant landscape in these regions. Furthermore, the rapid growth of a nonagricultural population and the transformation of industry primarily caused the temporal changes of landscape pattern, and the landscape spatial heterogeneity was mainly caused by the interaction of complicated geomorphology and anthropogenic activities in different spatial locations, particularly after 2000. This study not only provides an improved approach to quantifying the main spatiotemporal influencing factors of landscape pattern changes during different time periods, but also offers a reference for decision-makers to formulate optimal strategies on ecological protection and urban sustainable development of different regions in this study area.","container-title":"Remote Sensing","DOI":"10.3390/rs13061168","ISSN":"2072-4292","issue":"6","journalAbbreviation":"Remote Sens.","language":"en","license":"https://creativecommons.org/licenses/by/4.0/","page":"1168","source":"DOI.org (Crossref)","title":"Analysis of the Spatiotemporal Changes in Watershed Landscape Pattern and Its Influencing Factors in Rapidly Urbanizing Areas Using Satellite Data","volume":"13","author":[{"family":"Zhu","given":"Zhenjie"},{"family":"Liu","given":"Bingjun"},{"family":"Wang","given":"Hailong"},{"family":"Hu","given":"Maochuan"}],"issued":{"date-parts":[["2021",3,18]]}}}],"schema":"https://github.com/citation-style-language/schema/raw/master/csl-citation.json"} </w:instrText>
      </w:r>
      <w:r>
        <w:fldChar w:fldCharType="separate"/>
      </w:r>
      <w:r w:rsidR="00550ED7">
        <w:t>(Turner &amp; Gardner, 2015; Zhu et al., 2021)</w:t>
      </w:r>
      <w:r>
        <w:fldChar w:fldCharType="end"/>
      </w:r>
      <w:r>
        <w:t xml:space="preserve">, and these drivers vary across scales </w:t>
      </w:r>
      <w:r>
        <w:fldChar w:fldCharType="begin"/>
      </w:r>
      <w:r w:rsidR="00FC2E85">
        <w:instrText xml:space="preserve"> ADDIN ZOTERO_ITEM CSL_CITATION {"citationID":"iJ3c4Vwr","properties":{"formattedCitation":"(Black et al., 2003; Cattarino et al., 2014)","plainCitation":"(Black et al., 2003; Cattarino et al., 2014)","noteIndex":0},"citationItems":[{"id":1491,"uris":["http://zotero.org/users/10985147/items/RK5BR8H6"],"itemData":{"id":1491,"type":"article-journal","abstract":"Understanding multi-scale interactions among human activities and biophysical factors in ecosystem dynamics is a critical step toward managing for long-term ecological integrity. Studying variation and change over multiple spatial and temporal scales (100-100 000 ha and 1-500 yr) allows one to tease apart the relative roles of these factors. Using meso-scale data predominantly from the recent Interior Columbia River Basin Ecosystem Management Project (ICBEMP), we assessed the role of several economic, demographic, cultural, climatic, topographic, and geologic factors in forest spatial pattern changes (from the 1930s to the 1990s) across 800 000 km2 of the interior Northwest, USA. Our 228 forested subwatersheds (- 10 000 ha) lie in 76 counties in six states. We identified key correlates of change, their hierarchical scale, and the scale of vegetation classification at which these correlates explained most change. We used general linear models and partial multiple regression analysis, supplemented by logistic and correlation analysis. Models explained 40-93% of total variation. Changes were not necessarily correlated to factors of the same scale. Broad-scale social systems encompassing land ownership systems, economic market structures, and cultural value systems appear in all significant models regardless of the response scale. Biophysical parameters describing growing site conditions moderated or exacerbated changes.","container-title":"Ecological Applications","DOI":"10.1890/1051-0761(2003)013[0051:SABCOC]2.0.CO;2","ISSN":"1051-0761","issue":"1","journalAbbreviation":"Ecol. Appl.","language":"en","license":"http://doi.wiley.com/10.1002/tdm_license_1","page":"51-67","source":"DOI.org (Crossref)","title":"Social and biophysical correlates of change in forest landscapes of the Interior Columbia Basin, USA","volume":"13","author":[{"family":"Black","given":"Anne E."},{"family":"Morgan","given":"Penelope"},{"family":"Hessburg","given":"Paul F."}],"issued":{"date-parts":[["2003",2]]}}},{"id":1485,"uris":["http://zotero.org/users/10985147/items/NLR45M37"],"itemData":{"id":1485,"type":"article-journal","abstract":"Abstract\n            \n              Aim\n              \n                Improving our understanding of the drivers of forest fragmentation is fundamental to mitigating the consequences of anthropogenic fragmentation for biodiversity. Moreover, the impacts of fragmentation on biodiversity depend on the spatial scale at which fragmentation occurs. Therefore, understanding how the effect of land use on fragmentation patterns varies across scales is critical to ensure that fragmentation is managed at scales relevant to the ecology of target species or to land management. Here, we quantified the influence of land use on patterns of forest fragmentation at different scales using\n                Q\n                ueensland,\n                A\n                ustralia, as a case study.\n              \n            \n            \n              Location\n              \n                North</w:instrText>
      </w:r>
      <w:r w:rsidR="00FC2E85">
        <w:rPr>
          <w:rFonts w:ascii="Cambria Math" w:hAnsi="Cambria Math" w:cs="Cambria Math"/>
        </w:rPr>
        <w:instrText>‐</w:instrText>
      </w:r>
      <w:r w:rsidR="00FC2E85">
        <w:instrText>eastern\n                A\n                ustralia.\n              \n            \n            \n              Methods\n              \n                We combined fractal analysis with piecewise linear regression to measure patterns of forest fragmentation across a range of scales in 5309 landscapes of\n                c\n                . 50 km\n                2\n                , with different proportions of land used for cropping and grazing. A significant change in fragmentation patterns occurred at approximately 1 km\n                2\n                . We used beta regression to quantify the impact of land use on the degree of fragmentation at scales finer and coarser than 1 km\n                2\n                .\n              \n            \n            \n              Results\n              The use of land for grazing tended to create more fragmented forest patterns than use of land for cropping. This difference was more pronounced at coarser than finer scales.\n            \n            \n              Main conclusions\n              Our finding suggests that the choice of land use where conservation actions, such as revegetation and retention of forest patches, are to be prioritized depends on the scale at which we measure fragmentation. This information contributes to reducing the risk of mismatches between the scale at which fragmentation is managed and the scale at which fragmentation is measured, which is often dictated by the scale of species movements or the scale of land management. Our finding also improves our capacity to discern between fragmentation patterns that are typical of land</w:instrText>
      </w:r>
      <w:r w:rsidR="00FC2E85">
        <w:rPr>
          <w:rFonts w:ascii="Cambria Math" w:hAnsi="Cambria Math" w:cs="Cambria Math"/>
        </w:rPr>
        <w:instrText>‐</w:instrText>
      </w:r>
      <w:r w:rsidR="00FC2E85">
        <w:instrText>sharing and land</w:instrText>
      </w:r>
      <w:r w:rsidR="00FC2E85">
        <w:rPr>
          <w:rFonts w:ascii="Cambria Math" w:hAnsi="Cambria Math" w:cs="Cambria Math"/>
        </w:rPr>
        <w:instrText>‐</w:instrText>
      </w:r>
      <w:r w:rsidR="00FC2E85">
        <w:instrText>sparing conservation strategies, as spatial scale varies, thus aiding the implementation of land sparing and land sharing at scales relevant to biodiversity conservation and land management.","container-title":"Global Ecology and Biogeography","DOI":"10.1111/geb.12187","ISSN":"1466-822X, 1466-8238","issue":"11","journalAbbreviation":"Glob. Ecol. Biogeogr.","language":"en","license":"http://onlinelibrary.wiley.com/termsAndConditions#vor","page":"1215-1224","source":"DOI.org (Crossref)","title":"Land</w:instrText>
      </w:r>
      <w:r w:rsidR="00FC2E85">
        <w:rPr>
          <w:rFonts w:ascii="Cambria Math" w:hAnsi="Cambria Math" w:cs="Cambria Math"/>
        </w:rPr>
        <w:instrText>‐</w:instrText>
      </w:r>
      <w:r w:rsidR="00FC2E85">
        <w:instrText xml:space="preserve">use drivers of forest fragmentation vary with spatial scale","volume":"23","author":[{"family":"Cattarino","given":"Lorenzo"},{"family":"McAlpine","given":"Clive A."},{"family":"Rhodes","given":"Jonathan R."}],"issued":{"date-parts":[["2014",11]]}}}],"schema":"https://github.com/citation-style-language/schema/raw/master/csl-citation.json"} </w:instrText>
      </w:r>
      <w:r>
        <w:fldChar w:fldCharType="separate"/>
      </w:r>
      <w:r w:rsidR="00550ED7">
        <w:t>(Black et al., 2003; Cattarino et al., 2014)</w:t>
      </w:r>
      <w:r>
        <w:fldChar w:fldCharType="end"/>
      </w:r>
      <w:r>
        <w:t xml:space="preserve">. Therefore, landscape patterns combine a wealth of information that represent key LULC drivers </w:t>
      </w:r>
      <w:r w:rsidR="00AB7E23">
        <w:t xml:space="preserve">and spatial determinants, </w:t>
      </w:r>
      <w:r>
        <w:t>and are likely relevant for land use modelling.</w:t>
      </w:r>
      <w:r w:rsidR="007144C7">
        <w:t xml:space="preserve"> P</w:t>
      </w:r>
      <w:r>
        <w:t xml:space="preserve">revious work has established the utility of landscape metrics for calibrating and validating land use models </w:t>
      </w:r>
      <w:r>
        <w:fldChar w:fldCharType="begin"/>
      </w:r>
      <w:r w:rsidR="00FC2E85">
        <w:instrText xml:space="preserve"> ADDIN ZOTERO_ITEM CSL_CITATION {"citationID":"ltF8Evyl","properties":{"formattedCitation":"(Dezhkam et al., 2017; Lin et al., 2020; Sakieh &amp; Salmanmahiny, 2016)","plainCitation":"(Dezhkam et al., 2017; Lin et al., 2020; Sakieh &amp; Salmanmahiny, 2016)","noteIndex":0},"citationItems":[{"id":1566,"uris":["http://zotero.org/users/10985147/items/3CEYG8FV"],"itemData":{"id":1566,"type":"article-journal","abstract":"This study proposes a landscape metrics-based method for model performance evaluation of land change simulation models. To quantify model performance at both landscape and class levels, a set of compositionand configuration-based metrics including number of patches, class area, landscape shape index, mean patch area and mean Euclidean nearest neighbour distance were employed. These landscape metrics provided detailed information on simulation success of a cellular automata-Markov chain (CA-Markov) model standpoint of spatial arrangement of the simulated map versus the corresponding reference layer. As a measure of model simulation success, mean relative error (MRE) of the metrics was calculated. At both landscape and class levels, the MRE values were accounted for 22.73 and 10.2%, respectively, which are further categorised into qualitative measurements of model simulation performance for simple and quick comparison of the results. Findings of the present study depict a hierarchical and multi spatial level assessment of model performance.","container-title":"Geocarto International","DOI":"10.1080/10106049.2016.1167967","ISSN":"1010-6049, 1752-0762","issue":"6","journalAbbreviation":"Geocarto Int.","language":"en","page":"1-23","source":"DOI.org (Crossref)","title":"Performance evaluation of land change simulation models using landscape metrics","volume":"32","author":[{"family":"Dezhkam","given":"Sadeq"},{"family":"Jabbarian Amiri","given":"Bahman"},{"family":"Darvishsefat Asghar","given":"Ali"},{"family":"Sakieh","given":"Yousef"}],"issued":{"date-parts":[["2017"]]}}},{"id":1539,"uris":["http://zotero.org/users/10985147/items/PB2VDGEX"],"itemData":{"id":1539,"type":"article-journal","abstract":"Various methods have been developed for the calibration of cellular automata (CA), which can produce a plausible cell-by-cell fit between modeling results and observed land-use data. However, traditional cell-based CA models still fail to characterize the aggregate landscape patterns of multiple land-use changes. To address this problem, we introduced a landscape-driven multiple CA model that can consider landscape patterns during the calibration procedure. Genetic algorithm was used to search for the optimal calibration parameters. We further investigated the performance of five important landscape metrics in calibration. Comparisons with two well-accepted cell-based CAs indicated that the modeling results of the proposed method are closer to the observed land-use data. Furthermore, we found that patch cohesion and edge density are appropriate landscape objectives for CA calibration in this study. More importantly, our method can effectively evaluate the perfor­ mance of different landscape metrics, which could provide useful information for land-use planning.","container-title":"Environmental Modelling &amp; Software","DOI":"10.1016/j.envsoft.2020.104719","ISSN":"13648152","journalAbbreviation":"Environ. Model. Softw.","language":"en","page":"104719","source":"DOI.org (Crossref)","title":"What is the influence of landscape metric selection on the calibration of land-use/cover simulation models?","volume":"129","author":[{"family":"Lin","given":"Jinyao"},{"family":"Li","given":"Xia"},{"family":"Li","given":"Shaoying"},{"family":"Wen","given":"Youyue"}],"issued":{"date-parts":[["2020",7]]}}},{"id":1378,"uris":["http://zotero.org/users/10985147/items/WH6QSDRE"],"itemData":{"id":1378,"type":"article-journal","container-title":"Environmental Monitoring and Assessment","DOI":"10.1007/s10661-016-5179-5","ISSN":"0167-6369, 1573-2959","journalAbbreviation":"Environ. Monit. Assess.","language":"en","page":"169","source":"DOI.org (Crossref)","title":"Performance assessment of geospatial simulation models of land-use change—a landscape metric-based approach","volume":"188","author":[{"family":"Sakieh","given":"Yousef"},{"family":"Salmanmahiny","given":"Abdolrassoul"}],"issued":{"date-parts":[["2016",3]]}}}],"schema":"https://github.com/citation-style-language/schema/raw/master/csl-citation.json"} </w:instrText>
      </w:r>
      <w:r>
        <w:fldChar w:fldCharType="separate"/>
      </w:r>
      <w:r w:rsidR="002B4CC1">
        <w:t>(Dezhkam et al., 2017; Lin et al., 2020; Sakieh &amp; Salmanmahiny, 2016)</w:t>
      </w:r>
      <w:r>
        <w:fldChar w:fldCharType="end"/>
      </w:r>
      <w:r>
        <w:t xml:space="preserve">, and for modelling LULC change at local scales </w:t>
      </w:r>
      <w:r>
        <w:fldChar w:fldCharType="begin"/>
      </w:r>
      <w:r w:rsidR="00FC2E85">
        <w:instrText xml:space="preserve"> ADDIN ZOTERO_ITEM CSL_CITATION {"citationID":"ZyYQBi46","properties":{"formattedCitation":"(Yang et al., 2014, 2016)","plainCitation":"(Yang et al., 2014, 2016)","noteIndex":0},"citationItems":[{"id":1362,"uris":["http://zotero.org/users/10985147/items/DLJ32S23"],"itemData":{"id":1362,"type":"article-journal","container-title":"Frontiers of Earth Science","DOI":"10.1007/s11707-015-0522-7","ISSN":"2095-0195, 2095-0209","journalAbbreviation":"Front. Earth Sci.","language":"en","page":"245-252","source":"DOI.org (Crossref)","title":"Simulating land use change by integrating landscape metrics into ANN-CA in a new way","volume":"10","author":[{"family":"Yang","given":"Xin"},{"family":"Zhao","given":"Yu"},{"family":"Chen","given":"Rui"},{"family":"Zheng","given":"Xinqi"}],"issued":{"date-parts":[["2016",6]]}}},{"id":1361,"uris":["http://zotero.org/users/10985147/items/EQFWRL45"],"itemData":{"id":1361,"type":"article-journal","container-title":"Ecological Modelling","DOI":"10.1016/j.ecolmodel.2014.03.011","ISSN":"03043800","journalAbbreviation":"Ecol. Model.","language":"en","page":"1-7","source":"DOI.org (Crossref)","title":"A land use change model: Integrating landscape pattern indexes and Markov-CA","title-short":"A land use change model","volume":"283","author":[{"family":"Yang","given":"Xin"},{"family":"Zheng","given":"Xin-Qi"},{"family":"Chen","given":"Rui"}],"issued":{"date-parts":[["2014",7]]}}}],"schema":"https://github.com/citation-style-language/schema/raw/master/csl-citation.json"} </w:instrText>
      </w:r>
      <w:r>
        <w:fldChar w:fldCharType="separate"/>
      </w:r>
      <w:r w:rsidR="00550ED7">
        <w:t>(Yang et al., 2014, 2016)</w:t>
      </w:r>
      <w:r>
        <w:fldChar w:fldCharType="end"/>
      </w:r>
      <w:r w:rsidR="007144C7">
        <w:t xml:space="preserve">. There are </w:t>
      </w:r>
      <w:r w:rsidR="008C73FC">
        <w:t xml:space="preserve">also </w:t>
      </w:r>
      <w:r w:rsidR="007144C7">
        <w:t>multiple stud</w:t>
      </w:r>
      <w:r w:rsidR="00A41CD3">
        <w:t xml:space="preserve">ies that have calculated landscape metrics, in particular fragmentation metrics, at global-scale for different LULC classes, time points, and spatial resolutions (e.g. </w:t>
      </w:r>
      <w:r>
        <w:fldChar w:fldCharType="begin"/>
      </w:r>
      <w:r w:rsidR="00DA099B">
        <w:instrText xml:space="preserve"> ADDIN ZOTERO_ITEM CSL_CITATION {"citationID":"w2JZz1Df","properties":{"formattedCitation":"(Haddad et al., 2015; Jacobson et al., 2019; Ma et al., 2023; Nowosad et al., 2019; Nowosad &amp; Stepinski, 2018; Riitters et al., 2000; Romanillos et al., 2024; Woodman et al., 2025a)","plainCitation":"(Haddad et al., 2015; Jacobson et al., 2019; Ma et al., 2023; Nowosad et al., 2019; Nowosad &amp; Stepinski, 2018; Riitters et al., 2000; Romanillos et al., 2024; Woodman et al., 2025a)","noteIndex":0},"citationItems":[{"id":1467,"uris":["http://zotero.org/users/10985147/items/THAWMM9Z"],"itemData":{"id":1467,"type":"article-journal","abstract":"Urgent need for conservation and restoration measures to improve landscape connectivity.\n          , \n            We conducted an analysis of global forest cover to reveal that 70% of remaining forest is within 1 km of the forest’s edge, subject to the degrading effects of fragmentation. A synthesis of fragmentation experiments spanning multiple biomes and scales, five continents, and 35 years demonstrates that habitat fragmentation reduces biodiversity by 13 to 75% and impairs key ecosystem functions by decreasing biomass and altering nutrient cycles. Effects are greatest in the smallest and most isolated fragments, and they magnify with the passage of time. These findings indicate an urgent need for conservation and restoration measures to improve landscape connectivity, which will reduce extinction rates and help maintain ecosystem services.","container-title":"Science Advances","DOI":"10.1126/sciadv.1500052","ISSN":"2375-2548","issue":"2","journalAbbreviation":"Sci. Adv.","language":"en","page":"e1500052","source":"DOI.org (Crossref)","title":"Habitat fragmentation and its lasting impact on Earth’s ecosystems","volume":"1","author":[{"family":"Haddad","given":"Nick M."},{"family":"Brudvig","given":"Lars A."},{"family":"Clobert","given":"Jean"},{"family":"Davies","given":"Kendi F."},{"family":"Gonzalez","given":"Andrew"},{"family":"Holt","given":"Robert D."},{"family":"Lovejoy","given":"Thomas E."},{"family":"Sexton","given":"Joseph O."},{"family":"Austin","given":"Mike P."},{"family":"Collins","given":"Cathy D."},{"family":"Cook","given":"William M."},{"family":"Damschen","given":"Ellen I."},{"family":"Ewers","given":"Robert M."},{"family":"Foster","given":"Bryan L."},{"family":"Jenkins","given":"Clinton N."},{"family":"King","given":"Andrew J."},{"family":"Laurance","given":"William F."},{"family":"Levey","given":"Douglas J."},{"family":"Margules","given":"Chris R."},{"family":"Melbourne","given":"Brett A."},{"family":"Nicholls","given":"A. O."},{"family":"Orrock","given":"John L."},{"family":"Song","given":"Dan-Xia"},{"family":"Townshend","given":"John R."}],"issued":{"date-parts":[["2015",3,6]]}}},{"id":1461,"uris":["http://zotero.org/users/10985147/items/QXDWWHFA"],"itemData":{"id":1461,"type":"article-journal","abstract":"Abstract\n            \n              Habitat loss and fragmentation due to human activities is the leading cause of the loss of biodiversity and ecosystem services. Protected areas are the primary response to this challenge and are the cornerstone of biodiversity conservation efforts. Roughly 15% of land is currently protected although there is momentum to dramatically raise protected area targets towards 50%. But, how much land remains in a natural state? We answer this critical question by using open-access, frequently updated data sets on terrestrial human impacts to create a new categorical map of global human influence (‘Low Impact Areas’) at a 1 km\n              2\n              resolution. We found that 56% of the terrestrial surface, minus permanent ice and snow, currently has low human impact. This suggests that increased protected area targets could be met in areas minimally impacted by people, although there is substantial variation across ecoregions and biomes. While habitat loss is well documented, habitat fragmentation and differences in fragmentation rates between biomes has received little attention. Low Impact Areas uniquely enabled us to calculate global fragmentation rates across biomes, and we compared these to an idealized globe with no human-caused fragmentation. The land in Low Impact Areas is heavily fragmented, compromised by reduced patch size and core area, and exposed to edge effects. Tropical dry forests and temperate grasslands are the world’s most impacted biomes. We demonstrate that when habitat fragmentation is considered in addition to habitat loss, the world’s species, ecosystems and associated services are in worse condition than previously reported.","container-title":"Scientific Reports","DOI":"10.1038/s41598-019-50558-6","ISSN":"2045-2322","journalAbbreviation":"Sci. Rep.","language":"en","page":"14179","source":"DOI.org (Crossref)","title":"Global areas of low human impact (‘Low Impact Areas’) and fragmentation of the natural world","volume":"9","author":[{"family":"Jacobson","given":"Andrew P."},{"family":"Riggio","given":"Jason"},{"family":"Tait","given":"Alexander M."},{"family":"Baillie","given":"Jonathan E.M."}],"issued":{"date-parts":[["2019",10,2]]}}},{"id":1451,"uris":["http://zotero.org/users/10985147/items/BD5F59UY"],"itemData":{"id":1451,"type":"article-journal","abstract":"Abstract\n            A comprehensive quantification of global forest fragmentation is urgently required to guide forest protection, restoration and reforestation policies. Previous efforts focused on the static distribution patterns of forest remnants, potentially neglecting dynamic changes in forest landscapes. Here, we map global distribution of forest fragments and their temporal changes between 2000 and 2020. We find that forest landscapes in the tropics were relatively intact, yet these areas experienced the most severe fragmentation over the past two decades. In contrast, 75.1% of the world’s forests experienced a decrease in fragmentation, and forest fragmentation in most fragmented temperate and subtropical regions, mainly in northern Eurasia and South China, declined between 2000 and 2020. We also identify eight modes of fragmentation that indicate different recovery or degradation states. Our findings underscore the need to curb deforestation and increase connectivity among forest fragments, especially in tropical areas.","container-title":"Nature Communications","DOI":"10.1038/s41467-023-39221-x","ISSN":"2041-1723","journalAbbreviation":"Nat. Commun.","language":"en","page":"3752","source":"DOI.org (Crossref)","title":"Global forest fragmentation change from 2000 to 2020","volume":"14","author":[{"family":"Ma","given":"Jun"},{"family":"Li","given":"Jiawei"},{"family":"Wu","given":"Wanben"},{"family":"Liu","given":"Jiajia"}],"issued":{"date-parts":[["2023",7,11]]}}},{"id":1441,"uris":["http://zotero.org/users/10985147/items/9R6N986B"],"itemData":{"id":1441,"type":"article-journal","container-title":"International Journal of Applied Earth Observation and Geoinformation","DOI":"10.1016/j.jag.2018.09.013","ISSN":"15698432","journalAbbreviation":"Int. J. Appl. Earth Obs. Geoinf.","language":"en","page":"332-340","source":"DOI.org (Crossref)","title":"Global assessment and mapping of changes in mesoscale landscapes: 1992–2015","title-short":"Global assessment and mapping of changes in mesoscale landscapes","volume":"78","author":[{"family":"Nowosad","given":"Jakub"},{"family":"Stepinski","given":"Tomasz F."},{"family":"Netzel","given":"Pawel"}],"issued":{"date-parts":[["2019",6]]}}},{"id":1328,"uris":["http://zotero.org/users/10985147/items/YEAARVL5"],"itemData":{"id":1328,"type":"article-journal","container-title":"Ecological Indicators","DOI":"10.1016/j.ecolind.2018.02.007","ISSN":"1470160X","journalAbbreviation":"Ecol. Indic.","language":"en","page":"159-167","source":"DOI.org (Crossref)","title":"Global inventory of landscape patterns and latent variables of landscape spatial configuration","volume":"89","author":[{"family":"Nowosad","given":"Jakub"},{"family":"Stepinski","given":"Tomasz F."}],"issued":{"date-parts":[["2018",6]]}}},{"id":1325,"uris":["http://zotero.org/users/10985147/items/9RJ93AYI"],"itemData":{"id":1325,"type":"article-journal","container-title":"Conservation Ecology","issue":"2","journalAbbreviation":"Conserv. Ecol.","page":"3","title":"Global-scale patterns of forest fragmentation","volume":"4","author":[{"family":"Riitters","given":"K"},{"family":"Wickham","given":"J"},{"family":"O'Neill","given":"R"},{"family":"Jones","given":"B"},{"family":"Smith","given":"E"}],"issued":{"date-parts":[["2000"]]}}},{"id":1295,"uris":["http://zotero.org/users/10985147/items/ZNA7UIAY"],"itemData":{"id":1295,"type":"article-journal","container-title":"Journal of Maps","DOI":"10.1080/17445647.2024.2307539","ISSN":"1744-5647","issue":"1","journalAbbreviation":"J. Maps","language":"en","page":"2307539","source":"DOI.org (Crossref)","title":"A fragmented world: mapping the global extent of Anthropogenic Landscape Fragmentation","title-short":"A fragmented world","volume":"20","author":[{"family":"Romanillos","given":"Gustavo"},{"family":"Robazza","given":"Guido"},{"family":"Lovato","given":"Filippo"}],"issued":{"date-parts":[["2024",12,31]]}}},{"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fldChar w:fldCharType="separate"/>
      </w:r>
      <w:r w:rsidR="00DA099B" w:rsidRPr="00DA099B">
        <w:t>(Haddad et al., 2015; Jacobson et al., 2019; Ma et al., 2023; Nowosad et al., 2019; Nowosad &amp; Stepinski, 2018; Riitters et al., 2000; Romanillos et al., 2024; Woodman et al., 2025a)</w:t>
      </w:r>
      <w:r>
        <w:fldChar w:fldCharType="end"/>
      </w:r>
      <w:r w:rsidR="00EA19BB">
        <w:t>, but</w:t>
      </w:r>
      <w:r>
        <w:t xml:space="preserve"> to our knowledge landscape metrics have not previously been used to </w:t>
      </w:r>
      <w:r w:rsidR="00F97ED5">
        <w:t>model</w:t>
      </w:r>
      <w:r>
        <w:t xml:space="preserve"> LULC change at a global scale.</w:t>
      </w:r>
    </w:p>
    <w:p w14:paraId="2A6C72C5" w14:textId="65758811" w:rsidR="006B3C54" w:rsidRDefault="00A52EE1" w:rsidP="7545DAD7">
      <w:r>
        <w:t xml:space="preserve">Here, we aim to establish </w:t>
      </w:r>
      <w:r w:rsidR="001D4F98">
        <w:t>how the inclusion of landscape patter</w:t>
      </w:r>
      <w:r w:rsidR="00817542">
        <w:t>n variables influences the</w:t>
      </w:r>
      <w:r w:rsidR="7B2BF03B">
        <w:t xml:space="preserve"> performance of land use models in explaining</w:t>
      </w:r>
      <w:r w:rsidR="5646F383">
        <w:t xml:space="preserve"> forest loss and cropland expansion from 1992 to 2020</w:t>
      </w:r>
      <w:r w:rsidR="003D589E">
        <w:t xml:space="preserve"> </w:t>
      </w:r>
      <w:r w:rsidR="00FC2E85">
        <w:fldChar w:fldCharType="begin"/>
      </w:r>
      <w:r w:rsidR="00E91F9C">
        <w:instrText xml:space="preserve"> ADDIN ZOTERO_ITEM CSL_CITATION {"citationID":"ZVO5pmw4","properties":{"formattedCitation":"(Woodman et al., 2025a, 2025c)","plainCitation":"(Woodman et al., 2025a, 2025c)","dontUpdate":true,"noteIndex":0},"citationItems":[{"id":2701,"uris":["http://zotero.org/users/10985147/items/4CNYEW32"],"itemData":{"id":2701,"type":"article-journal","abstract":"Abstract\n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J."},{"family":"Winkler","given":"Karina"},{"family":"Eigenbrod","given":"Felix"}],"issued":{"date-parts":[["2025",10,16]]}}},{"id":2602,"uris":["http://zotero.org/users/10985147/items/MS5TPIP3"],"itemData":{"id":2602,"type":"dataset","abstract":"This archive contains a global-scale dataset of landscape patterns that were generated for the paper 'Global assessment of landscape pattern changes from 1992 to 2020'. We calculated landscape patterns at yearly intervals between 1992 and 2020 for six land use and land cover (LULC) classes (urban, cropland, pasture/rangeland, forest, unmanaged grass/shrubland and sparse/no vegetation) using the HILDA+ version 2b dataset (https://doi.org/10.1038/s41467-021-22702-2; https://doi.org/10.1594/PANGAEA.921846; https://doi.pangaea.de/10.1594/PANGAEA.974335; version 2b available at https://doi.org/10.5281/zenodo.15017066). Six class-level landscape metrics were used to quantify landscape patterns: class area (CA), Landscape Shape Index (LSI), number of disjunct core area patches (NDCA), number of patches (NP), total core area (TCA), and total edge length (TE). These six landscape metrics were calculated at global-scale for landscapes with five different extents: 100, 400, 1600, 6400 and 25600 square kilometres. All landscape metrics were calculated in R using the 'landscapemetrics' package (https://doi.org/10.1111/ecog.04617).","DOI":"10.5281/ZENODO.15120267","license":"Creative Commons Attribution 4.0 International","publisher":"Zenodo","source":"DOI.org (Datacite)","title":"Global-scale landscape pattern dataset from 1992 to 2020","URL":"https://zenodo.org/doi/10.5281/zenodo.15120267","author":[{"family":"Woodman","given":"Tamsin L."},{"family":"Alexander","given":"Peter"},{"family":"Burslem","given":"David F.R.P."},{"family":"Travis","given":"Justin M.J."},{"family":"Winkler","given":"Karina"},{"family":"Eigenbrod","given":"Felix"}],"accessed":{"date-parts":[["2025",4,25]]},"issued":{"date-parts":[["2025",4,1]]}}}],"schema":"https://github.com/citation-style-language/schema/raw/master/csl-citation.json"} </w:instrText>
      </w:r>
      <w:r w:rsidR="00FC2E85">
        <w:fldChar w:fldCharType="separate"/>
      </w:r>
      <w:r w:rsidR="00DA099B" w:rsidRPr="00DA099B">
        <w:t>(Woodman et al., 2025a, 2025</w:t>
      </w:r>
      <w:r w:rsidR="00EF2567">
        <w:t>b</w:t>
      </w:r>
      <w:r w:rsidR="00DA099B" w:rsidRPr="00DA099B">
        <w:t>)</w:t>
      </w:r>
      <w:r w:rsidR="00FC2E85">
        <w:fldChar w:fldCharType="end"/>
      </w:r>
      <w:r w:rsidR="5646F383">
        <w:t>.</w:t>
      </w:r>
      <w:r>
        <w:t xml:space="preserve"> </w:t>
      </w:r>
      <w:r w:rsidR="003C2C99">
        <w:t>Random forest</w:t>
      </w:r>
      <w:r>
        <w:t xml:space="preserve"> models were used to </w:t>
      </w:r>
      <w:r>
        <w:fldChar w:fldCharType="begin"/>
      </w:r>
      <w:r w:rsidR="00B047A8">
        <w:instrText xml:space="preserve"> ADDIN ZOTERO_ITEM CSL_CITATION {"citationID":"ajWsCayv","properties":{"formattedCitation":"(Woodman et al., 2025a, 2025b)","plainCitation":"(Woodman et al., 2025a, 2025b)","dontUpdate":true,"noteIndex":0},"citationItems":[{"id":2629,"uris":["http://zotero.org/users/10985147/items/69T67KT7"],"itemData":{"id":2629,"type":"article","abstract":"Abstract\n          \n            Context\n            Landscape patterns are driven by complex natural and anthropogenic factors and are important for a range of environmental processes, including species movement and wildfire risks. Previous assessments of global-scale landscape pattern change have focused on a single land use and land cover (LULC) type or landscape-level measurements, hence there is a lack of knowledge on landscape pattern change across multiple LULC classes.\n            Objectives\n            We assessed global-scale change in landscape patterns for the six LULC classes used in the HILDA + dataset (urban, cropland, pasture/rangeland, forest, unmanaged grass/shrubland, and sparse/no vegetation) from 1992 to 2020.\n            Methods\n            Six class-level landscape metrics which showed predictable scaling behaviour with landscape extent were calculated for each LULC class and year of the study period. Landscape metrics were quantified for five landscape extents (100, 400, 1600, 6400 and 25600 km\n            2\n            ). Trends in global landscape patterns over time were evaluated with a particular focus on area and fragmentation.\n            Results\n            Unmanaged grass/shrubland LULC expanded in area and showed increased fragmentation, while pasture/rangeland and forest LULC tended to decline in area and exhibit decreased fragmentation. Even though there was high spatial heterogeneity in landscape pattern change for all LULC classes, neighbouring 100 km\n            2\n            landscapes often showed the same directional change in area and fragmentation.\n            Conclusions\n            These findings highlight the variability in landscape pattern change at global scales and indicate that drivers of landscape pattern vary across the globe at local to regional scales, with implications for environmental processes such as biodiversity loss and carbon storage.","DOI":"10.21203/rs.3.rs-6522006/v1","license":"https://creativecommons.org/licenses/by/4.0/","publisher":"Research Square","source":"DOI.org (Crossref)","title":"Global assessment of landscape pattern changes from 1992 to 2020","URL":"https://www.researchsquare.com/article/rs-6522006/v1","author":[{"family":"Woodman","given":"Tamsin L."},{"family":"Alexander","given":"Peter"},{"family":"Burslem","given":"David F.R.P."},{"family":"Travis","given":"Justin M.J."},{"family":"Winkler","given":"Karina"},{"family":"Eigenbrod","given":"Felix"}],"accessed":{"date-parts":[["2025",5,7]]},"issued":{"date-parts":[["2025",5,6]]}}},{"id":2602,"uris":["http://zotero.org/users/10985147/items/MS5TPIP3"],"itemData":{"id":2602,"type":"dataset","abstract":"This archive contains a global-scale dataset of landscape patterns that were generated for the paper 'Global assessment of landscape pattern changes from 1992 to 2020'. We calculated landscape patterns at yearly intervals between 1992 and 2020 for six land use and land cover (LULC) classes (urban, cropland, pasture/rangeland, forest, unmanaged grass/shrubland and sparse/no vegetation) using the HILDA+ version 2b dataset (https://doi.org/10.1038/s41467-021-22702-2; https://doi.org/10.1594/PANGAEA.921846; https://doi.pangaea.de/10.1594/PANGAEA.974335; version 2b available at https://doi.org/10.5281/zenodo.15017066). Six class-level landscape metrics were used to quantify landscape patterns: class area (CA), Landscape Shape Index (LSI), number of disjunct core area patches (NDCA), number of patches (NP), total core area (TCA), and total edge length (TE). These six landscape metrics were calculated at global-scale for landscapes with five different extents: 100, 400, 1600, 6400 and 25600 square kilometres. All landscape metrics were calculated in R using the 'landscapemetrics' package (https://doi.org/10.1111/ecog.04617).","DOI":"10.5281/ZENODO.15120267","license":"Creative Commons Attribution 4.0 International","publisher":"Zenodo","source":"DOI.org (Datacite)","title":"Global-scale landscape pattern dataset from 1992 to 2020","URL":"https://zenodo.org/doi/10.5281/zenodo.15120267","author":[{"family":"Woodman","given":"Tamsin L."},{"family":"Alexander","given":"Peter"},{"family":"Burslem","given":"David F.R.P."},{"family":"Travis","given":"Justin M.J."},{"family":"Winkler","given":"Karina"},{"family":"Eigenbrod","given":"Felix"}],"accessed":{"date-parts":[["2025",4,25]]},"issued":{"date-parts":[["2025",4,1]]}}}],"schema":"https://github.com/citation-style-language/schema/raw/master/csl-citation.json"} </w:instrText>
      </w:r>
      <w:r w:rsidR="00CE00D7">
        <w:fldChar w:fldCharType="separate"/>
      </w:r>
      <w:r>
        <w:fldChar w:fldCharType="end"/>
      </w:r>
      <w:r>
        <w:t>test whether including landscape metrics</w:t>
      </w:r>
      <w:r w:rsidR="00D567C3">
        <w:t xml:space="preserve"> as independent variables</w:t>
      </w:r>
      <w:r>
        <w:t xml:space="preserve"> can improve the performance of land use models compared to using </w:t>
      </w:r>
      <w:r w:rsidR="007E415D">
        <w:t xml:space="preserve">traditional </w:t>
      </w:r>
      <w:r>
        <w:t xml:space="preserve">socioeconomic and biophysical </w:t>
      </w:r>
      <w:r w:rsidR="00D567C3">
        <w:t>variables</w:t>
      </w:r>
      <w:r>
        <w:t xml:space="preserve"> alone. We quantified the relative importance of landscape metrics and alternative </w:t>
      </w:r>
      <w:r w:rsidR="00F751EC">
        <w:t>variable</w:t>
      </w:r>
      <w:r>
        <w:t xml:space="preserve">s to the fit of the machine learning models, especially as we hypothesised that different landscape metrics would be useful for modelling cropland expansion versus forest loss. The drivers of LULC change and landscape patterns vary across scales </w:t>
      </w:r>
      <w:r>
        <w:fldChar w:fldCharType="begin"/>
      </w:r>
      <w:r w:rsidR="00FC2E85">
        <w:instrText xml:space="preserve"> ADDIN ZOTERO_ITEM CSL_CITATION {"citationID":"QsD9YaLp","properties":{"formattedCitation":"(Alexander et al., 2015; Cattarino et al., 2014)","plainCitation":"(Alexander et al., 2015; Cattarino et al., 2014)","noteIndex":0},"citationItems":[{"id":983,"uris":["http://zotero.org/users/10985147/items/2MCXII4U"],"itemData":{"id":983,"type":"article-journal","abstract":"The nexus of population growth and changing diets has increased the demands placed on agriculture to supply food for human consumption, animal feed and fuel. Rising incomes lead to dietary changes, from staple crops, towards commodities with greater land requirements, e.g. meat and dairy products. Despite yield improvements partially offsetting increases in demand, agricultural land has still been expanding, causing potential harm to ecosystems, e.g. through deforestation. We use country-level panel data (1961-2011) to allocate the land areas used to produce food for human consumption, waste and biofuels, and to attribute the food production area changes to diet, population and yields drivers. The results show that the production of animal products dominates agricultural land use and land use change over the 50-year period, accounting for 65% of land use change. The rate of extensification of animal production was found to have reduced more recently, principally due to the smaller effect of population growth. The area used for bioenergy was shown to be relatively small, but formed a substantial contribution (36%) to net agricultural expansion in the most recent period. Nevertheless, in comparison to dietary shifts in animal products, bioenergy accounted for less than a tenth of the increase in demand for agricultural land. Population expansion has been the largest driver for agricultural land use change, but dietary changes are a significant and growing driver. China was a notable exception, where dietary transitions dominate food consumption changes, due to rapidly rising incomes. This suggests that future dietary changes will become the principal driver for land use change, pointing to the potential need for demand-side measures to regulate agricultural expansion.","container-title":"Global Environmental Change","DOI":"10.1016/j.gloenvcha.2015.08.011","ISSN":"09593780","journalAbbreviation":"Glob. Environ. Change","note":"publisher: Elsevier Ltd","page":"138-147","title":"Drivers for global agricultural land use change: The nexus of diet, population, yield and bioenergy","volume":"35","author":[{"family":"Alexander","given":"Peter"},{"family":"Rounsevell","given":"Mark D.A."},{"family":"Dislich","given":"Claudia"},{"family":"Dodson","given":"Jennifer R."},{"family":"Engström","given":"Kerstin"},{"family":"Moran","given":"Dominic"}],"issued":{"date-parts":[["2015"]]}}},{"id":1485,"uris":["http://zotero.org/users/10985147/items/NLR45M37"],"itemData":{"id":1485,"type":"article-journal","abstract":"Abstract\n            \n              Aim\n              \n                Improving our understanding of the drivers of forest fragmentation is fundamental to mitigating the consequences of anthropogenic fragmentation for biodiversity. Moreover, the impacts of fragmentation on biodiversity depend on the spatial scale at which fragmentation occurs. Therefore, understanding how the effect of land use on fragmentation patterns varies across scales is critical to ensure that fragmentation is managed at scales relevant to the ecology of target species or to land management. Here, we quantified the influence of land use on patterns of forest fragmentation at different scales using\n                Q\n                ueensland,\n                A\n                ustralia, as a case study.\n              \n            \n            \n              Location\n              \n                North</w:instrText>
      </w:r>
      <w:r w:rsidR="00FC2E85">
        <w:rPr>
          <w:rFonts w:ascii="Cambria Math" w:hAnsi="Cambria Math" w:cs="Cambria Math"/>
        </w:rPr>
        <w:instrText>‐</w:instrText>
      </w:r>
      <w:r w:rsidR="00FC2E85">
        <w:instrText>eastern\n                A\n                ustralia.\n              \n            \n            \n              Methods\n              \n                We combined fractal analysis with piecewise linear regression to measure patterns of forest fragmentation across a range of scales in 5309 landscapes of\n                c\n                . 50 km\n                2\n                , with different proportions of land used for cropping and grazing. A significant change in fragmentation patterns occurred at approximately 1 km\n                2\n                . We used beta regression to quantify the impact of land use on the degree of fragmentation at scales finer and coarser than 1 km\n                2\n                .\n              \n            \n            \n              Results\n              The use of land for grazing tended to create more fragmented forest patterns than use of land for cropping. This difference was more pronounced at coarser than finer scales.\n            \n            \n              Main conclusions\n              Our finding suggests that the choice of land use where conservation actions, such as revegetation and retention of forest patches, are to be prioritized depends on the scale at which we measure fragmentation. This information contributes to reducing the risk of mismatches between the scale at which fragmentation is managed and the scale at which fragmentation is measured, which is often dictated by the scale of species movements or the scale of land management. Our finding also improves our capacity to discern between fragmentation patterns that are typical of land</w:instrText>
      </w:r>
      <w:r w:rsidR="00FC2E85">
        <w:rPr>
          <w:rFonts w:ascii="Cambria Math" w:hAnsi="Cambria Math" w:cs="Cambria Math"/>
        </w:rPr>
        <w:instrText>‐</w:instrText>
      </w:r>
      <w:r w:rsidR="00FC2E85">
        <w:instrText>sharing and land</w:instrText>
      </w:r>
      <w:r w:rsidR="00FC2E85">
        <w:rPr>
          <w:rFonts w:ascii="Cambria Math" w:hAnsi="Cambria Math" w:cs="Cambria Math"/>
        </w:rPr>
        <w:instrText>‐</w:instrText>
      </w:r>
      <w:r w:rsidR="00FC2E85">
        <w:instrText>sparing conservation strategies, as spatial scale varies, thus aiding the implementation of land sparing and land sharing at scales relevant to biodiversity conservation and land management.","container-title":"Global Ecology and Biogeography","DOI":"10.1111/geb.12187","ISSN":"1466-822X, 1466-8238","issue":"11","journalAbbreviation":"Glob. Ecol. Biogeogr.","language":"en","license":"http://onlinelibrary.wiley.com/termsAndConditions#vor","page":"1215-1224","source":"DOI.org (Crossref)","title":"Land</w:instrText>
      </w:r>
      <w:r w:rsidR="00FC2E85">
        <w:rPr>
          <w:rFonts w:ascii="Cambria Math" w:hAnsi="Cambria Math" w:cs="Cambria Math"/>
        </w:rPr>
        <w:instrText>‐</w:instrText>
      </w:r>
      <w:r w:rsidR="00FC2E85">
        <w:instrText xml:space="preserve">use drivers of forest fragmentation vary with spatial scale","volume":"23","author":[{"family":"Cattarino","given":"Lorenzo"},{"family":"McAlpine","given":"Clive A."},{"family":"Rhodes","given":"Jonathan R."}],"issued":{"date-parts":[["2014",11]]}}}],"schema":"https://github.com/citation-style-language/schema/raw/master/csl-citation.json"} </w:instrText>
      </w:r>
      <w:r>
        <w:fldChar w:fldCharType="separate"/>
      </w:r>
      <w:r w:rsidR="00550ED7">
        <w:t xml:space="preserve">(Alexander et al., 2015; Cattarino et al., </w:t>
      </w:r>
      <w:r w:rsidR="00550ED7">
        <w:lastRenderedPageBreak/>
        <w:t>2014)</w:t>
      </w:r>
      <w:r>
        <w:fldChar w:fldCharType="end"/>
      </w:r>
      <w:r>
        <w:t xml:space="preserve">, so we also assessed the effectiveness of landscape metrics </w:t>
      </w:r>
      <w:r w:rsidR="00F751EC">
        <w:t>for modelling</w:t>
      </w:r>
      <w:r>
        <w:t xml:space="preserve"> LULC change </w:t>
      </w:r>
      <w:r w:rsidR="002B39F1">
        <w:t xml:space="preserve">at two spatial resolutions </w:t>
      </w:r>
      <w:r>
        <w:t>(10</w:t>
      </w:r>
      <w:r w:rsidR="00991C1B">
        <w:t xml:space="preserve"> </w:t>
      </w:r>
      <w:r w:rsidR="002A4006">
        <w:t>x</w:t>
      </w:r>
      <w:r w:rsidR="00991C1B">
        <w:t xml:space="preserve"> 10</w:t>
      </w:r>
      <w:r w:rsidR="000B16C9">
        <w:t xml:space="preserve"> km</w:t>
      </w:r>
      <w:r>
        <w:t xml:space="preserve"> and </w:t>
      </w:r>
      <w:r w:rsidR="000B16C9">
        <w:t xml:space="preserve">80 </w:t>
      </w:r>
      <w:r w:rsidR="002A4006">
        <w:t>x</w:t>
      </w:r>
      <w:r w:rsidR="000B16C9">
        <w:t xml:space="preserve"> 80</w:t>
      </w:r>
      <w:r>
        <w:t xml:space="preserve"> km). Landscape metrics can be easily generated from LULC datasets and may represent key processes underlying LULC change, so our results could have important implications for current methods of land use modelling.</w:t>
      </w:r>
    </w:p>
    <w:p w14:paraId="2A6C72C6" w14:textId="085E7EB1" w:rsidR="006B3C54" w:rsidRDefault="00A52EE1">
      <w:pPr>
        <w:pStyle w:val="Heading1"/>
        <w:numPr>
          <w:ilvl w:val="0"/>
          <w:numId w:val="2"/>
        </w:numPr>
      </w:pPr>
      <w:r>
        <w:t>M</w:t>
      </w:r>
      <w:r w:rsidR="00E15921">
        <w:t>ethods</w:t>
      </w:r>
    </w:p>
    <w:p w14:paraId="328CC2E3" w14:textId="4AFBC6E5" w:rsidR="006D3E0A" w:rsidRPr="00801850" w:rsidRDefault="006D3E0A" w:rsidP="00C0514F">
      <w:r>
        <w:t xml:space="preserve">To investigate whether landscape metrics can improve models of LULC change beyond traditional socioeconomic and biophysical variables, we used random forest classifiers to </w:t>
      </w:r>
      <w:r w:rsidR="00101891">
        <w:t>fit models of</w:t>
      </w:r>
      <w:r>
        <w:t xml:space="preserve"> forest loss and cropland expansion from 1992 to 2020. Random forests are a form of supervised machine learning based on collections of decision trees </w:t>
      </w:r>
      <w:r>
        <w:fldChar w:fldCharType="begin"/>
      </w:r>
      <w:r w:rsidR="00FC2E85">
        <w:instrText xml:space="preserve"> ADDIN ZOTERO_ITEM CSL_CITATION {"citationID":"Hnu6RrZW","properties":{"formattedCitation":"(Breiman, 2001)","plainCitation":"(Breiman, 2001)","noteIndex":0},"citationItems":[{"id":1488,"uris":["http://zotero.org/users/10985147/items/SV8Z385C"],"itemData":{"id":1488,"type":"article-journal","container-title":"Machine Learning","DOI":"10.1023/A:1010933404324","ISSN":"08856125","journalAbbreviation":"Mach. Learn.","page":"5-32","source":"DOI.org (Crossref)","title":"Random Forests","volume":"45","author":[{"family":"Breiman","given":"Leo"}],"issued":{"date-parts":[["2001"]]}}}],"schema":"https://github.com/citation-style-language/schema/raw/master/csl-citation.json"} </w:instrText>
      </w:r>
      <w:r>
        <w:fldChar w:fldCharType="separate"/>
      </w:r>
      <w:r w:rsidRPr="00550ED7">
        <w:t>(Breiman, 2001)</w:t>
      </w:r>
      <w:r>
        <w:fldChar w:fldCharType="end"/>
      </w:r>
      <w:r>
        <w:t xml:space="preserve">. A single decision tree is built by repeatedly splitting observations into sets with similar values for the </w:t>
      </w:r>
      <w:r w:rsidR="000F738B">
        <w:t>dependent</w:t>
      </w:r>
      <w:r>
        <w:t xml:space="preserve"> variable </w:t>
      </w:r>
      <w:r>
        <w:fldChar w:fldCharType="begin"/>
      </w:r>
      <w:r w:rsidR="00FC2E85">
        <w:instrText xml:space="preserve"> ADDIN ZOTERO_ITEM CSL_CITATION {"citationID":"pWhE8JZ0","properties":{"formattedCitation":"(Strobl et al., 2009)","plainCitation":"(Strobl et al., 2009)","noteIndex":0},"citationItems":[{"id":1374,"uris":["http://zotero.org/users/10985147/items/MVH5N9L9"],"itemData":{"id":1374,"type":"article-journal","container-title":"Psychological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schema":"https://github.com/citation-style-language/schema/raw/master/csl-citation.json"} </w:instrText>
      </w:r>
      <w:r>
        <w:fldChar w:fldCharType="separate"/>
      </w:r>
      <w:r w:rsidRPr="00550ED7">
        <w:t>(Strobl et al., 2009)</w:t>
      </w:r>
      <w:r>
        <w:fldChar w:fldCharType="end"/>
      </w:r>
      <w:r>
        <w:t xml:space="preserve">, while a random forest consists of an ensemble of decision trees where each tree is built using a subset of the training data in a process known as bagging </w:t>
      </w:r>
      <w:r>
        <w:fldChar w:fldCharType="begin"/>
      </w:r>
      <w:r w:rsidR="00FC2E85">
        <w:instrText xml:space="preserve"> ADDIN ZOTERO_ITEM CSL_CITATION {"citationID":"1ZWMWZbK","properties":{"formattedCitation":"(Breiman, 2001)","plainCitation":"(Breiman, 2001)","noteIndex":0},"citationItems":[{"id":1488,"uris":["http://zotero.org/users/10985147/items/SV8Z385C"],"itemData":{"id":1488,"type":"article-journal","container-title":"Machine Learning","DOI":"10.1023/A:1010933404324","ISSN":"08856125","journalAbbreviation":"Mach. Learn.","page":"5-32","source":"DOI.org (Crossref)","title":"Random Forests","volume":"45","author":[{"family":"Breiman","given":"Leo"}],"issued":{"date-parts":[["2001"]]}}}],"schema":"https://github.com/citation-style-language/schema/raw/master/csl-citation.json"} </w:instrText>
      </w:r>
      <w:r>
        <w:fldChar w:fldCharType="separate"/>
      </w:r>
      <w:r w:rsidRPr="00550ED7">
        <w:t>(Breiman, 2001)</w:t>
      </w:r>
      <w:r>
        <w:fldChar w:fldCharType="end"/>
      </w:r>
      <w:r>
        <w:t xml:space="preserve">. Predictions are made from a random forest by using every tree in the collection to vote for the most likely category for each observation </w:t>
      </w:r>
      <w:r>
        <w:fldChar w:fldCharType="begin"/>
      </w:r>
      <w:r w:rsidR="00FC2E85">
        <w:instrText xml:space="preserve"> ADDIN ZOTERO_ITEM CSL_CITATION {"citationID":"OPwQyg2z","properties":{"formattedCitation":"(Breiman, 2001; Strobl et al., 2009)","plainCitation":"(Breiman, 2001; Strobl et al., 2009)","noteIndex":0},"citationItems":[{"id":1488,"uris":["http://zotero.org/users/10985147/items/SV8Z385C"],"itemData":{"id":1488,"type":"article-journal","container-title":"Machine Learning","DOI":"10.1023/A:1010933404324","ISSN":"08856125","journalAbbreviation":"Mach. Learn.","page":"5-32","source":"DOI.org (Crossref)","title":"Random Forests","volume":"45","author":[{"family":"Breiman","given":"Leo"}],"issued":{"date-parts":[["2001"]]}}},{"id":1374,"uris":["http://zotero.org/users/10985147/items/MVH5N9L9"],"itemData":{"id":1374,"type":"article-journal","container-title":"Psychological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schema":"https://github.com/citation-style-language/schema/raw/master/csl-citation.json"} </w:instrText>
      </w:r>
      <w:r>
        <w:fldChar w:fldCharType="separate"/>
      </w:r>
      <w:r w:rsidRPr="00550ED7">
        <w:t>(Breiman, 2001; Strobl et al., 2009)</w:t>
      </w:r>
      <w:r>
        <w:fldChar w:fldCharType="end"/>
      </w:r>
      <w:r>
        <w:t xml:space="preserve">, which also generates the probability that an observation belongs to each category </w:t>
      </w:r>
      <w:r>
        <w:fldChar w:fldCharType="begin"/>
      </w:r>
      <w:r w:rsidR="00FC2E85">
        <w:instrText xml:space="preserve"> ADDIN ZOTERO_ITEM CSL_CITATION {"citationID":"wyHt20k7","properties":{"formattedCitation":"(Strobl et al., 2009)","plainCitation":"(Strobl et al., 2009)","noteIndex":0},"citationItems":[{"id":1374,"uris":["http://zotero.org/users/10985147/items/MVH5N9L9"],"itemData":{"id":1374,"type":"article-journal","container-title":"Psychological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schema":"https://github.com/citation-style-language/schema/raw/master/csl-citation.json"} </w:instrText>
      </w:r>
      <w:r>
        <w:fldChar w:fldCharType="separate"/>
      </w:r>
      <w:r w:rsidRPr="00550ED7">
        <w:t>(Strobl et al., 2009)</w:t>
      </w:r>
      <w:r>
        <w:fldChar w:fldCharType="end"/>
      </w:r>
      <w:r>
        <w:t xml:space="preserve">. Random forests were selected to model LULC change because they can handle nonlinear relationships between multiple variables </w:t>
      </w:r>
      <w:r>
        <w:fldChar w:fldCharType="begin"/>
      </w:r>
      <w:r w:rsidR="00FC2E85">
        <w:instrText xml:space="preserve"> ADDIN ZOTERO_ITEM CSL_CITATION {"citationID":"2T4pHe0P","properties":{"formattedCitation":"(Strobl et al., 2009)","plainCitation":"(Strobl et al., 2009)","noteIndex":0},"citationItems":[{"id":1374,"uris":["http://zotero.org/users/10985147/items/MVH5N9L9"],"itemData":{"id":1374,"type":"article-journal","container-title":"Psychological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schema":"https://github.com/citation-style-language/schema/raw/master/csl-citation.json"} </w:instrText>
      </w:r>
      <w:r>
        <w:fldChar w:fldCharType="separate"/>
      </w:r>
      <w:r w:rsidRPr="00550ED7">
        <w:t>(Strobl et al., 2009)</w:t>
      </w:r>
      <w:r>
        <w:fldChar w:fldCharType="end"/>
      </w:r>
      <w:r>
        <w:t xml:space="preserve">, make no assumptions as to the distribution of the input data </w:t>
      </w:r>
      <w:r>
        <w:fldChar w:fldCharType="begin"/>
      </w:r>
      <w:r w:rsidR="00FC2E85">
        <w:instrText xml:space="preserve"> ADDIN ZOTERO_ITEM CSL_CITATION {"citationID":"Kfq8sQwG","properties":{"formattedCitation":"(Rothacher &amp; Strobl, 2024)","plainCitation":"(Rothacher &amp; Strobl, 2024)","noteIndex":0},"citationItems":[{"id":1380,"uris":["http://zotero.org/users/10985147/items/GFLTDHP9"],"itemData":{"id":1380,"type":"article-journal","abstract":"Random forests are a nonparametric machine learning method, which is currently gaining popularity in the behavioral sciences. Despite random forests’ potential advantages over more conventional statistical methods, a remaining question is how reliably informative predictor variables can be identified by means of random forests. The present study aims at giving a comprehensible introduction to the topic of variable selection with random forests and providing an overview of the currently proposed selection methods. Using simulation studies, the variable selection methods are examined regarding their statistical properties, and comparisons between their performances and the performance of a conventional linear model are drawn. Advantages and disadvantages of the examined methods are discussed, and practical recommendations for the use of random forests for variable selection are given.","container-title":"Journal of Educational and Behavioral Statistics","DOI":"10.3102/10769986231193327","ISSN":"1076-9986, 1935-1054","issue":"4","journalAbbreviation":"J. Educ. Behav. Stat.","language":"en","page":"595-629","source":"DOI.org (Crossref)","title":"Identifying Informative Predictor Variables With Random Forests","volume":"49","author":[{"family":"Rothacher","given":"Yannick"},{"family":"Strobl","given":"Carolin"}],"issued":{"date-parts":[["2024"]]}}}],"schema":"https://github.com/citation-style-language/schema/raw/master/csl-citation.json"} </w:instrText>
      </w:r>
      <w:r>
        <w:fldChar w:fldCharType="separate"/>
      </w:r>
      <w:r w:rsidRPr="00550ED7">
        <w:t>(Rothacher &amp; Strobl, 2024)</w:t>
      </w:r>
      <w:r>
        <w:fldChar w:fldCharType="end"/>
      </w:r>
      <w:r>
        <w:t xml:space="preserve">, and allow for the calculation of importance scores that show the contribution of each variable to a model </w:t>
      </w:r>
      <w:r>
        <w:fldChar w:fldCharType="begin"/>
      </w:r>
      <w:r w:rsidR="00FC2E85">
        <w:instrText xml:space="preserve"> ADDIN ZOTERO_ITEM CSL_CITATION {"citationID":"xMYSQqCX","properties":{"formattedCitation":"(Breiman, 2001)","plainCitation":"(Breiman, 2001)","noteIndex":0},"citationItems":[{"id":1488,"uris":["http://zotero.org/users/10985147/items/SV8Z385C"],"itemData":{"id":1488,"type":"article-journal","container-title":"Machine Learning","DOI":"10.1023/A:1010933404324","ISSN":"08856125","journalAbbreviation":"Mach. Learn.","page":"5-32","source":"DOI.org (Crossref)","title":"Random Forests","volume":"45","author":[{"family":"Breiman","given":"Leo"}],"issued":{"date-parts":[["2001"]]}}}],"schema":"https://github.com/citation-style-language/schema/raw/master/csl-citation.json"} </w:instrText>
      </w:r>
      <w:r>
        <w:fldChar w:fldCharType="separate"/>
      </w:r>
      <w:r w:rsidRPr="00550ED7">
        <w:t>(Breiman, 2001)</w:t>
      </w:r>
      <w:r>
        <w:fldChar w:fldCharType="end"/>
      </w:r>
      <w:r>
        <w:t xml:space="preserve">. Moreover, random forests have been applied previously to identify drivers of LULC change </w:t>
      </w:r>
      <w:r>
        <w:fldChar w:fldCharType="begin"/>
      </w:r>
      <w:r w:rsidR="00FC2E85">
        <w:instrText xml:space="preserve"> ADDIN ZOTERO_ITEM CSL_CITATION {"citationID":"wBgKUiaB","properties":{"formattedCitation":"(Santos et al., 2019; Wu et al., 2021)","plainCitation":"(Santos et al., 2019; Wu et al., 2021)","noteIndex":0},"citationItems":[{"id":1377,"uris":["http://zotero.org/users/10985147/items/WBJ32HV8"],"itemData":{"id":1377,"type":"article-journal","container-title":"PLOS ONE","DOI":"10.1371/journal.pone.0226224","ISSN":"1932-6203","issue":"12","journalAbbreviation":"PLoS ONE","language":"en","page":"e0226224","source":"DOI.org (Crossref)","title":"A geographically weighted random forest approach for evaluate forest change drivers in the Northern Ecuadorian Amazon","volume":"14","author":[{"family":"Santos","given":"Fabián"},{"family":"Graw","given":"Valerie"},{"family":"Bonilla","given":"Santiago"}],"editor":[{"family":"Li","given":"Zhenlong"}],"issued":{"date-parts":[["2019",12,23]]}}},{"id":1363,"uris":["http://zotero.org/users/10985147/items/Q4N9ELIF"],"itemData":{"id":1363,"type":"article-journal","container-title":"International Journal of Applied Earth Observation and Geoinformation","DOI":"10.1016/j.jag.2021.102475","ISSN":"15698432","journalAbbreviation":"Int. J. Appl. Earth Obs. Geoinf.","language":"en","page":"102475","source":"DOI.org (Crossref)","title":"Identifying core driving factors of urban land use change from global land cover products and POI data using the random forest method","volume":"103","author":[{"family":"Wu","given":"Hao"},{"family":"Lin","given":"Anqi"},{"family":"Xing","given":"Xudong"},{"family":"Song","given":"Danxia"},{"family":"Li","given":"Yan"}],"issued":{"date-parts":[["2021",12]]}}}],"schema":"https://github.com/citation-style-language/schema/raw/master/csl-citation.json"} </w:instrText>
      </w:r>
      <w:r>
        <w:fldChar w:fldCharType="separate"/>
      </w:r>
      <w:r w:rsidRPr="00550ED7">
        <w:t>(Santos et al., 2019; Wu et al., 2021)</w:t>
      </w:r>
      <w:r>
        <w:fldChar w:fldCharType="end"/>
      </w:r>
      <w:r>
        <w:t xml:space="preserve"> and to classify LULC maps </w:t>
      </w:r>
      <w:r>
        <w:fldChar w:fldCharType="begin"/>
      </w:r>
      <w:r w:rsidR="00FC2E85">
        <w:instrText xml:space="preserve"> ADDIN ZOTERO_ITEM CSL_CITATION {"citationID":"VuY6eV4p","properties":{"formattedCitation":"(Badshah et al., 2024; Tamiminia et al., 2020)","plainCitation":"(Badshah et al., 2024; Tamiminia et al., 2020)","noteIndex":0},"citationItems":[{"id":1410,"uris":["http://zotero.org/users/10985147/items/9A3PAJJG"],"itemData":{"id":1410,"type":"article-journal","abstract":"Introduction\n              This study delves into the spatiotemporal dynamics of land use and land cover (LULC) in a Metropolitan area over three decades (1991–2021) and extends its scope to forecast future scenarios from 2031 to 2051. The intent is to aid sustainable land management and urban planning by enabling precise predictions of urban growth, leveraging the integration of remote sensing, GIS data, and observations from Landsat satellites 5, 7, and 8.\n            \n            \n              Methods\n              The research employed a machine learning-based approach, specifically utilizing the random forest (RF) algorithm, for LULC classification. Advanced modeling techniques, including CA–Markov chains and the Land Change Modeler (LCM), were harnessed to project future LULC alterations, which facilitated the development of transition probability matrices among different LULC classes.\n            \n            \n              Results\n              \n                The investigation uncovered significant shifts in LULC, influenced largely by socio-economic factors. Notably, vegetation cover decreased substantially from 49.21% to 25.81%, while forest cover saw an increase from 31.89% to 40.05%. Urban areas expanded significantly, from 7.55% to 25.59% of the total area, translating into an increase from 76.31 km\n                2\n                in 1991 to 258.61 km\n                2\n                in 2021. Forest area also expanded from 322.25 km\n                2\n                to 409.21 km\n                2\n                . Projections indicate a further decline in vegetation cover and an increase in built-up areas to 371.44 km\n                2\n                by 2051, with a decrease in forest cover compared to its 2021 levels. The predictive accuracy of the model was confirmed with an overall accuracy exceeding 90% and a kappa coefficient around 0.88.\n              \n            \n            \n              Discussion\n              The findings underscore the model’s reliability and provide a significant theoretical framework that integrates socio-economic development with environmental conservation. The results emphasize the need for a balanced approach towards urban growth in the Islamabad metropolitan area, underlining the essential equilibrium between development and conservation for future urban planning and management. This study underscores the importance of using advanced predictive models in guiding sustainable urban development strategies.","container-title":"Frontiers in Forests and Global Change","DOI":"10.3389/ffgc.2024.1345047","ISSN":"2624-893X","journalAbbreviation":"Front. For. Glob. Change","page":"1345047","source":"DOI.org (Crossref)","title":"The role of random forest and Markov chain models in understanding metropolitan urban growth trajectory","volume":"7","author":[{"family":"Badshah","given":"Muhammad Tariq"},{"family":"Hussain","given":"Khadim"},{"family":"Rehman","given":"Arif Ur"},{"family":"Mehmood","given":"Kaleem"},{"family":"Muhammad","given":"Bilal"},{"family":"Wiarta","given":"Rinto"},{"family":"Silamon","given":"Rato Firdaus"},{"family":"Khan","given":"Muhammad Anas"},{"family":"Meng","given":"Jinghui"}],"issued":{"date-parts":[["2024",3,18]]}}},{"id":1372,"uris":["http://zotero.org/users/10985147/items/AN2THAM3"],"itemData":{"id":1372,"type":"article-journal","container-title":"ISPRS Journal of Photogrammetry and Remote Sensing","DOI":"10.1016/j.isprsjprs.2020.04.001","ISSN":"09242716","journalAbbreviation":"ISPRS J. Photogramm. Remote Sens.","language":"en","page":"152-170","source":"DOI.org (Crossref)","title":"Google Earth Engine for geo-big data applications: A meta-analysis and systematic review","title-short":"Google Earth Engine for geo-big data applications","volume":"164","author":[{"family":"Tamiminia","given":"Haifa"},{"family":"Salehi","given":"Bahram"},{"family":"Mahdianpari","given":"Masoud"},{"family":"Quackenbush","given":"Lindi"},{"family":"Adeli","given":"Sarina"},{"family":"Brisco","given":"Brian"}],"issued":{"date-parts":[["2020",6]]}}}],"schema":"https://github.com/citation-style-language/schema/raw/master/csl-citation.json"} </w:instrText>
      </w:r>
      <w:r>
        <w:fldChar w:fldCharType="separate"/>
      </w:r>
      <w:r w:rsidRPr="00550ED7">
        <w:t>(Badshah et al., 2024; Tamiminia et al., 2020)</w:t>
      </w:r>
      <w:r>
        <w:fldChar w:fldCharType="end"/>
      </w:r>
      <w:r>
        <w:t>. The process for fitting random forest models is shown in Figure 1 and described in detail in the sections below.</w:t>
      </w:r>
    </w:p>
    <w:p w14:paraId="20E3F16C" w14:textId="5F4262D2" w:rsidR="007F54B0" w:rsidRDefault="007F54B0" w:rsidP="007F54B0">
      <w:pPr>
        <w:pStyle w:val="Heading2"/>
        <w:numPr>
          <w:ilvl w:val="1"/>
          <w:numId w:val="2"/>
        </w:numPr>
      </w:pPr>
      <w:r>
        <w:t>Dependent variable</w:t>
      </w:r>
    </w:p>
    <w:p w14:paraId="45ED6ECC" w14:textId="60051C1D" w:rsidR="00A9111E" w:rsidRDefault="00B957EF" w:rsidP="00A9111E">
      <w:pPr>
        <w:pStyle w:val="Heading3"/>
        <w:numPr>
          <w:ilvl w:val="2"/>
          <w:numId w:val="2"/>
        </w:numPr>
      </w:pPr>
      <w:r>
        <w:t>Global models</w:t>
      </w:r>
    </w:p>
    <w:p w14:paraId="63AE4B16" w14:textId="3D968C02" w:rsidR="00D953C0" w:rsidRDefault="004F27D0" w:rsidP="004F27D0">
      <w:r>
        <w:t xml:space="preserve">We fitted random forests to model the spatial allocation of forest loss or cropland expansion between 1992 and 2020 for six </w:t>
      </w:r>
      <w:r w:rsidR="00EA3400">
        <w:t xml:space="preserve">combinations of spatial resolution and net change threshold. The dependent variable in each model was binary with two categories: ‘change’ (1) or ‘stable’ (0) </w:t>
      </w:r>
      <w:r w:rsidR="00BD7F4B">
        <w:t xml:space="preserve">in a LULC class </w:t>
      </w:r>
      <w:r w:rsidR="00872726">
        <w:t>in pixel</w:t>
      </w:r>
      <w:r w:rsidR="00FC7D9C">
        <w:t>s</w:t>
      </w:r>
      <w:r w:rsidR="00872726">
        <w:t xml:space="preserve"> </w:t>
      </w:r>
      <w:r w:rsidR="00BD7F4B">
        <w:t xml:space="preserve">between 1992 and 2020. For forest LULC, the ‘change’ category </w:t>
      </w:r>
      <w:r w:rsidR="00872726">
        <w:t>consisted of pixels that underwent net forest loss from 1992 to 2020. Comparatively, for cropland the ‘change’ category contained pixels that experienced net cropland expansion over the study period.</w:t>
      </w:r>
    </w:p>
    <w:p w14:paraId="29D5A8F4" w14:textId="284CF6F4" w:rsidR="006846D8" w:rsidRDefault="79F5C37C" w:rsidP="0081045E">
      <w:r>
        <w:lastRenderedPageBreak/>
        <w:t>To derive the dependent variables, we first obtained global maps of forest and cropland area in 1992 and 2020 at two spatial resolutions (10</w:t>
      </w:r>
      <w:r w:rsidR="00E70381">
        <w:t xml:space="preserve"> </w:t>
      </w:r>
      <w:r w:rsidR="002A4006">
        <w:t>x</w:t>
      </w:r>
      <w:r w:rsidR="00E70381">
        <w:t xml:space="preserve"> 10</w:t>
      </w:r>
      <w:r>
        <w:t xml:space="preserve"> km and </w:t>
      </w:r>
      <w:r w:rsidR="00E70381">
        <w:t xml:space="preserve">80 </w:t>
      </w:r>
      <w:r w:rsidR="002A4006">
        <w:t>x</w:t>
      </w:r>
      <w:r w:rsidR="00E70381">
        <w:t xml:space="preserve"> 80</w:t>
      </w:r>
      <w:r>
        <w:t xml:space="preserve"> km</w:t>
      </w:r>
      <w:r w:rsidR="00E70381">
        <w:t xml:space="preserve">, referred to </w:t>
      </w:r>
      <w:r w:rsidR="002A4006">
        <w:t xml:space="preserve">from </w:t>
      </w:r>
      <w:r w:rsidR="00602676">
        <w:t xml:space="preserve">here </w:t>
      </w:r>
      <w:r w:rsidR="00E70381">
        <w:t>as 10 km and 80 km</w:t>
      </w:r>
      <w:r w:rsidR="00602676">
        <w:t xml:space="preserve"> resolution</w:t>
      </w:r>
      <w:r w:rsidR="00E70381">
        <w:t>, respectively</w:t>
      </w:r>
      <w:r>
        <w:t xml:space="preserve">) from an existing dataset </w:t>
      </w:r>
      <w:r>
        <w:fldChar w:fldCharType="begin"/>
      </w:r>
      <w:r w:rsidR="00E91F9C">
        <w:instrText xml:space="preserve"> ADDIN ZOTERO_ITEM CSL_CITATION {"citationID":"3pdwK5zz","properties":{"formattedCitation":"(Woodman et al., 2025a, 2025c)","plainCitation":"(Woodman et al., 2025a, 2025c)","dontUpdate":true,"noteIndex":0},"citationItems":[{"id":2701,"uris":["http://zotero.org/users/10985147/items/4CNYEW32"],"itemData":{"id":2701,"type":"article-journal","abstract":"Abstract\n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J."},{"family":"Winkler","given":"Karina"},{"family":"Eigenbrod","given":"Felix"}],"issued":{"date-parts":[["2025",10,16]]}}},{"id":2602,"uris":["http://zotero.org/users/10985147/items/MS5TPIP3"],"itemData":{"id":2602,"type":"dataset","abstract":"This archive contains a global-scale dataset of landscape patterns that were generated for the paper 'Global assessment of landscape pattern changes from 1992 to 2020'. We calculated landscape patterns at yearly intervals between 1992 and 2020 for six land use and land cover (LULC) classes (urban, cropland, pasture/rangeland, forest, unmanaged grass/shrubland and sparse/no vegetation) using the HILDA+ version 2b dataset (https://doi.org/10.1038/s41467-021-22702-2; https://doi.org/10.1594/PANGAEA.921846; https://doi.pangaea.de/10.1594/PANGAEA.974335; version 2b available at https://doi.org/10.5281/zenodo.15017066). Six class-level landscape metrics were used to quantify landscape patterns: class area (CA), Landscape Shape Index (LSI), number of disjunct core area patches (NDCA), number of patches (NP), total core area (TCA), and total edge length (TE). These six landscape metrics were calculated at global-scale for landscapes with five different extents: 100, 400, 1600, 6400 and 25600 square kilometres. All landscape metrics were calculated in R using the 'landscapemetrics' package (https://doi.org/10.1111/ecog.04617).","DOI":"10.5281/ZENODO.15120267","license":"Creative Commons Attribution 4.0 International","publisher":"Zenodo","source":"DOI.org (Datacite)","title":"Global-scale landscape pattern dataset from 1992 to 2020","URL":"https://zenodo.org/doi/10.5281/zenodo.15120267","author":[{"family":"Woodman","given":"Tamsin L."},{"family":"Alexander","given":"Peter"},{"family":"Burslem","given":"David F.R.P."},{"family":"Travis","given":"Justin M.J."},{"family":"Winkler","given":"Karina"},{"family":"Eigenbrod","given":"Felix"}],"accessed":{"date-parts":[["2025",4,25]]},"issued":{"date-parts":[["2025",4,1]]}}}],"schema":"https://github.com/citation-style-language/schema/raw/master/csl-citation.json"} </w:instrText>
      </w:r>
      <w:r>
        <w:fldChar w:fldCharType="separate"/>
      </w:r>
      <w:r w:rsidR="00DA099B" w:rsidRPr="00DA099B">
        <w:t>(Woodman et al., 2025a, 2025</w:t>
      </w:r>
      <w:r w:rsidR="00EF2567">
        <w:t>b</w:t>
      </w:r>
      <w:r w:rsidR="00DA099B" w:rsidRPr="00DA099B">
        <w:t>)</w:t>
      </w:r>
      <w:r>
        <w:fldChar w:fldCharType="end"/>
      </w:r>
      <w:r w:rsidR="14EC2B08">
        <w:t xml:space="preserve">. </w:t>
      </w:r>
      <w:r w:rsidR="3A7BBB51">
        <w:t xml:space="preserve">The 10 km resolution was chosen because it is the finest spatial resolution for which </w:t>
      </w:r>
      <w:r w:rsidR="004F6AA3">
        <w:t>a dataset of landscape metrics with global extent that includes multiple LULC classes is available</w:t>
      </w:r>
      <w:r w:rsidR="00E21990">
        <w:t xml:space="preserve"> </w:t>
      </w:r>
      <w:r w:rsidR="005D0DBA">
        <w:fldChar w:fldCharType="begin"/>
      </w:r>
      <w:r w:rsidR="005D0DBA">
        <w:instrText xml:space="preserve"> ADDIN ZOTERO_ITEM CSL_CITATION {"citationID":"GGCjZonh","properties":{"formattedCitation":"(Woodman et al., 2025a)","plainCitation":"(Woodman et al., 2025a)","noteIndex":0},"citationItems":[{"id":2701,"uris":["http://zotero.org/users/10985147/items/4CNYEW32"],"itemData":{"id":2701,"type":"article-journal","abstract":"Abstract\n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rsidR="005D0DBA">
        <w:fldChar w:fldCharType="separate"/>
      </w:r>
      <w:r w:rsidR="005D0DBA" w:rsidRPr="005D0DBA">
        <w:t>(Woodman et al., 2025a)</w:t>
      </w:r>
      <w:r w:rsidR="005D0DBA">
        <w:fldChar w:fldCharType="end"/>
      </w:r>
      <w:r w:rsidR="3A7BBB51">
        <w:t xml:space="preserve">. </w:t>
      </w:r>
      <w:r w:rsidR="004F6AA3">
        <w:t xml:space="preserve">Moreover, the </w:t>
      </w:r>
      <w:r w:rsidR="002A3A4F">
        <w:t>finest</w:t>
      </w:r>
      <w:r w:rsidR="00551F17">
        <w:t xml:space="preserve"> spatial resolution of a global land use model that generates future LULC projections without downscaling was 9.25 km  in a previous model intercomparison study </w:t>
      </w:r>
      <w:r w:rsidR="00551F17">
        <w:fldChar w:fldCharType="begin"/>
      </w:r>
      <w:r w:rsidR="00551F17">
        <w:instrText xml:space="preserve"> ADDIN ZOTERO_ITEM CSL_CITATION {"citationID":"SwVwYzIp","properties":{"formattedCitation":"(Alexander et al., 2017)","plainCitation":"(Alexander et al., 2017)","noteIndex":0},"citationItems":[{"id":1497,"uris":["http://zotero.org/users/10985147/items/2DQMXC5L"],"itemData":{"id":1497,"type":"article-journal","abstract":"Understanding uncertainties in land cover projections is critical to investigating land-based climate mitigation policies, assessing the potential of climate adaptation strategies and quantifying the impacts of land cover change on the climate system. Here, we identify and quantify uncertainties in global and European land cover projections over a diverse range of model types and scenarios, extending the analysis beyond the agro-economic models included in previous comparisons. The results from 75 simulations over 18 models are analysed and show a large range in land cover area projections, with the highest variability occurring in future cropland areas. We demonstrate systematic differences in land cover areas associated with the characteristics of the modelling approach, which is at least as great as the differences attributed to the scenario variations. The results lead us to conclude that a higher degree of uncertainty exists in land use projections than currently included in climate or earth system projections. To account for land use uncertainty, it is recommended to use a diverse set of models and approaches when assessing the potential impacts of land cover change on future climate. Additionally, further work is needed to better understand the assumptions driving land use model results and reveal the causes of uncertainty in more depth, to help reduce model uncertainty and improve the projections of land cover.","container-title":"Global Change Biology","DOI":"10.1111/gcb.13447","ISSN":"13652486","issue":"2","journalAbbreviation":"Glob. Change Biol.","note":"PMID: 27474896\nCitation Key: Alexander2017","page":"767-781","title":"Assessing uncertainties in land cover projections","volume":"23","author":[{"family":"Alexander","given":"Peter"},{"family":"Prestele","given":"Reinhard"},{"family":"Verburg","given":"Peter H."},{"family":"Arneth","given":"Almut"},{"family":"Baranzelli","given":"Claudia"},{"family":"Batista e Silva","given":"Filipe"},{"family":"Brown","given":"Calum"},{"family":"Butler","given":"Adam"},{"family":"Calvin","given":"Katherine"},{"family":"Dendoncker","given":"Nicolas"},{"family":"Doelman","given":"Jonathan C."},{"family":"Dunford","given":"Robert"},{"family":"Engström","given":"Kerstin"},{"family":"Eitelberg","given":"David"},{"family":"Fujimori","given":"Shinichiro"},{"family":"Harrison","given":"Paula A."},{"family":"Hasegawa","given":"Tomoko"},{"family":"Havlik","given":"Petr"},{"family":"Holzhauer","given":"Sascha"},{"family":"Humpenöder","given":"Florian"},{"family":"Jacobs-Crisioni","given":"Chris"},{"family":"Jain","given":"Atul K."},{"family":"Krisztin","given":"Tamás"},{"family":"Kyle","given":"Page"},{"family":"Lavalle","given":"Carlo"},{"family":"Lenton","given":"Tim"},{"family":"Liu","given":"Jiayi"},{"family":"Meiyappan","given":"Prasanth"},{"family":"Popp","given":"Alexander"},{"family":"Powell","given":"Tom"},{"family":"Sands","given":"Ronald D."},{"family":"Schaldach","given":"Rüdiger"},{"family":"Stehfest","given":"Elke"},{"family":"Steinbuks","given":"Jevgenijs"},{"family":"Tabeau","given":"Andrzej"},{"family":"Meijl","given":"Hans","non-dropping-particle":"van"},{"family":"Wise","given":"Marshall A."},{"family":"Rounsevell","given":"Mark D.A."}],"issued":{"date-parts":[["2017"]]}}}],"schema":"https://github.com/citation-style-language/schema/raw/master/csl-citation.json"} </w:instrText>
      </w:r>
      <w:r w:rsidR="00551F17">
        <w:fldChar w:fldCharType="separate"/>
      </w:r>
      <w:r w:rsidR="00551F17" w:rsidRPr="00551F17">
        <w:t>(Alexander et al., 2017)</w:t>
      </w:r>
      <w:r w:rsidR="00551F17">
        <w:fldChar w:fldCharType="end"/>
      </w:r>
      <w:r w:rsidR="008E4250">
        <w:t xml:space="preserve">, hence the 10 km resolution represents the finest resolution of existing global land use models. </w:t>
      </w:r>
      <w:r w:rsidR="3A7BBB51">
        <w:t>Most global land use models typically generate projections at coarse</w:t>
      </w:r>
      <w:r w:rsidR="0063452E">
        <w:t>r</w:t>
      </w:r>
      <w:r w:rsidR="3A7BBB51">
        <w:t xml:space="preserve"> resolutions (for example, in regions or 0.5° grids, which is approximately 55 x 55 km at the equator; </w:t>
      </w:r>
      <w:r>
        <w:fldChar w:fldCharType="begin"/>
      </w:r>
      <w:r>
        <w:instrText xml:space="preserve"> ADDIN ZOTERO_ITEM CSL_CITATION {"citationID":"pgyWnVvW","properties":{"formattedCitation":"(Alexander et al., 2017)","plainCitation":"(Alexander et al., 2017)","dontUpdate":true,"noteIndex":0},"citationItems":[{"id":1497,"uris":["http://zotero.org/users/10985147/items/2DQMXC5L"],"itemData":{"id":1497,"type":"article-journal","abstract":"Understanding uncertainties in land cover projections is critical to investigating land-based climate mitigation policies, assessing the potential of climate adaptation strategies and quantifying the impacts of land cover change on the climate system. Here, we identify and quantify uncertainties in global and European land cover projections over a diverse range of model types and scenarios, extending the analysis beyond the agro-economic models included in previous comparisons. The results from 75 simulations over 18 models are analysed and show a large range in land cover area projections, with the highest variability occurring in future cropland areas. We demonstrate systematic differences in land cover areas associated with the characteristics of the modelling approach, which is at least as great as the differences attributed to the scenario variations. The results lead us to conclude that a higher degree of uncertainty exists in land use projections than currently included in climate or earth system projections. To account for land use uncertainty, it is recommended to use a diverse set of models and approaches when assessing the potential impacts of land cover change on future climate. Additionally, further work is needed to better understand the assumptions driving land use model results and reveal the causes of uncertainty in more depth, to help reduce model uncertainty and improve the projections of land cover.","container-title":"Global Change Biology","DOI":"10.1111/gcb.13447","ISSN":"13652486","issue":"2","journalAbbreviation":"Glob. Change Biol.","note":"PMID: 27474896\nCitation Key: Alexander2017","page":"767-781","title":"Assessing uncertainties in land cover projections","volume":"23","author":[{"family":"Alexander","given":"Peter"},{"family":"Prestele","given":"Reinhard"},{"family":"Verburg","given":"Peter H."},{"family":"Arneth","given":"Almut"},{"family":"Baranzelli","given":"Claudia"},{"family":"Batista e Silva","given":"Filipe"},{"family":"Brown","given":"Calum"},{"family":"Butler","given":"Adam"},{"family":"Calvin","given":"Katherine"},{"family":"Dendoncker","given":"Nicolas"},{"family":"Doelman","given":"Jonathan C."},{"family":"Dunford","given":"Robert"},{"family":"Engström","given":"Kerstin"},{"family":"Eitelberg","given":"David"},{"family":"Fujimori","given":"Shinichiro"},{"family":"Harrison","given":"Paula A."},{"family":"Hasegawa","given":"Tomoko"},{"family":"Havlik","given":"Petr"},{"family":"Holzhauer","given":"Sascha"},{"family":"Humpenöder","given":"Florian"},{"family":"Jacobs-Crisioni","given":"Chris"},{"family":"Jain","given":"Atul K."},{"family":"Krisztin","given":"Tamás"},{"family":"Kyle","given":"Page"},{"family":"Lavalle","given":"Carlo"},{"family":"Lenton","given":"Tim"},{"family":"Liu","given":"Jiayi"},{"family":"Meiyappan","given":"Prasanth"},{"family":"Popp","given":"Alexander"},{"family":"Powell","given":"Tom"},{"family":"Sands","given":"Ronald D."},{"family":"Schaldach","given":"Rüdiger"},{"family":"Stehfest","given":"Elke"},{"family":"Steinbuks","given":"Jevgenijs"},{"family":"Tabeau","given":"Andrzej"},{"family":"Meijl","given":"Hans","non-dropping-particle":"van"},{"family":"Wise","given":"Marshall A."},{"family":"Rounsevell","given":"Mark D.A."}],"issued":{"date-parts":[["2017"]]}}}],"schema":"https://github.com/citation-style-language/schema/raw/master/csl-citation.json"} </w:instrText>
      </w:r>
      <w:r>
        <w:fldChar w:fldCharType="separate"/>
      </w:r>
      <w:r w:rsidR="3A7BBB51">
        <w:t>Alexander et al., 2017)</w:t>
      </w:r>
      <w:r>
        <w:fldChar w:fldCharType="end"/>
      </w:r>
      <w:r w:rsidR="3A7BBB51">
        <w:t xml:space="preserve">, so </w:t>
      </w:r>
      <w:r w:rsidR="00AF48E9">
        <w:t>80</w:t>
      </w:r>
      <w:r w:rsidR="3A7BBB51">
        <w:t xml:space="preserve"> km was chosen to approximate these resolutions. </w:t>
      </w:r>
      <w:r w:rsidR="44BA1C14">
        <w:t xml:space="preserve">There </w:t>
      </w:r>
      <w:r w:rsidR="00A430FC">
        <w:t>was</w:t>
      </w:r>
      <w:r w:rsidR="44BA1C14">
        <w:t xml:space="preserve"> a total of 1,391,753 pixels globally at 10 km spatial resolution compared to 25,143 pixels at </w:t>
      </w:r>
      <w:r w:rsidR="00AF48E9">
        <w:t>80</w:t>
      </w:r>
      <w:r w:rsidR="44BA1C14">
        <w:t xml:space="preserve"> km resolution. </w:t>
      </w:r>
      <w:r w:rsidR="3A7BBB51">
        <w:t xml:space="preserve">For both spatial resolutions, </w:t>
      </w:r>
      <w:r w:rsidR="1E553DED">
        <w:t xml:space="preserve">we </w:t>
      </w:r>
      <w:r w:rsidR="3A7BBB51">
        <w:t xml:space="preserve">calculated net change in </w:t>
      </w:r>
      <w:r w:rsidR="3E6DFD29">
        <w:t xml:space="preserve">the area of </w:t>
      </w:r>
      <w:r w:rsidR="3A7BBB51">
        <w:t xml:space="preserve">forest and cropland </w:t>
      </w:r>
      <w:r w:rsidR="20D068FD">
        <w:t>LULC</w:t>
      </w:r>
      <w:r w:rsidR="3A7BBB51">
        <w:t xml:space="preserve"> </w:t>
      </w:r>
      <w:r w:rsidR="4EDBC139">
        <w:t>between</w:t>
      </w:r>
      <w:r w:rsidR="3A7BBB51">
        <w:t xml:space="preserve"> 1992 </w:t>
      </w:r>
      <w:r w:rsidR="1CB21FC4">
        <w:t>and</w:t>
      </w:r>
      <w:r w:rsidR="3A7BBB51">
        <w:t xml:space="preserve"> 2020 for every pixel.</w:t>
      </w:r>
      <w:r w:rsidR="1E553DED">
        <w:t xml:space="preserve"> </w:t>
      </w:r>
      <w:r w:rsidR="672BA65A">
        <w:t xml:space="preserve">The LULC data underpinning both the 10 km and the </w:t>
      </w:r>
      <w:r w:rsidR="00255F31">
        <w:t>80</w:t>
      </w:r>
      <w:r w:rsidR="672BA65A">
        <w:t xml:space="preserve"> km resolution </w:t>
      </w:r>
      <w:r w:rsidR="423BFC52">
        <w:t>maps</w:t>
      </w:r>
      <w:r w:rsidR="672BA65A">
        <w:t xml:space="preserve"> used here is the HILDA+ </w:t>
      </w:r>
      <w:r w:rsidR="676AD019">
        <w:t xml:space="preserve">1 </w:t>
      </w:r>
      <w:r w:rsidR="00A040F4">
        <w:t xml:space="preserve">x 1 </w:t>
      </w:r>
      <w:r w:rsidR="676AD019">
        <w:t>km resolution dataset</w:t>
      </w:r>
      <w:r w:rsidR="6CC484FB">
        <w:t xml:space="preserve"> </w:t>
      </w:r>
      <w:r>
        <w:fldChar w:fldCharType="begin"/>
      </w:r>
      <w:r w:rsidR="00DA099B">
        <w:instrText xml:space="preserve"> ADDIN ZOTERO_ITEM CSL_CITATION {"citationID":"UBSkigG4","properties":{"formattedCitation":"(Winkler et al., 2021, 2025; Woodman et al., 2025a)","plainCitation":"(Winkler et al., 2021, 2025; Woodman et al., 2025a)","noteIndex":0},"citationItems":[{"id":1500,"uris":["http://zotero.org/users/10985147/items/7J2V943B"],"itemData":{"id":1500,"type":"article-journal","abstract":"Quantifying the dynamics of land use change is critical in tackling global societal challenges such as food security, climate change, and biodiversity loss. Here we analyse the dynamics of global land use change at an unprecedented spatial resolution by combining multiple open data streams (remote sensing, reconstructions and statistics) to create the HIstoric Land Dynamics Assessment + (HILDA +). We estimate that land use change has affected almost a third (32%) of the global land area in just six decades (1960-2019) and, thus, is around four times greater in extent than previously estimated from long-term land change assessments. We also identify geographically diverging land use change processes, with afforestation and cropland abandonment in the Global North and deforestation and agricultural expansion in the South. Here, we show that observed phases of accelerating (~1960–2005) and decelerating (2006–2019) land use change can be explained by the effects of global trade on agricultural production.","container-title":"Nature Communications","DOI":"10.1038/s41467-021-22702-2","ISSN":"20411723","issue":"1","journalAbbreviation":"Nat. Commun.","note":"PMID: 33976120\npublisher: Springer US","page":"1-10","title":"Global land use changes are four times greater than previously estimated","volume":"12","author":[{"family":"Winkler","given":"Karina"},{"family":"Fuchs","given":"Richard"},{"family":"Rounsevell","given":"Mark"},{"family":"Herold","given":"Martin"}],"issued":{"date-parts":[["2021"]]}}},{"id":2648,"uris":["http://zotero.org/users/10985147/items/MXDQF5JF"],"itemData":{"id":2648,"type":"dataset","abstract":"HILDA+ version 2.0 is an updated version of the HILDA+ (HIstoric Land Dynamics Assessment+) doi:10.1594/PANGAEA.921846. It is a global dataset on annual land use/cover change between 1960-2020 at 1 km spatial resolution. It is based on a data-driven reconstruction approach and integrates multiple open data streams (from high-resolution remote sensing, long-term land use reconstructions and statistics). Compared to the previous version, this new HILDA+ version 2.0 uses a base map from the year 2020 (based on ESA World Cover), integrates new remote sensing-based land cover datasets (see documentation sheet in the uploaded data), is calibrated on updated national land use statistics from FAO and includes additional cropland-related land use categories: tree crops, agroforestry and annual crops. See the documentation and the paper reference for the method of cropland mapping. Forests are subdivided into different forest types based ESA CCI Land Cover (1992-2020). HILDA+ version 2.0 covers the following land use/cover categories (given with their respective code numbers in the dataset): 11: Urban areas, 22: Annual crops, 23: Tree crops, 24: Agroforestry, 33: Pasture/rangeland, 40: Forest (unknown/other), 41: Forest (evergreen, needle leaf), 42: Forest (evergreen, broad leaf), 43: Forest (deciduous, needle leaf), 44: Forest (deciduous, broad leaf), 45: Forest (mixed), 55: Unmanaged grass/shrubland, 66: Sparse/no vegetation.","DOI":"https://doi.pangaea.de/10.1594/PANGAEA.974335","publisher":"PANGAEA","title":"HILDA+ version 2.0: Global Land Use Change between 1960 and 2020 [dataset]","author":[{"family":"Winkler","given":"Karina"},{"family":"Fuchs","given":"Richard"},{"family":"Rounsevell","given":"Mark D A"},{"family":"Herold","given":"Martin"}],"issued":{"date-parts":[["2025"]]}}},{"id":2701,"uris":["http://zotero.org/users/10985147/items/4CNYEW32"],"itemData":{"id":2701,"type":"article-journal","abstract":"Abstract\n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fldChar w:fldCharType="separate"/>
      </w:r>
      <w:r w:rsidR="00DA099B" w:rsidRPr="00DA099B">
        <w:t>(Winkler et al., 2021, 2025; Woodman et al., 2025a)</w:t>
      </w:r>
      <w:r>
        <w:fldChar w:fldCharType="end"/>
      </w:r>
      <w:r w:rsidR="676AD019">
        <w:t>, so 1 km</w:t>
      </w:r>
      <w:r w:rsidR="676AD019" w:rsidRPr="00C0514F">
        <w:rPr>
          <w:vertAlign w:val="superscript"/>
        </w:rPr>
        <w:t>2</w:t>
      </w:r>
      <w:r w:rsidR="676AD019">
        <w:t xml:space="preserve"> </w:t>
      </w:r>
      <w:r w:rsidR="62B8E8CC">
        <w:t>(1% or 0.01</w:t>
      </w:r>
      <w:r w:rsidR="408758F6">
        <w:t>6</w:t>
      </w:r>
      <w:r w:rsidR="62B8E8CC">
        <w:t xml:space="preserve">% of a 10 km or </w:t>
      </w:r>
      <w:r w:rsidR="00255F31">
        <w:t>80</w:t>
      </w:r>
      <w:r w:rsidR="62B8E8CC">
        <w:t xml:space="preserve"> km pixel, re</w:t>
      </w:r>
      <w:r w:rsidR="640D1A9E">
        <w:t>spectively)</w:t>
      </w:r>
      <w:r w:rsidR="62B8E8CC">
        <w:t xml:space="preserve"> </w:t>
      </w:r>
      <w:r w:rsidR="676AD019">
        <w:t>was the smallest area of change that could occur in pixels of both resolutions.</w:t>
      </w:r>
      <w:r w:rsidR="672BA65A">
        <w:t xml:space="preserve"> </w:t>
      </w:r>
      <w:r w:rsidR="1E553DED">
        <w:t>Before calculating net change</w:t>
      </w:r>
      <w:r w:rsidR="126C6CF5">
        <w:t xml:space="preserve"> in area</w:t>
      </w:r>
      <w:r w:rsidR="1E553DED">
        <w:t>, any missing values for forest and cropland cover, which represented pixels with</w:t>
      </w:r>
      <w:r w:rsidR="6976062A">
        <w:t xml:space="preserve">out forest or cropland area </w:t>
      </w:r>
      <w:r>
        <w:fldChar w:fldCharType="begin"/>
      </w:r>
      <w:r w:rsidR="00DA099B">
        <w:instrText xml:space="preserve"> ADDIN ZOTERO_ITEM CSL_CITATION {"citationID":"2sk9YHwU","properties":{"formattedCitation":"(Woodman et al., 2025a)","plainCitation":"(Woodman et al., 2025a)","noteIndex":0},"citationItems":[{"id":2701,"uris":["http://zotero.org/users/10985147/items/4CNYEW32"],"itemData":{"id":2701,"type":"article-journal","abstract":"Abstract\n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fldChar w:fldCharType="separate"/>
      </w:r>
      <w:r w:rsidR="00DA099B" w:rsidRPr="00DA099B">
        <w:t>(Woodman et al., 2025a)</w:t>
      </w:r>
      <w:r>
        <w:fldChar w:fldCharType="end"/>
      </w:r>
      <w:r w:rsidR="6976062A">
        <w:t>, were replaced by zeros</w:t>
      </w:r>
      <w:r w:rsidR="56076100">
        <w:t xml:space="preserve"> </w:t>
      </w:r>
      <w:r w:rsidR="3BA9FEB6">
        <w:t>because</w:t>
      </w:r>
      <w:r w:rsidR="56076100">
        <w:t xml:space="preserve"> </w:t>
      </w:r>
      <w:r w:rsidR="1CB21FC4">
        <w:t xml:space="preserve">a value of </w:t>
      </w:r>
      <w:r w:rsidR="56076100">
        <w:t xml:space="preserve">zero </w:t>
      </w:r>
      <w:r w:rsidR="1CB21FC4">
        <w:t xml:space="preserve">for the </w:t>
      </w:r>
      <w:r w:rsidR="56076100">
        <w:t>area of a LULC class is equivalent to that class not being present in a pixel</w:t>
      </w:r>
      <w:r w:rsidR="6976062A">
        <w:t>.</w:t>
      </w:r>
    </w:p>
    <w:p w14:paraId="3CEF74A6" w14:textId="03FE94D0" w:rsidR="006846D8" w:rsidRDefault="00D85458" w:rsidP="006846D8">
      <w:r>
        <w:t>Next, t</w:t>
      </w:r>
      <w:r w:rsidR="006846D8">
        <w:t xml:space="preserve">hree thresholds were used to hard classify pixels as to whether they underwent net change (change) or not (stable) between 1992 and 2020, similar to </w:t>
      </w:r>
      <w:r w:rsidR="006846D8">
        <w:fldChar w:fldCharType="begin"/>
      </w:r>
      <w:r w:rsidR="006846D8">
        <w:instrText xml:space="preserve"> ADDIN ZOTERO_ITEM CSL_CITATION {"citationID":"nF5PHHkU","properties":{"formattedCitation":"(Eigenbrod et al., 2020)","plainCitation":"(Eigenbrod et al., 2020)","dontUpdate":true,"noteIndex":0},"citationItems":[{"id":1402,"uris":["http://zotero.org/users/10985147/items/BNSVFMLE"],"itemData":{"id":1402,"type":"article-journal","abstract":"The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6846D8">
        <w:fldChar w:fldCharType="separate"/>
      </w:r>
      <w:r w:rsidR="006846D8">
        <w:t>Eigenbrod et al. (2020)</w:t>
      </w:r>
      <w:r w:rsidR="006846D8">
        <w:fldChar w:fldCharType="end"/>
      </w:r>
      <w:r w:rsidR="006846D8">
        <w:t>.</w:t>
      </w:r>
      <w:r w:rsidR="00437722">
        <w:t xml:space="preserve"> Hence, three methods were used to generate the dependent variable. </w:t>
      </w:r>
      <w:r w:rsidR="006846D8">
        <w:t xml:space="preserve">The three thresholds selected to define net change were &gt;0.5%, &gt;5%, and &gt;15%, representing minor, major and extreme change, respectively. For example, </w:t>
      </w:r>
      <w:r w:rsidR="005E328D">
        <w:t>i</w:t>
      </w:r>
      <w:r w:rsidR="006846D8">
        <w:t xml:space="preserve">f a 10 km </w:t>
      </w:r>
      <w:r w:rsidR="00FE43D9">
        <w:t xml:space="preserve">resolution </w:t>
      </w:r>
      <w:r w:rsidR="006846D8">
        <w:t>pixel lost 2 km</w:t>
      </w:r>
      <w:r w:rsidR="006846D8" w:rsidRPr="7545DAD7">
        <w:rPr>
          <w:vertAlign w:val="superscript"/>
        </w:rPr>
        <w:t>2</w:t>
      </w:r>
      <w:r w:rsidR="006846D8">
        <w:t xml:space="preserve"> of forest area from 1992 to 2020 it would be classified as ‘change’ when using a threshold of &gt;0.5% and as ‘stable’ when using thresholds of &gt;5% and &gt;15%. A 10 km </w:t>
      </w:r>
      <w:r w:rsidR="00FE43D9">
        <w:t xml:space="preserve">resolution </w:t>
      </w:r>
      <w:r w:rsidR="006846D8">
        <w:t>pixel where 20 km</w:t>
      </w:r>
      <w:r w:rsidR="006846D8" w:rsidRPr="7545DAD7">
        <w:rPr>
          <w:vertAlign w:val="superscript"/>
        </w:rPr>
        <w:t>2</w:t>
      </w:r>
      <w:r w:rsidR="006846D8">
        <w:t xml:space="preserve"> of the area was converted to cropland between 1992 to 2020 would be classified as ‘change’ for all three thresholds. Note that the minor, major, and extreme thresholds used in </w:t>
      </w:r>
      <w:r w:rsidR="006846D8">
        <w:fldChar w:fldCharType="begin"/>
      </w:r>
      <w:r w:rsidR="006846D8">
        <w:instrText xml:space="preserve"> ADDIN ZOTERO_ITEM CSL_CITATION {"citationID":"Ge5nbvsz","properties":{"formattedCitation":"(Eigenbrod et al., 2020)","plainCitation":"(Eigenbrod et al., 2020)","dontUpdate":true,"noteIndex":0},"citationItems":[{"id":1402,"uris":["http://zotero.org/users/10985147/items/BNSVFMLE"],"itemData":{"id":1402,"type":"article-journal","abstract":"The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6846D8">
        <w:fldChar w:fldCharType="separate"/>
      </w:r>
      <w:r w:rsidR="006846D8">
        <w:t>Eigenbrod et al. (2020)</w:t>
      </w:r>
      <w:r w:rsidR="006846D8">
        <w:fldChar w:fldCharType="end"/>
      </w:r>
      <w:r w:rsidR="006846D8">
        <w:t xml:space="preserve"> were &gt;0.5%, &gt;10%, and &gt;50%, but we found that applying these thresholds to </w:t>
      </w:r>
      <w:r w:rsidR="00AF48E9">
        <w:t>80</w:t>
      </w:r>
      <w:r w:rsidR="006846D8">
        <w:t xml:space="preserve"> km </w:t>
      </w:r>
      <w:r w:rsidR="00FE43D9">
        <w:t xml:space="preserve">resolution </w:t>
      </w:r>
      <w:r w:rsidR="006846D8">
        <w:t xml:space="preserve">pixels led to as few as 10 out of 25,413 pixels classified in the &gt;50% change category at global extent for the cropland expansion category. We therefore reduced the major and extreme thresholds to &gt;5% and &gt;15%, respectively, to increase the number of pixels above each threshold and reduce the imbalance between the ‘stable’ and ‘change’ categories for random forest modelling. The use of highly imbalanced data when fitting random forest </w:t>
      </w:r>
      <w:r w:rsidR="006846D8">
        <w:lastRenderedPageBreak/>
        <w:t xml:space="preserve">models can lead to low performance when predicting the less frequent category </w:t>
      </w:r>
      <w:r w:rsidR="006846D8">
        <w:fldChar w:fldCharType="begin"/>
      </w:r>
      <w:r w:rsidR="006846D8">
        <w:instrText xml:space="preserve"> ADDIN ZOTERO_ITEM CSL_CITATION {"citationID":"hwPxN9Xl","properties":{"formattedCitation":"(Van Hulse et al., 2007)","plainCitation":"(Van Hulse et al., 2007)","noteIndex":0},"citationItems":[{"id":1392,"uris":["http://zotero.org/users/10985147/items/Y3ZRMNTY"],"itemData":{"id":1392,"type":"paper-conference","container-title":"Proceedings of the 24th international conference on Machine learning","DOI":"https://doi.org/10.1145/1273496.1273614","page":"935-942","title":"Experimental perspectives on learning from imbalanced data","URL":"https://icml.cc/imls/conferences/2007/proceedings/papers/62.pdf","author":[{"family":"Van Hulse","given":"J"},{"family":"Khoshgoftaar","given":"T M"},{"family":"Napolitano","given":"A"}],"issued":{"date-parts":[["2007"]]}}}],"schema":"https://github.com/citation-style-language/schema/raw/master/csl-citation.json"} </w:instrText>
      </w:r>
      <w:r w:rsidR="006846D8">
        <w:fldChar w:fldCharType="separate"/>
      </w:r>
      <w:r w:rsidR="006846D8">
        <w:t>(Van Hulse et al., 2007)</w:t>
      </w:r>
      <w:r w:rsidR="006846D8">
        <w:fldChar w:fldCharType="end"/>
      </w:r>
      <w:r w:rsidR="006846D8">
        <w:t>.</w:t>
      </w:r>
    </w:p>
    <w:p w14:paraId="52245BFA" w14:textId="3C2D393B" w:rsidR="0081045E" w:rsidRDefault="00D97CB1" w:rsidP="7545DAD7">
      <w:r>
        <w:t xml:space="preserve">For random forest models where the dependent variable was forest </w:t>
      </w:r>
      <w:r w:rsidR="00A8163A">
        <w:t>loss</w:t>
      </w:r>
      <w:r>
        <w:t xml:space="preserve">, we excluded pixels with no forest cover in 1992 </w:t>
      </w:r>
      <w:r w:rsidR="00A8163A">
        <w:t xml:space="preserve">because it was not possible for these pixels to lose further </w:t>
      </w:r>
      <w:r w:rsidR="00A96335">
        <w:t xml:space="preserve">forest area. Hence, when modelling forest loss, the extent of </w:t>
      </w:r>
      <w:r w:rsidR="00A16B70">
        <w:t>the</w:t>
      </w:r>
      <w:r w:rsidR="00A96335">
        <w:t xml:space="preserve"> models was </w:t>
      </w:r>
      <w:r w:rsidR="00C950E2">
        <w:t>all</w:t>
      </w:r>
      <w:r w:rsidR="00A96335">
        <w:t xml:space="preserve"> pixel</w:t>
      </w:r>
      <w:r w:rsidR="00C950E2">
        <w:t>s</w:t>
      </w:r>
      <w:r w:rsidR="00A96335">
        <w:t xml:space="preserve"> on the globe that contained forest in 1992. Similarly, for random forests with cropland expansion as the dependent variable, we </w:t>
      </w:r>
      <w:r w:rsidR="00E52B7F">
        <w:t xml:space="preserve">excluded pixels where the bioclimatic suitability for </w:t>
      </w:r>
      <w:r w:rsidR="00E52B7F" w:rsidRPr="00003A0F">
        <w:t>agricult</w:t>
      </w:r>
      <w:r w:rsidR="006E2F74" w:rsidRPr="00003A0F">
        <w:t>ure</w:t>
      </w:r>
      <w:r w:rsidR="006E2F74">
        <w:t xml:space="preserve"> </w:t>
      </w:r>
      <w:r w:rsidR="0075653E">
        <w:t>for the period</w:t>
      </w:r>
      <w:r w:rsidR="00003A0F">
        <w:t xml:space="preserve"> 19</w:t>
      </w:r>
      <w:r w:rsidR="00894EE1">
        <w:t>61-</w:t>
      </w:r>
      <w:r w:rsidR="4CD63F5B">
        <w:t>1990</w:t>
      </w:r>
      <w:r w:rsidR="00B64FE6">
        <w:rPr>
          <w:b/>
          <w:bCs/>
        </w:rPr>
        <w:t xml:space="preserve"> </w:t>
      </w:r>
      <w:r w:rsidR="006E2F74">
        <w:t>(according to the sum of the standardised agroclimatic potential yield of five global crops</w:t>
      </w:r>
      <w:r w:rsidR="00C950E2">
        <w:t xml:space="preserve">; </w:t>
      </w:r>
      <w:r w:rsidR="00C950E2">
        <w:fldChar w:fldCharType="begin"/>
      </w:r>
      <w:r w:rsidR="00FC2E85">
        <w:instrText xml:space="preserve"> ADDIN ZOTERO_ITEM CSL_CITATION {"citationID":"RurRIV8s","properties":{"formattedCitation":"(Fischer et al., 2021)","plainCitation":"(Fischer et al., 2021)","dontUpdate":true,"noteIndex":0},"citationItems":[{"id":1400,"uris":["http://zotero.org/users/10985147/items/PENQZSWB"],"itemData":{"id":1400,"type":"book","number-of-pages":"303","publisher":"FAO &amp; IIASA","title":"Global Agro-Ecological Zones (GAEZ v4) Model Documentation","URL":"https://pure.iiasa.ac.at/id/eprint/17175/1/GAEZ4_model_documentation+app_20210415_withFAOstyles_covers.pdf","author":[{"family":"Fischer","given":"G"},{"family":"Nachtergaele","given":"F O"},{"family":"Velthuizen","given":"H T","non-dropping-particle":"van"},{"family":"Chiozza","given":"F"},{"family":"Franceschini","given":"G"},{"family":"Henry","given":"M"},{"family":"Muchoney","given":"D"},{"family":"Tramberend","given":"S"}],"issued":{"date-parts":[["2021"]]}}}],"schema":"https://github.com/citation-style-language/schema/raw/master/csl-citation.json"} </w:instrText>
      </w:r>
      <w:r w:rsidR="00C950E2">
        <w:fldChar w:fldCharType="separate"/>
      </w:r>
      <w:r w:rsidR="00C950E2" w:rsidRPr="00C950E2">
        <w:t>Fischer et al., 2021)</w:t>
      </w:r>
      <w:r w:rsidR="00C950E2">
        <w:fldChar w:fldCharType="end"/>
      </w:r>
      <w:r w:rsidR="00C950E2">
        <w:t xml:space="preserve"> was equal to zero, on the assumption that cropland would not be able to expand in these pixels. Therefore, the exten</w:t>
      </w:r>
      <w:r w:rsidR="00CC39D7">
        <w:t>t</w:t>
      </w:r>
      <w:r w:rsidR="00C950E2">
        <w:t xml:space="preserve"> of </w:t>
      </w:r>
      <w:r w:rsidR="00DF1723">
        <w:t>the</w:t>
      </w:r>
      <w:r w:rsidR="00C950E2">
        <w:t xml:space="preserve"> random forest models of cropland expansion was all pixels on the global map with </w:t>
      </w:r>
      <w:r w:rsidR="00B64FE6">
        <w:t>bioclimatic suitability for agriculture.</w:t>
      </w:r>
    </w:p>
    <w:p w14:paraId="03443730" w14:textId="69ACAEAF" w:rsidR="0042011F" w:rsidRDefault="00B21ADD" w:rsidP="0081045E">
      <w:r>
        <w:t xml:space="preserve">Overall, global random forest models were fitted for twelve combinations of the type of LULC change (forest loss or cropland expansion), spatial resolution (10 km or </w:t>
      </w:r>
      <w:r w:rsidR="00255F31">
        <w:t>80</w:t>
      </w:r>
      <w:r>
        <w:t xml:space="preserve"> km), and net change threshold</w:t>
      </w:r>
      <w:r w:rsidR="00BD0FE8">
        <w:t xml:space="preserve"> us</w:t>
      </w:r>
      <w:r w:rsidR="00365D5C">
        <w:t>ed</w:t>
      </w:r>
      <w:r w:rsidR="00BD0FE8">
        <w:t xml:space="preserve"> to classify pixels</w:t>
      </w:r>
      <w:r>
        <w:t xml:space="preserve"> (&gt;0.5%, &gt;5%, and &gt;15%). The dependent variable </w:t>
      </w:r>
      <w:r w:rsidR="009705F1">
        <w:t xml:space="preserve">for each model </w:t>
      </w:r>
      <w:r>
        <w:t xml:space="preserve">was </w:t>
      </w:r>
      <w:r w:rsidR="009705F1">
        <w:t>whether</w:t>
      </w:r>
      <w:r w:rsidR="006A1982">
        <w:t xml:space="preserve"> or not</w:t>
      </w:r>
      <w:r w:rsidR="009705F1">
        <w:t xml:space="preserve"> </w:t>
      </w:r>
      <w:r w:rsidR="1BE75585">
        <w:t xml:space="preserve">a pixel </w:t>
      </w:r>
      <w:r w:rsidR="009705F1">
        <w:t>underwent net forest loss or cropland expansion above a given threshold between 1992 and 2020.</w:t>
      </w:r>
    </w:p>
    <w:p w14:paraId="3FDE598C" w14:textId="6D502A05" w:rsidR="009705F1" w:rsidRDefault="009705F1" w:rsidP="00C0514F">
      <w:pPr>
        <w:pStyle w:val="Heading3"/>
        <w:numPr>
          <w:ilvl w:val="2"/>
          <w:numId w:val="2"/>
        </w:numPr>
      </w:pPr>
      <w:r>
        <w:t>Continental models</w:t>
      </w:r>
    </w:p>
    <w:p w14:paraId="348E9205" w14:textId="15AA4147" w:rsidR="007F54B0" w:rsidRDefault="009705F1" w:rsidP="00630049">
      <w:r>
        <w:t>W</w:t>
      </w:r>
      <w:r w:rsidR="005A677D">
        <w:t xml:space="preserve">e also </w:t>
      </w:r>
      <w:r>
        <w:t>fitted random forest models</w:t>
      </w:r>
      <w:r w:rsidR="7513C084">
        <w:t xml:space="preserve"> for</w:t>
      </w:r>
      <w:r>
        <w:t xml:space="preserve"> each continent to</w:t>
      </w:r>
      <w:r w:rsidR="005A677D">
        <w:t xml:space="preserve"> test whether the effect of incorporating landscape metrics as independent variables differed across </w:t>
      </w:r>
      <w:r w:rsidR="0079609B">
        <w:t xml:space="preserve">spatial </w:t>
      </w:r>
      <w:r>
        <w:t>extents</w:t>
      </w:r>
      <w:r w:rsidR="005A677D">
        <w:t xml:space="preserve">. </w:t>
      </w:r>
      <w:r>
        <w:t>The dependent variables were generated in the same way as for the global models</w:t>
      </w:r>
      <w:r w:rsidR="0009618D">
        <w:t xml:space="preserve"> and the extent of each model was limited to the continent of interest. We fitted models of the spatial allocation of cropland expansion or forest loss</w:t>
      </w:r>
      <w:r w:rsidR="005A677D">
        <w:t xml:space="preserve"> for six continents (Africa, Asia, Europe, North America, Oceania, and South America) and two </w:t>
      </w:r>
      <w:r>
        <w:t>spatial resolutions</w:t>
      </w:r>
      <w:r w:rsidR="005A677D">
        <w:t xml:space="preserve">. To minimise the number of models trained, we used a single threshold of &gt;0.5% to </w:t>
      </w:r>
      <w:r w:rsidR="0009618D">
        <w:t>classify pixels that underwent net change between 1992 and 2020</w:t>
      </w:r>
      <w:r w:rsidR="005A677D">
        <w:t>.</w:t>
      </w:r>
    </w:p>
    <w:p w14:paraId="04CBEC9D" w14:textId="1071B523" w:rsidR="007F54B0" w:rsidRPr="00801850" w:rsidRDefault="00630049" w:rsidP="00322EAB">
      <w:pPr>
        <w:pStyle w:val="Heading2"/>
        <w:numPr>
          <w:ilvl w:val="1"/>
          <w:numId w:val="2"/>
        </w:numPr>
      </w:pPr>
      <w:r>
        <w:t>Independent variables</w:t>
      </w:r>
    </w:p>
    <w:p w14:paraId="03814C6E" w14:textId="4102D6C1" w:rsidR="001363AD" w:rsidRDefault="001363AD" w:rsidP="001363AD">
      <w:pPr>
        <w:pStyle w:val="Heading3"/>
        <w:numPr>
          <w:ilvl w:val="2"/>
          <w:numId w:val="2"/>
        </w:numPr>
      </w:pPr>
      <w:r>
        <w:t>Landscape metrics</w:t>
      </w:r>
    </w:p>
    <w:p w14:paraId="2758AEA9" w14:textId="5BB709A8" w:rsidR="00764B85" w:rsidRDefault="00B95D15" w:rsidP="00A30FF4">
      <w:r>
        <w:t xml:space="preserve">Six class-level landscape metrics were used as independent variables for modelling the spatial allocation of LULC change: </w:t>
      </w:r>
      <w:r w:rsidR="009E4E65">
        <w:t xml:space="preserve">class area (CA), Landscape Shape Index (LSI), number of disjunct core area patches (NDCA), number of patches (NP), total core area (TCA), and total edge length (TE). </w:t>
      </w:r>
      <w:r w:rsidR="00C9123A">
        <w:t xml:space="preserve">These six landscape metrics </w:t>
      </w:r>
      <w:r w:rsidR="00AC491C">
        <w:t>have previously been shown</w:t>
      </w:r>
      <w:r w:rsidR="00C9123A">
        <w:t xml:space="preserve"> to behave consistently </w:t>
      </w:r>
      <w:r w:rsidR="00AC491C">
        <w:t xml:space="preserve">as the spatial resolution on which they were calculated was increased </w:t>
      </w:r>
      <w:r w:rsidR="00675FEB">
        <w:t xml:space="preserve">at global </w:t>
      </w:r>
      <w:r w:rsidR="003559AD">
        <w:t>scale</w:t>
      </w:r>
      <w:r w:rsidR="0065215D">
        <w:t xml:space="preserve"> </w:t>
      </w:r>
      <w:r w:rsidR="0065215D">
        <w:fldChar w:fldCharType="begin"/>
      </w:r>
      <w:r w:rsidR="00DA099B">
        <w:instrText xml:space="preserve"> ADDIN ZOTERO_ITEM CSL_CITATION {"citationID":"yTQOcyxr","properties":{"formattedCitation":"(Woodman et al., 2025a)","plainCitation":"(Woodman et al., 2025a)","noteIndex":0},"citationItems":[{"id":2701,"uris":["http://zotero.org/users/10985147/items/4CNYEW32"],"itemData":{"id":2701,"type":"article-journal","abstract":"Abstract\n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rsidR="0065215D">
        <w:fldChar w:fldCharType="separate"/>
      </w:r>
      <w:r w:rsidR="00DA099B" w:rsidRPr="00DA099B">
        <w:t>(Woodman et al., 2025a)</w:t>
      </w:r>
      <w:r w:rsidR="0065215D">
        <w:fldChar w:fldCharType="end"/>
      </w:r>
      <w:r w:rsidR="0065215D">
        <w:t>.</w:t>
      </w:r>
      <w:r w:rsidR="00CB3BCC">
        <w:t xml:space="preserve"> </w:t>
      </w:r>
      <w:r w:rsidR="00D21EAC">
        <w:t xml:space="preserve">Therefore, we selected these metrics as their capacity to model LULC change at different spatial resolutions should not be affected by scale-sensitive </w:t>
      </w:r>
      <w:r w:rsidR="00D21EAC">
        <w:lastRenderedPageBreak/>
        <w:t>behaviour of the metrics themselves</w:t>
      </w:r>
      <w:r w:rsidR="0065215D">
        <w:t>.</w:t>
      </w:r>
      <w:r w:rsidR="00675FEB">
        <w:t xml:space="preserve"> </w:t>
      </w:r>
      <w:r w:rsidR="00D21EAC">
        <w:t xml:space="preserve">Moreover, the </w:t>
      </w:r>
      <w:proofErr w:type="gramStart"/>
      <w:r w:rsidR="00D21EAC">
        <w:t>six landscape</w:t>
      </w:r>
      <w:proofErr w:type="gramEnd"/>
      <w:r w:rsidR="003461B1">
        <w:t xml:space="preserve"> metrics include measures of both the area (e.g. CA) and configuration (e.g</w:t>
      </w:r>
      <w:r w:rsidR="00017C4A">
        <w:t>.</w:t>
      </w:r>
      <w:r w:rsidR="003461B1">
        <w:t xml:space="preserve"> number of patches and Landscape Shape Index) of LULC classes</w:t>
      </w:r>
      <w:r w:rsidR="00792C5C">
        <w:t xml:space="preserve">. </w:t>
      </w:r>
      <w:r w:rsidR="009E4E65">
        <w:t xml:space="preserve">The six </w:t>
      </w:r>
      <w:r w:rsidR="00745456">
        <w:t xml:space="preserve">landscape </w:t>
      </w:r>
      <w:r w:rsidR="009E4E65">
        <w:t xml:space="preserve">metrics were obtained for seven LULC classes (urban, cropland, pasture/rangeland, forest, unmanaged grass/shrubland, sparse/no vegetation, and water) </w:t>
      </w:r>
      <w:r w:rsidR="00695276">
        <w:t xml:space="preserve">in 1992 </w:t>
      </w:r>
      <w:r w:rsidR="009E4E65">
        <w:t>from the same</w:t>
      </w:r>
      <w:r w:rsidR="00F37FBA">
        <w:t xml:space="preserve"> set of global maps</w:t>
      </w:r>
      <w:r w:rsidR="009E4E65">
        <w:t xml:space="preserve"> that was used to generate the dependent variables </w:t>
      </w:r>
      <w:r w:rsidR="009E4E65">
        <w:fldChar w:fldCharType="begin"/>
      </w:r>
      <w:r w:rsidR="00E91F9C">
        <w:instrText xml:space="preserve"> ADDIN ZOTERO_ITEM CSL_CITATION {"citationID":"WOa8X2kC","properties":{"formattedCitation":"(Woodman et al., 2025c, 2025a)","plainCitation":"(Woodman et al., 2025c, 2025a)","dontUpdate":true,"noteIndex":0},"citationItems":[{"id":2602,"uris":["http://zotero.org/users/10985147/items/MS5TPIP3"],"itemData":{"id":2602,"type":"dataset","abstract":"This archive contains a global-scale dataset of landscape patterns that were generated for the paper 'Global assessment of landscape pattern changes from 1992 to 2020'. We calculated landscape patterns at yearly intervals between 1992 and 2020 for six land use and land cover (LULC) classes (urban, cropland, pasture/rangeland, forest, unmanaged grass/shrubland and sparse/no vegetation) using the HILDA+ version 2b dataset (https://doi.org/10.1038/s41467-021-22702-2; https://doi.org/10.1594/PANGAEA.921846; https://doi.pangaea.de/10.1594/PANGAEA.974335; version 2b available at https://doi.org/10.5281/zenodo.15017066). Six class-level landscape metrics were used to quantify landscape patterns: class area (CA), Landscape Shape Index (LSI), number of disjunct core area patches (NDCA), number of patches (NP), total core area (TCA), and total edge length (TE). These six landscape metrics were calculated at global-scale for landscapes with five different extents: 100, 400, 1600, 6400 and 25600 square kilometres. All landscape metrics were calculated in R using the 'landscapemetrics' package (https://doi.org/10.1111/ecog.04617).","DOI":"10.5281/ZENODO.15120267","license":"Creative Commons Attribution 4.0 International","publisher":"Zenodo","source":"DOI.org (Datacite)","title":"Global-scale landscape pattern dataset from 1992 to 2020","URL":"https://zenodo.org/doi/10.5281/zenodo.15120267","author":[{"family":"Woodman","given":"Tamsin L."},{"family":"Alexander","given":"Peter"},{"family":"Burslem","given":"David F.R.P."},{"family":"Travis","given":"Justin M.J."},{"family":"Winkler","given":"Karina"},{"family":"Eigenbrod","given":"Felix"}],"accessed":{"date-parts":[["2025",4,25]]},"issued":{"date-parts":[["2025",4,1]]}}},{"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rsidR="009E4E65">
        <w:fldChar w:fldCharType="separate"/>
      </w:r>
      <w:r w:rsidR="00DA099B" w:rsidRPr="00DA099B">
        <w:t>(Woodman et al., 2025</w:t>
      </w:r>
      <w:r w:rsidR="00EF2567">
        <w:t>b</w:t>
      </w:r>
      <w:r w:rsidR="00DA099B" w:rsidRPr="00DA099B">
        <w:t>, 2025a)</w:t>
      </w:r>
      <w:r w:rsidR="009E4E65">
        <w:fldChar w:fldCharType="end"/>
      </w:r>
      <w:r w:rsidR="00501340">
        <w:t xml:space="preserve">. Hence, the landscape metrics were at the same spatial resolutions (10 km and </w:t>
      </w:r>
      <w:r w:rsidR="00255F31">
        <w:t>80</w:t>
      </w:r>
      <w:r w:rsidR="00501340">
        <w:t xml:space="preserve"> km) as the dependent variable</w:t>
      </w:r>
      <w:r w:rsidR="002F4BD0">
        <w:t>s for the random forest models</w:t>
      </w:r>
      <w:r w:rsidR="00501340">
        <w:t xml:space="preserve">. Each pixel in the </w:t>
      </w:r>
      <w:r w:rsidR="00F37FBA">
        <w:t xml:space="preserve">maps of </w:t>
      </w:r>
      <w:r w:rsidR="00251105">
        <w:t xml:space="preserve">landscape metrics had a value for every landscape metric and LULC class, although there were missing values for metrics </w:t>
      </w:r>
      <w:r w:rsidR="00507275">
        <w:t>where</w:t>
      </w:r>
      <w:r w:rsidR="00251105">
        <w:t xml:space="preserve"> LULC classes </w:t>
      </w:r>
      <w:r w:rsidR="00695276">
        <w:t>we</w:t>
      </w:r>
      <w:r w:rsidR="00251105">
        <w:t>re not present in a</w:t>
      </w:r>
      <w:r w:rsidR="00507275">
        <w:t xml:space="preserve"> </w:t>
      </w:r>
      <w:r w:rsidR="00251105">
        <w:t xml:space="preserve">pixel </w:t>
      </w:r>
      <w:r w:rsidR="00251105">
        <w:fldChar w:fldCharType="begin"/>
      </w:r>
      <w:r w:rsidR="00DA099B">
        <w:instrText xml:space="preserve"> ADDIN ZOTERO_ITEM CSL_CITATION {"citationID":"x5r3P0uV","properties":{"formattedCitation":"(Woodman et al., 2025a)","plainCitation":"(Woodman et al., 2025a)","noteIndex":0},"citationItems":[{"id":2701,"uris":["http://zotero.org/users/10985147/items/4CNYEW32"],"itemData":{"id":2701,"type":"article-journal","abstract":"Abstract\n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rsidR="00251105">
        <w:fldChar w:fldCharType="separate"/>
      </w:r>
      <w:r w:rsidR="00DA099B" w:rsidRPr="00DA099B">
        <w:t>(Woodman et al., 2025a)</w:t>
      </w:r>
      <w:r w:rsidR="00251105">
        <w:fldChar w:fldCharType="end"/>
      </w:r>
      <w:r w:rsidR="002F4BD0">
        <w:t xml:space="preserve">. </w:t>
      </w:r>
      <w:r w:rsidR="00EC2A26">
        <w:t xml:space="preserve">For example, </w:t>
      </w:r>
      <w:r w:rsidR="005111D8">
        <w:t xml:space="preserve">57.3% of </w:t>
      </w:r>
      <w:r w:rsidR="00AF48E9">
        <w:t>80</w:t>
      </w:r>
      <w:r w:rsidR="005111D8">
        <w:t xml:space="preserve"> km pixels did not contain the urban LULC class and </w:t>
      </w:r>
      <w:r w:rsidR="00507275">
        <w:t xml:space="preserve">therefore </w:t>
      </w:r>
      <w:r w:rsidR="005111D8">
        <w:t xml:space="preserve">had missing values for the </w:t>
      </w:r>
      <w:proofErr w:type="gramStart"/>
      <w:r w:rsidR="005111D8">
        <w:t>six landscape</w:t>
      </w:r>
      <w:proofErr w:type="gramEnd"/>
      <w:r w:rsidR="005111D8">
        <w:t xml:space="preserve"> metrics for this class. </w:t>
      </w:r>
      <w:r w:rsidR="001A052B">
        <w:t xml:space="preserve">The ‘ranger’ </w:t>
      </w:r>
      <w:r w:rsidR="00EC2A26">
        <w:t>and ‘</w:t>
      </w:r>
      <w:proofErr w:type="spellStart"/>
      <w:r w:rsidR="00EC2A26">
        <w:t>tidymodels</w:t>
      </w:r>
      <w:proofErr w:type="spellEnd"/>
      <w:r w:rsidR="00EC2A26">
        <w:t xml:space="preserve">’ R packages that we used to fit </w:t>
      </w:r>
      <w:r w:rsidR="005111D8">
        <w:t xml:space="preserve">random forest models did not allow for missing values in the independent variables </w:t>
      </w:r>
      <w:r w:rsidR="00C97901">
        <w:fldChar w:fldCharType="begin"/>
      </w:r>
      <w:r w:rsidR="00FC2E85">
        <w:instrText xml:space="preserve"> ADDIN ZOTERO_ITEM CSL_CITATION {"citationID":"uUbd0Xab","properties":{"formattedCitation":"(Kuhn &amp; Wickham, 2020; Wright &amp; Ziegler, 2017)","plainCitation":"(Kuhn &amp; Wickham, 2020; Wright &amp; Ziegler, 2017)","noteIndex":0},"citationItems":[{"id":1391,"uris":["http://zotero.org/users/10985147/items/X2FTRVP5"],"itemData":{"id":1391,"type":"software","title":"Tidymodels: a collection of packages for modeling and machine learning using tidyverse principles","URL":"https://www.tidymodels.org","author":[{"family":"Kuhn","given":"Max"},{"family":"Wickham","given":"Hadley"}],"issued":{"date-parts":[["2020"]]}}},{"id":1364,"uris":["http://zotero.org/users/10985147/items/CHRLF77K"],"itemData":{"id":1364,"type":"article-journal","container-title":"Journal of Statistical Software","DOI":"10.18637/jss.v077.i01","ISSN":"1548-7660","issue":"1","journalAbbreviation":"J. Stat. Soft.","language":"en","page":"1-17","source":"DOI.org (Crossref)","title":"ranger : A Fast Implementation of Random Forests for High Dimensional Data in &lt;i&gt;C++&lt;/i&gt; and &lt;i&gt;R&lt;/i&gt;","title-short":"&lt;b&gt;ranger&lt;/b&gt;","volume":"77","author":[{"family":"Wright","given":"Marvin N."},{"family":"Ziegler","given":"Andreas"}],"issued":{"date-parts":[["2017"]]}}}],"schema":"https://github.com/citation-style-language/schema/raw/master/csl-citation.json"} </w:instrText>
      </w:r>
      <w:r w:rsidR="00C97901">
        <w:fldChar w:fldCharType="separate"/>
      </w:r>
      <w:r w:rsidR="00C97901" w:rsidRPr="00C97901">
        <w:t>(Kuhn &amp; Wickham, 2020; Wright &amp; Ziegler, 2017)</w:t>
      </w:r>
      <w:r w:rsidR="00C97901">
        <w:fldChar w:fldCharType="end"/>
      </w:r>
      <w:r w:rsidR="001C516F">
        <w:t xml:space="preserve">. Given that the missing values represented the absence of a </w:t>
      </w:r>
      <w:r w:rsidR="00946D76">
        <w:t>LULC class</w:t>
      </w:r>
      <w:r w:rsidR="001C516F">
        <w:t xml:space="preserve"> from </w:t>
      </w:r>
      <w:r w:rsidR="00946D76">
        <w:t>a</w:t>
      </w:r>
      <w:r w:rsidR="001C516F">
        <w:t xml:space="preserve"> landscape</w:t>
      </w:r>
      <w:r w:rsidR="006527A1">
        <w:t xml:space="preserve">, which is useful information for modelling LULC change, </w:t>
      </w:r>
      <w:r w:rsidR="002F4BD0">
        <w:t>we replaced all missing values for landscape metrics with zero</w:t>
      </w:r>
      <w:r w:rsidR="006527A1">
        <w:t xml:space="preserve"> rather than removing </w:t>
      </w:r>
      <w:r w:rsidR="00F7151A">
        <w:t xml:space="preserve">the </w:t>
      </w:r>
      <w:r w:rsidR="006527A1">
        <w:t>pixels with missing values</w:t>
      </w:r>
      <w:r w:rsidR="009463F5">
        <w:t xml:space="preserve"> and reducing the number of pixels available for modelling</w:t>
      </w:r>
      <w:r w:rsidR="002F4BD0">
        <w:t>.</w:t>
      </w:r>
    </w:p>
    <w:p w14:paraId="642F4F90" w14:textId="56186FA8" w:rsidR="001363AD" w:rsidRDefault="001363AD" w:rsidP="001363AD">
      <w:pPr>
        <w:pStyle w:val="Heading3"/>
        <w:numPr>
          <w:ilvl w:val="2"/>
          <w:numId w:val="2"/>
        </w:numPr>
      </w:pPr>
      <w:r>
        <w:t>Socioeconomic and biophysical variables</w:t>
      </w:r>
    </w:p>
    <w:p w14:paraId="2A6C72CA" w14:textId="797C8D53" w:rsidR="006B3C54" w:rsidRDefault="00A52EE1">
      <w:r>
        <w:t xml:space="preserve">Global </w:t>
      </w:r>
      <w:r w:rsidR="001E559F">
        <w:t xml:space="preserve">maps of </w:t>
      </w:r>
      <w:r>
        <w:t xml:space="preserve">biophysical and socioeconomic </w:t>
      </w:r>
      <w:r w:rsidR="001E559F">
        <w:t>variables</w:t>
      </w:r>
      <w:r>
        <w:t xml:space="preserve"> at 5 </w:t>
      </w:r>
      <w:r w:rsidR="0060362E">
        <w:t>x</w:t>
      </w:r>
      <w:r>
        <w:t xml:space="preserve"> 5 arcminute resolution </w:t>
      </w:r>
      <w:r w:rsidR="00B948DB">
        <w:t xml:space="preserve">(approximately </w:t>
      </w:r>
      <w:r w:rsidR="00DC317A">
        <w:t>9.3 x 9.3</w:t>
      </w:r>
      <w:r w:rsidR="000A37DD">
        <w:t xml:space="preserve"> km at the equator) </w:t>
      </w:r>
      <w:r>
        <w:t xml:space="preserve">were selected for use as </w:t>
      </w:r>
      <w:r w:rsidR="00383433">
        <w:t>independent variables</w:t>
      </w:r>
      <w:r>
        <w:t xml:space="preserve"> in models of LULC change, to enable us to compare how well landscape metrics versus </w:t>
      </w:r>
      <w:r w:rsidR="00276242">
        <w:t>traditionally-used biophysical and socioeconomic</w:t>
      </w:r>
      <w:r w:rsidR="00523CF2">
        <w:t xml:space="preserve"> variables</w:t>
      </w:r>
      <w:r>
        <w:t xml:space="preserve"> were able to </w:t>
      </w:r>
      <w:r w:rsidR="00EC7108">
        <w:t>model</w:t>
      </w:r>
      <w:r>
        <w:t xml:space="preserve"> forest loss and cropland expansion. Five socioeconomic and biophysical datasets from </w:t>
      </w:r>
      <w:r w:rsidR="00DA2F92">
        <w:fldChar w:fldCharType="begin"/>
      </w:r>
      <w:r w:rsidR="00FC2E85">
        <w:instrText xml:space="preserve"> ADDIN ZOTERO_ITEM CSL_CITATION {"citationID":"ZybGGaUc","properties":{"formattedCitation":"(Eigenbrod et al., 2020)","plainCitation":"(Eigenbrod et al., 2020)","dontUpdate":true,"noteIndex":0},"citationItems":[{"id":1402,"uris":["http://zotero.org/users/10985147/items/BNSVFMLE"],"itemData":{"id":1402,"type":"article-journal","abstract":"The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DA2F92">
        <w:fldChar w:fldCharType="separate"/>
      </w:r>
      <w:r w:rsidR="00DA2F92" w:rsidRPr="00DA2F92">
        <w:t xml:space="preserve">Eigenbrod et al. </w:t>
      </w:r>
      <w:r w:rsidR="005D1ABF">
        <w:t>(</w:t>
      </w:r>
      <w:r w:rsidR="00DA2F92" w:rsidRPr="00DA2F92">
        <w:t>2020)</w:t>
      </w:r>
      <w:r w:rsidR="00DA2F92">
        <w:fldChar w:fldCharType="end"/>
      </w:r>
      <w:r>
        <w:t xml:space="preserve"> were chosen as </w:t>
      </w:r>
      <w:r w:rsidR="00774CEB">
        <w:t>independent variable</w:t>
      </w:r>
      <w:r>
        <w:t xml:space="preserve">s because they were previously identified as being related to classical theories of agricultural expansion. Moreover, these datasets were all generated independently of LULC, which avoids circularity in our conceptual models of LULC change </w:t>
      </w:r>
      <w:r w:rsidR="00DA2F92">
        <w:fldChar w:fldCharType="begin"/>
      </w:r>
      <w:r w:rsidR="00FC2E85">
        <w:instrText xml:space="preserve"> ADDIN ZOTERO_ITEM CSL_CITATION {"citationID":"VeMtYJlF","properties":{"formattedCitation":"(Eigenbrod et al., 2020)","plainCitation":"(Eigenbrod et al., 2020)","noteIndex":0},"citationItems":[{"id":1402,"uris":["http://zotero.org/users/10985147/items/BNSVFMLE"],"itemData":{"id":1402,"type":"article-journal","abstract":"The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DA2F92">
        <w:fldChar w:fldCharType="separate"/>
      </w:r>
      <w:r w:rsidR="00550ED7" w:rsidRPr="00550ED7">
        <w:t>(Eigenbrod et al., 2020)</w:t>
      </w:r>
      <w:r w:rsidR="00DA2F92">
        <w:fldChar w:fldCharType="end"/>
      </w:r>
      <w:r>
        <w:t xml:space="preserve">. The five selected datasets were: 1) bioclimatic suitability for agriculture, which was the </w:t>
      </w:r>
      <w:r w:rsidR="00982244">
        <w:t>sum of the standardised</w:t>
      </w:r>
      <w:r>
        <w:t xml:space="preserve"> agroclimatic potential yield of five global crops (soy, rice, maize, wheat, and oil palm</w:t>
      </w:r>
      <w:r w:rsidR="00FC009E">
        <w:t xml:space="preserve">) </w:t>
      </w:r>
      <w:r w:rsidR="00396CF5">
        <w:t>for the period</w:t>
      </w:r>
      <w:r w:rsidR="00622B2A">
        <w:t xml:space="preserve"> 1961-1990 </w:t>
      </w:r>
      <w:r w:rsidR="00622B2A">
        <w:fldChar w:fldCharType="begin"/>
      </w:r>
      <w:r w:rsidR="00FC2E85">
        <w:instrText xml:space="preserve"> ADDIN ZOTERO_ITEM CSL_CITATION {"citationID":"L8IXtgos","properties":{"formattedCitation":"(Fischer et al., 2021)","plainCitation":"(Fischer et al., 2021)","noteIndex":0},"citationItems":[{"id":1400,"uris":["http://zotero.org/users/10985147/items/PENQZSWB"],"itemData":{"id":1400,"type":"book","number-of-pages":"303","publisher":"FAO &amp; IIASA","title":"Global Agro-Ecological Zones (GAEZ v4) Model Documentation","URL":"https://pure.iiasa.ac.at/id/eprint/17175/1/GAEZ4_model_documentation+app_20210415_withFAOstyles_covers.pdf","author":[{"family":"Fischer","given":"G"},{"family":"Nachtergaele","given":"F O"},{"family":"Velthuizen","given":"H T","non-dropping-particle":"van"},{"family":"Chiozza","given":"F"},{"family":"Franceschini","given":"G"},{"family":"Henry","given":"M"},{"family":"Muchoney","given":"D"},{"family":"Tramberend","given":"S"}],"issued":{"date-parts":[["2021"]]}}}],"schema":"https://github.com/citation-style-language/schema/raw/master/csl-citation.json"} </w:instrText>
      </w:r>
      <w:r w:rsidR="00622B2A">
        <w:fldChar w:fldCharType="separate"/>
      </w:r>
      <w:r w:rsidR="00622B2A" w:rsidRPr="00622B2A">
        <w:t>(Fischer et al., 2021)</w:t>
      </w:r>
      <w:r w:rsidR="00622B2A">
        <w:fldChar w:fldCharType="end"/>
      </w:r>
      <w:r>
        <w:t xml:space="preserve">; 2) steepness, defined as the percentage of grid cells with slope above 15% </w:t>
      </w:r>
      <w:r w:rsidR="00DA2F92">
        <w:fldChar w:fldCharType="begin"/>
      </w:r>
      <w:r w:rsidR="00FC2E85">
        <w:instrText xml:space="preserve"> ADDIN ZOTERO_ITEM CSL_CITATION {"citationID":"hTa9RHlE","properties":{"formattedCitation":"(Fischer et al., 2021)","plainCitation":"(Fischer et al., 2021)","noteIndex":0},"citationItems":[{"id":1400,"uris":["http://zotero.org/users/10985147/items/PENQZSWB"],"itemData":{"id":1400,"type":"book","number-of-pages":"303","publisher":"FAO &amp; IIASA","title":"Global Agro-Ecological Zones (GAEZ v4) Model Documentation","URL":"https://pure.iiasa.ac.at/id/eprint/17175/1/GAEZ4_model_documentation+app_20210415_withFAOstyles_covers.pdf","author":[{"family":"Fischer","given":"G"},{"family":"Nachtergaele","given":"F O"},{"family":"Velthuizen","given":"H T","non-dropping-particle":"van"},{"family":"Chiozza","given":"F"},{"family":"Franceschini","given":"G"},{"family":"Henry","given":"M"},{"family":"Muchoney","given":"D"},{"family":"Tramberend","given":"S"}],"issued":{"date-parts":[["2021"]]}}}],"schema":"https://github.com/citation-style-language/schema/raw/master/csl-citation.json"} </w:instrText>
      </w:r>
      <w:r w:rsidR="00DA2F92">
        <w:fldChar w:fldCharType="separate"/>
      </w:r>
      <w:r w:rsidR="00550ED7" w:rsidRPr="00550ED7">
        <w:t>(Fischer et al., 2021)</w:t>
      </w:r>
      <w:r w:rsidR="00DA2F92">
        <w:fldChar w:fldCharType="end"/>
      </w:r>
      <w:r>
        <w:t>; 3) market accessibility in terms of the distance to markets</w:t>
      </w:r>
      <w:r w:rsidR="00E9799C">
        <w:t xml:space="preserve"> </w:t>
      </w:r>
      <w:r w:rsidR="00E9799C">
        <w:fldChar w:fldCharType="begin"/>
      </w:r>
      <w:r w:rsidR="00FC2E85">
        <w:instrText xml:space="preserve"> ADDIN ZOTERO_ITEM CSL_CITATION {"citationID":"wHHyQQEV","properties":{"formattedCitation":"(P. Verburg et al., 2024)","plainCitation":"(P. Verburg et al., 2024)","noteIndex":0},"citationItems":[{"id":2647,"uris":["http://zotero.org/users/10985147/items/59XLGLBG"],"itemData":{"id":2647,"type":"dataset","abstract":"Markets influence the global patterns of urbanization, deforestation, agriculture and other land use systems. Yet market influence is rarely incorporated into spatially explicit global studies of environmental change, largely because consistent global data are lacking below the national level. Here we present the first high spatial resolution gridded data depicting market influence globally. The data jointly represent variations in both market strength and accessibility based on three market influence indices derived from an index of accessibility to market locations and national level gross domestic product (purchasing power parity). These indices show strong correspondence with human population density while also revealing several distinct and useful relationships with other global environmental patterns. As market influence grows, the need for high resolution global data on market influence and its dynamics will become increasingly important to understanding and forecasting global environmental change.","DOI":"10.34894/WPRHFF","publisher":"DataverseNL","source":"DOI.org (Datacite)","title":"A global assessment of market accessibility and market influence for global environmental change studies","URL":"https://dataverse.nl/citation?persistentId=doi:10.34894/WPRHFF","author":[{"family":"Verburg","given":"Peter"},{"family":"Ellis","given":"Erle C"},{"family":"Letourneau","given":"Aurelien"}],"contributor":[{"family":"Verburg","given":"Peter"}],"accessed":{"date-parts":[["2025",5,21]]},"issued":{"date-parts":[["2024"]]}}}],"schema":"https://github.com/citation-style-language/schema/raw/master/csl-citation.json"} </w:instrText>
      </w:r>
      <w:r w:rsidR="00E9799C">
        <w:fldChar w:fldCharType="separate"/>
      </w:r>
      <w:r w:rsidR="00E9799C" w:rsidRPr="00E9799C">
        <w:t>(P. Verburg et al., 2024)</w:t>
      </w:r>
      <w:r w:rsidR="00E9799C">
        <w:fldChar w:fldCharType="end"/>
      </w:r>
      <w:r w:rsidR="00D7535A">
        <w:t xml:space="preserve">, which </w:t>
      </w:r>
      <w:r w:rsidR="00E9799C">
        <w:t>was</w:t>
      </w:r>
      <w:r w:rsidR="009C4483">
        <w:t xml:space="preserve"> </w:t>
      </w:r>
      <w:r w:rsidR="00396CF5">
        <w:t xml:space="preserve">calculated </w:t>
      </w:r>
      <w:r w:rsidR="00E9799C">
        <w:t xml:space="preserve">by </w:t>
      </w:r>
      <w:r w:rsidR="00E9799C">
        <w:fldChar w:fldCharType="begin"/>
      </w:r>
      <w:r w:rsidR="00FC2E85">
        <w:instrText xml:space="preserve"> ADDIN ZOTERO_ITEM CSL_CITATION {"citationID":"aEGfOSqh","properties":{"formattedCitation":"(P. H. Verburg et al., 2011)","plainCitation":"(P. H. Verburg et al., 2011)","dontUpdate":true,"noteIndex":0},"citationItems":[{"id":1369,"uris":["http://zotero.org/users/10985147/items/LDEFMKT8"],"itemData":{"id":1369,"type":"article-journal","container-title":"Environmental Research Letters","DOI":"10.1088/1748-9326/6/3/034019","ISSN":"1748-9326","issue":"3","journalAbbreviation":"Environ. Res. Lett.","page":"034019","source":"DOI.org (Crossref)","title":"A global assessment of market accessibility and market influence for global environmental change studies","volume":"6","author":[{"family":"Verburg","given":"Peter H"},{"family":"Ellis","given":"Erle C"},{"family":"Letourneau","given":"Aurelien"}],"issued":{"date-parts":[["2011",7,1]]}}}],"schema":"https://github.com/citation-style-language/schema/raw/master/csl-citation.json"} </w:instrText>
      </w:r>
      <w:r w:rsidR="00E9799C">
        <w:fldChar w:fldCharType="separate"/>
      </w:r>
      <w:r w:rsidR="00E9799C" w:rsidRPr="00E9799C">
        <w:t xml:space="preserve">P. H. Verburg et al. </w:t>
      </w:r>
      <w:r w:rsidR="00E9799C">
        <w:t>(</w:t>
      </w:r>
      <w:r w:rsidR="00E9799C" w:rsidRPr="00E9799C">
        <w:t>2011)</w:t>
      </w:r>
      <w:r w:rsidR="00E9799C">
        <w:fldChar w:fldCharType="end"/>
      </w:r>
      <w:r w:rsidR="00E9799C">
        <w:t xml:space="preserve"> </w:t>
      </w:r>
      <w:r w:rsidR="009B5C7B">
        <w:t>using</w:t>
      </w:r>
      <w:r w:rsidR="00D7535A">
        <w:t xml:space="preserve"> a range of data</w:t>
      </w:r>
      <w:r w:rsidR="009C4483">
        <w:t>sets</w:t>
      </w:r>
      <w:r w:rsidR="00D7535A">
        <w:t xml:space="preserve"> from</w:t>
      </w:r>
      <w:r w:rsidR="00396CF5">
        <w:t xml:space="preserve"> between</w:t>
      </w:r>
      <w:r w:rsidR="00D7535A">
        <w:t xml:space="preserve"> 1979</w:t>
      </w:r>
      <w:r w:rsidR="00396CF5">
        <w:t xml:space="preserve"> and </w:t>
      </w:r>
      <w:r w:rsidR="00D7535A">
        <w:t>2010</w:t>
      </w:r>
      <w:r>
        <w:t xml:space="preserve">; 4) GDP in 1992 </w:t>
      </w:r>
      <w:r w:rsidR="00DA2F92">
        <w:fldChar w:fldCharType="begin"/>
      </w:r>
      <w:r w:rsidR="00FC2E85">
        <w:instrText xml:space="preserve"> ADDIN ZOTERO_ITEM CSL_CITATION {"citationID":"H4J5taSC","properties":{"formattedCitation":"(Kummu et al., 2024, 2025)","plainCitation":"(Kummu et al., 2024, 2025)","noteIndex":0},"citationItems":[{"id":7,"uris":["http://zotero.org/users/10985147/items/7745LE7B"],"itemData":{"id":7,"type":"article-journal","container-title":"Scientific Data","DOI":"https://doi.org/10.1038/s41597-025-04487-x","journalAbbreviation":"Sci. Data","page":"178","title":"Downscaled gridded global dataset for gross domestic product (GDP) per capita PPP over 1990–2022","volume":"12","author":[{"family":"Kummu","given":"M"},{"family":"Kosonen","given":"M"},{"family":"Masoumzadeh Sayyar","given":"S"}],"issued":{"date-parts":[["2025"]]}}},{"id":6,"uris":["http://zotero.org/users/10985147/items/ATK53AFL"],"itemData":{"id":6,"type":"dataset","abstract":"[Please use the Version v2 data (see tab on the right)]\n\nThis dataset provides a gridded dataset for GDP per capita at purchasing power parity (PPP) downscaled to an admin 2 level (43,501 admin units). The dataset is based on reported subnational admin data (from 89 countries and 2,708 subnational units) and spans three decades from 1990 to 2022. \n\nThe dataset is presented in details in the following publication. Please cite this paper when using data. \n\nKummu et al. 2024. Downscaled gridded global dataset for gross domestic product (GDP) per capita PPP over 1990-2022. Submitted to Scientific Data. \n\nPreprint is available at: https://doi.org/10.21203/rs.3.rs-4321741/v1\n\nCode is available at: https://github.com/mattikummu/griddedGDPpc \n\n \n\nThe following data is given (formats in brackets)\n\n\n\nGDP per capita (PPP) at admin 0 level (national) (GeoTIFF, gpkg, csv)\n\nGDP per capita (PPP) at admin 1 level (at the level of reporting, either admin 1 level or admin 0 level) (GeoTIFF, gpkg, csv)\n\nGDP per capita (PPP) at admin 2 level (downscaled from admin 1 level) (GeoTIFF, gpkg, csv)\n\nTotal GDP (PPP), downscaled admin 2 level GDP per capita (PPP) multiplied by gridded population count, with three resolutions: 30 arc-sec, 5 arc-min, and 30 arc-min (GeoTIFF) \n\nInput data for the script that was used to generate the data above (code_input_data.zip). Code available at https://github.com/mattikummu/griddedGDPpc \n\n\nFiles are named as followsFormat: raster data (GeoTIFF) starts with rast_*, polygon data (gpkg) with polyg_*, and tabulated with tabulated_*. Admin levels: adm0 for admin 0 level, adm1 for admin 1 level, and adm2 for admin 2 levelProduct type: GDP per capita at purchasing power parity (PPP): _gdp_pc_; and total GDP at purchasing power parity (PPP): _gdp_tot_\n\n \n\nMetadata \n\nGrids for GDP per capita data:\n\nResolution: 5 arc-min (0.083333333 degrees) \n\nSpatial extent: Lon: -180, 180; -90, 90 (xmin, xmax, ymin, ymax) \n\nCoordinate ref system: EPSG:4326 - WGS 84 \n\nFormat: Multiband geotiff; each band for each year over 1990-2022 \n\nUnits: USD in 2017 international dollars\n\n \n\nGrids for total GDP:\n\nResolution: 30 arc-sec, 5 arc-min or 30 arc-min\n\nSpatial extent: Lon: -180, 180; -90, 90 (xmin, xmax, ymin, ymax) \n\nCoordinate ref system: EPSG:4326 - WGS 84 \n\nFormat: Multiband geotiff; each band for each year over 1990-2020 (5 arc-min, 30 arc-min) or for each five years 1990, 1995, ... 2015, 2020 (30 arc-sec)\n\nUnits: USD in 2017 international dollars\n\n \n\nGeospatial polygon (gpkg) files: \n\nSpatial extent: -180, 180; -90, 83.67 (xmin, xmax, ymin, ymax) \n\nTemporal extent: annual over 1990-2022\n\nCoordinate ref system: EPSG:4326 - WGS 84 \n\nFormat: gkpk \n\nUnits:  USD in 2017 international dollars","DOI":"10.5281/ZENODO.10976734","license":"Creative Commons Attribution 4.0 International","publisher":"Zenodo","source":"DOI.org (Datacite)","title":"Data for: Downscaled gridded global dataset for Gross Domestic Product (GDP) per capita at purchasing power parity (PPP) over 1990-2022 [dataset]","title-short":"Data for","URL":"https://zenodo.org/doi/10.5281/zenodo.10976734","author":[{"family":"Kummu","given":"Matti"},{"family":"Kosonen","given":"Maria"},{"family":"Masoumzadeh Sayyar","given":"Sina"}],"accessed":{"date-parts":[["2025",4,2]]},"issued":{"date-parts":[["2024",4,16]]}}}],"schema":"https://github.com/citation-style-language/schema/raw/master/csl-citation.json"} </w:instrText>
      </w:r>
      <w:r w:rsidR="00DA2F92">
        <w:fldChar w:fldCharType="separate"/>
      </w:r>
      <w:r w:rsidR="00550ED7" w:rsidRPr="00550ED7">
        <w:t>(Kummu et al., 2024, 2025)</w:t>
      </w:r>
      <w:r w:rsidR="00DA2F92">
        <w:fldChar w:fldCharType="end"/>
      </w:r>
      <w:r>
        <w:t xml:space="preserve">, and 5) population density in 1990 </w:t>
      </w:r>
      <w:r w:rsidR="00DA2F92">
        <w:fldChar w:fldCharType="begin"/>
      </w:r>
      <w:r w:rsidR="00FC2E85">
        <w:instrText xml:space="preserve"> ADDIN ZOTERO_ITEM CSL_CITATION {"citationID":"9cg4RlaP","properties":{"formattedCitation":"(Center For International Earth Science Information Network - CIESIN - Columbia University &amp; Centro Internacional De Agricultura Tropical - CIAT, 2005)","plainCitation":"(Center For International Earth Science Information Network - CIESIN - Columbia University &amp; Centro Internacional De Agricultura Tropical - CIAT, 2005)","noteIndex":0},"citationItems":[{"id":1405,"uris":["http://zotero.org/users/10985147/items/Y2YKIAM6"],"itemData":{"id":1405,"type":"dataset","abstract":"Gridded Population of the World, Version 3 (GPWv3) consists of estimates of human population for the years 1990, 1995, and 2000 by 2.5 arc-minute grid cells and associated data sets dated circa 2000. A proportional allocation gridding algorithm, utilizing more than 300,000 national and sub-national administrative units, is used to assign population values to grid cells. The population density grids are derived by dividing the population count grids by the land area grid and represent persons per square kilometer. The grids are available in various GIS-compatible data formats and geographic extents (global, continent [Antarctica not included], and country levels). GPWv3 is produced by the Columbia University Center for International Earth Science Information Network (CIESIN) in collaboration with Centro Internacional de Agricultura Tropical (CIAT).","DOI":"10.7927/H4XK8CG2","license":"The Trustees of Columbia University in the City of New York and the Centro Internacional de Agricultura Tropical (CIAT) hold the copyright of this data set. Users are prohibited from any commercial, non-free resale, or redistribution without explicit written permission from CIESIN and CIAT. Users should acknowledge CIESIN and CIAT as the source used in the creation of any reports, publications, new data sets, derived products, or services resulting from the use of this data set. CIESIN and CIAT also request reprints of any publications and notification of any redistributing efforts.","publisher":"[object Object]","source":"DOI.org (Datacite)","title":"Gridded Population of the World, Version 3 (GPWv3): Population Density Grid. Palisades, New York: NASA Socioeconomic Data and Applications Center (SEDAC)","title-short":"Gridded Population of the World, Version 3 (GPWv3)","URL":"https://sedac.ciesin.columbia.edu/data/set/gpw-v3-population-density","author":[{"literal":"Center For International Earth Science Information Network - CIESIN - Columbia University"},{"literal":"Centro Internacional De Agricultura Tropical - CIAT"}],"accessed":{"date-parts":[["2023",5,9]]},"issued":{"date-parts":[["2005"]]}}}],"schema":"https://github.com/citation-style-language/schema/raw/master/csl-citation.json"} </w:instrText>
      </w:r>
      <w:r w:rsidR="00DA2F92">
        <w:fldChar w:fldCharType="separate"/>
      </w:r>
      <w:r w:rsidR="00550ED7" w:rsidRPr="00550ED7">
        <w:t>(Center For International Earth Science Information Network - CIESIN - Columbia University &amp; Centro Internacional De Agricultura Tropical - CIAT, 2005)</w:t>
      </w:r>
      <w:r w:rsidR="00DA2F92">
        <w:fldChar w:fldCharType="end"/>
      </w:r>
      <w:r>
        <w:t xml:space="preserve">. </w:t>
      </w:r>
      <w:r w:rsidR="00032355">
        <w:t xml:space="preserve">Datasets from 1992 and 1990 </w:t>
      </w:r>
      <w:r w:rsidR="00032355">
        <w:lastRenderedPageBreak/>
        <w:t xml:space="preserve">were chosen for GDP and population </w:t>
      </w:r>
      <w:r w:rsidR="0023439D">
        <w:t xml:space="preserve">density, respectively, as these </w:t>
      </w:r>
      <w:r w:rsidR="0056686A">
        <w:t>were the nearest</w:t>
      </w:r>
      <w:r w:rsidR="0023439D">
        <w:t xml:space="preserve"> </w:t>
      </w:r>
      <w:r w:rsidR="003836D3">
        <w:t xml:space="preserve">years </w:t>
      </w:r>
      <w:r w:rsidR="007A51E2">
        <w:t xml:space="preserve">available to </w:t>
      </w:r>
      <w:r w:rsidR="00D16227">
        <w:t>the first year of the study period (1992)</w:t>
      </w:r>
      <w:r w:rsidR="0023439D">
        <w:t>.</w:t>
      </w:r>
    </w:p>
    <w:p w14:paraId="2A6C72EF" w14:textId="5D847155" w:rsidR="006B3C54" w:rsidRDefault="00A52EE1">
      <w:r>
        <w:t xml:space="preserve">These five socioeconomic and biophysical datasets relate to the </w:t>
      </w:r>
      <w:r w:rsidR="00814F2A">
        <w:t>drivers and spatial determinants</w:t>
      </w:r>
      <w:r>
        <w:t xml:space="preserve"> of forest loss in addition to </w:t>
      </w:r>
      <w:r w:rsidR="00814F2A">
        <w:t>cropland</w:t>
      </w:r>
      <w:r>
        <w:t xml:space="preserve"> expansion. For example, deforestation for agriculture is a major driver of forest loss </w:t>
      </w:r>
      <w:r w:rsidR="00DA2F92">
        <w:fldChar w:fldCharType="begin"/>
      </w:r>
      <w:r w:rsidR="00FC2E85">
        <w:instrText xml:space="preserve"> ADDIN ZOTERO_ITEM CSL_CITATION {"citationID":"bbh6sTDo","properties":{"formattedCitation":"(Curtis et al., 2018; Geist &amp; Lambin, 2002)","plainCitation":"(Curtis et al., 2018; Geist &amp; Lambin, 2002)","noteIndex":0},"citationItems":[{"id":1404,"uris":["http://zotero.org/users/10985147/items/QPMQI3VT"],"itemData":{"id":1404,"type":"article-journal","abstract":"Mapping global deforestation patterns\n            \n              Forest loss is being driven by various factors, including commodity production, forestry, agriculture, wildfire, and urbanization. Curtis\n              et al.\n              used high-resolution Google Earth imagery to map and classify global forest loss since 2001. Just over a quarter of global forest loss is due to deforestation through permanent land use change for the production of commodities, including beef, soy, palm oil, and wood fiber. Despite regional differences and efforts by governments, conservationists, and corporations to stem the losses, the overall rate of commodity-driven deforestation has not declined since 2001.\n            \n            \n              Science\n              , this issue p.\n              1108\n            \n          , \n            A high-resolution global map enables a classification of the main drivers of forest loss.\n          , \n            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year.","container-title":"Science","DOI":"10.1126/science.aau3445","ISSN":"0036-8075, 1095-9203","issue":"6407","journalAbbreviation":"Science","language":"en","page":"1108-1111","source":"DOI.org (Crossref)","title":"Classifying drivers of global forest loss","volume":"361","author":[{"family":"Curtis","given":"Philip G."},{"family":"Slay","given":"Christy M."},{"family":"Harris","given":"Nancy L."},{"family":"Tyukavina","given":"Alexandra"},{"family":"Hansen","given":"Matthew C."}],"issued":{"date-parts":[["2018",9,14]]}}},{"id":1397,"uris":["http://zotero.org/users/10985147/items/RIDWLGZ2"],"itemData":{"id":1397,"type":"article-journal","container-title":"BioScience","DOI":"10.1641/0006-3568(2002)052[0143:PCAUDF]2.0.CO;2","ISSN":"0006-3568","issue":"2","journalAbbreviation":"BioScience","language":"en","page":"143-150","source":"DOI.org (Crossref)","title":"Proximate Causes and Underlying Driving Forces of Tropical Deforestation: Tropical forests are disappearing as the result of many pressures, both local and regional, acting in various combinations in different geographical locations","volume":"52","author":[{"family":"Geist","given":"Helmut J."},{"family":"Lambin","given":"Eric F."}],"issued":{"date-parts":[["2002"]]}}}],"schema":"https://github.com/citation-style-language/schema/raw/master/csl-citation.json"} </w:instrText>
      </w:r>
      <w:r w:rsidR="00DA2F92">
        <w:fldChar w:fldCharType="separate"/>
      </w:r>
      <w:r w:rsidR="00550ED7" w:rsidRPr="00550ED7">
        <w:t>(Curtis et al., 2018; Geist &amp; Lambin, 2002)</w:t>
      </w:r>
      <w:r w:rsidR="00DA2F92">
        <w:fldChar w:fldCharType="end"/>
      </w:r>
      <w:r w:rsidR="00814F2A">
        <w:t>, while here we use</w:t>
      </w:r>
      <w:r>
        <w:t xml:space="preserve"> the bioclimatic suitability of land for agriculture </w:t>
      </w:r>
      <w:r w:rsidR="00094179">
        <w:t>as a spatial determinant of forest loss</w:t>
      </w:r>
      <w:r>
        <w:t>. Infrastructure extension and urbanisation a</w:t>
      </w:r>
      <w:r w:rsidR="00094179">
        <w:t>lso drive</w:t>
      </w:r>
      <w:r>
        <w:t xml:space="preserve"> deforestation</w:t>
      </w:r>
      <w:r w:rsidR="00BD5823">
        <w:t xml:space="preserve"> at local scales</w:t>
      </w:r>
      <w:r>
        <w:t xml:space="preserve"> </w:t>
      </w:r>
      <w:r w:rsidR="00DA2F92">
        <w:fldChar w:fldCharType="begin"/>
      </w:r>
      <w:r w:rsidR="00FC2E85">
        <w:instrText xml:space="preserve"> ADDIN ZOTERO_ITEM CSL_CITATION {"citationID":"dTwCXzDr","properties":{"formattedCitation":"(Curtis et al., 2018; Geist &amp; Lambin, 2002)","plainCitation":"(Curtis et al., 2018; Geist &amp; Lambin, 2002)","noteIndex":0},"citationItems":[{"id":1404,"uris":["http://zotero.org/users/10985147/items/QPMQI3VT"],"itemData":{"id":1404,"type":"article-journal","abstract":"Mapping global deforestation patterns\n            \n              Forest loss is being driven by various factors, including commodity production, forestry, agriculture, wildfire, and urbanization. Curtis\n              et al.\n              used high-resolution Google Earth imagery to map and classify global forest loss since 2001. Just over a quarter of global forest loss is due to deforestation through permanent land use change for the production of commodities, including beef, soy, palm oil, and wood fiber. Despite regional differences and efforts by governments, conservationists, and corporations to stem the losses, the overall rate of commodity-driven deforestation has not declined since 2001.\n            \n            \n              Science\n              , this issue p.\n              1108\n            \n          , \n            A high-resolution global map enables a classification of the main drivers of forest loss.\n          , \n            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year.","container-title":"Science","DOI":"10.1126/science.aau3445","ISSN":"0036-8075, 1095-9203","issue":"6407","journalAbbreviation":"Science","language":"en","page":"1108-1111","source":"DOI.org (Crossref)","title":"Classifying drivers of global forest loss","volume":"361","author":[{"family":"Curtis","given":"Philip G."},{"family":"Slay","given":"Christy M."},{"family":"Harris","given":"Nancy L."},{"family":"Tyukavina","given":"Alexandra"},{"family":"Hansen","given":"Matthew C."}],"issued":{"date-parts":[["2018",9,14]]}}},{"id":1397,"uris":["http://zotero.org/users/10985147/items/RIDWLGZ2"],"itemData":{"id":1397,"type":"article-journal","container-title":"BioScience","DOI":"10.1641/0006-3568(2002)052[0143:PCAUDF]2.0.CO;2","ISSN":"0006-3568","issue":"2","journalAbbreviation":"BioScience","language":"en","page":"143-150","source":"DOI.org (Crossref)","title":"Proximate Causes and Underlying Driving Forces of Tropical Deforestation: Tropical forests are disappearing as the result of many pressures, both local and regional, acting in various combinations in different geographical locations","volume":"52","author":[{"family":"Geist","given":"Helmut J."},{"family":"Lambin","given":"Eric F."}],"issued":{"date-parts":[["2002"]]}}}],"schema":"https://github.com/citation-style-language/schema/raw/master/csl-citation.json"} </w:instrText>
      </w:r>
      <w:r w:rsidR="00DA2F92">
        <w:fldChar w:fldCharType="separate"/>
      </w:r>
      <w:r w:rsidR="00550ED7" w:rsidRPr="00550ED7">
        <w:t>(Curtis et al., 2018; Geist &amp; Lambin, 2002)</w:t>
      </w:r>
      <w:r w:rsidR="00DA2F92">
        <w:fldChar w:fldCharType="end"/>
      </w:r>
      <w:r>
        <w:t xml:space="preserve"> </w:t>
      </w:r>
      <w:r w:rsidR="00BD5823">
        <w:t>and</w:t>
      </w:r>
      <w:r>
        <w:t xml:space="preserve"> are captured </w:t>
      </w:r>
      <w:r w:rsidR="00BD5823">
        <w:t xml:space="preserve">here </w:t>
      </w:r>
      <w:r>
        <w:t xml:space="preserve">by the market accessibility and population density datasets. Underlying causes of deforestation include demographic and economic factors </w:t>
      </w:r>
      <w:r w:rsidR="00DA2F92">
        <w:fldChar w:fldCharType="begin"/>
      </w:r>
      <w:r w:rsidR="00FC2E85">
        <w:instrText xml:space="preserve"> ADDIN ZOTERO_ITEM CSL_CITATION {"citationID":"g4SGXNXl","properties":{"formattedCitation":"(Geist &amp; Lambin, 2002)","plainCitation":"(Geist &amp; Lambin, 2002)","noteIndex":0},"citationItems":[{"id":1397,"uris":["http://zotero.org/users/10985147/items/RIDWLGZ2"],"itemData":{"id":1397,"type":"article-journal","container-title":"BioScience","DOI":"10.1641/0006-3568(2002)052[0143:PCAUDF]2.0.CO;2","ISSN":"0006-3568","issue":"2","journalAbbreviation":"BioScience","language":"en","page":"143-150","source":"DOI.org (Crossref)","title":"Proximate Causes and Underlying Driving Forces of Tropical Deforestation: Tropical forests are disappearing as the result of many pressures, both local and regional, acting in various combinations in different geographical locations","volume":"52","author":[{"family":"Geist","given":"Helmut J."},{"family":"Lambin","given":"Eric F."}],"issued":{"date-parts":[["2002"]]}}}],"schema":"https://github.com/citation-style-language/schema/raw/master/csl-citation.json"} </w:instrText>
      </w:r>
      <w:r w:rsidR="00DA2F92">
        <w:fldChar w:fldCharType="separate"/>
      </w:r>
      <w:r w:rsidR="00550ED7" w:rsidRPr="00550ED7">
        <w:t>(Geist &amp; Lambin, 2002)</w:t>
      </w:r>
      <w:r w:rsidR="00DA2F92">
        <w:fldChar w:fldCharType="end"/>
      </w:r>
      <w:r>
        <w:t xml:space="preserve">, which are represented here by the population density and GDP datasets. Wood extraction is a further major driver of forest loss and degradation, but was not included in this study due to the lack of high resolution forest management maps for the early 1990s </w:t>
      </w:r>
      <w:r w:rsidR="00DA2F92">
        <w:fldChar w:fldCharType="begin"/>
      </w:r>
      <w:r w:rsidR="00FC2E85">
        <w:instrText xml:space="preserve"> ADDIN ZOTERO_ITEM CSL_CITATION {"citationID":"KXJtPqYM","properties":{"formattedCitation":"(Lesiv et al., 2022; Schulze et al., 2019)","plainCitation":"(Lesiv et al., 2022; Schulze et al., 2019)","noteIndex":0},"citationItems":[{"id":1389,"uris":["http://zotero.org/users/10985147/items/MTRKIW7E"],"itemData":{"id":1389,"type":"article-journal","abstract":"Abstract\n            \n              Spatially explicit information on forest management at a global scale is critical for understanding the status of forests, for planning sustainable forest management and restoration, and conservation activities. Here, we produce the first reference data set and a prototype of a globally consistent forest management map with high spatial detail on the most prevalent forest management classes such as intact forests, managed forests with natural regeneration, planted forests, plantation forest (rotation up to 15 years), oil palm plantations, and agroforestry. We developed the reference dataset of 226 K unique locations through a series of expert and crowdsourcing campaigns using Geo-Wiki (\n              https://www.geo-wiki.org/\n              ). We then combined the reference samples with time series from PROBA-V satellite imagery to create a global wall-to-wall map of forest management at a 100 m resolution for the year 2015, with forest management class accuracies ranging from 58% to 80%. The reference data set and the map present the status of forest ecosystems and can be used for investigating the value of forests for species, ecosystems and their services.","container-title":"Scientific Data","DOI":"10.1038/s41597-022-01332-3","ISSN":"2052-4463","journalAbbreviation":"Sci. Data","language":"en","page":"199","source":"DOI.org (Crossref)","title":"Global forest management data for 2015 at a 100 m resolution","volume":"9","author":[{"family":"Lesiv","given":"Myroslava"},{"family":"Schepaschenko","given":"Dmitry"},{"family":"Buchhorn","given":"Marcel"},{"family":"See","given":"Linda"},{"family":"Dürauer","given":"Martina"},{"family":"Georgieva","given":"Ivelina"},{"family":"Jung","given":"Martin"},{"family":"Hofhansl","given":"Florian"},{"family":"Schulze","given":"Katharina"},{"family":"Bilous","given":"Andrii"},{"family":"Blyshchyk","given":"Volodymyr"},{"family":"Mukhortova","given":"Liudmila"},{"family":"Brenes","given":"Carlos Luis Muñoz"},{"family":"Krivobokov","given":"Leonid"},{"family":"Ntie","given":"Stephan"},{"family":"Tsogt","given":"Khongor"},{"family":"Pietsch","given":"Stephan Alexander"},{"family":"Tikhonova","given":"Elena"},{"family":"Kim","given":"Moonil"},{"family":"Di Fulvio","given":"Fulvio"},{"family":"Su","given":"Yuan-Fong"},{"family":"Zadorozhniuk","given":"Roma"},{"family":"Sirbu","given":"Flavius Sorin"},{"family":"Panging","given":"Kripal"},{"family":"Bilous","given":"Svitlana"},{"family":"Kovalevskii","given":"Sergii B."},{"family":"Kraxner","given":"Florian"},{"family":"Rabia","given":"Ahmed Harb"},{"family":"Vasylyshyn","given":"Roman"},{"family":"Ahmed","given":"Rekib"},{"family":"Diachuk","given":"Petro"},{"family":"Kovalevskyi","given":"Serhii S."},{"family":"Bungnamei","given":"Khangsembou"},{"family":"Bordoloi","given":"Kusumbor"},{"family":"Churilov","given":"Andrii"},{"family":"Vasylyshyn","given":"Olesia"},{"family":"Sahariah","given":"Dhrubajyoti"},{"family":"Tertyshnyi","given":"Anatolii P."},{"family":"Saikia","given":"Anup"},{"family":"Malek","given":"Žiga"},{"family":"Singha","given":"Kuleswar"},{"family":"Feshchenko","given":"Roman"},{"family":"Prestele","given":"Reinhard"},{"family":"Akhtar","given":"Ibrar ul Hassan"},{"family":"Sharma","given":"Kiran"},{"family":"Domashovets","given":"Galyna"},{"family":"Spawn-Lee","given":"Seth A."},{"family":"Blyshchyk","given":"Oleksii"},{"family":"Slyva","given":"Oleksandr"},{"family":"Ilkiv","given":"Mariia"},{"family":"Melnyk","given":"Oleksandr"},{"family":"Sliusarchuk","given":"Vitalii"},{"family":"Karpuk","given":"Anatolii"},{"family":"Terentiev","given":"Andrii"},{"family":"Bilous","given":"Valentin"},{"family":"Blyshchyk","given":"Kateryna"},{"family":"Bilous","given":"Maxim"},{"family":"Bogovyk","given":"Nataliia"},{"family":"Blyshchyk","given":"Ivan"},{"family":"Bartalev","given":"Sergey"},{"family":"Yatskov","given":"Mikhail"},{"family":"Smets","given":"Bruno"},{"family":"Visconti","given":"Piero"},{"family":"Mccallum","given":"Ian"},{"family":"Obersteiner","given":"Michael"},{"family":"Fritz","given":"Steffen"}],"issued":{"date-parts":[["2022",5,10]]}}},{"id":1376,"uris":["http://zotero.org/users/10985147/items/2NRSK7VC"],"itemData":{"id":1376,"type":"article-journal","container-title":"Forest Ecology and Management","DOI":"10.1016/j.foreco.2018.10.001","ISSN":"03781127","journalAbbreviation":"For. Ecol. Manag.","language":"en","page":"776-785","source":"DOI.org (Crossref)","title":"Towards better mapping of forest management patterns: A global allocation approach","title-short":"Towards better mapping of forest management patterns","volume":"432","author":[{"family":"Schulze","given":"Katharina"},{"family":"Malek","given":"Žiga"},{"family":"Verburg","given":"Peter H."}],"issued":{"date-parts":[["2019",1]]}}}],"schema":"https://github.com/citation-style-language/schema/raw/master/csl-citation.json"} </w:instrText>
      </w:r>
      <w:r w:rsidR="00DA2F92">
        <w:fldChar w:fldCharType="separate"/>
      </w:r>
      <w:r w:rsidR="00550ED7" w:rsidRPr="00550ED7">
        <w:t>(Lesiv et al., 2022; Schulze et al., 2019)</w:t>
      </w:r>
      <w:r w:rsidR="00DA2F92">
        <w:fldChar w:fldCharType="end"/>
      </w:r>
      <w:r>
        <w:t>. Similarly, wildfire is a known driver of forest loss but was omitted as a</w:t>
      </w:r>
      <w:r w:rsidR="000F4F84">
        <w:t>n independent variable</w:t>
      </w:r>
      <w:r>
        <w:t xml:space="preserve"> here because of the deficiency of wildfire risk maps for 1992 </w:t>
      </w:r>
      <w:r w:rsidR="00DA2F92">
        <w:fldChar w:fldCharType="begin"/>
      </w:r>
      <w:r w:rsidR="00FC2E85">
        <w:instrText xml:space="preserve"> ADDIN ZOTERO_ITEM CSL_CITATION {"citationID":"0yyedUND","properties":{"formattedCitation":"(Bowman, 2018; Meng et al., 2015)","plainCitation":"(Bowman, 2018; Meng et al., 2015)","noteIndex":0},"citationItems":[{"id":1406,"uris":["http://zotero.org/users/10985147/items/VWPEK2SQ"],"itemData":{"id":1406,"type":"article-journal","container-title":"Nature","DOI":"10.1038/d41586-018-05840-4","ISSN":"0028-0836, 1476-4687","journalAbbreviation":"Nature","language":"en","license":"https://www.springernature.com/gp/researchers/text-and-data-mining","page":"7","source":"DOI.org (Crossref)","title":"Wildfire science is at a loss for comprehensive data","volume":"560","author":[{"family":"Bowman","given":"David"}],"issued":{"date-parts":[["2018",8,2]]}}},{"id":1384,"uris":["http://zotero.org/users/10985147/items/HNPT82Y9"],"itemData":{"id":1384,"type":"chapter","container-title":"World Atlas of Natural Disaster Risk","event-place":"Berlin, Heidelberg","ISBN":"978-3-662-45429-9","language":"en","note":"collection-title: IHDP/Future Earth-Integrated Risk Governance Project Series\nDOI: 10.1007/978-3-662-45430-5_14","page":"261-275","publisher":"Springer","publisher-place":"Berlin, Heidelberg","source":"DOI.org (Crossref)","title":"Mapping Forest Wildfire Risk of the World","URL":"https://link.springer.com/10.1007/978-3-662-45430-5_14","editor":[{"family":"Shi","given":"Peijun"},{"family":"Kasperson","given":"Roger"}],"author":[{"family":"Meng","given":"Yongchang"},{"family":"Deng","given":"Ying"},{"family":"Shi","given":"Peijun"}],"accessed":{"date-parts":[["2024",12,7]]},"issued":{"date-parts":[["2015"]]}}}],"schema":"https://github.com/citation-style-language/schema/raw/master/csl-citation.json"} </w:instrText>
      </w:r>
      <w:r w:rsidR="00DA2F92">
        <w:fldChar w:fldCharType="separate"/>
      </w:r>
      <w:r w:rsidR="00550ED7" w:rsidRPr="00550ED7">
        <w:t>(Bowman, 2018; Meng et al., 2015)</w:t>
      </w:r>
      <w:r w:rsidR="00DA2F92">
        <w:fldChar w:fldCharType="end"/>
      </w:r>
      <w:r>
        <w:t>.</w:t>
      </w:r>
    </w:p>
    <w:p w14:paraId="2A6C72F0" w14:textId="607DC444" w:rsidR="006B3C54" w:rsidRDefault="00A52EE1">
      <w:r>
        <w:t xml:space="preserve">We prepared </w:t>
      </w:r>
      <w:r w:rsidR="00857B08">
        <w:t>the</w:t>
      </w:r>
      <w:r>
        <w:t xml:space="preserve"> </w:t>
      </w:r>
      <w:r w:rsidR="00857B08">
        <w:t>maps of biophysical and socioeconomic variables</w:t>
      </w:r>
      <w:r>
        <w:t xml:space="preserve"> as described by </w:t>
      </w:r>
      <w:r w:rsidR="00DA2F92">
        <w:fldChar w:fldCharType="begin"/>
      </w:r>
      <w:r w:rsidR="00FC2E85">
        <w:instrText xml:space="preserve"> ADDIN ZOTERO_ITEM CSL_CITATION {"citationID":"PKtW0FIR","properties":{"formattedCitation":"(Eigenbrod et al., 2020)","plainCitation":"(Eigenbrod et al., 2020)","dontUpdate":true,"noteIndex":0},"citationItems":[{"id":1402,"uris":["http://zotero.org/users/10985147/items/BNSVFMLE"],"itemData":{"id":1402,"type":"article-journal","abstract":"The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DA2F92">
        <w:fldChar w:fldCharType="separate"/>
      </w:r>
      <w:r w:rsidR="00DA2F92" w:rsidRPr="00DA2F92">
        <w:t xml:space="preserve">Eigenbrod et al. </w:t>
      </w:r>
      <w:r w:rsidR="00DC7062">
        <w:t>(</w:t>
      </w:r>
      <w:r w:rsidR="00DA2F92" w:rsidRPr="00DA2F92">
        <w:t>2020)</w:t>
      </w:r>
      <w:r w:rsidR="00DA2F92">
        <w:fldChar w:fldCharType="end"/>
      </w:r>
      <w:r w:rsidR="00B077A0">
        <w:t>. Next, we</w:t>
      </w:r>
      <w:r>
        <w:t xml:space="preserve"> converted each map from 5 arcminute spatial resolution in the WGS 84 projection to 10</w:t>
      </w:r>
      <w:r w:rsidR="00A040A0">
        <w:t xml:space="preserve"> km</w:t>
      </w:r>
      <w:r>
        <w:t xml:space="preserve"> </w:t>
      </w:r>
      <w:r w:rsidR="00A040A0">
        <w:t xml:space="preserve">spatial resolution </w:t>
      </w:r>
      <w:r>
        <w:t xml:space="preserve">in the </w:t>
      </w:r>
      <w:r w:rsidR="00C63C56">
        <w:t xml:space="preserve">equal area </w:t>
      </w:r>
      <w:r>
        <w:t xml:space="preserve">Eckert IV projection, to match the projection </w:t>
      </w:r>
      <w:r w:rsidR="00A040A0">
        <w:t>and resolution of the dependent variable</w:t>
      </w:r>
      <w:r w:rsidR="00B077A0">
        <w:t>s</w:t>
      </w:r>
      <w:r w:rsidR="00A040A0">
        <w:t xml:space="preserve"> with 10 km resolution</w:t>
      </w:r>
      <w:r>
        <w:t xml:space="preserve">. </w:t>
      </w:r>
      <w:r w:rsidR="00B077A0">
        <w:t>Additionally</w:t>
      </w:r>
      <w:r>
        <w:t xml:space="preserve">, </w:t>
      </w:r>
      <w:r w:rsidR="000671FD">
        <w:t xml:space="preserve">to match the coarser resolution of the dependent variables </w:t>
      </w:r>
      <w:r>
        <w:t xml:space="preserve">we resampled </w:t>
      </w:r>
      <w:r w:rsidR="008C19C5">
        <w:t>th</w:t>
      </w:r>
      <w:r w:rsidR="000671FD">
        <w:t xml:space="preserve">e maps </w:t>
      </w:r>
      <w:r>
        <w:t xml:space="preserve">from 10 to </w:t>
      </w:r>
      <w:r w:rsidR="00AF48E9">
        <w:t>80</w:t>
      </w:r>
      <w:r>
        <w:t xml:space="preserve"> km resolution using the ‘resample’ function from the ‘terra’ R package with the bilinear interpolation method </w:t>
      </w:r>
      <w:r w:rsidR="00DA2F92">
        <w:fldChar w:fldCharType="begin"/>
      </w:r>
      <w:r w:rsidR="00FC2E85">
        <w:instrText xml:space="preserve"> ADDIN ZOTERO_ITEM CSL_CITATION {"citationID":"MkCAF2YX","properties":{"formattedCitation":"(Hijmans, 2022)","plainCitation":"(Hijmans, 2022)","noteIndex":0},"citationItems":[{"id":1298,"uris":["http://zotero.org/users/10985147/items/GRREDJNA"],"itemData":{"id":1298,"type":"software","title":"terra: Spatial Data Analysis. R package version 1.7-23. https://rspatial.org/terra/","URL":"https://rspatial.org/terra/","author":[{"family":"Hijmans","given":"Robert J."}],"issued":{"date-parts":[["2022"]]}}}],"schema":"https://github.com/citation-style-language/schema/raw/master/csl-citation.json"} </w:instrText>
      </w:r>
      <w:r w:rsidR="00DA2F92">
        <w:fldChar w:fldCharType="separate"/>
      </w:r>
      <w:r w:rsidR="00550ED7" w:rsidRPr="00550ED7">
        <w:t>(Hijmans, 2022)</w:t>
      </w:r>
      <w:r w:rsidR="00DA2F92">
        <w:fldChar w:fldCharType="end"/>
      </w:r>
      <w:r>
        <w:t xml:space="preserve">. All socioeconomic and biophysical datasets were processed in R version 4.1.3 </w:t>
      </w:r>
      <w:r w:rsidR="00DA2F92">
        <w:fldChar w:fldCharType="begin"/>
      </w:r>
      <w:r w:rsidR="00FC2E85">
        <w:instrText xml:space="preserve"> ADDIN ZOTERO_ITEM CSL_CITATION {"citationID":"o6CqbgSu","properties":{"formattedCitation":"(R Core Team, 2022)","plainCitation":"(R Core Team, 2022)","noteIndex":0},"citationItems":[{"id":1521,"uris":["http://zotero.org/users/10985147/items/JR3AD28F"],"itemData":{"id":1521,"type":"software","event-place":"Vienna, Austria","publisher":"R Foundation for   Statistical Computing","publisher-place":"Vienna, Austria","title":"R: A language and environment for statistical computing. R Foundation for Statistical Computing, Vienna, Austria. URL https://www.R-project.org/.","URL":"https://www.R-project.org/","author":[{"literal":"R Core Team"}],"issued":{"date-parts":[["2022"]]}}}],"schema":"https://github.com/citation-style-language/schema/raw/master/csl-citation.json"} </w:instrText>
      </w:r>
      <w:r w:rsidR="00DA2F92">
        <w:fldChar w:fldCharType="separate"/>
      </w:r>
      <w:r w:rsidR="00550ED7" w:rsidRPr="00550ED7">
        <w:t>(R Core Team, 2022)</w:t>
      </w:r>
      <w:r w:rsidR="00DA2F92">
        <w:fldChar w:fldCharType="end"/>
      </w:r>
      <w:r>
        <w:t xml:space="preserve"> using the ‘terra’ package version 1.7-23 </w:t>
      </w:r>
      <w:r w:rsidR="00DA2F92">
        <w:fldChar w:fldCharType="begin"/>
      </w:r>
      <w:r w:rsidR="00FC2E85">
        <w:instrText xml:space="preserve"> ADDIN ZOTERO_ITEM CSL_CITATION {"citationID":"s43mXan1","properties":{"formattedCitation":"(Hijmans, 2022)","plainCitation":"(Hijmans, 2022)","noteIndex":0},"citationItems":[{"id":1298,"uris":["http://zotero.org/users/10985147/items/GRREDJNA"],"itemData":{"id":1298,"type":"software","title":"terra: Spatial Data Analysis. R package version 1.7-23. https://rspatial.org/terra/","URL":"https://rspatial.org/terra/","author":[{"family":"Hijmans","given":"Robert J."}],"issued":{"date-parts":[["2022"]]}}}],"schema":"https://github.com/citation-style-language/schema/raw/master/csl-citation.json"} </w:instrText>
      </w:r>
      <w:r w:rsidR="00DA2F92">
        <w:fldChar w:fldCharType="separate"/>
      </w:r>
      <w:r w:rsidR="00550ED7" w:rsidRPr="00550ED7">
        <w:t>(Hijmans, 2022)</w:t>
      </w:r>
      <w:r w:rsidR="00DA2F92">
        <w:fldChar w:fldCharType="end"/>
      </w:r>
      <w:r>
        <w:t xml:space="preserve"> for handling raster data.</w:t>
      </w:r>
    </w:p>
    <w:p w14:paraId="5073AB52" w14:textId="1F28FF42" w:rsidR="00CA2401" w:rsidRDefault="00CA2401" w:rsidP="00322EAB">
      <w:pPr>
        <w:pStyle w:val="Heading2"/>
        <w:numPr>
          <w:ilvl w:val="1"/>
          <w:numId w:val="2"/>
        </w:numPr>
      </w:pPr>
      <w:r>
        <w:t>Fitting random forest models</w:t>
      </w:r>
    </w:p>
    <w:p w14:paraId="2A6C72FA" w14:textId="77777777" w:rsidR="006B3C54" w:rsidRDefault="00A52EE1">
      <w:pPr>
        <w:pStyle w:val="Heading3"/>
        <w:numPr>
          <w:ilvl w:val="2"/>
          <w:numId w:val="2"/>
        </w:numPr>
      </w:pPr>
      <w:bookmarkStart w:id="0" w:name="_jm6cu2lxgm3r" w:colFirst="0" w:colLast="0"/>
      <w:bookmarkEnd w:id="0"/>
      <w:r>
        <w:t>Data processing for random forest models</w:t>
      </w:r>
    </w:p>
    <w:p w14:paraId="2A6C72FB" w14:textId="719EB2A2" w:rsidR="006B3C54" w:rsidRDefault="00A52EE1">
      <w:r>
        <w:t xml:space="preserve">For each combination of geographic location (the globe or an individual continent), LULC class, </w:t>
      </w:r>
      <w:r w:rsidR="00191696">
        <w:t>spatial resolution</w:t>
      </w:r>
      <w:r>
        <w:t xml:space="preserve">, and net change threshold, three random forest models were fitted: one with landscape metrics as </w:t>
      </w:r>
      <w:r w:rsidR="002862C7">
        <w:t>independent variables only</w:t>
      </w:r>
      <w:r>
        <w:t xml:space="preserve">, one with traditional </w:t>
      </w:r>
      <w:r w:rsidR="002862C7">
        <w:t>independent variable</w:t>
      </w:r>
      <w:r>
        <w:t xml:space="preserve">s only, and a third with both landscape metrics and traditional </w:t>
      </w:r>
      <w:r w:rsidR="002862C7">
        <w:t>independent variable</w:t>
      </w:r>
      <w:r>
        <w:t xml:space="preserve">s. The datasets of landscape metrics and traditional </w:t>
      </w:r>
      <w:r w:rsidR="002862C7">
        <w:t>variable</w:t>
      </w:r>
      <w:r>
        <w:t>s in 1992 were combined and processed in the same way prior to fitting each of the three models, to ensure that model results were comparable and enable us to test whether including landscape metrics improve</w:t>
      </w:r>
      <w:r w:rsidR="00254B95">
        <w:t>d</w:t>
      </w:r>
      <w:r>
        <w:t xml:space="preserve"> models of LULC change. Firstly, </w:t>
      </w:r>
      <w:r w:rsidR="00162ACE">
        <w:t>pixel</w:t>
      </w:r>
      <w:r>
        <w:t xml:space="preserve">s were removed if they had a missing value for at least one of the traditional </w:t>
      </w:r>
      <w:r w:rsidR="00E70FAE">
        <w:t>variable</w:t>
      </w:r>
      <w:r>
        <w:t xml:space="preserve">s, or if they were entirely labelled as </w:t>
      </w:r>
      <w:r w:rsidR="001C3F3A">
        <w:t>ocean</w:t>
      </w:r>
      <w:r>
        <w:t>.</w:t>
      </w:r>
      <w:r w:rsidR="00CF2810">
        <w:t xml:space="preserve"> Independent </w:t>
      </w:r>
      <w:r w:rsidR="00CF2810">
        <w:lastRenderedPageBreak/>
        <w:t xml:space="preserve">variables were removed prior to </w:t>
      </w:r>
      <w:r w:rsidR="0095693A">
        <w:t>model fitting if they had the same value</w:t>
      </w:r>
      <w:r w:rsidR="00F4761D">
        <w:t xml:space="preserve"> for all pixels</w:t>
      </w:r>
      <w:r>
        <w:t xml:space="preserve"> because they provided no variation for splitting </w:t>
      </w:r>
      <w:r w:rsidR="00051C57">
        <w:t>observations</w:t>
      </w:r>
      <w:r>
        <w:t xml:space="preserve"> in a decision tree. </w:t>
      </w:r>
    </w:p>
    <w:p w14:paraId="2A6C72FC" w14:textId="2BB7F10F" w:rsidR="006B3C54" w:rsidRDefault="00A52EE1">
      <w:r>
        <w:t xml:space="preserve">Next, highly correlated </w:t>
      </w:r>
      <w:r w:rsidR="00E70FAE">
        <w:t>independent variable</w:t>
      </w:r>
      <w:r>
        <w:t>s were remove</w:t>
      </w:r>
      <w:r w:rsidR="00E70FAE">
        <w:t>d</w:t>
      </w:r>
      <w:r>
        <w:t xml:space="preserve"> because using them in combination in a random forest does not necessarily improve the accuracy of the model </w:t>
      </w:r>
      <w:r w:rsidR="00DA2F92">
        <w:fldChar w:fldCharType="begin"/>
      </w:r>
      <w:r w:rsidR="00FC2E85">
        <w:instrText xml:space="preserve"> ADDIN ZOTERO_ITEM CSL_CITATION {"citationID":"HIsfuC4k","properties":{"formattedCitation":"(Breiman, 2001)","plainCitation":"(Breiman, 2001)","noteIndex":0},"citationItems":[{"id":1488,"uris":["http://zotero.org/users/10985147/items/SV8Z385C"],"itemData":{"id":1488,"type":"article-journal","container-title":"Machine Learning","DOI":"10.1023/A:1010933404324","ISSN":"08856125","journalAbbreviation":"Mach. Learn.","page":"5-32","source":"DOI.org (Crossref)","title":"Random Forests","volume":"45","author":[{"family":"Breiman","given":"Leo"}],"issued":{"date-parts":[["2001"]]}}}],"schema":"https://github.com/citation-style-language/schema/raw/master/csl-citation.json"} </w:instrText>
      </w:r>
      <w:r w:rsidR="00DA2F92">
        <w:fldChar w:fldCharType="separate"/>
      </w:r>
      <w:r w:rsidR="00550ED7" w:rsidRPr="00550ED7">
        <w:t>(Breiman, 2001)</w:t>
      </w:r>
      <w:r w:rsidR="00DA2F92">
        <w:fldChar w:fldCharType="end"/>
      </w:r>
      <w:r>
        <w:t>, and importance scores can be distorted in cases where two variables are highly correlated but only one is actually related to the</w:t>
      </w:r>
      <w:r w:rsidR="000F738B">
        <w:t xml:space="preserve"> dependent</w:t>
      </w:r>
      <w:r>
        <w:t xml:space="preserve"> variable </w:t>
      </w:r>
      <w:r w:rsidR="00DA2F92">
        <w:fldChar w:fldCharType="begin"/>
      </w:r>
      <w:r w:rsidR="00FC2E85">
        <w:instrText xml:space="preserve"> ADDIN ZOTERO_ITEM CSL_CITATION {"citationID":"NsE879g3","properties":{"formattedCitation":"(Rothacher &amp; Strobl, 2024)","plainCitation":"(Rothacher &amp; Strobl, 2024)","noteIndex":0},"citationItems":[{"id":1380,"uris":["http://zotero.org/users/10985147/items/GFLTDHP9"],"itemData":{"id":1380,"type":"article-journal","abstract":"Random forests are a nonparametric machine learning method, which is currently gaining popularity in the behavioral sciences. Despite random forests’ potential advantages over more conventional statistical methods, a remaining question is how reliably informative predictor variables can be identified by means of random forests. The present study aims at giving a comprehensible introduction to the topic of variable selection with random forests and providing an overview of the currently proposed selection methods. Using simulation studies, the variable selection methods are examined regarding their statistical properties, and comparisons between their performances and the performance of a conventional linear model are drawn. Advantages and disadvantages of the examined methods are discussed, and practical recommendations for the use of random forests for variable selection are given.","container-title":"Journal of Educational and Behavioral Statistics","DOI":"10.3102/10769986231193327","ISSN":"1076-9986, 1935-1054","issue":"4","journalAbbreviation":"J. Educ. Behav. Stat.","language":"en","page":"595-629","source":"DOI.org (Crossref)","title":"Identifying Informative Predictor Variables With Random Forests","volume":"49","author":[{"family":"Rothacher","given":"Yannick"},{"family":"Strobl","given":"Carolin"}],"issued":{"date-parts":[["2024"]]}}}],"schema":"https://github.com/citation-style-language/schema/raw/master/csl-citation.json"} </w:instrText>
      </w:r>
      <w:r w:rsidR="00DA2F92">
        <w:fldChar w:fldCharType="separate"/>
      </w:r>
      <w:r w:rsidR="00550ED7" w:rsidRPr="00550ED7">
        <w:t>(Rothacher &amp; Strobl, 2024)</w:t>
      </w:r>
      <w:r w:rsidR="00DA2F92">
        <w:fldChar w:fldCharType="end"/>
      </w:r>
      <w:r>
        <w:t>. The ‘</w:t>
      </w:r>
      <w:proofErr w:type="spellStart"/>
      <w:r>
        <w:t>step_corr</w:t>
      </w:r>
      <w:proofErr w:type="spellEnd"/>
      <w:r>
        <w:t xml:space="preserve">’ function from the ‘recipes’ R package </w:t>
      </w:r>
      <w:r w:rsidR="00DA2F92">
        <w:fldChar w:fldCharType="begin"/>
      </w:r>
      <w:r w:rsidR="00FC2E85">
        <w:instrText xml:space="preserve"> ADDIN ZOTERO_ITEM CSL_CITATION {"citationID":"AqC8lkYy","properties":{"formattedCitation":"(Kuhn, Wickham, et al., 2023)","plainCitation":"(Kuhn, Wickham, et al., 2023)","noteIndex":0},"citationItems":[{"id":1357,"uris":["http://zotero.org/users/10985147/items/3I69967Q"],"itemData":{"id":1357,"type":"software","title":"recipes: Preprocessing and Feature Engineering Steps for Modeling. R package version 1.0.6. https://CRAN.R-project.org/package=recipes","URL":"https://CRAN.R-project.org/package=recipes","author":[{"family":"Kuhn","given":"Max"},{"family":"Wickham","given":"Hadley"},{"family":"Hvitfeldt","given":"Emil"}],"issued":{"date-parts":[["2023"]]}}}],"schema":"https://github.com/citation-style-language/schema/raw/master/csl-citation.json"} </w:instrText>
      </w:r>
      <w:r w:rsidR="00DA2F92">
        <w:fldChar w:fldCharType="separate"/>
      </w:r>
      <w:r w:rsidR="00550ED7" w:rsidRPr="00550ED7">
        <w:t>(Kuhn, Wickham, et al., 2023)</w:t>
      </w:r>
      <w:r w:rsidR="00DA2F92">
        <w:fldChar w:fldCharType="end"/>
      </w:r>
      <w:r>
        <w:t xml:space="preserve"> version 1.0.6 was used to remove </w:t>
      </w:r>
      <w:r w:rsidR="00E70FAE">
        <w:t>independent</w:t>
      </w:r>
      <w:r>
        <w:t xml:space="preserve"> variables with a Pearson correlation coefficient of less than -0.8 or greater than 0.8 from the dataset. </w:t>
      </w:r>
      <w:r w:rsidR="00E70FAE">
        <w:t>Independent variables</w:t>
      </w:r>
      <w:r>
        <w:t xml:space="preserve"> were removed from the dataset at random until no correlations with an absolute value greater than 0.8 remained. </w:t>
      </w:r>
      <w:r w:rsidR="00E70FAE">
        <w:t>Independent variable</w:t>
      </w:r>
      <w:r>
        <w:t xml:space="preserve">s were removed at random for each combination of geographic location, LULC class, </w:t>
      </w:r>
      <w:r w:rsidR="00162ACE">
        <w:t>spatial resolution</w:t>
      </w:r>
      <w:r>
        <w:t xml:space="preserve">, and net change threshold because the correlation between landscape metrics differed according to location and </w:t>
      </w:r>
      <w:r w:rsidR="00162ACE">
        <w:t>spatial resolution</w:t>
      </w:r>
      <w:r>
        <w:t xml:space="preserve">. However, note that all traditional </w:t>
      </w:r>
      <w:r w:rsidR="00E70FAE">
        <w:t>variable</w:t>
      </w:r>
      <w:r>
        <w:t xml:space="preserve">s had low correlations with other variables and were therefore always retained </w:t>
      </w:r>
      <w:r w:rsidR="00E70FAE">
        <w:t>as independent variables for random forest modelling</w:t>
      </w:r>
      <w:r>
        <w:t>. We also chose to keep the class area (CA) landscape metric for every LULC class as a</w:t>
      </w:r>
      <w:r w:rsidR="00E70FAE">
        <w:t>n independent variable</w:t>
      </w:r>
      <w:r>
        <w:t xml:space="preserve"> in every random forest model because previous studies have found that the proximity to specific LULC classes can influence the occurrence of LULC change </w:t>
      </w:r>
      <w:r w:rsidR="00DA2F92">
        <w:fldChar w:fldCharType="begin"/>
      </w:r>
      <w:r w:rsidR="00FC2E85">
        <w:instrText xml:space="preserve"> ADDIN ZOTERO_ITEM CSL_CITATION {"citationID":"QDfxIV1C","properties":{"formattedCitation":"(Dendoncker et al., 2007; P. H. Verburg et al., 2004)","plainCitation":"(Dendoncker et al., 2007; P. H. Verburg et al., 2004)","noteIndex":0},"citationItems":[{"id":1567,"uris":["http://zotero.org/users/10985147/items/VKUXLKFL"],"itemData":{"id":1567,"type":"article-journal","abstract":"When statistical analyses of land use drivers are performed, they rarely deal explicitly with spatial autocorrelation. Most studies are undertaken on autocorrelation-free data samples. By doing this, a great deal of information that is present in the dataset is lost. This paper presents a spatially explicit, cross-sectional analysis of land use drivers in Belgium. It is shown that purely regressive logistic models only identify trends or global relationships between socio-economic or physico-climatic drivers and the precise location of each land use type. However, when the goal of a study is to obtain the best statistical model fit of land use distribution, a purely autoregressive model is appropriate. It is shown that this type of model deals appropriately with spatial autocorrelation as measured by the lack of autocorrelation in the deviance residuals of the model. More specifically, three types of autoregressive models are compared: (1) a set of binomial logistic regression models (one for each modelled land use) accounting only for the proportion of the modelled land use within the neighbourhood of a cell; (2) a multinomial autologistic regression that accounts for the composition of a cell's neighbourhood; and (3) a state-of-the-art Bayesian Maximum Entropy (BME) based model that accounts fully for the spatial organization of the land uses within the neighbourhood of a cell. The comparative analysis shows that the BME approach has no advantages over the other methods, for our specific application, but that accounting for the composition of a cell's neighbourhood is essential in obtaining an optimal fit. © 2006 Elsevier Ltd. All rights reserved.","container-title":"Computers, Environment and Urban Systems","DOI":"10.1016/j.compenvurbsys.2006.06.004","ISSN":"01989715","issue":"2","journalAbbreviation":"Comput. Environ. Urban Syst.","page":"188-205","title":"Spatial analysis and modelling of land use distributions in Belgium","volume":"31","author":[{"family":"Dendoncker","given":"Nicolas"},{"family":"Rounsevell","given":"Mark"},{"family":"Bogaert","given":"Patrick"}],"issued":{"date-parts":[["2007"]]}}},{"id":1423,"uris":["http://zotero.org/users/10985147/items/K5ZAMRK9"],"itemData":{"id":1423,"type":"article-journal","abstract":"Land-use-change patterns are the result of the complex interaction between the human and the physical environment. Case studies of the determinants of land-use change can help to analyse which theory is appropriate in a particular region and stimulate the development of new theoretic understandings. In this paper an empirical method is presented to analyse the pattern of land-use change that allows a wide range of factors, from different disciplines, to contribute to the explanation of land-use change. The method is applied to the Netherlands, based on an extensive database of land-use change and its potential determinants. Historic as well as recent land-use changes are studied. Historic land-use change is related mainly to the variation in the biophysical environment. Levels of explanation are low because of the inability to address the temporal variation in location factors. For the recent changes in land use high levels of explanation are obtained. The most important changes during this period are expansions of residential, industrial/commercial, and recreational areas. The location of these changes can be explained by a combination of accessibility measures, spatial policies, and neighbourhood interactions. On the basis of these results it is possible to define priority topics for in-depth analysis of land-use-change processes and suggest factors, relations, and processes that need to be included in dynamic land-use-change models that support land-use-planning policies.","container-title":"Environment and Planning B: Planning and Design","DOI":"10.1068/b307","ISSN":"0265-8135, 1472-3417","issue":"1","journalAbbreviation":"Environ. Plann. B Plann. Des.","language":"en","license":"http://journals.sagepub.com/page/policies/text-and-data-mining-license","page":"125-150","source":"DOI.org (Crossref)","title":"Determinants of Land-Use Change Patterns in the Netherlands","volume":"31","author":[{"family":"Verburg","given":"Peter H"},{"family":"Eck","given":"Jan R Ritsema","non-dropping-particle":"van"},{"family":"Nijs","given":"Ton C M","non-dropping-particle":"de"},{"family":"Dijst","given":"Martin J"},{"family":"Schot","given":"Paul"}],"issued":{"date-parts":[["2004",2]]}}}],"schema":"https://github.com/citation-style-language/schema/raw/master/csl-citation.json"} </w:instrText>
      </w:r>
      <w:r w:rsidR="00DA2F92">
        <w:fldChar w:fldCharType="separate"/>
      </w:r>
      <w:r w:rsidR="00550ED7" w:rsidRPr="00550ED7">
        <w:t>(Dendoncker et al., 2007; P. H. Verburg et al., 2004)</w:t>
      </w:r>
      <w:r w:rsidR="00DA2F92">
        <w:fldChar w:fldCharType="end"/>
      </w:r>
      <w:r>
        <w:t>.</w:t>
      </w:r>
    </w:p>
    <w:p w14:paraId="2A6C72FD" w14:textId="77777777" w:rsidR="006B3C54" w:rsidRDefault="00A52EE1">
      <w:pPr>
        <w:pStyle w:val="Heading3"/>
        <w:numPr>
          <w:ilvl w:val="2"/>
          <w:numId w:val="2"/>
        </w:numPr>
      </w:pPr>
      <w:r>
        <w:t>Training random forest models</w:t>
      </w:r>
    </w:p>
    <w:p w14:paraId="2A6C72FE" w14:textId="2D8D3BCA" w:rsidR="006B3C54" w:rsidRDefault="00A52EE1">
      <w:r>
        <w:t xml:space="preserve">After processing the input dataset, </w:t>
      </w:r>
      <w:r w:rsidR="0061687A">
        <w:t>we trained random forest models to classify pixels into</w:t>
      </w:r>
      <w:r w:rsidR="008A51F6">
        <w:t xml:space="preserve"> </w:t>
      </w:r>
      <w:r w:rsidR="00681A1E">
        <w:t>the two categories of the dependent variable (change and stable). R</w:t>
      </w:r>
      <w:r>
        <w:t>andom forest models were trained for each of the three sets of</w:t>
      </w:r>
      <w:r w:rsidR="00C60C40">
        <w:t xml:space="preserve"> independent variables</w:t>
      </w:r>
      <w:r>
        <w:t xml:space="preserve"> using stratified </w:t>
      </w:r>
      <m:oMath>
        <m:r>
          <w:rPr>
            <w:rFonts w:ascii="Cambria Math" w:eastAsia="Cambria Math" w:hAnsi="Cambria Math" w:cs="Cambria Math"/>
          </w:rPr>
          <m:t>k</m:t>
        </m:r>
      </m:oMath>
      <w:r>
        <w:t xml:space="preserve">-fold cross validation with </w:t>
      </w:r>
      <m:oMath>
        <m:r>
          <w:rPr>
            <w:rFonts w:ascii="Cambria Math" w:eastAsia="Cambria Math" w:hAnsi="Cambria Math" w:cs="Cambria Math"/>
          </w:rPr>
          <m:t>k</m:t>
        </m:r>
      </m:oMath>
      <w:r>
        <w:t xml:space="preserve"> = 10 </w:t>
      </w:r>
      <w:r w:rsidR="00DA2F92">
        <w:fldChar w:fldCharType="begin"/>
      </w:r>
      <w:r w:rsidR="00FC2E85">
        <w:instrText xml:space="preserve"> ADDIN ZOTERO_ITEM CSL_CITATION {"citationID":"xBoWg3c7","properties":{"formattedCitation":"(Yates et al., 2023)","plainCitation":"(Yates et al., 2023)","noteIndex":0},"citationItems":[{"id":1359,"uris":["http://zotero.org/users/10985147/items/MPYCK83X"],"itemData":{"id":1359,"type":"article-journal","abstract":"Abstract\n            \n              Specifying, assessing, and selecting among candidate statistical models is fundamental to ecological research. Commonly used approaches to model selection are based on predictive scores and include information criteria such as Akaike's information criterion, and cross validation. Based on data splitting, cross validation is particularly versatile because it can be used even when it is not possible to derive a likelihood (e.g., many forms of machine learning) or count parameters precisely (e.g., mixed</w:instrText>
      </w:r>
      <w:r w:rsidR="00FC2E85">
        <w:rPr>
          <w:rFonts w:ascii="Cambria Math" w:hAnsi="Cambria Math" w:cs="Cambria Math"/>
        </w:rPr>
        <w:instrText>‐</w:instrText>
      </w:r>
      <w:r w:rsidR="00FC2E85">
        <w:instrText>effects models). However, much of the literature on cross validation is technical and spread across statistical journals, making it difficult for ecological analysts to assess and choose among the wide range of options. Here we provide a comprehensive, accessible review that explains important—but often overlooked—technical aspects of cross validation for model selection, such as: bias correction, estimation uncertainty, choice of scores, and selection rules to mitigate overfitting. We synthesize the relevant statistical advances to make recommendations for the choice of cross</w:instrText>
      </w:r>
      <w:r w:rsidR="00FC2E85">
        <w:rPr>
          <w:rFonts w:ascii="Cambria Math" w:hAnsi="Cambria Math" w:cs="Cambria Math"/>
        </w:rPr>
        <w:instrText>‐</w:instrText>
      </w:r>
      <w:r w:rsidR="00FC2E85">
        <w:instrText>validation technique and we present two ecological case studies to illustrate their application. In most instances, we recommend using exact or approximate leave</w:instrText>
      </w:r>
      <w:r w:rsidR="00FC2E85">
        <w:rPr>
          <w:rFonts w:ascii="Cambria Math" w:hAnsi="Cambria Math" w:cs="Cambria Math"/>
        </w:rPr>
        <w:instrText>‐</w:instrText>
      </w:r>
      <w:r w:rsidR="00FC2E85">
        <w:instrText>one</w:instrText>
      </w:r>
      <w:r w:rsidR="00FC2E85">
        <w:rPr>
          <w:rFonts w:ascii="Cambria Math" w:hAnsi="Cambria Math" w:cs="Cambria Math"/>
        </w:rPr>
        <w:instrText>‐</w:instrText>
      </w:r>
      <w:r w:rsidR="00FC2E85">
        <w:instrText xml:space="preserve">out cross validation to minimize bias, or otherwise\n              k\n              </w:instrText>
      </w:r>
      <w:r w:rsidR="00FC2E85">
        <w:rPr>
          <w:rFonts w:ascii="Cambria Math" w:hAnsi="Cambria Math" w:cs="Cambria Math"/>
        </w:rPr>
        <w:instrText>‐</w:instrText>
      </w:r>
      <w:r w:rsidR="00FC2E85">
        <w:instrText>fold with bias correction if\n              k\n               &lt; 10. To mitigate overfitting when using cross validation, we recommend calibrated selection via our recently introduced modified one</w:instrText>
      </w:r>
      <w:r w:rsidR="00FC2E85">
        <w:rPr>
          <w:rFonts w:ascii="Cambria Math" w:hAnsi="Cambria Math" w:cs="Cambria Math"/>
        </w:rPr>
        <w:instrText>‐</w:instrText>
      </w:r>
      <w:r w:rsidR="00FC2E85">
        <w:instrText>standard</w:instrText>
      </w:r>
      <w:r w:rsidR="00FC2E85">
        <w:rPr>
          <w:rFonts w:ascii="Cambria Math" w:hAnsi="Cambria Math" w:cs="Cambria Math"/>
        </w:rPr>
        <w:instrText>‐</w:instrText>
      </w:r>
      <w:r w:rsidR="00FC2E85">
        <w:instrText xml:space="preserve">error rule. We advocate for the use of predictive scores in model selection across a range of typical modeling goals, such as exploration, hypothesis testing, and prediction, provided that models are specified in accordance with the stated goal. We also emphasize, as others have done, that inference on parameter estimates is biased if preceded by model selection and instead requires a carefully specified single model or further technical adjustments.","container-title":"Ecological Monographs","DOI":"10.1002/ecm.1557","ISSN":"0012-9615, 1557-7015","issue":"1","journalAbbreviation":"Ecol. Monogr.","language":"en","page":"e1557","source":"DOI.org (Crossref)","title":"Cross validation for model selection: A review with examples from ecology","title-short":"Cross validation for model selection","volume":"93","author":[{"family":"Yates","given":"Luke A."},{"family":"Aandahl","given":"Zach"},{"family":"Richards","given":"Shane A."},{"family":"Brook","given":"Barry W."}],"issued":{"date-parts":[["2023",2]]}}}],"schema":"https://github.com/citation-style-language/schema/raw/master/csl-citation.json"} </w:instrText>
      </w:r>
      <w:r w:rsidR="00DA2F92">
        <w:fldChar w:fldCharType="separate"/>
      </w:r>
      <w:r w:rsidR="00550ED7" w:rsidRPr="00550ED7">
        <w:t>(Yates et al., 2023)</w:t>
      </w:r>
      <w:r w:rsidR="00DA2F92">
        <w:fldChar w:fldCharType="end"/>
      </w:r>
      <w:r>
        <w:t xml:space="preserve">. The input dataset was split into </w:t>
      </w:r>
      <m:oMath>
        <m:r>
          <w:rPr>
            <w:rFonts w:ascii="Cambria Math" w:eastAsia="Cambria Math" w:hAnsi="Cambria Math" w:cs="Cambria Math"/>
          </w:rPr>
          <m:t>k</m:t>
        </m:r>
      </m:oMath>
      <w:r>
        <w:t xml:space="preserve"> subsets during </w:t>
      </w:r>
      <m:oMath>
        <m:r>
          <w:rPr>
            <w:rFonts w:ascii="Cambria Math" w:eastAsia="Cambria Math" w:hAnsi="Cambria Math" w:cs="Cambria Math"/>
          </w:rPr>
          <m:t>k</m:t>
        </m:r>
      </m:oMath>
      <w:r>
        <w:t xml:space="preserve">-fold cross validation, which created </w:t>
      </w:r>
      <m:oMath>
        <m:r>
          <w:rPr>
            <w:rFonts w:ascii="Cambria Math" w:eastAsia="Cambria Math" w:hAnsi="Cambria Math" w:cs="Cambria Math"/>
          </w:rPr>
          <m:t>k</m:t>
        </m:r>
      </m:oMath>
      <w:r>
        <w:t xml:space="preserve"> distinct testing datasets. In this study the splits were stratified by the </w:t>
      </w:r>
      <w:r w:rsidR="000F738B">
        <w:t>dependent</w:t>
      </w:r>
      <w:r>
        <w:t xml:space="preserve"> variable to ensure that the balance of the ‘change’ and ‘</w:t>
      </w:r>
      <w:r w:rsidR="00B50A48">
        <w:t>stable</w:t>
      </w:r>
      <w:r>
        <w:t xml:space="preserve">’ categories was the same in each of the ten subsets. A corresponding training dataset was generated for each test set by removing the test set from the entire dataset </w:t>
      </w:r>
      <w:r w:rsidR="00DA2F92">
        <w:fldChar w:fldCharType="begin"/>
      </w:r>
      <w:r w:rsidR="00FC2E85">
        <w:instrText xml:space="preserve"> ADDIN ZOTERO_ITEM CSL_CITATION {"citationID":"qCYRpdGY","properties":{"formattedCitation":"(Yates et al., 2023)","plainCitation":"(Yates et al., 2023)","noteIndex":0},"citationItems":[{"id":1359,"uris":["http://zotero.org/users/10985147/items/MPYCK83X"],"itemData":{"id":1359,"type":"article-journal","abstract":"Abstract\n            \n              Specifying, assessing, and selecting among candidate statistical models is fundamental to ecological research. Commonly used approaches to model selection are based on predictive scores and include information criteria such as Akaike's information criterion, and cross validation. Based on data splitting, cross validation is particularly versatile because it can be used even when it is not possible to derive a likelihood (e.g., many forms of machine learning) or count parameters precisely (e.g., mixed</w:instrText>
      </w:r>
      <w:r w:rsidR="00FC2E85">
        <w:rPr>
          <w:rFonts w:ascii="Cambria Math" w:hAnsi="Cambria Math" w:cs="Cambria Math"/>
        </w:rPr>
        <w:instrText>‐</w:instrText>
      </w:r>
      <w:r w:rsidR="00FC2E85">
        <w:instrText>effects models). However, much of the literature on cross validation is technical and spread across statistical journals, making it difficult for ecological analysts to assess and choose among the wide range of options. Here we provide a comprehensive, accessible review that explains important—but often overlooked—technical aspects of cross validation for model selection, such as: bias correction, estimation uncertainty, choice of scores, and selection rules to mitigate overfitting. We synthesize the relevant statistical advances to make recommendations for the choice of cross</w:instrText>
      </w:r>
      <w:r w:rsidR="00FC2E85">
        <w:rPr>
          <w:rFonts w:ascii="Cambria Math" w:hAnsi="Cambria Math" w:cs="Cambria Math"/>
        </w:rPr>
        <w:instrText>‐</w:instrText>
      </w:r>
      <w:r w:rsidR="00FC2E85">
        <w:instrText>validation technique and we present two ecological case studies to illustrate their application. In most instances, we recommend using exact or approximate leave</w:instrText>
      </w:r>
      <w:r w:rsidR="00FC2E85">
        <w:rPr>
          <w:rFonts w:ascii="Cambria Math" w:hAnsi="Cambria Math" w:cs="Cambria Math"/>
        </w:rPr>
        <w:instrText>‐</w:instrText>
      </w:r>
      <w:r w:rsidR="00FC2E85">
        <w:instrText>one</w:instrText>
      </w:r>
      <w:r w:rsidR="00FC2E85">
        <w:rPr>
          <w:rFonts w:ascii="Cambria Math" w:hAnsi="Cambria Math" w:cs="Cambria Math"/>
        </w:rPr>
        <w:instrText>‐</w:instrText>
      </w:r>
      <w:r w:rsidR="00FC2E85">
        <w:instrText xml:space="preserve">out cross validation to minimize bias, or otherwise\n              k\n              </w:instrText>
      </w:r>
      <w:r w:rsidR="00FC2E85">
        <w:rPr>
          <w:rFonts w:ascii="Cambria Math" w:hAnsi="Cambria Math" w:cs="Cambria Math"/>
        </w:rPr>
        <w:instrText>‐</w:instrText>
      </w:r>
      <w:r w:rsidR="00FC2E85">
        <w:instrText>fold with bias correction if\n              k\n               &lt; 10. To mitigate overfitting when using cross validation, we recommend calibrated selection via our recently introduced modified one</w:instrText>
      </w:r>
      <w:r w:rsidR="00FC2E85">
        <w:rPr>
          <w:rFonts w:ascii="Cambria Math" w:hAnsi="Cambria Math" w:cs="Cambria Math"/>
        </w:rPr>
        <w:instrText>‐</w:instrText>
      </w:r>
      <w:r w:rsidR="00FC2E85">
        <w:instrText>standard</w:instrText>
      </w:r>
      <w:r w:rsidR="00FC2E85">
        <w:rPr>
          <w:rFonts w:ascii="Cambria Math" w:hAnsi="Cambria Math" w:cs="Cambria Math"/>
        </w:rPr>
        <w:instrText>‐</w:instrText>
      </w:r>
      <w:r w:rsidR="00FC2E85">
        <w:instrText xml:space="preserve">error rule. We advocate for the use of predictive scores in model selection across a range of typical modeling goals, such as exploration, hypothesis testing, and prediction, provided that models are specified in accordance with the stated goal. We also emphasize, as others have done, that inference on parameter estimates is biased if preceded by model selection and instead requires a carefully specified single model or further technical adjustments.","container-title":"Ecological Monographs","DOI":"10.1002/ecm.1557","ISSN":"0012-9615, 1557-7015","issue":"1","journalAbbreviation":"Ecol. Monogr.","language":"en","page":"e1557","source":"DOI.org (Crossref)","title":"Cross validation for model selection: A review with examples from ecology","title-short":"Cross validation for model selection","volume":"93","author":[{"family":"Yates","given":"Luke A."},{"family":"Aandahl","given":"Zach"},{"family":"Richards","given":"Shane A."},{"family":"Brook","given":"Barry W."}],"issued":{"date-parts":[["2023",2]]}}}],"schema":"https://github.com/citation-style-language/schema/raw/master/csl-citation.json"} </w:instrText>
      </w:r>
      <w:r w:rsidR="00DA2F92">
        <w:fldChar w:fldCharType="separate"/>
      </w:r>
      <w:r w:rsidR="00550ED7" w:rsidRPr="00550ED7">
        <w:t>(Yates et al., 2023)</w:t>
      </w:r>
      <w:r w:rsidR="00DA2F92">
        <w:fldChar w:fldCharType="end"/>
      </w:r>
      <w:r>
        <w:t>, giving ten pairs of training and testing data. Cross validation was performed using the ‘</w:t>
      </w:r>
      <w:proofErr w:type="spellStart"/>
      <w:r>
        <w:t>rsample</w:t>
      </w:r>
      <w:proofErr w:type="spellEnd"/>
      <w:r>
        <w:t xml:space="preserve">’ package version 1.1.1 </w:t>
      </w:r>
      <w:r w:rsidR="00DA2F92">
        <w:fldChar w:fldCharType="begin"/>
      </w:r>
      <w:r w:rsidR="00FC2E85">
        <w:instrText xml:space="preserve"> ADDIN ZOTERO_ITEM CSL_CITATION {"citationID":"visW6yEW","properties":{"formattedCitation":"(Frick et al., 2022)","plainCitation":"(Frick et al., 2022)","noteIndex":0},"citationItems":[{"id":1399,"uris":["http://zotero.org/users/10985147/items/ISKHAVPW"],"itemData":{"id":1399,"type":"software","title":"rsample: General Resampling Infrastructure. R package version 1.1.1. https://CRAN.R-project.org/package=rsample","URL":"https://CRAN.R-project.org/package=rsample","version":"R package version 1.1.1","author":[{"family":"Frick","given":"Hannah"},{"family":"Fanny","given":"Chow"},{"family":"Kuhn","given":"Max"},{"family":"Mahoney","given":"Michael"},{"family":"Silge","given":"Julia"},{"family":"Wickham","given":"Hadley"}],"issued":{"date-parts":[["2022"]]}}}],"schema":"https://github.com/citation-style-language/schema/raw/master/csl-citation.json"} </w:instrText>
      </w:r>
      <w:r w:rsidR="00DA2F92">
        <w:fldChar w:fldCharType="separate"/>
      </w:r>
      <w:r w:rsidR="00550ED7" w:rsidRPr="00550ED7">
        <w:t>(Frick et al., 2022)</w:t>
      </w:r>
      <w:r w:rsidR="00DA2F92">
        <w:fldChar w:fldCharType="end"/>
      </w:r>
      <w:r>
        <w:t>.</w:t>
      </w:r>
      <w:r w:rsidR="3350172C">
        <w:t xml:space="preserve"> </w:t>
      </w:r>
      <w:r>
        <w:t xml:space="preserve">The use of cross validation allowed us to evaluate model performance for multiple subsets of the dataset and assess the variation in accuracy. </w:t>
      </w:r>
      <w:r w:rsidR="0020103F">
        <w:t>T</w:t>
      </w:r>
      <w:r>
        <w:t xml:space="preserve">he aim of this study was to explain whether landscape metrics are useful in land use models, and if so, which metrics are most important, rather than to develop a model to predict future LULC change with high accuracy </w:t>
      </w:r>
      <w:r w:rsidR="00DA2F92">
        <w:fldChar w:fldCharType="begin"/>
      </w:r>
      <w:r w:rsidR="00FC2E85">
        <w:instrText xml:space="preserve"> ADDIN ZOTERO_ITEM CSL_CITATION {"citationID":"VaQtkWrg","properties":{"formattedCitation":"(Shmueli, 2010; Yarkoni &amp; Westfall, 2017)","plainCitation":"(Shmueli, 2010; Yarkoni &amp; Westfall, 2017)","noteIndex":0},"citationItems":[{"id":1375,"uris":["http://zotero.org/users/10985147/items/MG7GR9XV"],"itemData":{"id":1375,"type":"article-journal","container-title":"Statistical Science","DOI":"10.1214/10-STS330","ISSN":"0883-4237","issue":"3","journalAbbreviation":"Statist. Sci.","page":"289-310","source":"DOI.org (Crossref)","title":"To Explain or to Predict?","volume":"25","author":[{"family":"Shmueli","given":"Galit"}],"issued":{"date-parts":[["2010",8,1]]}}},{"id":1360,"uris":["http://zotero.org/users/10985147/items/FJCDETBU"],"itemData":{"id":1360,"type":"article-journal","abstract":"Psychology has historically been concerned, first and foremost, with explaining the causal mechanisms that give rise to behavior. Randomized, tightly controlled experiments are enshrined as the gold standard of psychological research, and there are endless investigations of the various mediating and moderating variables that govern various behaviors. We argue that psychology’s near-total focus on explaining the causes of behavior has led much of the field to be populated by research programs that provide intricate theories of psychological mechanism but that have little (or unknown) ability to predict future behaviors with any appreciable accuracy. We propose that principles and techniques from the field of machine learning can help psychology become a more predictive science. We review some of the fundamental concepts and tools of machine learning and point out examples where these concepts have been used to conduct interesting and important psychological research that focuses on predictive research questions. We suggest that an increased focus on prediction, rather than explanation, can ultimately lead us to greater understanding of behavior.","container-title":"Perspectives on Psychological Science","DOI":"10.1177/1745691617693393","ISSN":"1745-6916, 1745-6924","issue":"6","journalAbbreviation":"Perspect. Psychol. Sci.","language":"en","page":"1100-1122","source":"DOI.org (Crossref)","title":"Choosing Prediction Over Explanation in Psychology: Lessons From Machine Learning","title-short":"Choosing Prediction Over Explanation in Psychology","volume":"12","author":[{"family":"Yarkoni","given":"Tal"},{"family":"Westfall","given":"Jacob"}],"issued":{"date-parts":[["2017",11]]}}}],"schema":"https://github.com/citation-style-language/schema/raw/master/csl-citation.json"} </w:instrText>
      </w:r>
      <w:r w:rsidR="00DA2F92">
        <w:fldChar w:fldCharType="separate"/>
      </w:r>
      <w:r w:rsidR="00550ED7" w:rsidRPr="00550ED7">
        <w:t>(Shmueli, 2010; Yarkoni &amp; Westfall, 2017)</w:t>
      </w:r>
      <w:r w:rsidR="00DA2F92">
        <w:fldChar w:fldCharType="end"/>
      </w:r>
      <w:r>
        <w:t>.</w:t>
      </w:r>
      <w:r w:rsidR="0020103F">
        <w:t xml:space="preserve"> Hence, we did not test the performance of the random forest models </w:t>
      </w:r>
      <w:r w:rsidR="009F7753">
        <w:t>at</w:t>
      </w:r>
      <w:r w:rsidR="0020103F">
        <w:t xml:space="preserve"> predicting LULC change for a different time period.</w:t>
      </w:r>
    </w:p>
    <w:p w14:paraId="2A6C72FF" w14:textId="5D271834" w:rsidR="006B3C54" w:rsidRDefault="00A52EE1">
      <w:r>
        <w:lastRenderedPageBreak/>
        <w:t xml:space="preserve">The </w:t>
      </w:r>
      <w:r w:rsidR="000F738B">
        <w:t>dependent</w:t>
      </w:r>
      <w:r>
        <w:t xml:space="preserve"> variable in the random forest models was highly imbalanced because only a small proportion of </w:t>
      </w:r>
      <w:r w:rsidR="0072644E">
        <w:t>pixel</w:t>
      </w:r>
      <w:r>
        <w:t xml:space="preserve">s experienced forest loss or cropland expansion during the study period, which is a common problem when studying LULC change </w:t>
      </w:r>
      <w:r>
        <w:fldChar w:fldCharType="begin"/>
      </w:r>
      <w:r w:rsidR="00FC2E85">
        <w:instrText xml:space="preserve"> ADDIN ZOTERO_ITEM CSL_CITATION {"citationID":"wpB4RDff","properties":{"formattedCitation":"(Eigenbrod et al., 2020; Hatna &amp; Bakker, 2011; Levers et al., 2018)","plainCitation":"(Eigenbrod et al., 2020; Hatna &amp; Bakker, 2011; Levers et al., 2018)","noteIndex":0},"citationItems":[{"id":1402,"uris":["http://zotero.org/users/10985147/items/BNSVFMLE"],"itemData":{"id":1402,"type":"article-journal","abstract":"The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H."}],"issued":{"date-parts":[["2020",10]]}}},{"id":1393,"uris":["http://zotero.org/users/10985147/items/U8QLG3SR"],"itemData":{"id":1393,"type":"article-journal","container-title":"Ecosystems","DOI":"10.1007/s10021-011-9441-y","ISSN":"1432-9840, 1435-0629","journalAbbreviation":"Ecosyst.","language":"en","page":"720-731","source":"DOI.org (Crossref)","title":"Abandonment and Expansion of Arable Land in Europe","volume":"14","author":[{"family":"Hatna","given":"Erez"},{"family":"Bakker","given":"Martha M."}],"issued":{"date-parts":[["2011",8]]}}},{"id":1388,"uris":["http://zotero.org/users/10985147/items/HQ3U53TZ"],"itemData":{"id":1388,"type":"article-journal","container-title":"Science of The Total Environment","DOI":"10.1016/j.scitotenv.2018.06.326","ISSN":"00489697","journalAbbreviation":"Sci. Total Environ.","language":"en","page":"95-111","source":"DOI.org (Crossref)","title":"Spatial variation in determinants of agricultural land abandonment in Europe","volume":"644","author":[{"family":"Levers","given":"Christian"},{"family":"Schneider","given":"Max"},{"family":"Prishchepov","given":"Alexander V."},{"family":"Estel","given":"Stephan"},{"family":"Kuemmerle","given":"Tobias"}],"issued":{"date-parts":[["2018",12]]}}}],"schema":"https://github.com/citation-style-language/schema/raw/master/csl-citation.json"} </w:instrText>
      </w:r>
      <w:r>
        <w:fldChar w:fldCharType="separate"/>
      </w:r>
      <w:r w:rsidR="00550ED7">
        <w:t>(Eigenbrod et al., 2020; Hatna &amp; Bakker, 2011; Levers et al., 2018)</w:t>
      </w:r>
      <w:r>
        <w:fldChar w:fldCharType="end"/>
      </w:r>
      <w:r>
        <w:t xml:space="preserve">. Using imbalanced training data can cause random forests to perform poorly at predicting the minority category </w:t>
      </w:r>
      <w:r>
        <w:fldChar w:fldCharType="begin"/>
      </w:r>
      <w:r w:rsidR="00FC2E85">
        <w:instrText xml:space="preserve"> ADDIN ZOTERO_ITEM CSL_CITATION {"citationID":"wawEUDLX","properties":{"formattedCitation":"(Van Hulse et al., 2007)","plainCitation":"(Van Hulse et al., 2007)","noteIndex":0},"citationItems":[{"id":1392,"uris":["http://zotero.org/users/10985147/items/Y3ZRMNTY"],"itemData":{"id":1392,"type":"paper-conference","container-title":"Proceedings of the 24th international conference on Machine learning","DOI":"https://doi.org/10.1145/1273496.1273614","page":"935-942","title":"Experimental perspectives on learning from imbalanced data","URL":"https://icml.cc/imls/conferences/2007/proceedings/papers/62.pdf","author":[{"family":"Van Hulse","given":"J"},{"family":"Khoshgoftaar","given":"T M"},{"family":"Napolitano","given":"A"}],"issued":{"date-parts":[["2007"]]}}}],"schema":"https://github.com/citation-style-language/schema/raw/master/csl-citation.json"} </w:instrText>
      </w:r>
      <w:r>
        <w:fldChar w:fldCharType="separate"/>
      </w:r>
      <w:r w:rsidR="00550ED7">
        <w:t>(Van Hulse et al., 2007)</w:t>
      </w:r>
      <w:r>
        <w:fldChar w:fldCharType="end"/>
      </w:r>
      <w:r>
        <w:t xml:space="preserve">, which in our case is the category of interest (LULC change). There are a range of methods available for handling imbalanced data when training machine learning models, such as sampling methods which aim to balance the proportions of each category </w:t>
      </w:r>
      <w:r w:rsidR="00F129B2">
        <w:t xml:space="preserve">by adding or removing </w:t>
      </w:r>
      <w:r w:rsidR="00506A99">
        <w:t xml:space="preserve">observations from the dataset </w:t>
      </w:r>
      <w:r>
        <w:fldChar w:fldCharType="begin"/>
      </w:r>
      <w:r w:rsidR="00FC2E85">
        <w:instrText xml:space="preserve"> ADDIN ZOTERO_ITEM CSL_CITATION {"citationID":"TkdyNn7T","properties":{"formattedCitation":"(More &amp; Rana, 2017)","plainCitation":"(More &amp; Rana, 2017)","noteIndex":0},"citationItems":[{"id":1383,"uris":["http://zotero.org/users/10985147/items/NLFVG8SR"],"itemData":{"id":1383,"type":"paper-conference","container-title":"2017 1st International Conference on Intelligent Systems and Information Management (ICISIM)","DOI":"10.1109/ICISIM.2017.8122151","event-place":"Aurangabad, India","ISBN":"978-1-5090-4264-7","page":"72-78","publisher":"IEEE","publisher-place":"Aurangabad, India","source":"DOI.org (Crossref)","title":"Review of random forest classification techniques to resolve data imbalance","URL":"http://ieeexplore.ieee.org/document/8122151/","author":[{"family":"More","given":"A. S."},{"family":"Rana","given":"Dipti P."}],"accessed":{"date-parts":[["2024",6,3]]},"issued":{"date-parts":[["2017",10]]}}}],"schema":"https://github.com/citation-style-language/schema/raw/master/csl-citation.json"} </w:instrText>
      </w:r>
      <w:r>
        <w:fldChar w:fldCharType="separate"/>
      </w:r>
      <w:r w:rsidR="00550ED7">
        <w:t>(More &amp; Rana, 2017)</w:t>
      </w:r>
      <w:r>
        <w:fldChar w:fldCharType="end"/>
      </w:r>
      <w:r>
        <w:t xml:space="preserve">. </w:t>
      </w:r>
      <w:proofErr w:type="spellStart"/>
      <w:r>
        <w:t>Undersampling</w:t>
      </w:r>
      <w:proofErr w:type="spellEnd"/>
      <w:r>
        <w:t xml:space="preserve"> methods address data imbalance by removing observations of the more common category, whereas oversampling methods create new observations of the less common category </w:t>
      </w:r>
      <w:r>
        <w:fldChar w:fldCharType="begin"/>
      </w:r>
      <w:r w:rsidR="00FC2E85">
        <w:instrText xml:space="preserve"> ADDIN ZOTERO_ITEM CSL_CITATION {"citationID":"JhECz0er","properties":{"formattedCitation":"(More &amp; Rana, 2017; Van Hulse et al., 2007)","plainCitation":"(More &amp; Rana, 2017; Van Hulse et al., 2007)","noteIndex":0},"citationItems":[{"id":1392,"uris":["http://zotero.org/users/10985147/items/Y3ZRMNTY"],"itemData":{"id":1392,"type":"paper-conference","container-title":"Proceedings of the 24th international conference on Machine learning","DOI":"https://doi.org/10.1145/1273496.1273614","page":"935-942","title":"Experimental perspectives on learning from imbalanced data","URL":"https://icml.cc/imls/conferences/2007/proceedings/papers/62.pdf","author":[{"family":"Van Hulse","given":"J"},{"family":"Khoshgoftaar","given":"T M"},{"family":"Napolitano","given":"A"}],"issued":{"date-parts":[["2007"]]}}},{"id":1383,"uris":["http://zotero.org/users/10985147/items/NLFVG8SR"],"itemData":{"id":1383,"type":"paper-conference","container-title":"2017 1st International Conference on Intelligent Systems and Information Management (ICISIM)","DOI":"10.1109/ICISIM.2017.8122151","event-place":"Aurangabad, India","ISBN":"978-1-5090-4264-7","page":"72-78","publisher":"IEEE","publisher-place":"Aurangabad, India","source":"DOI.org (Crossref)","title":"Review of random forest classification techniques to resolve data imbalance","URL":"http://ieeexplore.ieee.org/document/8122151/","author":[{"family":"More","given":"A. S."},{"family":"Rana","given":"Dipti P."}],"accessed":{"date-parts":[["2024",6,3]]},"issued":{"date-parts":[["2017",10]]}}}],"schema":"https://github.com/citation-style-language/schema/raw/master/csl-citation.json"} </w:instrText>
      </w:r>
      <w:r>
        <w:fldChar w:fldCharType="separate"/>
      </w:r>
      <w:r w:rsidR="00550ED7">
        <w:t>(More &amp; Rana, 2017; Van Hulse et al., 2007)</w:t>
      </w:r>
      <w:r>
        <w:fldChar w:fldCharType="end"/>
      </w:r>
      <w:r>
        <w:t xml:space="preserve">. Given the high maximum size of our input datasets (903,723 observations after processing), we decided to </w:t>
      </w:r>
      <w:r w:rsidR="00C31795">
        <w:t>u</w:t>
      </w:r>
      <w:r w:rsidR="00E12E8F">
        <w:t xml:space="preserve">se random </w:t>
      </w:r>
      <w:proofErr w:type="spellStart"/>
      <w:r w:rsidR="00E12E8F">
        <w:t>undersampling</w:t>
      </w:r>
      <w:proofErr w:type="spellEnd"/>
      <w:r w:rsidR="00E12E8F">
        <w:t xml:space="preserve"> to balance the frequency of the ‘change’ and ‘stable’ categories </w:t>
      </w:r>
      <w:r w:rsidR="001D5E61">
        <w:t>prior to random forest modelling</w:t>
      </w:r>
      <w:r w:rsidR="00E12E8F">
        <w:t xml:space="preserve">. </w:t>
      </w:r>
      <w:r>
        <w:t xml:space="preserve">Moreover, random </w:t>
      </w:r>
      <w:proofErr w:type="spellStart"/>
      <w:r>
        <w:t>undersampling</w:t>
      </w:r>
      <w:proofErr w:type="spellEnd"/>
      <w:r>
        <w:t xml:space="preserve"> has previously been found to outperform other sampling methods when used with random forests </w:t>
      </w:r>
      <w:r>
        <w:fldChar w:fldCharType="begin"/>
      </w:r>
      <w:r w:rsidR="00FC2E85">
        <w:instrText xml:space="preserve"> ADDIN ZOTERO_ITEM CSL_CITATION {"citationID":"zZR1pSLw","properties":{"formattedCitation":"(Van Hulse et al., 2007)","plainCitation":"(Van Hulse et al., 2007)","noteIndex":0},"citationItems":[{"id":1392,"uris":["http://zotero.org/users/10985147/items/Y3ZRMNTY"],"itemData":{"id":1392,"type":"paper-conference","container-title":"Proceedings of the 24th international conference on Machine learning","DOI":"https://doi.org/10.1145/1273496.1273614","page":"935-942","title":"Experimental perspectives on learning from imbalanced data","URL":"https://icml.cc/imls/conferences/2007/proceedings/papers/62.pdf","author":[{"family":"Van Hulse","given":"J"},{"family":"Khoshgoftaar","given":"T M"},{"family":"Napolitano","given":"A"}],"issued":{"date-parts":[["2007"]]}}}],"schema":"https://github.com/citation-style-language/schema/raw/master/csl-citation.json"} </w:instrText>
      </w:r>
      <w:r>
        <w:fldChar w:fldCharType="separate"/>
      </w:r>
      <w:r w:rsidR="00550ED7">
        <w:t>(Van Hulse et al., 2007)</w:t>
      </w:r>
      <w:r>
        <w:fldChar w:fldCharType="end"/>
      </w:r>
      <w:r>
        <w:t xml:space="preserve">. Random </w:t>
      </w:r>
      <w:proofErr w:type="spellStart"/>
      <w:r>
        <w:t>undersampling</w:t>
      </w:r>
      <w:proofErr w:type="spellEnd"/>
      <w:r>
        <w:t xml:space="preserve"> was </w:t>
      </w:r>
      <w:r w:rsidR="00906DB5">
        <w:t xml:space="preserve">applied to the training dataset </w:t>
      </w:r>
      <w:r w:rsidR="00B024E6">
        <w:t>in</w:t>
      </w:r>
      <w:r w:rsidR="00906DB5">
        <w:t xml:space="preserve"> each of the </w:t>
      </w:r>
      <w:r w:rsidR="00B024E6">
        <w:t xml:space="preserve">ten folds, and </w:t>
      </w:r>
      <w:r>
        <w:t>implemented using the ‘</w:t>
      </w:r>
      <w:proofErr w:type="spellStart"/>
      <w:r>
        <w:t>step_downsample</w:t>
      </w:r>
      <w:proofErr w:type="spellEnd"/>
      <w:r>
        <w:t>’ function from the ‘</w:t>
      </w:r>
      <w:proofErr w:type="spellStart"/>
      <w:r>
        <w:t>themis</w:t>
      </w:r>
      <w:proofErr w:type="spellEnd"/>
      <w:r>
        <w:t xml:space="preserve">’ R package version 1.0.2 </w:t>
      </w:r>
      <w:r>
        <w:fldChar w:fldCharType="begin"/>
      </w:r>
      <w:r w:rsidR="00FC2E85">
        <w:instrText xml:space="preserve"> ADDIN ZOTERO_ITEM CSL_CITATION {"citationID":"lZxrYanK","properties":{"formattedCitation":"(Hvitfeldt, 2023)","plainCitation":"(Hvitfeldt, 2023)","noteIndex":0},"citationItems":[{"id":1358,"uris":["http://zotero.org/users/10985147/items/ZL4PJ5EC"],"itemData":{"id":1358,"type":"software","title":"themis: Extra Recipes Steps for Dealing with Unbalanced Data. R package version 1.0.2. https://CRAN.R-project.org/package=themis","URL":"https://CRAN.R-project.org/package=themis","author":[{"family":"Hvitfeldt","given":"Emil"}],"issued":{"date-parts":[["2023"]]}}}],"schema":"https://github.com/citation-style-language/schema/raw/master/csl-citation.json"} </w:instrText>
      </w:r>
      <w:r>
        <w:fldChar w:fldCharType="separate"/>
      </w:r>
      <w:r w:rsidR="00550ED7">
        <w:t>(Hvitfeldt, 2023)</w:t>
      </w:r>
      <w:r>
        <w:fldChar w:fldCharType="end"/>
      </w:r>
      <w:r>
        <w:t>.</w:t>
      </w:r>
      <w:r w:rsidR="00E12E8F">
        <w:t xml:space="preserve"> Pixels in the ‘stable’ category were removed from </w:t>
      </w:r>
      <w:r w:rsidR="00FF4172">
        <w:t>a</w:t>
      </w:r>
      <w:r w:rsidR="00E12E8F">
        <w:t xml:space="preserve"> dataset until the </w:t>
      </w:r>
      <w:r w:rsidR="0031509E">
        <w:t xml:space="preserve">number of </w:t>
      </w:r>
      <w:r w:rsidR="00FF4BFA">
        <w:t>pixels</w:t>
      </w:r>
      <w:r w:rsidR="0031509E">
        <w:t xml:space="preserve"> in the ’stable’ class was equal to the number in the ‘change’ class.</w:t>
      </w:r>
      <w:r>
        <w:t xml:space="preserve"> </w:t>
      </w:r>
    </w:p>
    <w:p w14:paraId="2A6C7300" w14:textId="6D96DB4D" w:rsidR="006B3C54" w:rsidRDefault="00A52EE1">
      <w:r>
        <w:t xml:space="preserve">Three random forest models were evaluated using </w:t>
      </w:r>
      <m:oMath>
        <m:r>
          <w:rPr>
            <w:rFonts w:ascii="Cambria Math" w:eastAsia="Cambria Math" w:hAnsi="Cambria Math" w:cs="Cambria Math"/>
          </w:rPr>
          <m:t>k</m:t>
        </m:r>
      </m:oMath>
      <w:r>
        <w:t xml:space="preserve">-fold cross validation for each of the combinations of location, LULC class, </w:t>
      </w:r>
      <w:r w:rsidR="0072644E">
        <w:t>spatial resolution</w:t>
      </w:r>
      <w:r>
        <w:t xml:space="preserve">, and change threshold: one where all landscape metrics were used as </w:t>
      </w:r>
      <w:r w:rsidR="00C60C40">
        <w:t>independent variable</w:t>
      </w:r>
      <w:r>
        <w:t xml:space="preserve">s, one with just traditional variables as </w:t>
      </w:r>
      <w:r w:rsidR="00C60C40">
        <w:t>independent variable</w:t>
      </w:r>
      <w:r>
        <w:t xml:space="preserve">s, and a third which used all landscape metrics and traditional variables as </w:t>
      </w:r>
      <w:r w:rsidR="00C60C40">
        <w:t>independent variable</w:t>
      </w:r>
      <w:r>
        <w:t xml:space="preserve">s. The number of trees in each random forest was set to 1000, as using a high number of trees usually leads to more reliable predictions </w:t>
      </w:r>
      <w:r w:rsidR="00DA2F92">
        <w:fldChar w:fldCharType="begin"/>
      </w:r>
      <w:r w:rsidR="00FC2E85">
        <w:instrText xml:space="preserve"> ADDIN ZOTERO_ITEM CSL_CITATION {"citationID":"NhRiYM9G","properties":{"formattedCitation":"(Strobl et al., 2009)","plainCitation":"(Strobl et al., 2009)","noteIndex":0},"citationItems":[{"id":1374,"uris":["http://zotero.org/users/10985147/items/MVH5N9L9"],"itemData":{"id":1374,"type":"article-journal","container-title":"Psychological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schema":"https://github.com/citation-style-language/schema/raw/master/csl-citation.json"} </w:instrText>
      </w:r>
      <w:r w:rsidR="00DA2F92">
        <w:fldChar w:fldCharType="separate"/>
      </w:r>
      <w:r w:rsidR="00550ED7" w:rsidRPr="00550ED7">
        <w:t>(Strobl et al., 2009)</w:t>
      </w:r>
      <w:r w:rsidR="00DA2F92">
        <w:fldChar w:fldCharType="end"/>
      </w:r>
      <w:r>
        <w:t xml:space="preserve">. The number of </w:t>
      </w:r>
      <w:r w:rsidR="00C60C40">
        <w:t>independent variable</w:t>
      </w:r>
      <w:r>
        <w:t xml:space="preserve">s randomly selected to split the data at each node in decision trees was set to three, which is the default for a random forest model with five </w:t>
      </w:r>
      <w:r w:rsidR="00C60C40">
        <w:t>independent variable</w:t>
      </w:r>
      <w:r>
        <w:t xml:space="preserve">s (the fewest number of </w:t>
      </w:r>
      <w:r w:rsidR="00C60C40">
        <w:t>independent variable</w:t>
      </w:r>
      <w:r>
        <w:t>s used in any of our models</w:t>
      </w:r>
      <w:r w:rsidR="00F17FA7">
        <w:t xml:space="preserve">; </w:t>
      </w:r>
      <w:r w:rsidR="00DA2F92">
        <w:fldChar w:fldCharType="begin"/>
      </w:r>
      <w:r w:rsidR="00FC2E85">
        <w:instrText xml:space="preserve"> ADDIN ZOTERO_ITEM CSL_CITATION {"citationID":"VQqEMdEY","properties":{"formattedCitation":"(Hastie et al., 2009)","plainCitation":"(Hastie et al., 2009)","dontUpdate":true,"noteIndex":0},"citationItems":[{"id":1394,"uris":["http://zotero.org/users/10985147/items/AWUIDN7D"],"itemData":{"id":1394,"type":"book","collection-title":"Springer Series in Statistics","event-place":"New York, NY","ISBN":"978-0-387-84857-0","license":"http://www.springer.com/tdm","note":"DOI: 10.1007/978-0-387-84858-7","publisher":"Springer New York","publisher-place":"New York, NY","source":"DOI.org (Crossref)","title":"The Elements of Statistical Learning","URL":"http://link.springer.com/10.1007/978-0-387-84858-7","author":[{"family":"Hastie","given":"Trevor"},{"family":"Tibshirani","given":"Robert"},{"family":"Friedman","given":"Jerome"}],"accessed":{"date-parts":[["2024",5,20]]},"issued":{"date-parts":[["2009"]]}}}],"schema":"https://github.com/citation-style-language/schema/raw/master/csl-citation.json"} </w:instrText>
      </w:r>
      <w:r w:rsidR="00DA2F92">
        <w:fldChar w:fldCharType="separate"/>
      </w:r>
      <w:r w:rsidR="00550ED7" w:rsidRPr="00550ED7">
        <w:t>Hastie et al., 2009)</w:t>
      </w:r>
      <w:r w:rsidR="00DA2F92">
        <w:fldChar w:fldCharType="end"/>
      </w:r>
      <w:r>
        <w:t xml:space="preserve">. The minimum size of terminal nodes in each tree was set to one, which is the default for random forest classifiers </w:t>
      </w:r>
      <w:r w:rsidR="00DA2F92">
        <w:fldChar w:fldCharType="begin"/>
      </w:r>
      <w:r w:rsidR="00FC2E85">
        <w:instrText xml:space="preserve"> ADDIN ZOTERO_ITEM CSL_CITATION {"citationID":"mGaa0FUx","properties":{"formattedCitation":"(Wright &amp; Ziegler, 2017)","plainCitation":"(Wright &amp; Ziegler, 2017)","noteIndex":0},"citationItems":[{"id":1364,"uris":["http://zotero.org/users/10985147/items/CHRLF77K"],"itemData":{"id":1364,"type":"article-journal","container-title":"Journal of Statistical Software","DOI":"10.18637/jss.v077.i01","ISSN":"1548-7660","issue":"1","journalAbbreviation":"J. Stat. Soft.","language":"en","page":"1-17","source":"DOI.org (Crossref)","title":"ranger : A Fast Implementation of Random Forests for High Dimensional Data in &lt;i&gt;C++&lt;/i&gt; and &lt;i&gt;R&lt;/i&gt;","title-short":"&lt;b&gt;ranger&lt;/b&gt;","volume":"77","author":[{"family":"Wright","given":"Marvin N."},{"family":"Ziegler","given":"Andreas"}],"issued":{"date-parts":[["2017"]]}}}],"schema":"https://github.com/citation-style-language/schema/raw/master/csl-citation.json"} </w:instrText>
      </w:r>
      <w:r w:rsidR="00DA2F92">
        <w:fldChar w:fldCharType="separate"/>
      </w:r>
      <w:r w:rsidR="00550ED7" w:rsidRPr="00550ED7">
        <w:t>(Wright &amp; Ziegler, 2017)</w:t>
      </w:r>
      <w:r w:rsidR="00DA2F92">
        <w:fldChar w:fldCharType="end"/>
      </w:r>
      <w:r>
        <w:t xml:space="preserve">. All random forests were trained and assessed in R version 4.0.0 </w:t>
      </w:r>
      <w:r w:rsidR="00DA2F92">
        <w:fldChar w:fldCharType="begin"/>
      </w:r>
      <w:r w:rsidR="00FC2E85">
        <w:instrText xml:space="preserve"> ADDIN ZOTERO_ITEM CSL_CITATION {"citationID":"dNruhBpy","properties":{"formattedCitation":"(R Core Team, 2020)","plainCitation":"(R Core Team, 2020)","noteIndex":0},"citationItems":[{"id":1381,"uris":["http://zotero.org/users/10985147/items/5P5XTHA8"],"itemData":{"id":1381,"type":"document","note":"publisher-place: Vienna, Austria","publisher":"R  Foundation for Statistical Computing","title":"R: A language and environment for statistical computing. R Foundation for Statistical Computing, Vienna, Austria. URL https://www.R-project.org/.","URL":"https://www.R-project.org/","author":[{"literal":"R Core Team"}],"accessed":{"date-parts":[["2021",5,4]]},"issued":{"date-parts":[["2020"]]}}}],"schema":"https://github.com/citation-style-language/schema/raw/master/csl-citation.json"} </w:instrText>
      </w:r>
      <w:r w:rsidR="00DA2F92">
        <w:fldChar w:fldCharType="separate"/>
      </w:r>
      <w:r w:rsidR="00550ED7" w:rsidRPr="00550ED7">
        <w:t>(R Core Team, 2020)</w:t>
      </w:r>
      <w:r w:rsidR="00DA2F92">
        <w:fldChar w:fldCharType="end"/>
      </w:r>
      <w:r>
        <w:t xml:space="preserve"> using the ‘ranger’ R package version 0.13.1 via the ‘</w:t>
      </w:r>
      <w:proofErr w:type="spellStart"/>
      <w:r>
        <w:t>tidymodels</w:t>
      </w:r>
      <w:proofErr w:type="spellEnd"/>
      <w:r>
        <w:t xml:space="preserve">’ framework version 1.1.0 and associated packages </w:t>
      </w:r>
      <w:r w:rsidR="00DA2F92">
        <w:fldChar w:fldCharType="begin"/>
      </w:r>
      <w:r w:rsidR="00FC2E85">
        <w:instrText xml:space="preserve"> ADDIN ZOTERO_ITEM CSL_CITATION {"citationID":"eELcK3pC","properties":{"formattedCitation":"(Kuhn &amp; Wickham, 2020)","plainCitation":"(Kuhn &amp; Wickham, 2020)","noteIndex":0},"citationItems":[{"id":1391,"uris":["http://zotero.org/users/10985147/items/X2FTRVP5"],"itemData":{"id":1391,"type":"software","title":"Tidymodels: a collection of packages for modeling and machine learning using tidyverse principles","URL":"https://www.tidymodels.org","author":[{"family":"Kuhn","given":"Max"},{"family":"Wickham","given":"Hadley"}],"issued":{"date-parts":[["2020"]]}}}],"schema":"https://github.com/citation-style-language/schema/raw/master/csl-citation.json"} </w:instrText>
      </w:r>
      <w:r w:rsidR="00DA2F92">
        <w:fldChar w:fldCharType="separate"/>
      </w:r>
      <w:r w:rsidR="00550ED7" w:rsidRPr="00550ED7">
        <w:t>(Kuhn &amp; Wickham, 2020)</w:t>
      </w:r>
      <w:r w:rsidR="00DA2F92">
        <w:fldChar w:fldCharType="end"/>
      </w:r>
      <w:r>
        <w:t>.</w:t>
      </w:r>
    </w:p>
    <w:p w14:paraId="2A6C7301" w14:textId="77777777" w:rsidR="006B3C54" w:rsidRDefault="00A52EE1">
      <w:pPr>
        <w:pStyle w:val="Heading2"/>
        <w:numPr>
          <w:ilvl w:val="1"/>
          <w:numId w:val="2"/>
        </w:numPr>
      </w:pPr>
      <w:r>
        <w:lastRenderedPageBreak/>
        <w:t>Assessing model performance</w:t>
      </w:r>
    </w:p>
    <w:p w14:paraId="2A6C7302" w14:textId="364DFCAB" w:rsidR="006B3C54" w:rsidRDefault="00A52EE1">
      <w:pPr>
        <w:spacing w:before="240"/>
      </w:pPr>
      <w:r>
        <w:t xml:space="preserve">We calculated accuracy metrics and importance scores to compare the random forest models trained with different sets of </w:t>
      </w:r>
      <w:r w:rsidR="00C60C40">
        <w:t>independent</w:t>
      </w:r>
      <w:r>
        <w:t xml:space="preserve"> variables.</w:t>
      </w:r>
      <w:r w:rsidR="00E86353">
        <w:t xml:space="preserve"> </w:t>
      </w:r>
      <w:r w:rsidR="004B7A04">
        <w:t xml:space="preserve">The random forest models </w:t>
      </w:r>
      <w:r w:rsidR="001B0516">
        <w:t xml:space="preserve">classified pixels as to whether </w:t>
      </w:r>
      <w:r w:rsidR="00885DC1">
        <w:t>or not forest loss or cropland expansion</w:t>
      </w:r>
      <w:r w:rsidR="001B0516">
        <w:t xml:space="preserve"> occurred between 1992 and 2020, </w:t>
      </w:r>
      <w:r w:rsidR="005A49FC">
        <w:t>and hence</w:t>
      </w:r>
      <w:r w:rsidR="001B0516">
        <w:t xml:space="preserve"> modelled the </w:t>
      </w:r>
      <w:r w:rsidR="004E5682">
        <w:t>occurrence</w:t>
      </w:r>
      <w:r w:rsidR="001B0516">
        <w:t xml:space="preserve"> rather than the quantity of LULC change.</w:t>
      </w:r>
      <w:r>
        <w:t xml:space="preserve"> </w:t>
      </w:r>
      <w:r w:rsidR="001B0516">
        <w:t xml:space="preserve">Therefore, we selected </w:t>
      </w:r>
      <w:r w:rsidR="00806824">
        <w:t xml:space="preserve">accuracy metrics </w:t>
      </w:r>
      <w:r w:rsidR="00A61069">
        <w:t>for evaluating the</w:t>
      </w:r>
      <w:r w:rsidR="004E33EA">
        <w:t xml:space="preserve"> performance of </w:t>
      </w:r>
      <w:r w:rsidR="00806824">
        <w:t xml:space="preserve">classification models. </w:t>
      </w:r>
      <w:r>
        <w:t xml:space="preserve">While </w:t>
      </w:r>
      <w:proofErr w:type="spellStart"/>
      <w:r>
        <w:t>undersampling</w:t>
      </w:r>
      <w:proofErr w:type="spellEnd"/>
      <w:r>
        <w:t xml:space="preserve"> was employed to address class imbalance in the training datasets, the testing datasets were not sampled so that they better represented model performance on the actual distribution of </w:t>
      </w:r>
      <w:r w:rsidR="0072644E">
        <w:t>pixel</w:t>
      </w:r>
      <w:r>
        <w:t xml:space="preserve">s </w:t>
      </w:r>
      <w:r w:rsidR="002C7A2A">
        <w:t>that</w:t>
      </w:r>
      <w:r>
        <w:t xml:space="preserve"> underwent LULC change. Some commonly used accuracy performance measures, such as overall accuracy and the Receiver Operating Characteristic (ROC) curve, are not suitable for evaluating</w:t>
      </w:r>
      <w:r w:rsidR="002C7A2A">
        <w:t xml:space="preserve"> the</w:t>
      </w:r>
      <w:r>
        <w:t xml:space="preserve"> performance of models with imbalanced testing datasets because they can overestimate model performance in this situation </w:t>
      </w:r>
      <w:r w:rsidR="00DA2F92">
        <w:fldChar w:fldCharType="begin"/>
      </w:r>
      <w:r w:rsidR="00FC2E85">
        <w:instrText xml:space="preserve"> ADDIN ZOTERO_ITEM CSL_CITATION {"citationID":"kvlW3KyQ","properties":{"formattedCitation":"(Davis &amp; Goadrich, 2006; Van Hulse et al., 2007)","plainCitation":"(Davis &amp; Goadrich, 2006; Van Hulse et al., 2007)","noteIndex":0},"citationItems":[{"id":1392,"uris":["http://zotero.org/users/10985147/items/Y3ZRMNTY"],"itemData":{"id":1392,"type":"paper-conference","container-title":"Proceedings of the 24th international conference on Machine learning","DOI":"https://doi.org/10.1145/1273496.1273614","page":"935-942","title":"Experimental perspectives on learning from imbalanced data","URL":"https://icml.cc/imls/conferences/2007/proceedings/papers/62.pdf","author":[{"family":"Van Hulse","given":"J"},{"family":"Khoshgoftaar","given":"T M"},{"family":"Napolitano","given":"A"}],"issued":{"date-parts":[["2007"]]}}},{"id":1403,"uris":["http://zotero.org/users/10985147/items/US4MSMM9"],"itemData":{"id":1403,"type":"paper-conference","container-title":"Proceedings of the 23rd International Conference on Machine Learning","DOI":"https://doi.org/10.1145/1143844.1143874","page":"233-240","title":"The relationship between Precision-Recall and ROC curves","URL":"https://www.biostat.wisc.edu/~page/rocpr.pdf","author":[{"family":"Davis","given":"J"},{"family":"Goadrich","given":"M"}],"issued":{"date-parts":[["2006"]]}}}],"schema":"https://github.com/citation-style-language/schema/raw/master/csl-citation.json"} </w:instrText>
      </w:r>
      <w:r w:rsidR="00DA2F92">
        <w:fldChar w:fldCharType="separate"/>
      </w:r>
      <w:r w:rsidR="00550ED7" w:rsidRPr="00550ED7">
        <w:t>(Davis &amp; Goadrich, 2006; Van Hulse et al., 2007)</w:t>
      </w:r>
      <w:r w:rsidR="00DA2F92">
        <w:fldChar w:fldCharType="end"/>
      </w:r>
      <w:r>
        <w:t>. Therefore, we calculated two metrics that are preferable for estimating performance using imbalanced testing datasets because they focus more on whether the minority class is correctly identified: precision-recall (PR) curves and the F</w:t>
      </w:r>
      <w:r>
        <w:rPr>
          <w:vertAlign w:val="subscript"/>
        </w:rPr>
        <w:t>1</w:t>
      </w:r>
      <w:r>
        <w:t xml:space="preserve">-measure </w:t>
      </w:r>
      <w:r w:rsidR="00DA2F92">
        <w:fldChar w:fldCharType="begin"/>
      </w:r>
      <w:r w:rsidR="00FC2E85">
        <w:instrText xml:space="preserve"> ADDIN ZOTERO_ITEM CSL_CITATION {"citationID":"hbKL6JlD","properties":{"formattedCitation":"(Gaudreault &amp; Branco, 2024)","plainCitation":"(Gaudreault &amp; Branco, 2024)","noteIndex":0},"citationItems":[{"id":1398,"uris":["http://zotero.org/users/10985147/items/ET8H8GBH"],"itemData":{"id":1398,"type":"article-journal","container-title":"Machine Learning","DOI":"10.1007/s10994-023-06497-5","ISSN":"0885-6125, 1573-0565","journalAbbreviation":"Mach. Learn.","language":"en","page":"5533-5575","source":"DOI.org (Crossref)","title":"Empirical analysis of performance assessment for imbalanced classification","volume":"113","author":[{"family":"Gaudreault","given":"Jean-Gabriel"},{"family":"Branco","given":"Paula"}],"issued":{"date-parts":[["2024",1,23]]}}}],"schema":"https://github.com/citation-style-language/schema/raw/master/csl-citation.json"} </w:instrText>
      </w:r>
      <w:r w:rsidR="00DA2F92">
        <w:fldChar w:fldCharType="separate"/>
      </w:r>
      <w:r w:rsidR="00550ED7" w:rsidRPr="00550ED7">
        <w:t>(Gaudreault &amp; Branco, 2024)</w:t>
      </w:r>
      <w:r w:rsidR="00DA2F92">
        <w:fldChar w:fldCharType="end"/>
      </w:r>
      <w:r>
        <w:t xml:space="preserve">. PR curves are a ranking-based accuracy measure that plot precision against recall for a range of detection thresholds, where a detection threshold is the probability that splits observations into the two categories (change and </w:t>
      </w:r>
      <w:r w:rsidR="00B50A48">
        <w:t>stable</w:t>
      </w:r>
      <w:r>
        <w:t xml:space="preserve">). Precision is defined as the proportion of predicted positives which are true positives, while recall is the proportion of </w:t>
      </w:r>
      <w:r w:rsidR="001103AE">
        <w:t>reference</w:t>
      </w:r>
      <w:r>
        <w:t xml:space="preserve"> positives that are detected by the classifier </w:t>
      </w:r>
      <w:r w:rsidR="00DA2F92">
        <w:fldChar w:fldCharType="begin"/>
      </w:r>
      <w:r w:rsidR="00FC2E85">
        <w:instrText xml:space="preserve"> ADDIN ZOTERO_ITEM CSL_CITATION {"citationID":"e9sBziOq","properties":{"formattedCitation":"(Davis &amp; Goadrich, 2006)","plainCitation":"(Davis &amp; Goadrich, 2006)","noteIndex":0},"citationItems":[{"id":1403,"uris":["http://zotero.org/users/10985147/items/US4MSMM9"],"itemData":{"id":1403,"type":"paper-conference","container-title":"Proceedings of the 23rd International Conference on Machine Learning","DOI":"https://doi.org/10.1145/1143844.1143874","page":"233-240","title":"The relationship between Precision-Recall and ROC curves","URL":"https://www.biostat.wisc.edu/~page/rocpr.pdf","author":[{"family":"Davis","given":"J"},{"family":"Goadrich","given":"M"}],"issued":{"date-parts":[["2006"]]}}}],"schema":"https://github.com/citation-style-language/schema/raw/master/csl-citation.json"} </w:instrText>
      </w:r>
      <w:r w:rsidR="00DA2F92">
        <w:fldChar w:fldCharType="separate"/>
      </w:r>
      <w:r w:rsidR="00550ED7" w:rsidRPr="00550ED7">
        <w:t>(Davis &amp; Goadrich, 2006)</w:t>
      </w:r>
      <w:r w:rsidR="00DA2F92">
        <w:fldChar w:fldCharType="end"/>
      </w:r>
      <w:r>
        <w:t>:</w:t>
      </w:r>
    </w:p>
    <w:p w14:paraId="2A6C7303" w14:textId="77777777" w:rsidR="006B3C54" w:rsidRDefault="00A52EE1">
      <w:pPr>
        <w:jc w:val="center"/>
        <w:rPr>
          <w:rFonts w:ascii="Cambria Math" w:eastAsia="Cambria Math" w:hAnsi="Cambria Math" w:cs="Cambria Math"/>
        </w:rPr>
      </w:pPr>
      <m:oMathPara>
        <m:oMath>
          <m:r>
            <w:rPr>
              <w:rFonts w:ascii="Cambria Math" w:eastAsia="Cambria Math" w:hAnsi="Cambria Math" w:cs="Cambria Math"/>
            </w:rPr>
            <m:t xml:space="preserve">precision= </m:t>
          </m:r>
          <m:f>
            <m:fPr>
              <m:ctrlPr>
                <w:rPr>
                  <w:rFonts w:ascii="Cambria Math" w:eastAsia="Cambria Math" w:hAnsi="Cambria Math" w:cs="Cambria Math"/>
                </w:rPr>
              </m:ctrlPr>
            </m:fPr>
            <m:num>
              <m:r>
                <w:rPr>
                  <w:rFonts w:ascii="Cambria Math" w:eastAsia="Cambria Math" w:hAnsi="Cambria Math" w:cs="Cambria Math"/>
                </w:rPr>
                <m:t>TP</m:t>
              </m:r>
            </m:num>
            <m:den>
              <m:r>
                <w:rPr>
                  <w:rFonts w:ascii="Cambria Math" w:eastAsia="Cambria Math" w:hAnsi="Cambria Math" w:cs="Cambria Math"/>
                </w:rPr>
                <m:t>TP+FP</m:t>
              </m:r>
            </m:den>
          </m:f>
          <m:r>
            <w:rPr>
              <w:rFonts w:ascii="Cambria Math" w:eastAsia="Cambria Math" w:hAnsi="Cambria Math" w:cs="Cambria Math"/>
            </w:rPr>
            <m:t xml:space="preserve"> </m:t>
          </m:r>
        </m:oMath>
      </m:oMathPara>
    </w:p>
    <w:p w14:paraId="2A6C7304" w14:textId="77777777" w:rsidR="006B3C54" w:rsidRDefault="00A52EE1">
      <w:pPr>
        <w:pBdr>
          <w:top w:val="nil"/>
          <w:left w:val="nil"/>
          <w:bottom w:val="nil"/>
          <w:right w:val="nil"/>
          <w:between w:val="nil"/>
        </w:pBdr>
        <w:spacing w:after="200" w:line="240" w:lineRule="auto"/>
        <w:jc w:val="right"/>
        <w:rPr>
          <w:rFonts w:ascii="Cambria Math" w:eastAsia="Cambria Math" w:hAnsi="Cambria Math" w:cs="Cambria Math"/>
          <w:i/>
          <w:color w:val="000000"/>
          <w:sz w:val="20"/>
          <w:szCs w:val="20"/>
        </w:rPr>
      </w:pPr>
      <w:proofErr w:type="gramStart"/>
      <w:r>
        <w:rPr>
          <w:i/>
          <w:color w:val="000000"/>
          <w:sz w:val="20"/>
          <w:szCs w:val="20"/>
        </w:rPr>
        <w:t>( 1</w:t>
      </w:r>
      <w:proofErr w:type="gramEnd"/>
      <w:r>
        <w:rPr>
          <w:i/>
          <w:color w:val="000000"/>
          <w:sz w:val="20"/>
          <w:szCs w:val="20"/>
        </w:rPr>
        <w:t xml:space="preserve"> )</w:t>
      </w:r>
    </w:p>
    <w:p w14:paraId="2A6C7305" w14:textId="77777777" w:rsidR="006B3C54" w:rsidRDefault="00A52EE1">
      <w:pPr>
        <w:jc w:val="center"/>
        <w:rPr>
          <w:rFonts w:ascii="Cambria Math" w:eastAsia="Cambria Math" w:hAnsi="Cambria Math" w:cs="Cambria Math"/>
        </w:rPr>
      </w:pPr>
      <m:oMathPara>
        <m:oMath>
          <m:r>
            <w:rPr>
              <w:rFonts w:ascii="Cambria Math" w:eastAsia="Cambria Math" w:hAnsi="Cambria Math" w:cs="Cambria Math"/>
            </w:rPr>
            <m:t xml:space="preserve">recall= </m:t>
          </m:r>
          <m:f>
            <m:fPr>
              <m:ctrlPr>
                <w:rPr>
                  <w:rFonts w:ascii="Cambria Math" w:eastAsia="Cambria Math" w:hAnsi="Cambria Math" w:cs="Cambria Math"/>
                </w:rPr>
              </m:ctrlPr>
            </m:fPr>
            <m:num>
              <m:r>
                <w:rPr>
                  <w:rFonts w:ascii="Cambria Math" w:eastAsia="Cambria Math" w:hAnsi="Cambria Math" w:cs="Cambria Math"/>
                </w:rPr>
                <m:t>TP</m:t>
              </m:r>
            </m:num>
            <m:den>
              <m:r>
                <w:rPr>
                  <w:rFonts w:ascii="Cambria Math" w:eastAsia="Cambria Math" w:hAnsi="Cambria Math" w:cs="Cambria Math"/>
                </w:rPr>
                <m:t>TP+FN</m:t>
              </m:r>
            </m:den>
          </m:f>
          <m:r>
            <w:rPr>
              <w:rFonts w:ascii="Cambria Math" w:eastAsia="Cambria Math" w:hAnsi="Cambria Math" w:cs="Cambria Math"/>
            </w:rPr>
            <m:t xml:space="preserve">  </m:t>
          </m:r>
        </m:oMath>
      </m:oMathPara>
    </w:p>
    <w:p w14:paraId="2A6C7306" w14:textId="77777777" w:rsidR="006B3C54" w:rsidRDefault="00A52EE1">
      <w:pPr>
        <w:pBdr>
          <w:top w:val="nil"/>
          <w:left w:val="nil"/>
          <w:bottom w:val="nil"/>
          <w:right w:val="nil"/>
          <w:between w:val="nil"/>
        </w:pBdr>
        <w:spacing w:after="200" w:line="240" w:lineRule="auto"/>
        <w:jc w:val="right"/>
        <w:rPr>
          <w:rFonts w:ascii="Cambria Math" w:eastAsia="Cambria Math" w:hAnsi="Cambria Math" w:cs="Cambria Math"/>
          <w:i/>
          <w:color w:val="000000"/>
          <w:sz w:val="20"/>
          <w:szCs w:val="20"/>
        </w:rPr>
      </w:pPr>
      <w:proofErr w:type="gramStart"/>
      <w:r>
        <w:rPr>
          <w:i/>
          <w:color w:val="000000"/>
          <w:sz w:val="20"/>
          <w:szCs w:val="20"/>
        </w:rPr>
        <w:t>( 2</w:t>
      </w:r>
      <w:proofErr w:type="gramEnd"/>
      <w:r>
        <w:rPr>
          <w:i/>
          <w:color w:val="000000"/>
          <w:sz w:val="20"/>
          <w:szCs w:val="20"/>
        </w:rPr>
        <w:t xml:space="preserve"> )</w:t>
      </w:r>
    </w:p>
    <w:p w14:paraId="2A6C7307" w14:textId="26DDFD84" w:rsidR="006B3C54" w:rsidRDefault="00A52EE1">
      <w:pPr>
        <w:spacing w:before="240"/>
      </w:pPr>
      <w:r>
        <w:t xml:space="preserve">Where TP is the number of true positives, FP is the number of false positives, and FN is the number of false negatives. In our study, a positive example is a </w:t>
      </w:r>
      <w:r w:rsidR="00A52C9D">
        <w:t>pixel</w:t>
      </w:r>
      <w:r>
        <w:t xml:space="preserve"> </w:t>
      </w:r>
      <w:r w:rsidR="00FF1E8A">
        <w:t>that</w:t>
      </w:r>
      <w:r>
        <w:t xml:space="preserve"> experience</w:t>
      </w:r>
      <w:r w:rsidR="00FF1E8A">
        <w:t>d</w:t>
      </w:r>
      <w:r>
        <w:t xml:space="preserve"> net LULC change</w:t>
      </w:r>
      <w:r w:rsidR="00456DD2">
        <w:t xml:space="preserve"> </w:t>
      </w:r>
      <w:r w:rsidR="00FF1E8A">
        <w:t xml:space="preserve">from 1992 to 2020 </w:t>
      </w:r>
      <w:r w:rsidR="00456DD2">
        <w:t>(forest loss when</w:t>
      </w:r>
      <w:r w:rsidR="008E4BC3">
        <w:t xml:space="preserve"> modelling</w:t>
      </w:r>
      <w:r w:rsidR="00456DD2">
        <w:t xml:space="preserve"> fores</w:t>
      </w:r>
      <w:r w:rsidR="008E4BC3">
        <w:t xml:space="preserve">t cover </w:t>
      </w:r>
      <w:r w:rsidR="00456DD2">
        <w:t>and cropland expansion when</w:t>
      </w:r>
      <w:r w:rsidR="008E4BC3">
        <w:t xml:space="preserve"> examining</w:t>
      </w:r>
      <w:r w:rsidR="00456DD2">
        <w:t xml:space="preserve"> cropland)</w:t>
      </w:r>
      <w:r>
        <w:t xml:space="preserve">, whereas a negative example would be </w:t>
      </w:r>
      <w:r w:rsidR="00456DD2">
        <w:t xml:space="preserve">a </w:t>
      </w:r>
      <w:r w:rsidR="00A52C9D">
        <w:t>pixel</w:t>
      </w:r>
      <w:r w:rsidR="00456DD2">
        <w:t xml:space="preserve"> that d</w:t>
      </w:r>
      <w:r w:rsidR="00FF1E8A">
        <w:t>id</w:t>
      </w:r>
      <w:r w:rsidR="00456DD2">
        <w:t xml:space="preserve"> not undergo net LULC change</w:t>
      </w:r>
      <w:r>
        <w:t>.</w:t>
      </w:r>
    </w:p>
    <w:p w14:paraId="2A6C7308" w14:textId="4B2B622A" w:rsidR="006B3C54" w:rsidRDefault="00A52EE1">
      <w:pPr>
        <w:spacing w:before="240"/>
      </w:pPr>
      <w:r>
        <w:t xml:space="preserve">PR curves are better at testing whether a classifier can distinguish positive observations (the minority class) than the more common ROC curve due to their incorporation of precision. A </w:t>
      </w:r>
      <w:r>
        <w:lastRenderedPageBreak/>
        <w:t xml:space="preserve">perfect model would have both precision and recall equal to one, so the best-performing models are those that have both precision and recall close to one. </w:t>
      </w:r>
      <w:r w:rsidR="00A21243">
        <w:t>The PR curve for a perf</w:t>
      </w:r>
      <w:r w:rsidR="00A249C0">
        <w:t xml:space="preserve">ect model would </w:t>
      </w:r>
      <w:r w:rsidR="00523716">
        <w:t xml:space="preserve">go across the top </w:t>
      </w:r>
      <w:r w:rsidR="00A35604">
        <w:t xml:space="preserve">of the </w:t>
      </w:r>
      <w:r w:rsidR="00B36BA1">
        <w:t>PR</w:t>
      </w:r>
      <w:r w:rsidR="00B916FE">
        <w:t xml:space="preserve"> space and then down the right side. </w:t>
      </w:r>
      <w:r>
        <w:t xml:space="preserve">The baseline of a PR curve was the proportion of </w:t>
      </w:r>
      <w:r w:rsidR="00A52C9D">
        <w:t>pixel</w:t>
      </w:r>
      <w:r>
        <w:t xml:space="preserve">s </w:t>
      </w:r>
      <w:r w:rsidR="00E22C65">
        <w:t>that</w:t>
      </w:r>
      <w:r>
        <w:t xml:space="preserve"> experienced net LULC change, as this is the expected precision if a</w:t>
      </w:r>
      <w:r w:rsidR="00151D20">
        <w:t xml:space="preserve"> model </w:t>
      </w:r>
      <w:r w:rsidR="00CE3FA4">
        <w:t>was</w:t>
      </w:r>
      <w:r w:rsidR="00151D20">
        <w:t xml:space="preserve"> to allocate change to randomly selected pixels</w:t>
      </w:r>
      <w:r>
        <w:t xml:space="preserve">. Note that PR curves are not comparable across models with different levels of imbalance due to their differing baselines </w:t>
      </w:r>
      <w:r w:rsidR="00DA2F92">
        <w:fldChar w:fldCharType="begin"/>
      </w:r>
      <w:r w:rsidR="00FC2E85">
        <w:instrText xml:space="preserve"> ADDIN ZOTERO_ITEM CSL_CITATION {"citationID":"obJQzsDG","properties":{"formattedCitation":"(Saito &amp; Rehmsmeier, 2015)","plainCitation":"(Saito &amp; Rehmsmeier, 2015)","noteIndex":0},"citationItems":[{"id":1379,"uris":["http://zotero.org/users/10985147/items/Y48W6ERR"],"itemData":{"id":1379,"type":"article-journal","container-title":"PLOS ONE","DOI":"10.1371/journal.pone.0118432","ISSN":"1932-6203","issue":"3","journalAbbreviation":"PLoS ONE","language":"en","page":"e0118432","source":"DOI.org (Crossref)","title":"The Precision-Recall Plot Is More Informative than the ROC Plot When Evaluating Binary Classifiers on Imbalanced Datasets","volume":"10","author":[{"family":"Saito","given":"Takaya"},{"family":"Rehmsmeier","given":"Marc"}],"editor":[{"family":"Brock","given":"Guy"}],"issued":{"date-parts":[["2015",3,4]]}}}],"schema":"https://github.com/citation-style-language/schema/raw/master/csl-citation.json"} </w:instrText>
      </w:r>
      <w:r w:rsidR="00DA2F92">
        <w:fldChar w:fldCharType="separate"/>
      </w:r>
      <w:r w:rsidR="00550ED7" w:rsidRPr="00550ED7">
        <w:t>(Saito &amp; Rehmsmeier, 2015)</w:t>
      </w:r>
      <w:r w:rsidR="00DA2F92">
        <w:fldChar w:fldCharType="end"/>
      </w:r>
      <w:r>
        <w:t xml:space="preserve">, but here we were only concerned with comparing performance across random forest models trained on the same input datasets with different </w:t>
      </w:r>
      <w:r w:rsidR="00C60C40">
        <w:t>independent variable</w:t>
      </w:r>
      <w:r>
        <w:t xml:space="preserve">s. </w:t>
      </w:r>
    </w:p>
    <w:p w14:paraId="2A6C7309" w14:textId="5A61B1D5" w:rsidR="006B3C54" w:rsidRDefault="00A52EE1">
      <w:pPr>
        <w:spacing w:before="240"/>
        <w:rPr>
          <w:sz w:val="16"/>
          <w:szCs w:val="16"/>
        </w:rPr>
      </w:pPr>
      <w:r>
        <w:t>F</w:t>
      </w:r>
      <w:r>
        <w:rPr>
          <w:vertAlign w:val="subscript"/>
        </w:rPr>
        <w:t>1</w:t>
      </w:r>
      <w:r>
        <w:t xml:space="preserve"> is defined as a harmonic mean of precision and recall </w:t>
      </w:r>
      <w:r w:rsidR="00DA2F92">
        <w:fldChar w:fldCharType="begin"/>
      </w:r>
      <w:r w:rsidR="00FC2E85">
        <w:instrText xml:space="preserve"> ADDIN ZOTERO_ITEM CSL_CITATION {"citationID":"FHNtI8tD","properties":{"formattedCitation":"(Saito &amp; Rehmsmeier, 2015)","plainCitation":"(Saito &amp; Rehmsmeier, 2015)","noteIndex":0},"citationItems":[{"id":1379,"uris":["http://zotero.org/users/10985147/items/Y48W6ERR"],"itemData":{"id":1379,"type":"article-journal","container-title":"PLOS ONE","DOI":"10.1371/journal.pone.0118432","ISSN":"1932-6203","issue":"3","journalAbbreviation":"PLoS ONE","language":"en","page":"e0118432","source":"DOI.org (Crossref)","title":"The Precision-Recall Plot Is More Informative than the ROC Plot When Evaluating Binary Classifiers on Imbalanced Datasets","volume":"10","author":[{"family":"Saito","given":"Takaya"},{"family":"Rehmsmeier","given":"Marc"}],"editor":[{"family":"Brock","given":"Guy"}],"issued":{"date-parts":[["2015",3,4]]}}}],"schema":"https://github.com/citation-style-language/schema/raw/master/csl-citation.json"} </w:instrText>
      </w:r>
      <w:r w:rsidR="00DA2F92">
        <w:fldChar w:fldCharType="separate"/>
      </w:r>
      <w:r w:rsidR="00550ED7" w:rsidRPr="00550ED7">
        <w:t>(Saito &amp; Rehmsmeier, 2015)</w:t>
      </w:r>
      <w:r w:rsidR="00DA2F92">
        <w:fldChar w:fldCharType="end"/>
      </w:r>
      <w:r>
        <w:t>. The F</w:t>
      </w:r>
      <w:r>
        <w:rPr>
          <w:vertAlign w:val="subscript"/>
        </w:rPr>
        <w:t>1</w:t>
      </w:r>
      <w:r>
        <w:t xml:space="preserve"> measure is a threshold-based metric of model performance. Higher F</w:t>
      </w:r>
      <w:r>
        <w:rPr>
          <w:vertAlign w:val="subscript"/>
        </w:rPr>
        <w:t>1</w:t>
      </w:r>
      <w:r>
        <w:t xml:space="preserve"> values indicate better performing models. The F</w:t>
      </w:r>
      <w:r>
        <w:rPr>
          <w:vertAlign w:val="subscript"/>
        </w:rPr>
        <w:t>1</w:t>
      </w:r>
      <w:r>
        <w:t xml:space="preserve"> measure combines precision and recall, and is calculated as </w:t>
      </w:r>
      <w:r w:rsidR="00DA2F92">
        <w:fldChar w:fldCharType="begin"/>
      </w:r>
      <w:r w:rsidR="00FC2E85">
        <w:instrText xml:space="preserve"> ADDIN ZOTERO_ITEM CSL_CITATION {"citationID":"cS4lQNmL","properties":{"formattedCitation":"(Saito &amp; Rehmsmeier, 2015)","plainCitation":"(Saito &amp; Rehmsmeier, 2015)","noteIndex":0},"citationItems":[{"id":1379,"uris":["http://zotero.org/users/10985147/items/Y48W6ERR"],"itemData":{"id":1379,"type":"article-journal","container-title":"PLOS ONE","DOI":"10.1371/journal.pone.0118432","ISSN":"1932-6203","issue":"3","journalAbbreviation":"PLoS ONE","language":"en","page":"e0118432","source":"DOI.org (Crossref)","title":"The Precision-Recall Plot Is More Informative than the ROC Plot When Evaluating Binary Classifiers on Imbalanced Datasets","volume":"10","author":[{"family":"Saito","given":"Takaya"},{"family":"Rehmsmeier","given":"Marc"}],"editor":[{"family":"Brock","given":"Guy"}],"issued":{"date-parts":[["2015",3,4]]}}}],"schema":"https://github.com/citation-style-language/schema/raw/master/csl-citation.json"} </w:instrText>
      </w:r>
      <w:r w:rsidR="00DA2F92">
        <w:fldChar w:fldCharType="separate"/>
      </w:r>
      <w:r w:rsidR="00550ED7" w:rsidRPr="00550ED7">
        <w:t>(Saito &amp; Rehmsmeier, 2015)</w:t>
      </w:r>
      <w:r w:rsidR="00DA2F92">
        <w:fldChar w:fldCharType="end"/>
      </w:r>
      <w:r>
        <w:t>:</w:t>
      </w:r>
    </w:p>
    <w:p w14:paraId="2A6C730A" w14:textId="4B8072B1" w:rsidR="006B3C54" w:rsidRDefault="00CE00D7">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F</m:t>
              </m:r>
            </m:e>
            <m:sub>
              <m:r>
                <w:rPr>
                  <w:rFonts w:ascii="Cambria Math" w:eastAsia="Cambria Math" w:hAnsi="Cambria Math" w:cs="Cambria Math"/>
                </w:rPr>
                <m:t>1</m:t>
              </m:r>
            </m:sub>
          </m:sSub>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2TP</m:t>
              </m:r>
            </m:num>
            <m:den>
              <m:r>
                <w:rPr>
                  <w:rFonts w:ascii="Cambria Math" w:eastAsia="Cambria Math" w:hAnsi="Cambria Math" w:cs="Cambria Math"/>
                </w:rPr>
                <m:t>2TP+FP+FN</m:t>
              </m:r>
            </m:den>
          </m:f>
          <m:r>
            <w:rPr>
              <w:rFonts w:ascii="Cambria Math" w:eastAsia="Cambria Math" w:hAnsi="Cambria Math" w:cs="Cambria Math"/>
            </w:rPr>
            <m:t xml:space="preserve"> </m:t>
          </m:r>
        </m:oMath>
      </m:oMathPara>
    </w:p>
    <w:p w14:paraId="2A6C730B" w14:textId="77777777" w:rsidR="006B3C54" w:rsidRDefault="00A52EE1">
      <w:pPr>
        <w:pBdr>
          <w:top w:val="nil"/>
          <w:left w:val="nil"/>
          <w:bottom w:val="nil"/>
          <w:right w:val="nil"/>
          <w:between w:val="nil"/>
        </w:pBdr>
        <w:spacing w:after="200" w:line="240" w:lineRule="auto"/>
        <w:jc w:val="right"/>
        <w:rPr>
          <w:rFonts w:ascii="Cambria Math" w:eastAsia="Cambria Math" w:hAnsi="Cambria Math" w:cs="Cambria Math"/>
          <w:i/>
          <w:color w:val="000000"/>
          <w:sz w:val="20"/>
          <w:szCs w:val="20"/>
        </w:rPr>
      </w:pPr>
      <w:proofErr w:type="gramStart"/>
      <w:r>
        <w:rPr>
          <w:i/>
          <w:color w:val="000000"/>
          <w:sz w:val="20"/>
          <w:szCs w:val="20"/>
        </w:rPr>
        <w:t>( 3</w:t>
      </w:r>
      <w:proofErr w:type="gramEnd"/>
      <w:r>
        <w:rPr>
          <w:i/>
          <w:color w:val="000000"/>
          <w:sz w:val="20"/>
          <w:szCs w:val="20"/>
        </w:rPr>
        <w:t xml:space="preserve"> )</w:t>
      </w:r>
    </w:p>
    <w:p w14:paraId="2A6C730C" w14:textId="05174206" w:rsidR="006B3C54" w:rsidRDefault="00BE0D71">
      <w:pPr>
        <w:spacing w:before="240"/>
      </w:pPr>
      <w:r>
        <w:t xml:space="preserve">Where </w:t>
      </w:r>
      <m:oMath>
        <m:r>
          <w:rPr>
            <w:rFonts w:ascii="Cambria Math" w:hAnsi="Cambria Math"/>
          </w:rPr>
          <m:t>TP</m:t>
        </m:r>
      </m:oMath>
      <w:r w:rsidR="00A51736">
        <w:t xml:space="preserve"> is the number of true positives, </w:t>
      </w:r>
      <m:oMath>
        <m:r>
          <w:rPr>
            <w:rFonts w:ascii="Cambria Math" w:hAnsi="Cambria Math"/>
          </w:rPr>
          <m:t>FP</m:t>
        </m:r>
      </m:oMath>
      <w:r w:rsidR="00A51736">
        <w:t xml:space="preserve"> is the number of false positives, and </w:t>
      </w:r>
      <m:oMath>
        <m:r>
          <w:rPr>
            <w:rFonts w:ascii="Cambria Math" w:hAnsi="Cambria Math"/>
          </w:rPr>
          <m:t>FN</m:t>
        </m:r>
      </m:oMath>
      <w:r w:rsidR="00A51736">
        <w:t xml:space="preserve"> is the number of false </w:t>
      </w:r>
      <w:proofErr w:type="gramStart"/>
      <w:r w:rsidR="00A51736">
        <w:t>negatives.</w:t>
      </w:r>
      <w:proofErr w:type="gramEnd"/>
      <w:r w:rsidR="00A51736">
        <w:t xml:space="preserve"> </w:t>
      </w:r>
      <w:r w:rsidR="00A52EE1">
        <w:t xml:space="preserve">All accuracy metrics were calculated using the ‘yardstick’ R package version 1.2.0 </w:t>
      </w:r>
      <w:r w:rsidR="00DA2F92">
        <w:fldChar w:fldCharType="begin"/>
      </w:r>
      <w:r w:rsidR="00FC2E85">
        <w:instrText xml:space="preserve"> ADDIN ZOTERO_ITEM CSL_CITATION {"citationID":"BbH8iZ6i","properties":{"formattedCitation":"(Kuhn, Vaughan, et al., 2023)","plainCitation":"(Kuhn, Vaughan, et al., 2023)","noteIndex":0},"citationItems":[{"id":1385,"uris":["http://zotero.org/users/10985147/items/L7B23DPV"],"itemData":{"id":1385,"type":"software","title":"yardstick: Tidy Characterizations of Model Performance. R package version 1.2.0.   https://CRAN.R-project.org/package=yardstick","URL":"https://CRAN.R-project.org/package=yardstick","version":"R package version 1.2.0","author":[{"family":"Kuhn","given":"Max"},{"family":"Vaughan","given":"Davis"},{"family":"Hvitfeldt","given":"Emil"}],"issued":{"date-parts":[["2023"]]}}}],"schema":"https://github.com/citation-style-language/schema/raw/master/csl-citation.json"} </w:instrText>
      </w:r>
      <w:r w:rsidR="00DA2F92">
        <w:fldChar w:fldCharType="separate"/>
      </w:r>
      <w:r w:rsidR="00550ED7" w:rsidRPr="00550ED7">
        <w:t>(Kuhn, Vaughan, et al., 2023)</w:t>
      </w:r>
      <w:r w:rsidR="00DA2F92">
        <w:fldChar w:fldCharType="end"/>
      </w:r>
      <w:r w:rsidR="00A52EE1">
        <w:t>.</w:t>
      </w:r>
    </w:p>
    <w:p w14:paraId="2A6C730D" w14:textId="19BCD5D5" w:rsidR="006B3C54" w:rsidRDefault="00A52EE1">
      <w:r>
        <w:t xml:space="preserve">The importance of each </w:t>
      </w:r>
      <w:r w:rsidR="00C60C40">
        <w:t xml:space="preserve">independent </w:t>
      </w:r>
      <w:r>
        <w:t xml:space="preserve">variable was calculated using permutation, where each </w:t>
      </w:r>
      <w:r w:rsidR="00C60C40">
        <w:t>variable</w:t>
      </w:r>
      <w:r>
        <w:t xml:space="preserve"> was permuted in turn before predicting the data using each tree to calculate how many observations were misclassified compared to the original model. A higher misclassification rate indicates that a variable is more important to the model </w:t>
      </w:r>
      <w:r w:rsidR="00DA2F92">
        <w:fldChar w:fldCharType="begin"/>
      </w:r>
      <w:r w:rsidR="00FC2E85">
        <w:instrText xml:space="preserve"> ADDIN ZOTERO_ITEM CSL_CITATION {"citationID":"c9WqJOIv","properties":{"formattedCitation":"(Breiman, 2001; Hastie et al., 2009; Strobl et al., 2009)","plainCitation":"(Breiman, 2001; Hastie et al., 2009; Strobl et al., 2009)","noteIndex":0},"citationItems":[{"id":1488,"uris":["http://zotero.org/users/10985147/items/SV8Z385C"],"itemData":{"id":1488,"type":"article-journal","container-title":"Machine Learning","DOI":"10.1023/A:1010933404324","ISSN":"08856125","journalAbbreviation":"Mach. Learn.","page":"5-32","source":"DOI.org (Crossref)","title":"Random Forests","volume":"45","author":[{"family":"Breiman","given":"Leo"}],"issued":{"date-parts":[["2001"]]}}},{"id":1374,"uris":["http://zotero.org/users/10985147/items/MVH5N9L9"],"itemData":{"id":1374,"type":"article-journal","container-title":"Psychological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id":1394,"uris":["http://zotero.org/users/10985147/items/AWUIDN7D"],"itemData":{"id":1394,"type":"book","collection-title":"Springer Series in Statistics","event-place":"New York, NY","ISBN":"978-0-387-84857-0","license":"http://www.springer.com/tdm","note":"DOI: 10.1007/978-0-387-84858-7","publisher":"Springer New York","publisher-place":"New York, NY","source":"DOI.org (Crossref)","title":"The Elements of Statistical Learning","URL":"http://link.springer.com/10.1007/978-0-387-84858-7","author":[{"family":"Hastie","given":"Trevor"},{"family":"Tibshirani","given":"Robert"},{"family":"Friedman","given":"Jerome"}],"accessed":{"date-parts":[["2024",5,20]]},"issued":{"date-parts":[["2009"]]}}}],"schema":"https://github.com/citation-style-language/schema/raw/master/csl-citation.json"} </w:instrText>
      </w:r>
      <w:r w:rsidR="00DA2F92">
        <w:fldChar w:fldCharType="separate"/>
      </w:r>
      <w:r w:rsidR="00550ED7" w:rsidRPr="00550ED7">
        <w:t>(Breiman, 2001; Hastie et al., 2009; Strobl et al., 2009)</w:t>
      </w:r>
      <w:r w:rsidR="00DA2F92">
        <w:fldChar w:fldCharType="end"/>
      </w:r>
      <w:r>
        <w:t xml:space="preserve">. Importance was scaled by standard deviation </w:t>
      </w:r>
      <w:r w:rsidR="00DA2F92">
        <w:fldChar w:fldCharType="begin"/>
      </w:r>
      <w:r w:rsidR="00FC2E85">
        <w:instrText xml:space="preserve"> ADDIN ZOTERO_ITEM CSL_CITATION {"citationID":"tA1d4wfv","properties":{"formattedCitation":"(Strobl et al., 2009)","plainCitation":"(Strobl et al., 2009)","noteIndex":0},"citationItems":[{"id":1374,"uris":["http://zotero.org/users/10985147/items/MVH5N9L9"],"itemData":{"id":1374,"type":"article-journal","container-title":"Psychological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schema":"https://github.com/citation-style-language/schema/raw/master/csl-citation.json"} </w:instrText>
      </w:r>
      <w:r w:rsidR="00DA2F92">
        <w:fldChar w:fldCharType="separate"/>
      </w:r>
      <w:r w:rsidR="00550ED7" w:rsidRPr="00550ED7">
        <w:t>(Strobl et al., 2009)</w:t>
      </w:r>
      <w:r w:rsidR="00DA2F92">
        <w:fldChar w:fldCharType="end"/>
      </w:r>
      <w:r>
        <w:t xml:space="preserve">. Note that importance scores are not comparable across different models </w:t>
      </w:r>
      <w:r w:rsidR="00DA2F92">
        <w:fldChar w:fldCharType="begin"/>
      </w:r>
      <w:r w:rsidR="00FC2E85">
        <w:instrText xml:space="preserve"> ADDIN ZOTERO_ITEM CSL_CITATION {"citationID":"g376iJ4L","properties":{"formattedCitation":"(Strobl et al., 2009)","plainCitation":"(Strobl et al., 2009)","noteIndex":0},"citationItems":[{"id":1374,"uris":["http://zotero.org/users/10985147/items/MVH5N9L9"],"itemData":{"id":1374,"type":"article-journal","container-title":"Psychological Methods","DOI":"10.1037/a0016973","ISSN":"1939-1463, 1082-989X","issue":"4","journalAbbreviation":"Psychol. Methods","language":"en","page":"323-348","source":"DOI.org (Crossref)","title":"An introduction to recursive partitioning: Rationale, application, and characteristics of classification and regression trees, bagging, and random forests.","title-short":"An introduction to recursive partitioning","volume":"14","author":[{"family":"Strobl","given":"Carolin"},{"family":"Malley","given":"James"},{"family":"Tutz","given":"Gerhard"}],"issued":{"date-parts":[["2009",12]]}}}],"schema":"https://github.com/citation-style-language/schema/raw/master/csl-citation.json"} </w:instrText>
      </w:r>
      <w:r w:rsidR="00DA2F92">
        <w:fldChar w:fldCharType="separate"/>
      </w:r>
      <w:r w:rsidR="00550ED7" w:rsidRPr="00550ED7">
        <w:t>(Strobl et al., 2009)</w:t>
      </w:r>
      <w:r w:rsidR="00DA2F92">
        <w:fldChar w:fldCharType="end"/>
      </w:r>
      <w:r>
        <w:t xml:space="preserve">, so we ranked each variable according to its importance in each random forest and compared these rankings instead. Importance was generated via the ‘ranger’ R package version 0.13.1 </w:t>
      </w:r>
      <w:r w:rsidR="00DA2F92">
        <w:fldChar w:fldCharType="begin"/>
      </w:r>
      <w:r w:rsidR="00FC2E85">
        <w:instrText xml:space="preserve"> ADDIN ZOTERO_ITEM CSL_CITATION {"citationID":"2n1RS7r9","properties":{"formattedCitation":"(Wright &amp; Ziegler, 2017)","plainCitation":"(Wright &amp; Ziegler, 2017)","noteIndex":0},"citationItems":[{"id":1364,"uris":["http://zotero.org/users/10985147/items/CHRLF77K"],"itemData":{"id":1364,"type":"article-journal","container-title":"Journal of Statistical Software","DOI":"10.18637/jss.v077.i01","ISSN":"1548-7660","issue":"1","journalAbbreviation":"J. Stat. Soft.","language":"en","page":"1-17","source":"DOI.org (Crossref)","title":"ranger : A Fast Implementation of Random Forests for High Dimensional Data in &lt;i&gt;C++&lt;/i&gt; and &lt;i&gt;R&lt;/i&gt;","title-short":"&lt;b&gt;ranger&lt;/b&gt;","volume":"77","author":[{"family":"Wright","given":"Marvin N."},{"family":"Ziegler","given":"Andreas"}],"issued":{"date-parts":[["2017"]]}}}],"schema":"https://github.com/citation-style-language/schema/raw/master/csl-citation.json"} </w:instrText>
      </w:r>
      <w:r w:rsidR="00DA2F92">
        <w:fldChar w:fldCharType="separate"/>
      </w:r>
      <w:r w:rsidR="00550ED7" w:rsidRPr="00550ED7">
        <w:t>(Wright &amp; Ziegler, 2017)</w:t>
      </w:r>
      <w:r w:rsidR="00DA2F92">
        <w:fldChar w:fldCharType="end"/>
      </w:r>
      <w:r>
        <w:t xml:space="preserve"> and extracted using the ‘</w:t>
      </w:r>
      <w:proofErr w:type="spellStart"/>
      <w:r>
        <w:t>vip</w:t>
      </w:r>
      <w:proofErr w:type="spellEnd"/>
      <w:r>
        <w:t xml:space="preserve">’ R package version 0.3.2 </w:t>
      </w:r>
      <w:r w:rsidR="00DA2F92">
        <w:fldChar w:fldCharType="begin"/>
      </w:r>
      <w:r w:rsidR="00FC2E85">
        <w:instrText xml:space="preserve"> ADDIN ZOTERO_ITEM CSL_CITATION {"citationID":"pV4AnzvH","properties":{"formattedCitation":"(Greenwell &amp; Boehmke, 2020)","plainCitation":"(Greenwell &amp; Boehmke, 2020)","noteIndex":0},"citationItems":[{"id":1396,"uris":["http://zotero.org/users/10985147/items/9FUINA2M"],"itemData":{"id":1396,"type":"article-journal","container-title":"The R Journal","DOI":"10.32614/RJ-2020-013","ISSN":"2073-4859","issue":"1","journalAbbreviation":"The R Journal","language":"en","page":"343","source":"DOI.org (Crossref)","title":"Variable Importance Plots—An Introduction to the vip Package","volume":"12","author":[{"family":"Greenwell","given":"Brandon","suffix":"M."},{"family":"Boehmke","given":"Bradley","suffix":"C."}],"issued":{"date-parts":[["2020"]]}}}],"schema":"https://github.com/citation-style-language/schema/raw/master/csl-citation.json"} </w:instrText>
      </w:r>
      <w:r w:rsidR="00DA2F92">
        <w:fldChar w:fldCharType="separate"/>
      </w:r>
      <w:r w:rsidR="00550ED7" w:rsidRPr="00550ED7">
        <w:t>(Greenwell &amp; Boehmke, 2020)</w:t>
      </w:r>
      <w:r w:rsidR="00DA2F92">
        <w:fldChar w:fldCharType="end"/>
      </w:r>
      <w:r>
        <w:t>.</w:t>
      </w:r>
    </w:p>
    <w:p w14:paraId="2A6C730E" w14:textId="7AE3C292" w:rsidR="006B3C54" w:rsidRDefault="00A52EE1">
      <w:r>
        <w:t>Partial dependence profiles</w:t>
      </w:r>
      <w:r w:rsidR="0097259F">
        <w:t xml:space="preserve"> </w:t>
      </w:r>
      <w:r>
        <w:t xml:space="preserve">show how the expected prediction from a model varies as a function of a given </w:t>
      </w:r>
      <w:r w:rsidR="00C60C40">
        <w:t>independent</w:t>
      </w:r>
      <w:r>
        <w:t xml:space="preserve"> variable </w:t>
      </w:r>
      <w:r w:rsidR="00DA2F92">
        <w:fldChar w:fldCharType="begin"/>
      </w:r>
      <w:r w:rsidR="00FC2E85">
        <w:instrText xml:space="preserve"> ADDIN ZOTERO_ITEM CSL_CITATION {"citationID":"70zFfp7m","properties":{"formattedCitation":"(Biecek &amp; Burzykowski, 2021)","plainCitation":"(Biecek &amp; Burzykowski, 2021)","noteIndex":0},"citationItems":[{"id":1407,"uris":["http://zotero.org/users/10985147/items/5IXYUSCV"],"itemData":{"id":1407,"type":"chapter","container-title":"Explanatory Model Analysis: Explore, Explain and Examine Predictive Models","edition":"1","ISBN":"978-0-429-02719-2","language":"en","note":"DOI: 10.1201/9780429027192","page":"20","publisher":"Chapman and Hall/CRC","source":"DOI.org (Crossref)","title":"Partial-dependence Profiles","URL":"https://www.taylorfrancis.com/books/9780429651373","author":[{"family":"Biecek","given":"Przemyslaw"},{"family":"Burzykowski","given":"Tomasz"}],"accessed":{"date-parts":[["2024",9,18]]},"issued":{"date-parts":[["2021",2,17]]}}}],"schema":"https://github.com/citation-style-language/schema/raw/master/csl-citation.json"} </w:instrText>
      </w:r>
      <w:r w:rsidR="00DA2F92">
        <w:fldChar w:fldCharType="separate"/>
      </w:r>
      <w:r w:rsidR="00550ED7" w:rsidRPr="00550ED7">
        <w:t>(Biecek &amp; Burzykowski, 2021)</w:t>
      </w:r>
      <w:r w:rsidR="00DA2F92">
        <w:fldChar w:fldCharType="end"/>
      </w:r>
      <w:r w:rsidR="0097259F">
        <w:t>.</w:t>
      </w:r>
      <w:r>
        <w:t xml:space="preserve"> </w:t>
      </w:r>
      <w:r w:rsidR="0097259F">
        <w:t>We</w:t>
      </w:r>
      <w:r>
        <w:t xml:space="preserve"> generated</w:t>
      </w:r>
      <w:r w:rsidR="0097259F">
        <w:t xml:space="preserve"> partial dependence profiles</w:t>
      </w:r>
      <w:r>
        <w:t xml:space="preserve"> for the two best</w:t>
      </w:r>
      <w:r w:rsidR="0097259F">
        <w:t>-</w:t>
      </w:r>
      <w:r>
        <w:t>fitting glo</w:t>
      </w:r>
      <w:r w:rsidR="0029021F">
        <w:t xml:space="preserve">bal </w:t>
      </w:r>
      <w:r>
        <w:t>models w</w:t>
      </w:r>
      <w:r w:rsidR="0097259F">
        <w:t>ith</w:t>
      </w:r>
      <w:r>
        <w:t xml:space="preserve"> landscape metrics </w:t>
      </w:r>
      <w:r w:rsidR="0097259F">
        <w:t>in the</w:t>
      </w:r>
      <w:r>
        <w:t xml:space="preserve"> top five most important </w:t>
      </w:r>
      <w:r w:rsidR="00C60C40">
        <w:t>independent variable</w:t>
      </w:r>
      <w:r>
        <w:t xml:space="preserve">s, to examine how the probability of LULC change varies with landscape patterns. To generate partial dependence profiles, we first fitted a final </w:t>
      </w:r>
      <w:r>
        <w:lastRenderedPageBreak/>
        <w:t>random forest model to the entire input dataset for the model of interest. The ‘</w:t>
      </w:r>
      <w:proofErr w:type="spellStart"/>
      <w:r>
        <w:t>DALEXtra</w:t>
      </w:r>
      <w:proofErr w:type="spellEnd"/>
      <w:r>
        <w:t xml:space="preserve">’ version 2.3.0 and ‘DALEX’ version 2.4.3 R packages </w:t>
      </w:r>
      <w:r w:rsidR="00DA2F92">
        <w:fldChar w:fldCharType="begin"/>
      </w:r>
      <w:r w:rsidR="00FC2E85">
        <w:instrText xml:space="preserve"> ADDIN ZOTERO_ITEM CSL_CITATION {"citationID":"BEoNnpUe","properties":{"formattedCitation":"(Biecek, 2018; Maksymiuk et al., 2020)","plainCitation":"(Biecek, 2018; Maksymiuk et al., 2020)","noteIndex":0},"citationItems":[{"id":1408,"uris":["http://zotero.org/users/10985147/items/Y6W6X5PF"],"itemData":{"id":1408,"type":"article-journal","container-title":"Journal of Machine Learning Research","issue":"84","journalAbbreviation":"J. Mach. Learn. Res.","page":"1-5","title":"DALEX: Explainers for Complex Predictive Models in R","volume":"19","author":[{"family":"Biecek","given":"Przemyslaw"}],"issued":{"date-parts":[["2018"]]}}},{"id":1386,"uris":["http://zotero.org/users/10985147/items/MUPDR7AE"],"itemData":{"id":1386,"type":"article","DOI":"https://doi.org/10.48550/arXiv.2009.13248","publisher":"arXiv","title":"Landscape of R packages for eXplainable Artificial Intelligence","URL":"https://arxiv.org/abs/2009.13248","author":[{"family":"Maksymiuk","given":"Szymon"},{"family":"Gosiewska","given":"Alicja"},{"family":"Biecek","given":"Przemyslaw"}],"issued":{"date-parts":[["2020"]]}}}],"schema":"https://github.com/citation-style-language/schema/raw/master/csl-citation.json"} </w:instrText>
      </w:r>
      <w:r w:rsidR="00DA2F92">
        <w:fldChar w:fldCharType="separate"/>
      </w:r>
      <w:r w:rsidR="00550ED7" w:rsidRPr="00550ED7">
        <w:t>(Biecek, 2018; Maksymiuk et al., 2020)</w:t>
      </w:r>
      <w:r w:rsidR="00DA2F92">
        <w:fldChar w:fldCharType="end"/>
      </w:r>
      <w:r>
        <w:t xml:space="preserve"> were then used to produce partial dependence profiles using 1000 observations sampled from the input data.</w:t>
      </w:r>
    </w:p>
    <w:p w14:paraId="2A6C730F" w14:textId="58E7B671" w:rsidR="006B3C54" w:rsidRDefault="00A52EE1">
      <w:r>
        <w:t xml:space="preserve">All model performance and importance results were processed in R version 4.0.0 </w:t>
      </w:r>
      <w:r w:rsidR="00DA2F92">
        <w:fldChar w:fldCharType="begin"/>
      </w:r>
      <w:r w:rsidR="00FC2E85">
        <w:instrText xml:space="preserve"> ADDIN ZOTERO_ITEM CSL_CITATION {"citationID":"qeDDdsZb","properties":{"formattedCitation":"(R Core Team, 2020)","plainCitation":"(R Core Team, 2020)","noteIndex":0},"citationItems":[{"id":1381,"uris":["http://zotero.org/users/10985147/items/5P5XTHA8"],"itemData":{"id":1381,"type":"document","note":"publisher-place: Vienna, Austria","publisher":"R  Foundation for Statistical Computing","title":"R: A language and environment for statistical computing. R Foundation for Statistical Computing, Vienna, Austria. URL https://www.R-project.org/.","URL":"https://www.R-project.org/","author":[{"literal":"R Core Team"}],"accessed":{"date-parts":[["2021",5,4]]},"issued":{"date-parts":[["2020"]]}}}],"schema":"https://github.com/citation-style-language/schema/raw/master/csl-citation.json"} </w:instrText>
      </w:r>
      <w:r w:rsidR="00DA2F92">
        <w:fldChar w:fldCharType="separate"/>
      </w:r>
      <w:r w:rsidR="00550ED7" w:rsidRPr="00550ED7">
        <w:t>(R Core Team, 2020)</w:t>
      </w:r>
      <w:r w:rsidR="00DA2F92">
        <w:fldChar w:fldCharType="end"/>
      </w:r>
      <w:r>
        <w:t xml:space="preserve"> using the ‘</w:t>
      </w:r>
      <w:proofErr w:type="spellStart"/>
      <w:r>
        <w:t>tidyr</w:t>
      </w:r>
      <w:proofErr w:type="spellEnd"/>
      <w:r>
        <w:t xml:space="preserve">’ version 1.3.0 </w:t>
      </w:r>
      <w:r w:rsidR="00DA2F92">
        <w:fldChar w:fldCharType="begin"/>
      </w:r>
      <w:r w:rsidR="00FC2E85">
        <w:instrText xml:space="preserve"> ADDIN ZOTERO_ITEM CSL_CITATION {"citationID":"fLXuA4m3","properties":{"formattedCitation":"(Wickham, Vaughan, et al., 2023)","plainCitation":"(Wickham, Vaughan, et al., 2023)","noteIndex":0},"citationItems":[{"id":1366,"uris":["http://zotero.org/users/10985147/items/JZB65BDQ"],"itemData":{"id":1366,"type":"software","title":"tidyr: Tidy Messy Data. R package version 1.3.0. https://CRAN.R-project.org/package=tidyr","URL":"https://CRAN.R-project.org/package=tidyr","version":"R package version 1.3.0","author":[{"family":"Wickham","given":"Hadley"},{"family":"Vaughan","given":"Davis"},{"family":"Girlich","given":"Maximilian"}],"issued":{"date-parts":[["2023"]]}}}],"schema":"https://github.com/citation-style-language/schema/raw/master/csl-citation.json"} </w:instrText>
      </w:r>
      <w:r w:rsidR="00DA2F92">
        <w:fldChar w:fldCharType="separate"/>
      </w:r>
      <w:r w:rsidR="00550ED7" w:rsidRPr="00550ED7">
        <w:t>(Wickham, Vaughan, et al., 2023)</w:t>
      </w:r>
      <w:r w:rsidR="00DA2F92">
        <w:fldChar w:fldCharType="end"/>
      </w:r>
      <w:r>
        <w:t xml:space="preserve"> and ‘</w:t>
      </w:r>
      <w:proofErr w:type="spellStart"/>
      <w:r>
        <w:t>dplyr</w:t>
      </w:r>
      <w:proofErr w:type="spellEnd"/>
      <w:r>
        <w:t xml:space="preserve">’ version 1.1.2 </w:t>
      </w:r>
      <w:r w:rsidR="00DA2F92">
        <w:fldChar w:fldCharType="begin"/>
      </w:r>
      <w:r w:rsidR="00FC2E85">
        <w:instrText xml:space="preserve"> ADDIN ZOTERO_ITEM CSL_CITATION {"citationID":"Svnqmduf","properties":{"formattedCitation":"(Wickham, Fran\\uc0\\u231{}ois, et al., 2023)","plainCitation":"(Wickham, François, et al., 2023)","noteIndex":0},"citationItems":[{"id":1367,"uris":["http://zotero.org/users/10985147/items/LH3MNDEU"],"itemData":{"id":1367,"type":"software","title":"dplyr: A Grammar of Data Manipulation. R package version 1.1.2. https://CRAN.R-project.org/package=dplyr","URL":"https://CRAN.R-project.org/package=dplyr","version":"R package version 1.1.2","author":[{"family":"Wickham","given":"Hadley"},{"family":"François","given":"Romain"},{"family":"Henry","given":"Lionel"},{"family":"Müller","given":"Kirill"},{"family":"Vaughan","given":"Davis"}],"issued":{"date-parts":[["2023"]]}}}],"schema":"https://github.com/citation-style-language/schema/raw/master/csl-citation.json"} </w:instrText>
      </w:r>
      <w:r w:rsidR="00DA2F92">
        <w:fldChar w:fldCharType="separate"/>
      </w:r>
      <w:r w:rsidR="00550ED7" w:rsidRPr="00550ED7">
        <w:rPr>
          <w:szCs w:val="24"/>
        </w:rPr>
        <w:t>(Wickham, François, et al., 2023)</w:t>
      </w:r>
      <w:r w:rsidR="00DA2F92">
        <w:fldChar w:fldCharType="end"/>
      </w:r>
      <w:r>
        <w:t xml:space="preserve"> packages, and plotted using ‘ggplot2’ version 3.5.1 </w:t>
      </w:r>
      <w:r w:rsidR="00DA2F92">
        <w:fldChar w:fldCharType="begin"/>
      </w:r>
      <w:r w:rsidR="00FC2E85">
        <w:instrText xml:space="preserve"> ADDIN ZOTERO_ITEM CSL_CITATION {"citationID":"fxW9bdyh","properties":{"formattedCitation":"(Wickham, 2016)","plainCitation":"(Wickham, 2016)","noteIndex":0},"citationItems":[{"id":1368,"uris":["http://zotero.org/users/10985147/items/CHNWNYXI"],"itemData":{"id":1368,"type":"book","collection-title":"Use R!","event-place":"NY","ISBN":"978-3-319-24277-4","note":"DOI:https://doi.org/10.1007/978-0-387-98141-3","publisher":"Springer New York","publisher-place":"NY","title":"ggplot2: Elegant Graphics for Data Analysis","URL":"https://ggplot2.tidyverse.org","author":[{"family":"Wickham","given":"Hadley"}],"issued":{"date-parts":[["2016"]]}}}],"schema":"https://github.com/citation-style-language/schema/raw/master/csl-citation.json"} </w:instrText>
      </w:r>
      <w:r w:rsidR="00DA2F92">
        <w:fldChar w:fldCharType="separate"/>
      </w:r>
      <w:r w:rsidR="00550ED7" w:rsidRPr="00550ED7">
        <w:t>(Wickham, 2016)</w:t>
      </w:r>
      <w:r w:rsidR="00DA2F92">
        <w:fldChar w:fldCharType="end"/>
      </w:r>
      <w:r>
        <w:t xml:space="preserve"> and ‘patchwork’ version 1.2.0 </w:t>
      </w:r>
      <w:r w:rsidR="00DA2F92">
        <w:fldChar w:fldCharType="begin"/>
      </w:r>
      <w:r w:rsidR="00FC2E85">
        <w:instrText xml:space="preserve"> ADDIN ZOTERO_ITEM CSL_CITATION {"citationID":"g4dWX7ve","properties":{"formattedCitation":"(Thomas, 2024)","plainCitation":"(Thomas, 2024)","noteIndex":0},"citationItems":[{"id":1371,"uris":["http://zotero.org/users/10985147/items/UMM9WKHQ"],"itemData":{"id":1371,"type":"software","title":"patchwork: The Composer of Plots. R package version 1.2.0. https://CRAN.R-project.org/package=patchwork","URL":"https://CRAN.R-project.org/package=patchwork","version":"R package version 1.2.0","author":[{"family":"Thomas","given":"Lin Pedersen"}],"issued":{"date-parts":[["2024"]]}}}],"schema":"https://github.com/citation-style-language/schema/raw/master/csl-citation.json"} </w:instrText>
      </w:r>
      <w:r w:rsidR="00DA2F92">
        <w:fldChar w:fldCharType="separate"/>
      </w:r>
      <w:r w:rsidR="00550ED7" w:rsidRPr="00550ED7">
        <w:t>(Thomas, 2024)</w:t>
      </w:r>
      <w:r w:rsidR="00DA2F92">
        <w:fldChar w:fldCharType="end"/>
      </w:r>
      <w:r>
        <w:t>.</w:t>
      </w:r>
    </w:p>
    <w:p w14:paraId="2A6C7310" w14:textId="77777777" w:rsidR="006B3C54" w:rsidRDefault="00A52EE1">
      <w:pPr>
        <w:pStyle w:val="Heading1"/>
        <w:numPr>
          <w:ilvl w:val="0"/>
          <w:numId w:val="2"/>
        </w:numPr>
      </w:pPr>
      <w:r>
        <w:t>Results</w:t>
      </w:r>
    </w:p>
    <w:p w14:paraId="2A6C7311" w14:textId="77777777" w:rsidR="006B3C54" w:rsidRDefault="00A52EE1">
      <w:pPr>
        <w:pStyle w:val="Heading2"/>
        <w:numPr>
          <w:ilvl w:val="1"/>
          <w:numId w:val="2"/>
        </w:numPr>
      </w:pPr>
      <w:r>
        <w:t>Model performance</w:t>
      </w:r>
    </w:p>
    <w:p w14:paraId="5BB1D373" w14:textId="23B8E4DB" w:rsidR="00BB20C7" w:rsidRDefault="00A52EE1">
      <w:r>
        <w:t xml:space="preserve">Including landscape metrics in 1992 as </w:t>
      </w:r>
      <w:r w:rsidR="00C60C40">
        <w:t>independent variable</w:t>
      </w:r>
      <w:r>
        <w:t xml:space="preserve">s </w:t>
      </w:r>
      <w:r w:rsidR="00C60C40">
        <w:t>in</w:t>
      </w:r>
      <w:r w:rsidR="00D20ABD">
        <w:t xml:space="preserve"> random forest models </w:t>
      </w:r>
      <w:r>
        <w:t>of LULC change improved the performance of most, but not all, models (Fi</w:t>
      </w:r>
      <w:r w:rsidR="00C51683">
        <w:t>gure 2</w:t>
      </w:r>
      <w:r>
        <w:t xml:space="preserve">). Random forest models </w:t>
      </w:r>
      <w:r w:rsidR="00BB1DCA">
        <w:t>that</w:t>
      </w:r>
      <w:r>
        <w:t xml:space="preserve"> included both traditional and landscape metric </w:t>
      </w:r>
      <w:r w:rsidR="00444DF7">
        <w:t>independent variable</w:t>
      </w:r>
      <w:r>
        <w:t xml:space="preserve">s (traditional + landscape metrics) usually performed better than models that had only traditional or landscape metric </w:t>
      </w:r>
      <w:r w:rsidR="00444DF7">
        <w:t>independent variable</w:t>
      </w:r>
      <w:r>
        <w:t>s based on F</w:t>
      </w:r>
      <w:r>
        <w:rPr>
          <w:vertAlign w:val="subscript"/>
        </w:rPr>
        <w:t>1</w:t>
      </w:r>
      <w:r>
        <w:t xml:space="preserve"> scores, although differences in performance were small. For example, </w:t>
      </w:r>
      <w:r w:rsidR="00301200">
        <w:t>when modelling</w:t>
      </w:r>
      <w:r w:rsidR="001E505A">
        <w:t xml:space="preserve"> </w:t>
      </w:r>
      <w:r>
        <w:t xml:space="preserve">cropland expansion in </w:t>
      </w:r>
      <w:r w:rsidR="007857AF">
        <w:t>pixels</w:t>
      </w:r>
      <w:r>
        <w:t xml:space="preserve"> </w:t>
      </w:r>
      <w:r w:rsidR="007857AF">
        <w:t>of</w:t>
      </w:r>
      <w:r>
        <w:t xml:space="preserve"> 10 km </w:t>
      </w:r>
      <w:r w:rsidR="007857AF">
        <w:t>resolution</w:t>
      </w:r>
      <w:r>
        <w:t xml:space="preserve"> with a &gt;0.5% threshold </w:t>
      </w:r>
      <w:r w:rsidR="009F353E">
        <w:t>the highest F</w:t>
      </w:r>
      <w:r w:rsidR="009F353E">
        <w:rPr>
          <w:vertAlign w:val="subscript"/>
        </w:rPr>
        <w:t>1</w:t>
      </w:r>
      <w:r w:rsidR="009F353E">
        <w:t xml:space="preserve"> score </w:t>
      </w:r>
      <w:r>
        <w:t>was</w:t>
      </w:r>
      <w:r w:rsidR="007857AF">
        <w:t xml:space="preserve"> for the traditional + landscape metrics model (M</w:t>
      </w:r>
      <w:r w:rsidR="00AD65D5">
        <w:t xml:space="preserve"> = </w:t>
      </w:r>
      <w:r>
        <w:t>0.5</w:t>
      </w:r>
      <w:r w:rsidR="009F353E">
        <w:t>7</w:t>
      </w:r>
      <w:r w:rsidR="00AD65D5">
        <w:t xml:space="preserve">, </w:t>
      </w:r>
      <w:r w:rsidR="0083132D">
        <w:t>SE</w:t>
      </w:r>
      <w:r w:rsidR="00AD65D5">
        <w:t xml:space="preserve"> =</w:t>
      </w:r>
      <w:r w:rsidR="0083132D">
        <w:t xml:space="preserve"> </w:t>
      </w:r>
      <w:r w:rsidR="009F353E">
        <w:t>8</w:t>
      </w:r>
      <w:r>
        <w:t>.</w:t>
      </w:r>
      <w:r w:rsidR="009F353E">
        <w:t>3</w:t>
      </w:r>
      <w:r>
        <w:t xml:space="preserve"> x 10</w:t>
      </w:r>
      <w:r>
        <w:rPr>
          <w:vertAlign w:val="superscript"/>
        </w:rPr>
        <w:t>-4</w:t>
      </w:r>
      <w:r w:rsidR="00AD65D5">
        <w:t xml:space="preserve">; M gives the mean and </w:t>
      </w:r>
      <w:r w:rsidR="00E54429">
        <w:t>SE the standard error</w:t>
      </w:r>
      <w:r w:rsidR="007857AF">
        <w:t xml:space="preserve"> across ten</w:t>
      </w:r>
      <w:r w:rsidR="00013518">
        <w:t xml:space="preserve"> cross-validation folds</w:t>
      </w:r>
      <w:r w:rsidR="0083132D">
        <w:t>)</w:t>
      </w:r>
      <w:r w:rsidR="00C9450B">
        <w:t xml:space="preserve">, and slightly </w:t>
      </w:r>
      <w:r w:rsidR="00D84CEE">
        <w:t>lower</w:t>
      </w:r>
      <w:r w:rsidR="00C9450B">
        <w:t xml:space="preserve"> for the traditional (</w:t>
      </w:r>
      <w:r w:rsidR="00FD66F1">
        <w:t>M = 0.</w:t>
      </w:r>
      <w:r w:rsidR="00837CB4">
        <w:t>54</w:t>
      </w:r>
      <w:r w:rsidR="00FD66F1">
        <w:t xml:space="preserve">, SE = </w:t>
      </w:r>
      <w:r w:rsidR="00837CB4">
        <w:t>7</w:t>
      </w:r>
      <w:r w:rsidR="00FD66F1">
        <w:t>.</w:t>
      </w:r>
      <w:r w:rsidR="00837CB4">
        <w:t>4</w:t>
      </w:r>
      <w:r w:rsidR="00FD66F1">
        <w:t xml:space="preserve"> x 10</w:t>
      </w:r>
      <w:r w:rsidR="00FD66F1">
        <w:rPr>
          <w:vertAlign w:val="superscript"/>
        </w:rPr>
        <w:t>-4</w:t>
      </w:r>
      <w:r w:rsidR="00C9450B">
        <w:t xml:space="preserve">) </w:t>
      </w:r>
      <w:r w:rsidR="00D84CEE">
        <w:t>and</w:t>
      </w:r>
      <w:r w:rsidR="00C9450B">
        <w:t xml:space="preserve"> landscape metrics model</w:t>
      </w:r>
      <w:r w:rsidR="00D84CEE">
        <w:t xml:space="preserve">s </w:t>
      </w:r>
      <w:r w:rsidR="00C9450B">
        <w:t>(</w:t>
      </w:r>
      <w:r w:rsidR="00837CB4">
        <w:t xml:space="preserve">M = 0.53, SE = </w:t>
      </w:r>
      <w:r w:rsidR="006D04EB">
        <w:t>7</w:t>
      </w:r>
      <w:r w:rsidR="00837CB4">
        <w:t>.</w:t>
      </w:r>
      <w:r w:rsidR="006D04EB">
        <w:t>1</w:t>
      </w:r>
      <w:r w:rsidR="00837CB4">
        <w:t xml:space="preserve"> x 10</w:t>
      </w:r>
      <w:r w:rsidR="00837CB4">
        <w:rPr>
          <w:vertAlign w:val="superscript"/>
        </w:rPr>
        <w:t>-4</w:t>
      </w:r>
      <w:r w:rsidR="00C9450B">
        <w:t>)</w:t>
      </w:r>
      <w:r>
        <w:t>.</w:t>
      </w:r>
      <w:r w:rsidR="00A96798">
        <w:t xml:space="preserve"> </w:t>
      </w:r>
      <w:r>
        <w:t xml:space="preserve">However, for </w:t>
      </w:r>
      <w:r w:rsidR="008F7CAC">
        <w:t>modelling</w:t>
      </w:r>
      <w:r>
        <w:t xml:space="preserve"> forest loss </w:t>
      </w:r>
      <w:r w:rsidR="00CB6690">
        <w:t>at</w:t>
      </w:r>
      <w:r>
        <w:t xml:space="preserve"> 10 km </w:t>
      </w:r>
      <w:r w:rsidR="00CB6690">
        <w:t xml:space="preserve">resolution </w:t>
      </w:r>
      <w:r>
        <w:t xml:space="preserve">the traditional models performed best; </w:t>
      </w:r>
      <w:r w:rsidR="003D3323">
        <w:t xml:space="preserve">for </w:t>
      </w:r>
      <w:r>
        <w:t>the &gt;0.5% threshold of change the traditional model had the highest F</w:t>
      </w:r>
      <w:r>
        <w:rPr>
          <w:vertAlign w:val="subscript"/>
        </w:rPr>
        <w:t>1</w:t>
      </w:r>
      <w:r>
        <w:t xml:space="preserve"> measure </w:t>
      </w:r>
      <w:r w:rsidR="008E6078">
        <w:t>(</w:t>
      </w:r>
      <w:r w:rsidR="00FD66F1">
        <w:t>M =</w:t>
      </w:r>
      <w:r w:rsidR="008F5CA1">
        <w:t xml:space="preserve"> </w:t>
      </w:r>
      <w:r>
        <w:t>0.67</w:t>
      </w:r>
      <w:r w:rsidR="00DE6532">
        <w:t>, SE =</w:t>
      </w:r>
      <w:r>
        <w:t xml:space="preserve"> 6.8 x 10</w:t>
      </w:r>
      <w:r>
        <w:rPr>
          <w:vertAlign w:val="superscript"/>
        </w:rPr>
        <w:t>-4</w:t>
      </w:r>
      <w:r w:rsidR="00DE6532">
        <w:t>)</w:t>
      </w:r>
      <w:r>
        <w:t xml:space="preserve">, followed by traditional + landscape metrics </w:t>
      </w:r>
      <w:r w:rsidRPr="00801850">
        <w:t>(</w:t>
      </w:r>
      <w:r w:rsidR="00DE6532">
        <w:t>M</w:t>
      </w:r>
      <w:r>
        <w:t xml:space="preserve"> = 0.65</w:t>
      </w:r>
      <w:r w:rsidR="00DE6532">
        <w:t>, S</w:t>
      </w:r>
      <w:r w:rsidR="00C13FCB">
        <w:t>E</w:t>
      </w:r>
      <w:r w:rsidR="00DE6532">
        <w:t xml:space="preserve"> =</w:t>
      </w:r>
      <w:r>
        <w:t xml:space="preserve"> 9.2 x 10</w:t>
      </w:r>
      <w:r>
        <w:rPr>
          <w:vertAlign w:val="superscript"/>
        </w:rPr>
        <w:t>-4</w:t>
      </w:r>
      <w:r>
        <w:t xml:space="preserve">) and then landscape </w:t>
      </w:r>
      <w:r w:rsidR="007E0C32">
        <w:t>metric</w:t>
      </w:r>
      <w:r>
        <w:t xml:space="preserve">s only </w:t>
      </w:r>
      <w:r w:rsidRPr="00801850">
        <w:t>(</w:t>
      </w:r>
      <w:r w:rsidR="00DE6532">
        <w:t>M</w:t>
      </w:r>
      <w:r>
        <w:t xml:space="preserve"> = 0.56</w:t>
      </w:r>
      <w:r w:rsidR="00DE6532">
        <w:t>, S</w:t>
      </w:r>
      <w:r w:rsidR="004B6281">
        <w:t>E</w:t>
      </w:r>
      <w:r w:rsidR="00DE6532">
        <w:t xml:space="preserve"> =</w:t>
      </w:r>
      <w:r>
        <w:t xml:space="preserve"> 4.9 x 10</w:t>
      </w:r>
      <w:r>
        <w:rPr>
          <w:vertAlign w:val="superscript"/>
        </w:rPr>
        <w:t>-4</w:t>
      </w:r>
      <w:r>
        <w:t xml:space="preserve">). </w:t>
      </w:r>
      <w:r w:rsidR="008550E8">
        <w:t>I</w:t>
      </w:r>
      <w:r>
        <w:t>ncorporating landscape metrics into land use models</w:t>
      </w:r>
      <w:r w:rsidR="008D2A08">
        <w:t xml:space="preserve"> with global extent</w:t>
      </w:r>
      <w:r>
        <w:t xml:space="preserve"> improved model performance</w:t>
      </w:r>
      <w:r w:rsidR="005E74EA">
        <w:t xml:space="preserve"> at spatial resolutions of</w:t>
      </w:r>
      <w:r>
        <w:t xml:space="preserve"> 10 and </w:t>
      </w:r>
      <w:r w:rsidR="00255F31">
        <w:t>80</w:t>
      </w:r>
      <w:r>
        <w:t xml:space="preserve"> km</w:t>
      </w:r>
      <w:r w:rsidR="005E74EA">
        <w:t xml:space="preserve"> </w:t>
      </w:r>
      <w:r>
        <w:t xml:space="preserve">when </w:t>
      </w:r>
      <w:r w:rsidR="007607D4">
        <w:t>modelling</w:t>
      </w:r>
      <w:r>
        <w:t xml:space="preserve"> cropland expansion, but increased model performance </w:t>
      </w:r>
      <w:r w:rsidR="005E74EA">
        <w:t>at</w:t>
      </w:r>
      <w:r>
        <w:t xml:space="preserve"> </w:t>
      </w:r>
      <w:r w:rsidR="00AF48E9">
        <w:t>80</w:t>
      </w:r>
      <w:r>
        <w:t xml:space="preserve"> km </w:t>
      </w:r>
      <w:r w:rsidR="005E74EA">
        <w:t>resolution</w:t>
      </w:r>
      <w:r>
        <w:t xml:space="preserve"> </w:t>
      </w:r>
      <w:r w:rsidR="007607D4">
        <w:t xml:space="preserve">only </w:t>
      </w:r>
      <w:r>
        <w:t xml:space="preserve">when </w:t>
      </w:r>
      <w:r w:rsidR="00AB0529">
        <w:t>modelling</w:t>
      </w:r>
      <w:r>
        <w:t xml:space="preserve"> forest loss.</w:t>
      </w:r>
    </w:p>
    <w:p w14:paraId="2A6C7315" w14:textId="663A651C" w:rsidR="006B3C54" w:rsidRDefault="00A52EE1">
      <w:r>
        <w:t>The precision-recall (PR) curves gave the same results as the F</w:t>
      </w:r>
      <w:r>
        <w:rPr>
          <w:vertAlign w:val="subscript"/>
        </w:rPr>
        <w:t>1</w:t>
      </w:r>
      <w:r>
        <w:t xml:space="preserve"> scores in terms of the best-performing models. However, the variability in precision-recall curves was much higher for </w:t>
      </w:r>
      <w:r w:rsidR="00AF48E9">
        <w:t>80</w:t>
      </w:r>
      <w:r>
        <w:t xml:space="preserve"> km </w:t>
      </w:r>
      <w:r w:rsidR="00065805">
        <w:t>pixel</w:t>
      </w:r>
      <w:r>
        <w:t xml:space="preserve">s than for 10 km </w:t>
      </w:r>
      <w:r w:rsidR="00065805">
        <w:t>pixel</w:t>
      </w:r>
      <w:r>
        <w:t>s (F</w:t>
      </w:r>
      <w:r w:rsidR="00562F8D">
        <w:t>igure 3</w:t>
      </w:r>
      <w:r>
        <w:t xml:space="preserve">), suggesting that the magnitude of the difference in model performance across the three sets of </w:t>
      </w:r>
      <w:r w:rsidR="00444DF7">
        <w:t>independent variable</w:t>
      </w:r>
      <w:r>
        <w:t xml:space="preserve">s was lower for </w:t>
      </w:r>
      <w:r w:rsidR="00065805">
        <w:t xml:space="preserve">the coarser resolution of </w:t>
      </w:r>
      <w:r w:rsidR="00AF48E9">
        <w:t>80</w:t>
      </w:r>
      <w:r>
        <w:t xml:space="preserve"> km. The higher variability in performance for </w:t>
      </w:r>
      <w:r w:rsidR="00AF48E9">
        <w:t>80</w:t>
      </w:r>
      <w:r>
        <w:t xml:space="preserve"> km </w:t>
      </w:r>
      <w:r w:rsidR="00065805">
        <w:t>pixel</w:t>
      </w:r>
      <w:r>
        <w:t>s may have been caused by</w:t>
      </w:r>
      <w:r w:rsidR="006D5FCA">
        <w:t xml:space="preserve"> the smaller number of pixels in the globe</w:t>
      </w:r>
      <w:r w:rsidR="00C33F40">
        <w:t xml:space="preserve"> at a resolution of </w:t>
      </w:r>
      <w:r w:rsidR="00AF48E9">
        <w:t>80</w:t>
      </w:r>
      <w:r w:rsidR="00C33F40">
        <w:t xml:space="preserve"> km compared to 10 km</w:t>
      </w:r>
      <w:r>
        <w:t xml:space="preserve">. Every random forest model we trained performed better than the baseline precision </w:t>
      </w:r>
      <w:r>
        <w:lastRenderedPageBreak/>
        <w:t>(</w:t>
      </w:r>
      <w:r w:rsidR="00562F8D">
        <w:t>Figure 3</w:t>
      </w:r>
      <w:r>
        <w:t xml:space="preserve">), demonstrating that modelling LULC change based on landscape metrics alone was able to identify </w:t>
      </w:r>
      <w:r w:rsidR="00A87984">
        <w:t>pixel</w:t>
      </w:r>
      <w:r>
        <w:t>s which undergo change better than random selection. Model performance was always highest for the &gt;0.5% threshold for defining LULC change and lowest for the &gt;15% threshold (</w:t>
      </w:r>
      <w:r w:rsidR="00562F8D">
        <w:t>Figure 3</w:t>
      </w:r>
      <w:r>
        <w:t xml:space="preserve">), so both traditional and landscape metric </w:t>
      </w:r>
      <w:r w:rsidR="00444DF7">
        <w:t>independent variable</w:t>
      </w:r>
      <w:r>
        <w:t xml:space="preserve">s were worse at categorizing </w:t>
      </w:r>
      <w:r w:rsidR="00A87984">
        <w:t>pixel</w:t>
      </w:r>
      <w:r>
        <w:t xml:space="preserve">s when a higher threshold was used to distinguish between </w:t>
      </w:r>
      <w:r w:rsidR="00A87984">
        <w:t>pixel</w:t>
      </w:r>
      <w:r>
        <w:t>s that experienced change and those that did not.</w:t>
      </w:r>
    </w:p>
    <w:p w14:paraId="2A6C7318" w14:textId="5D14D5FC" w:rsidR="006B3C54" w:rsidRDefault="00A52EE1">
      <w:r>
        <w:t xml:space="preserve">Adding landscape metrics as </w:t>
      </w:r>
      <w:r w:rsidR="00444DF7">
        <w:t>independent variable</w:t>
      </w:r>
      <w:r>
        <w:t xml:space="preserve">s to </w:t>
      </w:r>
      <w:r w:rsidR="000B0D91">
        <w:t xml:space="preserve">continental-scale </w:t>
      </w:r>
      <w:r>
        <w:t>random forest models of cropland expansion and forest loss with a change threshold of &gt;0.5% generally improved model performance (</w:t>
      </w:r>
      <w:r w:rsidR="008D7974">
        <w:t>Figure 4</w:t>
      </w:r>
      <w:r>
        <w:t xml:space="preserve">). Models including both traditional and landscape metric </w:t>
      </w:r>
      <w:r w:rsidR="00444DF7">
        <w:t>independent variable</w:t>
      </w:r>
      <w:r>
        <w:t>s had the highest F</w:t>
      </w:r>
      <w:r>
        <w:rPr>
          <w:vertAlign w:val="subscript"/>
        </w:rPr>
        <w:t>1</w:t>
      </w:r>
      <w:r>
        <w:t xml:space="preserve"> values in all cases, except for the 10 km </w:t>
      </w:r>
      <w:r w:rsidR="00833BF0">
        <w:t>resolution</w:t>
      </w:r>
      <w:r>
        <w:t xml:space="preserve"> model of cropland expansion in Oceania, and the 10 km </w:t>
      </w:r>
      <w:r w:rsidR="00833BF0">
        <w:t>resolution</w:t>
      </w:r>
      <w:r>
        <w:t xml:space="preserve"> forest loss models for Africa, Asia, and Oceania. Therefore, the inclusion of landscape metrics as </w:t>
      </w:r>
      <w:r w:rsidR="00444DF7">
        <w:t>independent variable</w:t>
      </w:r>
      <w:r>
        <w:t xml:space="preserve">s </w:t>
      </w:r>
      <w:r w:rsidR="00444DF7">
        <w:t xml:space="preserve">in models </w:t>
      </w:r>
      <w:r>
        <w:t xml:space="preserve">of LULC change appears to improve model performance depending on both geographic location and </w:t>
      </w:r>
      <w:r w:rsidR="00777D35">
        <w:t>spatial resolution</w:t>
      </w:r>
      <w:r w:rsidR="005E1DE0">
        <w:t>; this spatial variation in model performance</w:t>
      </w:r>
      <w:r w:rsidR="004C4D01">
        <w:t xml:space="preserve"> could be due to </w:t>
      </w:r>
      <w:r w:rsidR="00B42DCC">
        <w:t>spatial var</w:t>
      </w:r>
      <w:r w:rsidR="005E1DE0">
        <w:t>iability</w:t>
      </w:r>
      <w:r w:rsidR="00B42DCC">
        <w:t xml:space="preserve"> in the drivers of LULC change.</w:t>
      </w:r>
      <w:r>
        <w:t xml:space="preserve"> The best-performing model overall was the forest loss model for South America with </w:t>
      </w:r>
      <w:r w:rsidR="00777D35">
        <w:t>spatial resolution</w:t>
      </w:r>
      <w:r>
        <w:t xml:space="preserve"> of </w:t>
      </w:r>
      <w:r w:rsidR="00AF48E9">
        <w:t>80</w:t>
      </w:r>
      <w:r>
        <w:t xml:space="preserve"> km </w:t>
      </w:r>
      <w:r w:rsidRPr="00801850">
        <w:t>(</w:t>
      </w:r>
      <w:r w:rsidR="00E03809">
        <w:t>M</w:t>
      </w:r>
      <w:r>
        <w:t xml:space="preserve"> = 0.83</w:t>
      </w:r>
      <w:r w:rsidR="00E03809">
        <w:t xml:space="preserve">, SE = </w:t>
      </w:r>
      <w:r>
        <w:t xml:space="preserve">0.011), followed by the </w:t>
      </w:r>
      <w:r w:rsidR="00AF48E9">
        <w:t>80</w:t>
      </w:r>
      <w:r>
        <w:t xml:space="preserve"> km </w:t>
      </w:r>
      <w:r w:rsidR="00833BF0">
        <w:t>resolution</w:t>
      </w:r>
      <w:r>
        <w:t xml:space="preserve"> forest loss model for Africa </w:t>
      </w:r>
      <w:r w:rsidRPr="00801850">
        <w:t>(</w:t>
      </w:r>
      <w:r w:rsidR="00E03809">
        <w:t>M</w:t>
      </w:r>
      <w:r>
        <w:t xml:space="preserve"> = 0.79</w:t>
      </w:r>
      <w:r w:rsidR="00E03809">
        <w:t xml:space="preserve">, SE = </w:t>
      </w:r>
      <w:r>
        <w:t>8.1 x 10</w:t>
      </w:r>
      <w:r>
        <w:rPr>
          <w:vertAlign w:val="superscript"/>
        </w:rPr>
        <w:t>-3</w:t>
      </w:r>
      <w:r>
        <w:t xml:space="preserve">). These two models had particularly high percentages of </w:t>
      </w:r>
      <w:r w:rsidR="00777D35">
        <w:t>pixel</w:t>
      </w:r>
      <w:r>
        <w:t xml:space="preserve">s </w:t>
      </w:r>
      <w:r w:rsidR="00F8440E">
        <w:t>that</w:t>
      </w:r>
      <w:r>
        <w:t xml:space="preserve"> experienced forest loss from 1992 to 2020 (46.9% and 43.5% in South America and Africa, respectively), which may explain their high performance. Models of cropland expansion in Europe and North America often performed poorly; for instance, the models for Europe had the lowest F</w:t>
      </w:r>
      <w:r>
        <w:rPr>
          <w:vertAlign w:val="subscript"/>
        </w:rPr>
        <w:t>1</w:t>
      </w:r>
      <w:r>
        <w:t xml:space="preserve"> values </w:t>
      </w:r>
      <w:r w:rsidR="00E367AE">
        <w:t xml:space="preserve">(M = </w:t>
      </w:r>
      <w:r>
        <w:t>0.48</w:t>
      </w:r>
      <w:r w:rsidR="00E367AE">
        <w:t xml:space="preserve">, SE = </w:t>
      </w:r>
      <w:r>
        <w:t>8.9 x 10</w:t>
      </w:r>
      <w:r>
        <w:rPr>
          <w:vertAlign w:val="superscript"/>
        </w:rPr>
        <w:t>-3</w:t>
      </w:r>
      <w:r>
        <w:t xml:space="preserve"> </w:t>
      </w:r>
      <w:r w:rsidR="00E367AE">
        <w:t xml:space="preserve">for </w:t>
      </w:r>
      <w:r w:rsidR="00AF48E9">
        <w:t>80</w:t>
      </w:r>
      <w:r w:rsidR="00E367AE">
        <w:t xml:space="preserve"> km </w:t>
      </w:r>
      <w:r w:rsidR="00270342">
        <w:t>pixels</w:t>
      </w:r>
      <w:r w:rsidR="00593FE3">
        <w:t xml:space="preserve">; </w:t>
      </w:r>
      <w:r w:rsidR="00270342">
        <w:t xml:space="preserve">M = </w:t>
      </w:r>
      <w:r>
        <w:t>0.53</w:t>
      </w:r>
      <w:r w:rsidR="00270342">
        <w:t>, SE =</w:t>
      </w:r>
      <w:r>
        <w:t xml:space="preserve"> 2.1 x 10</w:t>
      </w:r>
      <w:r>
        <w:rPr>
          <w:vertAlign w:val="superscript"/>
        </w:rPr>
        <w:t>-3</w:t>
      </w:r>
      <w:r>
        <w:t xml:space="preserve"> for</w:t>
      </w:r>
      <w:r w:rsidR="00270342">
        <w:t xml:space="preserve"> </w:t>
      </w:r>
      <w:r>
        <w:t>10 km</w:t>
      </w:r>
      <w:r w:rsidR="00270342">
        <w:t xml:space="preserve"> pixels)</w:t>
      </w:r>
      <w:r>
        <w:t xml:space="preserve">. Random forest models trained with landscape metrics alone often performed almost as well as or better than those trained with traditional socioeconomic and biophysical </w:t>
      </w:r>
      <w:r w:rsidR="00444DF7">
        <w:t>variable</w:t>
      </w:r>
      <w:r>
        <w:t xml:space="preserve">s, except for 10 km </w:t>
      </w:r>
      <w:r w:rsidR="00833BF0">
        <w:t>resolution</w:t>
      </w:r>
      <w:r>
        <w:t xml:space="preserve"> models of forest loss. Landscape metrics performed particularly poorly at </w:t>
      </w:r>
      <w:r w:rsidR="008F7CAC">
        <w:t>modelling</w:t>
      </w:r>
      <w:r>
        <w:t xml:space="preserve"> forest loss and cropland expansion at 10 km </w:t>
      </w:r>
      <w:r w:rsidR="00833BF0">
        <w:t>resolution</w:t>
      </w:r>
      <w:r>
        <w:t xml:space="preserve"> for Oceania. Overall, including landscape metrics in continental-scale models of LULC change almost always improved model performance, suggesting that landscape metrics might contain more information for LULC change modelling beyond traditional </w:t>
      </w:r>
      <w:r w:rsidR="00444DF7">
        <w:t>variable</w:t>
      </w:r>
      <w:r>
        <w:t>s.</w:t>
      </w:r>
    </w:p>
    <w:p w14:paraId="2A6C7319" w14:textId="3568E20E" w:rsidR="006B3C54" w:rsidRDefault="00A52EE1">
      <w:r>
        <w:t xml:space="preserve">The PR curves for continental-scale models were much more variable for models </w:t>
      </w:r>
      <w:r w:rsidR="00490EDD">
        <w:t>at</w:t>
      </w:r>
      <w:r>
        <w:t xml:space="preserve"> </w:t>
      </w:r>
      <w:r w:rsidR="00AF48E9">
        <w:t>80</w:t>
      </w:r>
      <w:r>
        <w:t xml:space="preserve"> km </w:t>
      </w:r>
      <w:r w:rsidR="00490EDD">
        <w:t>spatial resolution</w:t>
      </w:r>
      <w:r>
        <w:t xml:space="preserve"> compared to those </w:t>
      </w:r>
      <w:r w:rsidR="00490EDD">
        <w:t>at</w:t>
      </w:r>
      <w:r>
        <w:t xml:space="preserve"> 10 km (</w:t>
      </w:r>
      <w:r w:rsidR="00304C3B">
        <w:t>Supplementary Figure 1</w:t>
      </w:r>
      <w:r>
        <w:t xml:space="preserve">), as observed for global-scale random forest models. Given that the curves were most variable for Oceania, which had the smallest number of </w:t>
      </w:r>
      <w:r w:rsidR="00490EDD">
        <w:t>pixel</w:t>
      </w:r>
      <w:r>
        <w:t xml:space="preserve">s, it is likely that lack of </w:t>
      </w:r>
      <w:r w:rsidR="00490EDD">
        <w:t>pixel</w:t>
      </w:r>
      <w:r>
        <w:t xml:space="preserve">s was the cause of higher variability in model performance </w:t>
      </w:r>
      <w:r w:rsidR="00767D1B">
        <w:t>at</w:t>
      </w:r>
      <w:r>
        <w:t xml:space="preserve"> </w:t>
      </w:r>
      <w:r w:rsidR="00AF48E9">
        <w:t>80</w:t>
      </w:r>
      <w:r>
        <w:t xml:space="preserve"> km </w:t>
      </w:r>
      <w:r w:rsidR="00767D1B">
        <w:t>resolution</w:t>
      </w:r>
      <w:r>
        <w:t>.</w:t>
      </w:r>
    </w:p>
    <w:p w14:paraId="2A6C731C" w14:textId="15C468A9" w:rsidR="006B3C54" w:rsidRDefault="00A52EE1">
      <w:pPr>
        <w:pStyle w:val="Heading2"/>
        <w:numPr>
          <w:ilvl w:val="1"/>
          <w:numId w:val="2"/>
        </w:numPr>
      </w:pPr>
      <w:r>
        <w:lastRenderedPageBreak/>
        <w:t xml:space="preserve">Importance of landscape metrics versus socioeconomic and biophysical </w:t>
      </w:r>
      <w:r w:rsidR="00444DF7">
        <w:t>variable</w:t>
      </w:r>
      <w:r>
        <w:t>s</w:t>
      </w:r>
    </w:p>
    <w:p w14:paraId="2A6C731D" w14:textId="35411D85" w:rsidR="006B3C54" w:rsidRDefault="00A52EE1">
      <w:r>
        <w:t xml:space="preserve">We selected the best performing random forest model for each LULC class, </w:t>
      </w:r>
      <w:r w:rsidR="00767D1B">
        <w:t>spatial resolution</w:t>
      </w:r>
      <w:r>
        <w:t>, and change threshold based on the model with the highest F</w:t>
      </w:r>
      <w:r>
        <w:rPr>
          <w:vertAlign w:val="subscript"/>
        </w:rPr>
        <w:t>1</w:t>
      </w:r>
      <w:r>
        <w:t xml:space="preserve"> measure, then examined the five most important </w:t>
      </w:r>
      <w:r w:rsidR="00A50D34">
        <w:t>independent variable</w:t>
      </w:r>
      <w:r>
        <w:t xml:space="preserve">s for each of the best models. For models at 10 km </w:t>
      </w:r>
      <w:r w:rsidR="00833BF0">
        <w:t>resolution</w:t>
      </w:r>
      <w:r>
        <w:t xml:space="preserve">, the five socioeconomic and biophysical </w:t>
      </w:r>
      <w:r w:rsidR="00A50D34">
        <w:t>variable</w:t>
      </w:r>
      <w:r>
        <w:t xml:space="preserve">s (GDP, market access, population density, steepness, and bioclimatic suitability for agriculture) were always the five most important </w:t>
      </w:r>
      <w:r w:rsidR="00A50D34">
        <w:t>independent variable</w:t>
      </w:r>
      <w:r>
        <w:t>s (</w:t>
      </w:r>
      <w:r w:rsidR="009947AA">
        <w:t>Figure 5</w:t>
      </w:r>
      <w:r>
        <w:t xml:space="preserve">). Comparatively, landscape metrics were listed consistently amongst the five most important </w:t>
      </w:r>
      <w:r w:rsidR="00A50D34">
        <w:t>independent variable</w:t>
      </w:r>
      <w:r>
        <w:t xml:space="preserve">s for the best random forest models with </w:t>
      </w:r>
      <w:r w:rsidR="00CA2446">
        <w:t>spatial resolution</w:t>
      </w:r>
      <w:r>
        <w:t xml:space="preserve"> of </w:t>
      </w:r>
      <w:r w:rsidR="00AF48E9">
        <w:t>80</w:t>
      </w:r>
      <w:r>
        <w:t xml:space="preserve"> km. For instance, for the </w:t>
      </w:r>
      <w:r w:rsidR="00AF48E9">
        <w:t>80</w:t>
      </w:r>
      <w:r>
        <w:t xml:space="preserve"> km cropland expansion model with a change threshold of &gt;0.5%, cropland </w:t>
      </w:r>
      <w:r w:rsidR="00201125">
        <w:t>class area (</w:t>
      </w:r>
      <w:r>
        <w:t>CA</w:t>
      </w:r>
      <w:r w:rsidR="00201125">
        <w:t>)</w:t>
      </w:r>
      <w:r>
        <w:t xml:space="preserve"> had a</w:t>
      </w:r>
      <w:r w:rsidR="005834EE">
        <w:t xml:space="preserve"> mean</w:t>
      </w:r>
      <w:r>
        <w:t xml:space="preserve"> importance ranking of 3.1 </w:t>
      </w:r>
      <w:r w:rsidR="005834EE">
        <w:t>across ten cross-validation folds (standard deviation, termed SD, of</w:t>
      </w:r>
      <w:r>
        <w:t xml:space="preserve"> 1.5</w:t>
      </w:r>
      <w:r w:rsidR="005834EE">
        <w:t>)</w:t>
      </w:r>
      <w:r>
        <w:t xml:space="preserve"> and number of patches (NP) of cropland had a mean ranking of 4.6</w:t>
      </w:r>
      <w:r w:rsidR="005834EE">
        <w:t xml:space="preserve"> (SD = </w:t>
      </w:r>
      <w:r>
        <w:t>0.7</w:t>
      </w:r>
      <w:r w:rsidR="005834EE">
        <w:t>)</w:t>
      </w:r>
      <w:r>
        <w:t xml:space="preserve">. The highest ranked </w:t>
      </w:r>
      <w:r w:rsidR="00A50D34">
        <w:t>independent variable</w:t>
      </w:r>
      <w:r>
        <w:t xml:space="preserve"> in the cropland expansion models </w:t>
      </w:r>
      <w:r w:rsidR="00F75B19">
        <w:t>at</w:t>
      </w:r>
      <w:r>
        <w:t xml:space="preserve"> </w:t>
      </w:r>
      <w:r w:rsidR="00AF48E9">
        <w:t>80</w:t>
      </w:r>
      <w:r>
        <w:t xml:space="preserve"> km </w:t>
      </w:r>
      <w:r w:rsidR="00CA2446">
        <w:t>resolution</w:t>
      </w:r>
      <w:r>
        <w:t xml:space="preserve"> with change thresholds of &gt;5% and &gt;15% was cropland NP. For the </w:t>
      </w:r>
      <w:r w:rsidR="00AF48E9">
        <w:t>80</w:t>
      </w:r>
      <w:r>
        <w:t xml:space="preserve"> km forest loss model with a change threshold of &gt;0.5%, unmanaged grass/shrubland CA in a </w:t>
      </w:r>
      <w:r w:rsidR="00301E66">
        <w:t>pixel</w:t>
      </w:r>
      <w:r>
        <w:t xml:space="preserve"> had a mean ranking of 3.0 </w:t>
      </w:r>
      <w:r w:rsidR="005834EE">
        <w:t xml:space="preserve">(SD = </w:t>
      </w:r>
      <w:r>
        <w:t>0</w:t>
      </w:r>
      <w:r w:rsidR="005834EE">
        <w:t>)</w:t>
      </w:r>
      <w:r>
        <w:t>, while forest CA and pasture/rangeland CA were also within the five most important variables (</w:t>
      </w:r>
      <w:r w:rsidR="008C479A">
        <w:t>M =</w:t>
      </w:r>
      <w:r>
        <w:t xml:space="preserve"> 5.5</w:t>
      </w:r>
      <w:r w:rsidR="008C479A">
        <w:t>, SD =</w:t>
      </w:r>
      <w:r>
        <w:t xml:space="preserve"> 1.4 and </w:t>
      </w:r>
      <w:r w:rsidR="008C479A">
        <w:t xml:space="preserve">M = </w:t>
      </w:r>
      <w:r>
        <w:t>5.5</w:t>
      </w:r>
      <w:r w:rsidR="008C479A">
        <w:t>, SD =</w:t>
      </w:r>
      <w:r>
        <w:t xml:space="preserve"> 1.2, respectively). Therefore, CA of different LULC classes was highly important for </w:t>
      </w:r>
      <w:r w:rsidR="008F7CAC">
        <w:t>modelling</w:t>
      </w:r>
      <w:r>
        <w:t xml:space="preserve"> LULC change in </w:t>
      </w:r>
      <w:r w:rsidR="00301E66">
        <w:t>pixel</w:t>
      </w:r>
      <w:r>
        <w:t xml:space="preserve">s of </w:t>
      </w:r>
      <w:r w:rsidR="00AF48E9">
        <w:t>80</w:t>
      </w:r>
      <w:r>
        <w:t xml:space="preserve"> km</w:t>
      </w:r>
      <w:r w:rsidR="006B4858">
        <w:t xml:space="preserve"> resolution</w:t>
      </w:r>
      <w:r>
        <w:t xml:space="preserve">. Only landscape metrics of cropland were within the five most important variables for cropland expansion models, whereas forest, pasture/rangeland and unmanaged grass/shrubland metrics were amongst the five most important variables for forest loss models.  Overall, the most important </w:t>
      </w:r>
      <w:r w:rsidR="00A50D34">
        <w:t>independent variable</w:t>
      </w:r>
      <w:r>
        <w:t xml:space="preserve">s </w:t>
      </w:r>
      <w:r w:rsidR="00A50D34">
        <w:t>for modelling</w:t>
      </w:r>
      <w:r>
        <w:t xml:space="preserve"> forest loss and cropland expansion varied across </w:t>
      </w:r>
      <w:r w:rsidR="00301E66">
        <w:t>spatial resolution</w:t>
      </w:r>
      <w:r>
        <w:t xml:space="preserve"> and type of LULC change being </w:t>
      </w:r>
      <w:r w:rsidR="008F7CAC">
        <w:t>modelled</w:t>
      </w:r>
      <w:r>
        <w:t>.</w:t>
      </w:r>
    </w:p>
    <w:p w14:paraId="2A6C731F" w14:textId="0A221BE1" w:rsidR="006B3C54" w:rsidRDefault="00A52EE1" w:rsidP="009947AA">
      <w:r>
        <w:t xml:space="preserve">As for the global-scale random forest models of LULC change, the five traditional </w:t>
      </w:r>
      <w:r w:rsidR="00A50D34">
        <w:t>independent variable</w:t>
      </w:r>
      <w:r>
        <w:t xml:space="preserve">s were always the five most important in the 10 km </w:t>
      </w:r>
      <w:r w:rsidR="00482356">
        <w:t xml:space="preserve">resolution </w:t>
      </w:r>
      <w:r>
        <w:t>models of cropland expansion at continental scale (</w:t>
      </w:r>
      <w:r w:rsidR="00304C3B">
        <w:t>Supplementary Figure 2</w:t>
      </w:r>
      <w:r>
        <w:t xml:space="preserve">). Area (CA) of forest cover in a </w:t>
      </w:r>
      <w:r w:rsidR="00301E66">
        <w:t>pixel</w:t>
      </w:r>
      <w:r>
        <w:t xml:space="preserve"> was the fifth most important variable on average in the models of forest loss for Europe and North America with </w:t>
      </w:r>
      <w:r w:rsidR="00301E66">
        <w:t>spatial resolution</w:t>
      </w:r>
      <w:r>
        <w:t xml:space="preserve"> of 10 km (</w:t>
      </w:r>
      <w:r w:rsidR="00304C3B">
        <w:t>Supplementary Figure 2</w:t>
      </w:r>
      <w:r>
        <w:t xml:space="preserve">b; </w:t>
      </w:r>
      <w:r w:rsidR="00D31FC1">
        <w:t xml:space="preserve">M = </w:t>
      </w:r>
      <w:r>
        <w:t xml:space="preserve">5.0 </w:t>
      </w:r>
      <w:r w:rsidR="00D31FC1">
        <w:t>and SD =</w:t>
      </w:r>
      <w:r>
        <w:t xml:space="preserve"> 0 for both continents). For the random forest models </w:t>
      </w:r>
      <w:r w:rsidR="00301E66">
        <w:t>with</w:t>
      </w:r>
      <w:r>
        <w:t xml:space="preserve"> </w:t>
      </w:r>
      <w:r w:rsidR="00AF48E9">
        <w:t>80</w:t>
      </w:r>
      <w:r>
        <w:t xml:space="preserve"> km </w:t>
      </w:r>
      <w:r w:rsidR="00301E66">
        <w:t>resolution</w:t>
      </w:r>
      <w:r>
        <w:t>, at least two landscape metrics were always amongst the five most important variables in each model. For example, in the best performing continental-scale model (</w:t>
      </w:r>
      <w:r w:rsidR="00AF48E9">
        <w:t>80</w:t>
      </w:r>
      <w:r>
        <w:t xml:space="preserve"> km </w:t>
      </w:r>
      <w:r w:rsidR="00833BF0">
        <w:t>resolution</w:t>
      </w:r>
      <w:r>
        <w:t xml:space="preserve"> forest loss model for South America) the most important </w:t>
      </w:r>
      <w:r w:rsidR="0088577E">
        <w:t>independent variable</w:t>
      </w:r>
      <w:r>
        <w:t xml:space="preserve"> on average was forest total core area (TCA), with a mean ranking of 1.4</w:t>
      </w:r>
      <w:r w:rsidR="00D31FC1">
        <w:t xml:space="preserve"> (SD = </w:t>
      </w:r>
      <w:r>
        <w:t>0.52</w:t>
      </w:r>
      <w:r w:rsidR="00D31FC1">
        <w:t>)</w:t>
      </w:r>
      <w:r>
        <w:t>, followed by forest CA (</w:t>
      </w:r>
      <w:r w:rsidR="00D31FC1">
        <w:t>M</w:t>
      </w:r>
      <w:r>
        <w:t xml:space="preserve"> = 1.6</w:t>
      </w:r>
      <w:r w:rsidR="00D31FC1">
        <w:t>, SD =</w:t>
      </w:r>
      <w:r>
        <w:t xml:space="preserve"> 0.52). Forest TCA was within the top five most important </w:t>
      </w:r>
      <w:r w:rsidR="0088577E">
        <w:t>independent variable</w:t>
      </w:r>
      <w:r>
        <w:t xml:space="preserve">s in all six continental-scale random forest models of forest loss with </w:t>
      </w:r>
      <w:r w:rsidR="00AF48E9">
        <w:t>80</w:t>
      </w:r>
      <w:r>
        <w:t xml:space="preserve"> km </w:t>
      </w:r>
      <w:r w:rsidR="00301E66">
        <w:t>resolution</w:t>
      </w:r>
      <w:r>
        <w:t xml:space="preserve">; TCA is a measure </w:t>
      </w:r>
      <w:r>
        <w:lastRenderedPageBreak/>
        <w:t xml:space="preserve">of the area of a LULC class which is not adjacent to a different class, suggesting that fragmentation of forest cover might be important in </w:t>
      </w:r>
      <w:r w:rsidR="008F7CAC">
        <w:t>identifying</w:t>
      </w:r>
      <w:r>
        <w:t xml:space="preserve"> which </w:t>
      </w:r>
      <w:r w:rsidR="00301E66">
        <w:t>pixel</w:t>
      </w:r>
      <w:r>
        <w:t xml:space="preserve">s underwent forest loss. Forest CA was also within the top five highest ranked </w:t>
      </w:r>
      <w:r w:rsidR="0088577E">
        <w:t>independent variable</w:t>
      </w:r>
      <w:r>
        <w:t xml:space="preserve">s for five out of six of the continental-scale models with </w:t>
      </w:r>
      <w:r w:rsidR="00AF48E9">
        <w:t>80</w:t>
      </w:r>
      <w:r>
        <w:t xml:space="preserve"> km </w:t>
      </w:r>
      <w:r w:rsidR="00833BF0">
        <w:t>resolution</w:t>
      </w:r>
      <w:r>
        <w:t xml:space="preserve">. Moreover, both the area and number of patches of cropland were always in the top five most important </w:t>
      </w:r>
      <w:r w:rsidR="0088577E">
        <w:t>independent variable</w:t>
      </w:r>
      <w:r>
        <w:t xml:space="preserve">s of the </w:t>
      </w:r>
      <w:r w:rsidR="00AF48E9">
        <w:t>80</w:t>
      </w:r>
      <w:r>
        <w:t xml:space="preserve"> km </w:t>
      </w:r>
      <w:r w:rsidR="00482356">
        <w:t xml:space="preserve">resolution </w:t>
      </w:r>
      <w:r>
        <w:t xml:space="preserve">cropland expansion models, which suggests that metrics of area and fragmentation of LULC may be useful for </w:t>
      </w:r>
      <w:r w:rsidR="008F7CAC">
        <w:t>modelling</w:t>
      </w:r>
      <w:r>
        <w:t xml:space="preserve"> LULC change within larger </w:t>
      </w:r>
      <w:r w:rsidR="00301E66">
        <w:t>pixel</w:t>
      </w:r>
      <w:r>
        <w:t>s.</w:t>
      </w:r>
    </w:p>
    <w:p w14:paraId="2A6C7321" w14:textId="77777777" w:rsidR="006B3C54" w:rsidRDefault="00A52EE1">
      <w:pPr>
        <w:pStyle w:val="Heading2"/>
        <w:numPr>
          <w:ilvl w:val="1"/>
          <w:numId w:val="2"/>
        </w:numPr>
      </w:pPr>
      <w:bookmarkStart w:id="1" w:name="_88gqtrkz1db1" w:colFirst="0" w:colLast="0"/>
      <w:bookmarkEnd w:id="1"/>
      <w:r>
        <w:t>Partial dependence plots</w:t>
      </w:r>
    </w:p>
    <w:p w14:paraId="2A6C7323" w14:textId="1E8DD9E2" w:rsidR="006B3C54" w:rsidRDefault="00A52EE1" w:rsidP="00EC5DD6">
      <w:r>
        <w:t xml:space="preserve">The performance of all random forest models with landscape metrics amongst the top five most important </w:t>
      </w:r>
      <w:r w:rsidR="0088577E">
        <w:t>independent variable</w:t>
      </w:r>
      <w:r>
        <w:t xml:space="preserve">s was compared and partial dependence plots were generated for the two best performing </w:t>
      </w:r>
      <w:r w:rsidR="00960194">
        <w:t xml:space="preserve">global-scale </w:t>
      </w:r>
      <w:r>
        <w:t xml:space="preserve">models, which were the cropland expansion and forest loss models </w:t>
      </w:r>
      <w:r w:rsidR="00301E66">
        <w:t>at</w:t>
      </w:r>
      <w:r>
        <w:t xml:space="preserve"> </w:t>
      </w:r>
      <w:r w:rsidR="00AF48E9">
        <w:t>80</w:t>
      </w:r>
      <w:r>
        <w:t xml:space="preserve"> km </w:t>
      </w:r>
      <w:r w:rsidR="00301E66">
        <w:t xml:space="preserve">spatial resolution </w:t>
      </w:r>
      <w:r>
        <w:t xml:space="preserve">with a threshold of &gt;0.5% for detecting change </w:t>
      </w:r>
      <w:r w:rsidRPr="00801850">
        <w:t>(</w:t>
      </w:r>
      <w:r w:rsidR="00EC69B2">
        <w:t>M</w:t>
      </w:r>
      <w:r>
        <w:t xml:space="preserve"> = 0.65</w:t>
      </w:r>
      <w:r w:rsidR="00EC69B2">
        <w:t>, SE =</w:t>
      </w:r>
      <w:r>
        <w:t xml:space="preserve"> 2.8 x 10</w:t>
      </w:r>
      <w:r>
        <w:rPr>
          <w:vertAlign w:val="superscript"/>
        </w:rPr>
        <w:t>-3</w:t>
      </w:r>
      <w:r>
        <w:t xml:space="preserve"> </w:t>
      </w:r>
      <w:r w:rsidRPr="00801850">
        <w:t>and</w:t>
      </w:r>
      <w:r>
        <w:t xml:space="preserve"> </w:t>
      </w:r>
      <w:r w:rsidR="00EC69B2">
        <w:t>M</w:t>
      </w:r>
      <w:r>
        <w:t xml:space="preserve"> = 0.80</w:t>
      </w:r>
      <w:r w:rsidR="00EC69B2">
        <w:t xml:space="preserve">, SE = </w:t>
      </w:r>
      <w:r>
        <w:t>3.3 x 10</w:t>
      </w:r>
      <w:r>
        <w:rPr>
          <w:vertAlign w:val="superscript"/>
        </w:rPr>
        <w:t>-3</w:t>
      </w:r>
      <w:r>
        <w:t xml:space="preserve">, respectively; </w:t>
      </w:r>
      <w:r w:rsidR="00EC69B2">
        <w:t xml:space="preserve">M gives the </w:t>
      </w:r>
      <w:r>
        <w:t xml:space="preserve">mean and </w:t>
      </w:r>
      <w:r w:rsidR="00EC69B2">
        <w:t xml:space="preserve">SE the </w:t>
      </w:r>
      <w:r>
        <w:t>standard error across ten cross-validation folds). The partial dependence plots for these two models demonstrated how the predicted probability of LULC change can vary with landscape patterns (</w:t>
      </w:r>
      <w:r w:rsidR="00EC5DD6">
        <w:t>Figure 6</w:t>
      </w:r>
      <w:r>
        <w:t xml:space="preserve">). For instance, the predicted probability of cropland expansion was highest in </w:t>
      </w:r>
      <w:r w:rsidR="00301E66">
        <w:t>pixel</w:t>
      </w:r>
      <w:r>
        <w:t xml:space="preserve">s with no cropland cover and decreased to a minimum in </w:t>
      </w:r>
      <w:r w:rsidR="00301E66">
        <w:t>pixel</w:t>
      </w:r>
      <w:r>
        <w:t xml:space="preserve">s with approximately 20,000 hectares of cropland. Similarly, the probability of a </w:t>
      </w:r>
      <w:r w:rsidR="00301E66">
        <w:t>pixel</w:t>
      </w:r>
      <w:r>
        <w:t xml:space="preserve"> gaining cropland was lowest at an intermediate number of cropland patches, and highest at zero or very few patches. For the forest loss model, predicted probability of forest loss was highest in </w:t>
      </w:r>
      <w:r w:rsidR="00301E66">
        <w:t>pixel</w:t>
      </w:r>
      <w:r>
        <w:t xml:space="preserve">s with no unmanaged grass/shrubland and lowest in </w:t>
      </w:r>
      <w:r w:rsidR="00301E66">
        <w:t>pixel</w:t>
      </w:r>
      <w:r>
        <w:t xml:space="preserve">s with intermediate unmanaged grass/shrubland cover. In comparison, the predicted probability of forest loss increased with increasing pasture/rangeland area up to approximately 450,000 ha of pasture/rangeland, suggesting that forest loss was more likely in </w:t>
      </w:r>
      <w:r w:rsidR="00301E66">
        <w:t>pixel</w:t>
      </w:r>
      <w:r>
        <w:t xml:space="preserve">s with intermediate to high pasture/rangeland cover in 1992. Predicted probability of forest loss was highest when </w:t>
      </w:r>
      <w:r w:rsidR="00301E66">
        <w:t>pixel</w:t>
      </w:r>
      <w:r>
        <w:t xml:space="preserve">s had very little forest cover in 1992, and then decreased with increasing forest cover up to approximately 400,000 ha of forest. There was a small increase in predicted probability of forest loss when forest area reached its maximum. Overall, whilst the number of patches of cropland was highly important for </w:t>
      </w:r>
      <w:r w:rsidR="0044369A">
        <w:t>modelling</w:t>
      </w:r>
      <w:r>
        <w:t xml:space="preserve"> cropland expansion in </w:t>
      </w:r>
      <w:r w:rsidR="00301E66">
        <w:t>pixel</w:t>
      </w:r>
      <w:r>
        <w:t xml:space="preserve">s </w:t>
      </w:r>
      <w:r w:rsidR="00301E66">
        <w:t>of</w:t>
      </w:r>
      <w:r>
        <w:t xml:space="preserve"> </w:t>
      </w:r>
      <w:r w:rsidR="00AF48E9">
        <w:t>80</w:t>
      </w:r>
      <w:r>
        <w:t xml:space="preserve"> km </w:t>
      </w:r>
      <w:r w:rsidR="00301E66">
        <w:t>resolution</w:t>
      </w:r>
      <w:r>
        <w:t xml:space="preserve">, the area of LULC classes appeared to be the most important landscape metrics for </w:t>
      </w:r>
      <w:r w:rsidR="0044369A">
        <w:t>modelling</w:t>
      </w:r>
      <w:r>
        <w:t xml:space="preserve"> LULC change.</w:t>
      </w:r>
    </w:p>
    <w:p w14:paraId="2A6C7325" w14:textId="77777777" w:rsidR="006B3C54" w:rsidRDefault="00A52EE1">
      <w:pPr>
        <w:pStyle w:val="Heading1"/>
        <w:numPr>
          <w:ilvl w:val="0"/>
          <w:numId w:val="2"/>
        </w:numPr>
      </w:pPr>
      <w:bookmarkStart w:id="2" w:name="_e3c9a015v1jy" w:colFirst="0" w:colLast="0"/>
      <w:bookmarkEnd w:id="2"/>
      <w:r>
        <w:t>Discussion</w:t>
      </w:r>
    </w:p>
    <w:p w14:paraId="2A6C7326" w14:textId="249525A0" w:rsidR="006B3C54" w:rsidRPr="00D5079D" w:rsidRDefault="00BB3019">
      <w:r>
        <w:t>R</w:t>
      </w:r>
      <w:r w:rsidR="00A52EE1">
        <w:t xml:space="preserve">andom forest models that included landscape metrics and traditional </w:t>
      </w:r>
      <w:r w:rsidR="0088577E">
        <w:t>variable</w:t>
      </w:r>
      <w:r w:rsidR="00A52EE1">
        <w:t xml:space="preserve">s </w:t>
      </w:r>
      <w:r w:rsidR="0088577E">
        <w:t xml:space="preserve">as independent variables </w:t>
      </w:r>
      <w:r w:rsidR="00A52EE1">
        <w:t xml:space="preserve">were </w:t>
      </w:r>
      <w:r w:rsidR="005B4190">
        <w:t>usually</w:t>
      </w:r>
      <w:r>
        <w:t xml:space="preserve"> </w:t>
      </w:r>
      <w:r w:rsidR="00A52EE1">
        <w:t xml:space="preserve">the most accurate at </w:t>
      </w:r>
      <w:r w:rsidR="00F80B97">
        <w:t>modelling</w:t>
      </w:r>
      <w:r w:rsidR="00A52EE1">
        <w:t xml:space="preserve"> cropland expansion at both global- and continental-scales, although the differences in accuracy were small. The traditional </w:t>
      </w:r>
      <w:r w:rsidR="0088577E">
        <w:lastRenderedPageBreak/>
        <w:t>variable</w:t>
      </w:r>
      <w:r w:rsidR="00A52EE1">
        <w:t xml:space="preserve">s that we used to model LULC change were found previously to perform poorly when </w:t>
      </w:r>
      <w:r w:rsidR="0044369A">
        <w:t>modelling</w:t>
      </w:r>
      <w:r w:rsidR="00A52EE1">
        <w:t xml:space="preserve"> cropland expansion events from 1992 to 2015 </w:t>
      </w:r>
      <w:r w:rsidR="00DA2F92">
        <w:fldChar w:fldCharType="begin"/>
      </w:r>
      <w:r w:rsidR="00FC2E85">
        <w:instrText xml:space="preserve"> ADDIN ZOTERO_ITEM CSL_CITATION {"citationID":"Qt9uh5Zi","properties":{"formattedCitation":"(Eigenbrod et al., 2020)","plainCitation":"(Eigenbrod et al., 2020)","noteIndex":0},"citationItems":[{"id":1402,"uris":["http://zotero.org/users/10985147/items/BNSVFMLE"],"itemData":{"id":1402,"type":"article-journal","abstract":"The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H."}],"issued":{"date-parts":[["2020",10]]}}}],"schema":"https://github.com/citation-style-language/schema/raw/master/csl-citation.json"} </w:instrText>
      </w:r>
      <w:r w:rsidR="00DA2F92">
        <w:fldChar w:fldCharType="separate"/>
      </w:r>
      <w:r w:rsidR="00550ED7" w:rsidRPr="00550ED7">
        <w:t>(Eigenbrod et al., 2020)</w:t>
      </w:r>
      <w:r w:rsidR="00DA2F92">
        <w:fldChar w:fldCharType="end"/>
      </w:r>
      <w:r w:rsidR="00A52EE1">
        <w:t xml:space="preserve">, so including landscape metrics may add further spatial context or data on cropland expansion drivers compared to traditional </w:t>
      </w:r>
      <w:r w:rsidR="0088577E">
        <w:t>variable</w:t>
      </w:r>
      <w:r w:rsidR="00A52EE1">
        <w:t xml:space="preserve">s alone. </w:t>
      </w:r>
      <w:r w:rsidR="00AD5B29">
        <w:t>However,</w:t>
      </w:r>
      <w:r w:rsidR="00AD5B29" w:rsidRPr="00AD5B29">
        <w:t xml:space="preserve"> </w:t>
      </w:r>
      <w:r w:rsidR="00AD5B29">
        <w:t xml:space="preserve">increasing the threshold used to identify net change led to considerable declines in model accuracy, suggesting that our random forest models were poor at </w:t>
      </w:r>
      <w:r w:rsidR="0044369A">
        <w:t>modelling</w:t>
      </w:r>
      <w:r w:rsidR="00AD5B29">
        <w:t xml:space="preserve"> extreme change events. N</w:t>
      </w:r>
      <w:r w:rsidR="00A52EE1">
        <w:t xml:space="preserve">ew LULC areas often occur adjacent to patches of the same LULC class </w:t>
      </w:r>
      <w:r w:rsidR="00DA2F92">
        <w:fldChar w:fldCharType="begin"/>
      </w:r>
      <w:r w:rsidR="00FC2E85">
        <w:instrText xml:space="preserve"> ADDIN ZOTERO_ITEM CSL_CITATION {"citationID":"vmfOnfBn","properties":{"formattedCitation":"(Dendoncker et al., 2007; van Vliet et al., 2013)","plainCitation":"(Dendoncker et al., 2007; van Vliet et al., 2013)","noteIndex":0},"citationItems":[{"id":1567,"uris":["http://zotero.org/users/10985147/items/VKUXLKFL"],"itemData":{"id":1567,"type":"article-journal","abstract":"When statistical analyses of land use drivers are performed, they rarely deal explicitly with spatial autocorrelation. Most studies are undertaken on autocorrelation-free data samples. By doing this, a great deal of information that is present in the dataset is lost. This paper presents a spatially explicit, cross-sectional analysis of land use drivers in Belgium. It is shown that purely regressive logistic models only identify trends or global relationships between socio-economic or physico-climatic drivers and the precise location of each land use type. However, when the goal of a study is to obtain the best statistical model fit of land use distribution, a purely autoregressive model is appropriate. It is shown that this type of model deals appropriately with spatial autocorrelation as measured by the lack of autocorrelation in the deviance residuals of the model. More specifically, three types of autoregressive models are compared: (1) a set of binomial logistic regression models (one for each modelled land use) accounting only for the proportion of the modelled land use within the neighbourhood of a cell; (2) a multinomial autologistic regression that accounts for the composition of a cell's neighbourhood; and (3) a state-of-the-art Bayesian Maximum Entropy (BME) based model that accounts fully for the spatial organization of the land uses within the neighbourhood of a cell. The comparative analysis shows that the BME approach has no advantages over the other methods, for our specific application, but that accounting for the composition of a cell's neighbourhood is essential in obtaining an optimal fit. © 2006 Elsevier Ltd. All rights reserved.","container-title":"Computers, Environment and Urban Systems","DOI":"10.1016/j.compenvurbsys.2006.06.004","ISSN":"01989715","issue":"2","journalAbbreviation":"Comput. Environ. Urban Syst.","page":"188-205","title":"Spatial analysis and modelling of land use distributions in Belgium","volume":"31","author":[{"family":"Dendoncker","given":"Nicolas"},{"family":"Rounsevell","given":"Mark"},{"family":"Bogaert","given":"Patrick"}],"issued":{"date-parts":[["2007"]]}}},{"id":1507,"uris":["http://zotero.org/users/10985147/items/RQVEZN89"],"itemData":{"id":1507,"type":"article-journal","abstract":"Many spatially explicit land use models include the neighbourhood effect as a driver of land use changes. The neighbourhood effect includes the inertia of land uses over time, the conversion from one land use to another, and the attraction or repulsion of surrounding land uses. The neighbourhood effect is expressed in the neighbourhood rules, but calibration of the neighbourhood rules is not straightforward. This paper aims to characterise the neighbourhood effect of observed land use changes and use this information to improve the calibration of land use models. We measured the over- and underrepresentation of land uses in the neighbourhood of observed land use changes using a modified version of the enrichment factor. Enrichment factors of observed land use changes in Germany between 1990 and 2000 indicate that the neighbourhood effect exists. This suggests that it is appropriate to use neighbourhood rules to simulate urban land use changes. Observed enrichment factors were used to calibrate a land use model for Germany from 1990 to 2000 and the obtained neighbourhood rules were validated independently from 2000 to 2006. The results show that both the allocation accuracy and the pattern accuracy of the land use model improved for the calibration period, as well as for the independent validation period. This indicates that enrichment factors can be used to improve the calibration of the neighbourhood rules in land use models. © 2013 Elsevier Ltd.","container-title":"Computers, Environment and Urban Systems","DOI":"10.1016/j.compenvurbsys.2013.03.006","ISSN":"01989715","journalAbbreviation":"Comput. Environ. Urban Syst.","note":"publisher: Elsevier Ltd","page":"55-64","title":"Measuring the neighbourhood effect to calibrate land use models","volume":"41","author":[{"family":"Vliet","given":"Jasper","non-dropping-particle":"van"},{"family":"Naus","given":"Nick"},{"family":"Lammeren","given":"Ron J.A.","non-dropping-particle":"van"},{"family":"Bregt","given":"Arnold K."},{"family":"Hurkens","given":"Jelle"},{"family":"Delden","given":"Hedwig","non-dropping-particle":"van"}],"issued":{"date-parts":[["2013"]]}}}],"schema":"https://github.com/citation-style-language/schema/raw/master/csl-citation.json"} </w:instrText>
      </w:r>
      <w:r w:rsidR="00DA2F92">
        <w:fldChar w:fldCharType="separate"/>
      </w:r>
      <w:r w:rsidR="00550ED7" w:rsidRPr="00550ED7">
        <w:t>(Dendoncker et al., 2007; van Vliet et al., 2013)</w:t>
      </w:r>
      <w:r w:rsidR="00DA2F92">
        <w:fldChar w:fldCharType="end"/>
      </w:r>
      <w:r w:rsidR="00A52EE1">
        <w:t xml:space="preserve">, so using landscape metrics such as </w:t>
      </w:r>
      <w:r w:rsidR="00B9392C">
        <w:t>class area</w:t>
      </w:r>
      <w:r w:rsidR="00A52EE1">
        <w:t xml:space="preserve"> and </w:t>
      </w:r>
      <w:r w:rsidR="00B9392C">
        <w:t>number of patches</w:t>
      </w:r>
      <w:r w:rsidR="00A52EE1">
        <w:t xml:space="preserve"> </w:t>
      </w:r>
      <w:r w:rsidR="00255DF3">
        <w:t xml:space="preserve">to </w:t>
      </w:r>
      <w:r w:rsidR="0044369A">
        <w:t>model</w:t>
      </w:r>
      <w:r w:rsidR="00255DF3">
        <w:t xml:space="preserve"> LULC change </w:t>
      </w:r>
      <w:r w:rsidR="00A52EE1">
        <w:t xml:space="preserve">might account for the neighbourhood effect and enable the placement of LULC change near existing LULC patches of the same class. </w:t>
      </w:r>
      <w:r w:rsidR="00DF79F6" w:rsidRPr="00D5079D">
        <w:t xml:space="preserve">Indeed, </w:t>
      </w:r>
      <w:r w:rsidR="00E040C5" w:rsidRPr="00D5079D">
        <w:t xml:space="preserve">existing </w:t>
      </w:r>
      <w:r w:rsidR="00DD3F1B" w:rsidRPr="00D5079D">
        <w:t xml:space="preserve">land use models </w:t>
      </w:r>
      <w:r w:rsidR="00E92C01" w:rsidRPr="00D5079D">
        <w:t xml:space="preserve">frequently </w:t>
      </w:r>
      <w:r w:rsidR="00DD3F1B" w:rsidRPr="00D5079D">
        <w:t xml:space="preserve">use the area of </w:t>
      </w:r>
      <w:r w:rsidR="005566F0" w:rsidRPr="00D5079D">
        <w:t xml:space="preserve">or proximity to </w:t>
      </w:r>
      <w:r w:rsidR="00B9392C" w:rsidRPr="00D5079D">
        <w:t xml:space="preserve">different </w:t>
      </w:r>
      <w:r w:rsidR="00DD3F1B" w:rsidRPr="00D5079D">
        <w:t xml:space="preserve">LULC classes to represent the neighbourhood effect </w:t>
      </w:r>
      <w:r w:rsidR="005566F0" w:rsidRPr="00D5079D">
        <w:fldChar w:fldCharType="begin"/>
      </w:r>
      <w:r w:rsidR="00FC2E85">
        <w:instrText xml:space="preserve"> ADDIN ZOTERO_ITEM CSL_CITATION {"citationID":"hxhQooEK","properties":{"formattedCitation":"(Eigenbrod et al., 2020; Millington et al., 2021)","plainCitation":"(Eigenbrod et al., 2020; Millington et al., 2021)","noteIndex":0},"citationItems":[{"id":1402,"uris":["http://zotero.org/users/10985147/items/BNSVFMLE"],"itemData":{"id":1402,"type":"article-journal","abstract":"The increasing expansion of cropland is major driver of global carbon emissions and biodiversity loss. However, predicting plausible future global distributions of croplands remains challenging. Here, we show that, in general, existing global data aligned with classical economic theories of expansion explain the current (1992) global extent of cropland reasonably well, but not recent expansion (1992–2015). Deviations from models of cropland extent in 1992 (‘‘frontierness’’) can be used to improve global models of recent expansion, most likely as these deviations are a proxy for cropland expansion under frontier conditions where classical economic theories of expansion are less applicable. Frontierness is insensitive to the land cover dataset used and is particularly effective in improving models that include mosaic land cover classes and the largely smallholder-driven frontier expansion occurring in such areas. Our ﬁndings have important implications as the frontierness approach offers a straightforward way to improve global land use change models.","container-title":"One Earth","DOI":"10.1016/j.oneear.2020.09.006","ISSN":"25903322","issue":"4","journalAbbreviation":"One Earth","language":"en","page":"504-514","source":"DOI.org (Crossref)","title":"Identifying Agricultural Frontiers for Modeling Global Cropland Expansion","volume":"3","author":[{"family":"Eigenbrod","given":"Felix"},{"family":"Beckmann","given":"Michael"},{"family":"Dunnett","given":"Sebastian"},{"family":"Graham","given":"Laura"},{"family":"Holland","given":"Robert A."},{"family":"Meyfroidt","given":"Patrick"},{"family":"Seppelt","given":"Ralf"},{"family":"Song","given":"Xiao-Peng"},{"family":"Spake","given":"Rebecca"},{"family":"Václavík","given":"Tomáš"},{"family":"Verburg","given":"Peter H."}],"issued":{"date-parts":[["2020",10]]}}},{"id":1532,"uris":["http://zotero.org/users/10985147/items/CJ2VDYPN"],"itemData":{"id":1532,"type":"article-journal","abstract":"Increasing global demand for agricultural commodities has driven local land use/cover change (LUCC) and agricultural production across Brazil during the 21st century. Modelling tools are needed to help understand the range of possible outcomes due to these ‘telecoupled’ global-to-local relationships, given future political, eco­ nomic and environmental uncertainties. Here, we present CRAFTY-Brazil, a LUCC model representing production of multiple agricultural commodities that accounts for spatially explicit (e.g., land access) and temporally contingent (e.g., agricultural debt) processes of importance across our nearly four million km2 Brazilian study area. We calibrate the model calibration for 2001–2018, and run tests and scenarios about commodity demand, agricultural yields, climate change, and policy decisions for 2019–2035. Results indicate greater confidence in modelled time-series than spatial allocation. We discuss how our approach might be best understood to be agency-based, rather than agent-based, and highlight questions more and less appropriate for this approach.","container-title":"Environmental Modelling &amp; Software","DOI":"10.1016/j.envsoft.2021.105024","ISSN":"13648152","journalAbbreviation":"Environ. Model. Softw.","language":"en","page":"105024","source":"DOI.org (Crossref)","title":"Modelling drivers of Brazilian agricultural change in a telecoupled world","volume":"139","author":[{"family":"Millington","given":"James D.A."},{"family":"Katerinchuk","given":"Valeri"},{"family":"Silva","given":"Ramon Felipe Bicudo","non-dropping-particle":"da"},{"family":"Castro Victoria","given":"Daniel","non-dropping-particle":"de"},{"family":"Batistella","given":"Mateus"}],"issued":{"date-parts":[["2021",5]]}}}],"schema":"https://github.com/citation-style-language/schema/raw/master/csl-citation.json"} </w:instrText>
      </w:r>
      <w:r w:rsidR="005566F0" w:rsidRPr="00D5079D">
        <w:fldChar w:fldCharType="separate"/>
      </w:r>
      <w:r w:rsidR="00CC509F" w:rsidRPr="00CC509F">
        <w:t>(Eigenbrod et al., 2020; Millington et al., 2021)</w:t>
      </w:r>
      <w:r w:rsidR="005566F0" w:rsidRPr="00D5079D">
        <w:fldChar w:fldCharType="end"/>
      </w:r>
      <w:r w:rsidR="00DD3F1B" w:rsidRPr="00D5079D">
        <w:t>.</w:t>
      </w:r>
    </w:p>
    <w:p w14:paraId="2A6C7327" w14:textId="3F76A23E" w:rsidR="006B3C54" w:rsidRDefault="00A52EE1">
      <w:r>
        <w:t xml:space="preserve">Landscape metrics did not improve the accuracy of random forest models when </w:t>
      </w:r>
      <w:r w:rsidR="0044369A">
        <w:t>modelling</w:t>
      </w:r>
      <w:r>
        <w:t xml:space="preserve"> the occurrence of forest loss </w:t>
      </w:r>
      <w:r w:rsidR="0044369A">
        <w:t xml:space="preserve">at </w:t>
      </w:r>
      <w:r w:rsidR="004C41CB">
        <w:t xml:space="preserve">global extent and </w:t>
      </w:r>
      <w:r>
        <w:t xml:space="preserve">10 km </w:t>
      </w:r>
      <w:r w:rsidR="00301E66">
        <w:t>resolution</w:t>
      </w:r>
      <w:r>
        <w:t xml:space="preserve">. Moreover, traditional </w:t>
      </w:r>
      <w:r w:rsidR="0088577E">
        <w:t>variable</w:t>
      </w:r>
      <w:r>
        <w:t>s performed better in terms of F</w:t>
      </w:r>
      <w:r w:rsidRPr="50F32A99">
        <w:rPr>
          <w:vertAlign w:val="subscript"/>
        </w:rPr>
        <w:t>1</w:t>
      </w:r>
      <w:r>
        <w:t xml:space="preserve"> scores at </w:t>
      </w:r>
      <w:r w:rsidR="0044369A">
        <w:t>modelling</w:t>
      </w:r>
      <w:r>
        <w:t xml:space="preserve"> forest loss compared to cropland expansion across all models, despite missing drivers of forest loss such as wildfire and wood extraction </w:t>
      </w:r>
      <w:r>
        <w:fldChar w:fldCharType="begin"/>
      </w:r>
      <w:r>
        <w:instrText xml:space="preserve"> ADDIN ZOTERO_ITEM CSL_CITATION {"citationID":"qSO11M4B","properties":{"formattedCitation":"(Curtis et al., 2018; Geist &amp; Lambin, 2002)","plainCitation":"(Curtis et al., 2018; Geist &amp; Lambin, 2002)","noteIndex":0},"citationItems":[{"id":1404,"uris":["http://zotero.org/users/10985147/items/QPMQI3VT"],"itemData":{"id":1404,"type":"article-journal","abstract":"Mapping global deforestation patterns\n            \n              Forest loss is being driven by various factors, including commodity production, forestry, agriculture, wildfire, and urbanization. Curtis\n              et al.\n              used high-resolution Google Earth imagery to map and classify global forest loss since 2001. Just over a quarter of global forest loss is due to deforestation through permanent land use change for the production of commodities, including beef, soy, palm oil, and wood fiber. Despite regional differences and efforts by governments, conservationists, and corporations to stem the losses, the overall rate of commodity-driven deforestation has not declined since 2001.\n            \n            \n              Science\n              , this issue p.\n              1108\n            \n          , \n            A high-resolution global map enables a classification of the main drivers of forest loss.\n          , \n            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year.","container-title":"Science","DOI":"10.1126/science.aau3445","ISSN":"0036-8075, 1095-9203","issue":"6407","journalAbbreviation":"Science","language":"en","page":"1108-1111","source":"DOI.org (Crossref)","title":"Classifying drivers of global forest loss","volume":"361","author":[{"family":"Curtis","given":"Philip G."},{"family":"Slay","given":"Christy M."},{"family":"Harris","given":"Nancy L."},{"family":"Tyukavina","given":"Alexandra"},{"family":"Hansen","given":"Matthew C."}],"issued":{"date-parts":[["2018",9,14]]}}},{"id":1397,"uris":["http://zotero.org/users/10985147/items/RIDWLGZ2"],"itemData":{"id":1397,"type":"article-journal","container-title":"BioScience","DOI":"10.1641/0006-3568(2002)052[0143:PCAUDF]2.0.CO;2","ISSN":"0006-3568","issue":"2","journalAbbreviation":"BioScience","language":"en","page":"143-150","source":"DOI.org (Crossref)","title":"Proximate Causes and Underlying Driving Forces of Tropical Deforestation: Tropical forests are disappearing as the result of many pressures, both local and regional, acting in various combinations in different geographical locations","volume":"52","author":[{"family":"Geist","given":"Helmut J."},{"family":"Lambin","given":"Eric F."}],"issued":{"date-parts":[["2002"]]}}}],"schema":"https://github.com/citation-style-language/schema/raw/master/csl-citation.json"} </w:instrText>
      </w:r>
      <w:r>
        <w:fldChar w:fldCharType="separate"/>
      </w:r>
      <w:r w:rsidR="00550ED7">
        <w:t>(Curtis et al., 2018; Geist &amp; Lambin, 2002)</w:t>
      </w:r>
      <w:r>
        <w:fldChar w:fldCharType="end"/>
      </w:r>
      <w:r>
        <w:t xml:space="preserve">. Therefore, the traditional </w:t>
      </w:r>
      <w:r w:rsidR="0088577E">
        <w:t>variable</w:t>
      </w:r>
      <w:r>
        <w:t>s employed here may be highly related to forest loss within 10 km</w:t>
      </w:r>
      <w:r w:rsidR="00301E66">
        <w:t xml:space="preserve"> </w:t>
      </w:r>
      <w:r w:rsidR="00C826DB">
        <w:t xml:space="preserve">resolution </w:t>
      </w:r>
      <w:r w:rsidR="00301E66">
        <w:t>pixel</w:t>
      </w:r>
      <w:r>
        <w:t xml:space="preserve">s, </w:t>
      </w:r>
      <w:r w:rsidR="5F2CBE42">
        <w:t>and</w:t>
      </w:r>
      <w:r>
        <w:t xml:space="preserve"> including landscape metrics did not provide further information to the random forest models.</w:t>
      </w:r>
    </w:p>
    <w:p w14:paraId="2A6C7328" w14:textId="332B0E7C" w:rsidR="006B3C54" w:rsidRPr="00E96C43" w:rsidRDefault="00A52EE1">
      <w:r>
        <w:t xml:space="preserve">Although the trends in the best-performing random forest models </w:t>
      </w:r>
      <w:r w:rsidR="00BA62C8">
        <w:t>of</w:t>
      </w:r>
      <w:r>
        <w:t xml:space="preserve"> LULC change were generally the same at continental- and global-scales, there were a few exceptions. For instance, including landscape metrics improved model accuracy for </w:t>
      </w:r>
      <w:r w:rsidR="0044369A">
        <w:t>modelling</w:t>
      </w:r>
      <w:r>
        <w:t xml:space="preserve"> forest loss in 10 km </w:t>
      </w:r>
      <w:r w:rsidR="00C826DB">
        <w:t xml:space="preserve">resolution </w:t>
      </w:r>
      <w:r w:rsidR="00301E66">
        <w:t>pixel</w:t>
      </w:r>
      <w:r>
        <w:t xml:space="preserve">s in Europe and North America only. Thus, the drivers </w:t>
      </w:r>
      <w:r w:rsidR="00980F38">
        <w:t xml:space="preserve">and spatial determinants </w:t>
      </w:r>
      <w:r>
        <w:t xml:space="preserve">of forest loss in Europe and North America may be different to those in other continents. For example, </w:t>
      </w:r>
      <w:r>
        <w:fldChar w:fldCharType="begin"/>
      </w:r>
      <w:r>
        <w:instrText xml:space="preserve"> ADDIN ZOTERO_ITEM CSL_CITATION {"citationID":"lWkaGsq9","properties":{"formattedCitation":"(Curtis et al., 2018)","plainCitation":"(Curtis et al., 2018)","dontUpdate":true,"noteIndex":0},"citationItems":[{"id":1404,"uris":["http://zotero.org/users/10985147/items/QPMQI3VT"],"itemData":{"id":1404,"type":"article-journal","abstract":"Mapping global deforestation patterns\n            \n              Forest loss is being driven by various factors, including commodity production, forestry, agriculture, wildfire, and urbanization. Curtis\n              et al.\n              used high-resolution Google Earth imagery to map and classify global forest loss since 2001. Just over a quarter of global forest loss is due to deforestation through permanent land use change for the production of commodities, including beef, soy, palm oil, and wood fiber. Despite regional differences and efforts by governments, conservationists, and corporations to stem the losses, the overall rate of commodity-driven deforestation has not declined since 2001.\n            \n            \n              Science\n              , this issue p.\n              1108\n            \n          , \n            A high-resolution global map enables a classification of the main drivers of forest loss.\n          , \n            Global maps of forest loss depict the scale and magnitude of forest disturbance, yet companies, governments, and nongovernmental organizations need to distinguish permanent conversion (i.e., deforestation) from temporary loss from forestry or wildfire. Using satellite imagery, we developed a forest loss classification model to determine a spatial attribution of forest disturbance to the dominant drivers of land cover and land use change over the period 2001 to 2015. Our results indicate that 27% of global forest loss can be attributed to deforestation through permanent land use change for commodity production. The remaining areas maintained the same land use over 15 years; in those areas, loss was attributed to forestry (26%), shifting agriculture (24%), and wildfire (23%). Despite corporate commitments, the rate of commodity-driven deforestation has not declined. To end deforestation, companies must eliminate 5 million hectares of conversion from supply chains each year.","container-title":"Science","DOI":"10.1126/science.aau3445","ISSN":"0036-8075, 1095-9203","issue":"6407","journalAbbreviation":"Science","language":"en","page":"1108-1111","source":"DOI.org (Crossref)","title":"Classifying drivers of global forest loss","volume":"361","author":[{"family":"Curtis","given":"Philip G."},{"family":"Slay","given":"Christy M."},{"family":"Harris","given":"Nancy L."},{"family":"Tyukavina","given":"Alexandra"},{"family":"Hansen","given":"Matthew C."}],"issued":{"date-parts":[["2018",9,14]]}}}],"schema":"https://github.com/citation-style-language/schema/raw/master/csl-citation.json"} </w:instrText>
      </w:r>
      <w:r>
        <w:fldChar w:fldCharType="separate"/>
      </w:r>
      <w:r w:rsidR="00DA2F92">
        <w:t xml:space="preserve">Curtis et al. </w:t>
      </w:r>
      <w:r>
        <w:t>(</w:t>
      </w:r>
      <w:r w:rsidR="00DA2F92">
        <w:t>2018)</w:t>
      </w:r>
      <w:r>
        <w:fldChar w:fldCharType="end"/>
      </w:r>
      <w:r>
        <w:t xml:space="preserve">, found that large-scale forestry operations and wildfire (which were not included in our random forest models) were the major drivers of forest loss in North America from 2001 to 2015, whereas commodity-driven deforestation, such as for agriculture, was a key driver in Latin America and Southeast Asia and might be better captured by the traditional </w:t>
      </w:r>
      <w:r w:rsidR="0088577E">
        <w:t>variable</w:t>
      </w:r>
      <w:r>
        <w:t xml:space="preserve">s used here. Landscape metrics performed very poorly compared to traditional </w:t>
      </w:r>
      <w:r w:rsidR="0088577E">
        <w:t>variable</w:t>
      </w:r>
      <w:r>
        <w:t xml:space="preserve">s at </w:t>
      </w:r>
      <w:r w:rsidR="00473B3A">
        <w:t>modelling</w:t>
      </w:r>
      <w:r>
        <w:t xml:space="preserve"> both cropland expansion and forest loss in 10 km </w:t>
      </w:r>
      <w:r w:rsidR="00C826DB">
        <w:t xml:space="preserve">resolution </w:t>
      </w:r>
      <w:r w:rsidR="00301E66">
        <w:t>pixel</w:t>
      </w:r>
      <w:r>
        <w:t>s in Oceania</w:t>
      </w:r>
      <w:r w:rsidR="00786E35" w:rsidRPr="50F32A99">
        <w:rPr>
          <w:color w:val="4F81BD" w:themeColor="accent1"/>
        </w:rPr>
        <w:t xml:space="preserve">. </w:t>
      </w:r>
      <w:r w:rsidR="00786E35">
        <w:t>Australia</w:t>
      </w:r>
      <w:r w:rsidR="7000BB16">
        <w:t>,</w:t>
      </w:r>
      <w:r w:rsidR="00786E35">
        <w:t xml:space="preserve"> in particular</w:t>
      </w:r>
      <w:r w:rsidR="78A14355">
        <w:t>,</w:t>
      </w:r>
      <w:r w:rsidR="00786E35">
        <w:t xml:space="preserve"> has very large farm and field</w:t>
      </w:r>
      <w:r w:rsidR="00175B0F">
        <w:t xml:space="preserve"> sizes </w:t>
      </w:r>
      <w:r>
        <w:fldChar w:fldCharType="begin"/>
      </w:r>
      <w:r>
        <w:instrText xml:space="preserve"> ADDIN ZOTERO_ITEM CSL_CITATION {"citationID":"7ZPeU4Zu","properties":{"formattedCitation":"(Lesiv et al., 2019; Lowder et al., 2016)","plainCitation":"(Lesiv et al., 2019; Lowder et al., 2016)","noteIndex":0},"citationItems":[{"id":717,"uris":["http://zotero.org/users/10985147/items/35NPNNHF"],"itemData":{"id":717,"type":"article-journal","abstract":"Abstract\n            There is an increasing evidence that smallholder farms contribute substantially to food production globally, yet spatially explicit data on agricultural field sizes are currently lacking. Automated field size delineation using remote sensing or the estimation of average farm size at subnational level using census data are two approaches that have been used. However, both have limitations, for example, automatic field size delineation using remote sensing has not yet been implemented at a global scale while the spatial resolution is very coarse when using census data. This paper demonstrates a unique approach to quantifying and mapping agricultural field size globally using crowdsourcing. A campaign was run in June 2017, where participants were asked to visually interpret very high resolution satellite imagery from Google Maps and Bing using the Geo</w:instrText>
      </w:r>
      <w:r w:rsidRPr="50F32A99">
        <w:rPr>
          <w:rFonts w:ascii="Cambria Math" w:hAnsi="Cambria Math" w:cs="Cambria Math"/>
        </w:rPr>
        <w:instrText>‐</w:instrText>
      </w:r>
      <w:r>
        <w:instrText>Wiki application. During the campaign, participants collected field size data for 130 K unique locations around the globe. Using this sample, we have produced the most accurate global field size map to date and estimated the percentage of different field sizes, ranging from very small to very large, in agricultural areas at global, continental, and national levels. The results show that smallholder farms occupy up to 40% of agricultural areas globally, which means that, potentially, there are many more smallholder farms in comparison with the two different current global estimates of 12% and 24%. The global field size map and the crowdsourced data set are openly available and can be used for integrated assessment modeling, comparative studies of agricultural dynamics across different contexts, for training and validation of remote sensing field size delineation, and potential contributions to the Sustainable Development Goal of Ending hunger, achieve food security and improved nutrition and promote sustainable agriculture.","container-title":"Global Change Biology","DOI":"10.1111/gcb.14492","ISSN":"1354-1013, 1365-2486","issue":"1","journalAbbreviation":"Glob. Change Biol.","language":"en","page":"174-186","source":"DOI.org (Crossref)","title":"Estimating the global distribution of field size using crowdsourcing","volume":"25","author":[{"family":"Lesiv","given":"Myroslava"},{"family":"Laso Bayas","given":"Juan Carlos"},{"family":"See","given":"Linda"},{"family":"Duerauer","given":"Martina"},{"family":"Dahlia","given":"Domian"},{"family":"Durando","given":"Neal"},{"family":"Hazarika","given":"Rubul"},{"family":"Kumar Sahariah","given":"Parag"},{"family":"Vakolyuk","given":"Mar'yana"},{"family":"Blyshchyk","given":"Volodymyr"},{"family":"Bilous","given":"Andrii"},{"family":"Perez</w:instrText>
      </w:r>
      <w:r w:rsidRPr="50F32A99">
        <w:rPr>
          <w:rFonts w:ascii="Cambria Math" w:hAnsi="Cambria Math" w:cs="Cambria Math"/>
        </w:rPr>
        <w:instrText>‐</w:instrText>
      </w:r>
      <w:r>
        <w:instrText xml:space="preserve">Hoyos","given":"Ana"},{"family":"Gengler","given":"Sarah"},{"family":"Prestele","given":"Reinhard"},{"family":"Bilous","given":"Svitlana"},{"family":"Akhtar","given":"Ibrar Ul Hassan"},{"family":"Singha","given":"Kuleswar"},{"family":"Choudhury","given":"Sochin Boro"},{"family":"Chetri","given":"Tilok"},{"family":"Malek","given":"Žiga"},{"family":"Bungnamei","given":"Khangsembou"},{"family":"Saikia","given":"Anup"},{"family":"Sahariah","given":"Dhrubajyoti"},{"family":"Narzary","given":"William"},{"family":"Danylo","given":"Olha"},{"family":"Sturn","given":"Tobias"},{"family":"Karner","given":"Mathias"},{"family":"McCallum","given":"Ian"},{"family":"Schepaschenko","given":"Dmitry"},{"family":"Moltchanova","given":"Elena"},{"family":"Fraisl","given":"Dilek"},{"family":"Moorthy","given":"Inian"},{"family":"Fritz","given":"Steffen"}],"issued":{"date-parts":[["2019",1]]}}},{"id":2613,"uris":["http://zotero.org/users/10985147/items/IMEEVXTZ"],"itemData":{"id":2613,"type":"article-journal","container-title":"World Development","DOI":"10.1016/j.worlddev.2015.10.041","ISSN":"0305-750X","journalAbbreviation":"World Dev.","language":"en","license":"https://www.elsevier.com/tdm/userlicense/1.0/","note":"publisher: Elsevier BV","page":"16-29","source":"Crossref","title":"The Number, Size, and Distribution of Farms, Smallholder Farms, and Family Farms Worldwide","volume":"87","author":[{"family":"Lowder","given":"Sarah K."},{"family":"Skoet","given":"Jakob"},{"family":"Raney","given":"Terri"}],"issued":{"date-parts":[["2016",11]]}}}],"schema":"https://github.com/citation-style-language/schema/raw/master/csl-citation.json"} </w:instrText>
      </w:r>
      <w:r>
        <w:fldChar w:fldCharType="separate"/>
      </w:r>
      <w:r w:rsidR="00550ED7">
        <w:t>(Lesiv et al., 2019; Lowder et al., 2016)</w:t>
      </w:r>
      <w:r>
        <w:fldChar w:fldCharType="end"/>
      </w:r>
      <w:r w:rsidR="00786E35">
        <w:t xml:space="preserve">, </w:t>
      </w:r>
      <w:r w:rsidR="000B3CD3">
        <w:t xml:space="preserve">hence landscape </w:t>
      </w:r>
      <w:r w:rsidR="00F010C0">
        <w:t xml:space="preserve">metrics </w:t>
      </w:r>
      <w:r w:rsidR="00376054">
        <w:t xml:space="preserve">calculated </w:t>
      </w:r>
      <w:r w:rsidR="00F010C0">
        <w:t xml:space="preserve">within </w:t>
      </w:r>
      <w:r w:rsidR="000B3CD3">
        <w:t xml:space="preserve">10 km </w:t>
      </w:r>
      <w:r w:rsidR="00C826DB">
        <w:t xml:space="preserve">resolution </w:t>
      </w:r>
      <w:r w:rsidR="00C90D5F">
        <w:t>pixel</w:t>
      </w:r>
      <w:r w:rsidR="00F010C0">
        <w:t>s may not be relevant to the scale on which LULC decisions are made in Oceania.</w:t>
      </w:r>
    </w:p>
    <w:p w14:paraId="2A6C7329" w14:textId="139E792A" w:rsidR="006B3C54" w:rsidRDefault="006E12C6">
      <w:r>
        <w:lastRenderedPageBreak/>
        <w:t xml:space="preserve">At a spatial resolution of </w:t>
      </w:r>
      <w:r w:rsidR="00AF48E9">
        <w:t>80</w:t>
      </w:r>
      <w:r>
        <w:t xml:space="preserve"> km, </w:t>
      </w:r>
      <w:r w:rsidR="00D43B83">
        <w:t xml:space="preserve">the use of landscape metrics </w:t>
      </w:r>
      <w:r w:rsidR="00F23D87">
        <w:t>as independent variables alone almost always generated more accurate model performance compared to using traditional variables only</w:t>
      </w:r>
      <w:r w:rsidR="00255E51">
        <w:t>, suggesting that metrics may be more useful for modelling LULC change at coarser resolutions (</w:t>
      </w:r>
      <w:r w:rsidR="00253284">
        <w:t>Figure 2 and Figure 4). Moreover, l</w:t>
      </w:r>
      <w:r w:rsidR="00A52EE1">
        <w:t xml:space="preserve">andscape metrics were usually amongst the five most important </w:t>
      </w:r>
      <w:r w:rsidR="0088577E">
        <w:t>independent variable</w:t>
      </w:r>
      <w:r w:rsidR="00A52EE1">
        <w:t>s in models of LULC change</w:t>
      </w:r>
      <w:r w:rsidR="00C90D5F">
        <w:t xml:space="preserve"> with a spatial resolution of</w:t>
      </w:r>
      <w:r w:rsidR="00A52EE1">
        <w:t xml:space="preserve"> </w:t>
      </w:r>
      <w:r w:rsidR="00AF48E9">
        <w:t>80</w:t>
      </w:r>
      <w:r w:rsidR="00A52EE1">
        <w:t xml:space="preserve"> km</w:t>
      </w:r>
      <w:r w:rsidR="004C6181">
        <w:t>,</w:t>
      </w:r>
      <w:r w:rsidR="00A52EE1">
        <w:t xml:space="preserve"> but not in thos</w:t>
      </w:r>
      <w:r w:rsidR="00C90D5F">
        <w:t>e with</w:t>
      </w:r>
      <w:r w:rsidR="00A52EE1">
        <w:t xml:space="preserve"> </w:t>
      </w:r>
      <w:r w:rsidR="00C90D5F">
        <w:t xml:space="preserve">a resolution of </w:t>
      </w:r>
      <w:r w:rsidR="00A52EE1">
        <w:t>10 km</w:t>
      </w:r>
      <w:r w:rsidR="002148AD">
        <w:t xml:space="preserve"> </w:t>
      </w:r>
      <w:r w:rsidR="00A52EE1">
        <w:t>(</w:t>
      </w:r>
      <w:r w:rsidR="003D5F39">
        <w:t>Figure 5</w:t>
      </w:r>
      <w:r w:rsidR="00A52EE1">
        <w:t xml:space="preserve"> and </w:t>
      </w:r>
      <w:r w:rsidR="00304C3B">
        <w:t>Supplementary Figure 2</w:t>
      </w:r>
      <w:r w:rsidR="00A52EE1">
        <w:t xml:space="preserve">). Variation in </w:t>
      </w:r>
      <w:r w:rsidR="00441207">
        <w:t xml:space="preserve">the drivers and spatial determinants of </w:t>
      </w:r>
      <w:r w:rsidR="00A52EE1">
        <w:t xml:space="preserve">LULC change across scales might explain the increased importance of landscape metrics in </w:t>
      </w:r>
      <w:r w:rsidR="0044369A">
        <w:t>modelling</w:t>
      </w:r>
      <w:r w:rsidR="00A52EE1">
        <w:t xml:space="preserve"> LULC change in </w:t>
      </w:r>
      <w:r w:rsidR="00AF48E9">
        <w:t>80</w:t>
      </w:r>
      <w:r w:rsidR="00A52EE1">
        <w:t xml:space="preserve"> km </w:t>
      </w:r>
      <w:r w:rsidR="00D565C7">
        <w:t xml:space="preserve">resolution </w:t>
      </w:r>
      <w:r w:rsidR="004D252B">
        <w:t>pixels</w:t>
      </w:r>
      <w:r w:rsidR="00A52EE1">
        <w:t xml:space="preserve">. For instance, anthropogenic factors represented by traditional </w:t>
      </w:r>
      <w:r w:rsidR="0088577E">
        <w:t>variables</w:t>
      </w:r>
      <w:r w:rsidR="00A52EE1">
        <w:t xml:space="preserve"> might be key in driving LULC change at fine scales, while other drivers such as topography, which also shape landscape patterns, could be more important at coarse scales </w:t>
      </w:r>
      <w:r w:rsidR="00DA2F92">
        <w:fldChar w:fldCharType="begin"/>
      </w:r>
      <w:r w:rsidR="00FC2E85">
        <w:instrText xml:space="preserve"> ADDIN ZOTERO_ITEM CSL_CITATION {"citationID":"NQrFrhPT","properties":{"formattedCitation":"(Veldkamp &amp; Lambin, 2001)","plainCitation":"(Veldkamp &amp; Lambin, 2001)","noteIndex":0},"citationItems":[{"id":1505,"uris":["http://zotero.org/users/10985147/items/RXDIW8SB"],"itemData":{"id":1505,"type":"article-journal","abstract":"Land use change modelling, especially if done in a spatially-explicit, integrated and multi-scale manner, is an important technique for the projection of alternative pathways into the future, for conducting experiments that test our understanding of key processes in land use changes. Land-use change models should represent part of the complexity of land use systems. They offer the possibility to test the sensitivity of land use patterns to changes in selected variables. They also allow testing of the stability of linked social and ecological systems, through scenario building. To assess current progress in this ﬁeld, a workshop on spatially explicit land-use/land-cover models was organised within the scope of the Land-Use and Land Cover Change project (LUCC). The main developments presented in this special issue concern progress in: 1) Modelling of drivers of land-use change; 2) modelling of scale dependency of drivers of land use change; 3) modelling progress in predicting location versus quantity of land-use change; 4) the incorporation of biophysical feedbacks in land-use change models. © 2001 Elsevier Science B.V. All rights reserved.","container-title":"Agriculture, Ecosystems &amp; Environment","DOI":"10.1016/S0167-8809(01)00199-2","ISSN":"01678809","issue":"1-3","journalAbbreviation":"Agric. Ecosyst. Environ.","language":"en","page":"1-6","source":"DOI.org (Crossref)","title":"Predicting land-use change","volume":"85","author":[{"family":"Veldkamp","given":"A"},{"family":"Lambin","given":"E.F"}],"issued":{"date-parts":[["2001",6]]}}}],"schema":"https://github.com/citation-style-language/schema/raw/master/csl-citation.json"} </w:instrText>
      </w:r>
      <w:r w:rsidR="00DA2F92">
        <w:fldChar w:fldCharType="separate"/>
      </w:r>
      <w:r w:rsidR="00550ED7" w:rsidRPr="00550ED7">
        <w:t>(Veldkamp &amp; Lambin, 2001)</w:t>
      </w:r>
      <w:r w:rsidR="00DA2F92">
        <w:fldChar w:fldCharType="end"/>
      </w:r>
      <w:r w:rsidR="00A52EE1">
        <w:t xml:space="preserve">. Alternatively, the process of aggregating the traditional </w:t>
      </w:r>
      <w:r w:rsidR="0088577E">
        <w:t>variable</w:t>
      </w:r>
      <w:r w:rsidR="00A52EE1">
        <w:t xml:space="preserve">s to </w:t>
      </w:r>
      <w:r w:rsidR="00AF48E9">
        <w:t>80</w:t>
      </w:r>
      <w:r w:rsidR="00A52EE1">
        <w:t xml:space="preserve"> km </w:t>
      </w:r>
      <w:r w:rsidR="00D565C7">
        <w:t xml:space="preserve">resolution </w:t>
      </w:r>
      <w:r w:rsidR="00A52EE1">
        <w:t xml:space="preserve">for use in random forest models may have caused the loss of relevant information for </w:t>
      </w:r>
      <w:r w:rsidR="0044369A">
        <w:t>modelling</w:t>
      </w:r>
      <w:r w:rsidR="00A52EE1">
        <w:t xml:space="preserve"> LULC change </w:t>
      </w:r>
      <w:r w:rsidR="00DA2F92">
        <w:fldChar w:fldCharType="begin"/>
      </w:r>
      <w:r w:rsidR="00FC2E85">
        <w:instrText xml:space="preserve"> ADDIN ZOTERO_ITEM CSL_CITATION {"citationID":"B3iejeph","properties":{"formattedCitation":"(Lloyd, 2014; Wiens, 1989)","plainCitation":"(Lloyd, 2014; Wiens, 1989)","noteIndex":0},"citationItems":[{"id":1387,"uris":["http://zotero.org/users/10985147/items/HKKG7HUZ"],"itemData":{"id":1387,"type":"chapter","container-title":"Exploring Spatial Scale in Geography","edition":"1","ISBN":"978-1-119-97135-1","language":"en","license":"http://doi.wiley.com/10.1002/tdm_license_1.1","note":"DOI: 10.1002/9781118526729","page":"29-44","publisher":"John Wiley &amp; Sons, Ltd","source":"DOI.org (Crossref)","title":"The Modifiable Areal Unit Problem","URL":"https://onlinelibrary.wiley.com/doi/book/10.1002/9781118526729","author":[{"family":"Lloyd","given":"Christopher D."}],"accessed":{"date-parts":[["2024",10,23]]},"issued":{"date-parts":[["2014",5,2]]}}},{"id":1365,"uris":["http://zotero.org/users/10985147/items/X226UBVF"],"itemData":{"id":1365,"type":"article-journal","container-title":"Functional Ecology","DOI":"10.2307/2389612","ISSN":"02698463","issue":"4","journalAbbreviation":"Funct. Ecol.","page":"385-397","source":"DOI.org (Crossref)","title":"Spatial Scaling in Ecology","volume":"3","author":[{"family":"Wiens","given":"J. A."}],"issued":{"date-parts":[["1989"]]}}}],"schema":"https://github.com/citation-style-language/schema/raw/master/csl-citation.json"} </w:instrText>
      </w:r>
      <w:r w:rsidR="00DA2F92">
        <w:fldChar w:fldCharType="separate"/>
      </w:r>
      <w:r w:rsidR="00550ED7" w:rsidRPr="00550ED7">
        <w:t>(Lloyd, 2014; Wiens, 1989)</w:t>
      </w:r>
      <w:r w:rsidR="00DA2F92">
        <w:fldChar w:fldCharType="end"/>
      </w:r>
      <w:r w:rsidR="00A52EE1">
        <w:t xml:space="preserve">. Overall, </w:t>
      </w:r>
      <w:r w:rsidR="00576832">
        <w:t xml:space="preserve">the </w:t>
      </w:r>
      <w:r w:rsidR="003849B3">
        <w:t xml:space="preserve">higher performance of </w:t>
      </w:r>
      <w:r w:rsidR="0020583C">
        <w:t xml:space="preserve">the </w:t>
      </w:r>
      <w:r w:rsidR="00AF48E9">
        <w:t>80</w:t>
      </w:r>
      <w:r w:rsidR="0020583C">
        <w:t xml:space="preserve"> km resolution </w:t>
      </w:r>
      <w:r w:rsidR="003849B3">
        <w:t xml:space="preserve">random forests </w:t>
      </w:r>
      <w:r w:rsidR="00393E3B">
        <w:t xml:space="preserve">with landscape metrics </w:t>
      </w:r>
      <w:r w:rsidR="004D1E3F">
        <w:t>versus</w:t>
      </w:r>
      <w:r w:rsidR="00393E3B">
        <w:t xml:space="preserve"> traditional variables highlights </w:t>
      </w:r>
      <w:r w:rsidR="00A52EE1">
        <w:t>the</w:t>
      </w:r>
      <w:r w:rsidR="0020583C">
        <w:t xml:space="preserve"> potential of landscape metrics</w:t>
      </w:r>
      <w:r w:rsidR="00A52EE1">
        <w:t xml:space="preserve"> for improving land use models where traditional </w:t>
      </w:r>
      <w:r w:rsidR="0088577E">
        <w:t>variable</w:t>
      </w:r>
      <w:r w:rsidR="00A52EE1">
        <w:t xml:space="preserve">s lack information on LULC drivers or are not available at the same </w:t>
      </w:r>
      <w:r w:rsidR="004D252B">
        <w:t>resolution</w:t>
      </w:r>
      <w:r w:rsidR="00A52EE1">
        <w:t xml:space="preserve"> as the model.</w:t>
      </w:r>
    </w:p>
    <w:p w14:paraId="2A6C732A" w14:textId="7FC08EE8" w:rsidR="006B3C54" w:rsidRDefault="00A52EE1" w:rsidP="7545DAD7">
      <w:r>
        <w:t xml:space="preserve">Furthermore, low variation in landscape patterns within 10 km compared to </w:t>
      </w:r>
      <w:r w:rsidR="00AF48E9">
        <w:t>80</w:t>
      </w:r>
      <w:r>
        <w:t xml:space="preserve"> km </w:t>
      </w:r>
      <w:r w:rsidR="00AF2E28">
        <w:t xml:space="preserve">resolution </w:t>
      </w:r>
      <w:r w:rsidR="00BE1DE5">
        <w:t>pixels</w:t>
      </w:r>
      <w:r>
        <w:t xml:space="preserve"> might explain the decreased importance of landscape metrics in random forest models with </w:t>
      </w:r>
      <w:r w:rsidR="00BE1DE5">
        <w:t>spatial resolution</w:t>
      </w:r>
      <w:r w:rsidR="6244D419">
        <w:t>s</w:t>
      </w:r>
      <w:r>
        <w:t xml:space="preserve"> of 10 km</w:t>
      </w:r>
      <w:r w:rsidR="001F6CA5">
        <w:t xml:space="preserve"> versus </w:t>
      </w:r>
      <w:r w:rsidR="00AF48E9">
        <w:t>80</w:t>
      </w:r>
      <w:r w:rsidR="001F6CA5">
        <w:t xml:space="preserve"> km</w:t>
      </w:r>
      <w:r w:rsidR="009C6E64">
        <w:t xml:space="preserve">. Both </w:t>
      </w:r>
      <w:r w:rsidR="00520C44">
        <w:t xml:space="preserve">spatial resolutions of landscape metrics used in this study were calculated using </w:t>
      </w:r>
      <w:r w:rsidR="00436C0D">
        <w:t xml:space="preserve">underlying </w:t>
      </w:r>
      <w:r w:rsidR="004F486B">
        <w:t>LULC data with the same resolution</w:t>
      </w:r>
      <w:r w:rsidR="1D68ADCA">
        <w:t xml:space="preserve"> (1 </w:t>
      </w:r>
      <w:r w:rsidR="00AF2E28">
        <w:t xml:space="preserve">x 1 </w:t>
      </w:r>
      <w:r w:rsidR="1D68ADCA">
        <w:t>km)</w:t>
      </w:r>
      <w:r w:rsidR="009F60EC">
        <w:t xml:space="preserve">, </w:t>
      </w:r>
      <w:r w:rsidR="004F486B">
        <w:t>hence</w:t>
      </w:r>
      <w:r w:rsidR="009F60EC">
        <w:t xml:space="preserve"> the 10 km</w:t>
      </w:r>
      <w:r w:rsidR="009F60EC" w:rsidRPr="00322EAB">
        <w:t xml:space="preserve"> </w:t>
      </w:r>
      <w:r w:rsidR="00AF2E28">
        <w:t xml:space="preserve">resolution </w:t>
      </w:r>
      <w:r w:rsidR="00AB2E61">
        <w:t xml:space="preserve">pixels </w:t>
      </w:r>
      <w:r w:rsidR="00423F3A">
        <w:t>con</w:t>
      </w:r>
      <w:r w:rsidR="0090445C">
        <w:t>tained</w:t>
      </w:r>
      <w:r w:rsidR="00AB2E61">
        <w:t xml:space="preserve"> </w:t>
      </w:r>
      <w:r w:rsidR="0002424A">
        <w:t xml:space="preserve">less data and had </w:t>
      </w:r>
      <w:r w:rsidR="00AB2E61">
        <w:t xml:space="preserve">lower spatial heterogeneity compared to the larger </w:t>
      </w:r>
      <w:r w:rsidR="00AF48E9">
        <w:t>80</w:t>
      </w:r>
      <w:r w:rsidR="00AB2E61">
        <w:t xml:space="preserve"> km </w:t>
      </w:r>
      <w:r w:rsidR="00AF2E28">
        <w:t xml:space="preserve">resolution </w:t>
      </w:r>
      <w:r w:rsidR="00AB2E61">
        <w:t>pixels</w:t>
      </w:r>
      <w:r>
        <w:t xml:space="preserve"> </w:t>
      </w:r>
      <w:r>
        <w:fldChar w:fldCharType="begin"/>
      </w:r>
      <w:r w:rsidR="00DA099B">
        <w:instrText xml:space="preserve"> ADDIN ZOTERO_ITEM CSL_CITATION {"citationID":"DH1B2qoF","properties":{"formattedCitation":"(Turner et al., 1989; Wiens, 1989; Woodman et al., 2025a)","plainCitation":"(Turner et al., 1989; Wiens, 1989; Woodman et al., 2025a)","noteIndex":0},"citationItems":[{"id":1370,"uris":["http://zotero.org/users/10985147/items/DBHUYAK5"],"itemData":{"id":1370,"type":"article-journal","container-title":"Landscape Ecology","DOI":"10.1007/BF00131534","ISSN":"0921-2973, 1572-9761","journalAbbreviation":"Landsc. Ecol.","language":"en","license":"http://www.springer.com/tdm","page":"153-162","source":"DOI.org (Crossref)","title":"Effects of changing spatial scale on the analysis of landscape pattern","volume":"3","author":[{"family":"Turner","given":"Monica G."},{"family":"O'Neill","given":"Robert V."},{"family":"Gardner","given":"Robert H."},{"family":"Milne","given":"Bruce T."}],"issued":{"date-parts":[["1989",12]]}}},{"id":1365,"uris":["http://zotero.org/users/10985147/items/X226UBVF"],"itemData":{"id":1365,"type":"article-journal","container-title":"Functional Ecology","DOI":"10.2307/2389612","ISSN":"02698463","issue":"4","journalAbbreviation":"Funct. Ecol.","page":"385-397","source":"DOI.org (Crossref)","title":"Spatial Scaling in Ecology","volume":"3","author":[{"family":"Wiens","given":"J. A."}],"issued":{"date-parts":[["1989"]]}}},{"id":2701,"uris":["http://zotero.org/users/10985147/items/4CNYEW32"],"itemData":{"id":2701,"type":"article-journal","abstract":"Abstract\n            \n              Context\n              Changes in landscape patterns, which refer to the composition and spatial configuration of land use and land cover (LULC) classes in a landscape, can have negative impacts on biodiversity and environmental processes such as carbon cycles. Such impacts are both dependent on the spatial extent of changes and which LULC classes are affected, but previous global-scale landscape pattern assessments have focused on single LULC classes or landscape-level measurements only. A comprehensive, multiscale analysis across multiple LULC types is therefore key for understanding the full impact of landscape pattern change on the environment.\n            \n            \n              Objectives\n              We assessed global-scale change in landscape patterns for six LULC classes from the HILDA+ dataset (urban, cropland, pasture/rangeland, forest, unmanaged grass/shrubland, and sparse/no vegetation) between 1992 and 2020.\n            \n            \n              Methods\n              \n                Six class-level landscape metrics with predictable scaling behaviour across landscape extents were calculated at global scale for each LULC class and year. Landscape metrics were quantified for five landscape extents (100, 400, 1600, 6400 and 25,600 km\n                2\n                ). Trends in landscape metrics were evaluated and linked to changes in LULC composition (area) and configuration over time.\n              \n            \n            \n              Results\n              \n                Unmanaged grass/shrubland LULC expanded in area and showed increased number of patches, edge length, and complexity in shapes, while pasture/rangeland and forest LULC tended to decline in area, number of patches, and edge length. Even though there was high spatial heterogeneity in landscape pattern change for all LULC classes, neighbouring 100 km\n                2\n                landscapes often showed the same directional change in area and fragmentation.\n              \n            \n            \n              Conclusions\n              Global landscape pattern change was highly variable for all LULC classes between 1992 and 2020, suggesting that drivers of LULC change act on local to regional scales. We expect that the multiscale global dataset of landscape metrics generated here will have future applications in understanding the drivers of landscape pattern change and its environmental impacts.","container-title":"Landscape Ecology","DOI":"10.1007/s10980-025-02210-0","ISSN":"1572-9761","issue":"11","journalAbbreviation":"Landsc. Ecol.","language":"en","page":"196","source":"DOI.org (Crossref)","title":"Global assessment of landscape pattern changes from 1992 to 2020","volume":"40","author":[{"family":"Woodman","given":"Tamsin L."},{"family":"Alexander","given":"Peter"},{"family":"Burslem","given":"David F. R. P."},{"family":"Travis","given":"Justin M. J."},{"family":"Winkler","given":"Karina"},{"family":"Eigenbrod","given":"Felix"}],"issued":{"date-parts":[["2025",10,16]]}}}],"schema":"https://github.com/citation-style-language/schema/raw/master/csl-citation.json"} </w:instrText>
      </w:r>
      <w:r>
        <w:fldChar w:fldCharType="separate"/>
      </w:r>
      <w:r w:rsidR="00DA099B" w:rsidRPr="00DA099B">
        <w:t>(Turner et al., 1989; Wiens, 1989; Woodman et al., 2025a)</w:t>
      </w:r>
      <w:r>
        <w:fldChar w:fldCharType="end"/>
      </w:r>
      <w:r>
        <w:t xml:space="preserve">. </w:t>
      </w:r>
      <w:r w:rsidR="00423F3A">
        <w:t>Th</w:t>
      </w:r>
      <w:r w:rsidR="00C96C2F">
        <w:t>e</w:t>
      </w:r>
      <w:r w:rsidR="00423F3A">
        <w:t xml:space="preserve"> lower variation </w:t>
      </w:r>
      <w:r w:rsidR="0090445C">
        <w:t xml:space="preserve">in landscape metrics </w:t>
      </w:r>
      <w:r w:rsidR="00C96C2F">
        <w:t xml:space="preserve">in the </w:t>
      </w:r>
      <w:r w:rsidR="0090445C">
        <w:t xml:space="preserve">10 km </w:t>
      </w:r>
      <w:r w:rsidR="00AF2E28">
        <w:t xml:space="preserve">resolution </w:t>
      </w:r>
      <w:r w:rsidR="0090445C">
        <w:t xml:space="preserve">pixels </w:t>
      </w:r>
      <w:r w:rsidR="00423F3A">
        <w:t>suggests</w:t>
      </w:r>
      <w:r>
        <w:t xml:space="preserve"> that </w:t>
      </w:r>
      <w:r w:rsidR="0090445C">
        <w:t xml:space="preserve">they may have </w:t>
      </w:r>
      <w:r>
        <w:t xml:space="preserve">provided less information to the random forest models </w:t>
      </w:r>
      <w:r w:rsidR="00C96C2F">
        <w:t>than</w:t>
      </w:r>
      <w:r w:rsidR="002770D6">
        <w:t xml:space="preserve"> </w:t>
      </w:r>
      <w:r w:rsidR="0090445C">
        <w:t xml:space="preserve">the </w:t>
      </w:r>
      <w:r w:rsidR="00AF48E9">
        <w:t>80</w:t>
      </w:r>
      <w:r>
        <w:t xml:space="preserve"> km</w:t>
      </w:r>
      <w:r w:rsidR="00C96C2F">
        <w:t xml:space="preserve"> </w:t>
      </w:r>
      <w:r w:rsidR="00AF2E28">
        <w:t xml:space="preserve">resolution </w:t>
      </w:r>
      <w:r w:rsidR="00C96C2F">
        <w:t>pixels</w:t>
      </w:r>
      <w:r>
        <w:t xml:space="preserve">. Increasing the resolution of the underlying LULC data used to calculate landscape metrics might increase variation in metrics within 10 km </w:t>
      </w:r>
      <w:r w:rsidR="00EE1E13">
        <w:t xml:space="preserve">resolution </w:t>
      </w:r>
      <w:r w:rsidR="00BE1DE5">
        <w:t>pixels</w:t>
      </w:r>
      <w:r>
        <w:t xml:space="preserve"> </w:t>
      </w:r>
      <w:r>
        <w:fldChar w:fldCharType="begin"/>
      </w:r>
      <w:r>
        <w:instrText xml:space="preserve"> ADDIN ZOTERO_ITEM CSL_CITATION {"citationID":"9wdeWjQf","properties":{"formattedCitation":"(Wiens, 1989)","plainCitation":"(Wiens, 1989)","noteIndex":0},"citationItems":[{"id":1365,"uris":["http://zotero.org/users/10985147/items/X226UBVF"],"itemData":{"id":1365,"type":"article-journal","container-title":"Functional Ecology","DOI":"10.2307/2389612","ISSN":"02698463","issue":"4","journalAbbreviation":"Funct. Ecol.","page":"385-397","source":"DOI.org (Crossref)","title":"Spatial Scaling in Ecology","volume":"3","author":[{"family":"Wiens","given":"J. A."}],"issued":{"date-parts":[["1989"]]}}}],"schema":"https://github.com/citation-style-language/schema/raw/master/csl-citation.json"} </w:instrText>
      </w:r>
      <w:r>
        <w:fldChar w:fldCharType="separate"/>
      </w:r>
      <w:r w:rsidR="00550ED7">
        <w:t>(Wiens, 1989)</w:t>
      </w:r>
      <w:r>
        <w:fldChar w:fldCharType="end"/>
      </w:r>
      <w:r>
        <w:t xml:space="preserve">, and therefore improve their usefulness for modelling LULC change at fine </w:t>
      </w:r>
      <w:r w:rsidR="00BE1DE5">
        <w:t>resolution</w:t>
      </w:r>
      <w:r>
        <w:t>s.</w:t>
      </w:r>
    </w:p>
    <w:p w14:paraId="2A6C732B" w14:textId="7CA82C94" w:rsidR="006B3C54" w:rsidRDefault="00A52EE1">
      <w:r>
        <w:t xml:space="preserve">Cropland </w:t>
      </w:r>
      <w:r w:rsidR="002B1F97">
        <w:t>class area (</w:t>
      </w:r>
      <w:r>
        <w:t>CA</w:t>
      </w:r>
      <w:r w:rsidR="002B1F97">
        <w:t>)</w:t>
      </w:r>
      <w:r>
        <w:t xml:space="preserve"> and </w:t>
      </w:r>
      <w:r w:rsidR="002B1F97">
        <w:t>number of patches (</w:t>
      </w:r>
      <w:r>
        <w:t>NP</w:t>
      </w:r>
      <w:r w:rsidR="002B1F97">
        <w:t>)</w:t>
      </w:r>
      <w:r>
        <w:t xml:space="preserve">, and forest CA plus </w:t>
      </w:r>
      <w:r w:rsidR="002B1F97">
        <w:t>total core area (</w:t>
      </w:r>
      <w:r>
        <w:t>TCA</w:t>
      </w:r>
      <w:r w:rsidR="002B1F97">
        <w:t>)</w:t>
      </w:r>
      <w:r>
        <w:t xml:space="preserve">, were almost always within the five most important </w:t>
      </w:r>
      <w:r w:rsidR="0088577E">
        <w:t>independent variable</w:t>
      </w:r>
      <w:r>
        <w:t xml:space="preserve">s </w:t>
      </w:r>
      <w:r w:rsidR="0088577E">
        <w:t>in</w:t>
      </w:r>
      <w:r>
        <w:t xml:space="preserve"> LULC change models with </w:t>
      </w:r>
      <w:r w:rsidR="00833AC9">
        <w:t xml:space="preserve">a </w:t>
      </w:r>
      <w:r w:rsidR="00942DBC">
        <w:t>spatial resolution</w:t>
      </w:r>
      <w:r>
        <w:t xml:space="preserve"> of </w:t>
      </w:r>
      <w:r w:rsidR="00AF48E9">
        <w:t>80</w:t>
      </w:r>
      <w:r>
        <w:t xml:space="preserve"> km and threshold of &gt;0.5% for cropland expansion and forest loss, respectively (</w:t>
      </w:r>
      <w:r w:rsidR="003D5F39">
        <w:t>Figure 5</w:t>
      </w:r>
      <w:r>
        <w:t xml:space="preserve"> and </w:t>
      </w:r>
      <w:r w:rsidR="00492CA5">
        <w:t>Supplementary Figure 2</w:t>
      </w:r>
      <w:r>
        <w:t xml:space="preserve">). The neighbourhood effect likely explains the high importance of CA in </w:t>
      </w:r>
      <w:r w:rsidR="0044369A">
        <w:t>modelling</w:t>
      </w:r>
      <w:r>
        <w:t xml:space="preserve"> LULC change </w:t>
      </w:r>
      <w:r w:rsidR="00DA2F92">
        <w:fldChar w:fldCharType="begin"/>
      </w:r>
      <w:r w:rsidR="00FC2E85">
        <w:instrText xml:space="preserve"> ADDIN ZOTERO_ITEM CSL_CITATION {"citationID":"uLPszDuF","properties":{"formattedCitation":"(Dendoncker et al., 2007; van Vliet et al., 2013)","plainCitation":"(Dendoncker et al., 2007; van Vliet et al., 2013)","noteIndex":0},"citationItems":[{"id":1567,"uris":["http://zotero.org/users/10985147/items/VKUXLKFL"],"itemData":{"id":1567,"type":"article-journal","abstract":"When statistical analyses of land use drivers are performed, they rarely deal explicitly with spatial autocorrelation. Most studies are undertaken on autocorrelation-free data samples. By doing this, a great deal of information that is present in the dataset is lost. This paper presents a spatially explicit, cross-sectional analysis of land use drivers in Belgium. It is shown that purely regressive logistic models only identify trends or global relationships between socio-economic or physico-climatic drivers and the precise location of each land use type. However, when the goal of a study is to obtain the best statistical model fit of land use distribution, a purely autoregressive model is appropriate. It is shown that this type of model deals appropriately with spatial autocorrelation as measured by the lack of autocorrelation in the deviance residuals of the model. More specifically, three types of autoregressive models are compared: (1) a set of binomial logistic regression models (one for each modelled land use) accounting only for the proportion of the modelled land use within the neighbourhood of a cell; (2) a multinomial autologistic regression that accounts for the composition of a cell's neighbourhood; and (3) a state-of-the-art Bayesian Maximum Entropy (BME) based model that accounts fully for the spatial organization of the land uses within the neighbourhood of a cell. The comparative analysis shows that the BME approach has no advantages over the other methods, for our specific application, but that accounting for the composition of a cell's neighbourhood is essential in obtaining an optimal fit. © 2006 Elsevier Ltd. All rights reserved.","container-title":"Computers, Environment and Urban Systems","DOI":"10.1016/j.compenvurbsys.2006.06.004","ISSN":"01989715","issue":"2","journalAbbreviation":"Comput. Environ. Urban Syst.","page":"188-205","title":"Spatial analysis and modelling of land use distributions in Belgium","volume":"31","author":[{"family":"Dendoncker","given":"Nicolas"},{"family":"Rounsevell","given":"Mark"},{"family":"Bogaert","given":"Patrick"}],"issued":{"date-parts":[["2007"]]}}},{"id":1507,"uris":["http://zotero.org/users/10985147/items/RQVEZN89"],"itemData":{"id":1507,"type":"article-journal","abstract":"Many spatially explicit land use models include the neighbourhood effect as a driver of land use changes. The neighbourhood effect includes the inertia of land uses over time, the conversion from one land use to another, and the attraction or repulsion of surrounding land uses. The neighbourhood effect is expressed in the neighbourhood rules, but calibration of the neighbourhood rules is not straightforward. This paper aims to characterise the neighbourhood effect of observed land use changes and use this information to improve the calibration of land use models. We measured the over- and underrepresentation of land uses in the neighbourhood of observed land use changes using a modified version of the enrichment factor. Enrichment factors of observed land use changes in Germany between 1990 and 2000 indicate that the neighbourhood effect exists. This suggests that it is appropriate to use neighbourhood rules to simulate urban land use changes. Observed enrichment factors were used to calibrate a land use model for Germany from 1990 to 2000 and the obtained neighbourhood rules were validated independently from 2000 to 2006. The results show that both the allocation accuracy and the pattern accuracy of the land use model improved for the calibration period, as well as for the independent validation period. This indicates that enrichment factors can be used to improve the calibration of the neighbourhood rules in land use models. © 2013 Elsevier Ltd.","container-title":"Computers, Environment and Urban Systems","DOI":"10.1016/j.compenvurbsys.2013.03.006","ISSN":"01989715","journalAbbreviation":"Comput. Environ. Urban Syst.","note":"publisher: Elsevier Ltd","page":"55-64","title":"Measuring the neighbourhood effect to calibrate land use models","volume":"41","author":[{"family":"Vliet","given":"Jasper","non-dropping-particle":"van"},{"family":"Naus","given":"Nick"},{"family":"Lammeren","given":"Ron J.A.","non-dropping-particle":"van"},{"family":"Bregt","given":"Arnold K."},{"family":"Hurkens","given":"Jelle"},{"family":"Delden","given":"Hedwig","non-dropping-particle":"van"}],"issued":{"date-parts":[["2013"]]}}}],"schema":"https://github.com/citation-style-language/schema/raw/master/csl-citation.json"} </w:instrText>
      </w:r>
      <w:r w:rsidR="00DA2F92">
        <w:fldChar w:fldCharType="separate"/>
      </w:r>
      <w:r w:rsidR="00550ED7" w:rsidRPr="00550ED7">
        <w:t>(Dendoncker et al., 2007; van Vliet et al., 2013)</w:t>
      </w:r>
      <w:r w:rsidR="00DA2F92">
        <w:fldChar w:fldCharType="end"/>
      </w:r>
      <w:r>
        <w:t xml:space="preserve">. NP and TCA provide information on the spatial </w:t>
      </w:r>
      <w:r>
        <w:lastRenderedPageBreak/>
        <w:t xml:space="preserve">configuration of a LULC class, suggesting that measures of landscape structure in addition to area may be useful for </w:t>
      </w:r>
      <w:r w:rsidR="0044369A">
        <w:t>modelling</w:t>
      </w:r>
      <w:r>
        <w:t xml:space="preserve"> LULC change. Probability of cropland expansion had a U-shaped relationship with both cropland CA and NP in partial dependence plots (</w:t>
      </w:r>
      <w:r w:rsidR="00EC5DD6">
        <w:t>Figure 6</w:t>
      </w:r>
      <w:r>
        <w:t xml:space="preserve">), indicating that cropland was most likely to expand into areas with low cover and number of patches at a global scale. The high probability of cropland expansion into </w:t>
      </w:r>
      <w:r w:rsidR="00942DBC">
        <w:t>pixel</w:t>
      </w:r>
      <w:r>
        <w:t xml:space="preserve">s with little or no existing cropland might represent the spread of cropland from neighbouring </w:t>
      </w:r>
      <w:r w:rsidR="00942DBC">
        <w:t>pixel</w:t>
      </w:r>
      <w:r>
        <w:t>s, although further investigation would be required to test whether this is the case or if there is another mechanism driving cropland expansion into new regions.</w:t>
      </w:r>
    </w:p>
    <w:p w14:paraId="2A6C732C" w14:textId="0AE17E40" w:rsidR="006B3C54" w:rsidRDefault="00A52EE1">
      <w:r>
        <w:t xml:space="preserve">Similarly, the probability of forest loss generally decreased as forest CA increased, hence new deforestation was more likely to occur in </w:t>
      </w:r>
      <w:r w:rsidR="00942DBC">
        <w:t>pixel</w:t>
      </w:r>
      <w:r>
        <w:t>s that already had reduced forest cover, possibly because improved access for activities such as logging and conversion for agriculture results in greater vulnerability of smaller tropical forest fragments to further loss</w:t>
      </w:r>
      <w:r w:rsidR="00A260FD">
        <w:t xml:space="preserve"> </w:t>
      </w:r>
      <w:r w:rsidR="00DA2F92">
        <w:fldChar w:fldCharType="begin"/>
      </w:r>
      <w:r w:rsidR="00FC2E85">
        <w:instrText xml:space="preserve"> ADDIN ZOTERO_ITEM CSL_CITATION {"citationID":"jMN2cY0S","properties":{"formattedCitation":"(Hansen et al., 2020)","plainCitation":"(Hansen et al., 2020)","noteIndex":0},"citationItems":[{"id":1395,"uris":["http://zotero.org/users/10985147/items/4XURXXZ7"],"itemData":{"id":1395,"type":"article-journal","abstract":"Tropical forest loss increases as fragment size decreases, a relationship driven by primary forest loss.\n          , \n            Tropical forest fragmentation results in habitat and biodiversity loss and increased carbon emissions. Here, we link an increased likelihood of tropical forest loss to decreasing fragment size, particularly in primary forests. The relationship holds for protected areas, albeit with half the rate of loss compared with all fragments. The fact that disturbance increases as primary forest fragment size decreases reflects higher land use pressures and improved access for resource extraction and/or conversion in smaller fragments. Large remaining forest fragments are found in the Amazon and Congo Basins and Insular Southeast Asia, with the majority of large extent/low loss fragments located in the Amazon. Tropical areas without large fragments, including Central America, West Africa, and mainland Southeast Asia, have higher loss within and outside of protected areas. Results illustrate the need for rigorous land use planning, management, and enforcement in maintaining large tropical forest fragments and restoring regions of advanced fragmentation.","container-title":"Science Advances","DOI":"10.1126/sciadv.aax8574","ISSN":"2375-2548","issue":"11","journalAbbreviation":"Sci. Adv.","language":"en","page":"eaax8574","source":"DOI.org (Crossref)","title":"The fate of tropical forest fragments","volume":"6","author":[{"family":"Hansen","given":"Matthew C."},{"family":"Wang","given":"Lei"},{"family":"Song","given":"Xiao-Peng"},{"family":"Tyukavina","given":"Alexandra"},{"family":"Turubanova","given":"Svetlana"},{"family":"Potapov","given":"Peter V."},{"family":"Stehman","given":"Stephen V."}],"issued":{"date-parts":[["2020",3,13]]}}}],"schema":"https://github.com/citation-style-language/schema/raw/master/csl-citation.json"} </w:instrText>
      </w:r>
      <w:r w:rsidR="00DA2F92">
        <w:fldChar w:fldCharType="separate"/>
      </w:r>
      <w:r w:rsidR="00550ED7" w:rsidRPr="00550ED7">
        <w:t>(Hansen et al., 2020)</w:t>
      </w:r>
      <w:r w:rsidR="00DA2F92">
        <w:fldChar w:fldCharType="end"/>
      </w:r>
      <w:r>
        <w:t xml:space="preserve">. The increased probability of forest loss in </w:t>
      </w:r>
      <w:r w:rsidR="00942DBC">
        <w:t>pixel</w:t>
      </w:r>
      <w:r>
        <w:t xml:space="preserve">s with low forest cover suggests that we should prioritise conservation and restoration efforts in these areas. On the other hand, preventing forest loss within entirely forested </w:t>
      </w:r>
      <w:r w:rsidR="00942DBC">
        <w:t>pixel</w:t>
      </w:r>
      <w:r>
        <w:t xml:space="preserve">s will also be important to prevent negative cycles where access, such as through road building, drives forest loss </w:t>
      </w:r>
      <w:r w:rsidR="00DA2F92">
        <w:fldChar w:fldCharType="begin"/>
      </w:r>
      <w:r w:rsidR="00FC2E85">
        <w:instrText xml:space="preserve"> ADDIN ZOTERO_ITEM CSL_CITATION {"citationID":"kZsjg66w","properties":{"formattedCitation":"(Engert et al., 2024)","plainCitation":"(Engert et al., 2024)","noteIndex":0},"citationItems":[{"id":1401,"uris":["http://zotero.org/users/10985147/items/83ID38BM"],"itemData":{"id":1401,"type":"article-journal","abstract":"Abstract\n            \n              Roads are expanding at the fastest pace in human history. This is the case especially in biodiversity-rich tropical nations, where roads can result in forest loss and fragmentation, wildfires, illicit land invasions and negative societal effects\n              1–5\n              . Many roads are being constructed illegally or informally and do not appear on any existing road map\n              6–10\n              ; the toll of such ‘ghost roads’ on ecosystems is poorly understood. Here we use around 7,000 h of effort by trained volunteers to map ghost roads across the tropical Asia-Pacific region, sampling 1.42 million plots, each 1 km\n              2\n              in area. Our intensive sampling revealed a total of 1.37 million km of roads in our plots—from 3.0 to 6.6 times more roads than were found in leading datasets of roads globally. Across our study area, road building almost always preceded local forest loss, and road density was by far the strongest correlate\n              11\n              of deforestation out of 38 potential biophysical and socioeconomic covariates. The relationship between road density and forest loss was nonlinear, with deforestation peaking soon after roads penetrate a landscape and then declining as roads multiply and remaining accessible forests largely disappear. Notably, after controlling for lower road density inside protected areas, we found that protected areas had only modest additional effects on preventing forest loss, implying that their most vital conservation function is limiting roads and road-related environmental disruption. Collectively, our findings suggest that burgeoning, poorly studied ghost roads are among the gravest of all direct threats to tropical forests.","container-title":"Nature","DOI":"10.1038/s41586-024-07303-5","ISSN":"0028-0836, 1476-4687","journalAbbreviation":"Nature","language":"en","page":"370-375","source":"DOI.org (Crossref)","title":"Ghost roads and the destruction of Asia-Pacific tropical forests","volume":"629","author":[{"family":"Engert","given":"Jayden E."},{"family":"Campbell","given":"Mason J."},{"family":"Cinner","given":"Joshua E."},{"family":"Ishida","given":"Yoko"},{"family":"Sloan","given":"Sean"},{"family":"Supriatna","given":"Jatna"},{"family":"Alamgir","given":"Mohammed"},{"family":"Cislowski","given":"Jaime"},{"family":"Laurance","given":"William F."}],"issued":{"date-parts":[["2024",4,10]]}}}],"schema":"https://github.com/citation-style-language/schema/raw/master/csl-citation.json"} </w:instrText>
      </w:r>
      <w:r w:rsidR="00DA2F92">
        <w:fldChar w:fldCharType="separate"/>
      </w:r>
      <w:r w:rsidR="00550ED7" w:rsidRPr="00550ED7">
        <w:t>(Engert et al., 2024)</w:t>
      </w:r>
      <w:r w:rsidR="00DA2F92">
        <w:fldChar w:fldCharType="end"/>
      </w:r>
      <w:r>
        <w:t xml:space="preserve"> and thereby increased likelihood of further deforestation. In some forest loss models, other LULC classes were also important for </w:t>
      </w:r>
      <w:r w:rsidR="0044369A">
        <w:t>modelling</w:t>
      </w:r>
      <w:r>
        <w:t xml:space="preserve"> LULC change. Pasture/rangeland CA, for instance, was one of the most important </w:t>
      </w:r>
      <w:r w:rsidR="0088577E">
        <w:t>independent variable</w:t>
      </w:r>
      <w:r>
        <w:t xml:space="preserve">s for </w:t>
      </w:r>
      <w:r w:rsidR="0088577E">
        <w:t xml:space="preserve">fitting models of </w:t>
      </w:r>
      <w:r>
        <w:t xml:space="preserve">forest loss globally and within South America and Oceania, with the highest probability of forest loss occurring in </w:t>
      </w:r>
      <w:r w:rsidR="00942DBC">
        <w:t>pixel</w:t>
      </w:r>
      <w:r>
        <w:t>s with high pasture/rangeland cover at global scale (</w:t>
      </w:r>
      <w:r w:rsidR="00EC5DD6">
        <w:t>Figure 6</w:t>
      </w:r>
      <w:r>
        <w:t xml:space="preserve">). The expansion of pasture is known to be a major driver of forest loss in South America </w:t>
      </w:r>
      <w:r w:rsidR="00DA2F92">
        <w:fldChar w:fldCharType="begin"/>
      </w:r>
      <w:r w:rsidR="00FC2E85">
        <w:instrText xml:space="preserve"> ADDIN ZOTERO_ITEM CSL_CITATION {"citationID":"xqsrj3od","properties":{"formattedCitation":"(Armenteras et al., 2017; De Sy et al., 2015)","plainCitation":"(Armenteras et al., 2017; De Sy et al., 2015)","noteIndex":0},"citationItems":[{"id":1411,"uris":["http://zotero.org/users/10985147/items/PLM5FY3Z"],"itemData":{"id":1411,"type":"article-journal","container-title":"Global Environmental Change","DOI":"10.1016/j.gloenvcha.2017.09.002","ISSN":"09593780","journalAbbreviation":"Glob. Environ. Change","language":"en","page":"139-147","source":"DOI.org (Crossref)","title":"Deforestation dynamics and drivers in different forest types in Latin America: Three decades of studies (1980–2010)","title-short":"Deforestation dynamics and drivers in different forest types in Latin America","volume":"46","author":[{"family":"Armenteras","given":"Dolors"},{"family":"Espelta","given":"Josep María"},{"family":"Rodríguez","given":"Nelly"},{"family":"Retana","given":"Javier"}],"issued":{"date-parts":[["2017",9]]}}},{"id":1373,"uris":["http://zotero.org/users/10985147/items/DP494HT7"],"itemData":{"id":1373,"type":"article-journal","container-title":"Environmental Research Letters","DOI":"10.1088/1748-9326/10/12/124004","ISSN":"1748-9326","journalAbbreviation":"Environ. Res. Lett.","page":"124004","source":"DOI.org (Crossref)","title":"Land use patterns and related carbon losses following deforestation in South America","volume":"10","author":[{"family":"De Sy","given":"V"},{"family":"Herold","given":"M"},{"family":"Achard","given":"F"},{"family":"Beuchle","given":"R"},{"family":"Clevers","given":"J G P W"},{"family":"Lindquist","given":"E"},{"family":"Verchot","given":"L"}],"issued":{"date-parts":[["2015",12,1]]}}}],"schema":"https://github.com/citation-style-language/schema/raw/master/csl-citation.json"} </w:instrText>
      </w:r>
      <w:r w:rsidR="00DA2F92">
        <w:fldChar w:fldCharType="separate"/>
      </w:r>
      <w:r w:rsidR="00550ED7" w:rsidRPr="00550ED7">
        <w:t>(Armenteras et al., 2017; De Sy et al., 2015)</w:t>
      </w:r>
      <w:r w:rsidR="00DA2F92">
        <w:fldChar w:fldCharType="end"/>
      </w:r>
      <w:r>
        <w:t xml:space="preserve">, which likely explains the high importance of pasture/rangeland area as </w:t>
      </w:r>
      <w:r w:rsidR="0088577E">
        <w:t>an independent variable</w:t>
      </w:r>
      <w:r>
        <w:t xml:space="preserve"> in the global and South America forest loss models.</w:t>
      </w:r>
    </w:p>
    <w:p w14:paraId="2A6C732D" w14:textId="055A8B41" w:rsidR="006B3C54" w:rsidRDefault="00095695">
      <w:r>
        <w:t xml:space="preserve">Although this study demonstrates the potential utility of landscape metrics for land use modelling, there are some limitations that should be considered. </w:t>
      </w:r>
      <w:r w:rsidR="000170B1">
        <w:t xml:space="preserve">First, our models did not test whether landscape metrics are effective at modelling the amount of LULC change in a pixel, and we focused on only two types of change (forest loss and cropland expansion). </w:t>
      </w:r>
      <w:r w:rsidR="00B858E9">
        <w:t xml:space="preserve">Next, we did not evaluate the use of landscape metrics as independent variables outside the time period of the training datasets. </w:t>
      </w:r>
      <w:r w:rsidR="00C44E6D">
        <w:t xml:space="preserve">Finally, we </w:t>
      </w:r>
      <w:r w:rsidR="004D7307">
        <w:t>modelled</w:t>
      </w:r>
      <w:r w:rsidR="00C44E6D">
        <w:t xml:space="preserve"> LULC change for a single time </w:t>
      </w:r>
      <w:r w:rsidR="00150E32">
        <w:t xml:space="preserve">step </w:t>
      </w:r>
      <w:r w:rsidR="006A228A">
        <w:t xml:space="preserve">only </w:t>
      </w:r>
      <w:r w:rsidR="00150E32">
        <w:t>(1992-2020)</w:t>
      </w:r>
      <w:r w:rsidR="00C44E6D">
        <w:t xml:space="preserve"> </w:t>
      </w:r>
      <w:r w:rsidR="61E0EFE8">
        <w:t xml:space="preserve">using landscape metrics in 1992 as independent variables </w:t>
      </w:r>
      <w:r w:rsidR="00C44E6D">
        <w:t xml:space="preserve">and </w:t>
      </w:r>
      <w:r w:rsidR="006A228A">
        <w:t xml:space="preserve">therefore </w:t>
      </w:r>
      <w:r w:rsidR="00C44E6D">
        <w:t>did not explore the possibility of feedback loops between landscape metrics and LULC change in our models.</w:t>
      </w:r>
      <w:r w:rsidR="00DE36E0">
        <w:t xml:space="preserve"> F</w:t>
      </w:r>
      <w:r w:rsidR="00A52EE1">
        <w:t xml:space="preserve">urther research is required to better understand the range of circumstances in which landscape metrics </w:t>
      </w:r>
      <w:r w:rsidR="00C44E6D">
        <w:t xml:space="preserve">may </w:t>
      </w:r>
      <w:r w:rsidR="00A52EE1">
        <w:t xml:space="preserve">improve land use models. For example, future studies could explore whether landscape metrics are useful in land use modelling across different time periods, </w:t>
      </w:r>
      <w:r w:rsidR="00C44E6D">
        <w:t>spatial resolutions,</w:t>
      </w:r>
      <w:r w:rsidR="00A52EE1">
        <w:t xml:space="preserve"> LULC maps, and </w:t>
      </w:r>
      <w:r w:rsidR="00C44E6D">
        <w:t>types of LULC change.</w:t>
      </w:r>
      <w:r w:rsidR="001242ED">
        <w:t xml:space="preserve"> Subsequent studies could aim to </w:t>
      </w:r>
      <w:r w:rsidR="001242ED">
        <w:lastRenderedPageBreak/>
        <w:t>assess the effectiveness of landscape metrics for generating highly accurate projections of future LULC change</w:t>
      </w:r>
      <w:r w:rsidR="008B5E4F">
        <w:t>, and test whether the incorporation of landscape metrics in land use models wit</w:t>
      </w:r>
      <w:r w:rsidR="00C4196A">
        <w:t>h multiple time steps (</w:t>
      </w:r>
      <w:proofErr w:type="gramStart"/>
      <w:r w:rsidR="00C4196A">
        <w:t>e.g.</w:t>
      </w:r>
      <w:proofErr w:type="gramEnd"/>
      <w:r w:rsidR="00C4196A">
        <w:t xml:space="preserve"> yearly) leads to unexpected feedback loops between LULC change and </w:t>
      </w:r>
      <w:r w:rsidR="007F1523">
        <w:t>landscape patterns</w:t>
      </w:r>
      <w:r w:rsidR="001242ED">
        <w:t>.</w:t>
      </w:r>
      <w:r w:rsidR="00A52EE1">
        <w:t xml:space="preserve"> Using landscape metrics as </w:t>
      </w:r>
      <w:r w:rsidR="0088577E">
        <w:t>independent variable</w:t>
      </w:r>
      <w:r w:rsidR="00A52EE1">
        <w:t>s was less effective at improving model performance in fine</w:t>
      </w:r>
      <w:r w:rsidR="00B90171">
        <w:t>-resolution</w:t>
      </w:r>
      <w:r w:rsidR="00A52EE1">
        <w:t xml:space="preserve"> models, and metrics were also less important than traditional </w:t>
      </w:r>
      <w:r w:rsidR="0088577E">
        <w:t>variable</w:t>
      </w:r>
      <w:r w:rsidR="00A52EE1">
        <w:t xml:space="preserve">s at fine </w:t>
      </w:r>
      <w:r w:rsidR="00B90171">
        <w:t>resolution</w:t>
      </w:r>
      <w:r w:rsidR="00A52EE1">
        <w:t xml:space="preserve">s. Further work could </w:t>
      </w:r>
      <w:r w:rsidR="007F1523">
        <w:t xml:space="preserve">therefore </w:t>
      </w:r>
      <w:r w:rsidR="00A52EE1">
        <w:t xml:space="preserve">assess whether the spatial resolution of LULC maps used to generate landscape metrics affects their usefulness in land use modelling, or whether landscape metrics are less relevant for LULC change processes at fine scales. </w:t>
      </w:r>
    </w:p>
    <w:p w14:paraId="26BE8C69" w14:textId="7D9CF0E9" w:rsidR="002A6E4E" w:rsidRDefault="007B4EE4" w:rsidP="00F55E56">
      <w:pPr>
        <w:pStyle w:val="Heading1"/>
        <w:numPr>
          <w:ilvl w:val="0"/>
          <w:numId w:val="2"/>
        </w:numPr>
      </w:pPr>
      <w:r>
        <w:t>Conclusion</w:t>
      </w:r>
    </w:p>
    <w:p w14:paraId="288849BA" w14:textId="2A2F152C" w:rsidR="009744E2" w:rsidRDefault="00247592" w:rsidP="009744E2">
      <w:r>
        <w:t>This study demonstrates</w:t>
      </w:r>
      <w:r w:rsidR="00A52EE1">
        <w:t xml:space="preserve"> that incorporating landscape metrics can enhance global- and continental-scale models of LULC change, especially in cases where traditional </w:t>
      </w:r>
      <w:r w:rsidR="0088577E">
        <w:t>variable</w:t>
      </w:r>
      <w:r w:rsidR="00A52EE1">
        <w:t xml:space="preserve">s are not available </w:t>
      </w:r>
      <w:r>
        <w:t>at</w:t>
      </w:r>
      <w:r w:rsidR="00A52EE1">
        <w:t xml:space="preserve"> the same </w:t>
      </w:r>
      <w:r w:rsidR="002B39F1">
        <w:t>resolution</w:t>
      </w:r>
      <w:r w:rsidR="00A52EE1">
        <w:t xml:space="preserve"> as land use models or are missing information on key drivers of LULC change. </w:t>
      </w:r>
      <w:r w:rsidR="00360769">
        <w:t>Landscape metrics were always able to predict the spatial allocation of LULC change better than random</w:t>
      </w:r>
      <w:r w:rsidR="00885EBD">
        <w:t>ly select</w:t>
      </w:r>
      <w:r w:rsidR="00BC4728">
        <w:t>ed</w:t>
      </w:r>
      <w:r w:rsidR="00885EBD">
        <w:t xml:space="preserve"> pixels, and </w:t>
      </w:r>
      <w:r w:rsidR="005633F3">
        <w:t xml:space="preserve">generally </w:t>
      </w:r>
      <w:r w:rsidR="00885EBD">
        <w:t>performed better than</w:t>
      </w:r>
      <w:r w:rsidR="000A05A3">
        <w:t xml:space="preserve"> </w:t>
      </w:r>
      <w:r w:rsidR="00885EBD">
        <w:t>traditional variables alone in models</w:t>
      </w:r>
      <w:r>
        <w:t xml:space="preserve"> with coarser spatial resolutions</w:t>
      </w:r>
      <w:r w:rsidR="00885EBD">
        <w:t xml:space="preserve">. </w:t>
      </w:r>
      <w:r w:rsidR="003B6DFD">
        <w:t>Metrics of both the area and spatial configuration of LULC classes were important in models of cropland expansion and forest loss, suggesting that measures of</w:t>
      </w:r>
      <w:r w:rsidR="00DB503E">
        <w:t xml:space="preserve"> landscape structure</w:t>
      </w:r>
      <w:r w:rsidR="003B6DFD">
        <w:t xml:space="preserve"> should be included in land use models</w:t>
      </w:r>
      <w:r w:rsidR="00DB503E">
        <w:t xml:space="preserve"> in addition to LULC areas. Overall, these findings suggest that landscape metrics could offer a novel source of input data for global land use models, and particularly for coarser resolution global-scale models. We expect that this study will provide a foundation for the development of global land use models that utilise both the amount and configuration of LULC for modelling future change.</w:t>
      </w:r>
    </w:p>
    <w:p w14:paraId="3F222BE2" w14:textId="77777777" w:rsidR="004A4F49" w:rsidRDefault="004A4F49" w:rsidP="004A4F49">
      <w:pPr>
        <w:pStyle w:val="Heading1"/>
      </w:pPr>
      <w:r>
        <w:t>Funding</w:t>
      </w:r>
    </w:p>
    <w:p w14:paraId="1CFA61E2" w14:textId="77777777" w:rsidR="004A4F49" w:rsidRDefault="004A4F49" w:rsidP="004A4F49">
      <w:r>
        <w:t xml:space="preserve">This work was supported by the </w:t>
      </w:r>
      <w:r w:rsidRPr="00024348">
        <w:t>EASTBIO Doctoral Training Partnership Biotechnology and Biological Sciences Research Council</w:t>
      </w:r>
      <w:r>
        <w:t xml:space="preserve"> under Grant </w:t>
      </w:r>
      <w:r w:rsidRPr="00024348">
        <w:t>BB/T00875X/1</w:t>
      </w:r>
      <w:r>
        <w:t xml:space="preserve">; European Research Council under Grant </w:t>
      </w:r>
      <w:r w:rsidRPr="00024348">
        <w:rPr>
          <w:highlight w:val="white"/>
        </w:rPr>
        <w:t>680176</w:t>
      </w:r>
      <w:r>
        <w:t xml:space="preserve"> (SCALEFORES); and UK Research and Innovation under Grant </w:t>
      </w:r>
      <w:r w:rsidRPr="00024348">
        <w:t>10039590</w:t>
      </w:r>
      <w:r>
        <w:t xml:space="preserve"> (</w:t>
      </w:r>
      <w:proofErr w:type="spellStart"/>
      <w:r>
        <w:t>ForestPaths</w:t>
      </w:r>
      <w:proofErr w:type="spellEnd"/>
      <w:r>
        <w:t xml:space="preserve">) and Grant </w:t>
      </w:r>
      <w:r w:rsidRPr="00024348">
        <w:t>10075849</w:t>
      </w:r>
      <w:r>
        <w:t xml:space="preserve"> (MOSAIC).</w:t>
      </w:r>
    </w:p>
    <w:p w14:paraId="4C89DA57" w14:textId="77777777" w:rsidR="004A4F49" w:rsidRDefault="004A4F49" w:rsidP="004A4F49">
      <w:pPr>
        <w:pStyle w:val="Heading1"/>
      </w:pPr>
      <w:r>
        <w:t>Disclosure of interest</w:t>
      </w:r>
    </w:p>
    <w:p w14:paraId="5F8A2122" w14:textId="77777777" w:rsidR="004A4F49" w:rsidRDefault="004A4F49" w:rsidP="004A4F49">
      <w:r>
        <w:t>The authors report that there are no competing interests to declare.</w:t>
      </w:r>
    </w:p>
    <w:p w14:paraId="5125F3E9" w14:textId="77777777" w:rsidR="004A4F49" w:rsidRDefault="004A4F49" w:rsidP="004A4F49">
      <w:pPr>
        <w:pStyle w:val="Heading1"/>
      </w:pPr>
      <w:r>
        <w:lastRenderedPageBreak/>
        <w:t>Data and code availability</w:t>
      </w:r>
    </w:p>
    <w:p w14:paraId="380B1453" w14:textId="77777777" w:rsidR="004A4F49" w:rsidRDefault="004A4F49" w:rsidP="004A4F49">
      <w:r>
        <w:t xml:space="preserve">All original code for this study is available via </w:t>
      </w:r>
      <w:proofErr w:type="spellStart"/>
      <w:r>
        <w:t>Zenodo</w:t>
      </w:r>
      <w:proofErr w:type="spellEnd"/>
      <w:r>
        <w:t xml:space="preserve"> at </w:t>
      </w:r>
      <w:hyperlink r:id="rId9" w:history="1">
        <w:r w:rsidRPr="006A6C74">
          <w:rPr>
            <w:rStyle w:val="Hyperlink"/>
          </w:rPr>
          <w:t>https://doi.org/10.5281/zenodo.15126397</w:t>
        </w:r>
      </w:hyperlink>
      <w:r>
        <w:t>.</w:t>
      </w:r>
    </w:p>
    <w:p w14:paraId="1C179676" w14:textId="77777777" w:rsidR="004A4F49" w:rsidRDefault="004A4F49" w:rsidP="004A4F49">
      <w:r>
        <w:t xml:space="preserve">The global dataset of landscape patterns used in this study is publicly available on </w:t>
      </w:r>
      <w:proofErr w:type="spellStart"/>
      <w:r>
        <w:t>Zenodo</w:t>
      </w:r>
      <w:proofErr w:type="spellEnd"/>
      <w:r>
        <w:t xml:space="preserve"> (</w:t>
      </w:r>
      <w:hyperlink r:id="rId10" w:history="1">
        <w:r w:rsidRPr="006A6C74">
          <w:rPr>
            <w:rStyle w:val="Hyperlink"/>
          </w:rPr>
          <w:t>https://doi.org/10.5281/zenodo.15120267</w:t>
        </w:r>
      </w:hyperlink>
      <w:r>
        <w:t xml:space="preserve">). Datasets of bioclimatic suitability for agriculture and steepness area available from the Global </w:t>
      </w:r>
      <w:proofErr w:type="spellStart"/>
      <w:r>
        <w:t>Agro</w:t>
      </w:r>
      <w:proofErr w:type="spellEnd"/>
      <w:r>
        <w:t>-Ecological Zones Data Portal (</w:t>
      </w:r>
      <w:hyperlink r:id="rId11" w:history="1">
        <w:r w:rsidRPr="006A6C74">
          <w:rPr>
            <w:rStyle w:val="Hyperlink"/>
          </w:rPr>
          <w:t>https://gaez.fao.org</w:t>
        </w:r>
      </w:hyperlink>
      <w:r>
        <w:t xml:space="preserve">). Market accessibility data was from </w:t>
      </w:r>
      <w:proofErr w:type="spellStart"/>
      <w:r>
        <w:t>Verburg</w:t>
      </w:r>
      <w:proofErr w:type="spellEnd"/>
      <w:r>
        <w:t xml:space="preserve"> et al. (2011) and is available via </w:t>
      </w:r>
      <w:proofErr w:type="spellStart"/>
      <w:r>
        <w:t>DataverseNL</w:t>
      </w:r>
      <w:proofErr w:type="spellEnd"/>
      <w:r>
        <w:t xml:space="preserve"> (</w:t>
      </w:r>
      <w:hyperlink r:id="rId12" w:history="1">
        <w:r w:rsidRPr="006A6C74">
          <w:rPr>
            <w:rStyle w:val="Hyperlink"/>
          </w:rPr>
          <w:t>https://doi.org/10.34894/WPRHFF</w:t>
        </w:r>
      </w:hyperlink>
      <w:r>
        <w:t xml:space="preserve">). The global gridded Gross Domestic Product dataset is available via </w:t>
      </w:r>
      <w:proofErr w:type="spellStart"/>
      <w:r>
        <w:t>Zenodo</w:t>
      </w:r>
      <w:proofErr w:type="spellEnd"/>
      <w:r>
        <w:t xml:space="preserve"> (</w:t>
      </w:r>
      <w:hyperlink r:id="rId13" w:history="1">
        <w:r w:rsidRPr="006A6C74">
          <w:rPr>
            <w:rStyle w:val="Hyperlink"/>
          </w:rPr>
          <w:t>https://doi.org/10.5281/zenodo.10976734</w:t>
        </w:r>
      </w:hyperlink>
      <w:r>
        <w:t xml:space="preserve">). Gridded Population of the World, Version 3, was downloaded from the Centre </w:t>
      </w:r>
      <w:proofErr w:type="gramStart"/>
      <w:r>
        <w:t>For</w:t>
      </w:r>
      <w:proofErr w:type="gramEnd"/>
      <w:r>
        <w:t xml:space="preserve"> International Earth Science Information Network (</w:t>
      </w:r>
      <w:hyperlink r:id="rId14" w:history="1">
        <w:r w:rsidRPr="006A6C74">
          <w:rPr>
            <w:rStyle w:val="Hyperlink"/>
          </w:rPr>
          <w:t>https://sedac.ciesin.columbia.edu/data/set/gpw-v3-population-density/data-download</w:t>
        </w:r>
      </w:hyperlink>
      <w:r>
        <w:t>).</w:t>
      </w:r>
    </w:p>
    <w:p w14:paraId="2A6C7331" w14:textId="77777777" w:rsidR="006B3C54" w:rsidRDefault="00A52EE1">
      <w:pPr>
        <w:pStyle w:val="Heading1"/>
      </w:pPr>
      <w:r>
        <w:t>References</w:t>
      </w:r>
    </w:p>
    <w:p w14:paraId="69DE5D1F" w14:textId="77777777" w:rsidR="005D0DBA" w:rsidRDefault="004C35A0" w:rsidP="005D0DBA">
      <w:pPr>
        <w:pStyle w:val="Bibliography"/>
        <w:rPr>
          <w:rFonts w:ascii="Times New Roman" w:hAnsi="Times New Roman" w:cs="Times New Roman"/>
          <w:sz w:val="24"/>
          <w:szCs w:val="24"/>
        </w:rPr>
      </w:pPr>
      <w:r w:rsidRPr="003845C5">
        <w:fldChar w:fldCharType="begin"/>
      </w:r>
      <w:r w:rsidR="00EF2567">
        <w:instrText xml:space="preserve"> ADDIN ZOTERO_BIBL {"uncited":[],"omitted":[["http://zotero.org/users/10985147/items/69T67KT7"]],"custom":[[["http://zotero.org/users/10985147/items/MS5TPIP3"],"Woodman, T. L., Alexander, P., Burslem, D. F. R. P., Travis, J. M. J., Winkler, K., &amp; Eigenbrod, F. (2025b). {\\i{}Global-scale landscape pattern dataset from 1992 to 2020} [Dataset]. Zenodo. https://doi.org/10.5281/ZENODO.15120267"]]} CSL_BIBLIOGRAPHY </w:instrText>
      </w:r>
      <w:r w:rsidRPr="003845C5">
        <w:fldChar w:fldCharType="separate"/>
      </w:r>
      <w:r w:rsidR="005D0DBA">
        <w:rPr>
          <w:rFonts w:ascii="Times New Roman" w:hAnsi="Times New Roman" w:cs="Times New Roman"/>
          <w:sz w:val="24"/>
          <w:szCs w:val="24"/>
        </w:rPr>
        <w:t xml:space="preserve">Alexander, P., Prestele, R., Verburg, P. H., Arneth, A., Baranzelli, C., Batista e Silva, F., Brown, C., Butler, A., Calvin, K., Dendoncker, N., Doelman, J. C., Dunford, R., Engström, K., Eitelberg, D., Fujimori, S., Harrison, P. A., Hasegawa, T., Havlik, P., Holzhauer, S., … Rounsevell, M. D. A. (2017). Assessing uncertainties in land cover projections. </w:t>
      </w:r>
      <w:r w:rsidR="005D0DBA">
        <w:rPr>
          <w:rFonts w:ascii="Times New Roman" w:hAnsi="Times New Roman" w:cs="Times New Roman"/>
          <w:i/>
          <w:iCs/>
          <w:sz w:val="24"/>
          <w:szCs w:val="24"/>
        </w:rPr>
        <w:t>Global Change Biology</w:t>
      </w:r>
      <w:r w:rsidR="005D0DBA">
        <w:rPr>
          <w:rFonts w:ascii="Times New Roman" w:hAnsi="Times New Roman" w:cs="Times New Roman"/>
          <w:sz w:val="24"/>
          <w:szCs w:val="24"/>
        </w:rPr>
        <w:t xml:space="preserve">, </w:t>
      </w:r>
      <w:r w:rsidR="005D0DBA">
        <w:rPr>
          <w:rFonts w:ascii="Times New Roman" w:hAnsi="Times New Roman" w:cs="Times New Roman"/>
          <w:i/>
          <w:iCs/>
          <w:sz w:val="24"/>
          <w:szCs w:val="24"/>
        </w:rPr>
        <w:t>23</w:t>
      </w:r>
      <w:r w:rsidR="005D0DBA">
        <w:rPr>
          <w:rFonts w:ascii="Times New Roman" w:hAnsi="Times New Roman" w:cs="Times New Roman"/>
          <w:sz w:val="24"/>
          <w:szCs w:val="24"/>
        </w:rPr>
        <w:t>(2), 767–781. https://doi.org/10.1111/gcb.13447</w:t>
      </w:r>
    </w:p>
    <w:p w14:paraId="12A76C2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Alexander, P., Rounsevell, M. D. A., Dislich, C., Dodson, J. R., Engström, K., &amp; Moran, D. (2015). Drivers for global agricultural land use change: The nexus of diet, population, yield and bioenergy. </w:t>
      </w:r>
      <w:r>
        <w:rPr>
          <w:rFonts w:ascii="Times New Roman" w:hAnsi="Times New Roman" w:cs="Times New Roman"/>
          <w:i/>
          <w:iCs/>
          <w:sz w:val="24"/>
          <w:szCs w:val="24"/>
        </w:rPr>
        <w:t>Global Environmental Change</w:t>
      </w:r>
      <w:r>
        <w:rPr>
          <w:rFonts w:ascii="Times New Roman" w:hAnsi="Times New Roman" w:cs="Times New Roman"/>
          <w:sz w:val="24"/>
          <w:szCs w:val="24"/>
        </w:rPr>
        <w:t xml:space="preserve">, </w:t>
      </w:r>
      <w:r>
        <w:rPr>
          <w:rFonts w:ascii="Times New Roman" w:hAnsi="Times New Roman" w:cs="Times New Roman"/>
          <w:i/>
          <w:iCs/>
          <w:sz w:val="24"/>
          <w:szCs w:val="24"/>
        </w:rPr>
        <w:t>35</w:t>
      </w:r>
      <w:r>
        <w:rPr>
          <w:rFonts w:ascii="Times New Roman" w:hAnsi="Times New Roman" w:cs="Times New Roman"/>
          <w:sz w:val="24"/>
          <w:szCs w:val="24"/>
        </w:rPr>
        <w:t>, 138–147. https://doi.org/10.1016/j.gloenvcha.2015.08.011</w:t>
      </w:r>
    </w:p>
    <w:p w14:paraId="3BEC80E9"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Armenteras, D., Espelta, J. M., Rodríguez, N., &amp; Retana, J. (2017). Deforestation dynamics and drivers in different forest types in Latin America: Three decades of studies (1980–2010). </w:t>
      </w:r>
      <w:r>
        <w:rPr>
          <w:rFonts w:ascii="Times New Roman" w:hAnsi="Times New Roman" w:cs="Times New Roman"/>
          <w:i/>
          <w:iCs/>
          <w:sz w:val="24"/>
          <w:szCs w:val="24"/>
        </w:rPr>
        <w:t>Global Environmental Change</w:t>
      </w:r>
      <w:r>
        <w:rPr>
          <w:rFonts w:ascii="Times New Roman" w:hAnsi="Times New Roman" w:cs="Times New Roman"/>
          <w:sz w:val="24"/>
          <w:szCs w:val="24"/>
        </w:rPr>
        <w:t xml:space="preserve">, </w:t>
      </w:r>
      <w:r>
        <w:rPr>
          <w:rFonts w:ascii="Times New Roman" w:hAnsi="Times New Roman" w:cs="Times New Roman"/>
          <w:i/>
          <w:iCs/>
          <w:sz w:val="24"/>
          <w:szCs w:val="24"/>
        </w:rPr>
        <w:t>46</w:t>
      </w:r>
      <w:r>
        <w:rPr>
          <w:rFonts w:ascii="Times New Roman" w:hAnsi="Times New Roman" w:cs="Times New Roman"/>
          <w:sz w:val="24"/>
          <w:szCs w:val="24"/>
        </w:rPr>
        <w:t>, 139–147. https://doi.org/10.1016/j.gloenvcha.2017.09.002</w:t>
      </w:r>
    </w:p>
    <w:p w14:paraId="7B1A50B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Armenteras, D., Rudas, G., Rodriguez, N., Sua, S., &amp; Romero, M. (2006). Patterns and causes of deforestation in the Colombian Amazon. </w:t>
      </w:r>
      <w:r>
        <w:rPr>
          <w:rFonts w:ascii="Times New Roman" w:hAnsi="Times New Roman" w:cs="Times New Roman"/>
          <w:i/>
          <w:iCs/>
          <w:sz w:val="24"/>
          <w:szCs w:val="24"/>
        </w:rPr>
        <w:t>Ecological Indicators</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(2), 353–368. https://doi.org/10.1016/j.ecolind.2005.03.014</w:t>
      </w:r>
    </w:p>
    <w:p w14:paraId="3B96A5A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Asif, M., Kazmi, J. H., Tariq, A., Zhao, N., Guluzade, R., Soufan, W., Almutairi, K. F., Sabagh, A. E., &amp; Aslam, M. (2023). Modelling of land use and land cover changes and prediction using CA-Markov and Random Forest. </w:t>
      </w:r>
      <w:r>
        <w:rPr>
          <w:rFonts w:ascii="Times New Roman" w:hAnsi="Times New Roman" w:cs="Times New Roman"/>
          <w:i/>
          <w:iCs/>
          <w:sz w:val="24"/>
          <w:szCs w:val="24"/>
        </w:rPr>
        <w:t>Geocarto International</w:t>
      </w:r>
      <w:r>
        <w:rPr>
          <w:rFonts w:ascii="Times New Roman" w:hAnsi="Times New Roman" w:cs="Times New Roman"/>
          <w:sz w:val="24"/>
          <w:szCs w:val="24"/>
        </w:rPr>
        <w:t xml:space="preserve">, </w:t>
      </w:r>
      <w:r>
        <w:rPr>
          <w:rFonts w:ascii="Times New Roman" w:hAnsi="Times New Roman" w:cs="Times New Roman"/>
          <w:i/>
          <w:iCs/>
          <w:sz w:val="24"/>
          <w:szCs w:val="24"/>
        </w:rPr>
        <w:t>38</w:t>
      </w:r>
      <w:r>
        <w:rPr>
          <w:rFonts w:ascii="Times New Roman" w:hAnsi="Times New Roman" w:cs="Times New Roman"/>
          <w:sz w:val="24"/>
          <w:szCs w:val="24"/>
        </w:rPr>
        <w:t>(1), 2210532. https://doi.org/10.1080/10106049.2023.2210532</w:t>
      </w:r>
    </w:p>
    <w:p w14:paraId="1D5D4A7D"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Badshah, M. T., Hussain, K., Rehman, A. U., Mehmood, K., Muhammad, B., Wiarta, R., Silamon, R. F., Khan, M. A., &amp; Meng, J. (2024). The role of random forest and Markov chain models in understanding metropolitan urban growth trajectory. </w:t>
      </w:r>
      <w:r>
        <w:rPr>
          <w:rFonts w:ascii="Times New Roman" w:hAnsi="Times New Roman" w:cs="Times New Roman"/>
          <w:i/>
          <w:iCs/>
          <w:sz w:val="24"/>
          <w:szCs w:val="24"/>
        </w:rPr>
        <w:t>Frontiers in Forests and Global Change</w:t>
      </w:r>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 1345047. https://doi.org/10.3389/ffgc.2024.1345047</w:t>
      </w:r>
    </w:p>
    <w:p w14:paraId="1EFF62F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Betts, M. G., Wolf, C., Ripple, W. J., Phalan, B., Millers, K. A., Duarte, A., Butchart, S. H. M., &amp; Levi, T. (2017). Global forest loss disproportionately erodes biodiversity in intact landscapes.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547</w:t>
      </w:r>
      <w:r>
        <w:rPr>
          <w:rFonts w:ascii="Times New Roman" w:hAnsi="Times New Roman" w:cs="Times New Roman"/>
          <w:sz w:val="24"/>
          <w:szCs w:val="24"/>
        </w:rPr>
        <w:t>, 441–444. https://doi.org/10.1038/nature23285</w:t>
      </w:r>
    </w:p>
    <w:p w14:paraId="4683A6F8"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Biecek, P. (2018). DALEX: Explainers for Complex Predictive Models in R. </w:t>
      </w:r>
      <w:r>
        <w:rPr>
          <w:rFonts w:ascii="Times New Roman" w:hAnsi="Times New Roman" w:cs="Times New Roman"/>
          <w:i/>
          <w:iCs/>
          <w:sz w:val="24"/>
          <w:szCs w:val="24"/>
        </w:rPr>
        <w:t>Journal of Machine Learning Research</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(84), 1–5.</w:t>
      </w:r>
    </w:p>
    <w:p w14:paraId="43A955C1"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Biecek, P., &amp; Burzykowski, T. (2021). Partial-dependence Profiles. In </w:t>
      </w:r>
      <w:r>
        <w:rPr>
          <w:rFonts w:ascii="Times New Roman" w:hAnsi="Times New Roman" w:cs="Times New Roman"/>
          <w:i/>
          <w:iCs/>
          <w:sz w:val="24"/>
          <w:szCs w:val="24"/>
        </w:rPr>
        <w:t>Explanatory Model Analysis: Explore, Explain and Examine Predictive Models</w:t>
      </w:r>
      <w:r>
        <w:rPr>
          <w:rFonts w:ascii="Times New Roman" w:hAnsi="Times New Roman" w:cs="Times New Roman"/>
          <w:sz w:val="24"/>
          <w:szCs w:val="24"/>
        </w:rPr>
        <w:t xml:space="preserve"> (1st ed., p. 20). Chapman and Hall/CRC. https://doi.org/10.1201/9780429027192</w:t>
      </w:r>
    </w:p>
    <w:p w14:paraId="524BA8E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Black, A. E., Morgan, P., &amp; Hessburg, P. F. (2003). Social and biophysical correlates of change in forest landscapes of the Interior Columbia Basin, USA. </w:t>
      </w:r>
      <w:r>
        <w:rPr>
          <w:rFonts w:ascii="Times New Roman" w:hAnsi="Times New Roman" w:cs="Times New Roman"/>
          <w:i/>
          <w:iCs/>
          <w:sz w:val="24"/>
          <w:szCs w:val="24"/>
        </w:rPr>
        <w:t>Ecological Applications</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(1), 51–67. https://doi.org/10.1890/1051-0761(2003)013[0051:SABCOC]2.0.CO;2</w:t>
      </w:r>
    </w:p>
    <w:p w14:paraId="3B9B6CF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Bowman, D. (2018). Wildfire science is at a loss for comprehensive data.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560</w:t>
      </w:r>
      <w:r>
        <w:rPr>
          <w:rFonts w:ascii="Times New Roman" w:hAnsi="Times New Roman" w:cs="Times New Roman"/>
          <w:sz w:val="24"/>
          <w:szCs w:val="24"/>
        </w:rPr>
        <w:t>, 7. https://doi.org/10.1038/d41586-018-05840-4</w:t>
      </w:r>
    </w:p>
    <w:p w14:paraId="54AF879C"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Breiman, L. (2001). Random Forests. </w:t>
      </w:r>
      <w:r>
        <w:rPr>
          <w:rFonts w:ascii="Times New Roman" w:hAnsi="Times New Roman" w:cs="Times New Roman"/>
          <w:i/>
          <w:iCs/>
          <w:sz w:val="24"/>
          <w:szCs w:val="24"/>
        </w:rPr>
        <w:t>Machine Learning</w:t>
      </w:r>
      <w:r>
        <w:rPr>
          <w:rFonts w:ascii="Times New Roman" w:hAnsi="Times New Roman" w:cs="Times New Roman"/>
          <w:sz w:val="24"/>
          <w:szCs w:val="24"/>
        </w:rPr>
        <w:t xml:space="preserve">, </w:t>
      </w:r>
      <w:r>
        <w:rPr>
          <w:rFonts w:ascii="Times New Roman" w:hAnsi="Times New Roman" w:cs="Times New Roman"/>
          <w:i/>
          <w:iCs/>
          <w:sz w:val="24"/>
          <w:szCs w:val="24"/>
        </w:rPr>
        <w:t>45</w:t>
      </w:r>
      <w:r>
        <w:rPr>
          <w:rFonts w:ascii="Times New Roman" w:hAnsi="Times New Roman" w:cs="Times New Roman"/>
          <w:sz w:val="24"/>
          <w:szCs w:val="24"/>
        </w:rPr>
        <w:t>, 5–32. https://doi.org/10.1023/A:1010933404324</w:t>
      </w:r>
    </w:p>
    <w:p w14:paraId="6CF243A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Brinck, K., Fischer, R., Groeneveld, J., Lehmann, S., Dantas De Paula, M., Pütz, S., Sexton, J. O., Song, D., &amp; Huth, A. (2017). High resolution analysis of tropical forest fragmentation and its impact on the global carbon cycle. </w:t>
      </w:r>
      <w:r>
        <w:rPr>
          <w:rFonts w:ascii="Times New Roman" w:hAnsi="Times New Roman" w:cs="Times New Roman"/>
          <w:i/>
          <w:iCs/>
          <w:sz w:val="24"/>
          <w:szCs w:val="24"/>
        </w:rPr>
        <w:t>Nature Communications</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 14855. https://doi.org/10.1038/ncomms14855</w:t>
      </w:r>
    </w:p>
    <w:p w14:paraId="2519A77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Cattarino, L., McAlpine, C. A., &amp; Rhodes, J. R. (2014). Land‐use drivers of forest fragmentation vary with spatial scale. </w:t>
      </w:r>
      <w:r>
        <w:rPr>
          <w:rFonts w:ascii="Times New Roman" w:hAnsi="Times New Roman" w:cs="Times New Roman"/>
          <w:i/>
          <w:iCs/>
          <w:sz w:val="24"/>
          <w:szCs w:val="24"/>
        </w:rPr>
        <w:t>Global Ecology and Biogeography</w:t>
      </w:r>
      <w:r>
        <w:rPr>
          <w:rFonts w:ascii="Times New Roman" w:hAnsi="Times New Roman" w:cs="Times New Roman"/>
          <w:sz w:val="24"/>
          <w:szCs w:val="24"/>
        </w:rPr>
        <w:t xml:space="preserve">, </w:t>
      </w:r>
      <w:r>
        <w:rPr>
          <w:rFonts w:ascii="Times New Roman" w:hAnsi="Times New Roman" w:cs="Times New Roman"/>
          <w:i/>
          <w:iCs/>
          <w:sz w:val="24"/>
          <w:szCs w:val="24"/>
        </w:rPr>
        <w:t>23</w:t>
      </w:r>
      <w:r>
        <w:rPr>
          <w:rFonts w:ascii="Times New Roman" w:hAnsi="Times New Roman" w:cs="Times New Roman"/>
          <w:sz w:val="24"/>
          <w:szCs w:val="24"/>
        </w:rPr>
        <w:t>(11), 1215–1224. https://doi.org/10.1111/geb.12187</w:t>
      </w:r>
    </w:p>
    <w:p w14:paraId="643B8089"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Center For International Earth Science Information Network - CIESIN - Columbia University &amp; Centro Internacional De Agricultura Tropical - CIAT. (2005). </w:t>
      </w:r>
      <w:r>
        <w:rPr>
          <w:rFonts w:ascii="Times New Roman" w:hAnsi="Times New Roman" w:cs="Times New Roman"/>
          <w:i/>
          <w:iCs/>
          <w:sz w:val="24"/>
          <w:szCs w:val="24"/>
        </w:rPr>
        <w:t>Gridded Population of the World, Version 3 (GPWv3): Population Density Grid. Palisades, New York: NASA Socioeconomic Data and Applications Center (SEDAC)</w:t>
      </w:r>
      <w:r>
        <w:rPr>
          <w:rFonts w:ascii="Times New Roman" w:hAnsi="Times New Roman" w:cs="Times New Roman"/>
          <w:sz w:val="24"/>
          <w:szCs w:val="24"/>
        </w:rPr>
        <w:t xml:space="preserve"> [Dataset]. [object Object]. https://doi.org/10.7927/H4XK8CG2</w:t>
      </w:r>
    </w:p>
    <w:p w14:paraId="59BEF9F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Curtis, P. G., Slay, C. M., Harris, N. L., Tyukavina, A., &amp; Hansen, M. C. (2018). Classifying drivers of global forest loss. </w:t>
      </w:r>
      <w:r>
        <w:rPr>
          <w:rFonts w:ascii="Times New Roman" w:hAnsi="Times New Roman" w:cs="Times New Roman"/>
          <w:i/>
          <w:iCs/>
          <w:sz w:val="24"/>
          <w:szCs w:val="24"/>
        </w:rPr>
        <w:t>Science</w:t>
      </w:r>
      <w:r>
        <w:rPr>
          <w:rFonts w:ascii="Times New Roman" w:hAnsi="Times New Roman" w:cs="Times New Roman"/>
          <w:sz w:val="24"/>
          <w:szCs w:val="24"/>
        </w:rPr>
        <w:t xml:space="preserve">, </w:t>
      </w:r>
      <w:r>
        <w:rPr>
          <w:rFonts w:ascii="Times New Roman" w:hAnsi="Times New Roman" w:cs="Times New Roman"/>
          <w:i/>
          <w:iCs/>
          <w:sz w:val="24"/>
          <w:szCs w:val="24"/>
        </w:rPr>
        <w:t>361</w:t>
      </w:r>
      <w:r>
        <w:rPr>
          <w:rFonts w:ascii="Times New Roman" w:hAnsi="Times New Roman" w:cs="Times New Roman"/>
          <w:sz w:val="24"/>
          <w:szCs w:val="24"/>
        </w:rPr>
        <w:t>(6407), 1108–1111. https://doi.org/10.1126/science.aau3445</w:t>
      </w:r>
    </w:p>
    <w:p w14:paraId="0E882551"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Davis, J., &amp; Goadrich, M. (2006). The relationship between Precision-Recall and ROC curves. </w:t>
      </w:r>
      <w:r>
        <w:rPr>
          <w:rFonts w:ascii="Times New Roman" w:hAnsi="Times New Roman" w:cs="Times New Roman"/>
          <w:i/>
          <w:iCs/>
          <w:sz w:val="24"/>
          <w:szCs w:val="24"/>
        </w:rPr>
        <w:t>Proceedings of the 23rd International Conference on Machine Learning</w:t>
      </w:r>
      <w:r>
        <w:rPr>
          <w:rFonts w:ascii="Times New Roman" w:hAnsi="Times New Roman" w:cs="Times New Roman"/>
          <w:sz w:val="24"/>
          <w:szCs w:val="24"/>
        </w:rPr>
        <w:t>, 233–240. https://doi.org/10.1145/1143844.1143874</w:t>
      </w:r>
    </w:p>
    <w:p w14:paraId="180C4AD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De Sy, V., Herold, M., Achard, F., Beuchle, R., Clevers, J. G. P. W., Lindquist, E., &amp; Verchot, L. (2015). Land use patterns and related carbon losses following deforestation in South America. </w:t>
      </w:r>
      <w:r>
        <w:rPr>
          <w:rFonts w:ascii="Times New Roman" w:hAnsi="Times New Roman" w:cs="Times New Roman"/>
          <w:i/>
          <w:iCs/>
          <w:sz w:val="24"/>
          <w:szCs w:val="24"/>
        </w:rPr>
        <w:t>Environmental Research Letters</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 124004. https://doi.org/10.1088/1748-9326/10/12/124004</w:t>
      </w:r>
    </w:p>
    <w:p w14:paraId="2A9F558C"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Dendoncker, N., Rounsevell, M., &amp; Bogaert, P. (2007). Spatial analysis and modelling of land use distributions in Belgium. </w:t>
      </w:r>
      <w:r>
        <w:rPr>
          <w:rFonts w:ascii="Times New Roman" w:hAnsi="Times New Roman" w:cs="Times New Roman"/>
          <w:i/>
          <w:iCs/>
          <w:sz w:val="24"/>
          <w:szCs w:val="24"/>
        </w:rPr>
        <w:t>Computers, Environment and Urban Systems</w:t>
      </w:r>
      <w:r>
        <w:rPr>
          <w:rFonts w:ascii="Times New Roman" w:hAnsi="Times New Roman" w:cs="Times New Roman"/>
          <w:sz w:val="24"/>
          <w:szCs w:val="24"/>
        </w:rPr>
        <w:t xml:space="preserve">, </w:t>
      </w:r>
      <w:r>
        <w:rPr>
          <w:rFonts w:ascii="Times New Roman" w:hAnsi="Times New Roman" w:cs="Times New Roman"/>
          <w:i/>
          <w:iCs/>
          <w:sz w:val="24"/>
          <w:szCs w:val="24"/>
        </w:rPr>
        <w:t>31</w:t>
      </w:r>
      <w:r>
        <w:rPr>
          <w:rFonts w:ascii="Times New Roman" w:hAnsi="Times New Roman" w:cs="Times New Roman"/>
          <w:sz w:val="24"/>
          <w:szCs w:val="24"/>
        </w:rPr>
        <w:t>(2), 188–205. https://doi.org/10.1016/j.compenvurbsys.2006.06.004</w:t>
      </w:r>
    </w:p>
    <w:p w14:paraId="3DA1ADF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Dezhkam, S., Jabbarian Amiri, B., Darvishsefat Asghar, A., &amp; Sakieh, Y. (2017). Performance evaluation of land change simulation models using landscape metrics. </w:t>
      </w:r>
      <w:r>
        <w:rPr>
          <w:rFonts w:ascii="Times New Roman" w:hAnsi="Times New Roman" w:cs="Times New Roman"/>
          <w:i/>
          <w:iCs/>
          <w:sz w:val="24"/>
          <w:szCs w:val="24"/>
        </w:rPr>
        <w:t>Geocarto International</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(6), 1–23. https://doi.org/10.1080/10106049.2016.1167967</w:t>
      </w:r>
    </w:p>
    <w:p w14:paraId="7E9C530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Eigenbrod, F., Beckmann, M., Dunnett, S., Graham, L., Holland, R. A., Meyfroidt, P., Seppelt, R., Song, X.-P., Spake, R., Václavík, T., &amp; Verburg, P. H. (2020). Identifying Agricultural Frontiers for Modeling Global Cropland Expansion. </w:t>
      </w:r>
      <w:r>
        <w:rPr>
          <w:rFonts w:ascii="Times New Roman" w:hAnsi="Times New Roman" w:cs="Times New Roman"/>
          <w:i/>
          <w:iCs/>
          <w:sz w:val="24"/>
          <w:szCs w:val="24"/>
        </w:rPr>
        <w:t>One Earth</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(4), 504–514. https://doi.org/10.1016/j.oneear.2020.09.006</w:t>
      </w:r>
    </w:p>
    <w:p w14:paraId="4E29C2AE"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Engert, J. E., Campbell, M. J., Cinner, J. E., Ishida, Y., Sloan, S., Supriatna, J., Alamgir, M., Cislowski, J., &amp; Laurance, W. F. (2024). Ghost roads and the destruction of Asia-Pacific tropical forests.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629</w:t>
      </w:r>
      <w:r>
        <w:rPr>
          <w:rFonts w:ascii="Times New Roman" w:hAnsi="Times New Roman" w:cs="Times New Roman"/>
          <w:sz w:val="24"/>
          <w:szCs w:val="24"/>
        </w:rPr>
        <w:t>, 370–375. https://doi.org/10.1038/s41586-024-07303-5</w:t>
      </w:r>
    </w:p>
    <w:p w14:paraId="331E5B5D"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Fischer, G., Nachtergaele, F. O., van Velthuizen, H. T., Chiozza, F., Franceschini, G., Henry, M., Muchoney, D., &amp; Tramberend, S. (2021). </w:t>
      </w:r>
      <w:r>
        <w:rPr>
          <w:rFonts w:ascii="Times New Roman" w:hAnsi="Times New Roman" w:cs="Times New Roman"/>
          <w:i/>
          <w:iCs/>
          <w:sz w:val="24"/>
          <w:szCs w:val="24"/>
        </w:rPr>
        <w:t>Global Agro-Ecological Zones (GAEZ v4) Model Documentation</w:t>
      </w:r>
      <w:r>
        <w:rPr>
          <w:rFonts w:ascii="Times New Roman" w:hAnsi="Times New Roman" w:cs="Times New Roman"/>
          <w:sz w:val="24"/>
          <w:szCs w:val="24"/>
        </w:rPr>
        <w:t>. FAO &amp; IIASA. https://pure.iiasa.ac.at/id/eprint/17175/1/GAEZ4_model_documentation+app_20210415_withFAOstyles_covers.pdf</w:t>
      </w:r>
    </w:p>
    <w:p w14:paraId="2EA3C39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Foley, J. A., Ramankutty, N., Brauman, K. A., Cassidy, E. S., Gerber, J. S., Johnston, M., Mueller, N. D., O’Connell, C., Ray, D. K., West, P. C., Balzer, C., Bennett, E. M., Carpenter, S. R., Hill, J., Monfreda, C., Polasky, S., Rockström, J., Sheehan, J., Siebert, S., … Zaks, D. P. M. (2011). Solutions for a cultivated planet.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478</w:t>
      </w:r>
      <w:r>
        <w:rPr>
          <w:rFonts w:ascii="Times New Roman" w:hAnsi="Times New Roman" w:cs="Times New Roman"/>
          <w:sz w:val="24"/>
          <w:szCs w:val="24"/>
        </w:rPr>
        <w:t>, 337–342. https://doi.org/10.1038/nature10452</w:t>
      </w:r>
    </w:p>
    <w:p w14:paraId="5B92882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Forzieri, G., Alkama, R., Miralles, D. G., &amp; Cescatti, A. (2017). Satellites reveal contrasting responses of regional climate to the widespread greening of Earth. </w:t>
      </w:r>
      <w:r>
        <w:rPr>
          <w:rFonts w:ascii="Times New Roman" w:hAnsi="Times New Roman" w:cs="Times New Roman"/>
          <w:i/>
          <w:iCs/>
          <w:sz w:val="24"/>
          <w:szCs w:val="24"/>
        </w:rPr>
        <w:t>Science</w:t>
      </w:r>
      <w:r>
        <w:rPr>
          <w:rFonts w:ascii="Times New Roman" w:hAnsi="Times New Roman" w:cs="Times New Roman"/>
          <w:sz w:val="24"/>
          <w:szCs w:val="24"/>
        </w:rPr>
        <w:t xml:space="preserve">, </w:t>
      </w:r>
      <w:r>
        <w:rPr>
          <w:rFonts w:ascii="Times New Roman" w:hAnsi="Times New Roman" w:cs="Times New Roman"/>
          <w:i/>
          <w:iCs/>
          <w:sz w:val="24"/>
          <w:szCs w:val="24"/>
        </w:rPr>
        <w:t>356</w:t>
      </w:r>
      <w:r>
        <w:rPr>
          <w:rFonts w:ascii="Times New Roman" w:hAnsi="Times New Roman" w:cs="Times New Roman"/>
          <w:sz w:val="24"/>
          <w:szCs w:val="24"/>
        </w:rPr>
        <w:t>(6343), 1180–1184. https://doi.org/10.1126/science.aal1727</w:t>
      </w:r>
    </w:p>
    <w:p w14:paraId="1F7D873A"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Frick, H., Fanny, C., Kuhn, M., Mahoney, M., Silge, J., &amp; Wickham, H. (2022). </w:t>
      </w:r>
      <w:r>
        <w:rPr>
          <w:rFonts w:ascii="Times New Roman" w:hAnsi="Times New Roman" w:cs="Times New Roman"/>
          <w:i/>
          <w:iCs/>
          <w:sz w:val="24"/>
          <w:szCs w:val="24"/>
        </w:rPr>
        <w:t>Rsample: General Resampling Infrastructure. R package version 1.1.1. Https://CRAN.R-project.org/package=rsample</w:t>
      </w:r>
      <w:r>
        <w:rPr>
          <w:rFonts w:ascii="Times New Roman" w:hAnsi="Times New Roman" w:cs="Times New Roman"/>
          <w:sz w:val="24"/>
          <w:szCs w:val="24"/>
        </w:rPr>
        <w:t xml:space="preserve"> (Version R package version 1.1.1) [Computer software]. https://CRAN.R-project.org/package=rsample</w:t>
      </w:r>
    </w:p>
    <w:p w14:paraId="2DB96DC0"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Gaudreault, J.-G., &amp; Branco, P. (2024). Empirical analysis of performance assessment for imbalanced classification. </w:t>
      </w:r>
      <w:r>
        <w:rPr>
          <w:rFonts w:ascii="Times New Roman" w:hAnsi="Times New Roman" w:cs="Times New Roman"/>
          <w:i/>
          <w:iCs/>
          <w:sz w:val="24"/>
          <w:szCs w:val="24"/>
        </w:rPr>
        <w:t>Machine Learning</w:t>
      </w:r>
      <w:r>
        <w:rPr>
          <w:rFonts w:ascii="Times New Roman" w:hAnsi="Times New Roman" w:cs="Times New Roman"/>
          <w:sz w:val="24"/>
          <w:szCs w:val="24"/>
        </w:rPr>
        <w:t xml:space="preserve">, </w:t>
      </w:r>
      <w:r>
        <w:rPr>
          <w:rFonts w:ascii="Times New Roman" w:hAnsi="Times New Roman" w:cs="Times New Roman"/>
          <w:i/>
          <w:iCs/>
          <w:sz w:val="24"/>
          <w:szCs w:val="24"/>
        </w:rPr>
        <w:t>113</w:t>
      </w:r>
      <w:r>
        <w:rPr>
          <w:rFonts w:ascii="Times New Roman" w:hAnsi="Times New Roman" w:cs="Times New Roman"/>
          <w:sz w:val="24"/>
          <w:szCs w:val="24"/>
        </w:rPr>
        <w:t>, 5533–5575. https://doi.org/10.1007/s10994-023-06497-5</w:t>
      </w:r>
    </w:p>
    <w:p w14:paraId="3DB422A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Geist, H. J., &amp; Lambin, E. F. (2002). Proximate Causes and Underlying Driving Forces of Tropical Deforestation: Tropical forests are disappearing as the result of many pressures, both local and regional, acting in various combinations in different geographical locations. </w:t>
      </w:r>
      <w:r>
        <w:rPr>
          <w:rFonts w:ascii="Times New Roman" w:hAnsi="Times New Roman" w:cs="Times New Roman"/>
          <w:i/>
          <w:iCs/>
          <w:sz w:val="24"/>
          <w:szCs w:val="24"/>
        </w:rPr>
        <w:t>BioScience</w:t>
      </w:r>
      <w:r>
        <w:rPr>
          <w:rFonts w:ascii="Times New Roman" w:hAnsi="Times New Roman" w:cs="Times New Roman"/>
          <w:sz w:val="24"/>
          <w:szCs w:val="24"/>
        </w:rPr>
        <w:t xml:space="preserve">, </w:t>
      </w:r>
      <w:r>
        <w:rPr>
          <w:rFonts w:ascii="Times New Roman" w:hAnsi="Times New Roman" w:cs="Times New Roman"/>
          <w:i/>
          <w:iCs/>
          <w:sz w:val="24"/>
          <w:szCs w:val="24"/>
        </w:rPr>
        <w:t>52</w:t>
      </w:r>
      <w:r>
        <w:rPr>
          <w:rFonts w:ascii="Times New Roman" w:hAnsi="Times New Roman" w:cs="Times New Roman"/>
          <w:sz w:val="24"/>
          <w:szCs w:val="24"/>
        </w:rPr>
        <w:t>(2), 143–150. https://doi.org/10.1641/0006-3568(2002)052[0143:PCAUDF]2.0.CO;2</w:t>
      </w:r>
    </w:p>
    <w:p w14:paraId="42A1906C"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Greenwell, B., M., &amp; Boehmke, B., C. (2020). Variable Importance Plots—An Introduction to the vip Package. </w:t>
      </w:r>
      <w:r>
        <w:rPr>
          <w:rFonts w:ascii="Times New Roman" w:hAnsi="Times New Roman" w:cs="Times New Roman"/>
          <w:i/>
          <w:iCs/>
          <w:sz w:val="24"/>
          <w:szCs w:val="24"/>
        </w:rPr>
        <w:t>The R Journal</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(1), 343. https://doi.org/10.32614/RJ-2020-013</w:t>
      </w:r>
    </w:p>
    <w:p w14:paraId="4B2E4478"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Gustafson, E. J. (1998). Quantifying Landscape Spatial Pattern: What Is the State of the Art? </w:t>
      </w:r>
      <w:r>
        <w:rPr>
          <w:rFonts w:ascii="Times New Roman" w:hAnsi="Times New Roman" w:cs="Times New Roman"/>
          <w:i/>
          <w:iCs/>
          <w:sz w:val="24"/>
          <w:szCs w:val="24"/>
        </w:rPr>
        <w:t>Ecosystems</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 143–156. https://doi.org/10.1007/s100219900011</w:t>
      </w:r>
    </w:p>
    <w:p w14:paraId="4905832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Gustafson, E. J. (2019). How has the state-of-the-art for quantification of landscape pattern advanced in the twenty-first century? </w:t>
      </w:r>
      <w:r>
        <w:rPr>
          <w:rFonts w:ascii="Times New Roman" w:hAnsi="Times New Roman" w:cs="Times New Roman"/>
          <w:i/>
          <w:iCs/>
          <w:sz w:val="24"/>
          <w:szCs w:val="24"/>
        </w:rPr>
        <w:t>Landscape Ecology</w:t>
      </w:r>
      <w:r>
        <w:rPr>
          <w:rFonts w:ascii="Times New Roman" w:hAnsi="Times New Roman" w:cs="Times New Roman"/>
          <w:sz w:val="24"/>
          <w:szCs w:val="24"/>
        </w:rPr>
        <w:t xml:space="preserve">, </w:t>
      </w:r>
      <w:r>
        <w:rPr>
          <w:rFonts w:ascii="Times New Roman" w:hAnsi="Times New Roman" w:cs="Times New Roman"/>
          <w:i/>
          <w:iCs/>
          <w:sz w:val="24"/>
          <w:szCs w:val="24"/>
        </w:rPr>
        <w:t>34</w:t>
      </w:r>
      <w:r>
        <w:rPr>
          <w:rFonts w:ascii="Times New Roman" w:hAnsi="Times New Roman" w:cs="Times New Roman"/>
          <w:sz w:val="24"/>
          <w:szCs w:val="24"/>
        </w:rPr>
        <w:t>, 2065–2072. https://doi.org/10.1007/s10980-018-0709-x</w:t>
      </w:r>
    </w:p>
    <w:p w14:paraId="7384C3D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Haddad, N. M., Brudvig, L. A., Clobert, J., Davies, K. F., Gonzalez, A., Holt, R. D., Lovejoy, T. E., Sexton, J. O., Austin, M. P., Collins, C. D., Cook, W. M., Damschen, E. I., Ewers, R. M., Foster, B. L., Jenkins, C. N., King, A. J., Laurance, W. F., Levey, D. J., </w:t>
      </w:r>
      <w:r>
        <w:rPr>
          <w:rFonts w:ascii="Times New Roman" w:hAnsi="Times New Roman" w:cs="Times New Roman"/>
          <w:sz w:val="24"/>
          <w:szCs w:val="24"/>
        </w:rPr>
        <w:lastRenderedPageBreak/>
        <w:t xml:space="preserve">Margules, C. R., … Townshend, J. R. (2015). Habitat fragmentation and its lasting impact on Earth’s ecosystems. </w:t>
      </w:r>
      <w:r>
        <w:rPr>
          <w:rFonts w:ascii="Times New Roman" w:hAnsi="Times New Roman" w:cs="Times New Roman"/>
          <w:i/>
          <w:iCs/>
          <w:sz w:val="24"/>
          <w:szCs w:val="24"/>
        </w:rPr>
        <w:t>Science Advances</w:t>
      </w:r>
      <w:r>
        <w:rPr>
          <w:rFonts w:ascii="Times New Roman" w:hAnsi="Times New Roman" w:cs="Times New Roman"/>
          <w:sz w:val="24"/>
          <w:szCs w:val="24"/>
        </w:rPr>
        <w:t xml:space="preserve">, </w:t>
      </w:r>
      <w:r>
        <w:rPr>
          <w:rFonts w:ascii="Times New Roman" w:hAnsi="Times New Roman" w:cs="Times New Roman"/>
          <w:i/>
          <w:iCs/>
          <w:sz w:val="24"/>
          <w:szCs w:val="24"/>
        </w:rPr>
        <w:t>1</w:t>
      </w:r>
      <w:r>
        <w:rPr>
          <w:rFonts w:ascii="Times New Roman" w:hAnsi="Times New Roman" w:cs="Times New Roman"/>
          <w:sz w:val="24"/>
          <w:szCs w:val="24"/>
        </w:rPr>
        <w:t>(2), e1500052. https://doi.org/10.1126/sciadv.1500052</w:t>
      </w:r>
    </w:p>
    <w:p w14:paraId="475AA93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Hansen, M. C., Wang, L., Song, X.-P., Tyukavina, A., Turubanova, S., Potapov, P. V., &amp; Stehman, S. V. (2020). The fate of tropical forest fragments. </w:t>
      </w:r>
      <w:r>
        <w:rPr>
          <w:rFonts w:ascii="Times New Roman" w:hAnsi="Times New Roman" w:cs="Times New Roman"/>
          <w:i/>
          <w:iCs/>
          <w:sz w:val="24"/>
          <w:szCs w:val="24"/>
        </w:rPr>
        <w:t>Science Advances</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(11), eaax8574. https://doi.org/10.1126/sciadv.aax8574</w:t>
      </w:r>
    </w:p>
    <w:p w14:paraId="7C1A51C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Hastie, T., Tibshirani, R., &amp; Friedman, J. (2009). </w:t>
      </w:r>
      <w:r>
        <w:rPr>
          <w:rFonts w:ascii="Times New Roman" w:hAnsi="Times New Roman" w:cs="Times New Roman"/>
          <w:i/>
          <w:iCs/>
          <w:sz w:val="24"/>
          <w:szCs w:val="24"/>
        </w:rPr>
        <w:t>The Elements of Statistical Learning</w:t>
      </w:r>
      <w:r>
        <w:rPr>
          <w:rFonts w:ascii="Times New Roman" w:hAnsi="Times New Roman" w:cs="Times New Roman"/>
          <w:sz w:val="24"/>
          <w:szCs w:val="24"/>
        </w:rPr>
        <w:t>. Springer New York. https://doi.org/10.1007/978-0-387-84858-7</w:t>
      </w:r>
    </w:p>
    <w:p w14:paraId="18C1603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Hatna, E., &amp; Bakker, M. M. (2011). Abandonment and Expansion of Arable Land in Europe. </w:t>
      </w:r>
      <w:r>
        <w:rPr>
          <w:rFonts w:ascii="Times New Roman" w:hAnsi="Times New Roman" w:cs="Times New Roman"/>
          <w:i/>
          <w:iCs/>
          <w:sz w:val="24"/>
          <w:szCs w:val="24"/>
        </w:rPr>
        <w:t>Ecosystems</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 720–731. https://doi.org/10.1007/s10021-011-9441-y</w:t>
      </w:r>
    </w:p>
    <w:p w14:paraId="4D942A8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Hertel, T. W., West, T. A. P., Börner, J., &amp; Villoria, N. B. (2019). A review of global-local-global linkages in economic land-use/cover change models. </w:t>
      </w:r>
      <w:r>
        <w:rPr>
          <w:rFonts w:ascii="Times New Roman" w:hAnsi="Times New Roman" w:cs="Times New Roman"/>
          <w:i/>
          <w:iCs/>
          <w:sz w:val="24"/>
          <w:szCs w:val="24"/>
        </w:rPr>
        <w:t>Environmental Research Letters</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(5), 053003. https://doi.org/10.1088/1748-9326/ab0d33</w:t>
      </w:r>
    </w:p>
    <w:p w14:paraId="482FE750"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Hijmans, R. J. (2022). </w:t>
      </w:r>
      <w:r>
        <w:rPr>
          <w:rFonts w:ascii="Times New Roman" w:hAnsi="Times New Roman" w:cs="Times New Roman"/>
          <w:i/>
          <w:iCs/>
          <w:sz w:val="24"/>
          <w:szCs w:val="24"/>
        </w:rPr>
        <w:t>Terra: Spatial Data Analysis. R package version 1.7-23. Https://rspatial.org/terra/</w:t>
      </w:r>
      <w:r>
        <w:rPr>
          <w:rFonts w:ascii="Times New Roman" w:hAnsi="Times New Roman" w:cs="Times New Roman"/>
          <w:sz w:val="24"/>
          <w:szCs w:val="24"/>
        </w:rPr>
        <w:t xml:space="preserve"> [Computer software]. https://rspatial.org/terra/</w:t>
      </w:r>
    </w:p>
    <w:p w14:paraId="70C9CE5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Hull, V., &amp; Liu, J. (2018). Telecoupling: A new frontier for global sustainability. </w:t>
      </w:r>
      <w:r>
        <w:rPr>
          <w:rFonts w:ascii="Times New Roman" w:hAnsi="Times New Roman" w:cs="Times New Roman"/>
          <w:i/>
          <w:iCs/>
          <w:sz w:val="24"/>
          <w:szCs w:val="24"/>
        </w:rPr>
        <w:t>Ecology and Society</w:t>
      </w:r>
      <w:r>
        <w:rPr>
          <w:rFonts w:ascii="Times New Roman" w:hAnsi="Times New Roman" w:cs="Times New Roman"/>
          <w:sz w:val="24"/>
          <w:szCs w:val="24"/>
        </w:rPr>
        <w:t xml:space="preserve">, </w:t>
      </w:r>
      <w:r>
        <w:rPr>
          <w:rFonts w:ascii="Times New Roman" w:hAnsi="Times New Roman" w:cs="Times New Roman"/>
          <w:i/>
          <w:iCs/>
          <w:sz w:val="24"/>
          <w:szCs w:val="24"/>
        </w:rPr>
        <w:t>23</w:t>
      </w:r>
      <w:r>
        <w:rPr>
          <w:rFonts w:ascii="Times New Roman" w:hAnsi="Times New Roman" w:cs="Times New Roman"/>
          <w:sz w:val="24"/>
          <w:szCs w:val="24"/>
        </w:rPr>
        <w:t>(4), 41. https://doi.org/10.5751/ES-10494-230441</w:t>
      </w:r>
    </w:p>
    <w:p w14:paraId="08FDB720"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Hvitfeldt, E. (2023). </w:t>
      </w:r>
      <w:r>
        <w:rPr>
          <w:rFonts w:ascii="Times New Roman" w:hAnsi="Times New Roman" w:cs="Times New Roman"/>
          <w:i/>
          <w:iCs/>
          <w:sz w:val="24"/>
          <w:szCs w:val="24"/>
        </w:rPr>
        <w:t>Themis: Extra Recipes Steps for Dealing with Unbalanced Data. R package version 1.0.2. Https://CRAN.R-project.org/package=themis</w:t>
      </w:r>
      <w:r>
        <w:rPr>
          <w:rFonts w:ascii="Times New Roman" w:hAnsi="Times New Roman" w:cs="Times New Roman"/>
          <w:sz w:val="24"/>
          <w:szCs w:val="24"/>
        </w:rPr>
        <w:t xml:space="preserve"> [Computer software]. https://CRAN.R-project.org/package=themis</w:t>
      </w:r>
    </w:p>
    <w:p w14:paraId="08670019"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Jacobson, A. P., Riggio, J., Tait, A. M., &amp; Baillie, J. E. M. (2019). Global areas of low human impact (‘Low Impact Areas’) and fragmentation of the natural world. </w:t>
      </w:r>
      <w:r>
        <w:rPr>
          <w:rFonts w:ascii="Times New Roman" w:hAnsi="Times New Roman" w:cs="Times New Roman"/>
          <w:i/>
          <w:iCs/>
          <w:sz w:val="24"/>
          <w:szCs w:val="24"/>
        </w:rPr>
        <w:t>Scientific Reports</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14179. https://doi.org/10.1038/s41598-019-50558-6</w:t>
      </w:r>
    </w:p>
    <w:p w14:paraId="727B7EC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Jaureguiberry, P., Titeux, N., Wiemers, M., Bowler, D. E., Coscieme, L., Golden, A. S., Guerra, C. A., Jacob, U., Takahashi, Y., Settele, J., Díaz, S., Molnár, Z., &amp; Purvis, A. (2022). </w:t>
      </w:r>
      <w:r>
        <w:rPr>
          <w:rFonts w:ascii="Times New Roman" w:hAnsi="Times New Roman" w:cs="Times New Roman"/>
          <w:sz w:val="24"/>
          <w:szCs w:val="24"/>
        </w:rPr>
        <w:lastRenderedPageBreak/>
        <w:t xml:space="preserve">The direct drivers of recent global anthropogenic biodiversity loss. </w:t>
      </w:r>
      <w:r>
        <w:rPr>
          <w:rFonts w:ascii="Times New Roman" w:hAnsi="Times New Roman" w:cs="Times New Roman"/>
          <w:i/>
          <w:iCs/>
          <w:sz w:val="24"/>
          <w:szCs w:val="24"/>
        </w:rPr>
        <w:t>Science Advances</w:t>
      </w:r>
      <w:r>
        <w:rPr>
          <w:rFonts w:ascii="Times New Roman" w:hAnsi="Times New Roman" w:cs="Times New Roman"/>
          <w:sz w:val="24"/>
          <w:szCs w:val="24"/>
        </w:rPr>
        <w:t xml:space="preserve">, </w:t>
      </w:r>
      <w:r>
        <w:rPr>
          <w:rFonts w:ascii="Times New Roman" w:hAnsi="Times New Roman" w:cs="Times New Roman"/>
          <w:i/>
          <w:iCs/>
          <w:sz w:val="24"/>
          <w:szCs w:val="24"/>
        </w:rPr>
        <w:t>2022</w:t>
      </w:r>
      <w:r>
        <w:rPr>
          <w:rFonts w:ascii="Times New Roman" w:hAnsi="Times New Roman" w:cs="Times New Roman"/>
          <w:sz w:val="24"/>
          <w:szCs w:val="24"/>
        </w:rPr>
        <w:t>(November), eabm9982. https://doi.org/10.1126/sciadv.abm9982</w:t>
      </w:r>
    </w:p>
    <w:p w14:paraId="06BB348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Jia, G., Shevliakova, E., Artaxo, P., De Noblet-Ducoudré, N., Houghton, R., House, J., Kitajima, K., Lennard, C., Popp, A., Sirin, A., Sukumar, R., &amp; Verchot, L. (2019). Land–climate interactions. In P. R. Shukla, J. Skea, E. Calvo Buendia, V. Masson-Delmotte, H.-O. Pörtner, D. C. Roberts, P. Zhai, R. Slade, S. Connors, R. van Diemen, M. Ferrat, E. Haughey, S. Luz, S. Neogi, M. Pathak, J. Petzold, J. Portugal Pereira, P. Vyas, E. Huntley, … J. Malley (Eds.), </w:t>
      </w:r>
      <w:r>
        <w:rPr>
          <w:rFonts w:ascii="Times New Roman" w:hAnsi="Times New Roman" w:cs="Times New Roman"/>
          <w:i/>
          <w:iCs/>
          <w:sz w:val="24"/>
          <w:szCs w:val="24"/>
        </w:rPr>
        <w:t>Climate Change and Land: An IPCC special report on climate change, desertification, land degradation, sustainable land management, food security, and greenhouse gas fluxes in terrestrial ecosystems</w:t>
      </w:r>
      <w:r>
        <w:rPr>
          <w:rFonts w:ascii="Times New Roman" w:hAnsi="Times New Roman" w:cs="Times New Roman"/>
          <w:sz w:val="24"/>
          <w:szCs w:val="24"/>
        </w:rPr>
        <w:t xml:space="preserve"> (pp. 131–248). https://doi.org/10.1017/9781009157988.004</w:t>
      </w:r>
    </w:p>
    <w:p w14:paraId="56DB7E67"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Kuhn, M., Vaughan, D., &amp; Hvitfeldt, E. (2023). </w:t>
      </w:r>
      <w:r>
        <w:rPr>
          <w:rFonts w:ascii="Times New Roman" w:hAnsi="Times New Roman" w:cs="Times New Roman"/>
          <w:i/>
          <w:iCs/>
          <w:sz w:val="24"/>
          <w:szCs w:val="24"/>
        </w:rPr>
        <w:t>Yardstick: Tidy Characterizations of Model Performance. R package version 1.2.0.   Https://CRAN.R-project.org/package=yardstick</w:t>
      </w:r>
      <w:r>
        <w:rPr>
          <w:rFonts w:ascii="Times New Roman" w:hAnsi="Times New Roman" w:cs="Times New Roman"/>
          <w:sz w:val="24"/>
          <w:szCs w:val="24"/>
        </w:rPr>
        <w:t xml:space="preserve"> (Version R package version 1.2.0) [Computer software]. https://CRAN.R-project.org/package=yardstick</w:t>
      </w:r>
    </w:p>
    <w:p w14:paraId="3D8D2151"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Kuhn, M., &amp; Wickham, H. (2020). </w:t>
      </w:r>
      <w:r>
        <w:rPr>
          <w:rFonts w:ascii="Times New Roman" w:hAnsi="Times New Roman" w:cs="Times New Roman"/>
          <w:i/>
          <w:iCs/>
          <w:sz w:val="24"/>
          <w:szCs w:val="24"/>
        </w:rPr>
        <w:t>Tidymodels: A collection of packages for modeling and machine learning using tidyverse principles</w:t>
      </w:r>
      <w:r>
        <w:rPr>
          <w:rFonts w:ascii="Times New Roman" w:hAnsi="Times New Roman" w:cs="Times New Roman"/>
          <w:sz w:val="24"/>
          <w:szCs w:val="24"/>
        </w:rPr>
        <w:t xml:space="preserve"> [Computer software]. https://www.tidymodels.org</w:t>
      </w:r>
    </w:p>
    <w:p w14:paraId="6A43E97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Kuhn, M., Wickham, H., &amp; Hvitfeldt, E. (2023). </w:t>
      </w:r>
      <w:r>
        <w:rPr>
          <w:rFonts w:ascii="Times New Roman" w:hAnsi="Times New Roman" w:cs="Times New Roman"/>
          <w:i/>
          <w:iCs/>
          <w:sz w:val="24"/>
          <w:szCs w:val="24"/>
        </w:rPr>
        <w:t>Recipes: Preprocessing and Feature Engineering Steps for Modeling. R package version 1.0.6. Https://CRAN.R-project.org/package=recipes</w:t>
      </w:r>
      <w:r>
        <w:rPr>
          <w:rFonts w:ascii="Times New Roman" w:hAnsi="Times New Roman" w:cs="Times New Roman"/>
          <w:sz w:val="24"/>
          <w:szCs w:val="24"/>
        </w:rPr>
        <w:t xml:space="preserve"> [Computer software]. https://CRAN.R-project.org/package=recipes</w:t>
      </w:r>
    </w:p>
    <w:p w14:paraId="4A60F158"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Kummu, M., Kosonen, M., &amp; Masoumzadeh Sayyar, S. (2024). </w:t>
      </w:r>
      <w:r>
        <w:rPr>
          <w:rFonts w:ascii="Times New Roman" w:hAnsi="Times New Roman" w:cs="Times New Roman"/>
          <w:i/>
          <w:iCs/>
          <w:sz w:val="24"/>
          <w:szCs w:val="24"/>
        </w:rPr>
        <w:t xml:space="preserve">Data for: Downscaled gridded global dataset for Gross Domestic Product (GDP) per capita at purchasing power </w:t>
      </w:r>
      <w:r>
        <w:rPr>
          <w:rFonts w:ascii="Times New Roman" w:hAnsi="Times New Roman" w:cs="Times New Roman"/>
          <w:i/>
          <w:iCs/>
          <w:sz w:val="24"/>
          <w:szCs w:val="24"/>
        </w:rPr>
        <w:lastRenderedPageBreak/>
        <w:t>parity (PPP) over 1990-2022 [dataset]</w:t>
      </w:r>
      <w:r>
        <w:rPr>
          <w:rFonts w:ascii="Times New Roman" w:hAnsi="Times New Roman" w:cs="Times New Roman"/>
          <w:sz w:val="24"/>
          <w:szCs w:val="24"/>
        </w:rPr>
        <w:t xml:space="preserve"> [Dataset]. Zenodo. https://doi.org/10.5281/ZENODO.10976734</w:t>
      </w:r>
    </w:p>
    <w:p w14:paraId="041798C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Kummu, M., Kosonen, M., &amp; Masoumzadeh Sayyar, S. (2025). Downscaled gridded global dataset for gross domestic product (GDP) per capita PPP over 1990–2022. </w:t>
      </w:r>
      <w:r>
        <w:rPr>
          <w:rFonts w:ascii="Times New Roman" w:hAnsi="Times New Roman" w:cs="Times New Roman"/>
          <w:i/>
          <w:iCs/>
          <w:sz w:val="24"/>
          <w:szCs w:val="24"/>
        </w:rPr>
        <w:t>Scientific Data</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 178. https://doi.org/10.1038/s41597-025-04487-x</w:t>
      </w:r>
    </w:p>
    <w:p w14:paraId="184C118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Lesiv, M., Laso Bayas, J. C., See, L., Duerauer, M., Dahlia, D., Durando, N., Hazarika, R., Kumar Sahariah, P., Vakolyuk, M., Blyshchyk, V., Bilous, A., Perez‐Hoyos, A., Gengler, S., Prestele, R., Bilous, S., Akhtar, I. U. H., Singha, K., Choudhury, S. B., Chetri, T., … Fritz, S. (2019). Estimating the global distribution of field size using crowdsourcing. </w:t>
      </w:r>
      <w:r>
        <w:rPr>
          <w:rFonts w:ascii="Times New Roman" w:hAnsi="Times New Roman" w:cs="Times New Roman"/>
          <w:i/>
          <w:iCs/>
          <w:sz w:val="24"/>
          <w:szCs w:val="24"/>
        </w:rPr>
        <w:t>Global Change Biology</w:t>
      </w:r>
      <w:r>
        <w:rPr>
          <w:rFonts w:ascii="Times New Roman" w:hAnsi="Times New Roman" w:cs="Times New Roman"/>
          <w:sz w:val="24"/>
          <w:szCs w:val="24"/>
        </w:rPr>
        <w:t xml:space="preserve">, </w:t>
      </w:r>
      <w:r>
        <w:rPr>
          <w:rFonts w:ascii="Times New Roman" w:hAnsi="Times New Roman" w:cs="Times New Roman"/>
          <w:i/>
          <w:iCs/>
          <w:sz w:val="24"/>
          <w:szCs w:val="24"/>
        </w:rPr>
        <w:t>25</w:t>
      </w:r>
      <w:r>
        <w:rPr>
          <w:rFonts w:ascii="Times New Roman" w:hAnsi="Times New Roman" w:cs="Times New Roman"/>
          <w:sz w:val="24"/>
          <w:szCs w:val="24"/>
        </w:rPr>
        <w:t>(1), 174–186. https://doi.org/10.1111/gcb.14492</w:t>
      </w:r>
    </w:p>
    <w:p w14:paraId="3948898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Lesiv, M., Schepaschenko, D., Buchhorn, M., See, L., Dürauer, M., Georgieva, I., Jung, M., Hofhansl, F., Schulze, K., Bilous, A., Blyshchyk, V., Mukhortova, L., Brenes, C. L. M., Krivobokov, L., Ntie, S., Tsogt, K., Pietsch, S. A., Tikhonova, E., Kim, M., … Fritz, S. (2022). Global forest management data for 2015 at a 100 m resolution. </w:t>
      </w:r>
      <w:r>
        <w:rPr>
          <w:rFonts w:ascii="Times New Roman" w:hAnsi="Times New Roman" w:cs="Times New Roman"/>
          <w:i/>
          <w:iCs/>
          <w:sz w:val="24"/>
          <w:szCs w:val="24"/>
        </w:rPr>
        <w:t>Scientific Data</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199. https://doi.org/10.1038/s41597-022-01332-3</w:t>
      </w:r>
    </w:p>
    <w:p w14:paraId="2ED20AE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Levers, C., Schneider, M., Prishchepov, A. V., Estel, S., &amp; Kuemmerle, T. (2018). Spatial variation in determinants of agricultural land abandonment in Europe. </w:t>
      </w:r>
      <w:r>
        <w:rPr>
          <w:rFonts w:ascii="Times New Roman" w:hAnsi="Times New Roman" w:cs="Times New Roman"/>
          <w:i/>
          <w:iCs/>
          <w:sz w:val="24"/>
          <w:szCs w:val="24"/>
        </w:rPr>
        <w:t>Science of The Total Environment</w:t>
      </w:r>
      <w:r>
        <w:rPr>
          <w:rFonts w:ascii="Times New Roman" w:hAnsi="Times New Roman" w:cs="Times New Roman"/>
          <w:sz w:val="24"/>
          <w:szCs w:val="24"/>
        </w:rPr>
        <w:t xml:space="preserve">, </w:t>
      </w:r>
      <w:r>
        <w:rPr>
          <w:rFonts w:ascii="Times New Roman" w:hAnsi="Times New Roman" w:cs="Times New Roman"/>
          <w:i/>
          <w:iCs/>
          <w:sz w:val="24"/>
          <w:szCs w:val="24"/>
        </w:rPr>
        <w:t>644</w:t>
      </w:r>
      <w:r>
        <w:rPr>
          <w:rFonts w:ascii="Times New Roman" w:hAnsi="Times New Roman" w:cs="Times New Roman"/>
          <w:sz w:val="24"/>
          <w:szCs w:val="24"/>
        </w:rPr>
        <w:t>, 95–111. https://doi.org/10.1016/j.scitotenv.2018.06.326</w:t>
      </w:r>
    </w:p>
    <w:p w14:paraId="4AF9964A"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Leyk, S., Gaughan, A. E., Adamo, S. B., de Sherbinin, A., Balk, D., Freire, S., Rose, A., Stevens, F. R., Blankespoor, B., Frye, C., Comenetz, J., Sorichetta, A., MacManus, K., Pistolesi, L., Levy, M., Tatem, A. J., &amp; Pesaresi, M. (2019). The spatial allocation of population: A review of large-scale gridded population data products and their fitness for use. </w:t>
      </w:r>
      <w:r>
        <w:rPr>
          <w:rFonts w:ascii="Times New Roman" w:hAnsi="Times New Roman" w:cs="Times New Roman"/>
          <w:i/>
          <w:iCs/>
          <w:sz w:val="24"/>
          <w:szCs w:val="24"/>
        </w:rPr>
        <w:t>Earth System Science Data</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(3), 1385–1409. https://doi.org/10.5194/essd-11-1385-2019</w:t>
      </w:r>
    </w:p>
    <w:p w14:paraId="6407623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Lin, J., Li, X., Li, S., &amp; Wen, Y. (2020). What is the influence of landscape metric selection on the calibration of land-use/cover simulation models? </w:t>
      </w:r>
      <w:r>
        <w:rPr>
          <w:rFonts w:ascii="Times New Roman" w:hAnsi="Times New Roman" w:cs="Times New Roman"/>
          <w:i/>
          <w:iCs/>
          <w:sz w:val="24"/>
          <w:szCs w:val="24"/>
        </w:rPr>
        <w:t>Environmental Modelling &amp; Software</w:t>
      </w:r>
      <w:r>
        <w:rPr>
          <w:rFonts w:ascii="Times New Roman" w:hAnsi="Times New Roman" w:cs="Times New Roman"/>
          <w:sz w:val="24"/>
          <w:szCs w:val="24"/>
        </w:rPr>
        <w:t xml:space="preserve">, </w:t>
      </w:r>
      <w:r>
        <w:rPr>
          <w:rFonts w:ascii="Times New Roman" w:hAnsi="Times New Roman" w:cs="Times New Roman"/>
          <w:i/>
          <w:iCs/>
          <w:sz w:val="24"/>
          <w:szCs w:val="24"/>
        </w:rPr>
        <w:t>129</w:t>
      </w:r>
      <w:r>
        <w:rPr>
          <w:rFonts w:ascii="Times New Roman" w:hAnsi="Times New Roman" w:cs="Times New Roman"/>
          <w:sz w:val="24"/>
          <w:szCs w:val="24"/>
        </w:rPr>
        <w:t>, 104719. https://doi.org/10.1016/j.envsoft.2020.104719</w:t>
      </w:r>
    </w:p>
    <w:p w14:paraId="0A4F767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Lloyd, C. D. (2014). The Modifiable Areal Unit Problem. In </w:t>
      </w:r>
      <w:r>
        <w:rPr>
          <w:rFonts w:ascii="Times New Roman" w:hAnsi="Times New Roman" w:cs="Times New Roman"/>
          <w:i/>
          <w:iCs/>
          <w:sz w:val="24"/>
          <w:szCs w:val="24"/>
        </w:rPr>
        <w:t>Exploring Spatial Scale in Geography</w:t>
      </w:r>
      <w:r>
        <w:rPr>
          <w:rFonts w:ascii="Times New Roman" w:hAnsi="Times New Roman" w:cs="Times New Roman"/>
          <w:sz w:val="24"/>
          <w:szCs w:val="24"/>
        </w:rPr>
        <w:t xml:space="preserve"> (1st ed., pp. 29–44). John Wiley &amp; Sons, Ltd. https://doi.org/10.1002/9781118526729</w:t>
      </w:r>
    </w:p>
    <w:p w14:paraId="2580FD6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Lowder, S. K., Skoet, J., &amp; Raney, T. (2016). The Number, Size, and Distribution of Farms, Smallholder Farms, and Family Farms Worldwide. </w:t>
      </w:r>
      <w:r>
        <w:rPr>
          <w:rFonts w:ascii="Times New Roman" w:hAnsi="Times New Roman" w:cs="Times New Roman"/>
          <w:i/>
          <w:iCs/>
          <w:sz w:val="24"/>
          <w:szCs w:val="24"/>
        </w:rPr>
        <w:t>World Development</w:t>
      </w:r>
      <w:r>
        <w:rPr>
          <w:rFonts w:ascii="Times New Roman" w:hAnsi="Times New Roman" w:cs="Times New Roman"/>
          <w:sz w:val="24"/>
          <w:szCs w:val="24"/>
        </w:rPr>
        <w:t xml:space="preserve">, </w:t>
      </w:r>
      <w:r>
        <w:rPr>
          <w:rFonts w:ascii="Times New Roman" w:hAnsi="Times New Roman" w:cs="Times New Roman"/>
          <w:i/>
          <w:iCs/>
          <w:sz w:val="24"/>
          <w:szCs w:val="24"/>
        </w:rPr>
        <w:t>87</w:t>
      </w:r>
      <w:r>
        <w:rPr>
          <w:rFonts w:ascii="Times New Roman" w:hAnsi="Times New Roman" w:cs="Times New Roman"/>
          <w:sz w:val="24"/>
          <w:szCs w:val="24"/>
        </w:rPr>
        <w:t>, 16–29. https://doi.org/10.1016/j.worlddev.2015.10.041</w:t>
      </w:r>
    </w:p>
    <w:p w14:paraId="60859B5A"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Ma, J., Li, J., Wu, W., &amp; Liu, J. (2023). Global forest fragmentation change from 2000 to 2020. </w:t>
      </w:r>
      <w:r>
        <w:rPr>
          <w:rFonts w:ascii="Times New Roman" w:hAnsi="Times New Roman" w:cs="Times New Roman"/>
          <w:i/>
          <w:iCs/>
          <w:sz w:val="24"/>
          <w:szCs w:val="24"/>
        </w:rPr>
        <w:t>Nature Communications</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 3752. https://doi.org/10.1038/s41467-023-39221-x</w:t>
      </w:r>
    </w:p>
    <w:p w14:paraId="00A5A41D"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Maksymiuk, S., Gosiewska, A., &amp; Biecek, P. (2020). </w:t>
      </w:r>
      <w:r>
        <w:rPr>
          <w:rFonts w:ascii="Times New Roman" w:hAnsi="Times New Roman" w:cs="Times New Roman"/>
          <w:i/>
          <w:iCs/>
          <w:sz w:val="24"/>
          <w:szCs w:val="24"/>
        </w:rPr>
        <w:t>Landscape of R packages for eXplainable Artificial Intelligence</w:t>
      </w:r>
      <w:r>
        <w:rPr>
          <w:rFonts w:ascii="Times New Roman" w:hAnsi="Times New Roman" w:cs="Times New Roman"/>
          <w:sz w:val="24"/>
          <w:szCs w:val="24"/>
        </w:rPr>
        <w:t>. arXiv. https://doi.org/10.48550/arXiv.2009.13248</w:t>
      </w:r>
    </w:p>
    <w:p w14:paraId="6D95ACE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Maxwell, S. L., Fuller, R. A., Brooks, T. M., &amp; Watson, J. E. M. (2016). Biodiversity: The ravages of guns, nets and bulldozers.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536</w:t>
      </w:r>
      <w:r>
        <w:rPr>
          <w:rFonts w:ascii="Times New Roman" w:hAnsi="Times New Roman" w:cs="Times New Roman"/>
          <w:sz w:val="24"/>
          <w:szCs w:val="24"/>
        </w:rPr>
        <w:t>, 143–145. https://doi.org/10.1038/536143a</w:t>
      </w:r>
    </w:p>
    <w:p w14:paraId="2216CE8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Mendes, C. B., &amp; Prevedello, J. A. (2020). Does habitat fragmentation affect landscape-level temperatures? A global analysis. </w:t>
      </w:r>
      <w:r>
        <w:rPr>
          <w:rFonts w:ascii="Times New Roman" w:hAnsi="Times New Roman" w:cs="Times New Roman"/>
          <w:i/>
          <w:iCs/>
          <w:sz w:val="24"/>
          <w:szCs w:val="24"/>
        </w:rPr>
        <w:t>Landscape Ecology</w:t>
      </w:r>
      <w:r>
        <w:rPr>
          <w:rFonts w:ascii="Times New Roman" w:hAnsi="Times New Roman" w:cs="Times New Roman"/>
          <w:sz w:val="24"/>
          <w:szCs w:val="24"/>
        </w:rPr>
        <w:t xml:space="preserve">, </w:t>
      </w:r>
      <w:r>
        <w:rPr>
          <w:rFonts w:ascii="Times New Roman" w:hAnsi="Times New Roman" w:cs="Times New Roman"/>
          <w:i/>
          <w:iCs/>
          <w:sz w:val="24"/>
          <w:szCs w:val="24"/>
        </w:rPr>
        <w:t>35</w:t>
      </w:r>
      <w:r>
        <w:rPr>
          <w:rFonts w:ascii="Times New Roman" w:hAnsi="Times New Roman" w:cs="Times New Roman"/>
          <w:sz w:val="24"/>
          <w:szCs w:val="24"/>
        </w:rPr>
        <w:t>, 1743–1756. https://doi.org/10.1007/s10980-020-01041-5</w:t>
      </w:r>
    </w:p>
    <w:p w14:paraId="5FFD96F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Meng, Y., Deng, Y., &amp; Shi, P. (2015). Mapping Forest Wildfire Risk of the World. In P. Shi &amp; R. Kasperson (Eds.), </w:t>
      </w:r>
      <w:r>
        <w:rPr>
          <w:rFonts w:ascii="Times New Roman" w:hAnsi="Times New Roman" w:cs="Times New Roman"/>
          <w:i/>
          <w:iCs/>
          <w:sz w:val="24"/>
          <w:szCs w:val="24"/>
        </w:rPr>
        <w:t>World Atlas of Natural Disaster Risk</w:t>
      </w:r>
      <w:r>
        <w:rPr>
          <w:rFonts w:ascii="Times New Roman" w:hAnsi="Times New Roman" w:cs="Times New Roman"/>
          <w:sz w:val="24"/>
          <w:szCs w:val="24"/>
        </w:rPr>
        <w:t xml:space="preserve"> (pp. 261–275). Springer. https://doi.org/10.1007/978-3-662-45430-5_14</w:t>
      </w:r>
    </w:p>
    <w:p w14:paraId="1E95429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Meyfroidt, P. (2016). Approaches and terminology for causal analysis in land systems science. </w:t>
      </w:r>
      <w:r>
        <w:rPr>
          <w:rFonts w:ascii="Times New Roman" w:hAnsi="Times New Roman" w:cs="Times New Roman"/>
          <w:i/>
          <w:iCs/>
          <w:sz w:val="24"/>
          <w:szCs w:val="24"/>
        </w:rPr>
        <w:t>Journal of Land Use Science</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(5), 501–522. https://doi.org/10.1080/1747423X.2015.1117530</w:t>
      </w:r>
    </w:p>
    <w:p w14:paraId="5F298CC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Meyfroidt, P., Lambin, E. F., Erb, K.-H., &amp; Hertel, T. W. (2013). Globalization of land use: Distant drivers of land change and geographic displacement of land use. </w:t>
      </w:r>
      <w:r>
        <w:rPr>
          <w:rFonts w:ascii="Times New Roman" w:hAnsi="Times New Roman" w:cs="Times New Roman"/>
          <w:i/>
          <w:iCs/>
          <w:sz w:val="24"/>
          <w:szCs w:val="24"/>
        </w:rPr>
        <w:t>Current Opinion in Environmental Sustainability</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(5), 438–444. https://doi.org/10.1016/j.cosust.2013.04.003</w:t>
      </w:r>
    </w:p>
    <w:p w14:paraId="580A7EEA"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Millington, J. D. A., Katerinchuk, V., da Silva, R. F. B., de Castro Victoria, D., &amp; Batistella, M. (2021). Modelling drivers of Brazilian agricultural change in a telecoupled world. </w:t>
      </w:r>
      <w:r>
        <w:rPr>
          <w:rFonts w:ascii="Times New Roman" w:hAnsi="Times New Roman" w:cs="Times New Roman"/>
          <w:i/>
          <w:iCs/>
          <w:sz w:val="24"/>
          <w:szCs w:val="24"/>
        </w:rPr>
        <w:t>Environmental Modelling &amp; Software</w:t>
      </w:r>
      <w:r>
        <w:rPr>
          <w:rFonts w:ascii="Times New Roman" w:hAnsi="Times New Roman" w:cs="Times New Roman"/>
          <w:sz w:val="24"/>
          <w:szCs w:val="24"/>
        </w:rPr>
        <w:t xml:space="preserve">, </w:t>
      </w:r>
      <w:r>
        <w:rPr>
          <w:rFonts w:ascii="Times New Roman" w:hAnsi="Times New Roman" w:cs="Times New Roman"/>
          <w:i/>
          <w:iCs/>
          <w:sz w:val="24"/>
          <w:szCs w:val="24"/>
        </w:rPr>
        <w:t>139</w:t>
      </w:r>
      <w:r>
        <w:rPr>
          <w:rFonts w:ascii="Times New Roman" w:hAnsi="Times New Roman" w:cs="Times New Roman"/>
          <w:sz w:val="24"/>
          <w:szCs w:val="24"/>
        </w:rPr>
        <w:t>, 105024. https://doi.org/10.1016/j.envsoft.2021.105024</w:t>
      </w:r>
    </w:p>
    <w:p w14:paraId="25B3C1E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More, A. S., &amp; Rana, D. P. (2017). Review of random forest classification techniques to resolve data imbalance. </w:t>
      </w:r>
      <w:r>
        <w:rPr>
          <w:rFonts w:ascii="Times New Roman" w:hAnsi="Times New Roman" w:cs="Times New Roman"/>
          <w:i/>
          <w:iCs/>
          <w:sz w:val="24"/>
          <w:szCs w:val="24"/>
        </w:rPr>
        <w:t>2017 1st International Conference on Intelligent Systems and Information Management (ICISIM)</w:t>
      </w:r>
      <w:r>
        <w:rPr>
          <w:rFonts w:ascii="Times New Roman" w:hAnsi="Times New Roman" w:cs="Times New Roman"/>
          <w:sz w:val="24"/>
          <w:szCs w:val="24"/>
        </w:rPr>
        <w:t>, 72–78. https://doi.org/10.1109/ICISIM.2017.8122151</w:t>
      </w:r>
    </w:p>
    <w:p w14:paraId="7C23A90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Newbold, T., Hudson, L. N., Hill, S. L. L., Contu, S., Lysenko, I., Senior, R. A., Börger, L., Bennett, D. J., Choimes, A., Collen, B., Day, J., De Palma, A., Díaz, S., Echeverria-Londoño, S., Edgar, M. J., Feldman, A., Garon, M., Harrison, M. L. K., Alhusseini, T., … Purvis, A. (2015). Global effects of land use on local terrestrial biodiversity. </w:t>
      </w:r>
      <w:r>
        <w:rPr>
          <w:rFonts w:ascii="Times New Roman" w:hAnsi="Times New Roman" w:cs="Times New Roman"/>
          <w:i/>
          <w:iCs/>
          <w:sz w:val="24"/>
          <w:szCs w:val="24"/>
        </w:rPr>
        <w:t>Nature</w:t>
      </w:r>
      <w:r>
        <w:rPr>
          <w:rFonts w:ascii="Times New Roman" w:hAnsi="Times New Roman" w:cs="Times New Roman"/>
          <w:sz w:val="24"/>
          <w:szCs w:val="24"/>
        </w:rPr>
        <w:t xml:space="preserve">, </w:t>
      </w:r>
      <w:r>
        <w:rPr>
          <w:rFonts w:ascii="Times New Roman" w:hAnsi="Times New Roman" w:cs="Times New Roman"/>
          <w:i/>
          <w:iCs/>
          <w:sz w:val="24"/>
          <w:szCs w:val="24"/>
        </w:rPr>
        <w:t>520</w:t>
      </w:r>
      <w:r>
        <w:rPr>
          <w:rFonts w:ascii="Times New Roman" w:hAnsi="Times New Roman" w:cs="Times New Roman"/>
          <w:sz w:val="24"/>
          <w:szCs w:val="24"/>
        </w:rPr>
        <w:t>, 45–50. https://doi.org/10.1038/nature14324</w:t>
      </w:r>
    </w:p>
    <w:p w14:paraId="7F17EB5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Noszczyk, T. (2019). A review of approaches to land use changes modeling. </w:t>
      </w:r>
      <w:r>
        <w:rPr>
          <w:rFonts w:ascii="Times New Roman" w:hAnsi="Times New Roman" w:cs="Times New Roman"/>
          <w:i/>
          <w:iCs/>
          <w:sz w:val="24"/>
          <w:szCs w:val="24"/>
        </w:rPr>
        <w:t>Human and Ecological Risk Assessment: An International Journal</w:t>
      </w:r>
      <w:r>
        <w:rPr>
          <w:rFonts w:ascii="Times New Roman" w:hAnsi="Times New Roman" w:cs="Times New Roman"/>
          <w:sz w:val="24"/>
          <w:szCs w:val="24"/>
        </w:rPr>
        <w:t xml:space="preserve">, </w:t>
      </w:r>
      <w:r>
        <w:rPr>
          <w:rFonts w:ascii="Times New Roman" w:hAnsi="Times New Roman" w:cs="Times New Roman"/>
          <w:i/>
          <w:iCs/>
          <w:sz w:val="24"/>
          <w:szCs w:val="24"/>
        </w:rPr>
        <w:t>25</w:t>
      </w:r>
      <w:r>
        <w:rPr>
          <w:rFonts w:ascii="Times New Roman" w:hAnsi="Times New Roman" w:cs="Times New Roman"/>
          <w:sz w:val="24"/>
          <w:szCs w:val="24"/>
        </w:rPr>
        <w:t>, 1377–1405. https://doi.org/10.1080/10807039.2018.1468994</w:t>
      </w:r>
    </w:p>
    <w:p w14:paraId="53ABA62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Nowosad, J., &amp; Stepinski, T. F. (2018). Global inventory of landscape patterns and latent variables of landscape spatial configuration. </w:t>
      </w:r>
      <w:r>
        <w:rPr>
          <w:rFonts w:ascii="Times New Roman" w:hAnsi="Times New Roman" w:cs="Times New Roman"/>
          <w:i/>
          <w:iCs/>
          <w:sz w:val="24"/>
          <w:szCs w:val="24"/>
        </w:rPr>
        <w:t>Ecological Indicators</w:t>
      </w:r>
      <w:r>
        <w:rPr>
          <w:rFonts w:ascii="Times New Roman" w:hAnsi="Times New Roman" w:cs="Times New Roman"/>
          <w:sz w:val="24"/>
          <w:szCs w:val="24"/>
        </w:rPr>
        <w:t xml:space="preserve">, </w:t>
      </w:r>
      <w:r>
        <w:rPr>
          <w:rFonts w:ascii="Times New Roman" w:hAnsi="Times New Roman" w:cs="Times New Roman"/>
          <w:i/>
          <w:iCs/>
          <w:sz w:val="24"/>
          <w:szCs w:val="24"/>
        </w:rPr>
        <w:t>89</w:t>
      </w:r>
      <w:r>
        <w:rPr>
          <w:rFonts w:ascii="Times New Roman" w:hAnsi="Times New Roman" w:cs="Times New Roman"/>
          <w:sz w:val="24"/>
          <w:szCs w:val="24"/>
        </w:rPr>
        <w:t>, 159–167. https://doi.org/10.1016/j.ecolind.2018.02.007</w:t>
      </w:r>
    </w:p>
    <w:p w14:paraId="7B11AEEE"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Nowosad, J., Stepinski, T. F., &amp; Netzel, P. (2019). Global assessment and mapping of changes in mesoscale landscapes: 1992–2015. </w:t>
      </w:r>
      <w:r>
        <w:rPr>
          <w:rFonts w:ascii="Times New Roman" w:hAnsi="Times New Roman" w:cs="Times New Roman"/>
          <w:i/>
          <w:iCs/>
          <w:sz w:val="24"/>
          <w:szCs w:val="24"/>
        </w:rPr>
        <w:t xml:space="preserve">International Journal of Applied Earth </w:t>
      </w:r>
      <w:r>
        <w:rPr>
          <w:rFonts w:ascii="Times New Roman" w:hAnsi="Times New Roman" w:cs="Times New Roman"/>
          <w:i/>
          <w:iCs/>
          <w:sz w:val="24"/>
          <w:szCs w:val="24"/>
        </w:rPr>
        <w:lastRenderedPageBreak/>
        <w:t>Observation and Geoinformation</w:t>
      </w:r>
      <w:r>
        <w:rPr>
          <w:rFonts w:ascii="Times New Roman" w:hAnsi="Times New Roman" w:cs="Times New Roman"/>
          <w:sz w:val="24"/>
          <w:szCs w:val="24"/>
        </w:rPr>
        <w:t xml:space="preserve">, </w:t>
      </w:r>
      <w:r>
        <w:rPr>
          <w:rFonts w:ascii="Times New Roman" w:hAnsi="Times New Roman" w:cs="Times New Roman"/>
          <w:i/>
          <w:iCs/>
          <w:sz w:val="24"/>
          <w:szCs w:val="24"/>
        </w:rPr>
        <w:t>78</w:t>
      </w:r>
      <w:r>
        <w:rPr>
          <w:rFonts w:ascii="Times New Roman" w:hAnsi="Times New Roman" w:cs="Times New Roman"/>
          <w:sz w:val="24"/>
          <w:szCs w:val="24"/>
        </w:rPr>
        <w:t>, 332–340. https://doi.org/10.1016/j.jag.2018.09.013</w:t>
      </w:r>
    </w:p>
    <w:p w14:paraId="7070EA5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Peralta, G., Webber, C. J., Perry, G. L. W., Stouffer, D. B., Vázquez, D. P., &amp; Tylianakis, J. M. (2023). Scale‐dependent effects of landscape structure on pollinator traits, species interactions and pollination success. </w:t>
      </w:r>
      <w:r>
        <w:rPr>
          <w:rFonts w:ascii="Times New Roman" w:hAnsi="Times New Roman" w:cs="Times New Roman"/>
          <w:i/>
          <w:iCs/>
          <w:sz w:val="24"/>
          <w:szCs w:val="24"/>
        </w:rPr>
        <w:t>Ecography</w:t>
      </w:r>
      <w:r>
        <w:rPr>
          <w:rFonts w:ascii="Times New Roman" w:hAnsi="Times New Roman" w:cs="Times New Roman"/>
          <w:sz w:val="24"/>
          <w:szCs w:val="24"/>
        </w:rPr>
        <w:t xml:space="preserve">, </w:t>
      </w:r>
      <w:r>
        <w:rPr>
          <w:rFonts w:ascii="Times New Roman" w:hAnsi="Times New Roman" w:cs="Times New Roman"/>
          <w:i/>
          <w:iCs/>
          <w:sz w:val="24"/>
          <w:szCs w:val="24"/>
        </w:rPr>
        <w:t>2023</w:t>
      </w:r>
      <w:r>
        <w:rPr>
          <w:rFonts w:ascii="Times New Roman" w:hAnsi="Times New Roman" w:cs="Times New Roman"/>
          <w:sz w:val="24"/>
          <w:szCs w:val="24"/>
        </w:rPr>
        <w:t>(5), e06453. https://doi.org/10.1111/ecog.06453</w:t>
      </w:r>
    </w:p>
    <w:p w14:paraId="36DA7AB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Pereira, H. M., Navarro, L. M., &amp; Martins, I. S. (2012). Global biodiversity change: The bad, the good, and the unknown. </w:t>
      </w:r>
      <w:r>
        <w:rPr>
          <w:rFonts w:ascii="Times New Roman" w:hAnsi="Times New Roman" w:cs="Times New Roman"/>
          <w:i/>
          <w:iCs/>
          <w:sz w:val="24"/>
          <w:szCs w:val="24"/>
        </w:rPr>
        <w:t>Annual Review of Environment and Resources</w:t>
      </w:r>
      <w:r>
        <w:rPr>
          <w:rFonts w:ascii="Times New Roman" w:hAnsi="Times New Roman" w:cs="Times New Roman"/>
          <w:sz w:val="24"/>
          <w:szCs w:val="24"/>
        </w:rPr>
        <w:t xml:space="preserve">, </w:t>
      </w:r>
      <w:r>
        <w:rPr>
          <w:rFonts w:ascii="Times New Roman" w:hAnsi="Times New Roman" w:cs="Times New Roman"/>
          <w:i/>
          <w:iCs/>
          <w:sz w:val="24"/>
          <w:szCs w:val="24"/>
        </w:rPr>
        <w:t>37</w:t>
      </w:r>
      <w:r>
        <w:rPr>
          <w:rFonts w:ascii="Times New Roman" w:hAnsi="Times New Roman" w:cs="Times New Roman"/>
          <w:sz w:val="24"/>
          <w:szCs w:val="24"/>
        </w:rPr>
        <w:t>, 25–50. https://doi.org/10.1146/annurev-environ-042911-093511</w:t>
      </w:r>
    </w:p>
    <w:p w14:paraId="76A3D051"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R Core Team. (2020). </w:t>
      </w:r>
      <w:r>
        <w:rPr>
          <w:rFonts w:ascii="Times New Roman" w:hAnsi="Times New Roman" w:cs="Times New Roman"/>
          <w:i/>
          <w:iCs/>
          <w:sz w:val="24"/>
          <w:szCs w:val="24"/>
        </w:rPr>
        <w:t>R: A language and environment for statistical computing. R Foundation for Statistical Computing, Vienna, Austria. URL https://www.R-project.org/.</w:t>
      </w:r>
      <w:r>
        <w:rPr>
          <w:rFonts w:ascii="Times New Roman" w:hAnsi="Times New Roman" w:cs="Times New Roman"/>
          <w:sz w:val="24"/>
          <w:szCs w:val="24"/>
        </w:rPr>
        <w:t xml:space="preserve"> R  Foundation for Statistical Computing. https://www.R-project.org/</w:t>
      </w:r>
    </w:p>
    <w:p w14:paraId="057BB8F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R Core Team. (2022). </w:t>
      </w:r>
      <w:r>
        <w:rPr>
          <w:rFonts w:ascii="Times New Roman" w:hAnsi="Times New Roman" w:cs="Times New Roman"/>
          <w:i/>
          <w:iCs/>
          <w:sz w:val="24"/>
          <w:szCs w:val="24"/>
        </w:rPr>
        <w:t>R: A language and environment for statistical computing. R Foundation for Statistical Computing, Vienna, Austria. URL https://www.R-project.org/.</w:t>
      </w:r>
      <w:r>
        <w:rPr>
          <w:rFonts w:ascii="Times New Roman" w:hAnsi="Times New Roman" w:cs="Times New Roman"/>
          <w:sz w:val="24"/>
          <w:szCs w:val="24"/>
        </w:rPr>
        <w:t xml:space="preserve"> [Computer software]. R Foundation for   Statistical Computing. https://www.R-project.org/</w:t>
      </w:r>
    </w:p>
    <w:p w14:paraId="76731020"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Rabin, S. S., Alexander, P., Henry, R., Anthoni, P., Pugh, T. A. M., Rounsevell, M., &amp; Arneth, A. (2020). Impacts of future agricultural change on ecosystem service indicators. </w:t>
      </w:r>
      <w:r>
        <w:rPr>
          <w:rFonts w:ascii="Times New Roman" w:hAnsi="Times New Roman" w:cs="Times New Roman"/>
          <w:i/>
          <w:iCs/>
          <w:sz w:val="24"/>
          <w:szCs w:val="24"/>
        </w:rPr>
        <w:t>Earth System Dynamics</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(2), 357–376. https://doi.org/10.5194/esd-11-357-2020</w:t>
      </w:r>
    </w:p>
    <w:p w14:paraId="373E914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Riitters, K., Wickham, J., O’Neill, R., Jones, B., &amp; Smith, E. (2000). Global-scale patterns of forest fragmentation. </w:t>
      </w:r>
      <w:r>
        <w:rPr>
          <w:rFonts w:ascii="Times New Roman" w:hAnsi="Times New Roman" w:cs="Times New Roman"/>
          <w:i/>
          <w:iCs/>
          <w:sz w:val="24"/>
          <w:szCs w:val="24"/>
        </w:rPr>
        <w:t>Conservation Ecology</w:t>
      </w:r>
      <w:r>
        <w:rPr>
          <w:rFonts w:ascii="Times New Roman" w:hAnsi="Times New Roman" w:cs="Times New Roman"/>
          <w:sz w:val="24"/>
          <w:szCs w:val="24"/>
        </w:rPr>
        <w:t xml:space="preserve">, </w:t>
      </w:r>
      <w:r>
        <w:rPr>
          <w:rFonts w:ascii="Times New Roman" w:hAnsi="Times New Roman" w:cs="Times New Roman"/>
          <w:i/>
          <w:iCs/>
          <w:sz w:val="24"/>
          <w:szCs w:val="24"/>
        </w:rPr>
        <w:t>4</w:t>
      </w:r>
      <w:r>
        <w:rPr>
          <w:rFonts w:ascii="Times New Roman" w:hAnsi="Times New Roman" w:cs="Times New Roman"/>
          <w:sz w:val="24"/>
          <w:szCs w:val="24"/>
        </w:rPr>
        <w:t>(2), 3.</w:t>
      </w:r>
    </w:p>
    <w:p w14:paraId="7657981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Romanillos, G., Robazza, G., &amp; Lovato, F. (2024). A fragmented world: Mapping the global extent of Anthropogenic Landscape Fragmentation. </w:t>
      </w:r>
      <w:r>
        <w:rPr>
          <w:rFonts w:ascii="Times New Roman" w:hAnsi="Times New Roman" w:cs="Times New Roman"/>
          <w:i/>
          <w:iCs/>
          <w:sz w:val="24"/>
          <w:szCs w:val="24"/>
        </w:rPr>
        <w:t>Journal of Maps</w:t>
      </w:r>
      <w:r>
        <w:rPr>
          <w:rFonts w:ascii="Times New Roman" w:hAnsi="Times New Roman" w:cs="Times New Roman"/>
          <w:sz w:val="24"/>
          <w:szCs w:val="24"/>
        </w:rPr>
        <w:t xml:space="preserve">, </w:t>
      </w:r>
      <w:r>
        <w:rPr>
          <w:rFonts w:ascii="Times New Roman" w:hAnsi="Times New Roman" w:cs="Times New Roman"/>
          <w:i/>
          <w:iCs/>
          <w:sz w:val="24"/>
          <w:szCs w:val="24"/>
        </w:rPr>
        <w:t>20</w:t>
      </w:r>
      <w:r>
        <w:rPr>
          <w:rFonts w:ascii="Times New Roman" w:hAnsi="Times New Roman" w:cs="Times New Roman"/>
          <w:sz w:val="24"/>
          <w:szCs w:val="24"/>
        </w:rPr>
        <w:t>(1), 2307539. https://doi.org/10.1080/17445647.2024.2307539</w:t>
      </w:r>
    </w:p>
    <w:p w14:paraId="1971D77D"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Rothacher, Y., &amp; Strobl, C. (2024). Identifying Informative Predictor Variables With Random Forests. </w:t>
      </w:r>
      <w:r>
        <w:rPr>
          <w:rFonts w:ascii="Times New Roman" w:hAnsi="Times New Roman" w:cs="Times New Roman"/>
          <w:i/>
          <w:iCs/>
          <w:sz w:val="24"/>
          <w:szCs w:val="24"/>
        </w:rPr>
        <w:t>Journal of Educational and Behavioral Statistics</w:t>
      </w:r>
      <w:r>
        <w:rPr>
          <w:rFonts w:ascii="Times New Roman" w:hAnsi="Times New Roman" w:cs="Times New Roman"/>
          <w:sz w:val="24"/>
          <w:szCs w:val="24"/>
        </w:rPr>
        <w:t xml:space="preserve">, </w:t>
      </w:r>
      <w:r>
        <w:rPr>
          <w:rFonts w:ascii="Times New Roman" w:hAnsi="Times New Roman" w:cs="Times New Roman"/>
          <w:i/>
          <w:iCs/>
          <w:sz w:val="24"/>
          <w:szCs w:val="24"/>
        </w:rPr>
        <w:t>49</w:t>
      </w:r>
      <w:r>
        <w:rPr>
          <w:rFonts w:ascii="Times New Roman" w:hAnsi="Times New Roman" w:cs="Times New Roman"/>
          <w:sz w:val="24"/>
          <w:szCs w:val="24"/>
        </w:rPr>
        <w:t>(4), 595–629. https://doi.org/10.3102/10769986231193327</w:t>
      </w:r>
    </w:p>
    <w:p w14:paraId="3F648E1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Saito, T., &amp; Rehmsmeier, M. (2015). The Precision-Recall Plot Is More Informative than the ROC Plot When Evaluating Binary Classifiers on Imbalanced Datasets. </w:t>
      </w:r>
      <w:r>
        <w:rPr>
          <w:rFonts w:ascii="Times New Roman" w:hAnsi="Times New Roman" w:cs="Times New Roman"/>
          <w:i/>
          <w:iCs/>
          <w:sz w:val="24"/>
          <w:szCs w:val="24"/>
        </w:rPr>
        <w:t>PLOS ONE</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(3), e0118432. https://doi.org/10.1371/journal.pone.0118432</w:t>
      </w:r>
    </w:p>
    <w:p w14:paraId="0FAB93E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Sakieh, Y., &amp; Salmanmahiny, A. (2016). Performance assessment of geospatial simulation models of land-use change—A landscape metric-based approach. </w:t>
      </w:r>
      <w:r>
        <w:rPr>
          <w:rFonts w:ascii="Times New Roman" w:hAnsi="Times New Roman" w:cs="Times New Roman"/>
          <w:i/>
          <w:iCs/>
          <w:sz w:val="24"/>
          <w:szCs w:val="24"/>
        </w:rPr>
        <w:t>Environmental Monitoring and Assessment</w:t>
      </w:r>
      <w:r>
        <w:rPr>
          <w:rFonts w:ascii="Times New Roman" w:hAnsi="Times New Roman" w:cs="Times New Roman"/>
          <w:sz w:val="24"/>
          <w:szCs w:val="24"/>
        </w:rPr>
        <w:t xml:space="preserve">, </w:t>
      </w:r>
      <w:r>
        <w:rPr>
          <w:rFonts w:ascii="Times New Roman" w:hAnsi="Times New Roman" w:cs="Times New Roman"/>
          <w:i/>
          <w:iCs/>
          <w:sz w:val="24"/>
          <w:szCs w:val="24"/>
        </w:rPr>
        <w:t>188</w:t>
      </w:r>
      <w:r>
        <w:rPr>
          <w:rFonts w:ascii="Times New Roman" w:hAnsi="Times New Roman" w:cs="Times New Roman"/>
          <w:sz w:val="24"/>
          <w:szCs w:val="24"/>
        </w:rPr>
        <w:t>, 169. https://doi.org/10.1007/s10661-016-5179-5</w:t>
      </w:r>
    </w:p>
    <w:p w14:paraId="445590F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Santos, F., Graw, V., &amp; Bonilla, S. (2019). A geographically weighted random forest approach for evaluate forest change drivers in the Northern Ecuadorian Amazon. </w:t>
      </w:r>
      <w:r>
        <w:rPr>
          <w:rFonts w:ascii="Times New Roman" w:hAnsi="Times New Roman" w:cs="Times New Roman"/>
          <w:i/>
          <w:iCs/>
          <w:sz w:val="24"/>
          <w:szCs w:val="24"/>
        </w:rPr>
        <w:t>PLOS ONE</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(12), e0226224. https://doi.org/10.1371/journal.pone.0226224</w:t>
      </w:r>
    </w:p>
    <w:p w14:paraId="21A7D06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Schulze, K., Malek, Ž., &amp; Verburg, P. H. (2019). Towards better mapping of forest management patterns: A global allocation approach. </w:t>
      </w:r>
      <w:r>
        <w:rPr>
          <w:rFonts w:ascii="Times New Roman" w:hAnsi="Times New Roman" w:cs="Times New Roman"/>
          <w:i/>
          <w:iCs/>
          <w:sz w:val="24"/>
          <w:szCs w:val="24"/>
        </w:rPr>
        <w:t>Forest Ecology and Management</w:t>
      </w:r>
      <w:r>
        <w:rPr>
          <w:rFonts w:ascii="Times New Roman" w:hAnsi="Times New Roman" w:cs="Times New Roman"/>
          <w:sz w:val="24"/>
          <w:szCs w:val="24"/>
        </w:rPr>
        <w:t xml:space="preserve">, </w:t>
      </w:r>
      <w:r>
        <w:rPr>
          <w:rFonts w:ascii="Times New Roman" w:hAnsi="Times New Roman" w:cs="Times New Roman"/>
          <w:i/>
          <w:iCs/>
          <w:sz w:val="24"/>
          <w:szCs w:val="24"/>
        </w:rPr>
        <w:t>432</w:t>
      </w:r>
      <w:r>
        <w:rPr>
          <w:rFonts w:ascii="Times New Roman" w:hAnsi="Times New Roman" w:cs="Times New Roman"/>
          <w:sz w:val="24"/>
          <w:szCs w:val="24"/>
        </w:rPr>
        <w:t>, 776–785. https://doi.org/10.1016/j.foreco.2018.10.001</w:t>
      </w:r>
    </w:p>
    <w:p w14:paraId="3DF252B0"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Shmueli, G. (2010). To Explain or to Predict? </w:t>
      </w:r>
      <w:r>
        <w:rPr>
          <w:rFonts w:ascii="Times New Roman" w:hAnsi="Times New Roman" w:cs="Times New Roman"/>
          <w:i/>
          <w:iCs/>
          <w:sz w:val="24"/>
          <w:szCs w:val="24"/>
        </w:rPr>
        <w:t>Statistical Science</w:t>
      </w:r>
      <w:r>
        <w:rPr>
          <w:rFonts w:ascii="Times New Roman" w:hAnsi="Times New Roman" w:cs="Times New Roman"/>
          <w:sz w:val="24"/>
          <w:szCs w:val="24"/>
        </w:rPr>
        <w:t xml:space="preserve">, </w:t>
      </w:r>
      <w:r>
        <w:rPr>
          <w:rFonts w:ascii="Times New Roman" w:hAnsi="Times New Roman" w:cs="Times New Roman"/>
          <w:i/>
          <w:iCs/>
          <w:sz w:val="24"/>
          <w:szCs w:val="24"/>
        </w:rPr>
        <w:t>25</w:t>
      </w:r>
      <w:r>
        <w:rPr>
          <w:rFonts w:ascii="Times New Roman" w:hAnsi="Times New Roman" w:cs="Times New Roman"/>
          <w:sz w:val="24"/>
          <w:szCs w:val="24"/>
        </w:rPr>
        <w:t>(3), 289–310. https://doi.org/10.1214/10-STS330</w:t>
      </w:r>
    </w:p>
    <w:p w14:paraId="145AF2EC"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Simensen, T., Halvorsen, R., &amp; Erikstad, L. (2018). Methods for landscape characterisation and mapping: A systematic review. </w:t>
      </w:r>
      <w:r>
        <w:rPr>
          <w:rFonts w:ascii="Times New Roman" w:hAnsi="Times New Roman" w:cs="Times New Roman"/>
          <w:i/>
          <w:iCs/>
          <w:sz w:val="24"/>
          <w:szCs w:val="24"/>
        </w:rPr>
        <w:t>Land Use Policy</w:t>
      </w:r>
      <w:r>
        <w:rPr>
          <w:rFonts w:ascii="Times New Roman" w:hAnsi="Times New Roman" w:cs="Times New Roman"/>
          <w:sz w:val="24"/>
          <w:szCs w:val="24"/>
        </w:rPr>
        <w:t xml:space="preserve">, </w:t>
      </w:r>
      <w:r>
        <w:rPr>
          <w:rFonts w:ascii="Times New Roman" w:hAnsi="Times New Roman" w:cs="Times New Roman"/>
          <w:i/>
          <w:iCs/>
          <w:sz w:val="24"/>
          <w:szCs w:val="24"/>
        </w:rPr>
        <w:t>75</w:t>
      </w:r>
      <w:r>
        <w:rPr>
          <w:rFonts w:ascii="Times New Roman" w:hAnsi="Times New Roman" w:cs="Times New Roman"/>
          <w:sz w:val="24"/>
          <w:szCs w:val="24"/>
        </w:rPr>
        <w:t>, 557–569. https://doi.org/10.1016/j.landusepol.2018.04.022</w:t>
      </w:r>
    </w:p>
    <w:p w14:paraId="0025F811"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Strobl, C., Malley, J., &amp; Tutz, G. (2009). An introduction to recursive partitioning: Rationale, application, and characteristics of classification and regression trees, bagging, and random forests. </w:t>
      </w:r>
      <w:r>
        <w:rPr>
          <w:rFonts w:ascii="Times New Roman" w:hAnsi="Times New Roman" w:cs="Times New Roman"/>
          <w:i/>
          <w:iCs/>
          <w:sz w:val="24"/>
          <w:szCs w:val="24"/>
        </w:rPr>
        <w:t>Psychological Methods</w:t>
      </w:r>
      <w:r>
        <w:rPr>
          <w:rFonts w:ascii="Times New Roman" w:hAnsi="Times New Roman" w:cs="Times New Roman"/>
          <w:sz w:val="24"/>
          <w:szCs w:val="24"/>
        </w:rPr>
        <w:t xml:space="preserve">, </w:t>
      </w:r>
      <w:r>
        <w:rPr>
          <w:rFonts w:ascii="Times New Roman" w:hAnsi="Times New Roman" w:cs="Times New Roman"/>
          <w:i/>
          <w:iCs/>
          <w:sz w:val="24"/>
          <w:szCs w:val="24"/>
        </w:rPr>
        <w:t>14</w:t>
      </w:r>
      <w:r>
        <w:rPr>
          <w:rFonts w:ascii="Times New Roman" w:hAnsi="Times New Roman" w:cs="Times New Roman"/>
          <w:sz w:val="24"/>
          <w:szCs w:val="24"/>
        </w:rPr>
        <w:t>(4), 323–348. https://doi.org/10.1037/a0016973</w:t>
      </w:r>
    </w:p>
    <w:p w14:paraId="4BAA5DB8"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Tahir, Z., Haseeb, M., Mahmood, S. A., Batool, S., Abdullah-Al-Wadud, M., Ullah, S., &amp; Tariq, A. (2025). Predicting land use and land cover changes for sustainable land management using CA-Markov modelling and GIS techniques. </w:t>
      </w:r>
      <w:r>
        <w:rPr>
          <w:rFonts w:ascii="Times New Roman" w:hAnsi="Times New Roman" w:cs="Times New Roman"/>
          <w:i/>
          <w:iCs/>
          <w:sz w:val="24"/>
          <w:szCs w:val="24"/>
        </w:rPr>
        <w:t>Scientific Reports</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(1), 3271. https://doi.org/10.1038/s41598-025-87796-w</w:t>
      </w:r>
    </w:p>
    <w:p w14:paraId="61DA48DD"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Tamiminia, H., Salehi, B., Mahdianpari, M., Quackenbush, L., Adeli, S., &amp; Brisco, B. (2020). Google Earth Engine for geo-big data applications: A meta-analysis and systematic review. </w:t>
      </w:r>
      <w:r>
        <w:rPr>
          <w:rFonts w:ascii="Times New Roman" w:hAnsi="Times New Roman" w:cs="Times New Roman"/>
          <w:i/>
          <w:iCs/>
          <w:sz w:val="24"/>
          <w:szCs w:val="24"/>
        </w:rPr>
        <w:t>ISPRS Journal of Photogrammetry and Remote Sensing</w:t>
      </w:r>
      <w:r>
        <w:rPr>
          <w:rFonts w:ascii="Times New Roman" w:hAnsi="Times New Roman" w:cs="Times New Roman"/>
          <w:sz w:val="24"/>
          <w:szCs w:val="24"/>
        </w:rPr>
        <w:t xml:space="preserve">, </w:t>
      </w:r>
      <w:r>
        <w:rPr>
          <w:rFonts w:ascii="Times New Roman" w:hAnsi="Times New Roman" w:cs="Times New Roman"/>
          <w:i/>
          <w:iCs/>
          <w:sz w:val="24"/>
          <w:szCs w:val="24"/>
        </w:rPr>
        <w:t>164</w:t>
      </w:r>
      <w:r>
        <w:rPr>
          <w:rFonts w:ascii="Times New Roman" w:hAnsi="Times New Roman" w:cs="Times New Roman"/>
          <w:sz w:val="24"/>
          <w:szCs w:val="24"/>
        </w:rPr>
        <w:t>, 152–170. https://doi.org/10.1016/j.isprsjprs.2020.04.001</w:t>
      </w:r>
    </w:p>
    <w:p w14:paraId="0E2A3987"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Thomas, L. P. (2024). </w:t>
      </w:r>
      <w:r>
        <w:rPr>
          <w:rFonts w:ascii="Times New Roman" w:hAnsi="Times New Roman" w:cs="Times New Roman"/>
          <w:i/>
          <w:iCs/>
          <w:sz w:val="24"/>
          <w:szCs w:val="24"/>
        </w:rPr>
        <w:t>Patchwork: The Composer of Plots. R package version 1.2.0. Https://CRAN.R-project.org/package=patchwork</w:t>
      </w:r>
      <w:r>
        <w:rPr>
          <w:rFonts w:ascii="Times New Roman" w:hAnsi="Times New Roman" w:cs="Times New Roman"/>
          <w:sz w:val="24"/>
          <w:szCs w:val="24"/>
        </w:rPr>
        <w:t xml:space="preserve"> (Version R package version 1.2.0) [Computer software]. https://CRAN.R-project.org/package=patchwork</w:t>
      </w:r>
    </w:p>
    <w:p w14:paraId="04EDB17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Tilman, D., Balzer, C., Hill, J., &amp; Befort, B. L. (2011). Global food demand and the sustainable intensification of agriculture. </w:t>
      </w:r>
      <w:r>
        <w:rPr>
          <w:rFonts w:ascii="Times New Roman" w:hAnsi="Times New Roman" w:cs="Times New Roman"/>
          <w:i/>
          <w:iCs/>
          <w:sz w:val="24"/>
          <w:szCs w:val="24"/>
        </w:rPr>
        <w:t>Proceedings of the National Academy of Sciences of the United States of America</w:t>
      </w:r>
      <w:r>
        <w:rPr>
          <w:rFonts w:ascii="Times New Roman" w:hAnsi="Times New Roman" w:cs="Times New Roman"/>
          <w:sz w:val="24"/>
          <w:szCs w:val="24"/>
        </w:rPr>
        <w:t xml:space="preserve">, </w:t>
      </w:r>
      <w:r>
        <w:rPr>
          <w:rFonts w:ascii="Times New Roman" w:hAnsi="Times New Roman" w:cs="Times New Roman"/>
          <w:i/>
          <w:iCs/>
          <w:sz w:val="24"/>
          <w:szCs w:val="24"/>
        </w:rPr>
        <w:t>108</w:t>
      </w:r>
      <w:r>
        <w:rPr>
          <w:rFonts w:ascii="Times New Roman" w:hAnsi="Times New Roman" w:cs="Times New Roman"/>
          <w:sz w:val="24"/>
          <w:szCs w:val="24"/>
        </w:rPr>
        <w:t>(50), 20260–20264. https://doi.org/10.1073/pnas.1116437108</w:t>
      </w:r>
    </w:p>
    <w:p w14:paraId="2DBD9EE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Turner, M. G. (1989). Landscape Ecology: The Effect of Pattern on Process. </w:t>
      </w:r>
      <w:r>
        <w:rPr>
          <w:rFonts w:ascii="Times New Roman" w:hAnsi="Times New Roman" w:cs="Times New Roman"/>
          <w:i/>
          <w:iCs/>
          <w:sz w:val="24"/>
          <w:szCs w:val="24"/>
        </w:rPr>
        <w:t>Annual Review of Ecology, Evolution, and Systematics</w:t>
      </w:r>
      <w:r>
        <w:rPr>
          <w:rFonts w:ascii="Times New Roman" w:hAnsi="Times New Roman" w:cs="Times New Roman"/>
          <w:sz w:val="24"/>
          <w:szCs w:val="24"/>
        </w:rPr>
        <w:t xml:space="preserve">, </w:t>
      </w:r>
      <w:r>
        <w:rPr>
          <w:rFonts w:ascii="Times New Roman" w:hAnsi="Times New Roman" w:cs="Times New Roman"/>
          <w:i/>
          <w:iCs/>
          <w:sz w:val="24"/>
          <w:szCs w:val="24"/>
        </w:rPr>
        <w:t>20</w:t>
      </w:r>
      <w:r>
        <w:rPr>
          <w:rFonts w:ascii="Times New Roman" w:hAnsi="Times New Roman" w:cs="Times New Roman"/>
          <w:sz w:val="24"/>
          <w:szCs w:val="24"/>
        </w:rPr>
        <w:t>, 171–197. https://doi.org/10.1146/annurev.es.20.110189.001131</w:t>
      </w:r>
    </w:p>
    <w:p w14:paraId="5E8710F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Turner, M. G., &amp; Gardner, R. H. (2015). Causes of Landscape Pattern. In M. G. Turner &amp; R. H. Gardner, </w:t>
      </w:r>
      <w:r>
        <w:rPr>
          <w:rFonts w:ascii="Times New Roman" w:hAnsi="Times New Roman" w:cs="Times New Roman"/>
          <w:i/>
          <w:iCs/>
          <w:sz w:val="24"/>
          <w:szCs w:val="24"/>
        </w:rPr>
        <w:t>Landscape Ecology in Theory and Practice</w:t>
      </w:r>
      <w:r>
        <w:rPr>
          <w:rFonts w:ascii="Times New Roman" w:hAnsi="Times New Roman" w:cs="Times New Roman"/>
          <w:sz w:val="24"/>
          <w:szCs w:val="24"/>
        </w:rPr>
        <w:t xml:space="preserve"> (pp. 33–62). Springer. https://doi.org/10.1007/978-1-4939-2794-4_2</w:t>
      </w:r>
    </w:p>
    <w:p w14:paraId="7EA29AE9"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Turner, M. G., O’Neill, R. V., Gardner, R. H., &amp; Milne, B. T. (1989). Effects of changing spatial scale on the analysis of landscape pattern. </w:t>
      </w:r>
      <w:r>
        <w:rPr>
          <w:rFonts w:ascii="Times New Roman" w:hAnsi="Times New Roman" w:cs="Times New Roman"/>
          <w:i/>
          <w:iCs/>
          <w:sz w:val="24"/>
          <w:szCs w:val="24"/>
        </w:rPr>
        <w:t>Landscape Ecology</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 153–162. https://doi.org/10.1007/BF00131534</w:t>
      </w:r>
    </w:p>
    <w:p w14:paraId="3F1DCBEA"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Van Hulse, J., Khoshgoftaar, T. M., &amp; Napolitano, A. (2007). Experimental perspectives on learning from imbalanced data. </w:t>
      </w:r>
      <w:r>
        <w:rPr>
          <w:rFonts w:ascii="Times New Roman" w:hAnsi="Times New Roman" w:cs="Times New Roman"/>
          <w:i/>
          <w:iCs/>
          <w:sz w:val="24"/>
          <w:szCs w:val="24"/>
        </w:rPr>
        <w:t>Proceedings of the 24th International Conference on Machine Learning</w:t>
      </w:r>
      <w:r>
        <w:rPr>
          <w:rFonts w:ascii="Times New Roman" w:hAnsi="Times New Roman" w:cs="Times New Roman"/>
          <w:sz w:val="24"/>
          <w:szCs w:val="24"/>
        </w:rPr>
        <w:t>, 935–942. https://doi.org/10.1145/1273496.1273614</w:t>
      </w:r>
    </w:p>
    <w:p w14:paraId="75249FCE"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van Vliet, J., Naus, N., van Lammeren, R. J. A., Bregt, A. K., Hurkens, J., &amp; van Delden, H. (2013). Measuring the neighbourhood effect to calibrate land use models. </w:t>
      </w:r>
      <w:r>
        <w:rPr>
          <w:rFonts w:ascii="Times New Roman" w:hAnsi="Times New Roman" w:cs="Times New Roman"/>
          <w:i/>
          <w:iCs/>
          <w:sz w:val="24"/>
          <w:szCs w:val="24"/>
        </w:rPr>
        <w:t>Computers, Environment and Urban Systems</w:t>
      </w:r>
      <w:r>
        <w:rPr>
          <w:rFonts w:ascii="Times New Roman" w:hAnsi="Times New Roman" w:cs="Times New Roman"/>
          <w:sz w:val="24"/>
          <w:szCs w:val="24"/>
        </w:rPr>
        <w:t xml:space="preserve">, </w:t>
      </w:r>
      <w:r>
        <w:rPr>
          <w:rFonts w:ascii="Times New Roman" w:hAnsi="Times New Roman" w:cs="Times New Roman"/>
          <w:i/>
          <w:iCs/>
          <w:sz w:val="24"/>
          <w:szCs w:val="24"/>
        </w:rPr>
        <w:t>41</w:t>
      </w:r>
      <w:r>
        <w:rPr>
          <w:rFonts w:ascii="Times New Roman" w:hAnsi="Times New Roman" w:cs="Times New Roman"/>
          <w:sz w:val="24"/>
          <w:szCs w:val="24"/>
        </w:rPr>
        <w:t>, 55–64. https://doi.org/10.1016/j.compenvurbsys.2013.03.006</w:t>
      </w:r>
    </w:p>
    <w:p w14:paraId="19138CD6"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Veldkamp, A., &amp; Lambin, E. F. (2001). Predicting land-use change. </w:t>
      </w:r>
      <w:r>
        <w:rPr>
          <w:rFonts w:ascii="Times New Roman" w:hAnsi="Times New Roman" w:cs="Times New Roman"/>
          <w:i/>
          <w:iCs/>
          <w:sz w:val="24"/>
          <w:szCs w:val="24"/>
        </w:rPr>
        <w:t>Agriculture, Ecosystems &amp; Environment</w:t>
      </w:r>
      <w:r>
        <w:rPr>
          <w:rFonts w:ascii="Times New Roman" w:hAnsi="Times New Roman" w:cs="Times New Roman"/>
          <w:sz w:val="24"/>
          <w:szCs w:val="24"/>
        </w:rPr>
        <w:t xml:space="preserve">, </w:t>
      </w:r>
      <w:r>
        <w:rPr>
          <w:rFonts w:ascii="Times New Roman" w:hAnsi="Times New Roman" w:cs="Times New Roman"/>
          <w:i/>
          <w:iCs/>
          <w:sz w:val="24"/>
          <w:szCs w:val="24"/>
        </w:rPr>
        <w:t>85</w:t>
      </w:r>
      <w:r>
        <w:rPr>
          <w:rFonts w:ascii="Times New Roman" w:hAnsi="Times New Roman" w:cs="Times New Roman"/>
          <w:sz w:val="24"/>
          <w:szCs w:val="24"/>
        </w:rPr>
        <w:t>(1–3), 1–6. https://doi.org/10.1016/S0167-8809(01)00199-2</w:t>
      </w:r>
    </w:p>
    <w:p w14:paraId="1E0EAFE8"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Verburg, P., Ellis, E. C., &amp; Letourneau, A. (2024). </w:t>
      </w:r>
      <w:r>
        <w:rPr>
          <w:rFonts w:ascii="Times New Roman" w:hAnsi="Times New Roman" w:cs="Times New Roman"/>
          <w:i/>
          <w:iCs/>
          <w:sz w:val="24"/>
          <w:szCs w:val="24"/>
        </w:rPr>
        <w:t>A global assessment of market accessibility and market influence for global environmental change studies</w:t>
      </w:r>
      <w:r>
        <w:rPr>
          <w:rFonts w:ascii="Times New Roman" w:hAnsi="Times New Roman" w:cs="Times New Roman"/>
          <w:sz w:val="24"/>
          <w:szCs w:val="24"/>
        </w:rPr>
        <w:t xml:space="preserve"> [Dataset]. DataverseNL. https://doi.org/10.34894/WPRHFF</w:t>
      </w:r>
    </w:p>
    <w:p w14:paraId="347F19A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Verburg, P. H., Ellis, E. C., &amp; Letourneau, A. (2011). A global assessment of market accessibility and market influence for global environmental change studies. </w:t>
      </w:r>
      <w:r>
        <w:rPr>
          <w:rFonts w:ascii="Times New Roman" w:hAnsi="Times New Roman" w:cs="Times New Roman"/>
          <w:i/>
          <w:iCs/>
          <w:sz w:val="24"/>
          <w:szCs w:val="24"/>
        </w:rPr>
        <w:t>Environmental Research Letters</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(3), 034019. https://doi.org/10.1088/1748-9326/6/3/034019</w:t>
      </w:r>
    </w:p>
    <w:p w14:paraId="0B088C6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Verburg, P. H., van Eck, J. R. R., de Nijs, T. C. M., Dijst, M. J., &amp; Schot, P. (2004). Determinants of Land-Use Change Patterns in the Netherlands. </w:t>
      </w:r>
      <w:r>
        <w:rPr>
          <w:rFonts w:ascii="Times New Roman" w:hAnsi="Times New Roman" w:cs="Times New Roman"/>
          <w:i/>
          <w:iCs/>
          <w:sz w:val="24"/>
          <w:szCs w:val="24"/>
        </w:rPr>
        <w:t>Environment and Planning B: Planning and Design</w:t>
      </w:r>
      <w:r>
        <w:rPr>
          <w:rFonts w:ascii="Times New Roman" w:hAnsi="Times New Roman" w:cs="Times New Roman"/>
          <w:sz w:val="24"/>
          <w:szCs w:val="24"/>
        </w:rPr>
        <w:t xml:space="preserve">, </w:t>
      </w:r>
      <w:r>
        <w:rPr>
          <w:rFonts w:ascii="Times New Roman" w:hAnsi="Times New Roman" w:cs="Times New Roman"/>
          <w:i/>
          <w:iCs/>
          <w:sz w:val="24"/>
          <w:szCs w:val="24"/>
        </w:rPr>
        <w:t>31</w:t>
      </w:r>
      <w:r>
        <w:rPr>
          <w:rFonts w:ascii="Times New Roman" w:hAnsi="Times New Roman" w:cs="Times New Roman"/>
          <w:sz w:val="24"/>
          <w:szCs w:val="24"/>
        </w:rPr>
        <w:t>(1), 125–150. https://doi.org/10.1068/b307</w:t>
      </w:r>
    </w:p>
    <w:p w14:paraId="61FF896F"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Wickham, H. (2016). </w:t>
      </w:r>
      <w:r>
        <w:rPr>
          <w:rFonts w:ascii="Times New Roman" w:hAnsi="Times New Roman" w:cs="Times New Roman"/>
          <w:i/>
          <w:iCs/>
          <w:sz w:val="24"/>
          <w:szCs w:val="24"/>
        </w:rPr>
        <w:t>ggplot2: Elegant Graphics for Data Analysis</w:t>
      </w:r>
      <w:r>
        <w:rPr>
          <w:rFonts w:ascii="Times New Roman" w:hAnsi="Times New Roman" w:cs="Times New Roman"/>
          <w:sz w:val="24"/>
          <w:szCs w:val="24"/>
        </w:rPr>
        <w:t>. Springer New York. https://doi.org/10.1007/978-0-387-98141-3</w:t>
      </w:r>
    </w:p>
    <w:p w14:paraId="234859BE"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Wickham, H., François, R., Henry, L., Müller, K., &amp; Vaughan, D. (2023). </w:t>
      </w:r>
      <w:r>
        <w:rPr>
          <w:rFonts w:ascii="Times New Roman" w:hAnsi="Times New Roman" w:cs="Times New Roman"/>
          <w:i/>
          <w:iCs/>
          <w:sz w:val="24"/>
          <w:szCs w:val="24"/>
        </w:rPr>
        <w:t>Dplyr: A Grammar of Data Manipulation. R package version 1.1.2. Https://CRAN.R-project.org/package=dplyr</w:t>
      </w:r>
      <w:r>
        <w:rPr>
          <w:rFonts w:ascii="Times New Roman" w:hAnsi="Times New Roman" w:cs="Times New Roman"/>
          <w:sz w:val="24"/>
          <w:szCs w:val="24"/>
        </w:rPr>
        <w:t xml:space="preserve"> (Version R package version 1.1.2) [Computer software]. https://CRAN.R-project.org/package=dplyr</w:t>
      </w:r>
    </w:p>
    <w:p w14:paraId="29A78F8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Wickham, H., Vaughan, D., &amp; Girlich, M. (2023). </w:t>
      </w:r>
      <w:r>
        <w:rPr>
          <w:rFonts w:ascii="Times New Roman" w:hAnsi="Times New Roman" w:cs="Times New Roman"/>
          <w:i/>
          <w:iCs/>
          <w:sz w:val="24"/>
          <w:szCs w:val="24"/>
        </w:rPr>
        <w:t>Tidyr: Tidy Messy Data. R package version 1.3.0. Https://CRAN.R-project.org/package=tidyr</w:t>
      </w:r>
      <w:r>
        <w:rPr>
          <w:rFonts w:ascii="Times New Roman" w:hAnsi="Times New Roman" w:cs="Times New Roman"/>
          <w:sz w:val="24"/>
          <w:szCs w:val="24"/>
        </w:rPr>
        <w:t xml:space="preserve"> (Version R package version 1.3.0) [Computer software]. https://CRAN.R-project.org/package=tidyr</w:t>
      </w:r>
    </w:p>
    <w:p w14:paraId="1C3964FE"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Wiens, J. A. (1989). Spatial Scaling in Ecology. </w:t>
      </w:r>
      <w:r>
        <w:rPr>
          <w:rFonts w:ascii="Times New Roman" w:hAnsi="Times New Roman" w:cs="Times New Roman"/>
          <w:i/>
          <w:iCs/>
          <w:sz w:val="24"/>
          <w:szCs w:val="24"/>
        </w:rPr>
        <w:t>Functional Ecology</w:t>
      </w:r>
      <w:r>
        <w:rPr>
          <w:rFonts w:ascii="Times New Roman" w:hAnsi="Times New Roman" w:cs="Times New Roman"/>
          <w:sz w:val="24"/>
          <w:szCs w:val="24"/>
        </w:rPr>
        <w:t xml:space="preserve">, </w:t>
      </w:r>
      <w:r>
        <w:rPr>
          <w:rFonts w:ascii="Times New Roman" w:hAnsi="Times New Roman" w:cs="Times New Roman"/>
          <w:i/>
          <w:iCs/>
          <w:sz w:val="24"/>
          <w:szCs w:val="24"/>
        </w:rPr>
        <w:t>3</w:t>
      </w:r>
      <w:r>
        <w:rPr>
          <w:rFonts w:ascii="Times New Roman" w:hAnsi="Times New Roman" w:cs="Times New Roman"/>
          <w:sz w:val="24"/>
          <w:szCs w:val="24"/>
        </w:rPr>
        <w:t>(4), 385–397. https://doi.org/10.2307/2389612</w:t>
      </w:r>
    </w:p>
    <w:p w14:paraId="60E413ED"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Winkler, K., Fuchs, R., Rounsevell, M. D. A., &amp; Herold, M. (2025). </w:t>
      </w:r>
      <w:r>
        <w:rPr>
          <w:rFonts w:ascii="Times New Roman" w:hAnsi="Times New Roman" w:cs="Times New Roman"/>
          <w:i/>
          <w:iCs/>
          <w:sz w:val="24"/>
          <w:szCs w:val="24"/>
        </w:rPr>
        <w:t>HILDA+ version 2.0: Global Land Use Change between 1960 and 2020 [dataset]</w:t>
      </w:r>
      <w:r>
        <w:rPr>
          <w:rFonts w:ascii="Times New Roman" w:hAnsi="Times New Roman" w:cs="Times New Roman"/>
          <w:sz w:val="24"/>
          <w:szCs w:val="24"/>
        </w:rPr>
        <w:t xml:space="preserve"> [Dataset]. PANGAEA. https://doi.pangaea.de/10.1594/PANGAEA.974335</w:t>
      </w:r>
    </w:p>
    <w:p w14:paraId="28DD5905"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Winkler, K., Fuchs, R., Rounsevell, M., &amp; Herold, M. (2021). Global land use changes are four times greater than previously estimated. </w:t>
      </w:r>
      <w:r>
        <w:rPr>
          <w:rFonts w:ascii="Times New Roman" w:hAnsi="Times New Roman" w:cs="Times New Roman"/>
          <w:i/>
          <w:iCs/>
          <w:sz w:val="24"/>
          <w:szCs w:val="24"/>
        </w:rPr>
        <w:t>Nature Communications</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(1), 1–10. https://doi.org/10.1038/s41467-021-22702-2</w:t>
      </w:r>
    </w:p>
    <w:p w14:paraId="4EACDA33"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Woodman, T. L., Alexander, P., Burslem, D. F. R. P., Travis, J. M. J., Winkler, K., &amp; Eigenbrod, F. (2025a). Global assessment of landscape pattern changes from 1992 to 2020. </w:t>
      </w:r>
      <w:r>
        <w:rPr>
          <w:rFonts w:ascii="Times New Roman" w:hAnsi="Times New Roman" w:cs="Times New Roman"/>
          <w:i/>
          <w:iCs/>
          <w:sz w:val="24"/>
          <w:szCs w:val="24"/>
        </w:rPr>
        <w:t>Landscape Ecology</w:t>
      </w:r>
      <w:r>
        <w:rPr>
          <w:rFonts w:ascii="Times New Roman" w:hAnsi="Times New Roman" w:cs="Times New Roman"/>
          <w:sz w:val="24"/>
          <w:szCs w:val="24"/>
        </w:rPr>
        <w:t xml:space="preserve">, </w:t>
      </w:r>
      <w:r>
        <w:rPr>
          <w:rFonts w:ascii="Times New Roman" w:hAnsi="Times New Roman" w:cs="Times New Roman"/>
          <w:i/>
          <w:iCs/>
          <w:sz w:val="24"/>
          <w:szCs w:val="24"/>
        </w:rPr>
        <w:t>40</w:t>
      </w:r>
      <w:r>
        <w:rPr>
          <w:rFonts w:ascii="Times New Roman" w:hAnsi="Times New Roman" w:cs="Times New Roman"/>
          <w:sz w:val="24"/>
          <w:szCs w:val="24"/>
        </w:rPr>
        <w:t>(11), 196. https://doi.org/10.1007/s10980-025-02210-0</w:t>
      </w:r>
    </w:p>
    <w:p w14:paraId="583BB80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Woodman, T. L., Alexander, P., Burslem, D. F. R. P., Travis, J. M. J., Winkler, K., &amp; Eigenbrod, F. (2025b). </w:t>
      </w:r>
      <w:r>
        <w:rPr>
          <w:rFonts w:ascii="Times New Roman" w:hAnsi="Times New Roman" w:cs="Times New Roman"/>
          <w:i/>
          <w:iCs/>
          <w:sz w:val="24"/>
          <w:szCs w:val="24"/>
        </w:rPr>
        <w:t>Global-scale landscape pattern dataset from 1992 to 2020</w:t>
      </w:r>
      <w:r>
        <w:rPr>
          <w:rFonts w:ascii="Times New Roman" w:hAnsi="Times New Roman" w:cs="Times New Roman"/>
          <w:sz w:val="24"/>
          <w:szCs w:val="24"/>
        </w:rPr>
        <w:t xml:space="preserve"> [Dataset]. Zenodo. https://doi.org/10.5281/ZENODO.15120267</w:t>
      </w:r>
    </w:p>
    <w:p w14:paraId="060F0AA2"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Wright, M. N., &amp; Ziegler, A. (2017). ranger: A Fast Implementation of Random Forests for High Dimensional Data in </w:t>
      </w:r>
      <w:r>
        <w:rPr>
          <w:rFonts w:ascii="Times New Roman" w:hAnsi="Times New Roman" w:cs="Times New Roman"/>
          <w:i/>
          <w:iCs/>
          <w:sz w:val="24"/>
          <w:szCs w:val="24"/>
        </w:rPr>
        <w:t>C++</w:t>
      </w:r>
      <w:r>
        <w:rPr>
          <w:rFonts w:ascii="Times New Roman" w:hAnsi="Times New Roman" w:cs="Times New Roman"/>
          <w:sz w:val="24"/>
          <w:szCs w:val="24"/>
        </w:rPr>
        <w:t xml:space="preserve"> and </w:t>
      </w:r>
      <w:r>
        <w:rPr>
          <w:rFonts w:ascii="Times New Roman" w:hAnsi="Times New Roman" w:cs="Times New Roman"/>
          <w:i/>
          <w:iCs/>
          <w:sz w:val="24"/>
          <w:szCs w:val="24"/>
        </w:rPr>
        <w:t>R</w:t>
      </w:r>
      <w:r>
        <w:rPr>
          <w:rFonts w:ascii="Times New Roman" w:hAnsi="Times New Roman" w:cs="Times New Roman"/>
          <w:sz w:val="24"/>
          <w:szCs w:val="24"/>
        </w:rPr>
        <w:t xml:space="preserve">. </w:t>
      </w:r>
      <w:r>
        <w:rPr>
          <w:rFonts w:ascii="Times New Roman" w:hAnsi="Times New Roman" w:cs="Times New Roman"/>
          <w:i/>
          <w:iCs/>
          <w:sz w:val="24"/>
          <w:szCs w:val="24"/>
        </w:rPr>
        <w:t>Journal of Statistical Software</w:t>
      </w:r>
      <w:r>
        <w:rPr>
          <w:rFonts w:ascii="Times New Roman" w:hAnsi="Times New Roman" w:cs="Times New Roman"/>
          <w:sz w:val="24"/>
          <w:szCs w:val="24"/>
        </w:rPr>
        <w:t xml:space="preserve">, </w:t>
      </w:r>
      <w:r>
        <w:rPr>
          <w:rFonts w:ascii="Times New Roman" w:hAnsi="Times New Roman" w:cs="Times New Roman"/>
          <w:i/>
          <w:iCs/>
          <w:sz w:val="24"/>
          <w:szCs w:val="24"/>
        </w:rPr>
        <w:t>77</w:t>
      </w:r>
      <w:r>
        <w:rPr>
          <w:rFonts w:ascii="Times New Roman" w:hAnsi="Times New Roman" w:cs="Times New Roman"/>
          <w:sz w:val="24"/>
          <w:szCs w:val="24"/>
        </w:rPr>
        <w:t>(1), 1–17. https://doi.org/10.18637/jss.v077.i01</w:t>
      </w:r>
    </w:p>
    <w:p w14:paraId="0A179D88"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Wu, H., Lin, A., Xing, X., Song, D., &amp; Li, Y. (2021). Identifying core driving factors of urban land use change from global land cover products and POI data using the random forest method. </w:t>
      </w:r>
      <w:r>
        <w:rPr>
          <w:rFonts w:ascii="Times New Roman" w:hAnsi="Times New Roman" w:cs="Times New Roman"/>
          <w:i/>
          <w:iCs/>
          <w:sz w:val="24"/>
          <w:szCs w:val="24"/>
        </w:rPr>
        <w:t>International Journal of Applied Earth Observation and Geoinformation</w:t>
      </w:r>
      <w:r>
        <w:rPr>
          <w:rFonts w:ascii="Times New Roman" w:hAnsi="Times New Roman" w:cs="Times New Roman"/>
          <w:sz w:val="24"/>
          <w:szCs w:val="24"/>
        </w:rPr>
        <w:t xml:space="preserve">, </w:t>
      </w:r>
      <w:r>
        <w:rPr>
          <w:rFonts w:ascii="Times New Roman" w:hAnsi="Times New Roman" w:cs="Times New Roman"/>
          <w:i/>
          <w:iCs/>
          <w:sz w:val="24"/>
          <w:szCs w:val="24"/>
        </w:rPr>
        <w:t>103</w:t>
      </w:r>
      <w:r>
        <w:rPr>
          <w:rFonts w:ascii="Times New Roman" w:hAnsi="Times New Roman" w:cs="Times New Roman"/>
          <w:sz w:val="24"/>
          <w:szCs w:val="24"/>
        </w:rPr>
        <w:t>, 102475. https://doi.org/10.1016/j.jag.2021.102475</w:t>
      </w:r>
    </w:p>
    <w:p w14:paraId="4703121E"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lastRenderedPageBreak/>
        <w:t xml:space="preserve">Yang, X., Zhao, Y., Chen, R., &amp; Zheng, X. (2016). Simulating land use change by integrating landscape metrics into ANN-CA in a new way. </w:t>
      </w:r>
      <w:r>
        <w:rPr>
          <w:rFonts w:ascii="Times New Roman" w:hAnsi="Times New Roman" w:cs="Times New Roman"/>
          <w:i/>
          <w:iCs/>
          <w:sz w:val="24"/>
          <w:szCs w:val="24"/>
        </w:rPr>
        <w:t>Frontiers of Earth Science</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 245–252. https://doi.org/10.1007/s11707-015-0522-7</w:t>
      </w:r>
    </w:p>
    <w:p w14:paraId="5BDAED14"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Yang, X., Zheng, X.-Q., &amp; Chen, R. (2014). A land use change model: Integrating landscape pattern indexes and Markov-CA. </w:t>
      </w:r>
      <w:r>
        <w:rPr>
          <w:rFonts w:ascii="Times New Roman" w:hAnsi="Times New Roman" w:cs="Times New Roman"/>
          <w:i/>
          <w:iCs/>
          <w:sz w:val="24"/>
          <w:szCs w:val="24"/>
        </w:rPr>
        <w:t>Ecological Modelling</w:t>
      </w:r>
      <w:r>
        <w:rPr>
          <w:rFonts w:ascii="Times New Roman" w:hAnsi="Times New Roman" w:cs="Times New Roman"/>
          <w:sz w:val="24"/>
          <w:szCs w:val="24"/>
        </w:rPr>
        <w:t xml:space="preserve">, </w:t>
      </w:r>
      <w:r>
        <w:rPr>
          <w:rFonts w:ascii="Times New Roman" w:hAnsi="Times New Roman" w:cs="Times New Roman"/>
          <w:i/>
          <w:iCs/>
          <w:sz w:val="24"/>
          <w:szCs w:val="24"/>
        </w:rPr>
        <w:t>283</w:t>
      </w:r>
      <w:r>
        <w:rPr>
          <w:rFonts w:ascii="Times New Roman" w:hAnsi="Times New Roman" w:cs="Times New Roman"/>
          <w:sz w:val="24"/>
          <w:szCs w:val="24"/>
        </w:rPr>
        <w:t>, 1–7. https://doi.org/10.1016/j.ecolmodel.2014.03.011</w:t>
      </w:r>
    </w:p>
    <w:p w14:paraId="78C5EC7B"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Yarkoni, T., &amp; Westfall, J. (2017). Choosing Prediction Over Explanation in Psychology: Lessons From Machine Learning. </w:t>
      </w:r>
      <w:r>
        <w:rPr>
          <w:rFonts w:ascii="Times New Roman" w:hAnsi="Times New Roman" w:cs="Times New Roman"/>
          <w:i/>
          <w:iCs/>
          <w:sz w:val="24"/>
          <w:szCs w:val="24"/>
        </w:rPr>
        <w:t>Perspectives on Psychological Science</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(6), 1100–1122. https://doi.org/10.1177/1745691617693393</w:t>
      </w:r>
    </w:p>
    <w:p w14:paraId="5C0E312E"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Yates, L. A., Aandahl, Z., Richards, S. A., &amp; Brook, B. W. (2023). Cross validation for model selection: A review with examples from ecology. </w:t>
      </w:r>
      <w:r>
        <w:rPr>
          <w:rFonts w:ascii="Times New Roman" w:hAnsi="Times New Roman" w:cs="Times New Roman"/>
          <w:i/>
          <w:iCs/>
          <w:sz w:val="24"/>
          <w:szCs w:val="24"/>
        </w:rPr>
        <w:t>Ecological Monographs</w:t>
      </w:r>
      <w:r>
        <w:rPr>
          <w:rFonts w:ascii="Times New Roman" w:hAnsi="Times New Roman" w:cs="Times New Roman"/>
          <w:sz w:val="24"/>
          <w:szCs w:val="24"/>
        </w:rPr>
        <w:t xml:space="preserve">, </w:t>
      </w:r>
      <w:r>
        <w:rPr>
          <w:rFonts w:ascii="Times New Roman" w:hAnsi="Times New Roman" w:cs="Times New Roman"/>
          <w:i/>
          <w:iCs/>
          <w:sz w:val="24"/>
          <w:szCs w:val="24"/>
        </w:rPr>
        <w:t>93</w:t>
      </w:r>
      <w:r>
        <w:rPr>
          <w:rFonts w:ascii="Times New Roman" w:hAnsi="Times New Roman" w:cs="Times New Roman"/>
          <w:sz w:val="24"/>
          <w:szCs w:val="24"/>
        </w:rPr>
        <w:t>(1), e1557. https://doi.org/10.1002/ecm.1557</w:t>
      </w:r>
    </w:p>
    <w:p w14:paraId="27818D5A" w14:textId="77777777" w:rsidR="005D0DBA" w:rsidRDefault="005D0DBA" w:rsidP="005D0DBA">
      <w:pPr>
        <w:pStyle w:val="Bibliography"/>
        <w:rPr>
          <w:rFonts w:ascii="Times New Roman" w:hAnsi="Times New Roman" w:cs="Times New Roman"/>
          <w:sz w:val="24"/>
          <w:szCs w:val="24"/>
        </w:rPr>
      </w:pPr>
      <w:r>
        <w:rPr>
          <w:rFonts w:ascii="Times New Roman" w:hAnsi="Times New Roman" w:cs="Times New Roman"/>
          <w:sz w:val="24"/>
          <w:szCs w:val="24"/>
        </w:rPr>
        <w:t xml:space="preserve">Zhu, Z., Liu, B., Wang, H., &amp; Hu, M. (2021). Analysis of the Spatiotemporal Changes in Watershed Landscape Pattern and Its Influencing Factors in Rapidly Urbanizing Areas Using Satellite Data. </w:t>
      </w:r>
      <w:r>
        <w:rPr>
          <w:rFonts w:ascii="Times New Roman" w:hAnsi="Times New Roman" w:cs="Times New Roman"/>
          <w:i/>
          <w:iCs/>
          <w:sz w:val="24"/>
          <w:szCs w:val="24"/>
        </w:rPr>
        <w:t>Remote Sensing</w:t>
      </w:r>
      <w:r>
        <w:rPr>
          <w:rFonts w:ascii="Times New Roman" w:hAnsi="Times New Roman" w:cs="Times New Roman"/>
          <w:sz w:val="24"/>
          <w:szCs w:val="24"/>
        </w:rPr>
        <w:t xml:space="preserve">, </w:t>
      </w:r>
      <w:r>
        <w:rPr>
          <w:rFonts w:ascii="Times New Roman" w:hAnsi="Times New Roman" w:cs="Times New Roman"/>
          <w:i/>
          <w:iCs/>
          <w:sz w:val="24"/>
          <w:szCs w:val="24"/>
        </w:rPr>
        <w:t>13</w:t>
      </w:r>
      <w:r>
        <w:rPr>
          <w:rFonts w:ascii="Times New Roman" w:hAnsi="Times New Roman" w:cs="Times New Roman"/>
          <w:sz w:val="24"/>
          <w:szCs w:val="24"/>
        </w:rPr>
        <w:t>(6), 1168. https://doi.org/10.3390/rs13061168</w:t>
      </w:r>
    </w:p>
    <w:p w14:paraId="2A6C7339" w14:textId="345F24F5" w:rsidR="00F16F55" w:rsidRDefault="004C35A0" w:rsidP="00786466">
      <w:pPr>
        <w:widowControl w:val="0"/>
        <w:pBdr>
          <w:top w:val="nil"/>
          <w:left w:val="nil"/>
          <w:bottom w:val="nil"/>
          <w:right w:val="nil"/>
          <w:between w:val="nil"/>
        </w:pBdr>
        <w:spacing w:after="0" w:line="240" w:lineRule="auto"/>
        <w:ind w:left="720" w:hanging="720"/>
        <w:jc w:val="left"/>
      </w:pPr>
      <w:r w:rsidRPr="003845C5">
        <w:fldChar w:fldCharType="end"/>
      </w:r>
    </w:p>
    <w:p w14:paraId="7888C9AE" w14:textId="4E45129D" w:rsidR="006D4668" w:rsidRDefault="00F16F55" w:rsidP="00A31C28">
      <w:r>
        <w:br w:type="page"/>
      </w:r>
    </w:p>
    <w:p w14:paraId="41F93441" w14:textId="39C80799" w:rsidR="002C1A3F" w:rsidRDefault="0004186F" w:rsidP="003D5890">
      <w:pPr>
        <w:pStyle w:val="Heading1"/>
        <w:ind w:left="0" w:firstLine="0"/>
      </w:pPr>
      <w:r>
        <w:lastRenderedPageBreak/>
        <w:t>Figure captions</w:t>
      </w:r>
    </w:p>
    <w:p w14:paraId="0A8D326A" w14:textId="6C4040B1" w:rsidR="00CE00D7" w:rsidRDefault="00CE00D7" w:rsidP="007B7518">
      <w:r>
        <w:rPr>
          <w:noProof/>
        </w:rPr>
        <w:drawing>
          <wp:inline distT="0" distB="0" distL="0" distR="0" wp14:anchorId="77FEC36E" wp14:editId="26EED12F">
            <wp:extent cx="5731510" cy="31673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7380"/>
                    </a:xfrm>
                    <a:prstGeom prst="rect">
                      <a:avLst/>
                    </a:prstGeom>
                  </pic:spPr>
                </pic:pic>
              </a:graphicData>
            </a:graphic>
          </wp:inline>
        </w:drawing>
      </w:r>
    </w:p>
    <w:p w14:paraId="57615645" w14:textId="7566F9E1" w:rsidR="00636C2B" w:rsidRDefault="0004186F" w:rsidP="007B7518">
      <w:r>
        <w:t xml:space="preserve">Figure 1. Workflow for fitting random forest models with different sets of </w:t>
      </w:r>
      <w:r w:rsidR="00522318">
        <w:t>independent</w:t>
      </w:r>
      <w:r>
        <w:t xml:space="preserve"> variables. In</w:t>
      </w:r>
      <w:r w:rsidR="00522318">
        <w:t>dependent variables</w:t>
      </w:r>
      <w:r>
        <w:t xml:space="preserve"> include landscape metrics (pink) and socioeconomic and biophysical </w:t>
      </w:r>
      <w:r w:rsidR="00522318">
        <w:t xml:space="preserve">variables that are traditionally used to predict </w:t>
      </w:r>
      <w:r>
        <w:t xml:space="preserve">land use and land cover (LULC) change (green). Input data are processed to obtain </w:t>
      </w:r>
      <w:r w:rsidR="000F738B">
        <w:t>dependent</w:t>
      </w:r>
      <w:r>
        <w:t xml:space="preserve"> and </w:t>
      </w:r>
      <w:r w:rsidR="007539AD">
        <w:t>independent</w:t>
      </w:r>
      <w:r>
        <w:t xml:space="preserve"> variables for a combination of geographic location (global- or continental-scale), </w:t>
      </w:r>
      <w:r w:rsidR="00942DBC">
        <w:t>spatial resolution</w:t>
      </w:r>
      <w:r>
        <w:t xml:space="preserve"> (10 km or </w:t>
      </w:r>
      <w:r w:rsidR="00AF48E9">
        <w:t>80</w:t>
      </w:r>
      <w:r>
        <w:t xml:space="preserve"> km), LULC change type (</w:t>
      </w:r>
      <w:r w:rsidR="00E577FA">
        <w:t>forest</w:t>
      </w:r>
      <w:r>
        <w:t xml:space="preserve"> loss or </w:t>
      </w:r>
      <w:r w:rsidR="00E577FA">
        <w:t>cropland</w:t>
      </w:r>
      <w:r>
        <w:t xml:space="preserve"> expansion) and net LULC change threshold (&gt;0.5%, &gt;5%, or &gt;15%). Filtering of </w:t>
      </w:r>
      <w:r w:rsidR="00E46BE8">
        <w:t>pixel</w:t>
      </w:r>
      <w:r>
        <w:t>s includes removing</w:t>
      </w:r>
      <w:r w:rsidR="00E46BE8">
        <w:t xml:space="preserve"> pixels</w:t>
      </w:r>
      <w:r>
        <w:t xml:space="preserve"> with no </w:t>
      </w:r>
      <w:r w:rsidR="00E46BE8">
        <w:t>d</w:t>
      </w:r>
      <w:r>
        <w:t xml:space="preserve">ata for a socioeconomic or biophysical </w:t>
      </w:r>
      <w:r w:rsidR="00BD1DDA">
        <w:t>variable</w:t>
      </w:r>
      <w:r>
        <w:t xml:space="preserve"> and removing </w:t>
      </w:r>
      <w:r w:rsidR="00BD1DDA">
        <w:t>independent variable</w:t>
      </w:r>
      <w:r>
        <w:t xml:space="preserve">s with variation equal to zero. Three random forest models are then fitted to </w:t>
      </w:r>
      <w:r w:rsidR="00244A5A">
        <w:t>model</w:t>
      </w:r>
      <w:r>
        <w:t xml:space="preserve"> net LULC change with different sets of </w:t>
      </w:r>
      <w:r w:rsidR="00BD1DDA">
        <w:t>independent variable</w:t>
      </w:r>
      <w:r>
        <w:t>s.</w:t>
      </w:r>
      <w:r w:rsidR="007B7518" w:rsidDel="007B7518">
        <w:t xml:space="preserve"> </w:t>
      </w:r>
    </w:p>
    <w:p w14:paraId="7BC36329" w14:textId="248CFCB8" w:rsidR="00CE00D7" w:rsidRDefault="00CE00D7" w:rsidP="007B7518">
      <w:r>
        <w:rPr>
          <w:noProof/>
        </w:rPr>
        <w:lastRenderedPageBreak/>
        <w:drawing>
          <wp:inline distT="0" distB="0" distL="0" distR="0" wp14:anchorId="4FC7D936" wp14:editId="2D236798">
            <wp:extent cx="5731510" cy="46755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14:paraId="1C94E07C" w14:textId="4EE15B18" w:rsidR="002C1A3F" w:rsidRDefault="00C51683" w:rsidP="003D5890">
      <w:r>
        <w:t xml:space="preserve">Figure 2. Performance of random forest models for </w:t>
      </w:r>
      <w:r w:rsidR="00244A5A">
        <w:t>modelling</w:t>
      </w:r>
      <w:r>
        <w:t xml:space="preserve"> LULC change at a global scale. F</w:t>
      </w:r>
      <w:r>
        <w:rPr>
          <w:vertAlign w:val="subscript"/>
        </w:rPr>
        <w:t>1</w:t>
      </w:r>
      <w:r>
        <w:t xml:space="preserve"> measure for models of a) cropland expansion and b) forest loss. Points give the mean F</w:t>
      </w:r>
      <w:r>
        <w:rPr>
          <w:vertAlign w:val="subscript"/>
        </w:rPr>
        <w:t>1</w:t>
      </w:r>
      <w:r>
        <w:t xml:space="preserve"> value and lines the standard error across ten cross-validation folds. Standard errors were small (4.7 x 10-4 to 0.012) and may not be visible on the plot. Point and line colour indicate the </w:t>
      </w:r>
      <w:r w:rsidR="00BD1DDA">
        <w:t>independent variable</w:t>
      </w:r>
      <w:r>
        <w:t xml:space="preserve">s used in each model: green = traditional socioeconomic and biophysical </w:t>
      </w:r>
      <w:r w:rsidR="00BD1DDA">
        <w:t>variable</w:t>
      </w:r>
      <w:r>
        <w:t xml:space="preserve">s, pink = landscape metrics, purple = both traditional </w:t>
      </w:r>
      <w:r w:rsidR="00BD1DDA">
        <w:t>variable</w:t>
      </w:r>
      <w:r>
        <w:t xml:space="preserve">s and landscape metrics. Models were fitted for two </w:t>
      </w:r>
      <w:r w:rsidR="007618E9">
        <w:t>spatial resolution</w:t>
      </w:r>
      <w:r>
        <w:t xml:space="preserve">s (10 and </w:t>
      </w:r>
      <w:r w:rsidR="00AF48E9">
        <w:t>80</w:t>
      </w:r>
      <w:r>
        <w:t xml:space="preserve"> km) and three thresholds for </w:t>
      </w:r>
      <w:r w:rsidR="007618E9">
        <w:t>classifying net</w:t>
      </w:r>
      <w:r>
        <w:t xml:space="preserve"> LULC change.</w:t>
      </w:r>
      <w:r w:rsidR="007B7518" w:rsidDel="007B7518">
        <w:t xml:space="preserve"> </w:t>
      </w:r>
    </w:p>
    <w:p w14:paraId="772E7265" w14:textId="317B1740" w:rsidR="00CE00D7" w:rsidRDefault="00CE00D7" w:rsidP="003D5890">
      <w:r>
        <w:rPr>
          <w:noProof/>
        </w:rPr>
        <w:lastRenderedPageBreak/>
        <w:drawing>
          <wp:inline distT="0" distB="0" distL="0" distR="0" wp14:anchorId="5A37CC50" wp14:editId="0541B496">
            <wp:extent cx="5731510" cy="467550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14:paraId="3A2773CF" w14:textId="5C6E9C09" w:rsidR="002C1A3F" w:rsidRDefault="00430501" w:rsidP="003D5890">
      <w:r>
        <w:t xml:space="preserve">Figure 3. Precision-recall curves for global-scale random forest models of LULC change. Random forest models were used to </w:t>
      </w:r>
      <w:r w:rsidR="00244A5A">
        <w:t>model</w:t>
      </w:r>
      <w:r>
        <w:t xml:space="preserve"> a) cropland expansion and b) forest loss. Solid lines give the precision-recall curve for each of ten folds created during cross-validation. Grey dotted lines are the baseline precision expected if a model was to classify </w:t>
      </w:r>
      <w:r w:rsidR="007618E9">
        <w:t>pixel</w:t>
      </w:r>
      <w:r>
        <w:t>s at random. See Figure 2 for information about line colours and the models fitted.</w:t>
      </w:r>
      <w:r w:rsidR="003D5890" w:rsidDel="003D5890">
        <w:t xml:space="preserve"> </w:t>
      </w:r>
    </w:p>
    <w:p w14:paraId="6880E2DE" w14:textId="290EEB63" w:rsidR="00CE00D7" w:rsidRDefault="00CE00D7" w:rsidP="003D5890">
      <w:r>
        <w:rPr>
          <w:noProof/>
        </w:rPr>
        <w:lastRenderedPageBreak/>
        <w:drawing>
          <wp:inline distT="0" distB="0" distL="0" distR="0" wp14:anchorId="3C690A76" wp14:editId="3BE1A9CD">
            <wp:extent cx="5731510" cy="467550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14:paraId="373CB233" w14:textId="5F568E58" w:rsidR="00137F39" w:rsidRDefault="008D7974" w:rsidP="003D5890">
      <w:r>
        <w:t>Figure 4</w:t>
      </w:r>
      <w:r w:rsidR="00124152">
        <w:t>. Performance of continental-scale random forest models of LULC change. F</w:t>
      </w:r>
      <w:r w:rsidR="00124152">
        <w:rPr>
          <w:vertAlign w:val="subscript"/>
        </w:rPr>
        <w:t>1</w:t>
      </w:r>
      <w:r w:rsidR="00124152">
        <w:t xml:space="preserve"> measure for models of a) cropland expansion b) and forest loss. Points give the mean F</w:t>
      </w:r>
      <w:r w:rsidR="00124152">
        <w:rPr>
          <w:vertAlign w:val="subscript"/>
        </w:rPr>
        <w:t>1</w:t>
      </w:r>
      <w:r w:rsidR="00124152">
        <w:t xml:space="preserve"> value and lines the standard error across ten cross-validation folds. Standard errors were small (9.7 x 10</w:t>
      </w:r>
      <w:r w:rsidR="00124152">
        <w:rPr>
          <w:vertAlign w:val="superscript"/>
        </w:rPr>
        <w:t>-4</w:t>
      </w:r>
      <w:r w:rsidR="00124152">
        <w:t xml:space="preserve"> to 0.021) and may not show on the plot. Point colours are described in Figure 2.</w:t>
      </w:r>
      <w:r w:rsidR="007B7518" w:rsidDel="007B7518">
        <w:t xml:space="preserve"> </w:t>
      </w:r>
    </w:p>
    <w:p w14:paraId="2BDAEBB0" w14:textId="198AC048" w:rsidR="00CE00D7" w:rsidRDefault="00CE00D7" w:rsidP="003D5890">
      <w:r>
        <w:rPr>
          <w:noProof/>
        </w:rPr>
        <w:lastRenderedPageBreak/>
        <w:drawing>
          <wp:inline distT="0" distB="0" distL="0" distR="0" wp14:anchorId="7AFF4D70" wp14:editId="5699BAB4">
            <wp:extent cx="5731510" cy="46755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675505"/>
                    </a:xfrm>
                    <a:prstGeom prst="rect">
                      <a:avLst/>
                    </a:prstGeom>
                  </pic:spPr>
                </pic:pic>
              </a:graphicData>
            </a:graphic>
          </wp:inline>
        </w:drawing>
      </w:r>
    </w:p>
    <w:p w14:paraId="0E6B593D" w14:textId="1643AFD2" w:rsidR="002C1A3F" w:rsidRDefault="00814BA3" w:rsidP="003D5890">
      <w:r>
        <w:t xml:space="preserve">Figure 5. Importance rankings for the five most important variables in the best-performing global-scale models for a) cropland expansion and b) forest loss. Points give the mean ranking and lines the standard deviation across the ten folds used in cross-validation, hence the x-axes show rankings greater than five. Six rankings are shown for the forest loss model with </w:t>
      </w:r>
      <w:r w:rsidR="007618E9">
        <w:t>spatial resolution</w:t>
      </w:r>
      <w:r>
        <w:t xml:space="preserve"> of </w:t>
      </w:r>
      <w:r w:rsidR="00AF48E9">
        <w:t>80</w:t>
      </w:r>
      <w:r>
        <w:t xml:space="preserve"> km and a threshold of &gt;0.5% because two variables had the same mean rank. GDP = Gross Domestic Product, CA = class area, NDCA = number of disjunct core area patches, NP = number of patches, and TCA = total core area. ‘Grass/shrubland’ in b) refers to unmanaged grass/shrubland. Point colours indicate whether a variable was a traditional </w:t>
      </w:r>
      <w:r w:rsidR="00BD1DDA">
        <w:t>variable</w:t>
      </w:r>
      <w:r>
        <w:t xml:space="preserve"> (green) or a landscape metric (pink).</w:t>
      </w:r>
      <w:r w:rsidR="003D5890" w:rsidDel="003D5890">
        <w:t xml:space="preserve"> </w:t>
      </w:r>
    </w:p>
    <w:p w14:paraId="7CBE145F" w14:textId="108F3942" w:rsidR="00CE00D7" w:rsidRDefault="00CE00D7" w:rsidP="003D5890">
      <w:r>
        <w:rPr>
          <w:noProof/>
        </w:rPr>
        <w:lastRenderedPageBreak/>
        <w:drawing>
          <wp:inline distT="0" distB="0" distL="0" distR="0" wp14:anchorId="619454D8" wp14:editId="04079EBC">
            <wp:extent cx="5731510" cy="5428615"/>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428615"/>
                    </a:xfrm>
                    <a:prstGeom prst="rect">
                      <a:avLst/>
                    </a:prstGeom>
                  </pic:spPr>
                </pic:pic>
              </a:graphicData>
            </a:graphic>
          </wp:inline>
        </w:drawing>
      </w:r>
    </w:p>
    <w:p w14:paraId="71E23050" w14:textId="0EF77F78" w:rsidR="0004186F" w:rsidRPr="0004186F" w:rsidRDefault="003D5F39" w:rsidP="00814BA3">
      <w:r>
        <w:t xml:space="preserve">Figure 6. Partial dependence plots for the most important </w:t>
      </w:r>
      <w:r w:rsidR="00BD1DDA">
        <w:t>independent variable</w:t>
      </w:r>
      <w:r>
        <w:t xml:space="preserve">s in two global-scale models of LULC change. Top five </w:t>
      </w:r>
      <w:r w:rsidR="00BD1DDA">
        <w:t>independent variable</w:t>
      </w:r>
      <w:r>
        <w:t xml:space="preserve">s for a) cropland expansion and b) forest loss in </w:t>
      </w:r>
      <w:r w:rsidR="00AF48E9">
        <w:t>80</w:t>
      </w:r>
      <w:r>
        <w:t xml:space="preserve"> km </w:t>
      </w:r>
      <w:r w:rsidR="00EE1E13">
        <w:t xml:space="preserve">resolution </w:t>
      </w:r>
      <w:r w:rsidR="007618E9">
        <w:t>pixels</w:t>
      </w:r>
      <w:r>
        <w:t xml:space="preserve"> with &gt;0.5% threshold for de</w:t>
      </w:r>
      <w:r w:rsidR="00B62340">
        <w:t>fining</w:t>
      </w:r>
      <w:r>
        <w:t xml:space="preserve"> net change. Six </w:t>
      </w:r>
      <w:r w:rsidR="00BD1DDA">
        <w:t>independent variable</w:t>
      </w:r>
      <w:r>
        <w:t xml:space="preserve">s are shown in b) because pasture/rangeland CA and forest CA were tied as the fifth most important </w:t>
      </w:r>
      <w:r w:rsidR="00BD1DDA">
        <w:t>independent variable</w:t>
      </w:r>
      <w:r>
        <w:t xml:space="preserve"> on average in the model. </w:t>
      </w:r>
      <w:r w:rsidR="00BD1DDA">
        <w:t>Independent variable</w:t>
      </w:r>
      <w:r>
        <w:t xml:space="preserve">s are shown in order of increasing importance along each row, with the most important </w:t>
      </w:r>
      <w:r w:rsidR="00BD1DDA">
        <w:t>independent variable</w:t>
      </w:r>
      <w:r>
        <w:t>s in the top left panel and least important in the bottom right panel. GDP = Gross Domestic Product, CA = class area in hectares, NP = number of patches.</w:t>
      </w:r>
    </w:p>
    <w:sectPr w:rsidR="0004186F" w:rsidRPr="0004186F" w:rsidSect="00192116">
      <w:pgSz w:w="11906" w:h="16838"/>
      <w:pgMar w:top="1440" w:right="1440" w:bottom="1440" w:left="1440" w:header="708" w:footer="708"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6D8CF" w14:textId="77777777" w:rsidR="004A68FE" w:rsidRDefault="004A68FE" w:rsidP="00DD150B">
      <w:pPr>
        <w:spacing w:after="0" w:line="240" w:lineRule="auto"/>
      </w:pPr>
      <w:r>
        <w:separator/>
      </w:r>
    </w:p>
  </w:endnote>
  <w:endnote w:type="continuationSeparator" w:id="0">
    <w:p w14:paraId="4AA16798" w14:textId="77777777" w:rsidR="004A68FE" w:rsidRDefault="004A68FE" w:rsidP="00DD150B">
      <w:pPr>
        <w:spacing w:after="0" w:line="240" w:lineRule="auto"/>
      </w:pPr>
      <w:r>
        <w:continuationSeparator/>
      </w:r>
    </w:p>
  </w:endnote>
  <w:endnote w:type="continuationNotice" w:id="1">
    <w:p w14:paraId="59AEA403" w14:textId="77777777" w:rsidR="004A68FE" w:rsidRDefault="004A68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5A8BD" w14:textId="77777777" w:rsidR="004A68FE" w:rsidRDefault="004A68FE" w:rsidP="00DD150B">
      <w:pPr>
        <w:spacing w:after="0" w:line="240" w:lineRule="auto"/>
      </w:pPr>
      <w:r>
        <w:separator/>
      </w:r>
    </w:p>
  </w:footnote>
  <w:footnote w:type="continuationSeparator" w:id="0">
    <w:p w14:paraId="23B6203D" w14:textId="77777777" w:rsidR="004A68FE" w:rsidRDefault="004A68FE" w:rsidP="00DD150B">
      <w:pPr>
        <w:spacing w:after="0" w:line="240" w:lineRule="auto"/>
      </w:pPr>
      <w:r>
        <w:continuationSeparator/>
      </w:r>
    </w:p>
  </w:footnote>
  <w:footnote w:type="continuationNotice" w:id="1">
    <w:p w14:paraId="1155461A" w14:textId="77777777" w:rsidR="004A68FE" w:rsidRDefault="004A68F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67063"/>
    <w:multiLevelType w:val="multilevel"/>
    <w:tmpl w:val="A87C34EA"/>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0D63AB6"/>
    <w:multiLevelType w:val="multilevel"/>
    <w:tmpl w:val="362805F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C54"/>
    <w:rsid w:val="00003A0F"/>
    <w:rsid w:val="0000508F"/>
    <w:rsid w:val="00013518"/>
    <w:rsid w:val="00014B15"/>
    <w:rsid w:val="00015006"/>
    <w:rsid w:val="000170B1"/>
    <w:rsid w:val="00017456"/>
    <w:rsid w:val="00017C4A"/>
    <w:rsid w:val="00020C0E"/>
    <w:rsid w:val="00020F28"/>
    <w:rsid w:val="00023E12"/>
    <w:rsid w:val="0002424A"/>
    <w:rsid w:val="00024348"/>
    <w:rsid w:val="00025346"/>
    <w:rsid w:val="00025FE7"/>
    <w:rsid w:val="00032355"/>
    <w:rsid w:val="000334BE"/>
    <w:rsid w:val="0004186F"/>
    <w:rsid w:val="00042425"/>
    <w:rsid w:val="00045952"/>
    <w:rsid w:val="00045C6A"/>
    <w:rsid w:val="00051C57"/>
    <w:rsid w:val="0005210A"/>
    <w:rsid w:val="00053267"/>
    <w:rsid w:val="00065805"/>
    <w:rsid w:val="000668E9"/>
    <w:rsid w:val="000671FD"/>
    <w:rsid w:val="0006793D"/>
    <w:rsid w:val="00070D08"/>
    <w:rsid w:val="00071B11"/>
    <w:rsid w:val="00072145"/>
    <w:rsid w:val="000728EF"/>
    <w:rsid w:val="0007797E"/>
    <w:rsid w:val="00080DC1"/>
    <w:rsid w:val="00080E07"/>
    <w:rsid w:val="000854AE"/>
    <w:rsid w:val="00086E67"/>
    <w:rsid w:val="00090521"/>
    <w:rsid w:val="000932C1"/>
    <w:rsid w:val="00094179"/>
    <w:rsid w:val="00095695"/>
    <w:rsid w:val="00095E2B"/>
    <w:rsid w:val="0009618D"/>
    <w:rsid w:val="000A048D"/>
    <w:rsid w:val="000A05A3"/>
    <w:rsid w:val="000A279F"/>
    <w:rsid w:val="000A311B"/>
    <w:rsid w:val="000A37DD"/>
    <w:rsid w:val="000A722C"/>
    <w:rsid w:val="000B0D91"/>
    <w:rsid w:val="000B16C9"/>
    <w:rsid w:val="000B3667"/>
    <w:rsid w:val="000B3CD3"/>
    <w:rsid w:val="000B5A6C"/>
    <w:rsid w:val="000D6369"/>
    <w:rsid w:val="000D65E7"/>
    <w:rsid w:val="000E7B28"/>
    <w:rsid w:val="000F3C84"/>
    <w:rsid w:val="000F4F84"/>
    <w:rsid w:val="000F6370"/>
    <w:rsid w:val="000F738B"/>
    <w:rsid w:val="00101891"/>
    <w:rsid w:val="00103DCE"/>
    <w:rsid w:val="001068B4"/>
    <w:rsid w:val="001073E3"/>
    <w:rsid w:val="0010792E"/>
    <w:rsid w:val="001103AE"/>
    <w:rsid w:val="0011187F"/>
    <w:rsid w:val="00115AC2"/>
    <w:rsid w:val="00120C7F"/>
    <w:rsid w:val="00124152"/>
    <w:rsid w:val="001242ED"/>
    <w:rsid w:val="0012650E"/>
    <w:rsid w:val="00130097"/>
    <w:rsid w:val="00130D68"/>
    <w:rsid w:val="001318FC"/>
    <w:rsid w:val="001363AD"/>
    <w:rsid w:val="00136ED4"/>
    <w:rsid w:val="00137F39"/>
    <w:rsid w:val="00143738"/>
    <w:rsid w:val="001443AE"/>
    <w:rsid w:val="0015057D"/>
    <w:rsid w:val="00150E32"/>
    <w:rsid w:val="00151D20"/>
    <w:rsid w:val="00153FC6"/>
    <w:rsid w:val="00155EAE"/>
    <w:rsid w:val="00156136"/>
    <w:rsid w:val="00162ACE"/>
    <w:rsid w:val="001645C2"/>
    <w:rsid w:val="00165A7A"/>
    <w:rsid w:val="001663C4"/>
    <w:rsid w:val="00172A61"/>
    <w:rsid w:val="00175B0F"/>
    <w:rsid w:val="0017738E"/>
    <w:rsid w:val="00181327"/>
    <w:rsid w:val="00191696"/>
    <w:rsid w:val="00191E7B"/>
    <w:rsid w:val="00192116"/>
    <w:rsid w:val="001A052B"/>
    <w:rsid w:val="001A1B45"/>
    <w:rsid w:val="001B0516"/>
    <w:rsid w:val="001B15F1"/>
    <w:rsid w:val="001B76E2"/>
    <w:rsid w:val="001C1AE2"/>
    <w:rsid w:val="001C25BA"/>
    <w:rsid w:val="001C3804"/>
    <w:rsid w:val="001C3F3A"/>
    <w:rsid w:val="001C516F"/>
    <w:rsid w:val="001D4F98"/>
    <w:rsid w:val="001D5E61"/>
    <w:rsid w:val="001E505A"/>
    <w:rsid w:val="001E559F"/>
    <w:rsid w:val="001F1369"/>
    <w:rsid w:val="001F144A"/>
    <w:rsid w:val="001F3FC1"/>
    <w:rsid w:val="001F4D18"/>
    <w:rsid w:val="001F6369"/>
    <w:rsid w:val="001F658A"/>
    <w:rsid w:val="001F6CA5"/>
    <w:rsid w:val="001F7619"/>
    <w:rsid w:val="0020103F"/>
    <w:rsid w:val="00201125"/>
    <w:rsid w:val="0020583C"/>
    <w:rsid w:val="00207C31"/>
    <w:rsid w:val="00213853"/>
    <w:rsid w:val="002148AD"/>
    <w:rsid w:val="0021496E"/>
    <w:rsid w:val="00217316"/>
    <w:rsid w:val="002212AE"/>
    <w:rsid w:val="00224A58"/>
    <w:rsid w:val="0022745E"/>
    <w:rsid w:val="0023439D"/>
    <w:rsid w:val="00234A8B"/>
    <w:rsid w:val="00237561"/>
    <w:rsid w:val="002401A3"/>
    <w:rsid w:val="00244A5A"/>
    <w:rsid w:val="00247592"/>
    <w:rsid w:val="00251105"/>
    <w:rsid w:val="00253284"/>
    <w:rsid w:val="00254B95"/>
    <w:rsid w:val="00255DF3"/>
    <w:rsid w:val="00255E51"/>
    <w:rsid w:val="00255F31"/>
    <w:rsid w:val="002572FF"/>
    <w:rsid w:val="00270342"/>
    <w:rsid w:val="00276242"/>
    <w:rsid w:val="00276A42"/>
    <w:rsid w:val="002770D6"/>
    <w:rsid w:val="0028231F"/>
    <w:rsid w:val="002862C7"/>
    <w:rsid w:val="0028770B"/>
    <w:rsid w:val="0029021F"/>
    <w:rsid w:val="002A03A8"/>
    <w:rsid w:val="002A2375"/>
    <w:rsid w:val="002A27E4"/>
    <w:rsid w:val="002A3A4F"/>
    <w:rsid w:val="002A4006"/>
    <w:rsid w:val="002A4201"/>
    <w:rsid w:val="002A47E1"/>
    <w:rsid w:val="002A6E4E"/>
    <w:rsid w:val="002A7256"/>
    <w:rsid w:val="002A75DD"/>
    <w:rsid w:val="002B1641"/>
    <w:rsid w:val="002B1F97"/>
    <w:rsid w:val="002B39F1"/>
    <w:rsid w:val="002B4BBF"/>
    <w:rsid w:val="002B4CC1"/>
    <w:rsid w:val="002C1A3F"/>
    <w:rsid w:val="002C30AB"/>
    <w:rsid w:val="002C31C3"/>
    <w:rsid w:val="002C371E"/>
    <w:rsid w:val="002C6550"/>
    <w:rsid w:val="002C799E"/>
    <w:rsid w:val="002C7A2A"/>
    <w:rsid w:val="002D2715"/>
    <w:rsid w:val="002D2C2C"/>
    <w:rsid w:val="002D5104"/>
    <w:rsid w:val="002D5C18"/>
    <w:rsid w:val="002E2034"/>
    <w:rsid w:val="002F0EFB"/>
    <w:rsid w:val="002F4BD0"/>
    <w:rsid w:val="002F7A67"/>
    <w:rsid w:val="00301200"/>
    <w:rsid w:val="00301E66"/>
    <w:rsid w:val="00304C3B"/>
    <w:rsid w:val="00306E00"/>
    <w:rsid w:val="0031509E"/>
    <w:rsid w:val="0032020A"/>
    <w:rsid w:val="003221CB"/>
    <w:rsid w:val="00322EAB"/>
    <w:rsid w:val="003234CB"/>
    <w:rsid w:val="00326BBA"/>
    <w:rsid w:val="0033649C"/>
    <w:rsid w:val="003432F4"/>
    <w:rsid w:val="003461B1"/>
    <w:rsid w:val="00347176"/>
    <w:rsid w:val="003559AD"/>
    <w:rsid w:val="00356BEF"/>
    <w:rsid w:val="00360769"/>
    <w:rsid w:val="00362EA1"/>
    <w:rsid w:val="00365D5C"/>
    <w:rsid w:val="00376028"/>
    <w:rsid w:val="00376054"/>
    <w:rsid w:val="00377334"/>
    <w:rsid w:val="00383433"/>
    <w:rsid w:val="003836D3"/>
    <w:rsid w:val="003845C5"/>
    <w:rsid w:val="003849B3"/>
    <w:rsid w:val="00387332"/>
    <w:rsid w:val="00391251"/>
    <w:rsid w:val="00393E3B"/>
    <w:rsid w:val="00396256"/>
    <w:rsid w:val="00396CF5"/>
    <w:rsid w:val="003A0A94"/>
    <w:rsid w:val="003A4DDD"/>
    <w:rsid w:val="003B0D01"/>
    <w:rsid w:val="003B16BA"/>
    <w:rsid w:val="003B36F6"/>
    <w:rsid w:val="003B6DFD"/>
    <w:rsid w:val="003C2C99"/>
    <w:rsid w:val="003D3323"/>
    <w:rsid w:val="003D48F9"/>
    <w:rsid w:val="003D5890"/>
    <w:rsid w:val="003D589E"/>
    <w:rsid w:val="003D5F39"/>
    <w:rsid w:val="003D6CD9"/>
    <w:rsid w:val="003E665E"/>
    <w:rsid w:val="003F1407"/>
    <w:rsid w:val="003F15CF"/>
    <w:rsid w:val="003F4F49"/>
    <w:rsid w:val="003F5176"/>
    <w:rsid w:val="003F54ED"/>
    <w:rsid w:val="00404DDE"/>
    <w:rsid w:val="00405A18"/>
    <w:rsid w:val="00413686"/>
    <w:rsid w:val="00413F57"/>
    <w:rsid w:val="00417057"/>
    <w:rsid w:val="0042011F"/>
    <w:rsid w:val="00420BB6"/>
    <w:rsid w:val="00421A08"/>
    <w:rsid w:val="00423F3A"/>
    <w:rsid w:val="00430501"/>
    <w:rsid w:val="00436C0D"/>
    <w:rsid w:val="00437476"/>
    <w:rsid w:val="00437722"/>
    <w:rsid w:val="00441207"/>
    <w:rsid w:val="0044369A"/>
    <w:rsid w:val="00444DF7"/>
    <w:rsid w:val="004469FC"/>
    <w:rsid w:val="00453E94"/>
    <w:rsid w:val="0045500C"/>
    <w:rsid w:val="00456DD2"/>
    <w:rsid w:val="00460098"/>
    <w:rsid w:val="0047325D"/>
    <w:rsid w:val="00473B3A"/>
    <w:rsid w:val="00474F19"/>
    <w:rsid w:val="00475A81"/>
    <w:rsid w:val="00476401"/>
    <w:rsid w:val="004777E8"/>
    <w:rsid w:val="00482356"/>
    <w:rsid w:val="00485484"/>
    <w:rsid w:val="00490BEA"/>
    <w:rsid w:val="00490EDD"/>
    <w:rsid w:val="004918D2"/>
    <w:rsid w:val="0049219C"/>
    <w:rsid w:val="00492832"/>
    <w:rsid w:val="00492CA5"/>
    <w:rsid w:val="004934C7"/>
    <w:rsid w:val="004A226F"/>
    <w:rsid w:val="004A4F49"/>
    <w:rsid w:val="004A68FE"/>
    <w:rsid w:val="004B4463"/>
    <w:rsid w:val="004B6281"/>
    <w:rsid w:val="004B7A04"/>
    <w:rsid w:val="004C1E1F"/>
    <w:rsid w:val="004C244A"/>
    <w:rsid w:val="004C35A0"/>
    <w:rsid w:val="004C41CB"/>
    <w:rsid w:val="004C4D01"/>
    <w:rsid w:val="004C6181"/>
    <w:rsid w:val="004D1E3F"/>
    <w:rsid w:val="004D252B"/>
    <w:rsid w:val="004D3240"/>
    <w:rsid w:val="004D350C"/>
    <w:rsid w:val="004D6DAF"/>
    <w:rsid w:val="004D7307"/>
    <w:rsid w:val="004E33EA"/>
    <w:rsid w:val="004E5682"/>
    <w:rsid w:val="004E6011"/>
    <w:rsid w:val="004E7614"/>
    <w:rsid w:val="004F07AB"/>
    <w:rsid w:val="004F0942"/>
    <w:rsid w:val="004F0B8E"/>
    <w:rsid w:val="004F27D0"/>
    <w:rsid w:val="004F486B"/>
    <w:rsid w:val="004F6AA3"/>
    <w:rsid w:val="00501340"/>
    <w:rsid w:val="005063FB"/>
    <w:rsid w:val="005065F6"/>
    <w:rsid w:val="00506A99"/>
    <w:rsid w:val="00507275"/>
    <w:rsid w:val="005076AB"/>
    <w:rsid w:val="005111D8"/>
    <w:rsid w:val="00511CB9"/>
    <w:rsid w:val="00520C44"/>
    <w:rsid w:val="00522318"/>
    <w:rsid w:val="00523716"/>
    <w:rsid w:val="00523CF2"/>
    <w:rsid w:val="00525D00"/>
    <w:rsid w:val="005331A1"/>
    <w:rsid w:val="00536BDF"/>
    <w:rsid w:val="0053765D"/>
    <w:rsid w:val="00537CDC"/>
    <w:rsid w:val="005418DF"/>
    <w:rsid w:val="00542666"/>
    <w:rsid w:val="00543F3A"/>
    <w:rsid w:val="00546438"/>
    <w:rsid w:val="0054789C"/>
    <w:rsid w:val="00550ED7"/>
    <w:rsid w:val="0055194A"/>
    <w:rsid w:val="00551F17"/>
    <w:rsid w:val="00554397"/>
    <w:rsid w:val="005554CE"/>
    <w:rsid w:val="005566F0"/>
    <w:rsid w:val="00562F8D"/>
    <w:rsid w:val="005633F3"/>
    <w:rsid w:val="0056686A"/>
    <w:rsid w:val="00566999"/>
    <w:rsid w:val="00570056"/>
    <w:rsid w:val="0057428A"/>
    <w:rsid w:val="00576832"/>
    <w:rsid w:val="00577302"/>
    <w:rsid w:val="00581DD7"/>
    <w:rsid w:val="005834EE"/>
    <w:rsid w:val="00593FE3"/>
    <w:rsid w:val="005A49FC"/>
    <w:rsid w:val="005A5A53"/>
    <w:rsid w:val="005A677D"/>
    <w:rsid w:val="005A7095"/>
    <w:rsid w:val="005A724F"/>
    <w:rsid w:val="005A73AB"/>
    <w:rsid w:val="005A76DE"/>
    <w:rsid w:val="005B1E69"/>
    <w:rsid w:val="005B4190"/>
    <w:rsid w:val="005B43BD"/>
    <w:rsid w:val="005B7A8B"/>
    <w:rsid w:val="005C0DB3"/>
    <w:rsid w:val="005D0DBA"/>
    <w:rsid w:val="005D1ABF"/>
    <w:rsid w:val="005E0565"/>
    <w:rsid w:val="005E1125"/>
    <w:rsid w:val="005E1DE0"/>
    <w:rsid w:val="005E328D"/>
    <w:rsid w:val="005E339E"/>
    <w:rsid w:val="005E4129"/>
    <w:rsid w:val="005E74EA"/>
    <w:rsid w:val="005F02B9"/>
    <w:rsid w:val="005F4234"/>
    <w:rsid w:val="005F61C5"/>
    <w:rsid w:val="00602676"/>
    <w:rsid w:val="0060355B"/>
    <w:rsid w:val="0060362E"/>
    <w:rsid w:val="006150DA"/>
    <w:rsid w:val="0061687A"/>
    <w:rsid w:val="00622B2A"/>
    <w:rsid w:val="00624C75"/>
    <w:rsid w:val="006252FD"/>
    <w:rsid w:val="00630049"/>
    <w:rsid w:val="00632940"/>
    <w:rsid w:val="0063452E"/>
    <w:rsid w:val="00635428"/>
    <w:rsid w:val="00636C2B"/>
    <w:rsid w:val="00637B5E"/>
    <w:rsid w:val="00642F43"/>
    <w:rsid w:val="00646651"/>
    <w:rsid w:val="00647010"/>
    <w:rsid w:val="006500BC"/>
    <w:rsid w:val="00650B6C"/>
    <w:rsid w:val="0065215D"/>
    <w:rsid w:val="006527A1"/>
    <w:rsid w:val="00654179"/>
    <w:rsid w:val="00656E18"/>
    <w:rsid w:val="00675826"/>
    <w:rsid w:val="00675FEB"/>
    <w:rsid w:val="00680BEC"/>
    <w:rsid w:val="00681A1E"/>
    <w:rsid w:val="006846D8"/>
    <w:rsid w:val="006853A7"/>
    <w:rsid w:val="00694622"/>
    <w:rsid w:val="00695276"/>
    <w:rsid w:val="00697C47"/>
    <w:rsid w:val="006A1982"/>
    <w:rsid w:val="006A228A"/>
    <w:rsid w:val="006A29F6"/>
    <w:rsid w:val="006B350F"/>
    <w:rsid w:val="006B3C54"/>
    <w:rsid w:val="006B4858"/>
    <w:rsid w:val="006B7439"/>
    <w:rsid w:val="006C2037"/>
    <w:rsid w:val="006C26A7"/>
    <w:rsid w:val="006C3F83"/>
    <w:rsid w:val="006C58EC"/>
    <w:rsid w:val="006C62CD"/>
    <w:rsid w:val="006C6D75"/>
    <w:rsid w:val="006D04EB"/>
    <w:rsid w:val="006D3E0A"/>
    <w:rsid w:val="006D4668"/>
    <w:rsid w:val="006D5FCA"/>
    <w:rsid w:val="006E12C6"/>
    <w:rsid w:val="006E2F74"/>
    <w:rsid w:val="00701581"/>
    <w:rsid w:val="00713015"/>
    <w:rsid w:val="007132A5"/>
    <w:rsid w:val="0071330B"/>
    <w:rsid w:val="00714450"/>
    <w:rsid w:val="007144C7"/>
    <w:rsid w:val="0072028F"/>
    <w:rsid w:val="0072644E"/>
    <w:rsid w:val="00726C10"/>
    <w:rsid w:val="00732119"/>
    <w:rsid w:val="007367E2"/>
    <w:rsid w:val="0073711F"/>
    <w:rsid w:val="00740EA4"/>
    <w:rsid w:val="00742DAB"/>
    <w:rsid w:val="00745245"/>
    <w:rsid w:val="00745456"/>
    <w:rsid w:val="007462CC"/>
    <w:rsid w:val="007479B2"/>
    <w:rsid w:val="007539AD"/>
    <w:rsid w:val="0075653E"/>
    <w:rsid w:val="007607D4"/>
    <w:rsid w:val="00760C84"/>
    <w:rsid w:val="00760D26"/>
    <w:rsid w:val="007618E9"/>
    <w:rsid w:val="00762886"/>
    <w:rsid w:val="007629AB"/>
    <w:rsid w:val="00762DF7"/>
    <w:rsid w:val="00763136"/>
    <w:rsid w:val="00764B85"/>
    <w:rsid w:val="00765616"/>
    <w:rsid w:val="00767D1B"/>
    <w:rsid w:val="00773E47"/>
    <w:rsid w:val="00773F63"/>
    <w:rsid w:val="00774CEB"/>
    <w:rsid w:val="00777D35"/>
    <w:rsid w:val="00782B5F"/>
    <w:rsid w:val="007857AF"/>
    <w:rsid w:val="00786466"/>
    <w:rsid w:val="00786E35"/>
    <w:rsid w:val="00790BCD"/>
    <w:rsid w:val="00792C5C"/>
    <w:rsid w:val="00792E77"/>
    <w:rsid w:val="007930CD"/>
    <w:rsid w:val="0079609B"/>
    <w:rsid w:val="007A149B"/>
    <w:rsid w:val="007A1DCC"/>
    <w:rsid w:val="007A3FCB"/>
    <w:rsid w:val="007A51E2"/>
    <w:rsid w:val="007B03DD"/>
    <w:rsid w:val="007B21C0"/>
    <w:rsid w:val="007B350E"/>
    <w:rsid w:val="007B4EE4"/>
    <w:rsid w:val="007B7518"/>
    <w:rsid w:val="007C10E2"/>
    <w:rsid w:val="007C4EF2"/>
    <w:rsid w:val="007D323C"/>
    <w:rsid w:val="007D5546"/>
    <w:rsid w:val="007D6F69"/>
    <w:rsid w:val="007E0C32"/>
    <w:rsid w:val="007E23B3"/>
    <w:rsid w:val="007E415D"/>
    <w:rsid w:val="007E6984"/>
    <w:rsid w:val="007F1523"/>
    <w:rsid w:val="007F2439"/>
    <w:rsid w:val="007F3AA8"/>
    <w:rsid w:val="007F54B0"/>
    <w:rsid w:val="007F55AF"/>
    <w:rsid w:val="00801850"/>
    <w:rsid w:val="00802A55"/>
    <w:rsid w:val="00805BFB"/>
    <w:rsid w:val="00806824"/>
    <w:rsid w:val="0081045E"/>
    <w:rsid w:val="00814BA3"/>
    <w:rsid w:val="00814F2A"/>
    <w:rsid w:val="00815FE6"/>
    <w:rsid w:val="00817542"/>
    <w:rsid w:val="00817847"/>
    <w:rsid w:val="008233C3"/>
    <w:rsid w:val="008241F1"/>
    <w:rsid w:val="0083132D"/>
    <w:rsid w:val="0083344D"/>
    <w:rsid w:val="00833AC9"/>
    <w:rsid w:val="00833BF0"/>
    <w:rsid w:val="00837CB4"/>
    <w:rsid w:val="008404D9"/>
    <w:rsid w:val="008457E7"/>
    <w:rsid w:val="00847D85"/>
    <w:rsid w:val="008550E8"/>
    <w:rsid w:val="00857B08"/>
    <w:rsid w:val="008613F5"/>
    <w:rsid w:val="00863F48"/>
    <w:rsid w:val="00866793"/>
    <w:rsid w:val="0086788E"/>
    <w:rsid w:val="00871E48"/>
    <w:rsid w:val="00871E4B"/>
    <w:rsid w:val="00872726"/>
    <w:rsid w:val="00873253"/>
    <w:rsid w:val="00874943"/>
    <w:rsid w:val="00877BE8"/>
    <w:rsid w:val="00884573"/>
    <w:rsid w:val="0088577E"/>
    <w:rsid w:val="00885DC1"/>
    <w:rsid w:val="00885EBD"/>
    <w:rsid w:val="00894BB1"/>
    <w:rsid w:val="00894ED6"/>
    <w:rsid w:val="00894EE1"/>
    <w:rsid w:val="0089673B"/>
    <w:rsid w:val="008A51F6"/>
    <w:rsid w:val="008A6EF1"/>
    <w:rsid w:val="008B5E4F"/>
    <w:rsid w:val="008C19C5"/>
    <w:rsid w:val="008C479A"/>
    <w:rsid w:val="008C73FC"/>
    <w:rsid w:val="008D08B2"/>
    <w:rsid w:val="008D2A08"/>
    <w:rsid w:val="008D7974"/>
    <w:rsid w:val="008E4250"/>
    <w:rsid w:val="008E4BC3"/>
    <w:rsid w:val="008E6078"/>
    <w:rsid w:val="008F5CA1"/>
    <w:rsid w:val="008F6B40"/>
    <w:rsid w:val="008F7CAC"/>
    <w:rsid w:val="00900A37"/>
    <w:rsid w:val="0090445C"/>
    <w:rsid w:val="00904A09"/>
    <w:rsid w:val="00906DB5"/>
    <w:rsid w:val="00914718"/>
    <w:rsid w:val="00916F5A"/>
    <w:rsid w:val="00933783"/>
    <w:rsid w:val="00942DBC"/>
    <w:rsid w:val="009463F5"/>
    <w:rsid w:val="00946D76"/>
    <w:rsid w:val="00946FB4"/>
    <w:rsid w:val="00953D59"/>
    <w:rsid w:val="009542D3"/>
    <w:rsid w:val="0095693A"/>
    <w:rsid w:val="00960194"/>
    <w:rsid w:val="00960598"/>
    <w:rsid w:val="0096122F"/>
    <w:rsid w:val="00964DB6"/>
    <w:rsid w:val="0096788D"/>
    <w:rsid w:val="009705F1"/>
    <w:rsid w:val="0097259F"/>
    <w:rsid w:val="009744E2"/>
    <w:rsid w:val="00980F38"/>
    <w:rsid w:val="00982244"/>
    <w:rsid w:val="0099109A"/>
    <w:rsid w:val="00991C1B"/>
    <w:rsid w:val="00992AB6"/>
    <w:rsid w:val="009947AA"/>
    <w:rsid w:val="00995F60"/>
    <w:rsid w:val="009A53CD"/>
    <w:rsid w:val="009A63DD"/>
    <w:rsid w:val="009A7199"/>
    <w:rsid w:val="009B5C7B"/>
    <w:rsid w:val="009C2941"/>
    <w:rsid w:val="009C4483"/>
    <w:rsid w:val="009C6E64"/>
    <w:rsid w:val="009D1305"/>
    <w:rsid w:val="009D6CE7"/>
    <w:rsid w:val="009E1765"/>
    <w:rsid w:val="009E31EB"/>
    <w:rsid w:val="009E3F23"/>
    <w:rsid w:val="009E4E65"/>
    <w:rsid w:val="009E4FE5"/>
    <w:rsid w:val="009E548B"/>
    <w:rsid w:val="009F1D2F"/>
    <w:rsid w:val="009F353E"/>
    <w:rsid w:val="009F60EC"/>
    <w:rsid w:val="009F7753"/>
    <w:rsid w:val="00A040A0"/>
    <w:rsid w:val="00A040F4"/>
    <w:rsid w:val="00A136AE"/>
    <w:rsid w:val="00A148D3"/>
    <w:rsid w:val="00A14B6A"/>
    <w:rsid w:val="00A16B70"/>
    <w:rsid w:val="00A21243"/>
    <w:rsid w:val="00A23973"/>
    <w:rsid w:val="00A249C0"/>
    <w:rsid w:val="00A25474"/>
    <w:rsid w:val="00A25E40"/>
    <w:rsid w:val="00A260FD"/>
    <w:rsid w:val="00A30FF4"/>
    <w:rsid w:val="00A31C28"/>
    <w:rsid w:val="00A35604"/>
    <w:rsid w:val="00A41CD3"/>
    <w:rsid w:val="00A430FC"/>
    <w:rsid w:val="00A438E0"/>
    <w:rsid w:val="00A50D34"/>
    <w:rsid w:val="00A5123E"/>
    <w:rsid w:val="00A51736"/>
    <w:rsid w:val="00A52C9D"/>
    <w:rsid w:val="00A52EE1"/>
    <w:rsid w:val="00A61069"/>
    <w:rsid w:val="00A631A3"/>
    <w:rsid w:val="00A77107"/>
    <w:rsid w:val="00A8163A"/>
    <w:rsid w:val="00A82A65"/>
    <w:rsid w:val="00A869C4"/>
    <w:rsid w:val="00A87984"/>
    <w:rsid w:val="00A9111E"/>
    <w:rsid w:val="00A952F3"/>
    <w:rsid w:val="00A96335"/>
    <w:rsid w:val="00A96798"/>
    <w:rsid w:val="00AA2490"/>
    <w:rsid w:val="00AA4B1D"/>
    <w:rsid w:val="00AA6191"/>
    <w:rsid w:val="00AB0529"/>
    <w:rsid w:val="00AB2E61"/>
    <w:rsid w:val="00AB7E23"/>
    <w:rsid w:val="00AC2982"/>
    <w:rsid w:val="00AC491C"/>
    <w:rsid w:val="00AD5B29"/>
    <w:rsid w:val="00AD65D5"/>
    <w:rsid w:val="00AE0EC6"/>
    <w:rsid w:val="00AF0DA2"/>
    <w:rsid w:val="00AF15D6"/>
    <w:rsid w:val="00AF2E28"/>
    <w:rsid w:val="00AF48E9"/>
    <w:rsid w:val="00AF76B5"/>
    <w:rsid w:val="00B024E6"/>
    <w:rsid w:val="00B03D14"/>
    <w:rsid w:val="00B047A8"/>
    <w:rsid w:val="00B05FD8"/>
    <w:rsid w:val="00B07246"/>
    <w:rsid w:val="00B077A0"/>
    <w:rsid w:val="00B10F1C"/>
    <w:rsid w:val="00B20C40"/>
    <w:rsid w:val="00B21ADD"/>
    <w:rsid w:val="00B223C2"/>
    <w:rsid w:val="00B22550"/>
    <w:rsid w:val="00B24F71"/>
    <w:rsid w:val="00B25BA8"/>
    <w:rsid w:val="00B2689D"/>
    <w:rsid w:val="00B31EEA"/>
    <w:rsid w:val="00B32304"/>
    <w:rsid w:val="00B36BA1"/>
    <w:rsid w:val="00B403BD"/>
    <w:rsid w:val="00B42DCC"/>
    <w:rsid w:val="00B50A48"/>
    <w:rsid w:val="00B526D5"/>
    <w:rsid w:val="00B5790A"/>
    <w:rsid w:val="00B61435"/>
    <w:rsid w:val="00B61742"/>
    <w:rsid w:val="00B62340"/>
    <w:rsid w:val="00B6309B"/>
    <w:rsid w:val="00B64414"/>
    <w:rsid w:val="00B64FE6"/>
    <w:rsid w:val="00B70101"/>
    <w:rsid w:val="00B7391E"/>
    <w:rsid w:val="00B774DE"/>
    <w:rsid w:val="00B8083F"/>
    <w:rsid w:val="00B83972"/>
    <w:rsid w:val="00B85017"/>
    <w:rsid w:val="00B858E9"/>
    <w:rsid w:val="00B90171"/>
    <w:rsid w:val="00B916FE"/>
    <w:rsid w:val="00B9392C"/>
    <w:rsid w:val="00B948DB"/>
    <w:rsid w:val="00B957EF"/>
    <w:rsid w:val="00B95D15"/>
    <w:rsid w:val="00BA62C8"/>
    <w:rsid w:val="00BB1DCA"/>
    <w:rsid w:val="00BB20C7"/>
    <w:rsid w:val="00BB3019"/>
    <w:rsid w:val="00BC4397"/>
    <w:rsid w:val="00BC4728"/>
    <w:rsid w:val="00BC7D82"/>
    <w:rsid w:val="00BD0F09"/>
    <w:rsid w:val="00BD0FE8"/>
    <w:rsid w:val="00BD1DDA"/>
    <w:rsid w:val="00BD4CC0"/>
    <w:rsid w:val="00BD5823"/>
    <w:rsid w:val="00BD68B1"/>
    <w:rsid w:val="00BD7719"/>
    <w:rsid w:val="00BD7F4B"/>
    <w:rsid w:val="00BE0D71"/>
    <w:rsid w:val="00BE1DE5"/>
    <w:rsid w:val="00BE47F7"/>
    <w:rsid w:val="00BF197A"/>
    <w:rsid w:val="00BF5919"/>
    <w:rsid w:val="00BF5B84"/>
    <w:rsid w:val="00C034EF"/>
    <w:rsid w:val="00C0514F"/>
    <w:rsid w:val="00C05F1B"/>
    <w:rsid w:val="00C062C2"/>
    <w:rsid w:val="00C13FCB"/>
    <w:rsid w:val="00C200AF"/>
    <w:rsid w:val="00C27142"/>
    <w:rsid w:val="00C31795"/>
    <w:rsid w:val="00C320BC"/>
    <w:rsid w:val="00C33F40"/>
    <w:rsid w:val="00C3573B"/>
    <w:rsid w:val="00C35FC7"/>
    <w:rsid w:val="00C4196A"/>
    <w:rsid w:val="00C42360"/>
    <w:rsid w:val="00C439D3"/>
    <w:rsid w:val="00C44E6D"/>
    <w:rsid w:val="00C50287"/>
    <w:rsid w:val="00C51683"/>
    <w:rsid w:val="00C5168D"/>
    <w:rsid w:val="00C54EE8"/>
    <w:rsid w:val="00C56C2D"/>
    <w:rsid w:val="00C60C40"/>
    <w:rsid w:val="00C62743"/>
    <w:rsid w:val="00C63C56"/>
    <w:rsid w:val="00C740C4"/>
    <w:rsid w:val="00C7597C"/>
    <w:rsid w:val="00C826DB"/>
    <w:rsid w:val="00C90D5F"/>
    <w:rsid w:val="00C9123A"/>
    <w:rsid w:val="00C9450B"/>
    <w:rsid w:val="00C950E2"/>
    <w:rsid w:val="00C96C2F"/>
    <w:rsid w:val="00C96FCF"/>
    <w:rsid w:val="00C97901"/>
    <w:rsid w:val="00CA04C9"/>
    <w:rsid w:val="00CA2401"/>
    <w:rsid w:val="00CA2446"/>
    <w:rsid w:val="00CA2AD2"/>
    <w:rsid w:val="00CA4FB1"/>
    <w:rsid w:val="00CA6DEA"/>
    <w:rsid w:val="00CB3BCC"/>
    <w:rsid w:val="00CB6690"/>
    <w:rsid w:val="00CB7AED"/>
    <w:rsid w:val="00CC0C87"/>
    <w:rsid w:val="00CC1A95"/>
    <w:rsid w:val="00CC2E4B"/>
    <w:rsid w:val="00CC39D7"/>
    <w:rsid w:val="00CC509F"/>
    <w:rsid w:val="00CD0BFC"/>
    <w:rsid w:val="00CE00D7"/>
    <w:rsid w:val="00CE12C6"/>
    <w:rsid w:val="00CE3FA4"/>
    <w:rsid w:val="00CF2810"/>
    <w:rsid w:val="00CF2FB8"/>
    <w:rsid w:val="00CF582C"/>
    <w:rsid w:val="00D141B6"/>
    <w:rsid w:val="00D149EF"/>
    <w:rsid w:val="00D16227"/>
    <w:rsid w:val="00D172AD"/>
    <w:rsid w:val="00D20ABD"/>
    <w:rsid w:val="00D213E0"/>
    <w:rsid w:val="00D21EAC"/>
    <w:rsid w:val="00D22D56"/>
    <w:rsid w:val="00D24C95"/>
    <w:rsid w:val="00D31FC1"/>
    <w:rsid w:val="00D34256"/>
    <w:rsid w:val="00D3739C"/>
    <w:rsid w:val="00D43B83"/>
    <w:rsid w:val="00D43FA4"/>
    <w:rsid w:val="00D5079D"/>
    <w:rsid w:val="00D55F11"/>
    <w:rsid w:val="00D565C7"/>
    <w:rsid w:val="00D567C3"/>
    <w:rsid w:val="00D61A50"/>
    <w:rsid w:val="00D6354A"/>
    <w:rsid w:val="00D673CE"/>
    <w:rsid w:val="00D74F9A"/>
    <w:rsid w:val="00D7535A"/>
    <w:rsid w:val="00D7745C"/>
    <w:rsid w:val="00D800B9"/>
    <w:rsid w:val="00D845AB"/>
    <w:rsid w:val="00D84CEE"/>
    <w:rsid w:val="00D85458"/>
    <w:rsid w:val="00D90DA6"/>
    <w:rsid w:val="00D953C0"/>
    <w:rsid w:val="00D95B09"/>
    <w:rsid w:val="00D97CB1"/>
    <w:rsid w:val="00DA099B"/>
    <w:rsid w:val="00DA2149"/>
    <w:rsid w:val="00DA2F92"/>
    <w:rsid w:val="00DB23D4"/>
    <w:rsid w:val="00DB503E"/>
    <w:rsid w:val="00DC2CD3"/>
    <w:rsid w:val="00DC317A"/>
    <w:rsid w:val="00DC3786"/>
    <w:rsid w:val="00DC7062"/>
    <w:rsid w:val="00DD150B"/>
    <w:rsid w:val="00DD3F1B"/>
    <w:rsid w:val="00DD6B32"/>
    <w:rsid w:val="00DE2F8B"/>
    <w:rsid w:val="00DE36E0"/>
    <w:rsid w:val="00DE4AB7"/>
    <w:rsid w:val="00DE6532"/>
    <w:rsid w:val="00DE72BF"/>
    <w:rsid w:val="00DF0823"/>
    <w:rsid w:val="00DF1723"/>
    <w:rsid w:val="00DF5C73"/>
    <w:rsid w:val="00DF79F6"/>
    <w:rsid w:val="00E03809"/>
    <w:rsid w:val="00E03B47"/>
    <w:rsid w:val="00E040C5"/>
    <w:rsid w:val="00E07DBE"/>
    <w:rsid w:val="00E100EE"/>
    <w:rsid w:val="00E12E8F"/>
    <w:rsid w:val="00E15921"/>
    <w:rsid w:val="00E21990"/>
    <w:rsid w:val="00E21A31"/>
    <w:rsid w:val="00E22C65"/>
    <w:rsid w:val="00E24C00"/>
    <w:rsid w:val="00E25EFA"/>
    <w:rsid w:val="00E2665F"/>
    <w:rsid w:val="00E35852"/>
    <w:rsid w:val="00E367AE"/>
    <w:rsid w:val="00E41421"/>
    <w:rsid w:val="00E46BE8"/>
    <w:rsid w:val="00E50405"/>
    <w:rsid w:val="00E52B7F"/>
    <w:rsid w:val="00E54429"/>
    <w:rsid w:val="00E576D9"/>
    <w:rsid w:val="00E577FA"/>
    <w:rsid w:val="00E6182F"/>
    <w:rsid w:val="00E652F3"/>
    <w:rsid w:val="00E66F0D"/>
    <w:rsid w:val="00E70381"/>
    <w:rsid w:val="00E70FAE"/>
    <w:rsid w:val="00E755AE"/>
    <w:rsid w:val="00E77F55"/>
    <w:rsid w:val="00E86353"/>
    <w:rsid w:val="00E86677"/>
    <w:rsid w:val="00E9021A"/>
    <w:rsid w:val="00E912EA"/>
    <w:rsid w:val="00E91B98"/>
    <w:rsid w:val="00E91F9C"/>
    <w:rsid w:val="00E92C01"/>
    <w:rsid w:val="00E94F33"/>
    <w:rsid w:val="00E96C43"/>
    <w:rsid w:val="00E9799C"/>
    <w:rsid w:val="00EA0F5E"/>
    <w:rsid w:val="00EA1499"/>
    <w:rsid w:val="00EA19BB"/>
    <w:rsid w:val="00EA3400"/>
    <w:rsid w:val="00EA73A3"/>
    <w:rsid w:val="00EB02E2"/>
    <w:rsid w:val="00EB2964"/>
    <w:rsid w:val="00EB6BB3"/>
    <w:rsid w:val="00EC2A26"/>
    <w:rsid w:val="00EC3E6B"/>
    <w:rsid w:val="00EC5DD6"/>
    <w:rsid w:val="00EC5F90"/>
    <w:rsid w:val="00EC69B2"/>
    <w:rsid w:val="00EC7108"/>
    <w:rsid w:val="00EC74C7"/>
    <w:rsid w:val="00EC7A2F"/>
    <w:rsid w:val="00ED577E"/>
    <w:rsid w:val="00EE1E13"/>
    <w:rsid w:val="00EF12FD"/>
    <w:rsid w:val="00EF2567"/>
    <w:rsid w:val="00EF27E6"/>
    <w:rsid w:val="00EF32D6"/>
    <w:rsid w:val="00F010C0"/>
    <w:rsid w:val="00F01D94"/>
    <w:rsid w:val="00F01E08"/>
    <w:rsid w:val="00F052CA"/>
    <w:rsid w:val="00F07242"/>
    <w:rsid w:val="00F1188D"/>
    <w:rsid w:val="00F129B2"/>
    <w:rsid w:val="00F12F4A"/>
    <w:rsid w:val="00F15C2B"/>
    <w:rsid w:val="00F16F55"/>
    <w:rsid w:val="00F17FA7"/>
    <w:rsid w:val="00F20204"/>
    <w:rsid w:val="00F23D87"/>
    <w:rsid w:val="00F3209E"/>
    <w:rsid w:val="00F355A1"/>
    <w:rsid w:val="00F37FBA"/>
    <w:rsid w:val="00F41B01"/>
    <w:rsid w:val="00F467B3"/>
    <w:rsid w:val="00F4761D"/>
    <w:rsid w:val="00F55E56"/>
    <w:rsid w:val="00F57AF7"/>
    <w:rsid w:val="00F61641"/>
    <w:rsid w:val="00F667A8"/>
    <w:rsid w:val="00F66D6D"/>
    <w:rsid w:val="00F71335"/>
    <w:rsid w:val="00F7151A"/>
    <w:rsid w:val="00F751EC"/>
    <w:rsid w:val="00F75B19"/>
    <w:rsid w:val="00F806F3"/>
    <w:rsid w:val="00F80B97"/>
    <w:rsid w:val="00F818B9"/>
    <w:rsid w:val="00F8405E"/>
    <w:rsid w:val="00F8440E"/>
    <w:rsid w:val="00F8511A"/>
    <w:rsid w:val="00F86970"/>
    <w:rsid w:val="00F92D84"/>
    <w:rsid w:val="00F97ED5"/>
    <w:rsid w:val="00FA77E4"/>
    <w:rsid w:val="00FB166F"/>
    <w:rsid w:val="00FB3AB9"/>
    <w:rsid w:val="00FB659B"/>
    <w:rsid w:val="00FC009E"/>
    <w:rsid w:val="00FC0218"/>
    <w:rsid w:val="00FC113F"/>
    <w:rsid w:val="00FC1582"/>
    <w:rsid w:val="00FC2E85"/>
    <w:rsid w:val="00FC5BDB"/>
    <w:rsid w:val="00FC704F"/>
    <w:rsid w:val="00FC7D9C"/>
    <w:rsid w:val="00FD1590"/>
    <w:rsid w:val="00FD21E9"/>
    <w:rsid w:val="00FD5B51"/>
    <w:rsid w:val="00FD66F1"/>
    <w:rsid w:val="00FE43D9"/>
    <w:rsid w:val="00FE48EB"/>
    <w:rsid w:val="00FE63E5"/>
    <w:rsid w:val="00FE7212"/>
    <w:rsid w:val="00FF1E8A"/>
    <w:rsid w:val="00FF34A2"/>
    <w:rsid w:val="00FF4172"/>
    <w:rsid w:val="00FF4BFA"/>
    <w:rsid w:val="05F60C9C"/>
    <w:rsid w:val="067A90AE"/>
    <w:rsid w:val="073D729E"/>
    <w:rsid w:val="0B9C914D"/>
    <w:rsid w:val="0C9EA8AA"/>
    <w:rsid w:val="0CD87D16"/>
    <w:rsid w:val="0D88B6C0"/>
    <w:rsid w:val="0DAA57BA"/>
    <w:rsid w:val="0DC2035A"/>
    <w:rsid w:val="0E0B6FB8"/>
    <w:rsid w:val="0EB9D4BB"/>
    <w:rsid w:val="0F39631F"/>
    <w:rsid w:val="126C6CF5"/>
    <w:rsid w:val="127E6CA0"/>
    <w:rsid w:val="12A4069F"/>
    <w:rsid w:val="13EAC28C"/>
    <w:rsid w:val="14EC2B08"/>
    <w:rsid w:val="16296CC9"/>
    <w:rsid w:val="19DC9DAF"/>
    <w:rsid w:val="1A1F664D"/>
    <w:rsid w:val="1A577071"/>
    <w:rsid w:val="1BE75585"/>
    <w:rsid w:val="1CB21FC4"/>
    <w:rsid w:val="1CD83B6F"/>
    <w:rsid w:val="1D68ADCA"/>
    <w:rsid w:val="1E553DED"/>
    <w:rsid w:val="20D068FD"/>
    <w:rsid w:val="21AD756D"/>
    <w:rsid w:val="21FF573F"/>
    <w:rsid w:val="22ACDF3F"/>
    <w:rsid w:val="28CA3E0C"/>
    <w:rsid w:val="2973EE6D"/>
    <w:rsid w:val="2A5C27A9"/>
    <w:rsid w:val="2A93DF31"/>
    <w:rsid w:val="2B38FAEB"/>
    <w:rsid w:val="2B689981"/>
    <w:rsid w:val="2B6E2C9F"/>
    <w:rsid w:val="2D6F4D2B"/>
    <w:rsid w:val="2E7B01CC"/>
    <w:rsid w:val="32047492"/>
    <w:rsid w:val="3350172C"/>
    <w:rsid w:val="3389104C"/>
    <w:rsid w:val="33D12405"/>
    <w:rsid w:val="34D90A69"/>
    <w:rsid w:val="3A7BBB51"/>
    <w:rsid w:val="3BA9FEB6"/>
    <w:rsid w:val="3C18AE75"/>
    <w:rsid w:val="3E6DFD29"/>
    <w:rsid w:val="408758F6"/>
    <w:rsid w:val="41BCF7B0"/>
    <w:rsid w:val="423BFC52"/>
    <w:rsid w:val="44BA1C14"/>
    <w:rsid w:val="4592FFC9"/>
    <w:rsid w:val="4A47D9C6"/>
    <w:rsid w:val="4A5C60A2"/>
    <w:rsid w:val="4A6B3605"/>
    <w:rsid w:val="4AA0B1E0"/>
    <w:rsid w:val="4CB88A9A"/>
    <w:rsid w:val="4CD63F5B"/>
    <w:rsid w:val="4EDBC139"/>
    <w:rsid w:val="4EF8E945"/>
    <w:rsid w:val="50F32A99"/>
    <w:rsid w:val="5122B90B"/>
    <w:rsid w:val="51B64245"/>
    <w:rsid w:val="527D1DDE"/>
    <w:rsid w:val="53F101C2"/>
    <w:rsid w:val="5507DFBE"/>
    <w:rsid w:val="5548111D"/>
    <w:rsid w:val="56076100"/>
    <w:rsid w:val="5646F383"/>
    <w:rsid w:val="56A0B548"/>
    <w:rsid w:val="58248A9E"/>
    <w:rsid w:val="589556E4"/>
    <w:rsid w:val="58C0CFD9"/>
    <w:rsid w:val="58CCA263"/>
    <w:rsid w:val="5A2B7B2D"/>
    <w:rsid w:val="5A32BC32"/>
    <w:rsid w:val="5A7A3723"/>
    <w:rsid w:val="5B019261"/>
    <w:rsid w:val="5EA29E91"/>
    <w:rsid w:val="5F2CBE42"/>
    <w:rsid w:val="61E0EFE8"/>
    <w:rsid w:val="6244D419"/>
    <w:rsid w:val="6283FA63"/>
    <w:rsid w:val="62B8E8CC"/>
    <w:rsid w:val="640D1A9E"/>
    <w:rsid w:val="64DE7D46"/>
    <w:rsid w:val="672BA65A"/>
    <w:rsid w:val="676AD019"/>
    <w:rsid w:val="67821AD3"/>
    <w:rsid w:val="6976062A"/>
    <w:rsid w:val="6B2C2EF7"/>
    <w:rsid w:val="6B65C34C"/>
    <w:rsid w:val="6CC484FB"/>
    <w:rsid w:val="6CC57478"/>
    <w:rsid w:val="6CD2E44E"/>
    <w:rsid w:val="6CF4D0DB"/>
    <w:rsid w:val="6CF9E640"/>
    <w:rsid w:val="6E86E32A"/>
    <w:rsid w:val="6E889B54"/>
    <w:rsid w:val="6E977017"/>
    <w:rsid w:val="6EC95629"/>
    <w:rsid w:val="7000BB16"/>
    <w:rsid w:val="743B7D62"/>
    <w:rsid w:val="7513C084"/>
    <w:rsid w:val="7545DAD7"/>
    <w:rsid w:val="756E5042"/>
    <w:rsid w:val="768B214E"/>
    <w:rsid w:val="76DDD20E"/>
    <w:rsid w:val="7742450F"/>
    <w:rsid w:val="7772AE56"/>
    <w:rsid w:val="78A14355"/>
    <w:rsid w:val="79A86D79"/>
    <w:rsid w:val="79F5C37C"/>
    <w:rsid w:val="7A6A8E82"/>
    <w:rsid w:val="7B2BF03B"/>
    <w:rsid w:val="7E22489B"/>
    <w:rsid w:val="7FF11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A6C7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ind w:left="432" w:hanging="432"/>
      <w:outlineLvl w:val="0"/>
    </w:pPr>
    <w:rPr>
      <w:b/>
      <w:sz w:val="32"/>
      <w:szCs w:val="32"/>
    </w:rPr>
  </w:style>
  <w:style w:type="paragraph" w:styleId="Heading2">
    <w:name w:val="heading 2"/>
    <w:basedOn w:val="Normal"/>
    <w:next w:val="Normal"/>
    <w:uiPriority w:val="9"/>
    <w:unhideWhenUsed/>
    <w:qFormat/>
    <w:pPr>
      <w:keepNext/>
      <w:keepLines/>
      <w:spacing w:before="40" w:after="0"/>
      <w:ind w:left="576" w:hanging="576"/>
      <w:outlineLvl w:val="1"/>
    </w:pPr>
    <w:rPr>
      <w:b/>
      <w:sz w:val="28"/>
      <w:szCs w:val="28"/>
    </w:rPr>
  </w:style>
  <w:style w:type="paragraph" w:styleId="Heading3">
    <w:name w:val="heading 3"/>
    <w:basedOn w:val="Normal"/>
    <w:next w:val="Normal"/>
    <w:uiPriority w:val="9"/>
    <w:unhideWhenUsed/>
    <w:qFormat/>
    <w:pPr>
      <w:keepNext/>
      <w:keepLines/>
      <w:spacing w:before="40" w:after="0"/>
      <w:ind w:left="720" w:hanging="720"/>
      <w:outlineLvl w:val="2"/>
    </w:pPr>
    <w:rPr>
      <w:b/>
      <w:sz w:val="24"/>
      <w:szCs w:val="24"/>
    </w:rPr>
  </w:style>
  <w:style w:type="paragraph" w:styleId="Heading4">
    <w:name w:val="heading 4"/>
    <w:basedOn w:val="Normal"/>
    <w:next w:val="Normal"/>
    <w:uiPriority w:val="9"/>
    <w:semiHidden/>
    <w:unhideWhenUsed/>
    <w:qFormat/>
    <w:pPr>
      <w:keepNext/>
      <w:keepLines/>
      <w:spacing w:before="40" w:after="0"/>
      <w:ind w:left="864" w:hanging="864"/>
      <w:outlineLvl w:val="3"/>
    </w:pPr>
    <w:rPr>
      <w:rFonts w:ascii="Calibri" w:eastAsia="Calibri" w:hAnsi="Calibri" w:cs="Calibri"/>
      <w:i/>
      <w:color w:val="2F5496"/>
    </w:rPr>
  </w:style>
  <w:style w:type="paragraph" w:styleId="Heading5">
    <w:name w:val="heading 5"/>
    <w:basedOn w:val="Normal"/>
    <w:next w:val="Normal"/>
    <w:uiPriority w:val="9"/>
    <w:semiHidden/>
    <w:unhideWhenUsed/>
    <w:qFormat/>
    <w:pPr>
      <w:keepNext/>
      <w:keepLines/>
      <w:spacing w:before="40" w:after="0"/>
      <w:ind w:left="1008" w:hanging="1008"/>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40" w:after="0"/>
      <w:ind w:left="1152" w:hanging="1152"/>
      <w:outlineLvl w:val="5"/>
    </w:pPr>
    <w:rPr>
      <w:rFonts w:ascii="Calibri" w:eastAsia="Calibri" w:hAnsi="Calibri" w:cs="Calibri"/>
      <w:color w:val="1F38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26BBA"/>
    <w:pPr>
      <w:keepNext/>
      <w:keepLines/>
      <w:spacing w:before="480" w:after="120"/>
    </w:pPr>
    <w:rPr>
      <w:b/>
      <w:sz w:val="40"/>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jc w:val="left"/>
    </w:pPr>
    <w:tblPr>
      <w:tblStyleRowBandSize w:val="1"/>
      <w:tblStyleColBandSize w:val="1"/>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ibliography">
    <w:name w:val="Bibliography"/>
    <w:basedOn w:val="Normal"/>
    <w:next w:val="Normal"/>
    <w:uiPriority w:val="37"/>
    <w:unhideWhenUsed/>
    <w:rsid w:val="00DA2F92"/>
    <w:pPr>
      <w:spacing w:after="0" w:line="480" w:lineRule="auto"/>
      <w:ind w:left="720" w:hanging="720"/>
    </w:pPr>
  </w:style>
  <w:style w:type="paragraph" w:styleId="CommentSubject">
    <w:name w:val="annotation subject"/>
    <w:basedOn w:val="CommentText"/>
    <w:next w:val="CommentText"/>
    <w:link w:val="CommentSubjectChar"/>
    <w:uiPriority w:val="99"/>
    <w:semiHidden/>
    <w:unhideWhenUsed/>
    <w:rsid w:val="002A27E4"/>
    <w:rPr>
      <w:b/>
      <w:bCs/>
    </w:rPr>
  </w:style>
  <w:style w:type="character" w:customStyle="1" w:styleId="CommentSubjectChar">
    <w:name w:val="Comment Subject Char"/>
    <w:basedOn w:val="CommentTextChar"/>
    <w:link w:val="CommentSubject"/>
    <w:uiPriority w:val="99"/>
    <w:semiHidden/>
    <w:rsid w:val="002A27E4"/>
    <w:rPr>
      <w:b/>
      <w:bCs/>
      <w:sz w:val="20"/>
      <w:szCs w:val="20"/>
    </w:rPr>
  </w:style>
  <w:style w:type="character" w:styleId="Hyperlink">
    <w:name w:val="Hyperlink"/>
    <w:basedOn w:val="DefaultParagraphFont"/>
    <w:uiPriority w:val="99"/>
    <w:unhideWhenUsed/>
    <w:rsid w:val="00A23973"/>
    <w:rPr>
      <w:color w:val="0000FF" w:themeColor="hyperlink"/>
      <w:u w:val="single"/>
    </w:rPr>
  </w:style>
  <w:style w:type="character" w:styleId="UnresolvedMention">
    <w:name w:val="Unresolved Mention"/>
    <w:basedOn w:val="DefaultParagraphFont"/>
    <w:uiPriority w:val="99"/>
    <w:semiHidden/>
    <w:unhideWhenUsed/>
    <w:rsid w:val="00A23973"/>
    <w:rPr>
      <w:color w:val="605E5C"/>
      <w:shd w:val="clear" w:color="auto" w:fill="E1DFDD"/>
    </w:rPr>
  </w:style>
  <w:style w:type="paragraph" w:customStyle="1" w:styleId="CaptionsJLandUse">
    <w:name w:val="Captions J Land Use"/>
    <w:basedOn w:val="Normal"/>
    <w:link w:val="CaptionsJLandUseChar"/>
    <w:qFormat/>
    <w:rsid w:val="00276A42"/>
    <w:pPr>
      <w:pBdr>
        <w:top w:val="nil"/>
        <w:left w:val="nil"/>
        <w:bottom w:val="nil"/>
        <w:right w:val="nil"/>
        <w:between w:val="nil"/>
      </w:pBdr>
      <w:spacing w:after="200" w:line="240" w:lineRule="auto"/>
    </w:pPr>
    <w:rPr>
      <w:i/>
      <w:color w:val="000000"/>
      <w:szCs w:val="20"/>
    </w:rPr>
  </w:style>
  <w:style w:type="character" w:customStyle="1" w:styleId="CaptionsJLandUseChar">
    <w:name w:val="Captions J Land Use Char"/>
    <w:basedOn w:val="DefaultParagraphFont"/>
    <w:link w:val="CaptionsJLandUse"/>
    <w:rsid w:val="00276A42"/>
    <w:rPr>
      <w:i/>
      <w:color w:val="000000"/>
      <w:szCs w:val="20"/>
    </w:rPr>
  </w:style>
  <w:style w:type="paragraph" w:styleId="Header">
    <w:name w:val="header"/>
    <w:basedOn w:val="Normal"/>
    <w:link w:val="HeaderChar"/>
    <w:uiPriority w:val="99"/>
    <w:unhideWhenUsed/>
    <w:rsid w:val="00DD15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50B"/>
  </w:style>
  <w:style w:type="paragraph" w:styleId="Footer">
    <w:name w:val="footer"/>
    <w:basedOn w:val="Normal"/>
    <w:link w:val="FooterChar"/>
    <w:uiPriority w:val="99"/>
    <w:unhideWhenUsed/>
    <w:rsid w:val="00DD15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50B"/>
  </w:style>
  <w:style w:type="character" w:styleId="LineNumber">
    <w:name w:val="line number"/>
    <w:basedOn w:val="DefaultParagraphFont"/>
    <w:uiPriority w:val="99"/>
    <w:semiHidden/>
    <w:unhideWhenUsed/>
    <w:rsid w:val="00192116"/>
  </w:style>
  <w:style w:type="character" w:styleId="PlaceholderText">
    <w:name w:val="Placeholder Text"/>
    <w:basedOn w:val="DefaultParagraphFont"/>
    <w:uiPriority w:val="99"/>
    <w:semiHidden/>
    <w:rsid w:val="00BE0D71"/>
    <w:rPr>
      <w:color w:val="808080"/>
    </w:rPr>
  </w:style>
  <w:style w:type="paragraph" w:styleId="ListParagraph">
    <w:name w:val="List Paragraph"/>
    <w:basedOn w:val="Normal"/>
    <w:uiPriority w:val="34"/>
    <w:qFormat/>
    <w:rsid w:val="006D3E0A"/>
    <w:pPr>
      <w:ind w:left="720"/>
      <w:contextualSpacing/>
    </w:pPr>
  </w:style>
  <w:style w:type="paragraph" w:styleId="Revision">
    <w:name w:val="Revision"/>
    <w:hidden/>
    <w:uiPriority w:val="99"/>
    <w:semiHidden/>
    <w:rsid w:val="00A21243"/>
    <w:pPr>
      <w:spacing w:after="0"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tamsin.woodman@ed.ac.uk" TargetMode="External"/><Relationship Id="rId13" Type="http://schemas.openxmlformats.org/officeDocument/2006/relationships/hyperlink" Target="https://doi.org/10.5281/zenodo.10976734" TargetMode="External"/><Relationship Id="rId18" Type="http://schemas.openxmlformats.org/officeDocument/2006/relationships/image" Target="media/image4.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34894/WPRHFF" TargetMode="Externa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aez.fao.org" TargetMode="Externa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hyperlink" Target="https://doi.org/10.5281/zenodo.15120267" TargetMode="Externa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yperlink" Target="https://doi.org/10.5281/zenodo.15126397" TargetMode="External"/><Relationship Id="rId14" Type="http://schemas.openxmlformats.org/officeDocument/2006/relationships/hyperlink" Target="https://sedac.ciesin.columbia.edu/data/set/gpw-v3-population-density/data-download"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84274A-365D-4796-8945-C0DFBEA13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62496</Words>
  <Characters>356233</Characters>
  <Application>Microsoft Office Word</Application>
  <DocSecurity>0</DocSecurity>
  <Lines>2968</Lines>
  <Paragraphs>835</Paragraphs>
  <ScaleCrop>false</ScaleCrop>
  <Company/>
  <LinksUpToDate>false</LinksUpToDate>
  <CharactersWithSpaces>417894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2026-01-22T11:49:00Z</dcterms:created>
  <dcterms:modified xsi:type="dcterms:W3CDTF">2026-01-22T11:52:00Z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id="HAfYEXgr"/&gt;&lt;style id="http://www.zotero.org/styles/journal-of-land-use-science" hasBibliography="1" bibliographyStyleHasBeenSet="1"/&gt;&lt;prefs&gt;&lt;pref name="fieldType" value="Field"/&gt;&lt;/prefs&gt;&lt;/data&gt;</vt:lpwstr>
  </property>
</Properties>
</file>