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44960" w14:textId="77777777" w:rsidR="00092BC3" w:rsidRPr="00AD0B9B" w:rsidRDefault="00092BC3" w:rsidP="00092BC3">
      <w:pPr>
        <w:textAlignment w:val="baseline"/>
        <w:rPr>
          <w:rFonts w:ascii="Times New Roman" w:eastAsia="Times New Roman" w:hAnsi="Times New Roman" w:cs="Times New Roman"/>
          <w:sz w:val="20"/>
          <w:szCs w:val="20"/>
        </w:rPr>
      </w:pPr>
      <w:r w:rsidRPr="00AD0B9B">
        <w:rPr>
          <w:rFonts w:ascii="Times New Roman" w:eastAsia="Times New Roman" w:hAnsi="Times New Roman" w:cs="Times New Roman"/>
          <w:b/>
          <w:bCs/>
          <w:sz w:val="20"/>
          <w:szCs w:val="20"/>
          <w:u w:val="single"/>
        </w:rPr>
        <w:t>TITLE: Day-case gastrostomy insertion in children – an achievable reality</w:t>
      </w:r>
      <w:r w:rsidRPr="00AD0B9B">
        <w:rPr>
          <w:rFonts w:ascii="Times New Roman" w:eastAsia="Times New Roman" w:hAnsi="Times New Roman" w:cs="Times New Roman"/>
          <w:sz w:val="20"/>
          <w:szCs w:val="20"/>
        </w:rPr>
        <w:t> </w:t>
      </w:r>
    </w:p>
    <w:p w14:paraId="3F5FC529" w14:textId="77777777" w:rsidR="00092BC3" w:rsidRPr="00AD0B9B" w:rsidRDefault="00092BC3" w:rsidP="00092BC3">
      <w:pPr>
        <w:textAlignment w:val="baseline"/>
        <w:rPr>
          <w:rFonts w:ascii="Times New Roman" w:eastAsia="Times New Roman" w:hAnsi="Times New Roman" w:cs="Times New Roman"/>
          <w:sz w:val="20"/>
          <w:szCs w:val="20"/>
        </w:rPr>
      </w:pPr>
      <w:r w:rsidRPr="00AD0B9B">
        <w:rPr>
          <w:rFonts w:ascii="Times New Roman" w:eastAsia="Times New Roman" w:hAnsi="Times New Roman" w:cs="Times New Roman"/>
          <w:sz w:val="20"/>
          <w:szCs w:val="20"/>
        </w:rPr>
        <w:t> </w:t>
      </w:r>
    </w:p>
    <w:p w14:paraId="581B9534" w14:textId="77777777" w:rsidR="00092BC3" w:rsidRPr="00AD0B9B" w:rsidRDefault="00092BC3" w:rsidP="00092BC3">
      <w:pPr>
        <w:textAlignment w:val="baseline"/>
        <w:rPr>
          <w:rFonts w:ascii="Times New Roman" w:eastAsia="Times New Roman" w:hAnsi="Times New Roman" w:cs="Times New Roman"/>
          <w:sz w:val="20"/>
          <w:szCs w:val="20"/>
        </w:rPr>
      </w:pPr>
      <w:r w:rsidRPr="00AD0B9B">
        <w:rPr>
          <w:rFonts w:ascii="Times New Roman" w:eastAsia="Times New Roman" w:hAnsi="Times New Roman" w:cs="Times New Roman"/>
          <w:b/>
          <w:bCs/>
          <w:sz w:val="20"/>
          <w:szCs w:val="20"/>
          <w:u w:val="single"/>
        </w:rPr>
        <w:t>Authors:</w:t>
      </w:r>
      <w:r w:rsidRPr="00AD0B9B">
        <w:rPr>
          <w:rFonts w:ascii="Times New Roman" w:eastAsia="Times New Roman" w:hAnsi="Times New Roman" w:cs="Times New Roman"/>
          <w:sz w:val="20"/>
          <w:szCs w:val="20"/>
        </w:rPr>
        <w:t> </w:t>
      </w:r>
    </w:p>
    <w:p w14:paraId="3537C787" w14:textId="77777777" w:rsidR="00092BC3" w:rsidRPr="00AD0B9B" w:rsidRDefault="00092BC3" w:rsidP="00092BC3">
      <w:pPr>
        <w:textAlignment w:val="baseline"/>
        <w:rPr>
          <w:rFonts w:ascii="Times New Roman" w:eastAsia="Times New Roman" w:hAnsi="Times New Roman" w:cs="Times New Roman"/>
          <w:sz w:val="20"/>
          <w:szCs w:val="20"/>
          <w:lang w:val="en-US"/>
        </w:rPr>
      </w:pPr>
      <w:r w:rsidRPr="00AD0B9B">
        <w:rPr>
          <w:rFonts w:ascii="Times New Roman" w:eastAsia="Times New Roman" w:hAnsi="Times New Roman" w:cs="Times New Roman"/>
          <w:sz w:val="20"/>
          <w:szCs w:val="20"/>
        </w:rPr>
        <w:t>David Thompson</w:t>
      </w:r>
      <w:r w:rsidRPr="00AD0B9B">
        <w:rPr>
          <w:rFonts w:ascii="Times New Roman" w:eastAsia="Times New Roman" w:hAnsi="Times New Roman" w:cs="Times New Roman"/>
          <w:sz w:val="20"/>
          <w:szCs w:val="20"/>
          <w:vertAlign w:val="superscript"/>
        </w:rPr>
        <w:t>1</w:t>
      </w:r>
      <w:r w:rsidRPr="00AD0B9B">
        <w:rPr>
          <w:rFonts w:ascii="Times New Roman" w:eastAsia="Times New Roman" w:hAnsi="Times New Roman" w:cs="Times New Roman"/>
          <w:sz w:val="20"/>
          <w:szCs w:val="20"/>
        </w:rPr>
        <w:t>, Maddie Allam</w:t>
      </w:r>
      <w:r w:rsidRPr="00AD0B9B">
        <w:rPr>
          <w:rFonts w:ascii="Times New Roman" w:eastAsia="Times New Roman" w:hAnsi="Times New Roman" w:cs="Times New Roman"/>
          <w:sz w:val="20"/>
          <w:szCs w:val="20"/>
          <w:vertAlign w:val="superscript"/>
        </w:rPr>
        <w:t xml:space="preserve"> 1</w:t>
      </w:r>
      <w:r w:rsidRPr="00AD0B9B">
        <w:rPr>
          <w:rFonts w:ascii="Times New Roman" w:eastAsia="Times New Roman" w:hAnsi="Times New Roman" w:cs="Times New Roman"/>
          <w:sz w:val="20"/>
          <w:szCs w:val="20"/>
        </w:rPr>
        <w:t>, Karen Dick</w:t>
      </w:r>
      <w:r w:rsidRPr="00AD0B9B">
        <w:rPr>
          <w:rFonts w:ascii="Times New Roman" w:eastAsia="Times New Roman" w:hAnsi="Times New Roman" w:cs="Times New Roman"/>
          <w:sz w:val="20"/>
          <w:szCs w:val="20"/>
          <w:vertAlign w:val="superscript"/>
        </w:rPr>
        <w:t xml:space="preserve"> 1</w:t>
      </w:r>
      <w:r w:rsidRPr="00AD0B9B">
        <w:rPr>
          <w:rFonts w:ascii="Times New Roman" w:eastAsia="Times New Roman" w:hAnsi="Times New Roman" w:cs="Times New Roman"/>
          <w:sz w:val="20"/>
          <w:szCs w:val="20"/>
        </w:rPr>
        <w:t>, Jo Leigh</w:t>
      </w:r>
      <w:r w:rsidRPr="00AD0B9B">
        <w:rPr>
          <w:rFonts w:ascii="Times New Roman" w:eastAsia="Times New Roman" w:hAnsi="Times New Roman" w:cs="Times New Roman"/>
          <w:sz w:val="20"/>
          <w:szCs w:val="20"/>
          <w:vertAlign w:val="superscript"/>
        </w:rPr>
        <w:t>1</w:t>
      </w:r>
      <w:r w:rsidRPr="00AD0B9B">
        <w:rPr>
          <w:rFonts w:ascii="Times New Roman" w:eastAsia="Times New Roman" w:hAnsi="Times New Roman" w:cs="Times New Roman"/>
          <w:sz w:val="20"/>
          <w:szCs w:val="20"/>
        </w:rPr>
        <w:t>, Rhoda Taylor</w:t>
      </w:r>
      <w:r w:rsidRPr="00AD0B9B">
        <w:rPr>
          <w:rFonts w:ascii="Times New Roman" w:eastAsia="Times New Roman" w:hAnsi="Times New Roman" w:cs="Times New Roman"/>
          <w:sz w:val="20"/>
          <w:szCs w:val="20"/>
          <w:vertAlign w:val="superscript"/>
        </w:rPr>
        <w:t>1</w:t>
      </w:r>
      <w:r w:rsidRPr="00AD0B9B">
        <w:rPr>
          <w:rFonts w:ascii="Times New Roman" w:eastAsia="Times New Roman" w:hAnsi="Times New Roman" w:cs="Times New Roman"/>
          <w:sz w:val="20"/>
          <w:szCs w:val="20"/>
        </w:rPr>
        <w:t>, Charlie Keys</w:t>
      </w:r>
      <w:r w:rsidRPr="00AD0B9B">
        <w:rPr>
          <w:rFonts w:ascii="Times New Roman" w:eastAsia="Times New Roman" w:hAnsi="Times New Roman" w:cs="Times New Roman"/>
          <w:sz w:val="20"/>
          <w:szCs w:val="20"/>
          <w:vertAlign w:val="superscript"/>
        </w:rPr>
        <w:t xml:space="preserve"> 1</w:t>
      </w:r>
      <w:r w:rsidRPr="00AD0B9B">
        <w:rPr>
          <w:rFonts w:ascii="Times New Roman" w:eastAsia="Times New Roman" w:hAnsi="Times New Roman" w:cs="Times New Roman"/>
          <w:sz w:val="20"/>
          <w:szCs w:val="20"/>
        </w:rPr>
        <w:t>, Lara Kitteringham</w:t>
      </w:r>
      <w:r w:rsidRPr="00AD0B9B">
        <w:rPr>
          <w:rFonts w:ascii="Times New Roman" w:eastAsia="Times New Roman" w:hAnsi="Times New Roman" w:cs="Times New Roman"/>
          <w:sz w:val="20"/>
          <w:szCs w:val="20"/>
          <w:vertAlign w:val="superscript"/>
        </w:rPr>
        <w:t xml:space="preserve"> 1</w:t>
      </w:r>
      <w:r w:rsidRPr="00AD0B9B">
        <w:rPr>
          <w:rFonts w:ascii="Times New Roman" w:eastAsia="Times New Roman" w:hAnsi="Times New Roman" w:cs="Times New Roman"/>
          <w:sz w:val="20"/>
          <w:szCs w:val="20"/>
        </w:rPr>
        <w:t>, Ori Ron</w:t>
      </w:r>
      <w:r w:rsidRPr="00AD0B9B">
        <w:rPr>
          <w:rFonts w:ascii="Times New Roman" w:eastAsia="Times New Roman" w:hAnsi="Times New Roman" w:cs="Times New Roman"/>
          <w:sz w:val="20"/>
          <w:szCs w:val="20"/>
          <w:vertAlign w:val="superscript"/>
        </w:rPr>
        <w:t>1</w:t>
      </w:r>
      <w:r w:rsidRPr="00AD0B9B">
        <w:rPr>
          <w:rFonts w:ascii="Times New Roman" w:eastAsia="Times New Roman" w:hAnsi="Times New Roman" w:cs="Times New Roman"/>
          <w:sz w:val="20"/>
          <w:szCs w:val="20"/>
        </w:rPr>
        <w:t>, Michael Stanton</w:t>
      </w:r>
      <w:r w:rsidRPr="00AD0B9B">
        <w:rPr>
          <w:rFonts w:ascii="Times New Roman" w:eastAsia="Times New Roman" w:hAnsi="Times New Roman" w:cs="Times New Roman"/>
          <w:sz w:val="20"/>
          <w:szCs w:val="20"/>
          <w:vertAlign w:val="superscript"/>
        </w:rPr>
        <w:t xml:space="preserve"> 1</w:t>
      </w:r>
      <w:r w:rsidRPr="00AD0B9B">
        <w:rPr>
          <w:rFonts w:ascii="Times New Roman" w:eastAsia="Times New Roman" w:hAnsi="Times New Roman" w:cs="Times New Roman"/>
          <w:sz w:val="20"/>
          <w:szCs w:val="20"/>
        </w:rPr>
        <w:t>, Francesca Stedman</w:t>
      </w:r>
      <w:r w:rsidRPr="00AD0B9B">
        <w:rPr>
          <w:rFonts w:ascii="Times New Roman" w:eastAsia="Times New Roman" w:hAnsi="Times New Roman" w:cs="Times New Roman"/>
          <w:sz w:val="20"/>
          <w:szCs w:val="20"/>
          <w:vertAlign w:val="superscript"/>
        </w:rPr>
        <w:t xml:space="preserve"> 1</w:t>
      </w:r>
      <w:r w:rsidRPr="00AD0B9B">
        <w:rPr>
          <w:rFonts w:ascii="Times New Roman" w:eastAsia="Times New Roman" w:hAnsi="Times New Roman" w:cs="Times New Roman"/>
          <w:sz w:val="20"/>
          <w:szCs w:val="20"/>
        </w:rPr>
        <w:t>, Nigel J Hall</w:t>
      </w:r>
      <w:r w:rsidRPr="00AD0B9B">
        <w:rPr>
          <w:rFonts w:ascii="Times New Roman" w:eastAsia="Times New Roman" w:hAnsi="Times New Roman" w:cs="Times New Roman"/>
          <w:sz w:val="20"/>
          <w:szCs w:val="20"/>
          <w:vertAlign w:val="superscript"/>
        </w:rPr>
        <w:t>1,2</w:t>
      </w:r>
      <w:r w:rsidRPr="00AD0B9B">
        <w:rPr>
          <w:rFonts w:ascii="Times New Roman" w:eastAsia="Times New Roman" w:hAnsi="Times New Roman" w:cs="Times New Roman"/>
          <w:sz w:val="20"/>
          <w:szCs w:val="20"/>
          <w:lang w:val="en-US"/>
        </w:rPr>
        <w:t> </w:t>
      </w:r>
    </w:p>
    <w:p w14:paraId="37EE6581" w14:textId="77777777" w:rsidR="00092BC3" w:rsidRPr="00AD0B9B" w:rsidRDefault="00092BC3" w:rsidP="00092BC3">
      <w:pPr>
        <w:textAlignment w:val="baseline"/>
        <w:rPr>
          <w:rFonts w:ascii="Times New Roman" w:eastAsia="Times New Roman" w:hAnsi="Times New Roman" w:cs="Times New Roman"/>
          <w:sz w:val="20"/>
          <w:szCs w:val="20"/>
        </w:rPr>
      </w:pPr>
      <w:r w:rsidRPr="00AD0B9B">
        <w:rPr>
          <w:rFonts w:ascii="Times New Roman" w:eastAsia="Times New Roman" w:hAnsi="Times New Roman" w:cs="Times New Roman"/>
          <w:sz w:val="20"/>
          <w:szCs w:val="20"/>
        </w:rPr>
        <w:t> </w:t>
      </w:r>
    </w:p>
    <w:p w14:paraId="4FB8C913" w14:textId="77777777" w:rsidR="00092BC3" w:rsidRPr="00AD0B9B" w:rsidRDefault="00092BC3" w:rsidP="00092BC3">
      <w:pPr>
        <w:textAlignment w:val="baseline"/>
        <w:rPr>
          <w:rFonts w:ascii="Times New Roman" w:eastAsia="Times New Roman" w:hAnsi="Times New Roman" w:cs="Times New Roman"/>
          <w:sz w:val="20"/>
          <w:szCs w:val="20"/>
        </w:rPr>
      </w:pPr>
      <w:r w:rsidRPr="00AD0B9B">
        <w:rPr>
          <w:rFonts w:ascii="Times New Roman" w:eastAsia="Times New Roman" w:hAnsi="Times New Roman" w:cs="Times New Roman"/>
          <w:b/>
          <w:bCs/>
          <w:sz w:val="20"/>
          <w:szCs w:val="20"/>
          <w:u w:val="single"/>
        </w:rPr>
        <w:t>Institutions:</w:t>
      </w:r>
      <w:r w:rsidRPr="00AD0B9B">
        <w:rPr>
          <w:rFonts w:ascii="Times New Roman" w:eastAsia="Times New Roman" w:hAnsi="Times New Roman" w:cs="Times New Roman"/>
          <w:sz w:val="20"/>
          <w:szCs w:val="20"/>
        </w:rPr>
        <w:t> </w:t>
      </w:r>
    </w:p>
    <w:p w14:paraId="7F06B51E" w14:textId="77777777" w:rsidR="00092BC3" w:rsidRPr="00AD0B9B" w:rsidRDefault="00092BC3" w:rsidP="00092BC3">
      <w:pPr>
        <w:numPr>
          <w:ilvl w:val="0"/>
          <w:numId w:val="3"/>
        </w:numPr>
        <w:ind w:left="360" w:firstLine="0"/>
        <w:textAlignment w:val="baseline"/>
        <w:rPr>
          <w:rFonts w:ascii="Times New Roman" w:eastAsia="Times New Roman" w:hAnsi="Times New Roman" w:cs="Times New Roman"/>
          <w:sz w:val="20"/>
          <w:szCs w:val="20"/>
        </w:rPr>
      </w:pPr>
      <w:r w:rsidRPr="00AD0B9B">
        <w:rPr>
          <w:rFonts w:ascii="Times New Roman" w:eastAsia="Times New Roman" w:hAnsi="Times New Roman" w:cs="Times New Roman"/>
          <w:sz w:val="20"/>
          <w:szCs w:val="20"/>
        </w:rPr>
        <w:t>Department of Paediatric Surgery and Urology, Southampton Children’s Hospital, Southampton, UK </w:t>
      </w:r>
    </w:p>
    <w:p w14:paraId="3F5F2A39" w14:textId="77777777" w:rsidR="00092BC3" w:rsidRPr="00AD0B9B" w:rsidRDefault="00092BC3" w:rsidP="00092BC3">
      <w:pPr>
        <w:numPr>
          <w:ilvl w:val="0"/>
          <w:numId w:val="4"/>
        </w:numPr>
        <w:ind w:left="360" w:firstLine="0"/>
        <w:textAlignment w:val="baseline"/>
        <w:rPr>
          <w:rFonts w:ascii="Times New Roman" w:eastAsia="Times New Roman" w:hAnsi="Times New Roman" w:cs="Times New Roman"/>
          <w:sz w:val="20"/>
          <w:szCs w:val="20"/>
        </w:rPr>
      </w:pPr>
      <w:r w:rsidRPr="00AD0B9B">
        <w:rPr>
          <w:rFonts w:ascii="Times New Roman" w:eastAsia="Times New Roman" w:hAnsi="Times New Roman" w:cs="Times New Roman"/>
          <w:sz w:val="20"/>
          <w:szCs w:val="20"/>
        </w:rPr>
        <w:t>University Surgery Unit, Faculty of Medicine, University of Southampton, Southampton, UK </w:t>
      </w:r>
    </w:p>
    <w:p w14:paraId="40E39CF5" w14:textId="77777777" w:rsidR="00092BC3" w:rsidRPr="00AD0B9B" w:rsidRDefault="00092BC3" w:rsidP="00092BC3">
      <w:pPr>
        <w:textAlignment w:val="baseline"/>
        <w:rPr>
          <w:rFonts w:ascii="Times New Roman" w:eastAsia="Times New Roman" w:hAnsi="Times New Roman" w:cs="Times New Roman"/>
          <w:sz w:val="20"/>
          <w:szCs w:val="20"/>
        </w:rPr>
      </w:pPr>
      <w:r w:rsidRPr="00AD0B9B">
        <w:rPr>
          <w:rFonts w:ascii="Times New Roman" w:eastAsia="Times New Roman" w:hAnsi="Times New Roman" w:cs="Times New Roman"/>
          <w:sz w:val="20"/>
          <w:szCs w:val="20"/>
        </w:rPr>
        <w:t> </w:t>
      </w:r>
    </w:p>
    <w:p w14:paraId="77092B15" w14:textId="77777777" w:rsidR="00092BC3" w:rsidRPr="00AD0B9B" w:rsidRDefault="00092BC3" w:rsidP="00092BC3">
      <w:pPr>
        <w:textAlignment w:val="baseline"/>
        <w:rPr>
          <w:rFonts w:ascii="Times New Roman" w:eastAsia="Times New Roman" w:hAnsi="Times New Roman" w:cs="Times New Roman"/>
          <w:sz w:val="20"/>
          <w:szCs w:val="20"/>
        </w:rPr>
      </w:pPr>
      <w:r w:rsidRPr="00AD0B9B">
        <w:rPr>
          <w:rFonts w:ascii="Times New Roman" w:eastAsia="Times New Roman" w:hAnsi="Times New Roman" w:cs="Times New Roman"/>
          <w:sz w:val="20"/>
          <w:szCs w:val="20"/>
        </w:rPr>
        <w:t> </w:t>
      </w:r>
    </w:p>
    <w:p w14:paraId="35C6BACB" w14:textId="77777777" w:rsidR="00092BC3" w:rsidRPr="00AD0B9B" w:rsidRDefault="00092BC3" w:rsidP="00092BC3">
      <w:pPr>
        <w:textAlignment w:val="baseline"/>
        <w:rPr>
          <w:rFonts w:ascii="Times New Roman" w:eastAsia="Times New Roman" w:hAnsi="Times New Roman" w:cs="Times New Roman"/>
          <w:sz w:val="20"/>
          <w:szCs w:val="20"/>
        </w:rPr>
      </w:pPr>
      <w:r w:rsidRPr="00AD0B9B">
        <w:rPr>
          <w:rFonts w:ascii="Times New Roman" w:eastAsia="Times New Roman" w:hAnsi="Times New Roman" w:cs="Times New Roman"/>
          <w:b/>
          <w:bCs/>
          <w:sz w:val="20"/>
          <w:szCs w:val="20"/>
          <w:u w:val="single"/>
        </w:rPr>
        <w:t xml:space="preserve">Corresponding author: </w:t>
      </w:r>
      <w:r w:rsidRPr="00AD0B9B">
        <w:rPr>
          <w:rFonts w:ascii="Times New Roman" w:eastAsia="Times New Roman" w:hAnsi="Times New Roman" w:cs="Times New Roman"/>
          <w:sz w:val="20"/>
          <w:szCs w:val="20"/>
        </w:rPr>
        <w:t> </w:t>
      </w:r>
    </w:p>
    <w:p w14:paraId="23F8C275" w14:textId="77777777" w:rsidR="00092BC3" w:rsidRPr="00AD0B9B" w:rsidRDefault="00092BC3" w:rsidP="00092BC3">
      <w:pPr>
        <w:textAlignment w:val="baseline"/>
        <w:rPr>
          <w:rFonts w:ascii="Times New Roman" w:eastAsia="Times New Roman" w:hAnsi="Times New Roman" w:cs="Times New Roman"/>
          <w:sz w:val="20"/>
          <w:szCs w:val="20"/>
          <w:lang w:val="en-US"/>
        </w:rPr>
      </w:pPr>
      <w:r w:rsidRPr="00AD0B9B">
        <w:rPr>
          <w:rFonts w:ascii="Times New Roman" w:eastAsia="Times New Roman" w:hAnsi="Times New Roman" w:cs="Times New Roman"/>
          <w:sz w:val="20"/>
          <w:szCs w:val="20"/>
          <w:lang w:val="en-US"/>
        </w:rPr>
        <w:t> </w:t>
      </w:r>
    </w:p>
    <w:p w14:paraId="1948CBA3" w14:textId="77777777" w:rsidR="00092BC3" w:rsidRPr="00AD0B9B" w:rsidRDefault="00092BC3" w:rsidP="00092BC3">
      <w:pPr>
        <w:textAlignment w:val="baseline"/>
        <w:rPr>
          <w:rFonts w:ascii="Times New Roman" w:eastAsia="Times New Roman" w:hAnsi="Times New Roman" w:cs="Times New Roman"/>
          <w:sz w:val="20"/>
          <w:szCs w:val="20"/>
          <w:lang w:val="en-US"/>
        </w:rPr>
      </w:pPr>
      <w:r w:rsidRPr="00AD0B9B">
        <w:rPr>
          <w:rFonts w:ascii="Times New Roman" w:eastAsia="Times New Roman" w:hAnsi="Times New Roman" w:cs="Times New Roman"/>
          <w:sz w:val="20"/>
          <w:szCs w:val="20"/>
        </w:rPr>
        <w:t>Nigel Hall</w:t>
      </w:r>
      <w:r w:rsidRPr="00AD0B9B">
        <w:rPr>
          <w:rFonts w:ascii="Times New Roman" w:eastAsia="Times New Roman" w:hAnsi="Times New Roman" w:cs="Times New Roman"/>
          <w:sz w:val="20"/>
          <w:szCs w:val="20"/>
          <w:lang w:val="en-US"/>
        </w:rPr>
        <w:t> </w:t>
      </w:r>
    </w:p>
    <w:p w14:paraId="18B8EA7C" w14:textId="77777777" w:rsidR="00092BC3" w:rsidRPr="00AD0B9B" w:rsidRDefault="00092BC3" w:rsidP="00092BC3">
      <w:pPr>
        <w:textAlignment w:val="baseline"/>
        <w:rPr>
          <w:rFonts w:ascii="Times New Roman" w:eastAsia="Times New Roman" w:hAnsi="Times New Roman" w:cs="Times New Roman"/>
          <w:sz w:val="20"/>
          <w:szCs w:val="20"/>
        </w:rPr>
      </w:pPr>
      <w:r w:rsidRPr="00AD0B9B">
        <w:rPr>
          <w:rFonts w:ascii="Times New Roman" w:eastAsia="Times New Roman" w:hAnsi="Times New Roman" w:cs="Times New Roman"/>
          <w:sz w:val="20"/>
          <w:szCs w:val="20"/>
        </w:rPr>
        <w:t>University Surgery Unit, </w:t>
      </w:r>
    </w:p>
    <w:p w14:paraId="0908485A" w14:textId="77777777" w:rsidR="00092BC3" w:rsidRPr="00AD0B9B" w:rsidRDefault="00092BC3" w:rsidP="00092BC3">
      <w:pPr>
        <w:textAlignment w:val="baseline"/>
        <w:rPr>
          <w:rFonts w:ascii="Times New Roman" w:eastAsia="Times New Roman" w:hAnsi="Times New Roman" w:cs="Times New Roman"/>
          <w:sz w:val="20"/>
          <w:szCs w:val="20"/>
          <w:lang w:val="en-US"/>
        </w:rPr>
      </w:pPr>
      <w:r w:rsidRPr="00AD0B9B">
        <w:rPr>
          <w:rFonts w:ascii="Times New Roman" w:eastAsia="Times New Roman" w:hAnsi="Times New Roman" w:cs="Times New Roman"/>
          <w:sz w:val="20"/>
          <w:szCs w:val="20"/>
        </w:rPr>
        <w:t>Faculty of Medicine,</w:t>
      </w:r>
      <w:r w:rsidRPr="00AD0B9B">
        <w:rPr>
          <w:rFonts w:ascii="Times New Roman" w:eastAsia="Times New Roman" w:hAnsi="Times New Roman" w:cs="Times New Roman"/>
          <w:sz w:val="20"/>
          <w:szCs w:val="20"/>
          <w:lang w:val="en-US"/>
        </w:rPr>
        <w:t> </w:t>
      </w:r>
    </w:p>
    <w:p w14:paraId="1DCC6C1B" w14:textId="77777777" w:rsidR="00092BC3" w:rsidRPr="00AD0B9B" w:rsidRDefault="00092BC3" w:rsidP="00092BC3">
      <w:pPr>
        <w:textAlignment w:val="baseline"/>
        <w:rPr>
          <w:rFonts w:ascii="Times New Roman" w:eastAsia="Times New Roman" w:hAnsi="Times New Roman" w:cs="Times New Roman"/>
          <w:sz w:val="20"/>
          <w:szCs w:val="20"/>
          <w:lang w:val="en-US"/>
        </w:rPr>
      </w:pPr>
      <w:r w:rsidRPr="00AD0B9B">
        <w:rPr>
          <w:rFonts w:ascii="Times New Roman" w:eastAsia="Times New Roman" w:hAnsi="Times New Roman" w:cs="Times New Roman"/>
          <w:sz w:val="20"/>
          <w:szCs w:val="20"/>
        </w:rPr>
        <w:t>University of Southampton,</w:t>
      </w:r>
      <w:r w:rsidRPr="00AD0B9B">
        <w:rPr>
          <w:rFonts w:ascii="Times New Roman" w:eastAsia="Times New Roman" w:hAnsi="Times New Roman" w:cs="Times New Roman"/>
          <w:sz w:val="20"/>
          <w:szCs w:val="20"/>
          <w:lang w:val="en-US"/>
        </w:rPr>
        <w:t> </w:t>
      </w:r>
    </w:p>
    <w:p w14:paraId="465BFF41" w14:textId="77777777" w:rsidR="00092BC3" w:rsidRPr="00AD0B9B" w:rsidRDefault="00092BC3" w:rsidP="00092BC3">
      <w:pPr>
        <w:textAlignment w:val="baseline"/>
        <w:rPr>
          <w:rFonts w:ascii="Times New Roman" w:eastAsia="Times New Roman" w:hAnsi="Times New Roman" w:cs="Times New Roman"/>
          <w:sz w:val="20"/>
          <w:szCs w:val="20"/>
          <w:lang w:val="en-US"/>
        </w:rPr>
      </w:pPr>
      <w:r w:rsidRPr="00AD0B9B">
        <w:rPr>
          <w:rFonts w:ascii="Times New Roman" w:eastAsia="Times New Roman" w:hAnsi="Times New Roman" w:cs="Times New Roman"/>
          <w:sz w:val="20"/>
          <w:szCs w:val="20"/>
        </w:rPr>
        <w:t>Southampton</w:t>
      </w:r>
      <w:r w:rsidRPr="00AD0B9B">
        <w:rPr>
          <w:rFonts w:ascii="Times New Roman" w:eastAsia="Times New Roman" w:hAnsi="Times New Roman" w:cs="Times New Roman"/>
          <w:sz w:val="20"/>
          <w:szCs w:val="20"/>
          <w:lang w:val="en-US"/>
        </w:rPr>
        <w:t> </w:t>
      </w:r>
    </w:p>
    <w:p w14:paraId="525C4A56" w14:textId="77777777" w:rsidR="00092BC3" w:rsidRPr="00AD0B9B" w:rsidRDefault="00092BC3" w:rsidP="00092BC3">
      <w:pPr>
        <w:textAlignment w:val="baseline"/>
        <w:rPr>
          <w:rFonts w:ascii="Times New Roman" w:eastAsia="Times New Roman" w:hAnsi="Times New Roman" w:cs="Times New Roman"/>
          <w:sz w:val="20"/>
          <w:szCs w:val="20"/>
          <w:lang w:val="en-US"/>
        </w:rPr>
      </w:pPr>
      <w:r w:rsidRPr="00AD0B9B">
        <w:rPr>
          <w:rFonts w:ascii="Times New Roman" w:eastAsia="Times New Roman" w:hAnsi="Times New Roman" w:cs="Times New Roman"/>
          <w:sz w:val="20"/>
          <w:szCs w:val="20"/>
          <w:lang w:val="en-US"/>
        </w:rPr>
        <w:t> </w:t>
      </w:r>
    </w:p>
    <w:p w14:paraId="399CAA65" w14:textId="77777777" w:rsidR="00092BC3" w:rsidRPr="00AD0B9B" w:rsidRDefault="00092BC3" w:rsidP="00092BC3">
      <w:pPr>
        <w:textAlignment w:val="baseline"/>
        <w:rPr>
          <w:rFonts w:ascii="Times New Roman" w:eastAsia="Times New Roman" w:hAnsi="Times New Roman" w:cs="Times New Roman"/>
          <w:sz w:val="20"/>
          <w:szCs w:val="20"/>
          <w:lang w:val="en-US"/>
        </w:rPr>
      </w:pPr>
      <w:hyperlink r:id="rId6" w:tgtFrame="_blank" w:history="1">
        <w:r w:rsidRPr="00AD0B9B">
          <w:rPr>
            <w:rFonts w:ascii="Times New Roman" w:eastAsia="Times New Roman" w:hAnsi="Times New Roman" w:cs="Times New Roman"/>
            <w:color w:val="0563C1"/>
            <w:sz w:val="20"/>
            <w:szCs w:val="20"/>
          </w:rPr>
          <w:t>n.j.hall@soton.ac.uk</w:t>
        </w:r>
      </w:hyperlink>
      <w:r w:rsidRPr="00AD0B9B">
        <w:rPr>
          <w:rFonts w:ascii="Times New Roman" w:eastAsia="Times New Roman" w:hAnsi="Times New Roman" w:cs="Times New Roman"/>
          <w:sz w:val="20"/>
          <w:szCs w:val="20"/>
          <w:lang w:val="en-US"/>
        </w:rPr>
        <w:t> </w:t>
      </w:r>
    </w:p>
    <w:p w14:paraId="69C4E3CE" w14:textId="77777777" w:rsidR="00092BC3" w:rsidRDefault="00092BC3">
      <w:pPr>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br w:type="page"/>
      </w:r>
    </w:p>
    <w:p w14:paraId="21BADF66" w14:textId="23E02A56" w:rsidR="006C32F7" w:rsidRPr="00AA1F95" w:rsidRDefault="006C32F7" w:rsidP="006C32F7">
      <w:pPr>
        <w:textAlignment w:val="baseline"/>
        <w:rPr>
          <w:rFonts w:ascii="Times New Roman" w:eastAsia="Times New Roman" w:hAnsi="Times New Roman" w:cs="Times New Roman"/>
          <w:sz w:val="20"/>
          <w:szCs w:val="20"/>
        </w:rPr>
      </w:pPr>
      <w:r w:rsidRPr="00AA1F95">
        <w:rPr>
          <w:rFonts w:ascii="Times New Roman" w:eastAsia="Times New Roman" w:hAnsi="Times New Roman" w:cs="Times New Roman"/>
          <w:b/>
          <w:bCs/>
          <w:sz w:val="20"/>
          <w:szCs w:val="20"/>
          <w:u w:val="single"/>
        </w:rPr>
        <w:lastRenderedPageBreak/>
        <w:t>Abstract</w:t>
      </w:r>
      <w:r w:rsidRPr="00AA1F95">
        <w:rPr>
          <w:rFonts w:ascii="Times New Roman" w:eastAsia="Times New Roman" w:hAnsi="Times New Roman" w:cs="Times New Roman"/>
          <w:sz w:val="20"/>
          <w:szCs w:val="20"/>
        </w:rPr>
        <w:t> </w:t>
      </w:r>
    </w:p>
    <w:p w14:paraId="19190228" w14:textId="77777777" w:rsidR="006C32F7" w:rsidRPr="00AA1F95" w:rsidRDefault="006C32F7" w:rsidP="006C32F7">
      <w:pPr>
        <w:textAlignment w:val="baseline"/>
        <w:rPr>
          <w:rFonts w:ascii="Times New Roman" w:eastAsia="Times New Roman" w:hAnsi="Times New Roman" w:cs="Times New Roman"/>
          <w:sz w:val="20"/>
          <w:szCs w:val="20"/>
        </w:rPr>
      </w:pPr>
      <w:r w:rsidRPr="00AA1F95">
        <w:rPr>
          <w:rFonts w:ascii="Times New Roman" w:eastAsia="Times New Roman" w:hAnsi="Times New Roman" w:cs="Times New Roman"/>
          <w:sz w:val="20"/>
          <w:szCs w:val="20"/>
        </w:rPr>
        <w:t> </w:t>
      </w:r>
    </w:p>
    <w:p w14:paraId="6F74718D" w14:textId="77777777" w:rsidR="006C32F7" w:rsidRPr="00AA1F95" w:rsidRDefault="006C32F7" w:rsidP="006C32F7">
      <w:pPr>
        <w:ind w:right="240"/>
        <w:textAlignment w:val="baseline"/>
        <w:rPr>
          <w:rFonts w:ascii="Times New Roman" w:eastAsia="Times New Roman" w:hAnsi="Times New Roman" w:cs="Times New Roman"/>
          <w:b/>
          <w:color w:val="000000" w:themeColor="text1"/>
          <w:sz w:val="20"/>
          <w:szCs w:val="20"/>
          <w:lang w:val="en-US"/>
        </w:rPr>
      </w:pPr>
      <w:r w:rsidRPr="00AA1F95">
        <w:rPr>
          <w:rFonts w:ascii="Times New Roman" w:eastAsia="Times New Roman" w:hAnsi="Times New Roman" w:cs="Times New Roman"/>
          <w:b/>
          <w:color w:val="000000" w:themeColor="text1"/>
          <w:sz w:val="20"/>
          <w:szCs w:val="20"/>
        </w:rPr>
        <w:t>Purpose</w:t>
      </w:r>
    </w:p>
    <w:p w14:paraId="613510D4" w14:textId="77777777"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r w:rsidRPr="00AA1F95">
        <w:rPr>
          <w:rFonts w:ascii="Times New Roman" w:eastAsia="Times New Roman" w:hAnsi="Times New Roman" w:cs="Times New Roman"/>
          <w:color w:val="000000" w:themeColor="text1"/>
          <w:sz w:val="20"/>
          <w:szCs w:val="20"/>
        </w:rPr>
        <w:t>Recent efforts have sought to streamline gastrostomy insertion care, particularly length of stay (LOS). We report our initial experience with day-case gastrostomy (DCG) insertion.</w:t>
      </w:r>
      <w:r w:rsidRPr="00AA1F95">
        <w:rPr>
          <w:rFonts w:ascii="Times New Roman" w:eastAsia="Times New Roman" w:hAnsi="Times New Roman" w:cs="Times New Roman"/>
          <w:color w:val="000000" w:themeColor="text1"/>
          <w:sz w:val="20"/>
          <w:szCs w:val="20"/>
          <w:lang w:val="en-US"/>
        </w:rPr>
        <w:t> </w:t>
      </w:r>
    </w:p>
    <w:p w14:paraId="4BD3705A" w14:textId="77777777"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p>
    <w:p w14:paraId="098A16A6" w14:textId="77777777" w:rsidR="006C32F7" w:rsidRPr="00AA1F95" w:rsidRDefault="006C32F7" w:rsidP="006C32F7">
      <w:pPr>
        <w:ind w:right="240"/>
        <w:textAlignment w:val="baseline"/>
        <w:rPr>
          <w:rFonts w:ascii="Times New Roman" w:eastAsia="Times New Roman" w:hAnsi="Times New Roman" w:cs="Times New Roman"/>
          <w:b/>
          <w:color w:val="000000" w:themeColor="text1"/>
          <w:sz w:val="20"/>
          <w:szCs w:val="20"/>
          <w:lang w:val="en-US"/>
        </w:rPr>
      </w:pPr>
      <w:r w:rsidRPr="00AA1F95">
        <w:rPr>
          <w:rFonts w:ascii="Times New Roman" w:eastAsia="Times New Roman" w:hAnsi="Times New Roman" w:cs="Times New Roman"/>
          <w:b/>
          <w:color w:val="000000" w:themeColor="text1"/>
          <w:sz w:val="20"/>
          <w:szCs w:val="20"/>
        </w:rPr>
        <w:t>Method</w:t>
      </w:r>
      <w:r w:rsidRPr="00AA1F95">
        <w:rPr>
          <w:rFonts w:ascii="Times New Roman" w:eastAsia="Times New Roman" w:hAnsi="Times New Roman" w:cs="Times New Roman"/>
          <w:b/>
          <w:color w:val="000000" w:themeColor="text1"/>
          <w:sz w:val="20"/>
          <w:szCs w:val="20"/>
          <w:lang w:val="en-US"/>
        </w:rPr>
        <w:t> </w:t>
      </w:r>
    </w:p>
    <w:p w14:paraId="11938BA4" w14:textId="77777777"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r w:rsidRPr="00AA1F95">
        <w:rPr>
          <w:rFonts w:ascii="Times New Roman" w:eastAsia="Times New Roman" w:hAnsi="Times New Roman" w:cs="Times New Roman"/>
          <w:color w:val="000000" w:themeColor="text1"/>
          <w:sz w:val="20"/>
          <w:szCs w:val="20"/>
        </w:rPr>
        <w:t>Retrospective review (April 2018-2024) of all primary gastrostomy insertions. Patients discharged the same day as the procedure were defined as DCG. Demographic, operative and clinical data were recorded. All cases were treated according to a standardised feeding pathway.</w:t>
      </w:r>
      <w:r w:rsidRPr="00AA1F95">
        <w:rPr>
          <w:rFonts w:ascii="Times New Roman" w:eastAsia="Times New Roman" w:hAnsi="Times New Roman" w:cs="Times New Roman"/>
          <w:color w:val="000000" w:themeColor="text1"/>
          <w:sz w:val="20"/>
          <w:szCs w:val="20"/>
          <w:lang w:val="en-US"/>
        </w:rPr>
        <w:t> </w:t>
      </w:r>
    </w:p>
    <w:p w14:paraId="6460C1EE" w14:textId="77777777"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p>
    <w:p w14:paraId="6EFCBFDE" w14:textId="77777777" w:rsidR="006C32F7" w:rsidRPr="00AA1F95" w:rsidRDefault="006C32F7" w:rsidP="006C32F7">
      <w:pPr>
        <w:ind w:right="240"/>
        <w:textAlignment w:val="baseline"/>
        <w:rPr>
          <w:rFonts w:ascii="Times New Roman" w:eastAsia="Times New Roman" w:hAnsi="Times New Roman" w:cs="Times New Roman"/>
          <w:b/>
          <w:color w:val="000000" w:themeColor="text1"/>
          <w:sz w:val="20"/>
          <w:szCs w:val="20"/>
          <w:lang w:val="en-US"/>
        </w:rPr>
      </w:pPr>
      <w:r w:rsidRPr="00AA1F95">
        <w:rPr>
          <w:rFonts w:ascii="Times New Roman" w:eastAsia="Times New Roman" w:hAnsi="Times New Roman" w:cs="Times New Roman"/>
          <w:b/>
          <w:color w:val="000000" w:themeColor="text1"/>
          <w:sz w:val="20"/>
          <w:szCs w:val="20"/>
        </w:rPr>
        <w:t>Results</w:t>
      </w:r>
      <w:r w:rsidRPr="00AA1F95">
        <w:rPr>
          <w:rFonts w:ascii="Times New Roman" w:eastAsia="Times New Roman" w:hAnsi="Times New Roman" w:cs="Times New Roman"/>
          <w:b/>
          <w:color w:val="000000" w:themeColor="text1"/>
          <w:sz w:val="20"/>
          <w:szCs w:val="20"/>
          <w:lang w:val="en-US"/>
        </w:rPr>
        <w:t> </w:t>
      </w:r>
    </w:p>
    <w:p w14:paraId="7159A3E0" w14:textId="77777777"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r w:rsidRPr="00AA1F95">
        <w:rPr>
          <w:rFonts w:ascii="Times New Roman" w:eastAsia="Times New Roman" w:hAnsi="Times New Roman" w:cs="Times New Roman"/>
          <w:color w:val="000000" w:themeColor="text1"/>
          <w:sz w:val="20"/>
          <w:szCs w:val="20"/>
        </w:rPr>
        <w:t xml:space="preserve">Of 432 gastrostomies formed, 15 were </w:t>
      </w:r>
      <w:proofErr w:type="gramStart"/>
      <w:r w:rsidRPr="00AA1F95">
        <w:rPr>
          <w:rFonts w:ascii="Times New Roman" w:eastAsia="Times New Roman" w:hAnsi="Times New Roman" w:cs="Times New Roman"/>
          <w:color w:val="000000" w:themeColor="text1"/>
          <w:sz w:val="20"/>
          <w:szCs w:val="20"/>
        </w:rPr>
        <w:t>DCG;</w:t>
      </w:r>
      <w:proofErr w:type="gramEnd"/>
      <w:r w:rsidRPr="00AA1F95">
        <w:rPr>
          <w:rFonts w:ascii="Times New Roman" w:eastAsia="Times New Roman" w:hAnsi="Times New Roman" w:cs="Times New Roman"/>
          <w:color w:val="000000" w:themeColor="text1"/>
          <w:sz w:val="20"/>
          <w:szCs w:val="20"/>
        </w:rPr>
        <w:t xml:space="preserve"> median age 3.5 (0.7-16.9) years, LOS 12h (9-15h). The most common indication was nutritional supplementation (n=9). Gastrostomy technique was single stage percutaneous rapid insertion of gastrostomy button (SPRING n=5) or percutaneous endoscopic gastrostomy (PEG n=10). Prior to insertion, 6/15 DCG were established on nasogastric (NG) feeding, 8</w:t>
      </w:r>
      <w:r w:rsidRPr="00AA1F95">
        <w:rPr>
          <w:rFonts w:ascii="Times New Roman" w:eastAsia="Times New Roman" w:hAnsi="Times New Roman" w:cs="Times New Roman"/>
          <w:strike/>
          <w:color w:val="000000" w:themeColor="text1"/>
          <w:sz w:val="20"/>
          <w:szCs w:val="20"/>
        </w:rPr>
        <w:t xml:space="preserve"> </w:t>
      </w:r>
      <w:r w:rsidRPr="00AA1F95">
        <w:rPr>
          <w:rFonts w:ascii="Times New Roman" w:eastAsia="Times New Roman" w:hAnsi="Times New Roman" w:cs="Times New Roman"/>
          <w:color w:val="000000" w:themeColor="text1"/>
          <w:sz w:val="20"/>
          <w:szCs w:val="20"/>
        </w:rPr>
        <w:t>didn’t use NG feeding, 1 had occasional NG feeds. The majority (13/15) were performed on morning operating lists. There were 4 minor complications; 2 required readmission.</w:t>
      </w:r>
      <w:r w:rsidRPr="00AA1F95">
        <w:rPr>
          <w:rFonts w:ascii="Times New Roman" w:eastAsia="Times New Roman" w:hAnsi="Times New Roman" w:cs="Times New Roman"/>
          <w:color w:val="000000" w:themeColor="text1"/>
          <w:sz w:val="20"/>
          <w:szCs w:val="20"/>
          <w:lang w:val="en-US"/>
        </w:rPr>
        <w:t> </w:t>
      </w:r>
    </w:p>
    <w:p w14:paraId="16F0CEE0" w14:textId="77777777"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p>
    <w:p w14:paraId="2F3D1CA6" w14:textId="77777777" w:rsidR="006C32F7" w:rsidRPr="00AA1F95" w:rsidRDefault="006C32F7" w:rsidP="006C32F7">
      <w:pPr>
        <w:ind w:right="240"/>
        <w:textAlignment w:val="baseline"/>
        <w:rPr>
          <w:rFonts w:ascii="Times New Roman" w:eastAsia="Times New Roman" w:hAnsi="Times New Roman" w:cs="Times New Roman"/>
          <w:b/>
          <w:color w:val="000000" w:themeColor="text1"/>
          <w:sz w:val="20"/>
          <w:szCs w:val="20"/>
          <w:lang w:val="en-US"/>
        </w:rPr>
      </w:pPr>
      <w:r w:rsidRPr="00AA1F95">
        <w:rPr>
          <w:rFonts w:ascii="Times New Roman" w:eastAsia="Times New Roman" w:hAnsi="Times New Roman" w:cs="Times New Roman"/>
          <w:b/>
          <w:color w:val="000000" w:themeColor="text1"/>
          <w:sz w:val="20"/>
          <w:szCs w:val="20"/>
        </w:rPr>
        <w:t>Conclusion</w:t>
      </w:r>
      <w:r w:rsidRPr="00AA1F95">
        <w:rPr>
          <w:rFonts w:ascii="Times New Roman" w:eastAsia="Times New Roman" w:hAnsi="Times New Roman" w:cs="Times New Roman"/>
          <w:b/>
          <w:color w:val="000000" w:themeColor="text1"/>
          <w:sz w:val="20"/>
          <w:szCs w:val="20"/>
          <w:lang w:val="en-US"/>
        </w:rPr>
        <w:t> </w:t>
      </w:r>
    </w:p>
    <w:p w14:paraId="5680EBC3" w14:textId="2334569A" w:rsidR="006C32F7" w:rsidRPr="00AA1F95" w:rsidRDefault="006C32F7" w:rsidP="006C32F7">
      <w:pPr>
        <w:ind w:right="240"/>
        <w:textAlignment w:val="baseline"/>
        <w:rPr>
          <w:rFonts w:ascii="Times New Roman" w:eastAsia="Times New Roman" w:hAnsi="Times New Roman" w:cs="Times New Roman"/>
          <w:color w:val="000000" w:themeColor="text1"/>
          <w:sz w:val="20"/>
          <w:szCs w:val="20"/>
          <w:lang w:val="en-US"/>
        </w:rPr>
      </w:pPr>
      <w:r w:rsidRPr="00AA1F95">
        <w:rPr>
          <w:rFonts w:ascii="Times New Roman" w:eastAsia="Times New Roman" w:hAnsi="Times New Roman" w:cs="Times New Roman"/>
          <w:color w:val="000000" w:themeColor="text1"/>
          <w:sz w:val="20"/>
          <w:szCs w:val="20"/>
        </w:rPr>
        <w:t>DCG in selected cases is feasible and sa</w:t>
      </w:r>
      <w:r w:rsidRPr="002F1938">
        <w:rPr>
          <w:rFonts w:ascii="Times New Roman" w:eastAsia="Times New Roman" w:hAnsi="Times New Roman" w:cs="Times New Roman"/>
          <w:color w:val="000000" w:themeColor="text1"/>
          <w:sz w:val="20"/>
          <w:szCs w:val="20"/>
        </w:rPr>
        <w:t xml:space="preserve">fe. Most cases were performed on morning operating list but fewer than half had prior experience of nasogastric tube feeding. We suggest additional pathway modifications to improve DCG uptake. </w:t>
      </w:r>
    </w:p>
    <w:p w14:paraId="2AE1816A" w14:textId="77777777" w:rsidR="006C32F7" w:rsidRPr="00AA1F95" w:rsidRDefault="006C32F7" w:rsidP="006C32F7">
      <w:pPr>
        <w:textAlignment w:val="baseline"/>
        <w:rPr>
          <w:rFonts w:ascii="Times New Roman" w:eastAsia="Times New Roman" w:hAnsi="Times New Roman" w:cs="Times New Roman"/>
          <w:sz w:val="20"/>
          <w:szCs w:val="20"/>
          <w:lang w:val="en-US"/>
        </w:rPr>
      </w:pPr>
      <w:r w:rsidRPr="00AA1F95">
        <w:rPr>
          <w:rFonts w:ascii="Times New Roman" w:eastAsia="Times New Roman" w:hAnsi="Times New Roman" w:cs="Times New Roman"/>
          <w:sz w:val="20"/>
          <w:szCs w:val="20"/>
          <w:lang w:val="en-US"/>
        </w:rPr>
        <w:t> </w:t>
      </w:r>
    </w:p>
    <w:p w14:paraId="282E96BA" w14:textId="77777777" w:rsidR="006C32F7" w:rsidRPr="00AA1F95" w:rsidRDefault="006C32F7" w:rsidP="006C32F7">
      <w:pPr>
        <w:textAlignment w:val="baseline"/>
        <w:rPr>
          <w:rFonts w:ascii="Times New Roman" w:eastAsia="Times New Roman" w:hAnsi="Times New Roman" w:cs="Times New Roman"/>
          <w:b/>
          <w:sz w:val="20"/>
          <w:szCs w:val="20"/>
        </w:rPr>
      </w:pPr>
    </w:p>
    <w:p w14:paraId="1E592188" w14:textId="77777777" w:rsidR="006C32F7" w:rsidRPr="00AA1F95" w:rsidRDefault="006C32F7" w:rsidP="006C32F7">
      <w:pPr>
        <w:textAlignment w:val="baseline"/>
        <w:rPr>
          <w:rFonts w:ascii="Times New Roman" w:eastAsia="Times New Roman" w:hAnsi="Times New Roman" w:cs="Times New Roman"/>
          <w:b/>
          <w:sz w:val="20"/>
          <w:szCs w:val="20"/>
        </w:rPr>
      </w:pPr>
    </w:p>
    <w:p w14:paraId="5C682E94" w14:textId="77777777" w:rsidR="006C32F7" w:rsidRPr="00AA1F95" w:rsidRDefault="006C32F7" w:rsidP="006C32F7">
      <w:pPr>
        <w:textAlignment w:val="baseline"/>
        <w:rPr>
          <w:rFonts w:ascii="Times New Roman" w:eastAsia="Times New Roman" w:hAnsi="Times New Roman" w:cs="Times New Roman"/>
          <w:b/>
          <w:sz w:val="20"/>
          <w:szCs w:val="20"/>
          <w:lang w:val="en-US"/>
        </w:rPr>
      </w:pPr>
      <w:r w:rsidRPr="00AA1F95">
        <w:rPr>
          <w:rFonts w:ascii="Times New Roman" w:eastAsia="Times New Roman" w:hAnsi="Times New Roman" w:cs="Times New Roman"/>
          <w:b/>
          <w:sz w:val="20"/>
          <w:szCs w:val="20"/>
        </w:rPr>
        <w:t>Key words:</w:t>
      </w:r>
      <w:r w:rsidRPr="00AA1F95">
        <w:rPr>
          <w:rFonts w:ascii="Times New Roman" w:eastAsia="Times New Roman" w:hAnsi="Times New Roman" w:cs="Times New Roman"/>
          <w:b/>
          <w:sz w:val="20"/>
          <w:szCs w:val="20"/>
          <w:lang w:val="en-US"/>
        </w:rPr>
        <w:t> </w:t>
      </w:r>
    </w:p>
    <w:p w14:paraId="23CFCB3E" w14:textId="77777777" w:rsidR="006C32F7" w:rsidRPr="00AA1F95" w:rsidRDefault="006C32F7" w:rsidP="006C32F7">
      <w:pPr>
        <w:numPr>
          <w:ilvl w:val="0"/>
          <w:numId w:val="5"/>
        </w:numPr>
        <w:ind w:left="360" w:firstLine="0"/>
        <w:textAlignment w:val="baseline"/>
        <w:rPr>
          <w:rFonts w:ascii="Times New Roman" w:eastAsia="Times New Roman" w:hAnsi="Times New Roman" w:cs="Times New Roman"/>
          <w:sz w:val="20"/>
          <w:szCs w:val="20"/>
          <w:lang w:val="en-US"/>
        </w:rPr>
      </w:pPr>
      <w:r w:rsidRPr="00AA1F95">
        <w:rPr>
          <w:rFonts w:ascii="Times New Roman" w:eastAsia="Times New Roman" w:hAnsi="Times New Roman" w:cs="Times New Roman"/>
          <w:sz w:val="20"/>
          <w:szCs w:val="20"/>
        </w:rPr>
        <w:t xml:space="preserve">Gastrostomy </w:t>
      </w:r>
      <w:r w:rsidRPr="00AA1F95">
        <w:rPr>
          <w:rFonts w:ascii="Times New Roman" w:eastAsia="Times New Roman" w:hAnsi="Times New Roman" w:cs="Times New Roman"/>
          <w:sz w:val="20"/>
          <w:szCs w:val="20"/>
          <w:lang w:val="en-US"/>
        </w:rPr>
        <w:t> </w:t>
      </w:r>
    </w:p>
    <w:p w14:paraId="75B4DD71" w14:textId="77777777" w:rsidR="006C32F7" w:rsidRPr="00AA1F95" w:rsidRDefault="006C32F7" w:rsidP="006C32F7">
      <w:pPr>
        <w:numPr>
          <w:ilvl w:val="0"/>
          <w:numId w:val="6"/>
        </w:numPr>
        <w:ind w:left="360" w:firstLine="0"/>
        <w:textAlignment w:val="baseline"/>
        <w:rPr>
          <w:rFonts w:ascii="Times New Roman" w:eastAsia="Times New Roman" w:hAnsi="Times New Roman" w:cs="Times New Roman"/>
          <w:sz w:val="20"/>
          <w:szCs w:val="20"/>
          <w:lang w:val="en-US"/>
        </w:rPr>
      </w:pPr>
      <w:r w:rsidRPr="00AA1F95">
        <w:rPr>
          <w:rFonts w:ascii="Times New Roman" w:eastAsia="Times New Roman" w:hAnsi="Times New Roman" w:cs="Times New Roman"/>
          <w:sz w:val="20"/>
          <w:szCs w:val="20"/>
        </w:rPr>
        <w:t xml:space="preserve">Day case surgery </w:t>
      </w:r>
      <w:r w:rsidRPr="00AA1F95">
        <w:rPr>
          <w:rFonts w:ascii="Times New Roman" w:eastAsia="Times New Roman" w:hAnsi="Times New Roman" w:cs="Times New Roman"/>
          <w:sz w:val="20"/>
          <w:szCs w:val="20"/>
          <w:lang w:val="en-US"/>
        </w:rPr>
        <w:t> </w:t>
      </w:r>
    </w:p>
    <w:p w14:paraId="36A022AD" w14:textId="77777777" w:rsidR="006C32F7" w:rsidRPr="00AA1F95" w:rsidRDefault="006C32F7" w:rsidP="006C32F7">
      <w:pPr>
        <w:numPr>
          <w:ilvl w:val="0"/>
          <w:numId w:val="7"/>
        </w:numPr>
        <w:ind w:left="360" w:firstLine="0"/>
        <w:textAlignment w:val="baseline"/>
        <w:rPr>
          <w:rFonts w:ascii="Times New Roman" w:eastAsia="Times New Roman" w:hAnsi="Times New Roman" w:cs="Times New Roman"/>
          <w:sz w:val="20"/>
          <w:szCs w:val="20"/>
          <w:lang w:val="en-US"/>
        </w:rPr>
      </w:pPr>
      <w:r w:rsidRPr="00AA1F95">
        <w:rPr>
          <w:rFonts w:ascii="Times New Roman" w:eastAsia="Times New Roman" w:hAnsi="Times New Roman" w:cs="Times New Roman"/>
          <w:sz w:val="20"/>
          <w:szCs w:val="20"/>
        </w:rPr>
        <w:t xml:space="preserve">Paediatric gastrostomy </w:t>
      </w:r>
      <w:r w:rsidRPr="00AA1F95">
        <w:rPr>
          <w:rFonts w:ascii="Times New Roman" w:eastAsia="Times New Roman" w:hAnsi="Times New Roman" w:cs="Times New Roman"/>
          <w:sz w:val="20"/>
          <w:szCs w:val="20"/>
          <w:lang w:val="en-US"/>
        </w:rPr>
        <w:t> </w:t>
      </w:r>
    </w:p>
    <w:p w14:paraId="385F0C9B" w14:textId="77777777" w:rsidR="006C32F7" w:rsidRPr="00AA1F95" w:rsidRDefault="006C32F7" w:rsidP="006C32F7">
      <w:pPr>
        <w:numPr>
          <w:ilvl w:val="0"/>
          <w:numId w:val="7"/>
        </w:numPr>
        <w:ind w:left="360" w:firstLine="0"/>
        <w:textAlignment w:val="baseline"/>
        <w:rPr>
          <w:rFonts w:ascii="Times New Roman" w:eastAsia="Times New Roman" w:hAnsi="Times New Roman" w:cs="Times New Roman"/>
          <w:sz w:val="20"/>
          <w:szCs w:val="20"/>
          <w:lang w:val="en-US"/>
        </w:rPr>
      </w:pPr>
      <w:r w:rsidRPr="00AA1F95">
        <w:rPr>
          <w:rFonts w:ascii="Times New Roman" w:eastAsia="Times New Roman" w:hAnsi="Times New Roman" w:cs="Times New Roman"/>
          <w:sz w:val="20"/>
          <w:szCs w:val="20"/>
          <w:lang w:val="en-US"/>
        </w:rPr>
        <w:t>Gastrostomy insertion</w:t>
      </w:r>
    </w:p>
    <w:p w14:paraId="31737445" w14:textId="77777777" w:rsidR="006C32F7" w:rsidRPr="00AA1F95" w:rsidRDefault="006C32F7" w:rsidP="006C32F7">
      <w:pPr>
        <w:textAlignment w:val="baseline"/>
        <w:rPr>
          <w:rFonts w:ascii="Times New Roman" w:eastAsia="Times New Roman" w:hAnsi="Times New Roman" w:cs="Times New Roman"/>
          <w:sz w:val="20"/>
          <w:szCs w:val="20"/>
          <w:lang w:val="en-US"/>
        </w:rPr>
      </w:pPr>
      <w:r w:rsidRPr="00AA1F95">
        <w:rPr>
          <w:rFonts w:ascii="Times New Roman" w:eastAsia="Times New Roman" w:hAnsi="Times New Roman" w:cs="Times New Roman"/>
          <w:sz w:val="20"/>
          <w:szCs w:val="20"/>
          <w:lang w:val="en-US"/>
        </w:rPr>
        <w:t> </w:t>
      </w:r>
    </w:p>
    <w:p w14:paraId="35404C5D" w14:textId="77777777" w:rsidR="006C32F7" w:rsidRPr="00AA1F95" w:rsidRDefault="006C32F7" w:rsidP="006C32F7">
      <w:pPr>
        <w:widowControl w:val="0"/>
        <w:autoSpaceDE w:val="0"/>
        <w:autoSpaceDN w:val="0"/>
        <w:adjustRightInd w:val="0"/>
        <w:ind w:left="640" w:hanging="640"/>
        <w:rPr>
          <w:rFonts w:ascii="Times New Roman" w:hAnsi="Times New Roman" w:cs="Times New Roman"/>
          <w:b/>
          <w:sz w:val="20"/>
          <w:szCs w:val="20"/>
          <w:u w:val="single"/>
        </w:rPr>
      </w:pPr>
    </w:p>
    <w:p w14:paraId="0AC58BC7" w14:textId="77777777" w:rsidR="006C32F7" w:rsidRDefault="006C32F7">
      <w:r>
        <w:br w:type="page"/>
      </w:r>
    </w:p>
    <w:p w14:paraId="374A83A7" w14:textId="6A2AE5FA" w:rsidR="000719F5" w:rsidRPr="000719F5" w:rsidRDefault="000719F5" w:rsidP="000E15A5">
      <w:pPr>
        <w:pStyle w:val="NoSpacing"/>
        <w:rPr>
          <w:sz w:val="18"/>
          <w:szCs w:val="18"/>
        </w:rPr>
      </w:pPr>
      <w:r w:rsidRPr="00B41B9E">
        <w:lastRenderedPageBreak/>
        <w:t>Introduction  </w:t>
      </w:r>
    </w:p>
    <w:p w14:paraId="40A9648D"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3D83489E" w14:textId="23087671"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Gastrostomy use for both feeding and administration of medications forms a cornerstone in the management of many </w:t>
      </w:r>
      <w:r w:rsidR="002B7C6A">
        <w:rPr>
          <w:rFonts w:eastAsia="Times New Roman" w:cstheme="minorHAnsi"/>
        </w:rPr>
        <w:t>children</w:t>
      </w:r>
      <w:r w:rsidRPr="00B41B9E">
        <w:rPr>
          <w:rFonts w:eastAsia="Times New Roman" w:cstheme="minorHAnsi"/>
        </w:rPr>
        <w:t xml:space="preserve"> with both surgical and medical diagnoses. Gastrostomy insertion can be via a range of methods, including percutaneous endoscopic gastrostomy insertion (PEG), laparoscopy assisted gastrostomy insertion and open gastrostomy.  </w:t>
      </w:r>
    </w:p>
    <w:p w14:paraId="7085B59B"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5494DDD7" w14:textId="7F1CFF54" w:rsidR="000719F5" w:rsidRPr="000719F5" w:rsidRDefault="000719F5" w:rsidP="000719F5">
      <w:pPr>
        <w:textAlignment w:val="baseline"/>
        <w:rPr>
          <w:rFonts w:eastAsia="Times New Roman" w:cstheme="minorHAnsi"/>
          <w:sz w:val="18"/>
          <w:szCs w:val="18"/>
        </w:rPr>
      </w:pPr>
      <w:r w:rsidRPr="00B41B9E">
        <w:rPr>
          <w:rFonts w:eastAsia="Times New Roman" w:cstheme="minorHAnsi"/>
        </w:rPr>
        <w:t>The insertion of a new gastrostomy device, by any method, has traditionally involved one or two nights stay in hospital, during which the child’s feed is increased and parents are educated in the use of the gastrostomy device</w:t>
      </w:r>
      <w:r w:rsidR="007F6702">
        <w:rPr>
          <w:rFonts w:eastAsia="Times New Roman" w:cstheme="minorHAnsi"/>
        </w:rPr>
        <w:fldChar w:fldCharType="begin" w:fldLock="1"/>
      </w:r>
      <w:r w:rsidR="008F0073">
        <w:rPr>
          <w:rFonts w:eastAsia="Times New Roman" w:cstheme="minorHAnsi"/>
        </w:rPr>
        <w:instrText>ADDIN CSL_CITATION {"citationItems":[{"id":"ITEM-1","itemData":{"DOI":"10.1089/lap.2017.0295","ISSN":"1092-6429","abstract":"Abstract Purpose: The objective of this study was to evaluate postoperative feeding regimens after laparoscopic gastrostomy placement and their effect on outcomes. Methods: Children 18 years of age or younger, who underwent laparoscopic gastrostomy placement at a tertiary-care academic children's hospital between January 2014 and October 2016, were reviewed. Data collected included patient characteristics, postoperative feeding regimen, and clinical outcomes. Statistical analysis was performed using Chi-square, Fisher's exact, and Wilcoxon Rank-Sum tests. Results: We reviewed the medical records of 270 children that underwent laparoscopic gastrostomy placement by 15 pediatric surgeons. The median age was 2.7 (interquartile range [IQR], 0.7?9.6) years, and 50% (n?=?136) were male. The median body mass index was 15.5 (IQR, 14.0?17.5). Complications within 90 days included: granulation tissue (34%), leakage (17%), dislodgement (14%), and skin and soft-tissue infection (9%). Two patients returned to the operating room, 1 for a dislodged tube, and another for a volvulus within 10 days of gastrostomy tube placement. A subset analysis of outpatients that underwent elective laparoscopic gastrostomy placement showed variation in the day of initial feeds (0?2 postoperative days [POD]), method of initial feeds (continuous versus bolus) and choice of initial feeds (Pedialyte versus formula/breast milk). There was a significant difference in median hospital length of stay for early versus late initiation of feeds (POD 0: 2.1 days versus POD ≥1: 3.1 days, P?&lt;?.01) without a difference in postoperative complications. Conclusion: There is substantial variation in the postoperative feeding regimen after laparoscopic gastrostomy. Initiation of early postoperative feeds may result in decreased length of stay without increasing complications.","author":[{"dropping-particle":"","family":"Rosenfeld","given":"Eric H","non-dropping-particle":"","parse-names":false,"suffix":""},{"dropping-particle":"","family":"Mazzolini","given":"Kirea","non-dropping-particle":"","parse-names":false,"suffix":""},{"dropping-particle":"","family":"DeMello","given":"Annalyn","non-dropping-particle":"","parse-names":false,"suffix":""},{"dropping-particle":"","family":"Yu","given":"Yangyang R","non-dropping-particle":"","parse-names":false,"suffix":""},{"dropping-particle":"","family":"Lee","given":"Timothy C","non-dropping-particle":"","parse-names":false,"suffix":""},{"dropping-particle":"","family":"Naik-Mathuria","given":"Bindi","non-dropping-particle":"","parse-names":false,"suffix":""},{"dropping-particle":"V","family":"Mazziotti","given":"Mark","non-dropping-particle":"","parse-names":false,"suffix":""},{"dropping-particle":"","family":"Shah","given":"Sohail R","non-dropping-particle":"","parse-names":false,"suffix":""}],"container-title":"Journal of Laparoendoscopic &amp; Advanced Surgical Techniques","id":"ITEM-1","issue":"11","issued":{"date-parts":[["2017","10","2"]]},"note":"doi: 10.1089/lap.2017.0295","page":"1203-1208","publisher":"Mary Ann Liebert, Inc., publishers","title":"Postoperative Feeding Regimens After Laparoscopic Gastrostomy Placement","type":"article-journal","volume":"27"},"uris":["http://www.mendeley.com/documents/?uuid=d2be57d0-af07-4f58-8dea-e09fb9f30a0f"]},{"id":"ITEM-2","itemData":{"DOI":"10.1007/s00383-019-04472-7","ISSN":"1437-9813","abstract":"Gastrostomy tube placement is one of the most commonly performed pediatric surgical procedures and discharge is possible as early as the first postoperative day with early initiation of feeds postoperatively. We examined a national database to determine hospital length of stay (LOS) after elective laparoscopic gastrostomy in children.","author":[{"dropping-particle":"","family":"Williams","given":"Kibileri","non-dropping-particle":"","parse-names":false,"suffix":""},{"dropping-particle":"","family":"Baumann","given":"Lauren","non-dropping-particle":"","parse-names":false,"suffix":""},{"dropping-particle":"","family":"Abdullah","given":"Fizan","non-dropping-particle":"","parse-names":false,"suffix":""},{"dropping-particle":"","family":"Hendrickson","given":"Richard J","non-dropping-particle":"","parse-names":false,"suffix":""},{"dropping-particle":"","family":"Oyetunji","given":"Tolulope A","non-dropping-particle":"","parse-names":false,"suffix":""}],"container-title":"Pediatric Surgery International","id":"ITEM-2","issue":"6","issued":{"date-parts":[["2019"]]},"page":"643-647","title":"Elective laparoscopic gastrostomy in children: potential for an enhanced recovery protocol","type":"article-journal","volume":"35"},"uris":["http://www.mendeley.com/documents/?uuid=a60699f5-78df-43f1-91a4-4df5c98291fd"]}],"mendeley":{"formattedCitation":"[1,2]","plainTextFormattedCitation":"[1,2]","previouslyFormattedCitation":"[1,2]"},"properties":{"noteIndex":0},"schema":"https://github.com/citation-style-language/schema/raw/master/csl-citation.json"}</w:instrText>
      </w:r>
      <w:r w:rsidR="007F6702">
        <w:rPr>
          <w:rFonts w:eastAsia="Times New Roman" w:cstheme="minorHAnsi"/>
        </w:rPr>
        <w:fldChar w:fldCharType="separate"/>
      </w:r>
      <w:r w:rsidR="007F6702" w:rsidRPr="007F6702">
        <w:rPr>
          <w:rFonts w:eastAsia="Times New Roman" w:cstheme="minorHAnsi"/>
          <w:noProof/>
        </w:rPr>
        <w:t>[1,2]</w:t>
      </w:r>
      <w:r w:rsidR="007F6702">
        <w:rPr>
          <w:rFonts w:eastAsia="Times New Roman" w:cstheme="minorHAnsi"/>
        </w:rPr>
        <w:fldChar w:fldCharType="end"/>
      </w:r>
      <w:r w:rsidRPr="00B41B9E">
        <w:rPr>
          <w:rFonts w:eastAsia="Times New Roman" w:cstheme="minorHAnsi"/>
        </w:rPr>
        <w:t>. In recent years, increasing evidence has shown that new gastrostomy devices can be used safely soon after insertion. Early feeding combined with adoption of a protocolised post-insertion pathway has been shown to reduce length of stay following gastrostomy insertion</w:t>
      </w:r>
      <w:r w:rsidR="00C16243" w:rsidRPr="00B41B9E">
        <w:rPr>
          <w:rFonts w:eastAsia="Times New Roman" w:cstheme="minorHAnsi"/>
        </w:rPr>
        <w:t xml:space="preserve"> </w:t>
      </w:r>
      <w:r w:rsidR="00C16243" w:rsidRPr="00B41B9E">
        <w:rPr>
          <w:rFonts w:eastAsia="Times New Roman" w:cstheme="minorHAnsi"/>
        </w:rPr>
        <w:fldChar w:fldCharType="begin" w:fldLock="1"/>
      </w:r>
      <w:r w:rsidR="008F0073">
        <w:rPr>
          <w:rFonts w:eastAsia="Times New Roman" w:cstheme="minorHAnsi"/>
        </w:rPr>
        <w:instrText>ADDIN CSL_CITATION {"citationItems":[{"id":"ITEM-1","itemData":{"DOI":"10.1016/j.jpedsurg.2020.01.024","ISSN":"0022-3468","abstract":"BackgroundThere is no consensus regarding optimal postoperative feeding strategy following gastrostomy insertion in children. The aim of this study was to determine whether implementing an early postoperative feeding pathway reduces length of stay (LOS) without increasing complications.","author":[{"dropping-particle":"","family":"Lam","given":"Christine","non-dropping-particle":"","parse-names":false,"suffix":""},{"dropping-particle":"","family":"Dick","given":"Karen","non-dropping-particle":"","parse-names":false,"suffix":""},{"dropping-particle":"","family":"Bethell","given":"George","non-dropping-particle":"","parse-names":false,"suffix":""},{"dropping-particle":"","family":"Stedman","given":"Francesca","non-dropping-particle":"","parse-names":false,"suffix":""},{"dropping-particle":"","family":"Keys","given":"S Charlie","non-dropping-particle":"","parse-names":false,"suffix":""},{"dropping-particle":"","family":"Ron","given":"Ori","non-dropping-particle":"","parse-names":false,"suffix":""},{"dropping-particle":"","family":"Kitteringham","given":"Lara","non-dropping-particle":"","parse-names":false,"suffix":""},{"dropping-particle":"","family":"Stanton","given":"Michael P","non-dropping-particle":"","parse-names":false,"suffix":""},{"dropping-particle":"","family":"Hall","given":"Nigel J","non-dropping-particle":"","parse-names":false,"suffix":""}],"container-title":"Journal of Pediatric Surgery","id":"ITEM-1","issue":"5","issued":{"date-parts":[["2020","5","1"]]},"note":"doi: 10.1016/j.jpedsurg.2020.01.024","page":"861-865","publisher":"Elsevier","title":"Implementing an early feeding pathway post gastrostomy insertion reduces inpatient stay","type":"article-journal","volume":"55"},"uris":["http://www.mendeley.com/documents/?uuid=fcd8b294-2108-418b-8a4c-f20c77399479"]},{"id":"ITEM-2","itemData":{"DOI":"https://doi.org/10.1016/j.amjsurg.2016.02.004","ISSN":"0002-9610","abstract":"Background A protocol for laparoscopic gastrostomy placement was implemented which specified perioperative antibiotics, feeding regimens, and discharge criteria. Our hypothesis was that hospital cost could be decreased, whereas at the same time improving or maintaining patient outcomes. Methods Data were collected on consecutive patients beginning 6 months after implementation of our protocol. We recorded surgeon compliance, patient outcomes (as defined by 30-day NSQIP complication rates), and cost of initial hospitalization, which was then compare to a 6-month historical control period. Results Our control group n = 26 and protocol group n = 39. Length of stay was shorter in the protocol group (P ≤ .05 by nonparametric analysis). The complication rate was similar in both groups (23% control vs 15% protocol, P = .43). Initial hospital costs were not different. Surgeon compliance to protocol was 82%. Conclusions A standard protocol is achievable for gastrostomy tube management. After implementation of our protocol, we were able to show a significant decrease in length of stay, whereas maintaining quality.","author":[{"dropping-particle":"","family":"Sunstrom","given":"Rachel","non-dropping-particle":"","parse-names":false,"suffix":""},{"dropping-particle":"","family":"Hamilton","given":"Nicholas","non-dropping-particle":"","parse-names":false,"suffix":""},{"dropping-particle":"","family":"Fialkowski","given":"Elizabeth","non-dropping-particle":"","parse-names":false,"suffix":""},{"dropping-particle":"","family":"Lofberg","given":"Katrine","non-dropping-particle":"","parse-names":false,"suffix":""},{"dropping-particle":"","family":"McKee","given":"Julie","non-dropping-particle":"","parse-names":false,"suffix":""},{"dropping-particle":"","family":"Sims","given":"Thomas","non-dropping-particle":"","parse-names":false,"suffix":""},{"dropping-particle":"","family":"Krishnaswami","given":"Sanjay","non-dropping-particle":"","parse-names":false,"suffix":""},{"dropping-particle":"","family":"Azarow","given":"Kenneth","non-dropping-particle":"","parse-names":false,"suffix":""}],"container-title":"The American Journal of Surgery","id":"ITEM-2","issue":"5","issued":{"date-parts":[["2016"]]},"page":"948-953","title":"Minimizing variance in pediatric gastrostomy: does standardized perioperative feeding plan decrease cost and improve outcomes?","type":"article-journal","volume":"211"},"uris":["http://www.mendeley.com/documents/?uuid=0f19cf8b-c941-4fa2-9d42-f8002e9435a2"]}],"mendeley":{"formattedCitation":"[3,4]","plainTextFormattedCitation":"[3,4]","previouslyFormattedCitation":"[3,4]"},"properties":{"noteIndex":0},"schema":"https://github.com/citation-style-language/schema/raw/master/csl-citation.json"}</w:instrText>
      </w:r>
      <w:r w:rsidR="00C16243" w:rsidRPr="00B41B9E">
        <w:rPr>
          <w:rFonts w:eastAsia="Times New Roman" w:cstheme="minorHAnsi"/>
        </w:rPr>
        <w:fldChar w:fldCharType="separate"/>
      </w:r>
      <w:r w:rsidR="007F6702" w:rsidRPr="007F6702">
        <w:rPr>
          <w:rFonts w:eastAsia="Times New Roman" w:cstheme="minorHAnsi"/>
          <w:noProof/>
        </w:rPr>
        <w:t>[3,4]</w:t>
      </w:r>
      <w:r w:rsidR="00C16243" w:rsidRPr="00B41B9E">
        <w:rPr>
          <w:rFonts w:eastAsia="Times New Roman" w:cstheme="minorHAnsi"/>
        </w:rPr>
        <w:fldChar w:fldCharType="end"/>
      </w:r>
      <w:r w:rsidRPr="00B41B9E">
        <w:rPr>
          <w:rFonts w:eastAsia="Times New Roman" w:cstheme="minorHAnsi"/>
        </w:rPr>
        <w:t xml:space="preserve"> such that in some units, including ours, a stay of one night (as opposed to longer) is now considered routine. This reduction in length of stay has benefits for patients, families and the health service. </w:t>
      </w:r>
    </w:p>
    <w:p w14:paraId="6E0F558C"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5D51D0E5" w14:textId="24C020CB" w:rsidR="000719F5" w:rsidRPr="000719F5" w:rsidRDefault="000719F5" w:rsidP="000719F5">
      <w:pPr>
        <w:textAlignment w:val="baseline"/>
        <w:rPr>
          <w:rFonts w:eastAsia="Times New Roman" w:cstheme="minorHAnsi"/>
          <w:sz w:val="18"/>
          <w:szCs w:val="18"/>
        </w:rPr>
      </w:pPr>
      <w:r w:rsidRPr="00B41B9E">
        <w:rPr>
          <w:rFonts w:eastAsia="Times New Roman" w:cstheme="minorHAnsi"/>
        </w:rPr>
        <w:t>Although day-case surgery is common in paediatric surgery</w:t>
      </w:r>
      <w:r w:rsidR="005615A6" w:rsidRPr="00B41B9E">
        <w:rPr>
          <w:rFonts w:eastAsia="Times New Roman" w:cstheme="minorHAnsi"/>
        </w:rPr>
        <w:t xml:space="preserve"> </w:t>
      </w:r>
      <w:r w:rsidR="005615A6" w:rsidRPr="00B41B9E">
        <w:rPr>
          <w:rFonts w:eastAsia="Times New Roman" w:cstheme="minorHAnsi"/>
        </w:rPr>
        <w:fldChar w:fldCharType="begin" w:fldLock="1"/>
      </w:r>
      <w:r w:rsidR="008F0073">
        <w:rPr>
          <w:rFonts w:eastAsia="Times New Roman" w:cstheme="minorHAnsi"/>
        </w:rPr>
        <w:instrText>ADDIN CSL_CITATION {"citationItems":[{"id":"ITEM-1","itemData":{"DOI":"10.1007/s00464-015-4227-5","ISSN":"1432-2218 (Electronic)","PMID":"26482157","abstract":"PURPOSE: Widespread adoption of minimally invasive surgery (MIS) techniques in  pediatric surgery has progressed slowly, and the shift in practice patterns has been variable among surgeons. We hypothesized that a pediatric surgeon committed to MIS could effectively change surgical practice by creating an emphasis on MIS. METHODS: Annual case volumes from 2000 to 2009 at two tertiary care pediatric hospitals, one with a dedicated minimally invasive pediatric surgeon, were evaluated for trends in MIS for ten different operations. Univariate analyses of the differences between hospitals in the use of the open versus laparoscopic approach were performed. The Breslow-Day test was used to examine differences in use of laparoscopic procedures across hospitals in early versus middle and middle versus late time periods. RESULTS: Between the two hospitals, for 9 of the 10 types of surgery, the number of laparoscopic and open procedures differed significantly (p values ranged from &lt;0.0001 to 0.003). Over the 10-year period, the hospital with a dedicated MIS surgeon had a larger proportion of procedures done laparoscopically for all years. This difference reached statistical significance for appendectomy (p &lt; 0.0001), congenital diaphragmatic hernia (p &lt; 0.0002), chest wall reconstruction (p &lt; 0.0001), cholecystectomy (p = &lt;0.0001), gastrostomy (p &lt; 0.0001), nissen fundoplication (p &lt; 0.0001) oophorectomy (p &lt; 0.0001), pyloromyotomy (p &lt; 0.0001) and splenectomy (p = 0.0006). After grouping the years into early (2000-2003), middle (2004-2006) and late (2007-2009) categories, the hospital with a dedicated MIS surgeon had a significantly higher rate of increase in use of laparoscopic surgery between the early and middle years for four procedures: diaphragmatic hernia repair (p = 0.003), chest wall reconstruction (p = 0.0086), cholecystectomy (0.0083) and endorectal pull-through (p = 0.025). CONCLUSION: The presence of a dedicated minimally invasive pediatric surgeon led to a significant change in surgical practice with an overall trend of increasing MIS several years in advance of a hospital that did not have a dedicated MIS surgeon. This has implications for resident training in academic medical centers and potential patient care outcomes.","author":[{"dropping-particle":"","family":"Jackson","given":"Hope T","non-dropping-particle":"","parse-names":false,"suffix":""},{"dropping-particle":"","family":"Shah","given":"Sohail R","non-dropping-particle":"","parse-names":false,"suffix":""},{"dropping-particle":"","family":"Hathaway","given":"Emily","non-dropping-particle":"","parse-names":false,"suffix":""},{"dropping-particle":"","family":"Nadler","given":"Evan P","non-dropping-particle":"","parse-names":false,"suffix":""},{"dropping-particle":"","family":"Amdur","given":"Richard L","non-dropping-particle":"","parse-names":false,"suffix":""},{"dropping-particle":"","family":"McGue","given":"Shannon","non-dropping-particle":"","parse-names":false,"suffix":""},{"dropping-particle":"","family":"Kane","given":"Timothy D","non-dropping-particle":"","parse-names":false,"suffix":""}],"container-title":"Surgical endoscopy","id":"ITEM-1","issue":"6","issued":{"date-parts":[["2016","6"]]},"language":"eng","page":"2281-2287","publisher-place":"Germany","title":"Evaluating the impact of a minimally invasive pediatric surgeon on hospital  practice: comparison of two children's hospitals.","type":"article-journal","volume":"30"},"uris":["http://www.mendeley.com/documents/?uuid=4eb20305-d790-4a9b-a337-bbb0d74d5475"]}],"mendeley":{"formattedCitation":"[5]","plainTextFormattedCitation":"[5]","previouslyFormattedCitation":"[5]"},"properties":{"noteIndex":0},"schema":"https://github.com/citation-style-language/schema/raw/master/csl-citation.json"}</w:instrText>
      </w:r>
      <w:r w:rsidR="005615A6" w:rsidRPr="00B41B9E">
        <w:rPr>
          <w:rFonts w:eastAsia="Times New Roman" w:cstheme="minorHAnsi"/>
        </w:rPr>
        <w:fldChar w:fldCharType="separate"/>
      </w:r>
      <w:r w:rsidR="007F6702" w:rsidRPr="007F6702">
        <w:rPr>
          <w:rFonts w:eastAsia="Times New Roman" w:cstheme="minorHAnsi"/>
          <w:noProof/>
        </w:rPr>
        <w:t>[5]</w:t>
      </w:r>
      <w:r w:rsidR="005615A6" w:rsidRPr="00B41B9E">
        <w:rPr>
          <w:rFonts w:eastAsia="Times New Roman" w:cstheme="minorHAnsi"/>
        </w:rPr>
        <w:fldChar w:fldCharType="end"/>
      </w:r>
      <w:r w:rsidRPr="00B41B9E">
        <w:rPr>
          <w:rFonts w:eastAsia="Times New Roman" w:cstheme="minorHAnsi"/>
        </w:rPr>
        <w:t>, some procedures that are routinely performed on a day-case basis in adults  continue to mandate overnight hospital admission in children. Furthermore there is a wide variation in post procedure length of stay following many paediatric surgical procedures</w:t>
      </w:r>
      <w:r w:rsidR="005615A6" w:rsidRPr="00B41B9E">
        <w:rPr>
          <w:rFonts w:eastAsia="Times New Roman" w:cstheme="minorHAnsi"/>
        </w:rPr>
        <w:t xml:space="preserve"> </w:t>
      </w:r>
      <w:r w:rsidR="005615A6" w:rsidRPr="00B41B9E">
        <w:rPr>
          <w:rFonts w:eastAsia="Times New Roman" w:cstheme="minorHAnsi"/>
        </w:rPr>
        <w:fldChar w:fldCharType="begin" w:fldLock="1"/>
      </w:r>
      <w:r w:rsidR="008F0073">
        <w:rPr>
          <w:rFonts w:eastAsia="Times New Roman" w:cstheme="minorHAnsi"/>
        </w:rPr>
        <w:instrText>ADDIN CSL_CITATION {"citationItems":[{"id":"ITEM-1","itemData":{"DOI":"10.1016/j.jss.2018.05.054","ISSN":"0022-4804","abstract":"BackgroundThe objective of this study was to identify ranges of postoperative length of stay (LOS) for common pediatric procedures using a large multi-institutional database.","author":[{"dropping-particle":"","family":"Papandria","given":"Dominic","non-dropping-particle":"","parse-names":false,"suffix":""},{"dropping-particle":"V","family":"Sebastião","given":"Yuri","non-dropping-particle":"","parse-names":false,"suffix":""},{"dropping-particle":"","family":"Deans","given":"Katherine J","non-dropping-particle":"","parse-names":false,"suffix":""},{"dropping-particle":"","family":"Diefenbach","given":"Karen A","non-dropping-particle":"","parse-names":false,"suffix":""},{"dropping-particle":"","family":"Minneci","given":"Peter C","non-dropping-particle":"","parse-names":false,"suffix":""}],"container-title":"Journal of Surgical Research","id":"ITEM-1","issued":{"date-parts":[["2018","11","1"]]},"note":"doi: 10.1016/j.jss.2018.05.054","page":"186-194","publisher":"Elsevier","title":"Examining length of stay after commonly performed surgical procedures in ACS NSQIP pediatric","type":"article-journal","volume":"231"},"uris":["http://www.mendeley.com/documents/?uuid=f5290758-5f8c-4455-b262-e4d2f60b352f"]}],"mendeley":{"formattedCitation":"[6]","plainTextFormattedCitation":"[6]","previouslyFormattedCitation":"[6]"},"properties":{"noteIndex":0},"schema":"https://github.com/citation-style-language/schema/raw/master/csl-citation.json"}</w:instrText>
      </w:r>
      <w:r w:rsidR="005615A6" w:rsidRPr="00B41B9E">
        <w:rPr>
          <w:rFonts w:eastAsia="Times New Roman" w:cstheme="minorHAnsi"/>
        </w:rPr>
        <w:fldChar w:fldCharType="separate"/>
      </w:r>
      <w:r w:rsidR="007F6702" w:rsidRPr="007F6702">
        <w:rPr>
          <w:rFonts w:eastAsia="Times New Roman" w:cstheme="minorHAnsi"/>
          <w:noProof/>
        </w:rPr>
        <w:t>[6]</w:t>
      </w:r>
      <w:r w:rsidR="005615A6" w:rsidRPr="00B41B9E">
        <w:rPr>
          <w:rFonts w:eastAsia="Times New Roman" w:cstheme="minorHAnsi"/>
        </w:rPr>
        <w:fldChar w:fldCharType="end"/>
      </w:r>
      <w:r w:rsidRPr="00B41B9E">
        <w:rPr>
          <w:rFonts w:eastAsia="Times New Roman" w:cstheme="minorHAnsi"/>
        </w:rPr>
        <w:t xml:space="preserve">. Although day-case surgery can bring its own challenges, such as expectation of parents, single day travel for families to tertiary care hospitals, post-operative pain and nausea management </w:t>
      </w:r>
      <w:r w:rsidR="005615A6" w:rsidRPr="00B41B9E">
        <w:rPr>
          <w:rFonts w:eastAsia="Times New Roman" w:cstheme="minorHAnsi"/>
        </w:rPr>
        <w:fldChar w:fldCharType="begin" w:fldLock="1"/>
      </w:r>
      <w:r w:rsidR="008F0073">
        <w:rPr>
          <w:rFonts w:eastAsia="Times New Roman" w:cstheme="minorHAnsi"/>
        </w:rPr>
        <w:instrText>ADDIN CSL_CITATION {"citationItems":[{"id":"ITEM-1","itemData":{"DOI":"10.1111/j.1365-2044.2008.05438.x","abstract":"Audit of unplanned hospital admission provides information to guide quality improvement measures and is a crude indicator of quality of care in ambulatory surgery. Our objectives were to re-audit factors relating to this outcome. Previous audit conducted in this unit revealed an unplanned admission rate of 3.7%. Data were collected between April 2000-March 2004. Of 13 592 day surgery patients, 238 (1.8%) unplanned admissions occurred. The admission rate displayed a falling trend and represented a significant improvement over the previous audit (p &lt; 0.001). Unplanned admissions were most commonly caused by nausea ⁄ vomiting 23.5% (n = 56), postoperative bleeding 13.9% (n = 34), and unexpected extent ⁄ difficulty of procedure 11.8% (n = 28). Of all admissions, 18.5% (n = 44) were following orchidopexy, 16.4% (n = 39) following circumcision, and 12.6% (n = 30) following dental extraction. This audit shows that the unplanned admission rate is low and falling, and compares favourably with other units. Measures have been implemented targeting patients at high risk of admission. Day case surgery is common in paediatric practice and day surgery has many benefits for both patients and the health service as a whole. The benefits for paediatric patients, and their parents, are arguably even greater than for their adult counterparts. Unplanned admission to hospital for overnight stay is only a crude measure of the quality of care a patient receives within the Day Surgery Unit (DSU) as it is also a function of other variables such as patient selection and case mix. Inter unit comparisons of this value must therefore be made with caution. Effective audit has been identified as an important facet of day case anaesthesia [1]. Elucidating information regarding unplanned admission serves to highlight trends and areas for improvement within a given unit. Admission can result for many reasons and identifying common causes for, and specific groups of patients at high risk of, admission is an important step in improving service. Our objectives were to re-audit the incidence, trends, causes of and common operations resulting in unplanned admission. Further sub-analysis was undertaken for any specific operation which resulted in &gt; 20 admissions. A previous audit conducted at this unit spanning 1998 and 1999 showed an admission rate of 3.7% (181 admissions from 5162 cases). Methods Data was collected prospectively by DSU staff, supplemented where necessary by retrospective revi…","author":[{"dropping-particle":"","family":"Blacoe","given":"D A","non-dropping-particle":"","parse-names":false,"suffix":""},{"dropping-particle":"","family":"Cunning","given":"E","non-dropping-particle":"","parse-names":false,"suffix":""},{"dropping-particle":"","family":"Bell","given":"G","non-dropping-particle":"","parse-names":false,"suffix":""}],"container-title":"Anaesthesia","id":"ITEM-1","issued":{"date-parts":[["2000"]]},"page":"610-615","title":"Paediatric day-case surgery: an audit of unplanned hospital admission Royal Hospital for Sick Children, Glasgow*","type":"article-journal","volume":"63"},"uris":["http://www.mendeley.com/documents/?uuid=034a4310-21c0-3641-8d5b-f23ea0360bc2"]},{"id":"ITEM-2","itemData":{"ISSN":"0189-160X (Print)","PMID":"9473957","abstract":"Several children have day surgery under general anaesthesia and depend on adult  relatives for support and postoperative care at home. This prospective review examines the post operative problems encountered by 62 such children from the time of discharge from hospital to the first outpatient visit. The children were in the age range 3 months to 12 years. The commonest complications reported were:- Pain (18.9%), Cough/Sore throat (18.9%), Fever (16.2%), Restlessness (13.5%), Vomiting (12.2%), and Sleeplessness (6.7%). Eight patients reported more than three complications each. Day case surgery should not be regarded as \"Minor Surgery\" under Minor Anaesthesia\", rather, the concerns for safety and comfort of the patients should extend beyond the recovery room to the ward and home.","author":[{"dropping-particle":"","family":"Amanor-Boadu","given":"S D","non-dropping-particle":"","parse-names":false,"suffix":""},{"dropping-particle":"","family":"Soyannwo","given":"O A","non-dropping-particle":"","parse-names":false,"suffix":""}],"container-title":"West African journal of medicine","id":"ITEM-2","issue":"4","issued":{"date-parts":[["1997"]]},"language":"eng","page":"223-226","publisher-place":"Nigeria","title":"Complications following day case paediatric surgery.","type":"article-journal","volume":"16"},"uris":["http://www.mendeley.com/documents/?uuid=774bbdc1-4e8d-479e-949f-ec44b4eb5458"]}],"mendeley":{"formattedCitation":"[7,8]","plainTextFormattedCitation":"[7,8]","previouslyFormattedCitation":"[7,8]"},"properties":{"noteIndex":0},"schema":"https://github.com/citation-style-language/schema/raw/master/csl-citation.json"}</w:instrText>
      </w:r>
      <w:r w:rsidR="005615A6" w:rsidRPr="00B41B9E">
        <w:rPr>
          <w:rFonts w:eastAsia="Times New Roman" w:cstheme="minorHAnsi"/>
        </w:rPr>
        <w:fldChar w:fldCharType="separate"/>
      </w:r>
      <w:r w:rsidR="007F6702" w:rsidRPr="007F6702">
        <w:rPr>
          <w:rFonts w:eastAsia="Times New Roman" w:cstheme="minorHAnsi"/>
          <w:noProof/>
        </w:rPr>
        <w:t>[7,8]</w:t>
      </w:r>
      <w:r w:rsidR="005615A6" w:rsidRPr="00B41B9E">
        <w:rPr>
          <w:rFonts w:eastAsia="Times New Roman" w:cstheme="minorHAnsi"/>
        </w:rPr>
        <w:fldChar w:fldCharType="end"/>
      </w:r>
      <w:r w:rsidRPr="00B41B9E">
        <w:rPr>
          <w:rFonts w:eastAsia="Times New Roman" w:cstheme="minorHAnsi"/>
        </w:rPr>
        <w:t xml:space="preserve">, it also has many benefits including reduced hospital cost, reduced risk of hospital acquired infections, improved convenience for the patient’s family and improved inpatient bed availability </w:t>
      </w:r>
      <w:r w:rsidR="005615A6" w:rsidRPr="00B41B9E">
        <w:rPr>
          <w:rFonts w:eastAsia="Times New Roman" w:cstheme="minorHAnsi"/>
        </w:rPr>
        <w:fldChar w:fldCharType="begin" w:fldLock="1"/>
      </w:r>
      <w:r w:rsidR="008F0073">
        <w:rPr>
          <w:rFonts w:eastAsia="Times New Roman" w:cstheme="minorHAnsi"/>
        </w:rPr>
        <w:instrText>ADDIN CSL_CITATION {"citationItems":[{"id":"ITEM-1","itemData":{"DOI":"10.1016/j.mpsur.2013.01.010","ISSN":"0263-9319","abstract":"Since much of the general surgery of childhood consists of simple procedures with little trauma to the tissues it is no surprise that paediatric surgeons were at the forefront of the development of day-case surgery. The benefits for children were clear and day-case surgery spread to other specialities. Day-case surgery rates have increased fivefold in the UK in the past 20 years driven by improvements in surgical and anaesthetic techniques, patient expectation and NHS targets. The complexity of surgery and the degree of permissible co-morbidity have increased without a rise in complications. The European Association for Children in Hospital say that children should only be admitted if the care they require cannot be equally well provided at home or on a day-case surgery basis. Preoperative planning, discharge and postoperative support need to be robust. This article outlines day-case procedures in the general surgery of childhood.","author":[{"dropping-particle":"","family":"Upadhyaya","given":"Manasvi","non-dropping-particle":"","parse-names":false,"suffix":""},{"dropping-particle":"","family":"Lander","given":"Anthony","non-dropping-particle":"","parse-names":false,"suffix":""}],"container-title":"Surgery - Oxford International Edition","id":"ITEM-1","issue":"3","issued":{"date-parts":[["2013","3","1"]]},"note":"doi: 10.1016/j.mpsur.2013.01.010","page":"140-144","publisher":"Elsevier","title":"Day-case surgery in children","type":"article-journal","volume":"31"},"uris":["http://www.mendeley.com/documents/?uuid=faf009e3-2cde-4f77-998d-44cfbafc5c54"]}],"mendeley":{"formattedCitation":"[9]","plainTextFormattedCitation":"[9]","previouslyFormattedCitation":"[9]"},"properties":{"noteIndex":0},"schema":"https://github.com/citation-style-language/schema/raw/master/csl-citation.json"}</w:instrText>
      </w:r>
      <w:r w:rsidR="005615A6" w:rsidRPr="00B41B9E">
        <w:rPr>
          <w:rFonts w:eastAsia="Times New Roman" w:cstheme="minorHAnsi"/>
        </w:rPr>
        <w:fldChar w:fldCharType="separate"/>
      </w:r>
      <w:r w:rsidR="007F6702" w:rsidRPr="007F6702">
        <w:rPr>
          <w:rFonts w:eastAsia="Times New Roman" w:cstheme="minorHAnsi"/>
          <w:noProof/>
        </w:rPr>
        <w:t>[9]</w:t>
      </w:r>
      <w:r w:rsidR="005615A6" w:rsidRPr="00B41B9E">
        <w:rPr>
          <w:rFonts w:eastAsia="Times New Roman" w:cstheme="minorHAnsi"/>
        </w:rPr>
        <w:fldChar w:fldCharType="end"/>
      </w:r>
      <w:r w:rsidRPr="00B41B9E">
        <w:rPr>
          <w:rFonts w:eastAsia="Times New Roman" w:cstheme="minorHAnsi"/>
        </w:rPr>
        <w:t>.  </w:t>
      </w:r>
    </w:p>
    <w:p w14:paraId="26C7D6E8"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5B8C4378" w14:textId="795ADC1E"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At our institution we realised that with optimisation of parent and carer education, early post-operative feeding and enhanced surgical </w:t>
      </w:r>
      <w:proofErr w:type="gramStart"/>
      <w:r w:rsidRPr="00B41B9E">
        <w:rPr>
          <w:rFonts w:eastAsia="Times New Roman" w:cstheme="minorHAnsi"/>
        </w:rPr>
        <w:t>recovery,  day</w:t>
      </w:r>
      <w:proofErr w:type="gramEnd"/>
      <w:r w:rsidRPr="00B41B9E">
        <w:rPr>
          <w:rFonts w:eastAsia="Times New Roman" w:cstheme="minorHAnsi"/>
        </w:rPr>
        <w:t xml:space="preserve">-case surgery for gastrostomy insertion could be achievable and safe. Here we describe our early experience of </w:t>
      </w:r>
      <w:r w:rsidR="00F60D83">
        <w:rPr>
          <w:rFonts w:eastAsia="Times New Roman" w:cstheme="minorHAnsi"/>
        </w:rPr>
        <w:t>day case gastrostomy cases and</w:t>
      </w:r>
      <w:r w:rsidR="00657F9B">
        <w:rPr>
          <w:rFonts w:eastAsia="Times New Roman" w:cstheme="minorHAnsi"/>
        </w:rPr>
        <w:t xml:space="preserve"> aim to</w:t>
      </w:r>
      <w:r w:rsidR="00F60D83">
        <w:rPr>
          <w:rFonts w:eastAsia="Times New Roman" w:cstheme="minorHAnsi"/>
        </w:rPr>
        <w:t xml:space="preserve"> demonstrate its feasibility</w:t>
      </w:r>
      <w:r w:rsidR="00657F9B">
        <w:rPr>
          <w:rFonts w:eastAsia="Times New Roman" w:cstheme="minorHAnsi"/>
        </w:rPr>
        <w:t xml:space="preserve"> in paediatric patients</w:t>
      </w:r>
      <w:r w:rsidRPr="00B41B9E">
        <w:rPr>
          <w:rFonts w:eastAsia="Times New Roman" w:cstheme="minorHAnsi"/>
        </w:rPr>
        <w:t>.  </w:t>
      </w:r>
    </w:p>
    <w:p w14:paraId="2F052D7C"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74AEAE2F" w14:textId="70E50534" w:rsidR="000719F5" w:rsidRDefault="000719F5" w:rsidP="000719F5">
      <w:pPr>
        <w:textAlignment w:val="baseline"/>
        <w:rPr>
          <w:rFonts w:eastAsia="Times New Roman" w:cstheme="minorHAnsi"/>
        </w:rPr>
      </w:pPr>
      <w:r w:rsidRPr="00B41B9E">
        <w:rPr>
          <w:rFonts w:eastAsia="Times New Roman" w:cstheme="minorHAnsi"/>
          <w:b/>
          <w:bCs/>
          <w:u w:val="single"/>
        </w:rPr>
        <w:t>Methods </w:t>
      </w:r>
      <w:r w:rsidRPr="00B41B9E">
        <w:rPr>
          <w:rFonts w:eastAsia="Times New Roman" w:cstheme="minorHAnsi"/>
        </w:rPr>
        <w:t> </w:t>
      </w:r>
    </w:p>
    <w:p w14:paraId="1D059E91" w14:textId="77777777" w:rsidR="00B41B9E" w:rsidRPr="000719F5" w:rsidRDefault="00B41B9E" w:rsidP="000719F5">
      <w:pPr>
        <w:textAlignment w:val="baseline"/>
        <w:rPr>
          <w:rFonts w:eastAsia="Times New Roman" w:cstheme="minorHAnsi"/>
          <w:sz w:val="18"/>
          <w:szCs w:val="18"/>
        </w:rPr>
      </w:pPr>
    </w:p>
    <w:p w14:paraId="6C5D2D7E"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We performed a retrospective </w:t>
      </w:r>
      <w:proofErr w:type="spellStart"/>
      <w:r w:rsidRPr="00B41B9E">
        <w:rPr>
          <w:rFonts w:eastAsia="Times New Roman" w:cstheme="minorHAnsi"/>
        </w:rPr>
        <w:t>casenote</w:t>
      </w:r>
      <w:proofErr w:type="spellEnd"/>
      <w:r w:rsidRPr="00B41B9E">
        <w:rPr>
          <w:rFonts w:eastAsia="Times New Roman" w:cstheme="minorHAnsi"/>
        </w:rPr>
        <w:t xml:space="preserve"> review of all primary gastrostomy insertions at our institution over a </w:t>
      </w:r>
      <w:proofErr w:type="gramStart"/>
      <w:r w:rsidRPr="00B41B9E">
        <w:rPr>
          <w:rFonts w:eastAsia="Times New Roman" w:cstheme="minorHAnsi"/>
        </w:rPr>
        <w:t>6 year</w:t>
      </w:r>
      <w:proofErr w:type="gramEnd"/>
      <w:r w:rsidRPr="00B41B9E">
        <w:rPr>
          <w:rFonts w:eastAsia="Times New Roman" w:cstheme="minorHAnsi"/>
        </w:rPr>
        <w:t xml:space="preserve"> period (April 2018 – April 2024). Patient demographics and clinical data were retrieved including age, sex, co-morbidities, indication for gastrostomy, pre-operative nasogastric tube (NGT) use, operative technique and intra-operative or post-operative complications. Patient length of stay was calculated for each case through reviewing patient admission and discharge times. </w:t>
      </w:r>
    </w:p>
    <w:p w14:paraId="4DA734AE"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229CE56F" w14:textId="04597DA2"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From this we identified two groups of patients - true day-case gastrostomy (DCG) cases, defined as patients who were discharged on the same day as admission for the procedure, and a second group of patients whose total stay was </w:t>
      </w:r>
      <w:r w:rsidR="00A51007">
        <w:rPr>
          <w:rFonts w:eastAsia="Times New Roman" w:cstheme="minorHAnsi"/>
        </w:rPr>
        <w:t>&lt;</w:t>
      </w:r>
      <w:r w:rsidRPr="00B41B9E">
        <w:rPr>
          <w:rFonts w:eastAsia="Times New Roman" w:cstheme="minorHAnsi"/>
        </w:rPr>
        <w:t>24h but did spend one overnight stay in hospital. We report detail of these two groups descriptively. All data is presented as median (range) unless stated otherwise.  </w:t>
      </w:r>
    </w:p>
    <w:p w14:paraId="781A8E37"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2DCECB58" w14:textId="0EFF2733" w:rsidR="000719F5" w:rsidRPr="000719F5" w:rsidRDefault="000719F5" w:rsidP="000719F5">
      <w:pPr>
        <w:textAlignment w:val="baseline"/>
        <w:rPr>
          <w:rFonts w:eastAsia="Times New Roman" w:cstheme="minorHAnsi"/>
          <w:sz w:val="18"/>
          <w:szCs w:val="18"/>
        </w:rPr>
      </w:pPr>
      <w:r w:rsidRPr="00B41B9E">
        <w:rPr>
          <w:rFonts w:eastAsia="Times New Roman" w:cstheme="minorHAnsi"/>
        </w:rPr>
        <w:t>During the study period</w:t>
      </w:r>
      <w:r w:rsidR="007F6702">
        <w:rPr>
          <w:rFonts w:eastAsia="Times New Roman" w:cstheme="minorHAnsi"/>
        </w:rPr>
        <w:t>,</w:t>
      </w:r>
      <w:r w:rsidRPr="00B41B9E">
        <w:rPr>
          <w:rFonts w:eastAsia="Times New Roman" w:cstheme="minorHAnsi"/>
        </w:rPr>
        <w:t xml:space="preserve"> our department utilised an early feeding pathway for all gastrostomy insertions as previously reported </w:t>
      </w:r>
      <w:r w:rsidR="0085381A" w:rsidRPr="00B41B9E">
        <w:rPr>
          <w:rFonts w:eastAsia="Times New Roman" w:cstheme="minorHAnsi"/>
        </w:rPr>
        <w:fldChar w:fldCharType="begin" w:fldLock="1"/>
      </w:r>
      <w:r w:rsidR="008F0073">
        <w:rPr>
          <w:rFonts w:eastAsia="Times New Roman" w:cstheme="minorHAnsi"/>
        </w:rPr>
        <w:instrText>ADDIN CSL_CITATION {"citationItems":[{"id":"ITEM-1","itemData":{"DOI":"10.1016/j.jpedsurg.2020.01.024","ISSN":"0022-3468","abstract":"BackgroundThere is no consensus regarding optimal postoperative feeding strategy following gastrostomy insertion in children. The aim of this study was to determine whether implementing an early postoperative feeding pathway reduces length of stay (LOS) without increasing complications.","author":[{"dropping-particle":"","family":"Lam","given":"Christine","non-dropping-particle":"","parse-names":false,"suffix":""},{"dropping-particle":"","family":"Dick","given":"Karen","non-dropping-particle":"","parse-names":false,"suffix":""},{"dropping-particle":"","family":"Bethell","given":"George","non-dropping-particle":"","parse-names":false,"suffix":""},{"dropping-particle":"","family":"Stedman","given":"Francesca","non-dropping-particle":"","parse-names":false,"suffix":""},{"dropping-particle":"","family":"Keys","given":"S Charlie","non-dropping-particle":"","parse-names":false,"suffix":""},{"dropping-particle":"","family":"Ron","given":"Ori","non-dropping-particle":"","parse-names":false,"suffix":""},{"dropping-particle":"","family":"Kitteringham","given":"Lara","non-dropping-particle":"","parse-names":false,"suffix":""},{"dropping-particle":"","family":"Stanton","given":"Michael P","non-dropping-particle":"","parse-names":false,"suffix":""},{"dropping-particle":"","family":"Hall","given":"Nigel J","non-dropping-particle":"","parse-names":false,"suffix":""}],"container-title":"Journal of Pediatric Surgery","id":"ITEM-1","issue":"5","issued":{"date-parts":[["2020","5","1"]]},"note":"doi: 10.1016/j.jpedsurg.2020.01.024","page":"861-865","publisher":"Elsevier","title":"Implementing an early feeding pathway post gastrostomy insertion reduces inpatient stay","type":"article-journal","volume":"55"},"uris":["http://www.mendeley.com/documents/?uuid=fcd8b294-2108-418b-8a4c-f20c77399479"]}],"mendeley":{"formattedCitation":"[3]","plainTextFormattedCitation":"[3]","previouslyFormattedCitation":"[3]"},"properties":{"noteIndex":0},"schema":"https://github.com/citation-style-language/schema/raw/master/csl-citation.json"}</w:instrText>
      </w:r>
      <w:r w:rsidR="0085381A" w:rsidRPr="00B41B9E">
        <w:rPr>
          <w:rFonts w:eastAsia="Times New Roman" w:cstheme="minorHAnsi"/>
        </w:rPr>
        <w:fldChar w:fldCharType="separate"/>
      </w:r>
      <w:r w:rsidR="007F6702" w:rsidRPr="007F6702">
        <w:rPr>
          <w:rFonts w:eastAsia="Times New Roman" w:cstheme="minorHAnsi"/>
          <w:noProof/>
        </w:rPr>
        <w:t>[3]</w:t>
      </w:r>
      <w:r w:rsidR="0085381A" w:rsidRPr="00B41B9E">
        <w:rPr>
          <w:rFonts w:eastAsia="Times New Roman" w:cstheme="minorHAnsi"/>
        </w:rPr>
        <w:fldChar w:fldCharType="end"/>
      </w:r>
      <w:r w:rsidRPr="00B41B9E">
        <w:rPr>
          <w:rFonts w:eastAsia="Times New Roman" w:cstheme="minorHAnsi"/>
        </w:rPr>
        <w:t xml:space="preserve">. The surgical technique of insertion is not </w:t>
      </w:r>
      <w:r w:rsidRPr="00B41B9E">
        <w:rPr>
          <w:rFonts w:eastAsia="Times New Roman" w:cstheme="minorHAnsi"/>
        </w:rPr>
        <w:lastRenderedPageBreak/>
        <w:t xml:space="preserve">standardised </w:t>
      </w:r>
      <w:r w:rsidR="007F6702">
        <w:rPr>
          <w:rFonts w:eastAsia="Times New Roman" w:cstheme="minorHAnsi"/>
        </w:rPr>
        <w:t>but</w:t>
      </w:r>
      <w:r w:rsidRPr="00B41B9E">
        <w:rPr>
          <w:rFonts w:eastAsia="Times New Roman" w:cstheme="minorHAnsi"/>
        </w:rPr>
        <w:t xml:space="preserve"> is based on surgeon and patient preference alongside relevant surgical factors including weight, comorbidities and prior surgical history. The most frequently used surgical approaches are single-stage percutaneous rapid insertion of gastrostomy button (SPRING) or classic </w:t>
      </w:r>
      <w:r w:rsidR="007F6702">
        <w:rPr>
          <w:rFonts w:eastAsia="Times New Roman" w:cstheme="minorHAnsi"/>
        </w:rPr>
        <w:t>p</w:t>
      </w:r>
      <w:r w:rsidRPr="00B41B9E">
        <w:rPr>
          <w:rFonts w:eastAsia="Times New Roman" w:cstheme="minorHAnsi"/>
        </w:rPr>
        <w:t>ercutaneous endoscopic gastrostomy (PEG), both of which are performed with or without laparoscopic assistance. </w:t>
      </w:r>
    </w:p>
    <w:p w14:paraId="715BB014"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657EE98C"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b/>
          <w:bCs/>
        </w:rPr>
        <w:t>Pathway</w:t>
      </w:r>
      <w:r w:rsidRPr="00B41B9E">
        <w:rPr>
          <w:rFonts w:eastAsia="Times New Roman" w:cstheme="minorHAnsi"/>
        </w:rPr>
        <w:t> </w:t>
      </w:r>
    </w:p>
    <w:p w14:paraId="50D28A7B" w14:textId="2AAA2CE4"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Prior to the day of the operation, </w:t>
      </w:r>
      <w:proofErr w:type="gramStart"/>
      <w:r w:rsidRPr="00B41B9E">
        <w:rPr>
          <w:rFonts w:eastAsia="Times New Roman" w:cstheme="minorHAnsi"/>
        </w:rPr>
        <w:t>all of</w:t>
      </w:r>
      <w:proofErr w:type="gramEnd"/>
      <w:r w:rsidRPr="00B41B9E">
        <w:rPr>
          <w:rFonts w:eastAsia="Times New Roman" w:cstheme="minorHAnsi"/>
        </w:rPr>
        <w:t xml:space="preserve"> our patients’ parents or carers m</w:t>
      </w:r>
      <w:r w:rsidR="00A51007">
        <w:rPr>
          <w:rFonts w:eastAsia="Times New Roman" w:cstheme="minorHAnsi"/>
        </w:rPr>
        <w:t>e</w:t>
      </w:r>
      <w:r w:rsidRPr="00B41B9E">
        <w:rPr>
          <w:rFonts w:eastAsia="Times New Roman" w:cstheme="minorHAnsi"/>
        </w:rPr>
        <w:t>et with</w:t>
      </w:r>
      <w:r w:rsidR="00A51007">
        <w:rPr>
          <w:rFonts w:eastAsia="Times New Roman" w:cstheme="minorHAnsi"/>
        </w:rPr>
        <w:t xml:space="preserve"> either</w:t>
      </w:r>
      <w:r w:rsidRPr="00B41B9E">
        <w:rPr>
          <w:rFonts w:eastAsia="Times New Roman" w:cstheme="minorHAnsi"/>
        </w:rPr>
        <w:t xml:space="preserve"> a paediatric surgeon</w:t>
      </w:r>
      <w:r w:rsidR="00A51007">
        <w:rPr>
          <w:rFonts w:eastAsia="Times New Roman" w:cstheme="minorHAnsi"/>
        </w:rPr>
        <w:t xml:space="preserve"> or the Paediatric Surgical Nurse Specialist</w:t>
      </w:r>
      <w:r w:rsidRPr="00B41B9E">
        <w:rPr>
          <w:rFonts w:eastAsia="Times New Roman" w:cstheme="minorHAnsi"/>
        </w:rPr>
        <w:t xml:space="preserve">. </w:t>
      </w:r>
      <w:r w:rsidR="00A51007">
        <w:rPr>
          <w:rFonts w:eastAsia="Times New Roman" w:cstheme="minorHAnsi"/>
        </w:rPr>
        <w:t xml:space="preserve">During this clinic gastrostomy device options are </w:t>
      </w:r>
      <w:proofErr w:type="gramStart"/>
      <w:r w:rsidR="00A51007">
        <w:rPr>
          <w:rFonts w:eastAsia="Times New Roman" w:cstheme="minorHAnsi"/>
        </w:rPr>
        <w:t>discussed  and</w:t>
      </w:r>
      <w:proofErr w:type="gramEnd"/>
      <w:r w:rsidR="00A51007">
        <w:rPr>
          <w:rFonts w:eastAsia="Times New Roman" w:cstheme="minorHAnsi"/>
        </w:rPr>
        <w:t xml:space="preserve"> the patient is given access to both patient information leaflets and video information. </w:t>
      </w:r>
    </w:p>
    <w:p w14:paraId="38177CBB"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7818E8EC" w14:textId="69F5AC7E" w:rsidR="000719F5" w:rsidRPr="000719F5" w:rsidRDefault="000719F5" w:rsidP="000719F5">
      <w:pPr>
        <w:textAlignment w:val="baseline"/>
        <w:rPr>
          <w:rFonts w:eastAsia="Times New Roman" w:cstheme="minorHAnsi"/>
          <w:sz w:val="18"/>
          <w:szCs w:val="18"/>
        </w:rPr>
      </w:pPr>
      <w:r w:rsidRPr="00B41B9E">
        <w:rPr>
          <w:rFonts w:eastAsia="Times New Roman" w:cstheme="minorHAnsi"/>
        </w:rPr>
        <w:t>Patients are admitted on the day of surgery, transferred to the operating room and after the procedure are cared for on the inpatient paediatric surgery ward. All procedures are performed under general anaesthesia. During this post-operative period</w:t>
      </w:r>
      <w:r w:rsidR="007F6702">
        <w:rPr>
          <w:rFonts w:eastAsia="Times New Roman" w:cstheme="minorHAnsi"/>
        </w:rPr>
        <w:t>,</w:t>
      </w:r>
      <w:r w:rsidRPr="00B41B9E">
        <w:rPr>
          <w:rFonts w:eastAsia="Times New Roman" w:cstheme="minorHAnsi"/>
        </w:rPr>
        <w:t xml:space="preserve"> parents are provided with information on how to care for the gastrostomy tube and their competency in a range of gastrostomy related tasks</w:t>
      </w:r>
      <w:r w:rsidR="007F6702">
        <w:rPr>
          <w:rFonts w:eastAsia="Times New Roman" w:cstheme="minorHAnsi"/>
        </w:rPr>
        <w:t xml:space="preserve"> is</w:t>
      </w:r>
      <w:r w:rsidRPr="00B41B9E">
        <w:rPr>
          <w:rFonts w:eastAsia="Times New Roman" w:cstheme="minorHAnsi"/>
        </w:rPr>
        <w:t xml:space="preserve"> assessed (appendix </w:t>
      </w:r>
      <w:r w:rsidR="009E1036">
        <w:rPr>
          <w:rFonts w:eastAsia="Times New Roman" w:cstheme="minorHAnsi"/>
        </w:rPr>
        <w:t>1,2</w:t>
      </w:r>
      <w:r w:rsidRPr="00B41B9E">
        <w:rPr>
          <w:rFonts w:eastAsia="Times New Roman" w:cstheme="minorHAnsi"/>
        </w:rPr>
        <w:t>). Criteria for discharge are: 1. Tolerating two full volume feeds</w:t>
      </w:r>
      <w:r w:rsidR="00A51007">
        <w:rPr>
          <w:rFonts w:eastAsia="Times New Roman" w:cstheme="minorHAnsi"/>
        </w:rPr>
        <w:t>, if tube is required for nutritional support</w:t>
      </w:r>
      <w:r w:rsidRPr="00B41B9E">
        <w:rPr>
          <w:rFonts w:eastAsia="Times New Roman" w:cstheme="minorHAnsi"/>
        </w:rPr>
        <w:t xml:space="preserve"> 2. Patient has a normal temperature 3. </w:t>
      </w:r>
      <w:r w:rsidR="007F6702">
        <w:rPr>
          <w:rFonts w:eastAsia="Times New Roman" w:cstheme="minorHAnsi"/>
        </w:rPr>
        <w:t>A</w:t>
      </w:r>
      <w:r w:rsidRPr="00B41B9E">
        <w:rPr>
          <w:rFonts w:eastAsia="Times New Roman" w:cstheme="minorHAnsi"/>
        </w:rPr>
        <w:t xml:space="preserve"> consistent score of 0 on the child's PEWS assessment 4. Insertion site is dry and clean 5. Passing urine 6. Pain free or adequately controlled </w:t>
      </w:r>
      <w:r w:rsidR="00A51007">
        <w:rPr>
          <w:rFonts w:eastAsia="Times New Roman" w:cstheme="minorHAnsi"/>
        </w:rPr>
        <w:t xml:space="preserve">on </w:t>
      </w:r>
      <w:r w:rsidRPr="00B41B9E">
        <w:rPr>
          <w:rFonts w:eastAsia="Times New Roman" w:cstheme="minorHAnsi"/>
        </w:rPr>
        <w:t>appropriate analgesia 7</w:t>
      </w:r>
      <w:r w:rsidR="007F6702">
        <w:rPr>
          <w:rFonts w:eastAsia="Times New Roman" w:cstheme="minorHAnsi"/>
        </w:rPr>
        <w:t>.</w:t>
      </w:r>
      <w:r w:rsidRPr="00B41B9E">
        <w:rPr>
          <w:rFonts w:eastAsia="Times New Roman" w:cstheme="minorHAnsi"/>
        </w:rPr>
        <w:t xml:space="preserve"> </w:t>
      </w:r>
      <w:r w:rsidR="007F6702">
        <w:rPr>
          <w:rFonts w:eastAsia="Times New Roman" w:cstheme="minorHAnsi"/>
        </w:rPr>
        <w:t>A</w:t>
      </w:r>
      <w:r w:rsidRPr="00B41B9E">
        <w:rPr>
          <w:rFonts w:eastAsia="Times New Roman" w:cstheme="minorHAnsi"/>
        </w:rPr>
        <w:t>chieving tube competencies. Further education regarding tube use is continued by the community nursing team. Discharge information includes daytime and emergency contact details of the paediatric surgery team. </w:t>
      </w:r>
    </w:p>
    <w:p w14:paraId="0F42FEA1" w14:textId="5E334B85"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182F22CF"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b/>
          <w:bCs/>
          <w:u w:val="single"/>
        </w:rPr>
        <w:t>Results </w:t>
      </w:r>
      <w:r w:rsidRPr="00B41B9E">
        <w:rPr>
          <w:rFonts w:eastAsia="Times New Roman" w:cstheme="minorHAnsi"/>
        </w:rPr>
        <w:t> </w:t>
      </w:r>
    </w:p>
    <w:p w14:paraId="63571B24"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1FB919E8" w14:textId="3752BEDF"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During the study period 43</w:t>
      </w:r>
      <w:r w:rsidR="00A51007">
        <w:rPr>
          <w:rFonts w:eastAsia="Times New Roman" w:cstheme="minorHAnsi"/>
          <w:color w:val="000000" w:themeColor="text1"/>
        </w:rPr>
        <w:t>2</w:t>
      </w:r>
      <w:r w:rsidRPr="00B41B9E">
        <w:rPr>
          <w:rFonts w:eastAsia="Times New Roman" w:cstheme="minorHAnsi"/>
          <w:color w:val="000000" w:themeColor="text1"/>
        </w:rPr>
        <w:t xml:space="preserve"> new gastrostomies were inserted. Fifteen </w:t>
      </w:r>
      <w:r w:rsidR="007F6702">
        <w:rPr>
          <w:rFonts w:eastAsia="Times New Roman" w:cstheme="minorHAnsi"/>
          <w:color w:val="000000" w:themeColor="text1"/>
        </w:rPr>
        <w:t xml:space="preserve">(3.5%) </w:t>
      </w:r>
      <w:r w:rsidRPr="00B41B9E">
        <w:rPr>
          <w:rFonts w:eastAsia="Times New Roman" w:cstheme="minorHAnsi"/>
          <w:color w:val="000000" w:themeColor="text1"/>
        </w:rPr>
        <w:t>of these were DCG</w:t>
      </w:r>
      <w:r w:rsidR="007F6702">
        <w:rPr>
          <w:rFonts w:eastAsia="Times New Roman" w:cstheme="minorHAnsi"/>
          <w:color w:val="000000" w:themeColor="text1"/>
        </w:rPr>
        <w:t>. Median</w:t>
      </w:r>
      <w:r w:rsidRPr="00B41B9E">
        <w:rPr>
          <w:rFonts w:eastAsia="Times New Roman" w:cstheme="minorHAnsi"/>
          <w:color w:val="000000" w:themeColor="text1"/>
        </w:rPr>
        <w:t xml:space="preserve"> DCG patient age was 5.6 (0.8-16.9) years. Median length of stay for DCG was 12h (9-15h). Thirteen cases were performed on a morning operating list, two on an afternoon list. A further 9 cases had an overnight stay but were discharged within 24 hours of recovery from anaesthesia. </w:t>
      </w:r>
    </w:p>
    <w:p w14:paraId="1B23AD5A" w14:textId="77777777"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 </w:t>
      </w:r>
    </w:p>
    <w:p w14:paraId="42BE27E4" w14:textId="7C714ED2"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For the DCG group</w:t>
      </w:r>
      <w:r w:rsidR="007F6702">
        <w:rPr>
          <w:rFonts w:eastAsia="Times New Roman" w:cstheme="minorHAnsi"/>
          <w:color w:val="000000" w:themeColor="text1"/>
        </w:rPr>
        <w:t>,</w:t>
      </w:r>
      <w:r w:rsidRPr="00B41B9E">
        <w:rPr>
          <w:rFonts w:eastAsia="Times New Roman" w:cstheme="minorHAnsi"/>
          <w:color w:val="000000" w:themeColor="text1"/>
        </w:rPr>
        <w:t xml:space="preserve"> indication for gastrostomy insertion </w:t>
      </w:r>
      <w:proofErr w:type="gramStart"/>
      <w:r w:rsidRPr="00B41B9E">
        <w:rPr>
          <w:rFonts w:eastAsia="Times New Roman" w:cstheme="minorHAnsi"/>
          <w:color w:val="000000" w:themeColor="text1"/>
        </w:rPr>
        <w:t>was:</w:t>
      </w:r>
      <w:proofErr w:type="gramEnd"/>
      <w:r w:rsidRPr="00B41B9E">
        <w:rPr>
          <w:rFonts w:eastAsia="Times New Roman" w:cstheme="minorHAnsi"/>
          <w:color w:val="000000" w:themeColor="text1"/>
        </w:rPr>
        <w:t xml:space="preserve"> nutritional supplementation (n=9), unsafe swallow (n=3), medication administration (n=2), and prophylactically prior to proton radiotherapy (n=1).  </w:t>
      </w:r>
    </w:p>
    <w:p w14:paraId="140D39A3" w14:textId="77777777"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 </w:t>
      </w:r>
    </w:p>
    <w:p w14:paraId="5A68D397" w14:textId="7AC5EE72"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Gastrostomy technique was either: SPRING in 5 (4 laparoscopy assisted) or PEG in 10 (6 laparoscopy assisted).  </w:t>
      </w:r>
    </w:p>
    <w:p w14:paraId="028A3C99" w14:textId="77777777"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 </w:t>
      </w:r>
    </w:p>
    <w:p w14:paraId="0C436CE9" w14:textId="5A459369"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Prior to insertion, 6 of 15 DCG cases were established on NGT feeding, one patient had occasional use of an NGT but had a sibling that was already established on gastrostomy feeding.  The remaining 8 patients did</w:t>
      </w:r>
      <w:r w:rsidR="007F6702">
        <w:rPr>
          <w:rFonts w:eastAsia="Times New Roman" w:cstheme="minorHAnsi"/>
          <w:color w:val="000000" w:themeColor="text1"/>
        </w:rPr>
        <w:t xml:space="preserve"> not</w:t>
      </w:r>
      <w:r w:rsidRPr="00B41B9E">
        <w:rPr>
          <w:rFonts w:eastAsia="Times New Roman" w:cstheme="minorHAnsi"/>
          <w:color w:val="000000" w:themeColor="text1"/>
        </w:rPr>
        <w:t xml:space="preserve"> </w:t>
      </w:r>
      <w:r w:rsidRPr="002F1938">
        <w:rPr>
          <w:rFonts w:eastAsia="Times New Roman" w:cstheme="minorHAnsi"/>
          <w:color w:val="000000" w:themeColor="text1"/>
        </w:rPr>
        <w:t xml:space="preserve">have </w:t>
      </w:r>
      <w:r w:rsidR="00290CF8" w:rsidRPr="002F1938">
        <w:rPr>
          <w:rFonts w:eastAsia="Times New Roman" w:cstheme="minorHAnsi"/>
          <w:color w:val="000000" w:themeColor="text1"/>
        </w:rPr>
        <w:t xml:space="preserve">any </w:t>
      </w:r>
      <w:r w:rsidRPr="002F1938">
        <w:rPr>
          <w:rFonts w:eastAsia="Times New Roman" w:cstheme="minorHAnsi"/>
          <w:color w:val="000000" w:themeColor="text1"/>
        </w:rPr>
        <w:t>experience of tube feeding or regularly use an NGT for medications.  </w:t>
      </w:r>
    </w:p>
    <w:p w14:paraId="11B5EA63"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0AED83DE" w14:textId="2949A5B1"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For DCG cases</w:t>
      </w:r>
      <w:r w:rsidR="007F6702">
        <w:rPr>
          <w:rFonts w:eastAsia="Times New Roman" w:cstheme="minorHAnsi"/>
          <w:color w:val="000000" w:themeColor="text1"/>
        </w:rPr>
        <w:t>,</w:t>
      </w:r>
      <w:r w:rsidRPr="00B41B9E">
        <w:rPr>
          <w:rFonts w:eastAsia="Times New Roman" w:cstheme="minorHAnsi"/>
          <w:color w:val="000000" w:themeColor="text1"/>
        </w:rPr>
        <w:t xml:space="preserve"> there were no intra-operative </w:t>
      </w:r>
      <w:proofErr w:type="gramStart"/>
      <w:r w:rsidRPr="00B41B9E">
        <w:rPr>
          <w:rFonts w:eastAsia="Times New Roman" w:cstheme="minorHAnsi"/>
          <w:color w:val="000000" w:themeColor="text1"/>
        </w:rPr>
        <w:t>complications</w:t>
      </w:r>
      <w:proofErr w:type="gramEnd"/>
      <w:r w:rsidRPr="00B41B9E">
        <w:rPr>
          <w:rFonts w:eastAsia="Times New Roman" w:cstheme="minorHAnsi"/>
          <w:color w:val="000000" w:themeColor="text1"/>
        </w:rPr>
        <w:t xml:space="preserve"> and none had a return to theatre. Four of the 15 cases experienced a minor complication following DCG, two of which required admission to hospital. One was admitted with a gastrostomy site infection, </w:t>
      </w:r>
      <w:r w:rsidRPr="00B41B9E">
        <w:rPr>
          <w:rFonts w:eastAsia="Times New Roman" w:cstheme="minorHAnsi"/>
          <w:color w:val="000000" w:themeColor="text1"/>
        </w:rPr>
        <w:lastRenderedPageBreak/>
        <w:t xml:space="preserve">managed with intravenous antibiotic. A second patient was admitted to their local hospital with concern of bleeding from a laparoscopic port site, this was managed locally with vitamin K and oral antibiotics. One patient was reviewed by our specialist nursing team with parental concerns regarding the gastrostomy fixation site. One patient was reviewed in the community with a possible gastrostomy site infection and was managed at home with oral antibiotics. </w:t>
      </w:r>
      <w:r w:rsidR="00714D9D">
        <w:rPr>
          <w:rFonts w:eastAsia="Times New Roman" w:cstheme="minorHAnsi"/>
          <w:color w:val="000000" w:themeColor="text1"/>
        </w:rPr>
        <w:t xml:space="preserve">None of these events occurred within the first 24 hours following the procedure. </w:t>
      </w:r>
    </w:p>
    <w:p w14:paraId="54E890CF" w14:textId="77777777"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 </w:t>
      </w:r>
    </w:p>
    <w:p w14:paraId="79083D62" w14:textId="1EF73CB9"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 xml:space="preserve">For the nine cases whose stay was less than 24h but required one overnight night stay, patient age was median 2.7 (0.7-13.3) years and total length of stay was 23h (18-24h). Indication for gastrostomy </w:t>
      </w:r>
      <w:proofErr w:type="gramStart"/>
      <w:r w:rsidRPr="00B41B9E">
        <w:rPr>
          <w:rFonts w:eastAsia="Times New Roman" w:cstheme="minorHAnsi"/>
          <w:color w:val="000000" w:themeColor="text1"/>
        </w:rPr>
        <w:t>was:</w:t>
      </w:r>
      <w:proofErr w:type="gramEnd"/>
      <w:r w:rsidRPr="00B41B9E">
        <w:rPr>
          <w:rFonts w:eastAsia="Times New Roman" w:cstheme="minorHAnsi"/>
          <w:color w:val="000000" w:themeColor="text1"/>
        </w:rPr>
        <w:t xml:space="preserve"> nutritional supplementation (n=8) and unsafe swallow (n=1). Operative technique </w:t>
      </w:r>
      <w:proofErr w:type="gramStart"/>
      <w:r w:rsidRPr="00B41B9E">
        <w:rPr>
          <w:rFonts w:eastAsia="Times New Roman" w:cstheme="minorHAnsi"/>
          <w:color w:val="000000" w:themeColor="text1"/>
        </w:rPr>
        <w:t>was:</w:t>
      </w:r>
      <w:proofErr w:type="gramEnd"/>
      <w:r w:rsidR="007F6702">
        <w:rPr>
          <w:rFonts w:eastAsia="Times New Roman" w:cstheme="minorHAnsi"/>
          <w:color w:val="000000" w:themeColor="text1"/>
        </w:rPr>
        <w:t xml:space="preserve"> l</w:t>
      </w:r>
      <w:r w:rsidRPr="00B41B9E">
        <w:rPr>
          <w:rFonts w:eastAsia="Times New Roman" w:cstheme="minorHAnsi"/>
          <w:color w:val="000000" w:themeColor="text1"/>
        </w:rPr>
        <w:t>aparoscopy assisted SPRING (n=3) or PEG (n=6, 1 laparoscopy assisted), one case had an old gastrostomy site closed at the same time as a new PEG inserted. Eight of these nine</w:t>
      </w:r>
      <w:r w:rsidRPr="00B41B9E">
        <w:rPr>
          <w:rFonts w:eastAsia="Times New Roman" w:cstheme="minorHAnsi"/>
          <w:strike/>
          <w:color w:val="000000" w:themeColor="text1"/>
        </w:rPr>
        <w:t xml:space="preserve"> </w:t>
      </w:r>
      <w:r w:rsidRPr="00B41B9E">
        <w:rPr>
          <w:rFonts w:eastAsia="Times New Roman" w:cstheme="minorHAnsi"/>
          <w:color w:val="000000" w:themeColor="text1"/>
        </w:rPr>
        <w:t>cases were performed on an afternoon operating list.  </w:t>
      </w:r>
    </w:p>
    <w:p w14:paraId="4C27DB93" w14:textId="77777777" w:rsidR="000719F5" w:rsidRPr="000719F5" w:rsidRDefault="000719F5" w:rsidP="000719F5">
      <w:pPr>
        <w:textAlignment w:val="baseline"/>
        <w:rPr>
          <w:rFonts w:eastAsia="Times New Roman" w:cstheme="minorHAnsi"/>
          <w:color w:val="000000" w:themeColor="text1"/>
          <w:sz w:val="18"/>
          <w:szCs w:val="18"/>
        </w:rPr>
      </w:pPr>
      <w:r w:rsidRPr="00B41B9E">
        <w:rPr>
          <w:rFonts w:eastAsia="Times New Roman" w:cstheme="minorHAnsi"/>
          <w:color w:val="000000" w:themeColor="text1"/>
        </w:rPr>
        <w:t> </w:t>
      </w:r>
    </w:p>
    <w:p w14:paraId="301F83B9"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b/>
          <w:bCs/>
          <w:u w:val="single"/>
        </w:rPr>
        <w:t>Discussion </w:t>
      </w:r>
      <w:r w:rsidRPr="00B41B9E">
        <w:rPr>
          <w:rFonts w:eastAsia="Times New Roman" w:cstheme="minorHAnsi"/>
        </w:rPr>
        <w:t> </w:t>
      </w:r>
    </w:p>
    <w:p w14:paraId="440D2A92"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4826FF20" w14:textId="02EF9978"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Here we report our initial experience of DCG, aiming to highlight that in selected cases it is achievable and safe. Although we report </w:t>
      </w:r>
      <w:r w:rsidRPr="00B41B9E">
        <w:rPr>
          <w:rFonts w:eastAsia="Times New Roman" w:cstheme="minorHAnsi"/>
          <w:color w:val="000000" w:themeColor="text1"/>
        </w:rPr>
        <w:t xml:space="preserve">only 15 cases </w:t>
      </w:r>
      <w:r w:rsidRPr="00B41B9E">
        <w:rPr>
          <w:rFonts w:eastAsia="Times New Roman" w:cstheme="minorHAnsi"/>
        </w:rPr>
        <w:t xml:space="preserve">performed as a day-case we believe this represents significant progress in the peri-operative care of this common paediatric surgical procedure. By reviewing our experience of these </w:t>
      </w:r>
      <w:proofErr w:type="gramStart"/>
      <w:r w:rsidRPr="00B41B9E">
        <w:rPr>
          <w:rFonts w:eastAsia="Times New Roman" w:cstheme="minorHAnsi"/>
        </w:rPr>
        <w:t>children</w:t>
      </w:r>
      <w:proofErr w:type="gramEnd"/>
      <w:r w:rsidRPr="00B41B9E">
        <w:rPr>
          <w:rFonts w:eastAsia="Times New Roman" w:cstheme="minorHAnsi"/>
        </w:rPr>
        <w:t xml:space="preserve"> we have identified opportunities to refine our pathways aiming to offer this capability to more families in the future</w:t>
      </w:r>
      <w:r w:rsidR="00F60D83">
        <w:rPr>
          <w:rFonts w:eastAsia="Times New Roman" w:cstheme="minorHAnsi"/>
        </w:rPr>
        <w:t>, whilst recognising this will not be suitable for many patients and their family or carers</w:t>
      </w:r>
      <w:r w:rsidRPr="00B41B9E">
        <w:rPr>
          <w:rFonts w:eastAsia="Times New Roman" w:cstheme="minorHAnsi"/>
        </w:rPr>
        <w:t>. By sharing our</w:t>
      </w:r>
      <w:r w:rsidR="00657F9B">
        <w:rPr>
          <w:rFonts w:eastAsia="Times New Roman" w:cstheme="minorHAnsi"/>
        </w:rPr>
        <w:t xml:space="preserve"> early</w:t>
      </w:r>
      <w:r w:rsidRPr="00B41B9E">
        <w:rPr>
          <w:rFonts w:eastAsia="Times New Roman" w:cstheme="minorHAnsi"/>
        </w:rPr>
        <w:t xml:space="preserve"> experience, we hope that others may feel similarly inspired to push the boundaries in relation to planned post-operative length of stay. </w:t>
      </w:r>
    </w:p>
    <w:p w14:paraId="1B165188"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42429F41" w14:textId="128BF320" w:rsidR="000719F5" w:rsidRPr="0054194A" w:rsidRDefault="000719F5" w:rsidP="000719F5">
      <w:pPr>
        <w:textAlignment w:val="baseline"/>
        <w:rPr>
          <w:rFonts w:eastAsia="Times New Roman" w:cstheme="minorHAnsi"/>
          <w:strike/>
          <w:sz w:val="18"/>
          <w:szCs w:val="18"/>
        </w:rPr>
      </w:pPr>
      <w:r w:rsidRPr="00B41B9E">
        <w:rPr>
          <w:rFonts w:eastAsia="Times New Roman" w:cstheme="minorHAnsi"/>
        </w:rPr>
        <w:t xml:space="preserve">Our achievement of undertaking gastrostomy insertion as a day-case procedure is a natural progression of our intention over some years to refine post-operative care pathways. Having previously demonstrated that an early post-operative feeding pathway is safe and is associated with reduced post-operative length of stay compared to a non-protocolised approach </w:t>
      </w:r>
      <w:r w:rsidRPr="00B41B9E">
        <w:rPr>
          <w:rFonts w:eastAsia="Times New Roman" w:cstheme="minorHAnsi"/>
        </w:rPr>
        <w:fldChar w:fldCharType="begin" w:fldLock="1"/>
      </w:r>
      <w:r w:rsidR="008F0073">
        <w:rPr>
          <w:rFonts w:eastAsia="Times New Roman" w:cstheme="minorHAnsi"/>
        </w:rPr>
        <w:instrText>ADDIN CSL_CITATION {"citationItems":[{"id":"ITEM-1","itemData":{"DOI":"10.1016/j.jpedsurg.2020.01.024","ISSN":"0022-3468","abstract":"BackgroundThere is no consensus regarding optimal postoperative feeding strategy following gastrostomy insertion in children. The aim of this study was to determine whether implementing an early postoperative feeding pathway reduces length of stay (LOS) without increasing complications.","author":[{"dropping-particle":"","family":"Lam","given":"Christine","non-dropping-particle":"","parse-names":false,"suffix":""},{"dropping-particle":"","family":"Dick","given":"Karen","non-dropping-particle":"","parse-names":false,"suffix":""},{"dropping-particle":"","family":"Bethell","given":"George","non-dropping-particle":"","parse-names":false,"suffix":""},{"dropping-particle":"","family":"Stedman","given":"Francesca","non-dropping-particle":"","parse-names":false,"suffix":""},{"dropping-particle":"","family":"Keys","given":"S Charlie","non-dropping-particle":"","parse-names":false,"suffix":""},{"dropping-particle":"","family":"Ron","given":"Ori","non-dropping-particle":"","parse-names":false,"suffix":""},{"dropping-particle":"","family":"Kitteringham","given":"Lara","non-dropping-particle":"","parse-names":false,"suffix":""},{"dropping-particle":"","family":"Stanton","given":"Michael P","non-dropping-particle":"","parse-names":false,"suffix":""},{"dropping-particle":"","family":"Hall","given":"Nigel J","non-dropping-particle":"","parse-names":false,"suffix":""}],"container-title":"Journal of Pediatric Surgery","id":"ITEM-1","issue":"5","issued":{"date-parts":[["2020","5","1"]]},"note":"doi: 10.1016/j.jpedsurg.2020.01.024","page":"861-865","publisher":"Elsevier","title":"Implementing an early feeding pathway post gastrostomy insertion reduces inpatient stay","type":"article-journal","volume":"55"},"uris":["http://www.mendeley.com/documents/?uuid=fcd8b294-2108-418b-8a4c-f20c77399479"]}],"mendeley":{"formattedCitation":"[3]","plainTextFormattedCitation":"[3]","previouslyFormattedCitation":"[3]"},"properties":{"noteIndex":0},"schema":"https://github.com/citation-style-language/schema/raw/master/csl-citation.json"}</w:instrText>
      </w:r>
      <w:r w:rsidRPr="00B41B9E">
        <w:rPr>
          <w:rFonts w:eastAsia="Times New Roman" w:cstheme="minorHAnsi"/>
        </w:rPr>
        <w:fldChar w:fldCharType="separate"/>
      </w:r>
      <w:r w:rsidR="007F6702" w:rsidRPr="007F6702">
        <w:rPr>
          <w:rFonts w:eastAsia="Times New Roman" w:cstheme="minorHAnsi"/>
          <w:noProof/>
        </w:rPr>
        <w:t>[3]</w:t>
      </w:r>
      <w:r w:rsidRPr="00B41B9E">
        <w:rPr>
          <w:rFonts w:eastAsia="Times New Roman" w:cstheme="minorHAnsi"/>
        </w:rPr>
        <w:fldChar w:fldCharType="end"/>
      </w:r>
      <w:r w:rsidRPr="00B41B9E">
        <w:rPr>
          <w:rFonts w:eastAsia="Times New Roman" w:cstheme="minorHAnsi"/>
        </w:rPr>
        <w:t>, we found that some children were ready for discharge the same day and discharged them. Although at present the total number who were completed as a DCG is relatively small, we believe it</w:t>
      </w:r>
      <w:r w:rsidR="002A63FE">
        <w:rPr>
          <w:rFonts w:eastAsia="Times New Roman" w:cstheme="minorHAnsi"/>
        </w:rPr>
        <w:t xml:space="preserve"> </w:t>
      </w:r>
      <w:r w:rsidR="002A63FE" w:rsidRPr="002A63FE">
        <w:rPr>
          <w:rFonts w:eastAsia="Times New Roman" w:cstheme="minorHAnsi"/>
          <w:b/>
        </w:rPr>
        <w:t>is</w:t>
      </w:r>
      <w:r w:rsidRPr="002A63FE">
        <w:rPr>
          <w:rFonts w:eastAsia="Times New Roman" w:cstheme="minorHAnsi"/>
          <w:b/>
        </w:rPr>
        <w:t xml:space="preserve"> </w:t>
      </w:r>
      <w:r w:rsidRPr="00B41B9E">
        <w:rPr>
          <w:rFonts w:eastAsia="Times New Roman" w:cstheme="minorHAnsi"/>
        </w:rPr>
        <w:t>likely that this group could be expanded relatively easily in the futur</w:t>
      </w:r>
      <w:r w:rsidRPr="002F1938">
        <w:rPr>
          <w:rFonts w:eastAsia="Times New Roman" w:cstheme="minorHAnsi"/>
        </w:rPr>
        <w:t>e</w:t>
      </w:r>
      <w:r w:rsidR="00CB6F65" w:rsidRPr="002F1938">
        <w:rPr>
          <w:rFonts w:eastAsia="Times New Roman" w:cstheme="minorHAnsi"/>
        </w:rPr>
        <w:t xml:space="preserve"> having demonstrated its feasibility here</w:t>
      </w:r>
      <w:r w:rsidRPr="002F1938">
        <w:rPr>
          <w:rFonts w:eastAsia="Times New Roman" w:cstheme="minorHAnsi"/>
        </w:rPr>
        <w:t xml:space="preserve">.  To support this </w:t>
      </w:r>
      <w:proofErr w:type="gramStart"/>
      <w:r w:rsidRPr="002F1938">
        <w:rPr>
          <w:rFonts w:eastAsia="Times New Roman" w:cstheme="minorHAnsi"/>
        </w:rPr>
        <w:t>belief</w:t>
      </w:r>
      <w:proofErr w:type="gramEnd"/>
      <w:r w:rsidRPr="002F1938">
        <w:rPr>
          <w:rFonts w:eastAsia="Times New Roman" w:cstheme="minorHAnsi"/>
        </w:rPr>
        <w:t xml:space="preserve"> we have already identified a similar number of cases in whom length of stay </w:t>
      </w:r>
      <w:r w:rsidRPr="00B41B9E">
        <w:rPr>
          <w:rFonts w:eastAsia="Times New Roman" w:cstheme="minorHAnsi"/>
        </w:rPr>
        <w:t>was less than 24 hours. It is likely that with minimal modifications to our processes these could also be achieved as a day-case.</w:t>
      </w:r>
    </w:p>
    <w:p w14:paraId="10E45A15"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23608676" w14:textId="1DFADBE8" w:rsidR="000719F5" w:rsidRPr="008B1C24" w:rsidRDefault="000719F5" w:rsidP="000719F5">
      <w:pPr>
        <w:textAlignment w:val="baseline"/>
        <w:rPr>
          <w:rFonts w:eastAsia="Times New Roman" w:cstheme="minorHAnsi"/>
          <w:strike/>
          <w:sz w:val="18"/>
          <w:szCs w:val="18"/>
        </w:rPr>
      </w:pPr>
      <w:r w:rsidRPr="00B41B9E">
        <w:rPr>
          <w:rFonts w:eastAsia="Times New Roman" w:cstheme="minorHAnsi"/>
        </w:rPr>
        <w:t>An analysis to determine if there are patient factors that can predict suitability for DCG is beyond the scope of this report but will form part of our</w:t>
      </w:r>
      <w:r w:rsidR="007F6702">
        <w:rPr>
          <w:rFonts w:eastAsia="Times New Roman" w:cstheme="minorHAnsi"/>
        </w:rPr>
        <w:t xml:space="preserve"> future</w:t>
      </w:r>
      <w:r w:rsidRPr="00B41B9E">
        <w:rPr>
          <w:rFonts w:eastAsia="Times New Roman" w:cstheme="minorHAnsi"/>
        </w:rPr>
        <w:t xml:space="preserve"> investigations. Clearly there are a range of non-modifiable patient factors why an overnight stay may be required such as comorbidities and anaesthetic considerations but there may be specific patient groups who can be identified as highly suitable (or not) for DCG.</w:t>
      </w:r>
    </w:p>
    <w:p w14:paraId="7E6C0ED9" w14:textId="68757A1B"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3F9A3CEA" w14:textId="77777777" w:rsidR="0037292D" w:rsidRDefault="000719F5" w:rsidP="000719F5">
      <w:pPr>
        <w:textAlignment w:val="baseline"/>
        <w:rPr>
          <w:rFonts w:eastAsia="Times New Roman" w:cstheme="minorHAnsi"/>
        </w:rPr>
      </w:pPr>
      <w:r w:rsidRPr="00B41B9E">
        <w:rPr>
          <w:rFonts w:eastAsia="Times New Roman" w:cstheme="minorHAnsi"/>
        </w:rPr>
        <w:t>Enhanced recovery after surgery (ERAS) pathways are widely used in many surgical disciplines but relatively under-utilised in paediatric surgery</w:t>
      </w:r>
      <w:r w:rsidR="0085381A" w:rsidRPr="00B41B9E">
        <w:rPr>
          <w:rFonts w:eastAsia="Times New Roman" w:cstheme="minorHAnsi"/>
        </w:rPr>
        <w:t xml:space="preserve"> </w:t>
      </w:r>
      <w:r w:rsidRPr="00B41B9E">
        <w:rPr>
          <w:rFonts w:eastAsia="Times New Roman" w:cstheme="minorHAnsi"/>
        </w:rPr>
        <w:fldChar w:fldCharType="begin" w:fldLock="1"/>
      </w:r>
      <w:r w:rsidR="008F0073">
        <w:rPr>
          <w:rFonts w:eastAsia="Times New Roman" w:cstheme="minorHAnsi"/>
        </w:rPr>
        <w:instrText>ADDIN CSL_CITATION {"citationItems":[{"id":"ITEM-1","itemData":{"DOI":"10.1093/bjsopen/zrac147","abstract":"Background: Enhanced recovery after surgery (ERAS) is a multimodal approach that streamlines patient processes before, during, and after surgery. The goal is to reduce surgical stress responses and improve outcomes; however, the impact of ERAS programmes in paediatric abdominal surgery remains unclear. The authors aimed to review the effectiveness of ERAS on clinical outcomes in children undergoing abdominal surgery.","author":[{"dropping-particle":"","family":"Hidayah","given":"Bte Azahari","non-dropping-particle":"","parse-names":false,"suffix":""},{"dropping-particle":"","family":"Toh","given":"Zheng An","non-dropping-particle":"","parse-names":false,"suffix":""},{"dropping-particle":"","family":"Cheng","given":"Ling Jie","non-dropping-particle":"","parse-names":false,"suffix":""},{"dropping-particle":"","family":"Syahzarin","given":"Bin Daud","non-dropping-particle":"","parse-names":false,"suffix":""},{"dropping-particle":"","family":"Zhu","given":"Yi","non-dropping-particle":"","parse-names":false,"suffix":""},{"dropping-particle":"","family":"Pölkki","given":"Tarja","non-dropping-particle":"","parse-names":false,"suffix":""},{"dropping-particle":"","family":"He","given":"Honggu","non-dropping-particle":"","parse-names":false,"suffix":""},{"dropping-particle":"","family":"Mali","given":"Vidyadhar Padmakar","non-dropping-particle":"","parse-names":false,"suffix":""}],"container-title":"BJS Open","id":"ITEM-1","issued":{"date-parts":[["2021"]]},"page":"147","title":"Systematic Review Enhanced recovery after surgery in children undergoing abdominal surgery: meta-analysis","type":"article-journal","volume":"2023"},"uris":["http://www.mendeley.com/documents/?uuid=43c24674-eb16-3926-8b59-7977887f1ebe"]},{"id":"ITEM-2","itemData":{"DOI":"10.21037/tgh-20-188","ISSN":"2415-1289 (Electronic)","PMID":"34423167","abstract":"Enhanced recovery after surgery (ERAS) is a systematic approach to optimize a  patient's health and improve clinical outcomes, increase patient satisfaction and decrease healthcare costs. Enhanced recovery protocols have been used across a variety of surgical disciplines and patient groups to improve patient safety and reduce hospital length of stay without increasing return visits to the system. ERAS involves the application of clinical decision making throughout the patient experience with interventions in the preoperative, perioperative and post operative phases. In addition, ERAS is multidisciplinary and the success of an ERAS program is dependent on the effort and integration of stakeholders across the healthcare system. Utilization of ERAS systems have grown across the global adult surgical community over the last three decades and adoption in pediatric surgery has only occurred recently. Hospitals in both adult and pediatric surgery have found that implementation of ERAS systems lead to a shortened length of stay and reduced complications without increasing patient returns to the system. Importantly patients who have surgery within an ERAS program experience less pain, less opioid utilization, a quicker recovery and increased satisfaction. In pediatric surgery ERAS has successfully been employed across most all disciplines from congenital cardiac surgery to colorectal surgery. The evolution of ERAS continues as a paradigm of quality and safety.","author":[{"dropping-particle":"","family":"Rafeeqi","given":"Talha","non-dropping-particle":"","parse-names":false,"suffix":""},{"dropping-particle":"","family":"Pearson","given":"Erik G","non-dropping-particle":"","parse-names":false,"suffix":""}],"container-title":"Translational gastroenterology and hepatology","id":"ITEM-2","issued":{"date-parts":[["2021"]]},"language":"eng","page":"46","publisher-place":"China","title":"Enhanced recovery after surgery in children.","type":"article-journal","volume":"6"},"uris":["http://www.mendeley.com/documents/?uuid=3b15b8fc-4b2a-49d6-bf80-d2a198125688"]}],"mendeley":{"formattedCitation":"[10,11]","plainTextFormattedCitation":"[10,11]","previouslyFormattedCitation":"[10,11]"},"properties":{"noteIndex":0},"schema":"https://github.com/citation-style-language/schema/raw/master/csl-citation.json"}</w:instrText>
      </w:r>
      <w:r w:rsidRPr="00B41B9E">
        <w:rPr>
          <w:rFonts w:eastAsia="Times New Roman" w:cstheme="minorHAnsi"/>
        </w:rPr>
        <w:fldChar w:fldCharType="separate"/>
      </w:r>
      <w:r w:rsidR="007F6702" w:rsidRPr="007F6702">
        <w:rPr>
          <w:rFonts w:eastAsia="Times New Roman" w:cstheme="minorHAnsi"/>
          <w:noProof/>
        </w:rPr>
        <w:t>[10,11]</w:t>
      </w:r>
      <w:r w:rsidRPr="00B41B9E">
        <w:rPr>
          <w:rFonts w:eastAsia="Times New Roman" w:cstheme="minorHAnsi"/>
        </w:rPr>
        <w:fldChar w:fldCharType="end"/>
      </w:r>
      <w:r w:rsidRPr="00B41B9E">
        <w:rPr>
          <w:rFonts w:eastAsia="Times New Roman" w:cstheme="minorHAnsi"/>
        </w:rPr>
        <w:t xml:space="preserve">. We acknowledge that many of the principles we have employed are </w:t>
      </w:r>
      <w:proofErr w:type="gramStart"/>
      <w:r w:rsidRPr="00B41B9E">
        <w:rPr>
          <w:rFonts w:eastAsia="Times New Roman" w:cstheme="minorHAnsi"/>
        </w:rPr>
        <w:t>similar to</w:t>
      </w:r>
      <w:proofErr w:type="gramEnd"/>
      <w:r w:rsidRPr="00B41B9E">
        <w:rPr>
          <w:rFonts w:eastAsia="Times New Roman" w:cstheme="minorHAnsi"/>
        </w:rPr>
        <w:t xml:space="preserve"> those commonly found in ERAS </w:t>
      </w:r>
      <w:r w:rsidRPr="00B41B9E">
        <w:rPr>
          <w:rFonts w:eastAsia="Times New Roman" w:cstheme="minorHAnsi"/>
        </w:rPr>
        <w:lastRenderedPageBreak/>
        <w:t xml:space="preserve">pathways and note that others have recently reported the establishment of an ERAS pathway in children undergoing gastrostomy insertion. </w:t>
      </w:r>
      <w:r w:rsidR="007F6702">
        <w:rPr>
          <w:rFonts w:eastAsia="Times New Roman" w:cstheme="minorHAnsi"/>
        </w:rPr>
        <w:t>T</w:t>
      </w:r>
      <w:r w:rsidRPr="00B41B9E">
        <w:rPr>
          <w:rFonts w:eastAsia="Times New Roman" w:cstheme="minorHAnsi"/>
        </w:rPr>
        <w:t>hey have not reported any cases performed as a day-case. Future work will involve adapting our pathway further to ensure all aspects of ERAS pathways (pre-operative, intraoperative and post-operative) are incorporated and adequately optimised</w:t>
      </w:r>
      <w:r w:rsidR="0085381A" w:rsidRPr="00B41B9E">
        <w:rPr>
          <w:rFonts w:eastAsia="Times New Roman" w:cstheme="minorHAnsi"/>
        </w:rPr>
        <w:t xml:space="preserve"> </w:t>
      </w:r>
      <w:r w:rsidR="0085381A" w:rsidRPr="00B41B9E">
        <w:rPr>
          <w:rFonts w:eastAsia="Times New Roman" w:cstheme="minorHAnsi"/>
        </w:rPr>
        <w:fldChar w:fldCharType="begin" w:fldLock="1"/>
      </w:r>
      <w:r w:rsidR="008F0073">
        <w:rPr>
          <w:rFonts w:eastAsia="Times New Roman" w:cstheme="minorHAnsi"/>
        </w:rPr>
        <w:instrText>ADDIN CSL_CITATION {"citationItems":[{"id":"ITEM-1","itemData":{"DOI":"10.1093/bjsopen/zrac147","abstract":"Background: Enhanced recovery after surgery (ERAS) is a multimodal approach that streamlines patient processes before, during, and after surgery. The goal is to reduce surgical stress responses and improve outcomes; however, the impact of ERAS programmes in paediatric abdominal surgery remains unclear. The authors aimed to review the effectiveness of ERAS on clinical outcomes in children undergoing abdominal surgery.","author":[{"dropping-particle":"","family":"Hidayah","given":"Bte Azahari","non-dropping-particle":"","parse-names":false,"suffix":""},{"dropping-particle":"","family":"Toh","given":"Zheng An","non-dropping-particle":"","parse-names":false,"suffix":""},{"dropping-particle":"","family":"Cheng","given":"Ling Jie","non-dropping-particle":"","parse-names":false,"suffix":""},{"dropping-particle":"","family":"Syahzarin","given":"Bin Daud","non-dropping-particle":"","parse-names":false,"suffix":""},{"dropping-particle":"","family":"Zhu","given":"Yi","non-dropping-particle":"","parse-names":false,"suffix":""},{"dropping-particle":"","family":"Pölkki","given":"Tarja","non-dropping-particle":"","parse-names":false,"suffix":""},{"dropping-particle":"","family":"He","given":"Honggu","non-dropping-particle":"","parse-names":false,"suffix":""},{"dropping-particle":"","family":"Mali","given":"Vidyadhar Padmakar","non-dropping-particle":"","parse-names":false,"suffix":""}],"container-title":"BJS Open","id":"ITEM-1","issued":{"date-parts":[["2021"]]},"page":"147","title":"Systematic Review Enhanced recovery after surgery in children undergoing abdominal surgery: meta-analysis","type":"article-journal","volume":"2023"},"uris":["http://www.mendeley.com/documents/?uuid=43c24674-eb16-3926-8b59-7977887f1ebe"]}],"mendeley":{"formattedCitation":"[10]","plainTextFormattedCitation":"[10]","previouslyFormattedCitation":"[10]"},"properties":{"noteIndex":0},"schema":"https://github.com/citation-style-language/schema/raw/master/csl-citation.json"}</w:instrText>
      </w:r>
      <w:r w:rsidR="0085381A" w:rsidRPr="00B41B9E">
        <w:rPr>
          <w:rFonts w:eastAsia="Times New Roman" w:cstheme="minorHAnsi"/>
        </w:rPr>
        <w:fldChar w:fldCharType="separate"/>
      </w:r>
      <w:r w:rsidR="007F6702" w:rsidRPr="007F6702">
        <w:rPr>
          <w:rFonts w:eastAsia="Times New Roman" w:cstheme="minorHAnsi"/>
          <w:noProof/>
        </w:rPr>
        <w:t>[10]</w:t>
      </w:r>
      <w:r w:rsidR="0085381A" w:rsidRPr="00B41B9E">
        <w:rPr>
          <w:rFonts w:eastAsia="Times New Roman" w:cstheme="minorHAnsi"/>
        </w:rPr>
        <w:fldChar w:fldCharType="end"/>
      </w:r>
      <w:r w:rsidRPr="00B41B9E">
        <w:rPr>
          <w:rFonts w:eastAsia="Times New Roman" w:cstheme="minorHAnsi"/>
        </w:rPr>
        <w:t>.</w:t>
      </w:r>
    </w:p>
    <w:p w14:paraId="2C5FE15D" w14:textId="77777777" w:rsidR="0037292D" w:rsidRDefault="0037292D" w:rsidP="000719F5">
      <w:pPr>
        <w:textAlignment w:val="baseline"/>
        <w:rPr>
          <w:rFonts w:eastAsia="Times New Roman" w:cstheme="minorHAnsi"/>
        </w:rPr>
      </w:pPr>
    </w:p>
    <w:p w14:paraId="6749DE4D" w14:textId="7D2B27A9" w:rsidR="00BE3492" w:rsidRDefault="009D0531" w:rsidP="00AE25CA">
      <w:pPr>
        <w:textAlignment w:val="baseline"/>
        <w:rPr>
          <w:rFonts w:eastAsia="Times New Roman" w:cstheme="minorHAnsi"/>
        </w:rPr>
      </w:pPr>
      <w:r w:rsidRPr="00ED7142">
        <w:rPr>
          <w:rFonts w:eastAsia="Times New Roman" w:cstheme="minorHAnsi"/>
          <w:bCs/>
        </w:rPr>
        <w:t xml:space="preserve">We also note </w:t>
      </w:r>
      <w:r w:rsidR="008F036F" w:rsidRPr="00ED7142">
        <w:rPr>
          <w:rFonts w:eastAsia="Times New Roman" w:cstheme="minorHAnsi"/>
          <w:bCs/>
        </w:rPr>
        <w:t>previous reports focussed on</w:t>
      </w:r>
      <w:r w:rsidR="008F036F">
        <w:rPr>
          <w:rFonts w:eastAsia="Times New Roman" w:cstheme="minorHAnsi"/>
        </w:rPr>
        <w:t xml:space="preserve"> </w:t>
      </w:r>
      <w:r w:rsidR="000719F5" w:rsidRPr="00B41B9E">
        <w:rPr>
          <w:rFonts w:eastAsia="Times New Roman" w:cstheme="minorHAnsi"/>
        </w:rPr>
        <w:t>early post-operative feeding</w:t>
      </w:r>
      <w:r w:rsidR="00657F9B">
        <w:rPr>
          <w:rFonts w:eastAsia="Times New Roman" w:cstheme="minorHAnsi"/>
        </w:rPr>
        <w:t>,</w:t>
      </w:r>
      <w:r w:rsidR="000719F5" w:rsidRPr="00B41B9E">
        <w:rPr>
          <w:rFonts w:eastAsia="Times New Roman" w:cstheme="minorHAnsi"/>
        </w:rPr>
        <w:t xml:space="preserve"> </w:t>
      </w:r>
      <w:r w:rsidR="008F036F" w:rsidRPr="00ED7142">
        <w:rPr>
          <w:rFonts w:eastAsia="Times New Roman" w:cstheme="minorHAnsi"/>
          <w:bCs/>
        </w:rPr>
        <w:t>in whom</w:t>
      </w:r>
      <w:r w:rsidR="008B1C24">
        <w:rPr>
          <w:rFonts w:eastAsia="Times New Roman" w:cstheme="minorHAnsi"/>
        </w:rPr>
        <w:t xml:space="preserve"> </w:t>
      </w:r>
      <w:r w:rsidR="000719F5" w:rsidRPr="00B41B9E">
        <w:rPr>
          <w:rFonts w:eastAsia="Times New Roman" w:cstheme="minorHAnsi"/>
        </w:rPr>
        <w:t xml:space="preserve">inpatient stay </w:t>
      </w:r>
      <w:r w:rsidR="008F036F" w:rsidRPr="00ED7142">
        <w:rPr>
          <w:rFonts w:eastAsia="Times New Roman" w:cstheme="minorHAnsi"/>
          <w:bCs/>
        </w:rPr>
        <w:t>of</w:t>
      </w:r>
      <w:r w:rsidR="008B1C24">
        <w:rPr>
          <w:rFonts w:eastAsia="Times New Roman" w:cstheme="minorHAnsi"/>
        </w:rPr>
        <w:t xml:space="preserve"> </w:t>
      </w:r>
      <w:r w:rsidR="000719F5" w:rsidRPr="00B41B9E">
        <w:rPr>
          <w:rFonts w:eastAsia="Times New Roman" w:cstheme="minorHAnsi"/>
        </w:rPr>
        <w:t xml:space="preserve">less than 24 hours </w:t>
      </w:r>
      <w:r w:rsidR="008F036F">
        <w:rPr>
          <w:rFonts w:eastAsia="Times New Roman" w:cstheme="minorHAnsi"/>
        </w:rPr>
        <w:t xml:space="preserve">was achieved </w:t>
      </w:r>
      <w:r w:rsidR="000719F5" w:rsidRPr="00B41B9E">
        <w:rPr>
          <w:rFonts w:eastAsia="Times New Roman" w:cstheme="minorHAnsi"/>
        </w:rPr>
        <w:t>in some cases</w:t>
      </w:r>
      <w:r w:rsidR="00657F9B">
        <w:rPr>
          <w:rFonts w:eastAsia="Times New Roman" w:cstheme="minorHAnsi"/>
        </w:rPr>
        <w:t xml:space="preserve"> with </w:t>
      </w:r>
      <w:r w:rsidR="00657F9B" w:rsidRPr="00B41B9E">
        <w:rPr>
          <w:rFonts w:eastAsia="Times New Roman" w:cstheme="minorHAnsi"/>
        </w:rPr>
        <w:t xml:space="preserve">similar positive outcomes </w:t>
      </w:r>
      <w:r w:rsidR="00657F9B">
        <w:rPr>
          <w:rFonts w:eastAsia="Times New Roman" w:cstheme="minorHAnsi"/>
        </w:rPr>
        <w:t>to our cohort</w:t>
      </w:r>
      <w:r w:rsidR="000719F5" w:rsidRPr="00B41B9E">
        <w:rPr>
          <w:rFonts w:eastAsia="Times New Roman" w:cstheme="minorHAnsi"/>
        </w:rPr>
        <w:t> </w:t>
      </w:r>
      <w:r w:rsidR="0085381A" w:rsidRPr="00B41B9E">
        <w:rPr>
          <w:rFonts w:eastAsia="Times New Roman" w:cstheme="minorHAnsi"/>
        </w:rPr>
        <w:fldChar w:fldCharType="begin" w:fldLock="1"/>
      </w:r>
      <w:r w:rsidR="008F0073">
        <w:rPr>
          <w:rFonts w:eastAsia="Times New Roman" w:cstheme="minorHAnsi"/>
        </w:rPr>
        <w:instrText>ADDIN CSL_CITATION {"citationItems":[{"id":"ITEM-1","itemData":{"DOI":"10.1007/s00383-019-04472-7","ISSN":"1437-9813","abstract":"Gastrostomy tube placement is one of the most commonly performed pediatric surgical procedures and discharge is possible as early as the first postoperative day with early initiation of feeds postoperatively. We examined a national database to determine hospital length of stay (LOS) after elective laparoscopic gastrostomy in children.","author":[{"dropping-particle":"","family":"Williams","given":"Kibileri","non-dropping-particle":"","parse-names":false,"suffix":""},{"dropping-particle":"","family":"Baumann","given":"Lauren","non-dropping-particle":"","parse-names":false,"suffix":""},{"dropping-particle":"","family":"Abdullah","given":"Fizan","non-dropping-particle":"","parse-names":false,"suffix":""},{"dropping-particle":"","family":"Hendrickson","given":"Richard J","non-dropping-particle":"","parse-names":false,"suffix":""},{"dropping-particle":"","family":"Oyetunji","given":"Tolulope A","non-dropping-particle":"","parse-names":false,"suffix":""}],"container-title":"Pediatric Surgery International","id":"ITEM-1","issue":"6","issued":{"date-parts":[["2019"]]},"page":"643-647","title":"Elective laparoscopic gastrostomy in children: potential for an enhanced recovery protocol","type":"article-journal","volume":"35"},"uris":["http://www.mendeley.com/documents/?uuid=a60699f5-78df-43f1-91a4-4df5c98291fd"]},{"id":"ITEM-2","itemData":{"DOI":"10.1016/j.jpedsurg.2018.04.035","ISSN":"1531-5037","PMID":"29848452","abstract":"BACKGROUND Laparoscopic gastrostomy (LG) is a common surgical procedure. However, there is little consensus on a postoperative feeding regimen. With prior nasogastric feed tolerance, there should be no delay in resumption of feeds and subsequent discharge to home. This is a report on a Feeding Advancement and Simultaneous Transition-Discharge (FAST-Discharge) pathway, which to date has not been reported in the literature. METHODS A retrospective review of patients who underwent LG was performed from May 2010 to May 2015. All were outpatients who were on prior nasogastric feeds. The postoperative order set initiates feeds in 4 h to advance to goal as tolerated. Time to initial feed and goal nutrition, and overall length of stay (LOS) were evaluated. RESULTS 122 patients were identified with 55% percent being male and with a median operative age of 15 months (IQR 8-27). 53% were started on bolus feeds. Initial feeds were started at a median of 2.8 h (IQR: 1.8-4.7). The median duration to goal nutrition was 6 h (IQR: 0-14). 97% reached full feeds within 24 h with no complications related to feed advancement. Median LOS was 26 h (IQR: 24-30). CONCLUSION An expedited pathway with early feeding and discharge is possible after laparoscopic gastrostomy tube placement with a low risk for adverse events. LEVEL OF EVIDENCE Level III.","author":[{"dropping-particle":"","family":"Hendrickson","given":"Richard J","non-dropping-particle":"","parse-names":false,"suffix":""},{"dropping-particle":"","family":"Poola","given":"Ashwini S","non-dropping-particle":"","parse-names":false,"suffix":""},{"dropping-particle":"","family":"Sujka","given":"Joseph A","non-dropping-particle":"","parse-names":false,"suffix":""},{"dropping-particle":"","family":"Weaver","given":"Katrina L","non-dropping-particle":"","parse-names":false,"suffix":""},{"dropping-particle":"","family":"Rentea","given":"Rebecca M","non-dropping-particle":"","parse-names":false,"suffix":""},{"dropping-particle":"","family":"St Peter","given":"Shawn D","non-dropping-particle":"","parse-names":false,"suffix":""},{"dropping-particle":"","family":"Oyetunji","given":"Tolulope A","non-dropping-particle":"","parse-names":false,"suffix":""}],"container-title":"Journal of pediatric surgery","id":"ITEM-2","issue":"11","issued":{"date-parts":[["2018","11","1"]]},"page":"2326-2330","publisher":"Elsevier","title":"Feeding Advancement and Simultaneous Transition to Discharge (FASTDischarge) after laparoscopic gastrostomy.","type":"article-journal","volume":"53"},"uris":["http://www.mendeley.com/documents/?uuid=32b4cc08-2572-30c2-8ce0-0c53f1d4d26a"]},{"id":"ITEM-3","itemData":{"DOI":"10.1016/j.jpedsurg.2017.06.015","ISSN":"1531-5037","PMID":"28689884","abstract":"PURPOSE Early initiation of feedings after gastrostomy tube (GT) placement may reduce associated hospital costs, but many surgeons fear complications could result from earlier feeds. We hypothesized that, irrespective of placement method, starting feedings within the first 6h following GT placement would not result in a greater number of post-operative complications. METHODS An IRB-approved retrospective review of all GTs placed between January 2012 and December 2014 at three academic institutions was undertaken. Data was stratified by placement method and whether the patient was initiated on feeds at less than 6h or after. Baseline demographics, operative variables, post-operative management and complications were analyzed. Descriptive statistics were used and P-values &lt;0.05 were considered significant. RESULTS One thousand and forty-eight patients met inclusion criteria. GTs were inserted endoscopically (48.9%), laparoscopically (44.9%), or via an open approach (6.2%). Demographics were similar in early and late fed groups. When controlling for method of placement, those patients who were fed within the first 6h after gastrostomy placement had shorter lengths of stay compared to those fed greater than 6h after placement (P&lt;0.05). Total post-operative outcomes were equivalent between feeding groups for all methods of placement (laparoscopic (P=0.87), PEG (P=0.94), open (P=0.81)). CONCLUSIONS Early initiation of feedings following GT placement was not associated with an increase in complications. Feeds initiated earlier may shorten hospital stays and decrease overall hospital costs. TYPE OF STUDY Multi-institutional retrospective. LEVEL OF EVIDENCE III.","author":[{"dropping-particle":"","family":"Jensen","given":"Amanda R","non-dropping-particle":"","parse-names":false,"suffix":""},{"dropping-particle":"","family":"Renaud","given":"Elizabeth","non-dropping-particle":"","parse-names":false,"suffix":""},{"dropping-particle":"","family":"Drucker","given":"Natalie A","non-dropping-particle":"","parse-names":false,"suffix":""},{"dropping-particle":"","family":"Staszak","given":"Jessica","non-dropping-particle":"","parse-names":false,"suffix":""},{"dropping-particle":"","family":"Senay","given":"Ayla","non-dropping-particle":"","parse-names":false,"suffix":""},{"dropping-particle":"","family":"Umesh","given":"Vaibhavi","non-dropping-particle":"","parse-names":false,"suffix":""},{"dropping-particle":"","family":"Williams","given":"Regan F","non-dropping-particle":"","parse-names":false,"suffix":""},{"dropping-particle":"","family":"Markel","given":"Troy A","non-dropping-particle":"","parse-names":false,"suffix":""}],"container-title":"Journal of pediatric surgery","id":"ITEM-3","issue":"4","issued":{"date-parts":[["2018","4","1"]]},"page":"656-660","publisher":"Elsevier","title":"Why wait: early enteral feeding after pediatric gastrostomy tube placement.","type":"article-journal","volume":"53"},"uris":["http://www.mendeley.com/documents/?uuid=ab27c52c-8f83-3348-ac35-6a7141907fd4"]},{"id":"ITEM-4","itemData":{"DOI":"10.1089/lap.2017.0295","ISSN":"1092-6429","abstract":"Abstract Purpose: The objective of this study was to evaluate postoperative feeding regimens after laparoscopic gastrostomy placement and their effect on outcomes. Methods: Children 18 years of age or younger, who underwent laparoscopic gastrostomy placement at a tertiary-care academic children's hospital between January 2014 and October 2016, were reviewed. Data collected included patient characteristics, postoperative feeding regimen, and clinical outcomes. Statistical analysis was performed using Chi-square, Fisher's exact, and Wilcoxon Rank-Sum tests. Results: We reviewed the medical records of 270 children that underwent laparoscopic gastrostomy placement by 15 pediatric surgeons. The median age was 2.7 (interquartile range [IQR], 0.7?9.6) years, and 50% (n?=?136) were male. The median body mass index was 15.5 (IQR, 14.0?17.5). Complications within 90 days included: granulation tissue (34%), leakage (17%), dislodgement (14%), and skin and soft-tissue infection (9%). Two patients returned to the operating room, 1 for a dislodged tube, and another for a volvulus within 10 days of gastrostomy tube placement. A subset analysis of outpatients that underwent elective laparoscopic gastrostomy placement showed variation in the day of initial feeds (0?2 postoperative days [POD]), method of initial feeds (continuous versus bolus) and choice of initial feeds (Pedialyte versus formula/breast milk). There was a significant difference in median hospital length of stay for early versus late initiation of feeds (POD 0: 2.1 days versus POD ≥1: 3.1 days, P?&lt;?.01) without a difference in postoperative complications. Conclusion: There is substantial variation in the postoperative feeding regimen after laparoscopic gastrostomy. Initiation of early postoperative feeds may result in decreased length of stay without increasing complications.","author":[{"dropping-particle":"","family":"Rosenfeld","given":"Eric H","non-dropping-particle":"","parse-names":false,"suffix":""},{"dropping-particle":"","family":"Mazzolini","given":"Kirea","non-dropping-particle":"","parse-names":false,"suffix":""},{"dropping-particle":"","family":"DeMello","given":"Annalyn","non-dropping-particle":"","parse-names":false,"suffix":""},{"dropping-particle":"","family":"Yu","given":"Yangyang R","non-dropping-particle":"","parse-names":false,"suffix":""},{"dropping-particle":"","family":"Lee","given":"Timothy C","non-dropping-particle":"","parse-names":false,"suffix":""},{"dropping-particle":"","family":"Naik-Mathuria","given":"Bindi","non-dropping-particle":"","parse-names":false,"suffix":""},{"dropping-particle":"V","family":"Mazziotti","given":"Mark","non-dropping-particle":"","parse-names":false,"suffix":""},{"dropping-particle":"","family":"Shah","given":"Sohail R","non-dropping-particle":"","parse-names":false,"suffix":""}],"container-title":"Journal of Laparoendoscopic &amp; Advanced Surgical Techniques","id":"ITEM-4","issue":"11","issued":{"date-parts":[["2017","10","2"]]},"note":"doi: 10.1089/lap.2017.0295","page":"1203-1208","publisher":"Mary Ann Liebert, Inc., publishers","title":"Postoperative Feeding Regimens After Laparoscopic Gastrostomy Placement","type":"article-journal","volume":"27"},"uris":["http://www.mendeley.com/documents/?uuid=d2be57d0-af07-4f58-8dea-e09fb9f30a0f"]}],"mendeley":{"formattedCitation":"[1,2,12,13]","plainTextFormattedCitation":"[1,2,12,13]","previouslyFormattedCitation":"[1,2,12,13]"},"properties":{"noteIndex":0},"schema":"https://github.com/citation-style-language/schema/raw/master/csl-citation.json"}</w:instrText>
      </w:r>
      <w:r w:rsidR="0085381A" w:rsidRPr="00B41B9E">
        <w:rPr>
          <w:rFonts w:eastAsia="Times New Roman" w:cstheme="minorHAnsi"/>
        </w:rPr>
        <w:fldChar w:fldCharType="separate"/>
      </w:r>
      <w:r w:rsidR="007F6702" w:rsidRPr="007F6702">
        <w:rPr>
          <w:rFonts w:eastAsia="Times New Roman" w:cstheme="minorHAnsi"/>
          <w:noProof/>
        </w:rPr>
        <w:t>[1,2,12,13]</w:t>
      </w:r>
      <w:r w:rsidR="0085381A" w:rsidRPr="00B41B9E">
        <w:rPr>
          <w:rFonts w:eastAsia="Times New Roman" w:cstheme="minorHAnsi"/>
        </w:rPr>
        <w:fldChar w:fldCharType="end"/>
      </w:r>
      <w:r w:rsidR="000719F5" w:rsidRPr="00B41B9E">
        <w:rPr>
          <w:rFonts w:eastAsia="Times New Roman" w:cstheme="minorHAnsi"/>
        </w:rPr>
        <w:t xml:space="preserve">. As far as we are aware there is just one previous report true DCG. </w:t>
      </w:r>
      <w:proofErr w:type="spellStart"/>
      <w:r w:rsidR="000719F5" w:rsidRPr="00B41B9E">
        <w:rPr>
          <w:rFonts w:eastAsia="Times New Roman" w:cstheme="minorHAnsi"/>
        </w:rPr>
        <w:t>Dekonenko</w:t>
      </w:r>
      <w:proofErr w:type="spellEnd"/>
      <w:r w:rsidR="000719F5" w:rsidRPr="00B41B9E">
        <w:rPr>
          <w:rFonts w:eastAsia="Times New Roman" w:cstheme="minorHAnsi"/>
        </w:rPr>
        <w:t xml:space="preserve"> et al reported their early experience with DCG, patients were eligible if they met three criteria: 1) family were comfortable with DCG and patient had no major co-morbidities,</w:t>
      </w:r>
      <w:r w:rsidR="00B41B9E">
        <w:rPr>
          <w:rFonts w:eastAsia="Times New Roman" w:cstheme="minorHAnsi"/>
        </w:rPr>
        <w:t xml:space="preserve"> </w:t>
      </w:r>
      <w:r w:rsidR="000719F5" w:rsidRPr="00B41B9E">
        <w:rPr>
          <w:rFonts w:eastAsia="Times New Roman" w:cstheme="minorHAnsi"/>
        </w:rPr>
        <w:t>2) gastrostomy was the only procedure and 3) the family had pre-operative education. With this they achieved a DCG rate of 82% (n=51) from 62 eligible patients</w:t>
      </w:r>
      <w:r w:rsidR="00B41B9E" w:rsidRPr="00B41B9E">
        <w:rPr>
          <w:rFonts w:eastAsia="Times New Roman" w:cstheme="minorHAnsi"/>
        </w:rPr>
        <w:fldChar w:fldCharType="begin" w:fldLock="1"/>
      </w:r>
      <w:r w:rsidR="00B41B9E">
        <w:rPr>
          <w:rFonts w:eastAsia="Times New Roman" w:cstheme="minorHAnsi"/>
        </w:rPr>
        <w:instrText>ADDIN CSL_CITATION {"citationItems":[{"id":"ITEM-1","itemData":{"DOI":"10.1016/j.jpedsurg.2020.09.044","ISSN":"1531-5037 (Electronic)","PMID":"33109344","abstract":"BACKGROUND: Laparoscopic gastrostomy is a common procedure in children. We  developed a same-day discharge (SDD) protocol for laparoscopic button gastrostomy. METHODS: We performed a prospective observational study of children undergoing laparoscopic button gastrostomy and were eligible for SDD from August 2017-September 2019. Patients were eligible if: 1) the family was comfortable with eliminating overnight admission and were suitable candidates for outpatient surgery (absence of major co-morbidities), 2) they were not undergoing additional procedures requiring admission, and 3) they received pre-operative education. RESULTS: Sixty-two patients who underwent laparoscopic button gastrostomy were eligible for SDD. The median age was 2.1 years [IQR 0.9-4.1], and the median weight was 10.5 kg [IQR 7.6-15.5]. Forty-one (66%) were previously nasogastric fed. The median operative time was 22 min [IQR 16-29]. The median time to initiation of feeds was 4.4 h [IQR 3.4-5.5]. Fifty-one (82%) were discharged the same day with a median length of stay of 9 h [IQR 7-10]. Eleven were admitted, most commonly for further teaching. Eleven SDD patients were seen in the emergency room &lt;30 days at a median 5 days [IQR 3-12] post-operatively, primarily for mechanical complications. CONCLUSION: Same-day discharge following laparoscopic gastrostomy is safe and feasible for select pediatric patients who undergo pre-operative education. The SDD pathway results in a low admission rate and relatively low ER visits. TYPE OF STUDY: Prospective Observational Study. LEVEL OF EVIDENCE: Level II.","author":[{"dropping-particle":"","family":"Dekonenko","given":"Charlene","non-dropping-particle":"","parse-names":false,"suffix":""},{"dropping-particle":"","family":"Svetanoff","given":"Wendy Jo","non-dropping-particle":"","parse-names":false,"suffix":""},{"dropping-particle":"","family":"Osuchukwu","given":"Obiyo O","non-dropping-particle":"","parse-names":false,"suffix":""},{"dropping-particle":"","family":"Pierce","given":"Amy L","non-dropping-particle":"","parse-names":false,"suffix":""},{"dropping-particle":"","family":"Orrick","given":"Beth A","non-dropping-particle":"","parse-names":false,"suffix":""},{"dropping-particle":"","family":"Sayers","given":"Kristen L","non-dropping-particle":"","parse-names":false,"suffix":""},{"dropping-particle":"","family":"Rentea","given":"Rebecca M","non-dropping-particle":"","parse-names":false,"suffix":""},{"dropping-particle":"","family":"Aguayo","given":"Pablo","non-dropping-particle":"","parse-names":false,"suffix":""},{"dropping-particle":"","family":"Fraser","given":"Jason D","non-dropping-particle":"","parse-names":false,"suffix":""},{"dropping-particle":"","family":"Juang","given":"David","non-dropping-particle":"","parse-names":false,"suffix":""},{"dropping-particle":"","family":"Hendrickson","given":"Richard J","non-dropping-particle":"","parse-names":false,"suffix":""},{"dropping-particle":"","family":"Snyder","given":"Charles L","non-dropping-particle":"","parse-names":false,"suffix":""},{"dropping-particle":"","family":"Andrews","given":"Walter S","non-dropping-particle":"","parse-names":false,"suffix":""},{"dropping-particle":"","family":"St Peter","given":"Shawn D","non-dropping-particle":"","parse-names":false,"suffix":""},{"dropping-particle":"","family":"Oyetunji","given":"Tolulope A","non-dropping-particle":"","parse-names":false,"suffix":""}],"container-title":"Journal of pediatric surgery","id":"ITEM-1","issue":"1","issued":{"date-parts":[["2021","1"]]},"language":"eng","page":"26-29","publisher-place":"United States","title":"Same-day discharge for pediatric laparoscopic gastrostomy.","type":"article-journal","volume":"56"},"uris":["http://www.mendeley.com/documents/?uuid=59b1aed5-5e74-47f3-9c0e-e511ac936e9b"]}],"mendeley":{"formattedCitation":"[14]","plainTextFormattedCitation":"[14]","previouslyFormattedCitation":"[14]"},"properties":{"noteIndex":0},"schema":"https://github.com/citation-style-language/schema/raw/master/csl-citation.json"}</w:instrText>
      </w:r>
      <w:r w:rsidR="00B41B9E" w:rsidRPr="00B41B9E">
        <w:rPr>
          <w:rFonts w:eastAsia="Times New Roman" w:cstheme="minorHAnsi"/>
        </w:rPr>
        <w:fldChar w:fldCharType="separate"/>
      </w:r>
      <w:r w:rsidR="00B41B9E" w:rsidRPr="00B41B9E">
        <w:rPr>
          <w:rFonts w:eastAsia="Times New Roman" w:cstheme="minorHAnsi"/>
          <w:noProof/>
        </w:rPr>
        <w:t>[14]</w:t>
      </w:r>
      <w:r w:rsidR="00B41B9E" w:rsidRPr="00B41B9E">
        <w:rPr>
          <w:rFonts w:eastAsia="Times New Roman" w:cstheme="minorHAnsi"/>
        </w:rPr>
        <w:fldChar w:fldCharType="end"/>
      </w:r>
      <w:r w:rsidR="000719F5" w:rsidRPr="00B41B9E">
        <w:rPr>
          <w:rFonts w:eastAsia="Times New Roman" w:cstheme="minorHAnsi"/>
        </w:rPr>
        <w:t>.</w:t>
      </w:r>
    </w:p>
    <w:p w14:paraId="572ED042" w14:textId="77777777" w:rsidR="00BE3492" w:rsidRDefault="00BE3492" w:rsidP="00AE25CA">
      <w:pPr>
        <w:textAlignment w:val="baseline"/>
        <w:rPr>
          <w:rFonts w:eastAsia="Times New Roman" w:cstheme="minorHAnsi"/>
        </w:rPr>
      </w:pPr>
    </w:p>
    <w:p w14:paraId="5DD3018B" w14:textId="1BB8F1A4" w:rsidR="00C075B3" w:rsidRPr="00825B52" w:rsidRDefault="00BE3492" w:rsidP="00AE25CA">
      <w:pPr>
        <w:textAlignment w:val="baseline"/>
        <w:rPr>
          <w:rFonts w:eastAsia="Times New Roman" w:cstheme="minorHAnsi"/>
          <w:bCs/>
        </w:rPr>
      </w:pPr>
      <w:r w:rsidRPr="00825B52">
        <w:rPr>
          <w:rFonts w:eastAsia="Times New Roman" w:cstheme="minorHAnsi"/>
          <w:bCs/>
        </w:rPr>
        <w:t xml:space="preserve">Interestingly we found that </w:t>
      </w:r>
      <w:r w:rsidR="000E15A5" w:rsidRPr="00825B52">
        <w:rPr>
          <w:rFonts w:eastAsia="Times New Roman" w:cstheme="minorHAnsi"/>
          <w:bCs/>
        </w:rPr>
        <w:t xml:space="preserve">only </w:t>
      </w:r>
      <w:r w:rsidRPr="00825B52">
        <w:rPr>
          <w:rFonts w:eastAsia="Times New Roman" w:cstheme="minorHAnsi"/>
          <w:bCs/>
        </w:rPr>
        <w:t>53% (8/15) DCG patients had not had prior NG</w:t>
      </w:r>
      <w:r w:rsidR="003A6FF3" w:rsidRPr="00825B52">
        <w:rPr>
          <w:rFonts w:eastAsia="Times New Roman" w:cstheme="minorHAnsi"/>
          <w:bCs/>
        </w:rPr>
        <w:t>T</w:t>
      </w:r>
      <w:r w:rsidRPr="00825B52">
        <w:rPr>
          <w:rFonts w:eastAsia="Times New Roman" w:cstheme="minorHAnsi"/>
          <w:bCs/>
        </w:rPr>
        <w:t xml:space="preserve"> use before their gastrostomy insertion. Prior to analysing our </w:t>
      </w:r>
      <w:proofErr w:type="gramStart"/>
      <w:r w:rsidRPr="00825B52">
        <w:rPr>
          <w:rFonts w:eastAsia="Times New Roman" w:cstheme="minorHAnsi"/>
          <w:bCs/>
        </w:rPr>
        <w:t>data</w:t>
      </w:r>
      <w:proofErr w:type="gramEnd"/>
      <w:r w:rsidRPr="00825B52">
        <w:rPr>
          <w:rFonts w:eastAsia="Times New Roman" w:cstheme="minorHAnsi"/>
          <w:bCs/>
        </w:rPr>
        <w:t xml:space="preserve"> we had hypothesised that parent or carer experience and familiarity with </w:t>
      </w:r>
      <w:r w:rsidR="00837AB1" w:rsidRPr="00825B52">
        <w:rPr>
          <w:rFonts w:eastAsia="Times New Roman" w:cstheme="minorHAnsi"/>
          <w:bCs/>
        </w:rPr>
        <w:t xml:space="preserve">NGT </w:t>
      </w:r>
      <w:r w:rsidRPr="00825B52">
        <w:rPr>
          <w:rFonts w:eastAsia="Times New Roman" w:cstheme="minorHAnsi"/>
          <w:bCs/>
        </w:rPr>
        <w:t xml:space="preserve">feeding would be </w:t>
      </w:r>
      <w:r w:rsidR="000E15A5" w:rsidRPr="00825B52">
        <w:rPr>
          <w:rFonts w:eastAsia="Times New Roman" w:cstheme="minorHAnsi"/>
          <w:bCs/>
        </w:rPr>
        <w:t xml:space="preserve">essential to achieve </w:t>
      </w:r>
      <w:r w:rsidRPr="00825B52">
        <w:rPr>
          <w:rFonts w:eastAsia="Times New Roman" w:cstheme="minorHAnsi"/>
          <w:bCs/>
        </w:rPr>
        <w:t>DCG. This does not appear to be the case and perhaps points to additional factors that are important in successfully discharging a gastrostomy as a day case.</w:t>
      </w:r>
    </w:p>
    <w:p w14:paraId="546F5DBA" w14:textId="77777777" w:rsidR="00C075B3" w:rsidRPr="00825B52" w:rsidRDefault="00C075B3" w:rsidP="00AE25CA">
      <w:pPr>
        <w:textAlignment w:val="baseline"/>
        <w:rPr>
          <w:rFonts w:eastAsia="Times New Roman" w:cstheme="minorHAnsi"/>
          <w:bCs/>
        </w:rPr>
      </w:pPr>
    </w:p>
    <w:p w14:paraId="6DD04990" w14:textId="323D6F2D" w:rsidR="00F047B1" w:rsidRPr="00825B52" w:rsidRDefault="000E15A5" w:rsidP="00AE25CA">
      <w:pPr>
        <w:textAlignment w:val="baseline"/>
        <w:rPr>
          <w:rFonts w:eastAsia="Times New Roman" w:cstheme="minorHAnsi"/>
          <w:bCs/>
        </w:rPr>
      </w:pPr>
      <w:r w:rsidRPr="00825B52">
        <w:rPr>
          <w:rFonts w:eastAsia="Times New Roman" w:cstheme="minorHAnsi"/>
          <w:bCs/>
        </w:rPr>
        <w:t xml:space="preserve">In our practice, families </w:t>
      </w:r>
      <w:r w:rsidR="001E6D7B" w:rsidRPr="00825B52">
        <w:rPr>
          <w:rFonts w:eastAsia="Times New Roman" w:cstheme="minorHAnsi"/>
          <w:bCs/>
        </w:rPr>
        <w:t xml:space="preserve">will have met with a specialist nurse </w:t>
      </w:r>
      <w:r w:rsidRPr="00825B52">
        <w:rPr>
          <w:rFonts w:eastAsia="Times New Roman" w:cstheme="minorHAnsi"/>
          <w:bCs/>
        </w:rPr>
        <w:t xml:space="preserve">prior to their surgery day </w:t>
      </w:r>
      <w:r w:rsidR="001E6D7B" w:rsidRPr="00825B52">
        <w:rPr>
          <w:rFonts w:eastAsia="Times New Roman" w:cstheme="minorHAnsi"/>
          <w:bCs/>
        </w:rPr>
        <w:t>to discuss gastrostomy options and given both literature and videos to review. This aims to familiarise families with the gastrostomy device, however formal education regarding gastrostomy use does not start until after the procedure.</w:t>
      </w:r>
      <w:r w:rsidR="00C075B3" w:rsidRPr="00825B52">
        <w:rPr>
          <w:rFonts w:eastAsia="Times New Roman" w:cstheme="minorHAnsi"/>
          <w:bCs/>
        </w:rPr>
        <w:t xml:space="preserve"> We note that </w:t>
      </w:r>
      <w:r w:rsidRPr="00825B52">
        <w:rPr>
          <w:rFonts w:eastAsia="Times New Roman" w:cstheme="minorHAnsi"/>
          <w:bCs/>
        </w:rPr>
        <w:t xml:space="preserve">the majority of </w:t>
      </w:r>
      <w:r w:rsidR="00C075B3" w:rsidRPr="00825B52">
        <w:rPr>
          <w:rFonts w:eastAsia="Times New Roman" w:cstheme="minorHAnsi"/>
          <w:bCs/>
        </w:rPr>
        <w:t xml:space="preserve">DCG cases </w:t>
      </w:r>
      <w:r w:rsidRPr="00825B52">
        <w:rPr>
          <w:rFonts w:eastAsia="Times New Roman" w:cstheme="minorHAnsi"/>
          <w:bCs/>
        </w:rPr>
        <w:t xml:space="preserve">(13/15; 87%) </w:t>
      </w:r>
      <w:r w:rsidR="00C075B3" w:rsidRPr="00825B52">
        <w:rPr>
          <w:rFonts w:eastAsia="Times New Roman" w:cstheme="minorHAnsi"/>
          <w:bCs/>
        </w:rPr>
        <w:t xml:space="preserve">were performed on a morning operating list </w:t>
      </w:r>
      <w:r w:rsidR="0057740C" w:rsidRPr="00825B52">
        <w:rPr>
          <w:rFonts w:eastAsia="Times New Roman" w:cstheme="minorHAnsi"/>
          <w:bCs/>
        </w:rPr>
        <w:t>likely allowing longer time the same day for education to occur. Preferentially l</w:t>
      </w:r>
      <w:r w:rsidR="00CB6F65" w:rsidRPr="00825B52">
        <w:rPr>
          <w:rFonts w:eastAsia="Times New Roman" w:cstheme="minorHAnsi"/>
          <w:bCs/>
        </w:rPr>
        <w:t>isting patients on a morning operating list would be a logical step if aiming for same day discharge.</w:t>
      </w:r>
    </w:p>
    <w:p w14:paraId="0B287088" w14:textId="77777777" w:rsidR="00F047B1" w:rsidRPr="00825B52" w:rsidRDefault="00F047B1" w:rsidP="00AE25CA">
      <w:pPr>
        <w:textAlignment w:val="baseline"/>
        <w:rPr>
          <w:rFonts w:eastAsia="Times New Roman" w:cstheme="minorHAnsi"/>
          <w:bCs/>
        </w:rPr>
      </w:pPr>
    </w:p>
    <w:p w14:paraId="52C8E355" w14:textId="57A143C3" w:rsidR="00AE25CA" w:rsidRPr="00825B52" w:rsidRDefault="00B8075A" w:rsidP="00AE25CA">
      <w:pPr>
        <w:textAlignment w:val="baseline"/>
        <w:rPr>
          <w:rFonts w:eastAsia="Times New Roman" w:cstheme="minorHAnsi"/>
          <w:bCs/>
          <w:sz w:val="18"/>
          <w:szCs w:val="18"/>
        </w:rPr>
      </w:pPr>
      <w:r w:rsidRPr="00825B52">
        <w:rPr>
          <w:rFonts w:eastAsia="Times New Roman" w:cstheme="minorHAnsi"/>
          <w:bCs/>
        </w:rPr>
        <w:t xml:space="preserve">Moving forwards we consider a </w:t>
      </w:r>
      <w:r w:rsidR="003B3313" w:rsidRPr="00825B52">
        <w:rPr>
          <w:rFonts w:eastAsia="Times New Roman" w:cstheme="minorHAnsi"/>
          <w:bCs/>
        </w:rPr>
        <w:t xml:space="preserve">number of features will be important as we </w:t>
      </w:r>
      <w:r w:rsidR="002A63FE" w:rsidRPr="00825B52">
        <w:rPr>
          <w:rFonts w:eastAsia="Times New Roman" w:cstheme="minorHAnsi"/>
          <w:bCs/>
        </w:rPr>
        <w:t xml:space="preserve">shift </w:t>
      </w:r>
      <w:r w:rsidR="003B3313" w:rsidRPr="00825B52">
        <w:rPr>
          <w:rFonts w:eastAsia="Times New Roman" w:cstheme="minorHAnsi"/>
          <w:bCs/>
        </w:rPr>
        <w:t xml:space="preserve">our </w:t>
      </w:r>
      <w:r w:rsidR="002A63FE" w:rsidRPr="00825B52">
        <w:rPr>
          <w:rFonts w:eastAsia="Times New Roman" w:cstheme="minorHAnsi"/>
          <w:bCs/>
        </w:rPr>
        <w:t xml:space="preserve">focus </w:t>
      </w:r>
      <w:r w:rsidR="003B3313" w:rsidRPr="00825B52">
        <w:rPr>
          <w:rFonts w:eastAsia="Times New Roman" w:cstheme="minorHAnsi"/>
          <w:bCs/>
        </w:rPr>
        <w:t xml:space="preserve">towards </w:t>
      </w:r>
      <w:r w:rsidR="002A63FE" w:rsidRPr="00825B52">
        <w:rPr>
          <w:rFonts w:eastAsia="Times New Roman" w:cstheme="minorHAnsi"/>
          <w:bCs/>
        </w:rPr>
        <w:t xml:space="preserve">achieving </w:t>
      </w:r>
      <w:r w:rsidR="003B3313" w:rsidRPr="00825B52">
        <w:rPr>
          <w:rFonts w:eastAsia="Times New Roman" w:cstheme="minorHAnsi"/>
          <w:bCs/>
        </w:rPr>
        <w:t xml:space="preserve">higher numbers of </w:t>
      </w:r>
      <w:r w:rsidR="002A63FE" w:rsidRPr="00825B52">
        <w:rPr>
          <w:rFonts w:eastAsia="Times New Roman" w:cstheme="minorHAnsi"/>
          <w:bCs/>
        </w:rPr>
        <w:t>DCG</w:t>
      </w:r>
      <w:r w:rsidR="00AE25CA" w:rsidRPr="00825B52">
        <w:rPr>
          <w:rFonts w:eastAsia="Times New Roman" w:cstheme="minorHAnsi"/>
          <w:bCs/>
        </w:rPr>
        <w:t xml:space="preserve">:1) </w:t>
      </w:r>
      <w:r w:rsidR="00F047B1" w:rsidRPr="00825B52">
        <w:rPr>
          <w:rFonts w:eastAsia="Times New Roman" w:cstheme="minorHAnsi"/>
          <w:bCs/>
        </w:rPr>
        <w:t>s</w:t>
      </w:r>
      <w:r w:rsidR="00AE25CA" w:rsidRPr="00825B52">
        <w:rPr>
          <w:rFonts w:eastAsia="Times New Roman" w:cstheme="minorHAnsi"/>
          <w:bCs/>
        </w:rPr>
        <w:t xml:space="preserve">etting the expectation with parents and staff from an early stage that the procedure </w:t>
      </w:r>
      <w:r w:rsidR="0054194A" w:rsidRPr="00825B52">
        <w:rPr>
          <w:rFonts w:eastAsia="Times New Roman" w:cstheme="minorHAnsi"/>
          <w:bCs/>
        </w:rPr>
        <w:t xml:space="preserve">can </w:t>
      </w:r>
      <w:r w:rsidR="00AE25CA" w:rsidRPr="00825B52">
        <w:rPr>
          <w:rFonts w:eastAsia="Times New Roman" w:cstheme="minorHAnsi"/>
          <w:bCs/>
        </w:rPr>
        <w:t>be completed as a day-case</w:t>
      </w:r>
      <w:r w:rsidR="0054194A" w:rsidRPr="00825B52">
        <w:rPr>
          <w:rFonts w:eastAsia="Times New Roman" w:cstheme="minorHAnsi"/>
          <w:bCs/>
        </w:rPr>
        <w:t>,</w:t>
      </w:r>
      <w:r w:rsidR="001E6D7B" w:rsidRPr="00825B52">
        <w:rPr>
          <w:rFonts w:eastAsia="Times New Roman" w:cstheme="minorHAnsi"/>
          <w:bCs/>
        </w:rPr>
        <w:t xml:space="preserve"> </w:t>
      </w:r>
      <w:r w:rsidR="00AE25CA" w:rsidRPr="00825B52">
        <w:rPr>
          <w:rFonts w:eastAsia="Times New Roman" w:cstheme="minorHAnsi"/>
          <w:bCs/>
        </w:rPr>
        <w:t xml:space="preserve">2) </w:t>
      </w:r>
      <w:r w:rsidR="00F047B1" w:rsidRPr="00825B52">
        <w:rPr>
          <w:rFonts w:eastAsia="Times New Roman" w:cstheme="minorHAnsi"/>
          <w:bCs/>
        </w:rPr>
        <w:t>o</w:t>
      </w:r>
      <w:r w:rsidR="00AE25CA" w:rsidRPr="00825B52">
        <w:rPr>
          <w:rFonts w:eastAsia="Times New Roman" w:cstheme="minorHAnsi"/>
          <w:bCs/>
        </w:rPr>
        <w:t>ptimising pre- and post-operative parent education</w:t>
      </w:r>
      <w:r w:rsidR="001E6D7B" w:rsidRPr="00825B52">
        <w:rPr>
          <w:rFonts w:eastAsia="Times New Roman" w:cstheme="minorHAnsi"/>
          <w:bCs/>
        </w:rPr>
        <w:t xml:space="preserve">, starting </w:t>
      </w:r>
      <w:r w:rsidR="00F047B1" w:rsidRPr="00825B52">
        <w:rPr>
          <w:rFonts w:eastAsia="Times New Roman" w:cstheme="minorHAnsi"/>
          <w:bCs/>
        </w:rPr>
        <w:t>education</w:t>
      </w:r>
      <w:r w:rsidR="001E6D7B" w:rsidRPr="00825B52">
        <w:rPr>
          <w:rFonts w:eastAsia="Times New Roman" w:cstheme="minorHAnsi"/>
          <w:bCs/>
        </w:rPr>
        <w:t xml:space="preserve"> of gastrotomy use prior to patient returning from theatre</w:t>
      </w:r>
      <w:r w:rsidR="00F047B1" w:rsidRPr="00825B52">
        <w:rPr>
          <w:rFonts w:eastAsia="Times New Roman" w:cstheme="minorHAnsi"/>
          <w:bCs/>
        </w:rPr>
        <w:t>,</w:t>
      </w:r>
      <w:r w:rsidR="00AE25CA" w:rsidRPr="00825B52">
        <w:rPr>
          <w:rFonts w:eastAsia="Times New Roman" w:cstheme="minorHAnsi"/>
          <w:bCs/>
        </w:rPr>
        <w:t xml:space="preserve"> 3)  </w:t>
      </w:r>
      <w:r w:rsidR="00F047B1" w:rsidRPr="00825B52">
        <w:rPr>
          <w:rFonts w:eastAsia="Times New Roman" w:cstheme="minorHAnsi"/>
          <w:bCs/>
        </w:rPr>
        <w:t>e</w:t>
      </w:r>
      <w:r w:rsidR="00AE25CA" w:rsidRPr="00825B52">
        <w:rPr>
          <w:rFonts w:eastAsia="Times New Roman" w:cstheme="minorHAnsi"/>
          <w:bCs/>
        </w:rPr>
        <w:t>nsuring that any equipment needs are identified and fulfilled in advance</w:t>
      </w:r>
      <w:r w:rsidR="001E6D7B" w:rsidRPr="00825B52">
        <w:rPr>
          <w:rFonts w:eastAsia="Times New Roman" w:cstheme="minorHAnsi"/>
          <w:bCs/>
        </w:rPr>
        <w:t xml:space="preserve"> so that is this not a rate limiting step when it comes to discharge</w:t>
      </w:r>
      <w:r w:rsidR="00F047B1" w:rsidRPr="00825B52">
        <w:rPr>
          <w:rFonts w:eastAsia="Times New Roman" w:cstheme="minorHAnsi"/>
          <w:bCs/>
        </w:rPr>
        <w:t>,</w:t>
      </w:r>
      <w:r w:rsidR="001E6D7B" w:rsidRPr="00825B52">
        <w:rPr>
          <w:rFonts w:eastAsia="Times New Roman" w:cstheme="minorHAnsi"/>
          <w:bCs/>
        </w:rPr>
        <w:t xml:space="preserve"> 4) </w:t>
      </w:r>
      <w:r w:rsidR="00F047B1" w:rsidRPr="00825B52">
        <w:rPr>
          <w:rFonts w:eastAsia="Times New Roman" w:cstheme="minorHAnsi"/>
          <w:bCs/>
        </w:rPr>
        <w:t>l</w:t>
      </w:r>
      <w:r w:rsidR="001E6D7B" w:rsidRPr="00825B52">
        <w:rPr>
          <w:rFonts w:eastAsia="Times New Roman" w:cstheme="minorHAnsi"/>
          <w:bCs/>
        </w:rPr>
        <w:t>isting patients on a morning operative list</w:t>
      </w:r>
      <w:r w:rsidR="0054194A" w:rsidRPr="00825B52">
        <w:rPr>
          <w:rFonts w:eastAsia="Times New Roman" w:cstheme="minorHAnsi"/>
          <w:bCs/>
        </w:rPr>
        <w:t xml:space="preserve"> </w:t>
      </w:r>
    </w:p>
    <w:p w14:paraId="38099404"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6B460FAD" w14:textId="52F17F29"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Given the frequency of gastrostomy in paediatric surgical practice, and the growing  prevalence of gastrostomies in the paediatric population </w:t>
      </w:r>
      <w:r w:rsidR="0085381A" w:rsidRPr="00B41B9E">
        <w:rPr>
          <w:rFonts w:eastAsia="Times New Roman" w:cstheme="minorHAnsi"/>
        </w:rPr>
        <w:fldChar w:fldCharType="begin" w:fldLock="1"/>
      </w:r>
      <w:r w:rsidR="00B41B9E">
        <w:rPr>
          <w:rFonts w:eastAsia="Times New Roman" w:cstheme="minorHAnsi"/>
        </w:rPr>
        <w:instrText>ADDIN CSL_CITATION {"citationItems":[{"id":"ITEM-1","itemData":{"DOI":"10.1136/flgastro-2022-102356","ISSN":"2041-4137 (Print)","PMID":"37581183","abstract":"BACKGROUND AND OBJECTIVES: Gastrostomy tubes are commonly used to provide an  alternative route for enteral nutrition. Most of the gastrostomies are inserted in children with cerebral palsy. Previous studies have shown an increase in insertion rate, however, epidemiological studies reveal a stasis in prevalence of cerebral palsy. We aimed to provide an up-to-date rate of gastrostomy insertion in children in England over a 20-year period and systematically review the prevalence of cerebral palsy to ascertain an epidemiological explanation for insertion trends. METHODS: Retrospective search of Hospital Episode Statistic, a database held diagnosis and procedural code from all England National Health Service hospitals from 2000 to 2021 using International Classification of Disease-10 and Office of Population Censuses and Survey's Classification-4. England Office for National Statistics data were used for population census. MEDLINE and EMBASE were systematically searched for epidemiology of cerebral palsy. RESULTS: There were 23 079 gastrostomies inserted in children &lt;15 years in England (2000-2021) leading to a frequency of 12.4 insertions per 100 000 children per year and 1383 gastrostomy insertions in 15-18 years age group (6 per 100 000). The overall gastrostomy insertion rate in children &lt;15 years has increased from 3.7 procedures per 100 000 in 2000 to 18.3 per 100 000 in 2017. Prevalence of cerebral palsy remained stable (1.5-3.3 per 1000 birth) since 1985. CONCLUSIONS: There was a significant increase in the rate of gastrostomy insertion in children in England during most of the last 20 years not explained by a stable prevalence of cerebral palsy.","author":[{"dropping-particle":"","family":"Popescu","given":"Mara","non-dropping-particle":"","parse-names":false,"suffix":""},{"dropping-particle":"","family":"Mutalib","given":"Mohamed","non-dropping-particle":"","parse-names":false,"suffix":""}],"container-title":"Frontline gastroenterology","id":"ITEM-1","issue":"5","issued":{"date-parts":[["2023"]]},"language":"eng","page":"399-406","publisher-place":"England","title":"Rate of paediatric gastrostomy insertion in England and relationship to  epidemiology of cerebral palsy.","type":"article-journal","volume":"14"},"uris":["http://www.mendeley.com/documents/?uuid=c921ee13-ce6b-424c-8772-cfd09000602f"]}],"mendeley":{"formattedCitation":"[15]","plainTextFormattedCitation":"[15]","previouslyFormattedCitation":"[15]"},"properties":{"noteIndex":0},"schema":"https://github.com/citation-style-language/schema/raw/master/csl-citation.json"}</w:instrText>
      </w:r>
      <w:r w:rsidR="0085381A" w:rsidRPr="00B41B9E">
        <w:rPr>
          <w:rFonts w:eastAsia="Times New Roman" w:cstheme="minorHAnsi"/>
        </w:rPr>
        <w:fldChar w:fldCharType="separate"/>
      </w:r>
      <w:r w:rsidR="00B41B9E" w:rsidRPr="00B41B9E">
        <w:rPr>
          <w:rFonts w:eastAsia="Times New Roman" w:cstheme="minorHAnsi"/>
          <w:noProof/>
        </w:rPr>
        <w:t>[15]</w:t>
      </w:r>
      <w:r w:rsidR="0085381A" w:rsidRPr="00B41B9E">
        <w:rPr>
          <w:rFonts w:eastAsia="Times New Roman" w:cstheme="minorHAnsi"/>
        </w:rPr>
        <w:fldChar w:fldCharType="end"/>
      </w:r>
      <w:r w:rsidRPr="00B41B9E">
        <w:rPr>
          <w:rFonts w:eastAsia="Times New Roman" w:cstheme="minorHAnsi"/>
        </w:rPr>
        <w:t xml:space="preserve">, we believe there is significant opportunity </w:t>
      </w:r>
      <w:r w:rsidR="00657F9B">
        <w:rPr>
          <w:rFonts w:eastAsia="Times New Roman" w:cstheme="minorHAnsi"/>
        </w:rPr>
        <w:t>to bring</w:t>
      </w:r>
      <w:r w:rsidR="00657F9B" w:rsidRPr="00B41B9E">
        <w:rPr>
          <w:rFonts w:eastAsia="Times New Roman" w:cstheme="minorHAnsi"/>
        </w:rPr>
        <w:t xml:space="preserve"> </w:t>
      </w:r>
      <w:r w:rsidRPr="00B41B9E">
        <w:rPr>
          <w:rFonts w:eastAsia="Times New Roman" w:cstheme="minorHAnsi"/>
        </w:rPr>
        <w:t>benefit to patients and the healthcare system by continuing to advance our practice in this field. </w:t>
      </w:r>
    </w:p>
    <w:p w14:paraId="79D44932"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6008EBFD" w14:textId="77777777" w:rsidR="000719F5" w:rsidRPr="000719F5" w:rsidRDefault="000719F5" w:rsidP="000719F5">
      <w:pPr>
        <w:textAlignment w:val="baseline"/>
        <w:rPr>
          <w:rFonts w:eastAsia="Times New Roman" w:cstheme="minorHAnsi"/>
          <w:sz w:val="18"/>
          <w:szCs w:val="18"/>
        </w:rPr>
      </w:pPr>
      <w:r w:rsidRPr="00B41B9E">
        <w:rPr>
          <w:rFonts w:eastAsia="Times New Roman" w:cstheme="minorHAnsi"/>
        </w:rPr>
        <w:t xml:space="preserve">Limitations of this study include the retrospective nature of the data collection and the relatively low number of cases. As a department we are early in our journey of DCG; our aim at this early stage has been to report its feasibility and safety. As we gain greater experience with patient selection and refine our </w:t>
      </w:r>
      <w:proofErr w:type="gramStart"/>
      <w:r w:rsidRPr="00B41B9E">
        <w:rPr>
          <w:rFonts w:eastAsia="Times New Roman" w:cstheme="minorHAnsi"/>
        </w:rPr>
        <w:t>pathways</w:t>
      </w:r>
      <w:proofErr w:type="gramEnd"/>
      <w:r w:rsidRPr="00B41B9E">
        <w:rPr>
          <w:rFonts w:eastAsia="Times New Roman" w:cstheme="minorHAnsi"/>
        </w:rPr>
        <w:t xml:space="preserve"> we hope to report a larger experience and share our learning.  </w:t>
      </w:r>
    </w:p>
    <w:p w14:paraId="57B869A9" w14:textId="3D77E936" w:rsidR="000719F5" w:rsidRPr="000719F5" w:rsidRDefault="000719F5" w:rsidP="000719F5">
      <w:pPr>
        <w:textAlignment w:val="baseline"/>
        <w:rPr>
          <w:rFonts w:eastAsia="Times New Roman" w:cstheme="minorHAnsi"/>
          <w:sz w:val="18"/>
          <w:szCs w:val="18"/>
        </w:rPr>
      </w:pPr>
      <w:r w:rsidRPr="00B41B9E">
        <w:rPr>
          <w:rFonts w:eastAsia="Times New Roman" w:cstheme="minorHAnsi"/>
        </w:rPr>
        <w:t> </w:t>
      </w:r>
    </w:p>
    <w:p w14:paraId="58BA6710" w14:textId="3C3A8B11" w:rsidR="000719F5" w:rsidRDefault="000719F5" w:rsidP="000719F5">
      <w:pPr>
        <w:textAlignment w:val="baseline"/>
        <w:rPr>
          <w:rFonts w:eastAsia="Times New Roman" w:cstheme="minorHAnsi"/>
        </w:rPr>
      </w:pPr>
      <w:r w:rsidRPr="00B41B9E">
        <w:rPr>
          <w:rFonts w:eastAsia="Times New Roman" w:cstheme="minorHAnsi"/>
          <w:b/>
          <w:bCs/>
          <w:u w:val="single"/>
        </w:rPr>
        <w:lastRenderedPageBreak/>
        <w:t>Conclusion</w:t>
      </w:r>
      <w:r w:rsidRPr="00B41B9E">
        <w:rPr>
          <w:rFonts w:eastAsia="Times New Roman" w:cstheme="minorHAnsi"/>
        </w:rPr>
        <w:t> </w:t>
      </w:r>
    </w:p>
    <w:p w14:paraId="2CF5EBD6" w14:textId="77777777" w:rsidR="00B41B9E" w:rsidRPr="000719F5" w:rsidRDefault="00B41B9E" w:rsidP="000719F5">
      <w:pPr>
        <w:textAlignment w:val="baseline"/>
        <w:rPr>
          <w:rFonts w:eastAsia="Times New Roman" w:cstheme="minorHAnsi"/>
          <w:sz w:val="18"/>
          <w:szCs w:val="18"/>
        </w:rPr>
      </w:pPr>
    </w:p>
    <w:p w14:paraId="5EFA11D4" w14:textId="7D29BA4B" w:rsidR="00BE3492" w:rsidRDefault="000719F5" w:rsidP="00BE3492">
      <w:pPr>
        <w:textAlignment w:val="baseline"/>
        <w:rPr>
          <w:rFonts w:eastAsia="Times New Roman" w:cstheme="minorHAnsi"/>
        </w:rPr>
      </w:pPr>
      <w:r w:rsidRPr="00825B52">
        <w:rPr>
          <w:rFonts w:eastAsia="Times New Roman" w:cstheme="minorHAnsi"/>
          <w:bCs/>
        </w:rPr>
        <w:t>DCG is feasible and safe</w:t>
      </w:r>
      <w:r w:rsidR="003A2C9A" w:rsidRPr="00825B52">
        <w:rPr>
          <w:rFonts w:eastAsia="Times New Roman" w:cstheme="minorHAnsi"/>
          <w:bCs/>
        </w:rPr>
        <w:t xml:space="preserve"> in selected cases</w:t>
      </w:r>
      <w:r w:rsidRPr="00825B52">
        <w:rPr>
          <w:rFonts w:eastAsia="Times New Roman" w:cstheme="minorHAnsi"/>
          <w:bCs/>
        </w:rPr>
        <w:t xml:space="preserve">. </w:t>
      </w:r>
      <w:r w:rsidR="00351D6D" w:rsidRPr="00825B52">
        <w:rPr>
          <w:rFonts w:eastAsia="Times New Roman" w:cstheme="minorHAnsi"/>
          <w:bCs/>
        </w:rPr>
        <w:t>Most cases</w:t>
      </w:r>
      <w:r w:rsidR="00C075B3" w:rsidRPr="00825B52">
        <w:rPr>
          <w:rFonts w:eastAsia="Times New Roman" w:cstheme="minorHAnsi"/>
          <w:bCs/>
        </w:rPr>
        <w:t xml:space="preserve"> were performed on morning operating list</w:t>
      </w:r>
      <w:r w:rsidR="00351D6D" w:rsidRPr="00825B52">
        <w:rPr>
          <w:rFonts w:eastAsia="Times New Roman" w:cstheme="minorHAnsi"/>
          <w:bCs/>
        </w:rPr>
        <w:t xml:space="preserve"> but fewer than half had</w:t>
      </w:r>
      <w:r w:rsidR="002F7C4F" w:rsidRPr="00825B52">
        <w:rPr>
          <w:rFonts w:eastAsia="Times New Roman" w:cstheme="minorHAnsi"/>
          <w:bCs/>
        </w:rPr>
        <w:t xml:space="preserve"> </w:t>
      </w:r>
      <w:r w:rsidR="003A2C9A" w:rsidRPr="00825B52">
        <w:rPr>
          <w:rFonts w:eastAsia="Times New Roman" w:cstheme="minorHAnsi"/>
          <w:bCs/>
        </w:rPr>
        <w:t>prior experience of nasogastric tube feeding</w:t>
      </w:r>
      <w:r w:rsidR="00C075B3" w:rsidRPr="00825B52">
        <w:rPr>
          <w:rFonts w:eastAsia="Times New Roman" w:cstheme="minorHAnsi"/>
          <w:bCs/>
        </w:rPr>
        <w:t xml:space="preserve">. </w:t>
      </w:r>
      <w:r w:rsidR="002A63FE" w:rsidRPr="00825B52">
        <w:rPr>
          <w:rFonts w:eastAsia="Times New Roman" w:cstheme="minorHAnsi"/>
          <w:bCs/>
        </w:rPr>
        <w:t>We suggest</w:t>
      </w:r>
      <w:r w:rsidR="00C075B3" w:rsidRPr="00825B52">
        <w:rPr>
          <w:rFonts w:eastAsia="Times New Roman" w:cstheme="minorHAnsi"/>
          <w:bCs/>
        </w:rPr>
        <w:t xml:space="preserve"> </w:t>
      </w:r>
      <w:r w:rsidR="00024C39" w:rsidRPr="00825B52">
        <w:rPr>
          <w:rFonts w:eastAsia="Times New Roman" w:cstheme="minorHAnsi"/>
          <w:bCs/>
        </w:rPr>
        <w:t xml:space="preserve">these and </w:t>
      </w:r>
      <w:r w:rsidR="00C075B3" w:rsidRPr="00825B52">
        <w:rPr>
          <w:rFonts w:eastAsia="Times New Roman" w:cstheme="minorHAnsi"/>
          <w:bCs/>
        </w:rPr>
        <w:t>additional</w:t>
      </w:r>
      <w:r w:rsidR="002A63FE" w:rsidRPr="00825B52">
        <w:rPr>
          <w:rFonts w:eastAsia="Times New Roman" w:cstheme="minorHAnsi"/>
          <w:bCs/>
        </w:rPr>
        <w:t xml:space="preserve"> </w:t>
      </w:r>
      <w:r w:rsidR="00024C39" w:rsidRPr="00825B52">
        <w:rPr>
          <w:rFonts w:eastAsia="Times New Roman" w:cstheme="minorHAnsi"/>
          <w:bCs/>
        </w:rPr>
        <w:t xml:space="preserve">considerations </w:t>
      </w:r>
      <w:r w:rsidR="00C075B3" w:rsidRPr="00825B52">
        <w:rPr>
          <w:rFonts w:eastAsia="Times New Roman" w:cstheme="minorHAnsi"/>
          <w:bCs/>
        </w:rPr>
        <w:t>to refine our pathway a</w:t>
      </w:r>
      <w:r w:rsidR="00EC6761" w:rsidRPr="00825B52">
        <w:rPr>
          <w:rFonts w:eastAsia="Times New Roman" w:cstheme="minorHAnsi"/>
          <w:bCs/>
        </w:rPr>
        <w:t xml:space="preserve">iming to </w:t>
      </w:r>
      <w:r w:rsidR="002A63FE" w:rsidRPr="00825B52">
        <w:rPr>
          <w:rFonts w:eastAsia="Times New Roman" w:cstheme="minorHAnsi"/>
          <w:bCs/>
        </w:rPr>
        <w:t>achieve</w:t>
      </w:r>
      <w:r w:rsidR="00C075B3" w:rsidRPr="00825B52">
        <w:rPr>
          <w:rFonts w:eastAsia="Times New Roman" w:cstheme="minorHAnsi"/>
          <w:bCs/>
        </w:rPr>
        <w:t xml:space="preserve"> </w:t>
      </w:r>
      <w:r w:rsidR="00EC6761" w:rsidRPr="00825B52">
        <w:rPr>
          <w:rFonts w:eastAsia="Times New Roman" w:cstheme="minorHAnsi"/>
          <w:bCs/>
        </w:rPr>
        <w:t xml:space="preserve">a greater proportion of </w:t>
      </w:r>
      <w:r w:rsidRPr="00825B52">
        <w:rPr>
          <w:rFonts w:eastAsia="Times New Roman" w:cstheme="minorHAnsi"/>
          <w:bCs/>
        </w:rPr>
        <w:t>same day discharge</w:t>
      </w:r>
      <w:r w:rsidR="00C075B3" w:rsidRPr="00825B52">
        <w:rPr>
          <w:rFonts w:eastAsia="Times New Roman" w:cstheme="minorHAnsi"/>
          <w:bCs/>
        </w:rPr>
        <w:t xml:space="preserve"> cases</w:t>
      </w:r>
      <w:r w:rsidRPr="00C075B3">
        <w:rPr>
          <w:rFonts w:eastAsia="Times New Roman" w:cstheme="minorHAnsi"/>
          <w:b/>
        </w:rPr>
        <w:t>.</w:t>
      </w:r>
      <w:r w:rsidRPr="00B41B9E">
        <w:rPr>
          <w:rFonts w:eastAsia="Times New Roman" w:cstheme="minorHAnsi"/>
        </w:rPr>
        <w:t xml:space="preserve"> </w:t>
      </w:r>
    </w:p>
    <w:p w14:paraId="629CC827" w14:textId="77777777" w:rsidR="007122B2" w:rsidRPr="007122B2" w:rsidRDefault="007122B2" w:rsidP="00BE3492">
      <w:pPr>
        <w:textAlignment w:val="baseline"/>
        <w:rPr>
          <w:rFonts w:eastAsia="Times New Roman" w:cstheme="minorHAnsi"/>
        </w:rPr>
      </w:pPr>
    </w:p>
    <w:p w14:paraId="07C9C49B" w14:textId="70525721" w:rsidR="00B41B9E" w:rsidRDefault="000719F5" w:rsidP="000719F5">
      <w:pPr>
        <w:textAlignment w:val="baseline"/>
        <w:rPr>
          <w:rFonts w:eastAsia="Times New Roman" w:cstheme="minorHAnsi"/>
          <w:b/>
          <w:u w:val="single"/>
        </w:rPr>
      </w:pPr>
      <w:r w:rsidRPr="00B41B9E">
        <w:rPr>
          <w:rFonts w:eastAsia="Times New Roman" w:cstheme="minorHAnsi"/>
        </w:rPr>
        <w:t> </w:t>
      </w:r>
      <w:r w:rsidR="00B41B9E" w:rsidRPr="00B41B9E">
        <w:rPr>
          <w:rFonts w:eastAsia="Times New Roman" w:cstheme="minorHAnsi"/>
          <w:b/>
          <w:u w:val="single"/>
        </w:rPr>
        <w:t xml:space="preserve">Bibliography </w:t>
      </w:r>
    </w:p>
    <w:p w14:paraId="21E5718B" w14:textId="77777777" w:rsidR="00B41B9E" w:rsidRPr="000719F5" w:rsidRDefault="00B41B9E" w:rsidP="000719F5">
      <w:pPr>
        <w:textAlignment w:val="baseline"/>
        <w:rPr>
          <w:rFonts w:eastAsia="Times New Roman" w:cstheme="minorHAnsi"/>
          <w:b/>
          <w:u w:val="single"/>
        </w:rPr>
      </w:pPr>
    </w:p>
    <w:p w14:paraId="1879E334" w14:textId="04DD803E" w:rsidR="007228CA" w:rsidRPr="007228CA" w:rsidRDefault="0085381A" w:rsidP="007228CA">
      <w:pPr>
        <w:widowControl w:val="0"/>
        <w:autoSpaceDE w:val="0"/>
        <w:autoSpaceDN w:val="0"/>
        <w:adjustRightInd w:val="0"/>
        <w:ind w:left="640" w:hanging="640"/>
        <w:rPr>
          <w:rFonts w:ascii="Calibri" w:hAnsi="Calibri" w:cs="Calibri"/>
          <w:noProof/>
          <w:lang w:val="en-US"/>
        </w:rPr>
      </w:pPr>
      <w:r w:rsidRPr="00B41B9E">
        <w:rPr>
          <w:rFonts w:cstheme="minorHAnsi"/>
          <w:b/>
          <w:u w:val="single"/>
        </w:rPr>
        <w:fldChar w:fldCharType="begin" w:fldLock="1"/>
      </w:r>
      <w:r w:rsidRPr="00B41B9E">
        <w:rPr>
          <w:rFonts w:cstheme="minorHAnsi"/>
          <w:b/>
          <w:u w:val="single"/>
        </w:rPr>
        <w:instrText xml:space="preserve">ADDIN Mendeley Bibliography CSL_BIBLIOGRAPHY </w:instrText>
      </w:r>
      <w:r w:rsidRPr="00B41B9E">
        <w:rPr>
          <w:rFonts w:cstheme="minorHAnsi"/>
          <w:b/>
          <w:u w:val="single"/>
        </w:rPr>
        <w:fldChar w:fldCharType="separate"/>
      </w:r>
      <w:r w:rsidR="007228CA" w:rsidRPr="007228CA">
        <w:rPr>
          <w:rFonts w:ascii="Calibri" w:hAnsi="Calibri" w:cs="Calibri"/>
          <w:noProof/>
          <w:lang w:val="en-US"/>
        </w:rPr>
        <w:t>[1]</w:t>
      </w:r>
      <w:r w:rsidR="007228CA" w:rsidRPr="007228CA">
        <w:rPr>
          <w:rFonts w:ascii="Calibri" w:hAnsi="Calibri" w:cs="Calibri"/>
          <w:noProof/>
          <w:lang w:val="en-US"/>
        </w:rPr>
        <w:tab/>
        <w:t>Rosenfeld EH, Mazzolini K, DeMello A, et al. Postoperative Feeding Regimens After Laparoscopic Gastrostomy Placement. J Laparoendosc Adv Surg Tech 2017;27:1203–8. doi:10.1089/lap.2017.0295.</w:t>
      </w:r>
    </w:p>
    <w:p w14:paraId="170E0794" w14:textId="4395E1BF"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[2]</w:t>
      </w:r>
      <w:r w:rsidRPr="007228CA">
        <w:rPr>
          <w:rFonts w:ascii="Calibri" w:hAnsi="Calibri" w:cs="Calibri"/>
          <w:noProof/>
          <w:lang w:val="en-US"/>
        </w:rPr>
        <w:tab/>
        <w:t xml:space="preserve">Williams K, Baumann L, Abdullah F, </w:t>
      </w:r>
      <w:r>
        <w:rPr>
          <w:rFonts w:ascii="Calibri" w:hAnsi="Calibri" w:cs="Calibri"/>
          <w:noProof/>
          <w:lang w:val="en-US"/>
        </w:rPr>
        <w:t>et al.</w:t>
      </w:r>
      <w:r w:rsidRPr="007228CA">
        <w:rPr>
          <w:rFonts w:ascii="Calibri" w:hAnsi="Calibri" w:cs="Calibri"/>
          <w:noProof/>
          <w:lang w:val="en-US"/>
        </w:rPr>
        <w:t xml:space="preserve"> Elective laparoscopic gastrostomy in children: potential for an enhanced recovery protocol. Pediatr Surg Int 2019;35:643–7. doi:10.1007/s00383-019-04472-7.</w:t>
      </w:r>
    </w:p>
    <w:p w14:paraId="10456966" w14:textId="68023639"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[3]</w:t>
      </w:r>
      <w:r w:rsidRPr="007228CA">
        <w:rPr>
          <w:rFonts w:ascii="Calibri" w:hAnsi="Calibri" w:cs="Calibri"/>
          <w:noProof/>
          <w:lang w:val="en-US"/>
        </w:rPr>
        <w:tab/>
        <w:t>Lam C, Dick K, Bethell G, et al. Implementing an early feeding pathway post gastrostomy insertion reduces inpatient stay. J Pediatr Surg 2020;55:861–5. doi:10.1016/j.jpedsurg.2020.01.024.</w:t>
      </w:r>
    </w:p>
    <w:p w14:paraId="51E91D1C" w14:textId="5CA6C0B3"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[4]</w:t>
      </w:r>
      <w:r w:rsidRPr="007228CA">
        <w:rPr>
          <w:rFonts w:ascii="Calibri" w:hAnsi="Calibri" w:cs="Calibri"/>
          <w:noProof/>
          <w:lang w:val="en-US"/>
        </w:rPr>
        <w:tab/>
        <w:t>Sunstrom R, Hamilton N</w:t>
      </w:r>
      <w:r>
        <w:rPr>
          <w:rFonts w:ascii="Calibri" w:hAnsi="Calibri" w:cs="Calibri"/>
          <w:noProof/>
          <w:lang w:val="en-US"/>
        </w:rPr>
        <w:t xml:space="preserve">, </w:t>
      </w:r>
      <w:r w:rsidRPr="007228CA">
        <w:rPr>
          <w:rFonts w:ascii="Calibri" w:hAnsi="Calibri" w:cs="Calibri"/>
          <w:noProof/>
          <w:lang w:val="en-US"/>
        </w:rPr>
        <w:t>et al. Minimizing variance in pediatric gastrostomy: does standardized perioperative feeding plan decrease cost and improve outcomes? Am J Surg 2016;211:948–53. doi:https://doi.org/10.1016/j.amjsurg.2016.02.004.</w:t>
      </w:r>
    </w:p>
    <w:p w14:paraId="770E97B5" w14:textId="043B8AEB"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[5]</w:t>
      </w:r>
      <w:r w:rsidRPr="007228CA">
        <w:rPr>
          <w:rFonts w:ascii="Calibri" w:hAnsi="Calibri" w:cs="Calibri"/>
          <w:noProof/>
          <w:lang w:val="en-US"/>
        </w:rPr>
        <w:tab/>
        <w:t>Jackson HT, Shah SR, Hathaway E, et al. Evaluating the impact of a minimally invasive pediatric surgeon on hospital  practice: comparison of two children’s hospitals. Surg Endosc 2016;30:2281–7. doi:10.1007/s00464-015-4227-5.</w:t>
      </w:r>
    </w:p>
    <w:p w14:paraId="05DEE11C" w14:textId="27382A85"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[6]</w:t>
      </w:r>
      <w:r w:rsidRPr="007228CA">
        <w:rPr>
          <w:rFonts w:ascii="Calibri" w:hAnsi="Calibri" w:cs="Calibri"/>
          <w:noProof/>
          <w:lang w:val="en-US"/>
        </w:rPr>
        <w:tab/>
        <w:t xml:space="preserve">Papandria D, Sebastião Y V, Deans KJ, </w:t>
      </w:r>
      <w:r>
        <w:rPr>
          <w:rFonts w:ascii="Calibri" w:hAnsi="Calibri" w:cs="Calibri"/>
          <w:noProof/>
          <w:lang w:val="en-US"/>
        </w:rPr>
        <w:t>et al.</w:t>
      </w:r>
      <w:r w:rsidRPr="007228CA">
        <w:rPr>
          <w:rFonts w:ascii="Calibri" w:hAnsi="Calibri" w:cs="Calibri"/>
          <w:noProof/>
          <w:lang w:val="en-US"/>
        </w:rPr>
        <w:t xml:space="preserve"> Examining length of stay after commonly performed surgical procedures in ACS NSQIP pediatric. J Surg Res 2018;231:186–94. doi:10.1016/j.jss.2018.05.054.</w:t>
      </w:r>
    </w:p>
    <w:p w14:paraId="526EA771" w14:textId="30C406C9"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[7]</w:t>
      </w:r>
      <w:r w:rsidRPr="007228CA">
        <w:rPr>
          <w:rFonts w:ascii="Calibri" w:hAnsi="Calibri" w:cs="Calibri"/>
          <w:noProof/>
          <w:lang w:val="en-US"/>
        </w:rPr>
        <w:tab/>
        <w:t>Blacoe DA, Cunning E, Bell G. Paediatric day-case surgery: an audit of unplanned hospital admission Royal Hospital for Sick Children, Glasgow. Anaesthesia 2000;63:610–5. doi:10.1111/j.1365-2044.2008.05438.x.</w:t>
      </w:r>
    </w:p>
    <w:p w14:paraId="7A1A83B2" w14:textId="77777777"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[8]</w:t>
      </w:r>
      <w:r w:rsidRPr="007228CA">
        <w:rPr>
          <w:rFonts w:ascii="Calibri" w:hAnsi="Calibri" w:cs="Calibri"/>
          <w:noProof/>
          <w:lang w:val="en-US"/>
        </w:rPr>
        <w:tab/>
        <w:t>Amanor-Boadu SD, Soyannwo OA. Complications following day case paediatric surgery. West Afr J Med 1997;16:223–6.</w:t>
      </w:r>
    </w:p>
    <w:p w14:paraId="663B4836" w14:textId="77777777"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[9]</w:t>
      </w:r>
      <w:r w:rsidRPr="007228CA">
        <w:rPr>
          <w:rFonts w:ascii="Calibri" w:hAnsi="Calibri" w:cs="Calibri"/>
          <w:noProof/>
          <w:lang w:val="en-US"/>
        </w:rPr>
        <w:tab/>
        <w:t>Upadhyaya M, Lander A. Day-case surgery in children. Surg - Oxford Int Ed 2013;31:140–4. doi:10.1016/j.mpsur.2013.01.010.</w:t>
      </w:r>
    </w:p>
    <w:p w14:paraId="0B4E25E6" w14:textId="6B451805"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[10]</w:t>
      </w:r>
      <w:r w:rsidRPr="007228CA">
        <w:rPr>
          <w:rFonts w:ascii="Calibri" w:hAnsi="Calibri" w:cs="Calibri"/>
          <w:noProof/>
          <w:lang w:val="en-US"/>
        </w:rPr>
        <w:tab/>
        <w:t>Hidayah BA, Toh ZA, et al. Systematic Review Enhanced recovery after surgery in children undergoing abdominal surgery: meta-analysis. BJS Open 2021;2023:147. doi:10.1093/bjsopen/zrac147.</w:t>
      </w:r>
    </w:p>
    <w:p w14:paraId="501099B5" w14:textId="77777777"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[11]</w:t>
      </w:r>
      <w:r w:rsidRPr="007228CA">
        <w:rPr>
          <w:rFonts w:ascii="Calibri" w:hAnsi="Calibri" w:cs="Calibri"/>
          <w:noProof/>
          <w:lang w:val="en-US"/>
        </w:rPr>
        <w:tab/>
        <w:t>Rafeeqi T, Pearson EG. Enhanced recovery after surgery in children. Transl Gastroenterol Hepatol 2021;6:46. doi:10.21037/tgh-20-188.</w:t>
      </w:r>
    </w:p>
    <w:p w14:paraId="27E59497" w14:textId="54B77133"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[12]</w:t>
      </w:r>
      <w:r w:rsidRPr="007228CA">
        <w:rPr>
          <w:rFonts w:ascii="Calibri" w:hAnsi="Calibri" w:cs="Calibri"/>
          <w:noProof/>
          <w:lang w:val="en-US"/>
        </w:rPr>
        <w:tab/>
        <w:t>Hendrickson RJ, Poola AS, Sujka JA, et al. Feeding Advancement and Simultaneous Transition to Discharge (FASTDischarge) after laparoscopic gastrostomy. J Pediatr Surg 2018;53:2326–30. doi:10.1016/j.jpedsurg.2018.04.035.</w:t>
      </w:r>
    </w:p>
    <w:p w14:paraId="2D82248C" w14:textId="1C7E9542"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[13]</w:t>
      </w:r>
      <w:r w:rsidRPr="007228CA">
        <w:rPr>
          <w:rFonts w:ascii="Calibri" w:hAnsi="Calibri" w:cs="Calibri"/>
          <w:noProof/>
          <w:lang w:val="en-US"/>
        </w:rPr>
        <w:tab/>
        <w:t>Jensen AR, Renaud E, Drucker NA, et al. Why wait: early enteral feeding after pediatric gastrostomy tube placement. J Pediatr Surg 2018;53:656–60. doi:10.1016/j.jpedsurg.2017.06.015.</w:t>
      </w:r>
    </w:p>
    <w:p w14:paraId="74C0D178" w14:textId="3F30D5C0" w:rsidR="007228CA" w:rsidRPr="007228CA" w:rsidRDefault="007228CA" w:rsidP="007228CA">
      <w:pPr>
        <w:widowControl w:val="0"/>
        <w:autoSpaceDE w:val="0"/>
        <w:autoSpaceDN w:val="0"/>
        <w:adjustRightInd w:val="0"/>
        <w:ind w:left="640" w:hanging="640"/>
        <w:rPr>
          <w:rFonts w:ascii="Calibri" w:hAnsi="Calibri" w:cs="Calibri"/>
          <w:noProof/>
          <w:lang w:val="en-US"/>
        </w:rPr>
      </w:pPr>
      <w:r w:rsidRPr="007228CA">
        <w:rPr>
          <w:rFonts w:ascii="Calibri" w:hAnsi="Calibri" w:cs="Calibri"/>
          <w:noProof/>
          <w:lang w:val="en-US"/>
        </w:rPr>
        <w:t>[14]</w:t>
      </w:r>
      <w:r w:rsidRPr="007228CA">
        <w:rPr>
          <w:rFonts w:ascii="Calibri" w:hAnsi="Calibri" w:cs="Calibri"/>
          <w:noProof/>
          <w:lang w:val="en-US"/>
        </w:rPr>
        <w:tab/>
        <w:t xml:space="preserve">Dekonenko C, Svetanoff WJ, Osuchukwu OO, et al. Same-day discharge for pediatric laparoscopic gastrostomy. J Pediatr Surg 2021;56:26–9. </w:t>
      </w:r>
      <w:r w:rsidRPr="007228CA">
        <w:rPr>
          <w:rFonts w:ascii="Calibri" w:hAnsi="Calibri" w:cs="Calibri"/>
          <w:noProof/>
          <w:lang w:val="en-US"/>
        </w:rPr>
        <w:lastRenderedPageBreak/>
        <w:t>doi:10.1016/j.jpedsurg.2020.09.044.</w:t>
      </w:r>
    </w:p>
    <w:p w14:paraId="2430D4CB" w14:textId="77777777" w:rsidR="007228CA" w:rsidRPr="007228CA" w:rsidRDefault="007228CA" w:rsidP="007228CA">
      <w:pPr>
        <w:widowControl w:val="0"/>
        <w:autoSpaceDE w:val="0"/>
        <w:autoSpaceDN w:val="0"/>
        <w:adjustRightInd w:val="0"/>
        <w:ind w:left="640" w:hanging="640"/>
        <w:rPr>
          <w:rFonts w:ascii="Calibri" w:hAnsi="Calibri" w:cs="Calibri"/>
          <w:noProof/>
        </w:rPr>
      </w:pPr>
      <w:r w:rsidRPr="007228CA">
        <w:rPr>
          <w:rFonts w:ascii="Calibri" w:hAnsi="Calibri" w:cs="Calibri"/>
          <w:noProof/>
          <w:lang w:val="en-US"/>
        </w:rPr>
        <w:t>[15]</w:t>
      </w:r>
      <w:r w:rsidRPr="007228CA">
        <w:rPr>
          <w:rFonts w:ascii="Calibri" w:hAnsi="Calibri" w:cs="Calibri"/>
          <w:noProof/>
          <w:lang w:val="en-US"/>
        </w:rPr>
        <w:tab/>
        <w:t>Popescu M, Mutalib M. Rate of paediatric gastrostomy insertion in England and relationship to  epidemiology of cerebral palsy. Frontline Gastroenterol 2023;14:399–406. doi:10.1136/flgastro-2022-102356.</w:t>
      </w:r>
    </w:p>
    <w:p w14:paraId="35392055" w14:textId="0786B260" w:rsidR="00E61555" w:rsidRPr="00B41B9E" w:rsidRDefault="0085381A" w:rsidP="007228CA">
      <w:pPr>
        <w:widowControl w:val="0"/>
        <w:autoSpaceDE w:val="0"/>
        <w:autoSpaceDN w:val="0"/>
        <w:adjustRightInd w:val="0"/>
        <w:ind w:left="640" w:hanging="640"/>
        <w:rPr>
          <w:rFonts w:cstheme="minorHAnsi"/>
          <w:b/>
          <w:u w:val="single"/>
        </w:rPr>
      </w:pPr>
      <w:r w:rsidRPr="00B41B9E">
        <w:rPr>
          <w:rFonts w:cstheme="minorHAnsi"/>
          <w:b/>
          <w:u w:val="single"/>
        </w:rPr>
        <w:fldChar w:fldCharType="end"/>
      </w:r>
    </w:p>
    <w:sectPr w:rsidR="00E61555" w:rsidRPr="00B41B9E" w:rsidSect="00F8716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2A35"/>
    <w:multiLevelType w:val="multilevel"/>
    <w:tmpl w:val="DA860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2303F"/>
    <w:multiLevelType w:val="multilevel"/>
    <w:tmpl w:val="2C726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0B54EF"/>
    <w:multiLevelType w:val="multilevel"/>
    <w:tmpl w:val="24BCB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71BA0"/>
    <w:multiLevelType w:val="hybridMultilevel"/>
    <w:tmpl w:val="EF786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09632C"/>
    <w:multiLevelType w:val="multilevel"/>
    <w:tmpl w:val="AB2889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BF723A"/>
    <w:multiLevelType w:val="multilevel"/>
    <w:tmpl w:val="B2D2A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EB4144"/>
    <w:multiLevelType w:val="multilevel"/>
    <w:tmpl w:val="3962D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0C3D90"/>
    <w:multiLevelType w:val="multilevel"/>
    <w:tmpl w:val="0BCCEC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8E6FC0"/>
    <w:multiLevelType w:val="hybridMultilevel"/>
    <w:tmpl w:val="6FD48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D5521"/>
    <w:multiLevelType w:val="multilevel"/>
    <w:tmpl w:val="1F0E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637318"/>
    <w:multiLevelType w:val="multilevel"/>
    <w:tmpl w:val="41E2F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0835443">
    <w:abstractNumId w:val="8"/>
  </w:num>
  <w:num w:numId="2" w16cid:durableId="271593388">
    <w:abstractNumId w:val="3"/>
  </w:num>
  <w:num w:numId="3" w16cid:durableId="693189869">
    <w:abstractNumId w:val="6"/>
  </w:num>
  <w:num w:numId="4" w16cid:durableId="802045860">
    <w:abstractNumId w:val="0"/>
  </w:num>
  <w:num w:numId="5" w16cid:durableId="730929698">
    <w:abstractNumId w:val="9"/>
  </w:num>
  <w:num w:numId="6" w16cid:durableId="767701316">
    <w:abstractNumId w:val="7"/>
  </w:num>
  <w:num w:numId="7" w16cid:durableId="1081415057">
    <w:abstractNumId w:val="10"/>
  </w:num>
  <w:num w:numId="8" w16cid:durableId="1441679345">
    <w:abstractNumId w:val="1"/>
  </w:num>
  <w:num w:numId="9" w16cid:durableId="1797482479">
    <w:abstractNumId w:val="2"/>
  </w:num>
  <w:num w:numId="10" w16cid:durableId="554439612">
    <w:abstractNumId w:val="5"/>
  </w:num>
  <w:num w:numId="11" w16cid:durableId="654183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10"/>
    <w:rsid w:val="000032D1"/>
    <w:rsid w:val="00024C39"/>
    <w:rsid w:val="00062C30"/>
    <w:rsid w:val="000719F5"/>
    <w:rsid w:val="000756AE"/>
    <w:rsid w:val="00092BC3"/>
    <w:rsid w:val="000E15A5"/>
    <w:rsid w:val="000F35B3"/>
    <w:rsid w:val="00114D8D"/>
    <w:rsid w:val="001556F8"/>
    <w:rsid w:val="00191402"/>
    <w:rsid w:val="001A7CD7"/>
    <w:rsid w:val="001D699D"/>
    <w:rsid w:val="001E3E91"/>
    <w:rsid w:val="001E6D7B"/>
    <w:rsid w:val="001F47B2"/>
    <w:rsid w:val="00216F71"/>
    <w:rsid w:val="00255D01"/>
    <w:rsid w:val="00264296"/>
    <w:rsid w:val="00277010"/>
    <w:rsid w:val="002873EB"/>
    <w:rsid w:val="00290CF8"/>
    <w:rsid w:val="002A0676"/>
    <w:rsid w:val="002A63FE"/>
    <w:rsid w:val="002B587B"/>
    <w:rsid w:val="002B7C6A"/>
    <w:rsid w:val="002D0D14"/>
    <w:rsid w:val="002D3B34"/>
    <w:rsid w:val="002F1938"/>
    <w:rsid w:val="002F3FD4"/>
    <w:rsid w:val="002F7C4F"/>
    <w:rsid w:val="00312E6C"/>
    <w:rsid w:val="00351D6D"/>
    <w:rsid w:val="003661CE"/>
    <w:rsid w:val="0037292D"/>
    <w:rsid w:val="0039483B"/>
    <w:rsid w:val="003A2C9A"/>
    <w:rsid w:val="003A6FF3"/>
    <w:rsid w:val="003A777F"/>
    <w:rsid w:val="003B3313"/>
    <w:rsid w:val="003D1707"/>
    <w:rsid w:val="003E38D3"/>
    <w:rsid w:val="003F03F6"/>
    <w:rsid w:val="003F0B28"/>
    <w:rsid w:val="00421A86"/>
    <w:rsid w:val="00447B2D"/>
    <w:rsid w:val="00471C21"/>
    <w:rsid w:val="00486E33"/>
    <w:rsid w:val="004E4C75"/>
    <w:rsid w:val="004F12D9"/>
    <w:rsid w:val="00522BD0"/>
    <w:rsid w:val="0054194A"/>
    <w:rsid w:val="005615A6"/>
    <w:rsid w:val="00572204"/>
    <w:rsid w:val="0057740C"/>
    <w:rsid w:val="00580BD1"/>
    <w:rsid w:val="005C514C"/>
    <w:rsid w:val="005D0CAA"/>
    <w:rsid w:val="005E3398"/>
    <w:rsid w:val="005F1B4D"/>
    <w:rsid w:val="005F7A3A"/>
    <w:rsid w:val="0060479D"/>
    <w:rsid w:val="00617F9B"/>
    <w:rsid w:val="00651635"/>
    <w:rsid w:val="00657F9B"/>
    <w:rsid w:val="006808B8"/>
    <w:rsid w:val="00691083"/>
    <w:rsid w:val="006957A5"/>
    <w:rsid w:val="006A5677"/>
    <w:rsid w:val="006C32F7"/>
    <w:rsid w:val="006C4BF6"/>
    <w:rsid w:val="006C6A87"/>
    <w:rsid w:val="006E495A"/>
    <w:rsid w:val="007122B2"/>
    <w:rsid w:val="00714D9D"/>
    <w:rsid w:val="007228CA"/>
    <w:rsid w:val="0072611A"/>
    <w:rsid w:val="00743F67"/>
    <w:rsid w:val="007538C1"/>
    <w:rsid w:val="007868EA"/>
    <w:rsid w:val="007A65B5"/>
    <w:rsid w:val="007C6ED8"/>
    <w:rsid w:val="007D6C21"/>
    <w:rsid w:val="007E7493"/>
    <w:rsid w:val="007F6702"/>
    <w:rsid w:val="0080092F"/>
    <w:rsid w:val="00825B52"/>
    <w:rsid w:val="00834327"/>
    <w:rsid w:val="00837AB1"/>
    <w:rsid w:val="0085381A"/>
    <w:rsid w:val="00885FE5"/>
    <w:rsid w:val="0089378A"/>
    <w:rsid w:val="0089722E"/>
    <w:rsid w:val="008A5335"/>
    <w:rsid w:val="008B1C24"/>
    <w:rsid w:val="008B3B9C"/>
    <w:rsid w:val="008D7979"/>
    <w:rsid w:val="008E6424"/>
    <w:rsid w:val="008E709D"/>
    <w:rsid w:val="008F0073"/>
    <w:rsid w:val="008F036F"/>
    <w:rsid w:val="008F098B"/>
    <w:rsid w:val="0093609E"/>
    <w:rsid w:val="00946798"/>
    <w:rsid w:val="00980331"/>
    <w:rsid w:val="00981649"/>
    <w:rsid w:val="009B0FE1"/>
    <w:rsid w:val="009C2F28"/>
    <w:rsid w:val="009D0531"/>
    <w:rsid w:val="009E1036"/>
    <w:rsid w:val="00A27EAD"/>
    <w:rsid w:val="00A51007"/>
    <w:rsid w:val="00A516E4"/>
    <w:rsid w:val="00A85C91"/>
    <w:rsid w:val="00A91F50"/>
    <w:rsid w:val="00AB11F0"/>
    <w:rsid w:val="00AC0CE4"/>
    <w:rsid w:val="00AE25CA"/>
    <w:rsid w:val="00AF1733"/>
    <w:rsid w:val="00B41B9E"/>
    <w:rsid w:val="00B53C8F"/>
    <w:rsid w:val="00B62C5D"/>
    <w:rsid w:val="00B750DC"/>
    <w:rsid w:val="00B8075A"/>
    <w:rsid w:val="00B873C6"/>
    <w:rsid w:val="00B957AD"/>
    <w:rsid w:val="00B95A40"/>
    <w:rsid w:val="00BE3492"/>
    <w:rsid w:val="00BE6335"/>
    <w:rsid w:val="00C075B3"/>
    <w:rsid w:val="00C12FB8"/>
    <w:rsid w:val="00C13E4F"/>
    <w:rsid w:val="00C16243"/>
    <w:rsid w:val="00C55382"/>
    <w:rsid w:val="00C558C9"/>
    <w:rsid w:val="00C65765"/>
    <w:rsid w:val="00C91398"/>
    <w:rsid w:val="00CA3239"/>
    <w:rsid w:val="00CB6F65"/>
    <w:rsid w:val="00CC7652"/>
    <w:rsid w:val="00CD3B82"/>
    <w:rsid w:val="00CD7263"/>
    <w:rsid w:val="00CE63C8"/>
    <w:rsid w:val="00CF65D8"/>
    <w:rsid w:val="00CF7C4A"/>
    <w:rsid w:val="00D05FA4"/>
    <w:rsid w:val="00D12890"/>
    <w:rsid w:val="00D73A17"/>
    <w:rsid w:val="00D7710D"/>
    <w:rsid w:val="00D7740D"/>
    <w:rsid w:val="00DE073A"/>
    <w:rsid w:val="00DE7A5E"/>
    <w:rsid w:val="00DF4179"/>
    <w:rsid w:val="00E06748"/>
    <w:rsid w:val="00E61555"/>
    <w:rsid w:val="00E827AF"/>
    <w:rsid w:val="00EA399C"/>
    <w:rsid w:val="00EB3F48"/>
    <w:rsid w:val="00EC42D4"/>
    <w:rsid w:val="00EC6761"/>
    <w:rsid w:val="00ED7142"/>
    <w:rsid w:val="00EE2107"/>
    <w:rsid w:val="00EE6690"/>
    <w:rsid w:val="00EF4FA9"/>
    <w:rsid w:val="00F047B1"/>
    <w:rsid w:val="00F1586A"/>
    <w:rsid w:val="00F60D83"/>
    <w:rsid w:val="00F8716C"/>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B656"/>
  <w15:chartTrackingRefBased/>
  <w15:docId w15:val="{1E43B0A4-0AAC-8D47-8AC5-D2A77731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C4A"/>
    <w:pPr>
      <w:ind w:left="720"/>
      <w:contextualSpacing/>
    </w:pPr>
  </w:style>
  <w:style w:type="character" w:styleId="CommentReference">
    <w:name w:val="annotation reference"/>
    <w:basedOn w:val="DefaultParagraphFont"/>
    <w:uiPriority w:val="99"/>
    <w:semiHidden/>
    <w:unhideWhenUsed/>
    <w:rsid w:val="002873EB"/>
    <w:rPr>
      <w:sz w:val="16"/>
      <w:szCs w:val="16"/>
    </w:rPr>
  </w:style>
  <w:style w:type="paragraph" w:styleId="CommentText">
    <w:name w:val="annotation text"/>
    <w:basedOn w:val="Normal"/>
    <w:link w:val="CommentTextChar"/>
    <w:uiPriority w:val="99"/>
    <w:unhideWhenUsed/>
    <w:rsid w:val="002873EB"/>
    <w:pPr>
      <w:spacing w:after="160"/>
    </w:pPr>
    <w:rPr>
      <w:sz w:val="20"/>
      <w:szCs w:val="20"/>
    </w:rPr>
  </w:style>
  <w:style w:type="character" w:customStyle="1" w:styleId="CommentTextChar">
    <w:name w:val="Comment Text Char"/>
    <w:basedOn w:val="DefaultParagraphFont"/>
    <w:link w:val="CommentText"/>
    <w:uiPriority w:val="99"/>
    <w:rsid w:val="002873EB"/>
    <w:rPr>
      <w:sz w:val="20"/>
      <w:szCs w:val="20"/>
    </w:rPr>
  </w:style>
  <w:style w:type="paragraph" w:styleId="BalloonText">
    <w:name w:val="Balloon Text"/>
    <w:basedOn w:val="Normal"/>
    <w:link w:val="BalloonTextChar"/>
    <w:uiPriority w:val="99"/>
    <w:semiHidden/>
    <w:unhideWhenUsed/>
    <w:rsid w:val="002873E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3E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873EB"/>
    <w:pPr>
      <w:spacing w:after="0"/>
    </w:pPr>
    <w:rPr>
      <w:b/>
      <w:bCs/>
    </w:rPr>
  </w:style>
  <w:style w:type="character" w:customStyle="1" w:styleId="CommentSubjectChar">
    <w:name w:val="Comment Subject Char"/>
    <w:basedOn w:val="CommentTextChar"/>
    <w:link w:val="CommentSubject"/>
    <w:uiPriority w:val="99"/>
    <w:semiHidden/>
    <w:rsid w:val="002873EB"/>
    <w:rPr>
      <w:b/>
      <w:bCs/>
      <w:sz w:val="20"/>
      <w:szCs w:val="20"/>
    </w:rPr>
  </w:style>
  <w:style w:type="paragraph" w:styleId="Revision">
    <w:name w:val="Revision"/>
    <w:hidden/>
    <w:uiPriority w:val="99"/>
    <w:semiHidden/>
    <w:rsid w:val="00191402"/>
  </w:style>
  <w:style w:type="paragraph" w:customStyle="1" w:styleId="msonormal0">
    <w:name w:val="msonormal"/>
    <w:basedOn w:val="Normal"/>
    <w:rsid w:val="000719F5"/>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0719F5"/>
    <w:pPr>
      <w:spacing w:before="100" w:beforeAutospacing="1" w:after="100" w:afterAutospacing="1"/>
    </w:pPr>
    <w:rPr>
      <w:rFonts w:ascii="Times New Roman" w:eastAsia="Times New Roman" w:hAnsi="Times New Roman" w:cs="Times New Roman"/>
    </w:rPr>
  </w:style>
  <w:style w:type="character" w:customStyle="1" w:styleId="textrun">
    <w:name w:val="textrun"/>
    <w:basedOn w:val="DefaultParagraphFont"/>
    <w:rsid w:val="000719F5"/>
  </w:style>
  <w:style w:type="character" w:customStyle="1" w:styleId="normaltextrun">
    <w:name w:val="normaltextrun"/>
    <w:basedOn w:val="DefaultParagraphFont"/>
    <w:rsid w:val="000719F5"/>
  </w:style>
  <w:style w:type="character" w:customStyle="1" w:styleId="eop">
    <w:name w:val="eop"/>
    <w:basedOn w:val="DefaultParagraphFont"/>
    <w:rsid w:val="000719F5"/>
  </w:style>
  <w:style w:type="paragraph" w:customStyle="1" w:styleId="outlineelement">
    <w:name w:val="outlineelement"/>
    <w:basedOn w:val="Normal"/>
    <w:rsid w:val="000719F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719F5"/>
    <w:rPr>
      <w:color w:val="0000FF"/>
      <w:u w:val="single"/>
    </w:rPr>
  </w:style>
  <w:style w:type="character" w:styleId="FollowedHyperlink">
    <w:name w:val="FollowedHyperlink"/>
    <w:basedOn w:val="DefaultParagraphFont"/>
    <w:uiPriority w:val="99"/>
    <w:semiHidden/>
    <w:unhideWhenUsed/>
    <w:rsid w:val="000719F5"/>
    <w:rPr>
      <w:color w:val="800080"/>
      <w:u w:val="single"/>
    </w:rPr>
  </w:style>
  <w:style w:type="character" w:customStyle="1" w:styleId="pagebreakblob">
    <w:name w:val="pagebreakblob"/>
    <w:basedOn w:val="DefaultParagraphFont"/>
    <w:rsid w:val="000719F5"/>
  </w:style>
  <w:style w:type="character" w:customStyle="1" w:styleId="pagebreakborderspan">
    <w:name w:val="pagebreakborderspan"/>
    <w:basedOn w:val="DefaultParagraphFont"/>
    <w:rsid w:val="000719F5"/>
  </w:style>
  <w:style w:type="character" w:customStyle="1" w:styleId="pagebreaktextspan">
    <w:name w:val="pagebreaktextspan"/>
    <w:basedOn w:val="DefaultParagraphFont"/>
    <w:rsid w:val="000719F5"/>
  </w:style>
  <w:style w:type="character" w:customStyle="1" w:styleId="trackchangetextinsertion">
    <w:name w:val="trackchangetextinsertion"/>
    <w:basedOn w:val="DefaultParagraphFont"/>
    <w:rsid w:val="000719F5"/>
  </w:style>
  <w:style w:type="character" w:customStyle="1" w:styleId="trackchangetextdeletionmarker">
    <w:name w:val="trackchangetextdeletionmarker"/>
    <w:basedOn w:val="DefaultParagraphFont"/>
    <w:rsid w:val="000719F5"/>
  </w:style>
  <w:style w:type="character" w:customStyle="1" w:styleId="fieldrange">
    <w:name w:val="fieldrange"/>
    <w:basedOn w:val="DefaultParagraphFont"/>
    <w:rsid w:val="000719F5"/>
  </w:style>
  <w:style w:type="character" w:customStyle="1" w:styleId="tabrun">
    <w:name w:val="tabrun"/>
    <w:basedOn w:val="DefaultParagraphFont"/>
    <w:rsid w:val="000719F5"/>
  </w:style>
  <w:style w:type="character" w:customStyle="1" w:styleId="tabchar">
    <w:name w:val="tabchar"/>
    <w:basedOn w:val="DefaultParagraphFont"/>
    <w:rsid w:val="000719F5"/>
  </w:style>
  <w:style w:type="character" w:customStyle="1" w:styleId="tableaderchars">
    <w:name w:val="tableaderchars"/>
    <w:basedOn w:val="DefaultParagraphFont"/>
    <w:rsid w:val="000719F5"/>
  </w:style>
  <w:style w:type="paragraph" w:styleId="NoSpacing">
    <w:name w:val="No Spacing"/>
    <w:uiPriority w:val="1"/>
    <w:qFormat/>
    <w:rsid w:val="000E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1412">
      <w:bodyDiv w:val="1"/>
      <w:marLeft w:val="0"/>
      <w:marRight w:val="0"/>
      <w:marTop w:val="0"/>
      <w:marBottom w:val="0"/>
      <w:divBdr>
        <w:top w:val="none" w:sz="0" w:space="0" w:color="auto"/>
        <w:left w:val="none" w:sz="0" w:space="0" w:color="auto"/>
        <w:bottom w:val="none" w:sz="0" w:space="0" w:color="auto"/>
        <w:right w:val="none" w:sz="0" w:space="0" w:color="auto"/>
      </w:divBdr>
      <w:divsChild>
        <w:div w:id="1268274856">
          <w:marLeft w:val="0"/>
          <w:marRight w:val="0"/>
          <w:marTop w:val="0"/>
          <w:marBottom w:val="0"/>
          <w:divBdr>
            <w:top w:val="none" w:sz="0" w:space="0" w:color="auto"/>
            <w:left w:val="none" w:sz="0" w:space="0" w:color="auto"/>
            <w:bottom w:val="none" w:sz="0" w:space="0" w:color="auto"/>
            <w:right w:val="none" w:sz="0" w:space="0" w:color="auto"/>
          </w:divBdr>
          <w:divsChild>
            <w:div w:id="428816636">
              <w:marLeft w:val="0"/>
              <w:marRight w:val="0"/>
              <w:marTop w:val="0"/>
              <w:marBottom w:val="0"/>
              <w:divBdr>
                <w:top w:val="none" w:sz="0" w:space="0" w:color="auto"/>
                <w:left w:val="none" w:sz="0" w:space="0" w:color="auto"/>
                <w:bottom w:val="none" w:sz="0" w:space="0" w:color="auto"/>
                <w:right w:val="none" w:sz="0" w:space="0" w:color="auto"/>
              </w:divBdr>
            </w:div>
            <w:div w:id="968047842">
              <w:marLeft w:val="0"/>
              <w:marRight w:val="0"/>
              <w:marTop w:val="0"/>
              <w:marBottom w:val="0"/>
              <w:divBdr>
                <w:top w:val="none" w:sz="0" w:space="0" w:color="auto"/>
                <w:left w:val="none" w:sz="0" w:space="0" w:color="auto"/>
                <w:bottom w:val="none" w:sz="0" w:space="0" w:color="auto"/>
                <w:right w:val="none" w:sz="0" w:space="0" w:color="auto"/>
              </w:divBdr>
            </w:div>
            <w:div w:id="845899538">
              <w:marLeft w:val="0"/>
              <w:marRight w:val="0"/>
              <w:marTop w:val="0"/>
              <w:marBottom w:val="0"/>
              <w:divBdr>
                <w:top w:val="none" w:sz="0" w:space="0" w:color="auto"/>
                <w:left w:val="none" w:sz="0" w:space="0" w:color="auto"/>
                <w:bottom w:val="none" w:sz="0" w:space="0" w:color="auto"/>
                <w:right w:val="none" w:sz="0" w:space="0" w:color="auto"/>
              </w:divBdr>
            </w:div>
            <w:div w:id="1338657905">
              <w:marLeft w:val="0"/>
              <w:marRight w:val="0"/>
              <w:marTop w:val="0"/>
              <w:marBottom w:val="0"/>
              <w:divBdr>
                <w:top w:val="none" w:sz="0" w:space="0" w:color="auto"/>
                <w:left w:val="none" w:sz="0" w:space="0" w:color="auto"/>
                <w:bottom w:val="none" w:sz="0" w:space="0" w:color="auto"/>
                <w:right w:val="none" w:sz="0" w:space="0" w:color="auto"/>
              </w:divBdr>
            </w:div>
            <w:div w:id="872108039">
              <w:marLeft w:val="0"/>
              <w:marRight w:val="0"/>
              <w:marTop w:val="0"/>
              <w:marBottom w:val="0"/>
              <w:divBdr>
                <w:top w:val="none" w:sz="0" w:space="0" w:color="auto"/>
                <w:left w:val="none" w:sz="0" w:space="0" w:color="auto"/>
                <w:bottom w:val="none" w:sz="0" w:space="0" w:color="auto"/>
                <w:right w:val="none" w:sz="0" w:space="0" w:color="auto"/>
              </w:divBdr>
            </w:div>
            <w:div w:id="1026635269">
              <w:marLeft w:val="0"/>
              <w:marRight w:val="0"/>
              <w:marTop w:val="0"/>
              <w:marBottom w:val="0"/>
              <w:divBdr>
                <w:top w:val="none" w:sz="0" w:space="0" w:color="auto"/>
                <w:left w:val="none" w:sz="0" w:space="0" w:color="auto"/>
                <w:bottom w:val="none" w:sz="0" w:space="0" w:color="auto"/>
                <w:right w:val="none" w:sz="0" w:space="0" w:color="auto"/>
              </w:divBdr>
            </w:div>
            <w:div w:id="1541169883">
              <w:marLeft w:val="0"/>
              <w:marRight w:val="0"/>
              <w:marTop w:val="0"/>
              <w:marBottom w:val="0"/>
              <w:divBdr>
                <w:top w:val="none" w:sz="0" w:space="0" w:color="auto"/>
                <w:left w:val="none" w:sz="0" w:space="0" w:color="auto"/>
                <w:bottom w:val="none" w:sz="0" w:space="0" w:color="auto"/>
                <w:right w:val="none" w:sz="0" w:space="0" w:color="auto"/>
              </w:divBdr>
            </w:div>
            <w:div w:id="559442261">
              <w:marLeft w:val="0"/>
              <w:marRight w:val="0"/>
              <w:marTop w:val="0"/>
              <w:marBottom w:val="0"/>
              <w:divBdr>
                <w:top w:val="none" w:sz="0" w:space="0" w:color="auto"/>
                <w:left w:val="none" w:sz="0" w:space="0" w:color="auto"/>
                <w:bottom w:val="none" w:sz="0" w:space="0" w:color="auto"/>
                <w:right w:val="none" w:sz="0" w:space="0" w:color="auto"/>
              </w:divBdr>
            </w:div>
            <w:div w:id="286813623">
              <w:marLeft w:val="0"/>
              <w:marRight w:val="0"/>
              <w:marTop w:val="0"/>
              <w:marBottom w:val="0"/>
              <w:divBdr>
                <w:top w:val="none" w:sz="0" w:space="0" w:color="auto"/>
                <w:left w:val="none" w:sz="0" w:space="0" w:color="auto"/>
                <w:bottom w:val="none" w:sz="0" w:space="0" w:color="auto"/>
                <w:right w:val="none" w:sz="0" w:space="0" w:color="auto"/>
              </w:divBdr>
            </w:div>
            <w:div w:id="1031800115">
              <w:marLeft w:val="0"/>
              <w:marRight w:val="0"/>
              <w:marTop w:val="0"/>
              <w:marBottom w:val="0"/>
              <w:divBdr>
                <w:top w:val="none" w:sz="0" w:space="0" w:color="auto"/>
                <w:left w:val="none" w:sz="0" w:space="0" w:color="auto"/>
                <w:bottom w:val="none" w:sz="0" w:space="0" w:color="auto"/>
                <w:right w:val="none" w:sz="0" w:space="0" w:color="auto"/>
              </w:divBdr>
            </w:div>
            <w:div w:id="1809662728">
              <w:marLeft w:val="0"/>
              <w:marRight w:val="0"/>
              <w:marTop w:val="0"/>
              <w:marBottom w:val="0"/>
              <w:divBdr>
                <w:top w:val="none" w:sz="0" w:space="0" w:color="auto"/>
                <w:left w:val="none" w:sz="0" w:space="0" w:color="auto"/>
                <w:bottom w:val="none" w:sz="0" w:space="0" w:color="auto"/>
                <w:right w:val="none" w:sz="0" w:space="0" w:color="auto"/>
              </w:divBdr>
            </w:div>
            <w:div w:id="425001061">
              <w:marLeft w:val="0"/>
              <w:marRight w:val="0"/>
              <w:marTop w:val="0"/>
              <w:marBottom w:val="0"/>
              <w:divBdr>
                <w:top w:val="none" w:sz="0" w:space="0" w:color="auto"/>
                <w:left w:val="none" w:sz="0" w:space="0" w:color="auto"/>
                <w:bottom w:val="none" w:sz="0" w:space="0" w:color="auto"/>
                <w:right w:val="none" w:sz="0" w:space="0" w:color="auto"/>
              </w:divBdr>
            </w:div>
            <w:div w:id="584846374">
              <w:marLeft w:val="0"/>
              <w:marRight w:val="0"/>
              <w:marTop w:val="0"/>
              <w:marBottom w:val="0"/>
              <w:divBdr>
                <w:top w:val="none" w:sz="0" w:space="0" w:color="auto"/>
                <w:left w:val="none" w:sz="0" w:space="0" w:color="auto"/>
                <w:bottom w:val="none" w:sz="0" w:space="0" w:color="auto"/>
                <w:right w:val="none" w:sz="0" w:space="0" w:color="auto"/>
              </w:divBdr>
            </w:div>
            <w:div w:id="209264347">
              <w:marLeft w:val="0"/>
              <w:marRight w:val="0"/>
              <w:marTop w:val="0"/>
              <w:marBottom w:val="0"/>
              <w:divBdr>
                <w:top w:val="none" w:sz="0" w:space="0" w:color="auto"/>
                <w:left w:val="none" w:sz="0" w:space="0" w:color="auto"/>
                <w:bottom w:val="none" w:sz="0" w:space="0" w:color="auto"/>
                <w:right w:val="none" w:sz="0" w:space="0" w:color="auto"/>
              </w:divBdr>
            </w:div>
            <w:div w:id="1342005218">
              <w:marLeft w:val="0"/>
              <w:marRight w:val="0"/>
              <w:marTop w:val="0"/>
              <w:marBottom w:val="0"/>
              <w:divBdr>
                <w:top w:val="none" w:sz="0" w:space="0" w:color="auto"/>
                <w:left w:val="none" w:sz="0" w:space="0" w:color="auto"/>
                <w:bottom w:val="none" w:sz="0" w:space="0" w:color="auto"/>
                <w:right w:val="none" w:sz="0" w:space="0" w:color="auto"/>
              </w:divBdr>
            </w:div>
            <w:div w:id="70350916">
              <w:marLeft w:val="0"/>
              <w:marRight w:val="0"/>
              <w:marTop w:val="0"/>
              <w:marBottom w:val="0"/>
              <w:divBdr>
                <w:top w:val="none" w:sz="0" w:space="0" w:color="auto"/>
                <w:left w:val="none" w:sz="0" w:space="0" w:color="auto"/>
                <w:bottom w:val="none" w:sz="0" w:space="0" w:color="auto"/>
                <w:right w:val="none" w:sz="0" w:space="0" w:color="auto"/>
              </w:divBdr>
            </w:div>
            <w:div w:id="2143960208">
              <w:marLeft w:val="0"/>
              <w:marRight w:val="0"/>
              <w:marTop w:val="0"/>
              <w:marBottom w:val="0"/>
              <w:divBdr>
                <w:top w:val="none" w:sz="0" w:space="0" w:color="auto"/>
                <w:left w:val="none" w:sz="0" w:space="0" w:color="auto"/>
                <w:bottom w:val="none" w:sz="0" w:space="0" w:color="auto"/>
                <w:right w:val="none" w:sz="0" w:space="0" w:color="auto"/>
              </w:divBdr>
            </w:div>
            <w:div w:id="131023641">
              <w:marLeft w:val="0"/>
              <w:marRight w:val="0"/>
              <w:marTop w:val="0"/>
              <w:marBottom w:val="0"/>
              <w:divBdr>
                <w:top w:val="none" w:sz="0" w:space="0" w:color="auto"/>
                <w:left w:val="none" w:sz="0" w:space="0" w:color="auto"/>
                <w:bottom w:val="none" w:sz="0" w:space="0" w:color="auto"/>
                <w:right w:val="none" w:sz="0" w:space="0" w:color="auto"/>
              </w:divBdr>
            </w:div>
            <w:div w:id="997272534">
              <w:marLeft w:val="0"/>
              <w:marRight w:val="0"/>
              <w:marTop w:val="0"/>
              <w:marBottom w:val="0"/>
              <w:divBdr>
                <w:top w:val="none" w:sz="0" w:space="0" w:color="auto"/>
                <w:left w:val="none" w:sz="0" w:space="0" w:color="auto"/>
                <w:bottom w:val="none" w:sz="0" w:space="0" w:color="auto"/>
                <w:right w:val="none" w:sz="0" w:space="0" w:color="auto"/>
              </w:divBdr>
            </w:div>
            <w:div w:id="1225675124">
              <w:marLeft w:val="0"/>
              <w:marRight w:val="0"/>
              <w:marTop w:val="0"/>
              <w:marBottom w:val="0"/>
              <w:divBdr>
                <w:top w:val="none" w:sz="0" w:space="0" w:color="auto"/>
                <w:left w:val="none" w:sz="0" w:space="0" w:color="auto"/>
                <w:bottom w:val="none" w:sz="0" w:space="0" w:color="auto"/>
                <w:right w:val="none" w:sz="0" w:space="0" w:color="auto"/>
              </w:divBdr>
            </w:div>
            <w:div w:id="1583031629">
              <w:marLeft w:val="0"/>
              <w:marRight w:val="0"/>
              <w:marTop w:val="0"/>
              <w:marBottom w:val="0"/>
              <w:divBdr>
                <w:top w:val="none" w:sz="0" w:space="0" w:color="auto"/>
                <w:left w:val="none" w:sz="0" w:space="0" w:color="auto"/>
                <w:bottom w:val="none" w:sz="0" w:space="0" w:color="auto"/>
                <w:right w:val="none" w:sz="0" w:space="0" w:color="auto"/>
              </w:divBdr>
            </w:div>
            <w:div w:id="12801572">
              <w:marLeft w:val="0"/>
              <w:marRight w:val="0"/>
              <w:marTop w:val="0"/>
              <w:marBottom w:val="0"/>
              <w:divBdr>
                <w:top w:val="none" w:sz="0" w:space="0" w:color="auto"/>
                <w:left w:val="none" w:sz="0" w:space="0" w:color="auto"/>
                <w:bottom w:val="none" w:sz="0" w:space="0" w:color="auto"/>
                <w:right w:val="none" w:sz="0" w:space="0" w:color="auto"/>
              </w:divBdr>
            </w:div>
            <w:div w:id="948469084">
              <w:marLeft w:val="0"/>
              <w:marRight w:val="0"/>
              <w:marTop w:val="0"/>
              <w:marBottom w:val="0"/>
              <w:divBdr>
                <w:top w:val="none" w:sz="0" w:space="0" w:color="auto"/>
                <w:left w:val="none" w:sz="0" w:space="0" w:color="auto"/>
                <w:bottom w:val="none" w:sz="0" w:space="0" w:color="auto"/>
                <w:right w:val="none" w:sz="0" w:space="0" w:color="auto"/>
              </w:divBdr>
            </w:div>
            <w:div w:id="1730035934">
              <w:marLeft w:val="0"/>
              <w:marRight w:val="0"/>
              <w:marTop w:val="0"/>
              <w:marBottom w:val="0"/>
              <w:divBdr>
                <w:top w:val="none" w:sz="0" w:space="0" w:color="auto"/>
                <w:left w:val="none" w:sz="0" w:space="0" w:color="auto"/>
                <w:bottom w:val="none" w:sz="0" w:space="0" w:color="auto"/>
                <w:right w:val="none" w:sz="0" w:space="0" w:color="auto"/>
              </w:divBdr>
            </w:div>
            <w:div w:id="778598021">
              <w:marLeft w:val="0"/>
              <w:marRight w:val="0"/>
              <w:marTop w:val="0"/>
              <w:marBottom w:val="0"/>
              <w:divBdr>
                <w:top w:val="none" w:sz="0" w:space="0" w:color="auto"/>
                <w:left w:val="none" w:sz="0" w:space="0" w:color="auto"/>
                <w:bottom w:val="none" w:sz="0" w:space="0" w:color="auto"/>
                <w:right w:val="none" w:sz="0" w:space="0" w:color="auto"/>
              </w:divBdr>
            </w:div>
            <w:div w:id="11298410">
              <w:marLeft w:val="0"/>
              <w:marRight w:val="0"/>
              <w:marTop w:val="0"/>
              <w:marBottom w:val="0"/>
              <w:divBdr>
                <w:top w:val="none" w:sz="0" w:space="0" w:color="auto"/>
                <w:left w:val="none" w:sz="0" w:space="0" w:color="auto"/>
                <w:bottom w:val="none" w:sz="0" w:space="0" w:color="auto"/>
                <w:right w:val="none" w:sz="0" w:space="0" w:color="auto"/>
              </w:divBdr>
            </w:div>
            <w:div w:id="368142358">
              <w:marLeft w:val="0"/>
              <w:marRight w:val="0"/>
              <w:marTop w:val="0"/>
              <w:marBottom w:val="0"/>
              <w:divBdr>
                <w:top w:val="none" w:sz="0" w:space="0" w:color="auto"/>
                <w:left w:val="none" w:sz="0" w:space="0" w:color="auto"/>
                <w:bottom w:val="none" w:sz="0" w:space="0" w:color="auto"/>
                <w:right w:val="none" w:sz="0" w:space="0" w:color="auto"/>
              </w:divBdr>
            </w:div>
            <w:div w:id="747724668">
              <w:marLeft w:val="0"/>
              <w:marRight w:val="0"/>
              <w:marTop w:val="0"/>
              <w:marBottom w:val="0"/>
              <w:divBdr>
                <w:top w:val="none" w:sz="0" w:space="0" w:color="auto"/>
                <w:left w:val="none" w:sz="0" w:space="0" w:color="auto"/>
                <w:bottom w:val="none" w:sz="0" w:space="0" w:color="auto"/>
                <w:right w:val="none" w:sz="0" w:space="0" w:color="auto"/>
              </w:divBdr>
            </w:div>
            <w:div w:id="873273275">
              <w:marLeft w:val="0"/>
              <w:marRight w:val="0"/>
              <w:marTop w:val="0"/>
              <w:marBottom w:val="0"/>
              <w:divBdr>
                <w:top w:val="none" w:sz="0" w:space="0" w:color="auto"/>
                <w:left w:val="none" w:sz="0" w:space="0" w:color="auto"/>
                <w:bottom w:val="none" w:sz="0" w:space="0" w:color="auto"/>
                <w:right w:val="none" w:sz="0" w:space="0" w:color="auto"/>
              </w:divBdr>
            </w:div>
            <w:div w:id="1605308857">
              <w:marLeft w:val="0"/>
              <w:marRight w:val="0"/>
              <w:marTop w:val="0"/>
              <w:marBottom w:val="0"/>
              <w:divBdr>
                <w:top w:val="none" w:sz="0" w:space="0" w:color="auto"/>
                <w:left w:val="none" w:sz="0" w:space="0" w:color="auto"/>
                <w:bottom w:val="none" w:sz="0" w:space="0" w:color="auto"/>
                <w:right w:val="none" w:sz="0" w:space="0" w:color="auto"/>
              </w:divBdr>
            </w:div>
            <w:div w:id="75830496">
              <w:marLeft w:val="0"/>
              <w:marRight w:val="0"/>
              <w:marTop w:val="0"/>
              <w:marBottom w:val="0"/>
              <w:divBdr>
                <w:top w:val="none" w:sz="0" w:space="0" w:color="auto"/>
                <w:left w:val="none" w:sz="0" w:space="0" w:color="auto"/>
                <w:bottom w:val="none" w:sz="0" w:space="0" w:color="auto"/>
                <w:right w:val="none" w:sz="0" w:space="0" w:color="auto"/>
              </w:divBdr>
            </w:div>
            <w:div w:id="1467314493">
              <w:marLeft w:val="0"/>
              <w:marRight w:val="0"/>
              <w:marTop w:val="0"/>
              <w:marBottom w:val="0"/>
              <w:divBdr>
                <w:top w:val="none" w:sz="0" w:space="0" w:color="auto"/>
                <w:left w:val="none" w:sz="0" w:space="0" w:color="auto"/>
                <w:bottom w:val="none" w:sz="0" w:space="0" w:color="auto"/>
                <w:right w:val="none" w:sz="0" w:space="0" w:color="auto"/>
              </w:divBdr>
            </w:div>
            <w:div w:id="1693411723">
              <w:marLeft w:val="0"/>
              <w:marRight w:val="0"/>
              <w:marTop w:val="0"/>
              <w:marBottom w:val="0"/>
              <w:divBdr>
                <w:top w:val="none" w:sz="0" w:space="0" w:color="auto"/>
                <w:left w:val="none" w:sz="0" w:space="0" w:color="auto"/>
                <w:bottom w:val="none" w:sz="0" w:space="0" w:color="auto"/>
                <w:right w:val="none" w:sz="0" w:space="0" w:color="auto"/>
              </w:divBdr>
            </w:div>
            <w:div w:id="611206682">
              <w:marLeft w:val="0"/>
              <w:marRight w:val="0"/>
              <w:marTop w:val="0"/>
              <w:marBottom w:val="0"/>
              <w:divBdr>
                <w:top w:val="none" w:sz="0" w:space="0" w:color="auto"/>
                <w:left w:val="none" w:sz="0" w:space="0" w:color="auto"/>
                <w:bottom w:val="none" w:sz="0" w:space="0" w:color="auto"/>
                <w:right w:val="none" w:sz="0" w:space="0" w:color="auto"/>
              </w:divBdr>
            </w:div>
            <w:div w:id="258493648">
              <w:marLeft w:val="0"/>
              <w:marRight w:val="0"/>
              <w:marTop w:val="0"/>
              <w:marBottom w:val="0"/>
              <w:divBdr>
                <w:top w:val="none" w:sz="0" w:space="0" w:color="auto"/>
                <w:left w:val="none" w:sz="0" w:space="0" w:color="auto"/>
                <w:bottom w:val="none" w:sz="0" w:space="0" w:color="auto"/>
                <w:right w:val="none" w:sz="0" w:space="0" w:color="auto"/>
              </w:divBdr>
            </w:div>
            <w:div w:id="306446499">
              <w:marLeft w:val="0"/>
              <w:marRight w:val="0"/>
              <w:marTop w:val="0"/>
              <w:marBottom w:val="0"/>
              <w:divBdr>
                <w:top w:val="none" w:sz="0" w:space="0" w:color="auto"/>
                <w:left w:val="none" w:sz="0" w:space="0" w:color="auto"/>
                <w:bottom w:val="none" w:sz="0" w:space="0" w:color="auto"/>
                <w:right w:val="none" w:sz="0" w:space="0" w:color="auto"/>
              </w:divBdr>
            </w:div>
            <w:div w:id="1107771697">
              <w:marLeft w:val="0"/>
              <w:marRight w:val="0"/>
              <w:marTop w:val="0"/>
              <w:marBottom w:val="0"/>
              <w:divBdr>
                <w:top w:val="none" w:sz="0" w:space="0" w:color="auto"/>
                <w:left w:val="none" w:sz="0" w:space="0" w:color="auto"/>
                <w:bottom w:val="none" w:sz="0" w:space="0" w:color="auto"/>
                <w:right w:val="none" w:sz="0" w:space="0" w:color="auto"/>
              </w:divBdr>
            </w:div>
            <w:div w:id="493185617">
              <w:marLeft w:val="0"/>
              <w:marRight w:val="0"/>
              <w:marTop w:val="0"/>
              <w:marBottom w:val="0"/>
              <w:divBdr>
                <w:top w:val="none" w:sz="0" w:space="0" w:color="auto"/>
                <w:left w:val="none" w:sz="0" w:space="0" w:color="auto"/>
                <w:bottom w:val="none" w:sz="0" w:space="0" w:color="auto"/>
                <w:right w:val="none" w:sz="0" w:space="0" w:color="auto"/>
              </w:divBdr>
            </w:div>
            <w:div w:id="1153524406">
              <w:marLeft w:val="0"/>
              <w:marRight w:val="0"/>
              <w:marTop w:val="0"/>
              <w:marBottom w:val="0"/>
              <w:divBdr>
                <w:top w:val="none" w:sz="0" w:space="0" w:color="auto"/>
                <w:left w:val="none" w:sz="0" w:space="0" w:color="auto"/>
                <w:bottom w:val="none" w:sz="0" w:space="0" w:color="auto"/>
                <w:right w:val="none" w:sz="0" w:space="0" w:color="auto"/>
              </w:divBdr>
            </w:div>
            <w:div w:id="872225689">
              <w:marLeft w:val="0"/>
              <w:marRight w:val="0"/>
              <w:marTop w:val="0"/>
              <w:marBottom w:val="0"/>
              <w:divBdr>
                <w:top w:val="none" w:sz="0" w:space="0" w:color="auto"/>
                <w:left w:val="none" w:sz="0" w:space="0" w:color="auto"/>
                <w:bottom w:val="none" w:sz="0" w:space="0" w:color="auto"/>
                <w:right w:val="none" w:sz="0" w:space="0" w:color="auto"/>
              </w:divBdr>
            </w:div>
            <w:div w:id="1944655079">
              <w:marLeft w:val="0"/>
              <w:marRight w:val="0"/>
              <w:marTop w:val="0"/>
              <w:marBottom w:val="0"/>
              <w:divBdr>
                <w:top w:val="none" w:sz="0" w:space="0" w:color="auto"/>
                <w:left w:val="none" w:sz="0" w:space="0" w:color="auto"/>
                <w:bottom w:val="none" w:sz="0" w:space="0" w:color="auto"/>
                <w:right w:val="none" w:sz="0" w:space="0" w:color="auto"/>
              </w:divBdr>
            </w:div>
            <w:div w:id="1732264343">
              <w:marLeft w:val="0"/>
              <w:marRight w:val="0"/>
              <w:marTop w:val="0"/>
              <w:marBottom w:val="0"/>
              <w:divBdr>
                <w:top w:val="none" w:sz="0" w:space="0" w:color="auto"/>
                <w:left w:val="none" w:sz="0" w:space="0" w:color="auto"/>
                <w:bottom w:val="none" w:sz="0" w:space="0" w:color="auto"/>
                <w:right w:val="none" w:sz="0" w:space="0" w:color="auto"/>
              </w:divBdr>
            </w:div>
            <w:div w:id="836654154">
              <w:marLeft w:val="0"/>
              <w:marRight w:val="0"/>
              <w:marTop w:val="0"/>
              <w:marBottom w:val="0"/>
              <w:divBdr>
                <w:top w:val="none" w:sz="0" w:space="0" w:color="auto"/>
                <w:left w:val="none" w:sz="0" w:space="0" w:color="auto"/>
                <w:bottom w:val="none" w:sz="0" w:space="0" w:color="auto"/>
                <w:right w:val="none" w:sz="0" w:space="0" w:color="auto"/>
              </w:divBdr>
            </w:div>
            <w:div w:id="1012605328">
              <w:marLeft w:val="0"/>
              <w:marRight w:val="0"/>
              <w:marTop w:val="0"/>
              <w:marBottom w:val="0"/>
              <w:divBdr>
                <w:top w:val="none" w:sz="0" w:space="0" w:color="auto"/>
                <w:left w:val="none" w:sz="0" w:space="0" w:color="auto"/>
                <w:bottom w:val="none" w:sz="0" w:space="0" w:color="auto"/>
                <w:right w:val="none" w:sz="0" w:space="0" w:color="auto"/>
              </w:divBdr>
            </w:div>
            <w:div w:id="677583910">
              <w:marLeft w:val="0"/>
              <w:marRight w:val="0"/>
              <w:marTop w:val="0"/>
              <w:marBottom w:val="0"/>
              <w:divBdr>
                <w:top w:val="none" w:sz="0" w:space="0" w:color="auto"/>
                <w:left w:val="none" w:sz="0" w:space="0" w:color="auto"/>
                <w:bottom w:val="none" w:sz="0" w:space="0" w:color="auto"/>
                <w:right w:val="none" w:sz="0" w:space="0" w:color="auto"/>
              </w:divBdr>
            </w:div>
            <w:div w:id="1847669438">
              <w:marLeft w:val="0"/>
              <w:marRight w:val="0"/>
              <w:marTop w:val="0"/>
              <w:marBottom w:val="0"/>
              <w:divBdr>
                <w:top w:val="none" w:sz="0" w:space="0" w:color="auto"/>
                <w:left w:val="none" w:sz="0" w:space="0" w:color="auto"/>
                <w:bottom w:val="none" w:sz="0" w:space="0" w:color="auto"/>
                <w:right w:val="none" w:sz="0" w:space="0" w:color="auto"/>
              </w:divBdr>
            </w:div>
            <w:div w:id="671227845">
              <w:marLeft w:val="0"/>
              <w:marRight w:val="0"/>
              <w:marTop w:val="0"/>
              <w:marBottom w:val="0"/>
              <w:divBdr>
                <w:top w:val="none" w:sz="0" w:space="0" w:color="auto"/>
                <w:left w:val="none" w:sz="0" w:space="0" w:color="auto"/>
                <w:bottom w:val="none" w:sz="0" w:space="0" w:color="auto"/>
                <w:right w:val="none" w:sz="0" w:space="0" w:color="auto"/>
              </w:divBdr>
            </w:div>
            <w:div w:id="1414624812">
              <w:marLeft w:val="0"/>
              <w:marRight w:val="0"/>
              <w:marTop w:val="0"/>
              <w:marBottom w:val="0"/>
              <w:divBdr>
                <w:top w:val="none" w:sz="0" w:space="0" w:color="auto"/>
                <w:left w:val="none" w:sz="0" w:space="0" w:color="auto"/>
                <w:bottom w:val="none" w:sz="0" w:space="0" w:color="auto"/>
                <w:right w:val="none" w:sz="0" w:space="0" w:color="auto"/>
              </w:divBdr>
            </w:div>
            <w:div w:id="775293286">
              <w:marLeft w:val="0"/>
              <w:marRight w:val="0"/>
              <w:marTop w:val="0"/>
              <w:marBottom w:val="0"/>
              <w:divBdr>
                <w:top w:val="none" w:sz="0" w:space="0" w:color="auto"/>
                <w:left w:val="none" w:sz="0" w:space="0" w:color="auto"/>
                <w:bottom w:val="none" w:sz="0" w:space="0" w:color="auto"/>
                <w:right w:val="none" w:sz="0" w:space="0" w:color="auto"/>
              </w:divBdr>
            </w:div>
            <w:div w:id="162941208">
              <w:marLeft w:val="0"/>
              <w:marRight w:val="0"/>
              <w:marTop w:val="0"/>
              <w:marBottom w:val="0"/>
              <w:divBdr>
                <w:top w:val="none" w:sz="0" w:space="0" w:color="auto"/>
                <w:left w:val="none" w:sz="0" w:space="0" w:color="auto"/>
                <w:bottom w:val="none" w:sz="0" w:space="0" w:color="auto"/>
                <w:right w:val="none" w:sz="0" w:space="0" w:color="auto"/>
              </w:divBdr>
            </w:div>
          </w:divsChild>
        </w:div>
        <w:div w:id="111368491">
          <w:marLeft w:val="0"/>
          <w:marRight w:val="0"/>
          <w:marTop w:val="0"/>
          <w:marBottom w:val="0"/>
          <w:divBdr>
            <w:top w:val="none" w:sz="0" w:space="0" w:color="auto"/>
            <w:left w:val="none" w:sz="0" w:space="0" w:color="auto"/>
            <w:bottom w:val="none" w:sz="0" w:space="0" w:color="auto"/>
            <w:right w:val="none" w:sz="0" w:space="0" w:color="auto"/>
          </w:divBdr>
        </w:div>
        <w:div w:id="1687706424">
          <w:marLeft w:val="0"/>
          <w:marRight w:val="0"/>
          <w:marTop w:val="0"/>
          <w:marBottom w:val="0"/>
          <w:divBdr>
            <w:top w:val="none" w:sz="0" w:space="0" w:color="auto"/>
            <w:left w:val="none" w:sz="0" w:space="0" w:color="auto"/>
            <w:bottom w:val="none" w:sz="0" w:space="0" w:color="auto"/>
            <w:right w:val="none" w:sz="0" w:space="0" w:color="auto"/>
          </w:divBdr>
        </w:div>
        <w:div w:id="100539151">
          <w:marLeft w:val="0"/>
          <w:marRight w:val="0"/>
          <w:marTop w:val="0"/>
          <w:marBottom w:val="0"/>
          <w:divBdr>
            <w:top w:val="none" w:sz="0" w:space="0" w:color="auto"/>
            <w:left w:val="none" w:sz="0" w:space="0" w:color="auto"/>
            <w:bottom w:val="none" w:sz="0" w:space="0" w:color="auto"/>
            <w:right w:val="none" w:sz="0" w:space="0" w:color="auto"/>
          </w:divBdr>
        </w:div>
        <w:div w:id="355817782">
          <w:marLeft w:val="0"/>
          <w:marRight w:val="0"/>
          <w:marTop w:val="0"/>
          <w:marBottom w:val="0"/>
          <w:divBdr>
            <w:top w:val="none" w:sz="0" w:space="0" w:color="auto"/>
            <w:left w:val="none" w:sz="0" w:space="0" w:color="auto"/>
            <w:bottom w:val="none" w:sz="0" w:space="0" w:color="auto"/>
            <w:right w:val="none" w:sz="0" w:space="0" w:color="auto"/>
          </w:divBdr>
        </w:div>
        <w:div w:id="487793119">
          <w:marLeft w:val="0"/>
          <w:marRight w:val="0"/>
          <w:marTop w:val="0"/>
          <w:marBottom w:val="0"/>
          <w:divBdr>
            <w:top w:val="none" w:sz="0" w:space="0" w:color="auto"/>
            <w:left w:val="none" w:sz="0" w:space="0" w:color="auto"/>
            <w:bottom w:val="none" w:sz="0" w:space="0" w:color="auto"/>
            <w:right w:val="none" w:sz="0" w:space="0" w:color="auto"/>
          </w:divBdr>
        </w:div>
        <w:div w:id="1955937952">
          <w:marLeft w:val="0"/>
          <w:marRight w:val="0"/>
          <w:marTop w:val="0"/>
          <w:marBottom w:val="0"/>
          <w:divBdr>
            <w:top w:val="none" w:sz="0" w:space="0" w:color="auto"/>
            <w:left w:val="none" w:sz="0" w:space="0" w:color="auto"/>
            <w:bottom w:val="none" w:sz="0" w:space="0" w:color="auto"/>
            <w:right w:val="none" w:sz="0" w:space="0" w:color="auto"/>
          </w:divBdr>
        </w:div>
        <w:div w:id="325861950">
          <w:marLeft w:val="0"/>
          <w:marRight w:val="0"/>
          <w:marTop w:val="0"/>
          <w:marBottom w:val="0"/>
          <w:divBdr>
            <w:top w:val="none" w:sz="0" w:space="0" w:color="auto"/>
            <w:left w:val="none" w:sz="0" w:space="0" w:color="auto"/>
            <w:bottom w:val="none" w:sz="0" w:space="0" w:color="auto"/>
            <w:right w:val="none" w:sz="0" w:space="0" w:color="auto"/>
          </w:divBdr>
        </w:div>
        <w:div w:id="1893421791">
          <w:marLeft w:val="0"/>
          <w:marRight w:val="0"/>
          <w:marTop w:val="0"/>
          <w:marBottom w:val="0"/>
          <w:divBdr>
            <w:top w:val="none" w:sz="0" w:space="0" w:color="auto"/>
            <w:left w:val="none" w:sz="0" w:space="0" w:color="auto"/>
            <w:bottom w:val="none" w:sz="0" w:space="0" w:color="auto"/>
            <w:right w:val="none" w:sz="0" w:space="0" w:color="auto"/>
          </w:divBdr>
        </w:div>
        <w:div w:id="1741058080">
          <w:marLeft w:val="0"/>
          <w:marRight w:val="0"/>
          <w:marTop w:val="0"/>
          <w:marBottom w:val="0"/>
          <w:divBdr>
            <w:top w:val="none" w:sz="0" w:space="0" w:color="auto"/>
            <w:left w:val="none" w:sz="0" w:space="0" w:color="auto"/>
            <w:bottom w:val="none" w:sz="0" w:space="0" w:color="auto"/>
            <w:right w:val="none" w:sz="0" w:space="0" w:color="auto"/>
          </w:divBdr>
        </w:div>
        <w:div w:id="396780337">
          <w:marLeft w:val="0"/>
          <w:marRight w:val="0"/>
          <w:marTop w:val="0"/>
          <w:marBottom w:val="0"/>
          <w:divBdr>
            <w:top w:val="none" w:sz="0" w:space="0" w:color="auto"/>
            <w:left w:val="none" w:sz="0" w:space="0" w:color="auto"/>
            <w:bottom w:val="none" w:sz="0" w:space="0" w:color="auto"/>
            <w:right w:val="none" w:sz="0" w:space="0" w:color="auto"/>
          </w:divBdr>
        </w:div>
        <w:div w:id="1784108406">
          <w:marLeft w:val="0"/>
          <w:marRight w:val="0"/>
          <w:marTop w:val="0"/>
          <w:marBottom w:val="0"/>
          <w:divBdr>
            <w:top w:val="none" w:sz="0" w:space="0" w:color="auto"/>
            <w:left w:val="none" w:sz="0" w:space="0" w:color="auto"/>
            <w:bottom w:val="none" w:sz="0" w:space="0" w:color="auto"/>
            <w:right w:val="none" w:sz="0" w:space="0" w:color="auto"/>
          </w:divBdr>
        </w:div>
        <w:div w:id="1127159265">
          <w:marLeft w:val="0"/>
          <w:marRight w:val="0"/>
          <w:marTop w:val="0"/>
          <w:marBottom w:val="0"/>
          <w:divBdr>
            <w:top w:val="none" w:sz="0" w:space="0" w:color="auto"/>
            <w:left w:val="none" w:sz="0" w:space="0" w:color="auto"/>
            <w:bottom w:val="none" w:sz="0" w:space="0" w:color="auto"/>
            <w:right w:val="none" w:sz="0" w:space="0" w:color="auto"/>
          </w:divBdr>
        </w:div>
        <w:div w:id="1454324357">
          <w:marLeft w:val="0"/>
          <w:marRight w:val="0"/>
          <w:marTop w:val="0"/>
          <w:marBottom w:val="0"/>
          <w:divBdr>
            <w:top w:val="none" w:sz="0" w:space="0" w:color="auto"/>
            <w:left w:val="none" w:sz="0" w:space="0" w:color="auto"/>
            <w:bottom w:val="none" w:sz="0" w:space="0" w:color="auto"/>
            <w:right w:val="none" w:sz="0" w:space="0" w:color="auto"/>
          </w:divBdr>
        </w:div>
        <w:div w:id="191497673">
          <w:marLeft w:val="0"/>
          <w:marRight w:val="0"/>
          <w:marTop w:val="0"/>
          <w:marBottom w:val="0"/>
          <w:divBdr>
            <w:top w:val="none" w:sz="0" w:space="0" w:color="auto"/>
            <w:left w:val="none" w:sz="0" w:space="0" w:color="auto"/>
            <w:bottom w:val="none" w:sz="0" w:space="0" w:color="auto"/>
            <w:right w:val="none" w:sz="0" w:space="0" w:color="auto"/>
          </w:divBdr>
        </w:div>
        <w:div w:id="1874729117">
          <w:marLeft w:val="0"/>
          <w:marRight w:val="0"/>
          <w:marTop w:val="0"/>
          <w:marBottom w:val="0"/>
          <w:divBdr>
            <w:top w:val="none" w:sz="0" w:space="0" w:color="auto"/>
            <w:left w:val="none" w:sz="0" w:space="0" w:color="auto"/>
            <w:bottom w:val="none" w:sz="0" w:space="0" w:color="auto"/>
            <w:right w:val="none" w:sz="0" w:space="0" w:color="auto"/>
          </w:divBdr>
        </w:div>
        <w:div w:id="1075275941">
          <w:marLeft w:val="0"/>
          <w:marRight w:val="0"/>
          <w:marTop w:val="0"/>
          <w:marBottom w:val="0"/>
          <w:divBdr>
            <w:top w:val="none" w:sz="0" w:space="0" w:color="auto"/>
            <w:left w:val="none" w:sz="0" w:space="0" w:color="auto"/>
            <w:bottom w:val="none" w:sz="0" w:space="0" w:color="auto"/>
            <w:right w:val="none" w:sz="0" w:space="0" w:color="auto"/>
          </w:divBdr>
        </w:div>
        <w:div w:id="734934009">
          <w:marLeft w:val="0"/>
          <w:marRight w:val="0"/>
          <w:marTop w:val="0"/>
          <w:marBottom w:val="0"/>
          <w:divBdr>
            <w:top w:val="none" w:sz="0" w:space="0" w:color="auto"/>
            <w:left w:val="none" w:sz="0" w:space="0" w:color="auto"/>
            <w:bottom w:val="none" w:sz="0" w:space="0" w:color="auto"/>
            <w:right w:val="none" w:sz="0" w:space="0" w:color="auto"/>
          </w:divBdr>
        </w:div>
        <w:div w:id="1708750711">
          <w:marLeft w:val="0"/>
          <w:marRight w:val="0"/>
          <w:marTop w:val="0"/>
          <w:marBottom w:val="0"/>
          <w:divBdr>
            <w:top w:val="none" w:sz="0" w:space="0" w:color="auto"/>
            <w:left w:val="none" w:sz="0" w:space="0" w:color="auto"/>
            <w:bottom w:val="none" w:sz="0" w:space="0" w:color="auto"/>
            <w:right w:val="none" w:sz="0" w:space="0" w:color="auto"/>
          </w:divBdr>
        </w:div>
        <w:div w:id="1258830134">
          <w:marLeft w:val="0"/>
          <w:marRight w:val="0"/>
          <w:marTop w:val="0"/>
          <w:marBottom w:val="0"/>
          <w:divBdr>
            <w:top w:val="none" w:sz="0" w:space="0" w:color="auto"/>
            <w:left w:val="none" w:sz="0" w:space="0" w:color="auto"/>
            <w:bottom w:val="none" w:sz="0" w:space="0" w:color="auto"/>
            <w:right w:val="none" w:sz="0" w:space="0" w:color="auto"/>
          </w:divBdr>
        </w:div>
        <w:div w:id="1406027146">
          <w:marLeft w:val="0"/>
          <w:marRight w:val="0"/>
          <w:marTop w:val="0"/>
          <w:marBottom w:val="0"/>
          <w:divBdr>
            <w:top w:val="none" w:sz="0" w:space="0" w:color="auto"/>
            <w:left w:val="none" w:sz="0" w:space="0" w:color="auto"/>
            <w:bottom w:val="none" w:sz="0" w:space="0" w:color="auto"/>
            <w:right w:val="none" w:sz="0" w:space="0" w:color="auto"/>
          </w:divBdr>
        </w:div>
        <w:div w:id="1850832234">
          <w:marLeft w:val="0"/>
          <w:marRight w:val="0"/>
          <w:marTop w:val="0"/>
          <w:marBottom w:val="0"/>
          <w:divBdr>
            <w:top w:val="none" w:sz="0" w:space="0" w:color="auto"/>
            <w:left w:val="none" w:sz="0" w:space="0" w:color="auto"/>
            <w:bottom w:val="none" w:sz="0" w:space="0" w:color="auto"/>
            <w:right w:val="none" w:sz="0" w:space="0" w:color="auto"/>
          </w:divBdr>
        </w:div>
        <w:div w:id="321006912">
          <w:marLeft w:val="0"/>
          <w:marRight w:val="0"/>
          <w:marTop w:val="0"/>
          <w:marBottom w:val="0"/>
          <w:divBdr>
            <w:top w:val="none" w:sz="0" w:space="0" w:color="auto"/>
            <w:left w:val="none" w:sz="0" w:space="0" w:color="auto"/>
            <w:bottom w:val="none" w:sz="0" w:space="0" w:color="auto"/>
            <w:right w:val="none" w:sz="0" w:space="0" w:color="auto"/>
          </w:divBdr>
        </w:div>
        <w:div w:id="316887932">
          <w:marLeft w:val="0"/>
          <w:marRight w:val="0"/>
          <w:marTop w:val="0"/>
          <w:marBottom w:val="0"/>
          <w:divBdr>
            <w:top w:val="none" w:sz="0" w:space="0" w:color="auto"/>
            <w:left w:val="none" w:sz="0" w:space="0" w:color="auto"/>
            <w:bottom w:val="none" w:sz="0" w:space="0" w:color="auto"/>
            <w:right w:val="none" w:sz="0" w:space="0" w:color="auto"/>
          </w:divBdr>
        </w:div>
        <w:div w:id="1600680689">
          <w:marLeft w:val="0"/>
          <w:marRight w:val="0"/>
          <w:marTop w:val="0"/>
          <w:marBottom w:val="0"/>
          <w:divBdr>
            <w:top w:val="none" w:sz="0" w:space="0" w:color="auto"/>
            <w:left w:val="none" w:sz="0" w:space="0" w:color="auto"/>
            <w:bottom w:val="none" w:sz="0" w:space="0" w:color="auto"/>
            <w:right w:val="none" w:sz="0" w:space="0" w:color="auto"/>
          </w:divBdr>
        </w:div>
        <w:div w:id="1035086043">
          <w:marLeft w:val="0"/>
          <w:marRight w:val="0"/>
          <w:marTop w:val="0"/>
          <w:marBottom w:val="0"/>
          <w:divBdr>
            <w:top w:val="none" w:sz="0" w:space="0" w:color="auto"/>
            <w:left w:val="none" w:sz="0" w:space="0" w:color="auto"/>
            <w:bottom w:val="none" w:sz="0" w:space="0" w:color="auto"/>
            <w:right w:val="none" w:sz="0" w:space="0" w:color="auto"/>
          </w:divBdr>
        </w:div>
        <w:div w:id="1607887608">
          <w:marLeft w:val="0"/>
          <w:marRight w:val="0"/>
          <w:marTop w:val="0"/>
          <w:marBottom w:val="0"/>
          <w:divBdr>
            <w:top w:val="none" w:sz="0" w:space="0" w:color="auto"/>
            <w:left w:val="none" w:sz="0" w:space="0" w:color="auto"/>
            <w:bottom w:val="none" w:sz="0" w:space="0" w:color="auto"/>
            <w:right w:val="none" w:sz="0" w:space="0" w:color="auto"/>
          </w:divBdr>
        </w:div>
        <w:div w:id="1462923058">
          <w:marLeft w:val="0"/>
          <w:marRight w:val="0"/>
          <w:marTop w:val="0"/>
          <w:marBottom w:val="0"/>
          <w:divBdr>
            <w:top w:val="none" w:sz="0" w:space="0" w:color="auto"/>
            <w:left w:val="none" w:sz="0" w:space="0" w:color="auto"/>
            <w:bottom w:val="none" w:sz="0" w:space="0" w:color="auto"/>
            <w:right w:val="none" w:sz="0" w:space="0" w:color="auto"/>
          </w:divBdr>
        </w:div>
        <w:div w:id="1956784540">
          <w:marLeft w:val="0"/>
          <w:marRight w:val="0"/>
          <w:marTop w:val="0"/>
          <w:marBottom w:val="0"/>
          <w:divBdr>
            <w:top w:val="none" w:sz="0" w:space="0" w:color="auto"/>
            <w:left w:val="none" w:sz="0" w:space="0" w:color="auto"/>
            <w:bottom w:val="none" w:sz="0" w:space="0" w:color="auto"/>
            <w:right w:val="none" w:sz="0" w:space="0" w:color="auto"/>
          </w:divBdr>
        </w:div>
        <w:div w:id="1373070582">
          <w:marLeft w:val="0"/>
          <w:marRight w:val="0"/>
          <w:marTop w:val="0"/>
          <w:marBottom w:val="0"/>
          <w:divBdr>
            <w:top w:val="none" w:sz="0" w:space="0" w:color="auto"/>
            <w:left w:val="none" w:sz="0" w:space="0" w:color="auto"/>
            <w:bottom w:val="none" w:sz="0" w:space="0" w:color="auto"/>
            <w:right w:val="none" w:sz="0" w:space="0" w:color="auto"/>
          </w:divBdr>
        </w:div>
        <w:div w:id="1603225449">
          <w:marLeft w:val="0"/>
          <w:marRight w:val="0"/>
          <w:marTop w:val="0"/>
          <w:marBottom w:val="0"/>
          <w:divBdr>
            <w:top w:val="none" w:sz="0" w:space="0" w:color="auto"/>
            <w:left w:val="none" w:sz="0" w:space="0" w:color="auto"/>
            <w:bottom w:val="none" w:sz="0" w:space="0" w:color="auto"/>
            <w:right w:val="none" w:sz="0" w:space="0" w:color="auto"/>
          </w:divBdr>
        </w:div>
        <w:div w:id="453259147">
          <w:marLeft w:val="0"/>
          <w:marRight w:val="0"/>
          <w:marTop w:val="0"/>
          <w:marBottom w:val="0"/>
          <w:divBdr>
            <w:top w:val="none" w:sz="0" w:space="0" w:color="auto"/>
            <w:left w:val="none" w:sz="0" w:space="0" w:color="auto"/>
            <w:bottom w:val="none" w:sz="0" w:space="0" w:color="auto"/>
            <w:right w:val="none" w:sz="0" w:space="0" w:color="auto"/>
          </w:divBdr>
        </w:div>
        <w:div w:id="49767968">
          <w:marLeft w:val="0"/>
          <w:marRight w:val="0"/>
          <w:marTop w:val="0"/>
          <w:marBottom w:val="0"/>
          <w:divBdr>
            <w:top w:val="none" w:sz="0" w:space="0" w:color="auto"/>
            <w:left w:val="none" w:sz="0" w:space="0" w:color="auto"/>
            <w:bottom w:val="none" w:sz="0" w:space="0" w:color="auto"/>
            <w:right w:val="none" w:sz="0" w:space="0" w:color="auto"/>
          </w:divBdr>
        </w:div>
        <w:div w:id="2009558845">
          <w:marLeft w:val="0"/>
          <w:marRight w:val="0"/>
          <w:marTop w:val="0"/>
          <w:marBottom w:val="0"/>
          <w:divBdr>
            <w:top w:val="none" w:sz="0" w:space="0" w:color="auto"/>
            <w:left w:val="none" w:sz="0" w:space="0" w:color="auto"/>
            <w:bottom w:val="none" w:sz="0" w:space="0" w:color="auto"/>
            <w:right w:val="none" w:sz="0" w:space="0" w:color="auto"/>
          </w:divBdr>
        </w:div>
        <w:div w:id="674117909">
          <w:marLeft w:val="0"/>
          <w:marRight w:val="0"/>
          <w:marTop w:val="0"/>
          <w:marBottom w:val="0"/>
          <w:divBdr>
            <w:top w:val="none" w:sz="0" w:space="0" w:color="auto"/>
            <w:left w:val="none" w:sz="0" w:space="0" w:color="auto"/>
            <w:bottom w:val="none" w:sz="0" w:space="0" w:color="auto"/>
            <w:right w:val="none" w:sz="0" w:space="0" w:color="auto"/>
          </w:divBdr>
        </w:div>
        <w:div w:id="1746804132">
          <w:marLeft w:val="0"/>
          <w:marRight w:val="0"/>
          <w:marTop w:val="0"/>
          <w:marBottom w:val="0"/>
          <w:divBdr>
            <w:top w:val="none" w:sz="0" w:space="0" w:color="auto"/>
            <w:left w:val="none" w:sz="0" w:space="0" w:color="auto"/>
            <w:bottom w:val="none" w:sz="0" w:space="0" w:color="auto"/>
            <w:right w:val="none" w:sz="0" w:space="0" w:color="auto"/>
          </w:divBdr>
        </w:div>
        <w:div w:id="906232446">
          <w:marLeft w:val="0"/>
          <w:marRight w:val="0"/>
          <w:marTop w:val="0"/>
          <w:marBottom w:val="0"/>
          <w:divBdr>
            <w:top w:val="none" w:sz="0" w:space="0" w:color="auto"/>
            <w:left w:val="none" w:sz="0" w:space="0" w:color="auto"/>
            <w:bottom w:val="none" w:sz="0" w:space="0" w:color="auto"/>
            <w:right w:val="none" w:sz="0" w:space="0" w:color="auto"/>
          </w:divBdr>
        </w:div>
        <w:div w:id="543255404">
          <w:marLeft w:val="0"/>
          <w:marRight w:val="0"/>
          <w:marTop w:val="0"/>
          <w:marBottom w:val="0"/>
          <w:divBdr>
            <w:top w:val="none" w:sz="0" w:space="0" w:color="auto"/>
            <w:left w:val="none" w:sz="0" w:space="0" w:color="auto"/>
            <w:bottom w:val="none" w:sz="0" w:space="0" w:color="auto"/>
            <w:right w:val="none" w:sz="0" w:space="0" w:color="auto"/>
          </w:divBdr>
        </w:div>
        <w:div w:id="883297344">
          <w:marLeft w:val="0"/>
          <w:marRight w:val="0"/>
          <w:marTop w:val="0"/>
          <w:marBottom w:val="0"/>
          <w:divBdr>
            <w:top w:val="none" w:sz="0" w:space="0" w:color="auto"/>
            <w:left w:val="none" w:sz="0" w:space="0" w:color="auto"/>
            <w:bottom w:val="none" w:sz="0" w:space="0" w:color="auto"/>
            <w:right w:val="none" w:sz="0" w:space="0" w:color="auto"/>
          </w:divBdr>
        </w:div>
        <w:div w:id="190341696">
          <w:marLeft w:val="0"/>
          <w:marRight w:val="0"/>
          <w:marTop w:val="0"/>
          <w:marBottom w:val="0"/>
          <w:divBdr>
            <w:top w:val="none" w:sz="0" w:space="0" w:color="auto"/>
            <w:left w:val="none" w:sz="0" w:space="0" w:color="auto"/>
            <w:bottom w:val="none" w:sz="0" w:space="0" w:color="auto"/>
            <w:right w:val="none" w:sz="0" w:space="0" w:color="auto"/>
          </w:divBdr>
        </w:div>
        <w:div w:id="1586526594">
          <w:marLeft w:val="0"/>
          <w:marRight w:val="0"/>
          <w:marTop w:val="0"/>
          <w:marBottom w:val="0"/>
          <w:divBdr>
            <w:top w:val="none" w:sz="0" w:space="0" w:color="auto"/>
            <w:left w:val="none" w:sz="0" w:space="0" w:color="auto"/>
            <w:bottom w:val="none" w:sz="0" w:space="0" w:color="auto"/>
            <w:right w:val="none" w:sz="0" w:space="0" w:color="auto"/>
          </w:divBdr>
        </w:div>
        <w:div w:id="242960721">
          <w:marLeft w:val="0"/>
          <w:marRight w:val="0"/>
          <w:marTop w:val="0"/>
          <w:marBottom w:val="0"/>
          <w:divBdr>
            <w:top w:val="none" w:sz="0" w:space="0" w:color="auto"/>
            <w:left w:val="none" w:sz="0" w:space="0" w:color="auto"/>
            <w:bottom w:val="none" w:sz="0" w:space="0" w:color="auto"/>
            <w:right w:val="none" w:sz="0" w:space="0" w:color="auto"/>
          </w:divBdr>
        </w:div>
        <w:div w:id="1325664516">
          <w:marLeft w:val="0"/>
          <w:marRight w:val="0"/>
          <w:marTop w:val="0"/>
          <w:marBottom w:val="0"/>
          <w:divBdr>
            <w:top w:val="none" w:sz="0" w:space="0" w:color="auto"/>
            <w:left w:val="none" w:sz="0" w:space="0" w:color="auto"/>
            <w:bottom w:val="none" w:sz="0" w:space="0" w:color="auto"/>
            <w:right w:val="none" w:sz="0" w:space="0" w:color="auto"/>
          </w:divBdr>
        </w:div>
        <w:div w:id="1485008757">
          <w:marLeft w:val="0"/>
          <w:marRight w:val="0"/>
          <w:marTop w:val="0"/>
          <w:marBottom w:val="0"/>
          <w:divBdr>
            <w:top w:val="none" w:sz="0" w:space="0" w:color="auto"/>
            <w:left w:val="none" w:sz="0" w:space="0" w:color="auto"/>
            <w:bottom w:val="none" w:sz="0" w:space="0" w:color="auto"/>
            <w:right w:val="none" w:sz="0" w:space="0" w:color="auto"/>
          </w:divBdr>
        </w:div>
        <w:div w:id="2052073658">
          <w:marLeft w:val="0"/>
          <w:marRight w:val="0"/>
          <w:marTop w:val="0"/>
          <w:marBottom w:val="0"/>
          <w:divBdr>
            <w:top w:val="none" w:sz="0" w:space="0" w:color="auto"/>
            <w:left w:val="none" w:sz="0" w:space="0" w:color="auto"/>
            <w:bottom w:val="none" w:sz="0" w:space="0" w:color="auto"/>
            <w:right w:val="none" w:sz="0" w:space="0" w:color="auto"/>
          </w:divBdr>
        </w:div>
        <w:div w:id="1878619908">
          <w:marLeft w:val="0"/>
          <w:marRight w:val="0"/>
          <w:marTop w:val="0"/>
          <w:marBottom w:val="0"/>
          <w:divBdr>
            <w:top w:val="none" w:sz="0" w:space="0" w:color="auto"/>
            <w:left w:val="none" w:sz="0" w:space="0" w:color="auto"/>
            <w:bottom w:val="none" w:sz="0" w:space="0" w:color="auto"/>
            <w:right w:val="none" w:sz="0" w:space="0" w:color="auto"/>
          </w:divBdr>
        </w:div>
        <w:div w:id="27072767">
          <w:marLeft w:val="0"/>
          <w:marRight w:val="0"/>
          <w:marTop w:val="0"/>
          <w:marBottom w:val="0"/>
          <w:divBdr>
            <w:top w:val="none" w:sz="0" w:space="0" w:color="auto"/>
            <w:left w:val="none" w:sz="0" w:space="0" w:color="auto"/>
            <w:bottom w:val="none" w:sz="0" w:space="0" w:color="auto"/>
            <w:right w:val="none" w:sz="0" w:space="0" w:color="auto"/>
          </w:divBdr>
        </w:div>
        <w:div w:id="2138251769">
          <w:marLeft w:val="0"/>
          <w:marRight w:val="0"/>
          <w:marTop w:val="0"/>
          <w:marBottom w:val="0"/>
          <w:divBdr>
            <w:top w:val="none" w:sz="0" w:space="0" w:color="auto"/>
            <w:left w:val="none" w:sz="0" w:space="0" w:color="auto"/>
            <w:bottom w:val="none" w:sz="0" w:space="0" w:color="auto"/>
            <w:right w:val="none" w:sz="0" w:space="0" w:color="auto"/>
          </w:divBdr>
        </w:div>
        <w:div w:id="1631282964">
          <w:marLeft w:val="0"/>
          <w:marRight w:val="0"/>
          <w:marTop w:val="0"/>
          <w:marBottom w:val="0"/>
          <w:divBdr>
            <w:top w:val="none" w:sz="0" w:space="0" w:color="auto"/>
            <w:left w:val="none" w:sz="0" w:space="0" w:color="auto"/>
            <w:bottom w:val="none" w:sz="0" w:space="0" w:color="auto"/>
            <w:right w:val="none" w:sz="0" w:space="0" w:color="auto"/>
          </w:divBdr>
        </w:div>
        <w:div w:id="19012691">
          <w:marLeft w:val="0"/>
          <w:marRight w:val="0"/>
          <w:marTop w:val="0"/>
          <w:marBottom w:val="0"/>
          <w:divBdr>
            <w:top w:val="none" w:sz="0" w:space="0" w:color="auto"/>
            <w:left w:val="none" w:sz="0" w:space="0" w:color="auto"/>
            <w:bottom w:val="none" w:sz="0" w:space="0" w:color="auto"/>
            <w:right w:val="none" w:sz="0" w:space="0" w:color="auto"/>
          </w:divBdr>
        </w:div>
        <w:div w:id="679938715">
          <w:marLeft w:val="0"/>
          <w:marRight w:val="0"/>
          <w:marTop w:val="0"/>
          <w:marBottom w:val="0"/>
          <w:divBdr>
            <w:top w:val="none" w:sz="0" w:space="0" w:color="auto"/>
            <w:left w:val="none" w:sz="0" w:space="0" w:color="auto"/>
            <w:bottom w:val="none" w:sz="0" w:space="0" w:color="auto"/>
            <w:right w:val="none" w:sz="0" w:space="0" w:color="auto"/>
          </w:divBdr>
        </w:div>
        <w:div w:id="1982884162">
          <w:marLeft w:val="0"/>
          <w:marRight w:val="0"/>
          <w:marTop w:val="0"/>
          <w:marBottom w:val="0"/>
          <w:divBdr>
            <w:top w:val="none" w:sz="0" w:space="0" w:color="auto"/>
            <w:left w:val="none" w:sz="0" w:space="0" w:color="auto"/>
            <w:bottom w:val="none" w:sz="0" w:space="0" w:color="auto"/>
            <w:right w:val="none" w:sz="0" w:space="0" w:color="auto"/>
          </w:divBdr>
        </w:div>
        <w:div w:id="700865746">
          <w:marLeft w:val="0"/>
          <w:marRight w:val="0"/>
          <w:marTop w:val="0"/>
          <w:marBottom w:val="0"/>
          <w:divBdr>
            <w:top w:val="none" w:sz="0" w:space="0" w:color="auto"/>
            <w:left w:val="none" w:sz="0" w:space="0" w:color="auto"/>
            <w:bottom w:val="none" w:sz="0" w:space="0" w:color="auto"/>
            <w:right w:val="none" w:sz="0" w:space="0" w:color="auto"/>
          </w:divBdr>
        </w:div>
        <w:div w:id="1960263108">
          <w:marLeft w:val="0"/>
          <w:marRight w:val="0"/>
          <w:marTop w:val="0"/>
          <w:marBottom w:val="0"/>
          <w:divBdr>
            <w:top w:val="none" w:sz="0" w:space="0" w:color="auto"/>
            <w:left w:val="none" w:sz="0" w:space="0" w:color="auto"/>
            <w:bottom w:val="none" w:sz="0" w:space="0" w:color="auto"/>
            <w:right w:val="none" w:sz="0" w:space="0" w:color="auto"/>
          </w:divBdr>
        </w:div>
        <w:div w:id="534536569">
          <w:marLeft w:val="0"/>
          <w:marRight w:val="0"/>
          <w:marTop w:val="0"/>
          <w:marBottom w:val="0"/>
          <w:divBdr>
            <w:top w:val="none" w:sz="0" w:space="0" w:color="auto"/>
            <w:left w:val="none" w:sz="0" w:space="0" w:color="auto"/>
            <w:bottom w:val="none" w:sz="0" w:space="0" w:color="auto"/>
            <w:right w:val="none" w:sz="0" w:space="0" w:color="auto"/>
          </w:divBdr>
        </w:div>
        <w:div w:id="211814155">
          <w:marLeft w:val="0"/>
          <w:marRight w:val="0"/>
          <w:marTop w:val="0"/>
          <w:marBottom w:val="0"/>
          <w:divBdr>
            <w:top w:val="none" w:sz="0" w:space="0" w:color="auto"/>
            <w:left w:val="none" w:sz="0" w:space="0" w:color="auto"/>
            <w:bottom w:val="none" w:sz="0" w:space="0" w:color="auto"/>
            <w:right w:val="none" w:sz="0" w:space="0" w:color="auto"/>
          </w:divBdr>
        </w:div>
        <w:div w:id="1137719774">
          <w:marLeft w:val="0"/>
          <w:marRight w:val="0"/>
          <w:marTop w:val="0"/>
          <w:marBottom w:val="0"/>
          <w:divBdr>
            <w:top w:val="none" w:sz="0" w:space="0" w:color="auto"/>
            <w:left w:val="none" w:sz="0" w:space="0" w:color="auto"/>
            <w:bottom w:val="none" w:sz="0" w:space="0" w:color="auto"/>
            <w:right w:val="none" w:sz="0" w:space="0" w:color="auto"/>
          </w:divBdr>
        </w:div>
        <w:div w:id="179856763">
          <w:marLeft w:val="0"/>
          <w:marRight w:val="0"/>
          <w:marTop w:val="0"/>
          <w:marBottom w:val="0"/>
          <w:divBdr>
            <w:top w:val="none" w:sz="0" w:space="0" w:color="auto"/>
            <w:left w:val="none" w:sz="0" w:space="0" w:color="auto"/>
            <w:bottom w:val="none" w:sz="0" w:space="0" w:color="auto"/>
            <w:right w:val="none" w:sz="0" w:space="0" w:color="auto"/>
          </w:divBdr>
        </w:div>
        <w:div w:id="1184704315">
          <w:marLeft w:val="0"/>
          <w:marRight w:val="0"/>
          <w:marTop w:val="0"/>
          <w:marBottom w:val="0"/>
          <w:divBdr>
            <w:top w:val="none" w:sz="0" w:space="0" w:color="auto"/>
            <w:left w:val="none" w:sz="0" w:space="0" w:color="auto"/>
            <w:bottom w:val="none" w:sz="0" w:space="0" w:color="auto"/>
            <w:right w:val="none" w:sz="0" w:space="0" w:color="auto"/>
          </w:divBdr>
        </w:div>
        <w:div w:id="56976302">
          <w:marLeft w:val="0"/>
          <w:marRight w:val="0"/>
          <w:marTop w:val="0"/>
          <w:marBottom w:val="0"/>
          <w:divBdr>
            <w:top w:val="none" w:sz="0" w:space="0" w:color="auto"/>
            <w:left w:val="none" w:sz="0" w:space="0" w:color="auto"/>
            <w:bottom w:val="none" w:sz="0" w:space="0" w:color="auto"/>
            <w:right w:val="none" w:sz="0" w:space="0" w:color="auto"/>
          </w:divBdr>
        </w:div>
        <w:div w:id="698167486">
          <w:marLeft w:val="0"/>
          <w:marRight w:val="0"/>
          <w:marTop w:val="0"/>
          <w:marBottom w:val="0"/>
          <w:divBdr>
            <w:top w:val="none" w:sz="0" w:space="0" w:color="auto"/>
            <w:left w:val="none" w:sz="0" w:space="0" w:color="auto"/>
            <w:bottom w:val="none" w:sz="0" w:space="0" w:color="auto"/>
            <w:right w:val="none" w:sz="0" w:space="0" w:color="auto"/>
          </w:divBdr>
        </w:div>
        <w:div w:id="55471181">
          <w:marLeft w:val="0"/>
          <w:marRight w:val="0"/>
          <w:marTop w:val="0"/>
          <w:marBottom w:val="0"/>
          <w:divBdr>
            <w:top w:val="none" w:sz="0" w:space="0" w:color="auto"/>
            <w:left w:val="none" w:sz="0" w:space="0" w:color="auto"/>
            <w:bottom w:val="none" w:sz="0" w:space="0" w:color="auto"/>
            <w:right w:val="none" w:sz="0" w:space="0" w:color="auto"/>
          </w:divBdr>
        </w:div>
        <w:div w:id="1587767433">
          <w:marLeft w:val="0"/>
          <w:marRight w:val="0"/>
          <w:marTop w:val="0"/>
          <w:marBottom w:val="0"/>
          <w:divBdr>
            <w:top w:val="none" w:sz="0" w:space="0" w:color="auto"/>
            <w:left w:val="none" w:sz="0" w:space="0" w:color="auto"/>
            <w:bottom w:val="none" w:sz="0" w:space="0" w:color="auto"/>
            <w:right w:val="none" w:sz="0" w:space="0" w:color="auto"/>
          </w:divBdr>
        </w:div>
        <w:div w:id="1897815279">
          <w:marLeft w:val="0"/>
          <w:marRight w:val="0"/>
          <w:marTop w:val="0"/>
          <w:marBottom w:val="0"/>
          <w:divBdr>
            <w:top w:val="none" w:sz="0" w:space="0" w:color="auto"/>
            <w:left w:val="none" w:sz="0" w:space="0" w:color="auto"/>
            <w:bottom w:val="none" w:sz="0" w:space="0" w:color="auto"/>
            <w:right w:val="none" w:sz="0" w:space="0" w:color="auto"/>
          </w:divBdr>
        </w:div>
        <w:div w:id="1638103982">
          <w:marLeft w:val="0"/>
          <w:marRight w:val="0"/>
          <w:marTop w:val="0"/>
          <w:marBottom w:val="0"/>
          <w:divBdr>
            <w:top w:val="none" w:sz="0" w:space="0" w:color="auto"/>
            <w:left w:val="none" w:sz="0" w:space="0" w:color="auto"/>
            <w:bottom w:val="none" w:sz="0" w:space="0" w:color="auto"/>
            <w:right w:val="none" w:sz="0" w:space="0" w:color="auto"/>
          </w:divBdr>
        </w:div>
        <w:div w:id="2145346849">
          <w:marLeft w:val="0"/>
          <w:marRight w:val="0"/>
          <w:marTop w:val="0"/>
          <w:marBottom w:val="0"/>
          <w:divBdr>
            <w:top w:val="none" w:sz="0" w:space="0" w:color="auto"/>
            <w:left w:val="none" w:sz="0" w:space="0" w:color="auto"/>
            <w:bottom w:val="none" w:sz="0" w:space="0" w:color="auto"/>
            <w:right w:val="none" w:sz="0" w:space="0" w:color="auto"/>
          </w:divBdr>
        </w:div>
        <w:div w:id="1261059574">
          <w:marLeft w:val="0"/>
          <w:marRight w:val="0"/>
          <w:marTop w:val="0"/>
          <w:marBottom w:val="0"/>
          <w:divBdr>
            <w:top w:val="none" w:sz="0" w:space="0" w:color="auto"/>
            <w:left w:val="none" w:sz="0" w:space="0" w:color="auto"/>
            <w:bottom w:val="none" w:sz="0" w:space="0" w:color="auto"/>
            <w:right w:val="none" w:sz="0" w:space="0" w:color="auto"/>
          </w:divBdr>
        </w:div>
        <w:div w:id="502429397">
          <w:marLeft w:val="0"/>
          <w:marRight w:val="0"/>
          <w:marTop w:val="0"/>
          <w:marBottom w:val="0"/>
          <w:divBdr>
            <w:top w:val="none" w:sz="0" w:space="0" w:color="auto"/>
            <w:left w:val="none" w:sz="0" w:space="0" w:color="auto"/>
            <w:bottom w:val="none" w:sz="0" w:space="0" w:color="auto"/>
            <w:right w:val="none" w:sz="0" w:space="0" w:color="auto"/>
          </w:divBdr>
        </w:div>
        <w:div w:id="86922651">
          <w:marLeft w:val="0"/>
          <w:marRight w:val="0"/>
          <w:marTop w:val="0"/>
          <w:marBottom w:val="0"/>
          <w:divBdr>
            <w:top w:val="none" w:sz="0" w:space="0" w:color="auto"/>
            <w:left w:val="none" w:sz="0" w:space="0" w:color="auto"/>
            <w:bottom w:val="none" w:sz="0" w:space="0" w:color="auto"/>
            <w:right w:val="none" w:sz="0" w:space="0" w:color="auto"/>
          </w:divBdr>
        </w:div>
        <w:div w:id="847914258">
          <w:marLeft w:val="0"/>
          <w:marRight w:val="0"/>
          <w:marTop w:val="0"/>
          <w:marBottom w:val="0"/>
          <w:divBdr>
            <w:top w:val="none" w:sz="0" w:space="0" w:color="auto"/>
            <w:left w:val="none" w:sz="0" w:space="0" w:color="auto"/>
            <w:bottom w:val="none" w:sz="0" w:space="0" w:color="auto"/>
            <w:right w:val="none" w:sz="0" w:space="0" w:color="auto"/>
          </w:divBdr>
        </w:div>
        <w:div w:id="900019660">
          <w:marLeft w:val="0"/>
          <w:marRight w:val="0"/>
          <w:marTop w:val="0"/>
          <w:marBottom w:val="0"/>
          <w:divBdr>
            <w:top w:val="none" w:sz="0" w:space="0" w:color="auto"/>
            <w:left w:val="none" w:sz="0" w:space="0" w:color="auto"/>
            <w:bottom w:val="none" w:sz="0" w:space="0" w:color="auto"/>
            <w:right w:val="none" w:sz="0" w:space="0" w:color="auto"/>
          </w:divBdr>
        </w:div>
        <w:div w:id="1742750030">
          <w:marLeft w:val="0"/>
          <w:marRight w:val="0"/>
          <w:marTop w:val="0"/>
          <w:marBottom w:val="0"/>
          <w:divBdr>
            <w:top w:val="none" w:sz="0" w:space="0" w:color="auto"/>
            <w:left w:val="none" w:sz="0" w:space="0" w:color="auto"/>
            <w:bottom w:val="none" w:sz="0" w:space="0" w:color="auto"/>
            <w:right w:val="none" w:sz="0" w:space="0" w:color="auto"/>
          </w:divBdr>
        </w:div>
        <w:div w:id="1577596035">
          <w:marLeft w:val="0"/>
          <w:marRight w:val="0"/>
          <w:marTop w:val="0"/>
          <w:marBottom w:val="0"/>
          <w:divBdr>
            <w:top w:val="none" w:sz="0" w:space="0" w:color="auto"/>
            <w:left w:val="none" w:sz="0" w:space="0" w:color="auto"/>
            <w:bottom w:val="none" w:sz="0" w:space="0" w:color="auto"/>
            <w:right w:val="none" w:sz="0" w:space="0" w:color="auto"/>
          </w:divBdr>
        </w:div>
        <w:div w:id="513571551">
          <w:marLeft w:val="0"/>
          <w:marRight w:val="0"/>
          <w:marTop w:val="0"/>
          <w:marBottom w:val="0"/>
          <w:divBdr>
            <w:top w:val="none" w:sz="0" w:space="0" w:color="auto"/>
            <w:left w:val="none" w:sz="0" w:space="0" w:color="auto"/>
            <w:bottom w:val="none" w:sz="0" w:space="0" w:color="auto"/>
            <w:right w:val="none" w:sz="0" w:space="0" w:color="auto"/>
          </w:divBdr>
        </w:div>
        <w:div w:id="1718047330">
          <w:marLeft w:val="0"/>
          <w:marRight w:val="0"/>
          <w:marTop w:val="0"/>
          <w:marBottom w:val="0"/>
          <w:divBdr>
            <w:top w:val="none" w:sz="0" w:space="0" w:color="auto"/>
            <w:left w:val="none" w:sz="0" w:space="0" w:color="auto"/>
            <w:bottom w:val="none" w:sz="0" w:space="0" w:color="auto"/>
            <w:right w:val="none" w:sz="0" w:space="0" w:color="auto"/>
          </w:divBdr>
        </w:div>
        <w:div w:id="349070393">
          <w:marLeft w:val="0"/>
          <w:marRight w:val="0"/>
          <w:marTop w:val="0"/>
          <w:marBottom w:val="0"/>
          <w:divBdr>
            <w:top w:val="none" w:sz="0" w:space="0" w:color="auto"/>
            <w:left w:val="none" w:sz="0" w:space="0" w:color="auto"/>
            <w:bottom w:val="none" w:sz="0" w:space="0" w:color="auto"/>
            <w:right w:val="none" w:sz="0" w:space="0" w:color="auto"/>
          </w:divBdr>
        </w:div>
        <w:div w:id="23554903">
          <w:marLeft w:val="0"/>
          <w:marRight w:val="0"/>
          <w:marTop w:val="0"/>
          <w:marBottom w:val="0"/>
          <w:divBdr>
            <w:top w:val="none" w:sz="0" w:space="0" w:color="auto"/>
            <w:left w:val="none" w:sz="0" w:space="0" w:color="auto"/>
            <w:bottom w:val="none" w:sz="0" w:space="0" w:color="auto"/>
            <w:right w:val="none" w:sz="0" w:space="0" w:color="auto"/>
          </w:divBdr>
        </w:div>
        <w:div w:id="87624972">
          <w:marLeft w:val="0"/>
          <w:marRight w:val="0"/>
          <w:marTop w:val="0"/>
          <w:marBottom w:val="0"/>
          <w:divBdr>
            <w:top w:val="none" w:sz="0" w:space="0" w:color="auto"/>
            <w:left w:val="none" w:sz="0" w:space="0" w:color="auto"/>
            <w:bottom w:val="none" w:sz="0" w:space="0" w:color="auto"/>
            <w:right w:val="none" w:sz="0" w:space="0" w:color="auto"/>
          </w:divBdr>
        </w:div>
        <w:div w:id="322394626">
          <w:marLeft w:val="0"/>
          <w:marRight w:val="0"/>
          <w:marTop w:val="0"/>
          <w:marBottom w:val="0"/>
          <w:divBdr>
            <w:top w:val="none" w:sz="0" w:space="0" w:color="auto"/>
            <w:left w:val="none" w:sz="0" w:space="0" w:color="auto"/>
            <w:bottom w:val="none" w:sz="0" w:space="0" w:color="auto"/>
            <w:right w:val="none" w:sz="0" w:space="0" w:color="auto"/>
          </w:divBdr>
        </w:div>
        <w:div w:id="742216873">
          <w:marLeft w:val="0"/>
          <w:marRight w:val="0"/>
          <w:marTop w:val="0"/>
          <w:marBottom w:val="0"/>
          <w:divBdr>
            <w:top w:val="none" w:sz="0" w:space="0" w:color="auto"/>
            <w:left w:val="none" w:sz="0" w:space="0" w:color="auto"/>
            <w:bottom w:val="none" w:sz="0" w:space="0" w:color="auto"/>
            <w:right w:val="none" w:sz="0" w:space="0" w:color="auto"/>
          </w:divBdr>
        </w:div>
        <w:div w:id="1784230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j.hall@soton.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DE6DA-508D-E44E-8116-914668F2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10731</Words>
  <Characters>58487</Characters>
  <Application>Microsoft Office Word</Application>
  <DocSecurity>0</DocSecurity>
  <Lines>9747</Lines>
  <Paragraphs>3296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Thompson</dc:creator>
  <cp:keywords/>
  <dc:description/>
  <cp:lastModifiedBy>Nigel Hall</cp:lastModifiedBy>
  <cp:revision>7</cp:revision>
  <dcterms:created xsi:type="dcterms:W3CDTF">2024-12-05T13:50:00Z</dcterms:created>
  <dcterms:modified xsi:type="dcterms:W3CDTF">2024-12-06T13:49:00Z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http://www.zotero.org/styles/british-journal-of-surgery</vt:lpwstr>
  </property>
  <property fmtid="{D5CDD505-2E9C-101B-9397-08002B2CF9AE}" pid="11" name="Mendeley Recent Style Name 4_1">
    <vt:lpwstr>British Journal of Surgery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http://www.zotero.org/styles/journal-of-pediatric-surgery</vt:lpwstr>
  </property>
  <property fmtid="{D5CDD505-2E9C-101B-9397-08002B2CF9AE}" pid="15" name="Mendeley Recent Style Name 6_1">
    <vt:lpwstr>Journal of Pediatric Surgery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f1ee3ad7-d5e5-3de4-84ce-2cf32b3000bb</vt:lpwstr>
  </property>
  <property fmtid="{D5CDD505-2E9C-101B-9397-08002B2CF9AE}" pid="24" name="Mendeley Citation Style_1">
    <vt:lpwstr>http://www.zotero.org/styles/journal-of-pediatric-surgery</vt:lpwstr>
  </property>
</Properties>
</file>