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BFB6" w14:textId="77777777" w:rsidR="00C92627" w:rsidRPr="002E5D23" w:rsidRDefault="00C92627" w:rsidP="00690A63">
      <w:pPr>
        <w:pStyle w:val="MDPI11articletype"/>
        <w:rPr>
          <w:color w:val="auto"/>
          <w:szCs w:val="20"/>
          <w:lang w:val="en-GB"/>
        </w:rPr>
      </w:pPr>
      <w:r w:rsidRPr="002E5D23">
        <w:rPr>
          <w:color w:val="auto"/>
          <w:szCs w:val="20"/>
          <w:lang w:val="en-GB"/>
        </w:rPr>
        <w:t>Article</w:t>
      </w:r>
    </w:p>
    <w:p w14:paraId="0D71905F" w14:textId="73C41E39" w:rsidR="00C92627" w:rsidRPr="002E5D23" w:rsidRDefault="00C92627" w:rsidP="00690A63">
      <w:pPr>
        <w:pStyle w:val="MDPI12title"/>
        <w:rPr>
          <w:rFonts w:eastAsiaTheme="minorEastAsia"/>
          <w:color w:val="auto"/>
          <w:szCs w:val="36"/>
          <w:lang w:val="en-GB" w:eastAsia="zh-CN"/>
        </w:rPr>
      </w:pPr>
      <w:r w:rsidRPr="002E5D23">
        <w:rPr>
          <w:color w:val="auto"/>
          <w:szCs w:val="36"/>
          <w:lang w:val="en-GB"/>
        </w:rPr>
        <w:t xml:space="preserve">Diet </w:t>
      </w:r>
      <w:r w:rsidR="00690A63" w:rsidRPr="002E5D23">
        <w:rPr>
          <w:color w:val="auto"/>
          <w:szCs w:val="36"/>
          <w:lang w:val="en-GB"/>
        </w:rPr>
        <w:t xml:space="preserve">Quality Trajectories </w:t>
      </w:r>
      <w:r w:rsidRPr="002E5D23">
        <w:rPr>
          <w:color w:val="auto"/>
          <w:szCs w:val="36"/>
          <w:lang w:val="en-GB"/>
        </w:rPr>
        <w:t xml:space="preserve">and </w:t>
      </w:r>
      <w:r w:rsidR="00690A63" w:rsidRPr="002E5D23">
        <w:rPr>
          <w:color w:val="auto"/>
          <w:szCs w:val="36"/>
          <w:lang w:val="en-GB"/>
        </w:rPr>
        <w:t xml:space="preserve">Musculoskeletal Health Among </w:t>
      </w:r>
      <w:r w:rsidRPr="002E5D23">
        <w:rPr>
          <w:color w:val="auto"/>
          <w:szCs w:val="36"/>
          <w:lang w:val="en-GB"/>
        </w:rPr>
        <w:t xml:space="preserve">the </w:t>
      </w:r>
      <w:r w:rsidR="00690A63" w:rsidRPr="002E5D23">
        <w:rPr>
          <w:color w:val="auto"/>
          <w:szCs w:val="36"/>
          <w:lang w:val="en-GB"/>
        </w:rPr>
        <w:t>Oldest Old</w:t>
      </w:r>
      <w:r w:rsidRPr="002E5D23">
        <w:rPr>
          <w:color w:val="auto"/>
          <w:szCs w:val="36"/>
          <w:lang w:val="en-GB"/>
        </w:rPr>
        <w:t xml:space="preserve">: </w:t>
      </w:r>
      <w:r w:rsidR="00690A63" w:rsidRPr="002E5D23">
        <w:rPr>
          <w:color w:val="auto"/>
          <w:szCs w:val="36"/>
          <w:lang w:val="en-GB"/>
        </w:rPr>
        <w:t xml:space="preserve">Findings </w:t>
      </w:r>
      <w:r w:rsidRPr="002E5D23">
        <w:rPr>
          <w:color w:val="auto"/>
          <w:szCs w:val="36"/>
          <w:lang w:val="en-GB"/>
        </w:rPr>
        <w:t>from the Hertfordshire Cohort Study</w:t>
      </w:r>
    </w:p>
    <w:p w14:paraId="7ACDE85A" w14:textId="60718846" w:rsidR="00857440" w:rsidRPr="002E5D23" w:rsidRDefault="00C92627" w:rsidP="007A4253">
      <w:pPr>
        <w:pStyle w:val="MDPI13authornames"/>
        <w:rPr>
          <w:snapToGrid w:val="0"/>
          <w:color w:val="auto"/>
          <w:szCs w:val="20"/>
          <w:lang w:val="en-GB"/>
        </w:rPr>
      </w:pPr>
      <w:r w:rsidRPr="002E5D23">
        <w:rPr>
          <w:snapToGrid w:val="0"/>
          <w:color w:val="auto"/>
          <w:szCs w:val="20"/>
          <w:lang w:val="en-GB"/>
        </w:rPr>
        <w:t>Elaine M</w:t>
      </w:r>
      <w:r w:rsidR="007A4253" w:rsidRPr="002E5D23">
        <w:rPr>
          <w:rFonts w:eastAsiaTheme="minorEastAsia" w:hint="eastAsia"/>
          <w:snapToGrid w:val="0"/>
          <w:color w:val="auto"/>
          <w:szCs w:val="20"/>
          <w:lang w:val="en-GB" w:eastAsia="zh-CN"/>
        </w:rPr>
        <w:t>.</w:t>
      </w:r>
      <w:r w:rsidRPr="002E5D23">
        <w:rPr>
          <w:snapToGrid w:val="0"/>
          <w:color w:val="auto"/>
          <w:szCs w:val="20"/>
          <w:lang w:val="en-GB"/>
        </w:rPr>
        <w:t xml:space="preserve"> Dennison</w:t>
      </w:r>
      <w:r w:rsidR="00690A63" w:rsidRPr="002E5D23">
        <w:rPr>
          <w:snapToGrid w:val="0"/>
          <w:color w:val="auto"/>
          <w:szCs w:val="20"/>
          <w:lang w:val="en-GB"/>
        </w:rPr>
        <w:t xml:space="preserve"> </w:t>
      </w:r>
      <w:r w:rsidRPr="002E5D23">
        <w:rPr>
          <w:snapToGrid w:val="0"/>
          <w:color w:val="auto"/>
          <w:szCs w:val="20"/>
          <w:vertAlign w:val="superscript"/>
          <w:lang w:val="en-GB"/>
        </w:rPr>
        <w:t>1,2,3</w:t>
      </w:r>
      <w:r w:rsidRPr="002E5D23">
        <w:rPr>
          <w:snapToGrid w:val="0"/>
          <w:color w:val="auto"/>
          <w:szCs w:val="20"/>
          <w:lang w:val="en-GB"/>
        </w:rPr>
        <w:t>, Faidra Laskou</w:t>
      </w:r>
      <w:r w:rsidR="00690A63" w:rsidRPr="002E5D23">
        <w:rPr>
          <w:snapToGrid w:val="0"/>
          <w:color w:val="auto"/>
          <w:szCs w:val="20"/>
          <w:lang w:val="en-GB"/>
        </w:rPr>
        <w:t xml:space="preserve"> </w:t>
      </w:r>
      <w:r w:rsidRPr="002E5D23">
        <w:rPr>
          <w:snapToGrid w:val="0"/>
          <w:color w:val="auto"/>
          <w:szCs w:val="20"/>
          <w:vertAlign w:val="superscript"/>
          <w:lang w:val="en-GB"/>
        </w:rPr>
        <w:t>1</w:t>
      </w:r>
      <w:r w:rsidRPr="002E5D23">
        <w:rPr>
          <w:snapToGrid w:val="0"/>
          <w:color w:val="auto"/>
          <w:szCs w:val="20"/>
          <w:lang w:val="en-GB"/>
        </w:rPr>
        <w:t>, Harnish P</w:t>
      </w:r>
      <w:r w:rsidR="00A0559E" w:rsidRPr="002E5D23">
        <w:rPr>
          <w:rFonts w:eastAsiaTheme="minorEastAsia" w:hint="eastAsia"/>
          <w:snapToGrid w:val="0"/>
          <w:color w:val="auto"/>
          <w:szCs w:val="20"/>
          <w:lang w:val="en-GB" w:eastAsia="zh-CN"/>
        </w:rPr>
        <w:t>.</w:t>
      </w:r>
      <w:r w:rsidRPr="002E5D23">
        <w:rPr>
          <w:snapToGrid w:val="0"/>
          <w:color w:val="auto"/>
          <w:szCs w:val="20"/>
          <w:lang w:val="en-GB"/>
        </w:rPr>
        <w:t xml:space="preserve"> Patel</w:t>
      </w:r>
      <w:r w:rsidR="00690A63" w:rsidRPr="002E5D23">
        <w:rPr>
          <w:snapToGrid w:val="0"/>
          <w:color w:val="auto"/>
          <w:szCs w:val="20"/>
          <w:lang w:val="en-GB"/>
        </w:rPr>
        <w:t xml:space="preserve"> </w:t>
      </w:r>
      <w:r w:rsidRPr="002E5D23">
        <w:rPr>
          <w:snapToGrid w:val="0"/>
          <w:color w:val="auto"/>
          <w:szCs w:val="20"/>
          <w:vertAlign w:val="superscript"/>
          <w:lang w:val="en-GB"/>
        </w:rPr>
        <w:t>1,2,4</w:t>
      </w:r>
      <w:r w:rsidRPr="002E5D23">
        <w:rPr>
          <w:snapToGrid w:val="0"/>
          <w:color w:val="auto"/>
          <w:szCs w:val="20"/>
          <w:lang w:val="en-GB"/>
        </w:rPr>
        <w:t>, Nicholas Fuggle</w:t>
      </w:r>
      <w:r w:rsidR="00690A63" w:rsidRPr="002E5D23">
        <w:rPr>
          <w:snapToGrid w:val="0"/>
          <w:color w:val="auto"/>
          <w:szCs w:val="20"/>
          <w:lang w:val="en-GB"/>
        </w:rPr>
        <w:t xml:space="preserve"> </w:t>
      </w:r>
      <w:r w:rsidRPr="002E5D23">
        <w:rPr>
          <w:snapToGrid w:val="0"/>
          <w:color w:val="auto"/>
          <w:szCs w:val="20"/>
          <w:vertAlign w:val="superscript"/>
          <w:lang w:val="en-GB"/>
        </w:rPr>
        <w:t>1</w:t>
      </w:r>
      <w:r w:rsidR="0016727F" w:rsidRPr="002E5D23">
        <w:rPr>
          <w:rFonts w:eastAsiaTheme="minorEastAsia" w:hint="eastAsia"/>
          <w:snapToGrid w:val="0"/>
          <w:color w:val="auto"/>
          <w:szCs w:val="20"/>
          <w:lang w:val="en-GB" w:eastAsia="zh-CN"/>
        </w:rPr>
        <w:t>,</w:t>
      </w:r>
      <w:r w:rsidRPr="002E5D23">
        <w:rPr>
          <w:snapToGrid w:val="0"/>
          <w:color w:val="auto"/>
          <w:szCs w:val="20"/>
          <w:lang w:val="en-GB"/>
        </w:rPr>
        <w:t xml:space="preserve"> Kate A</w:t>
      </w:r>
      <w:r w:rsidR="00A0559E" w:rsidRPr="002E5D23">
        <w:rPr>
          <w:rFonts w:eastAsiaTheme="minorEastAsia" w:hint="eastAsia"/>
          <w:snapToGrid w:val="0"/>
          <w:color w:val="auto"/>
          <w:szCs w:val="20"/>
          <w:lang w:val="en-GB" w:eastAsia="zh-CN"/>
        </w:rPr>
        <w:t>.</w:t>
      </w:r>
      <w:r w:rsidRPr="002E5D23">
        <w:rPr>
          <w:snapToGrid w:val="0"/>
          <w:color w:val="auto"/>
          <w:szCs w:val="20"/>
          <w:lang w:val="en-GB"/>
        </w:rPr>
        <w:t xml:space="preserve"> Ward</w:t>
      </w:r>
      <w:r w:rsidR="00690A63" w:rsidRPr="002E5D23">
        <w:rPr>
          <w:snapToGrid w:val="0"/>
          <w:color w:val="auto"/>
          <w:szCs w:val="20"/>
          <w:lang w:val="en-GB"/>
        </w:rPr>
        <w:t xml:space="preserve"> </w:t>
      </w:r>
      <w:r w:rsidRPr="002E5D23">
        <w:rPr>
          <w:snapToGrid w:val="0"/>
          <w:color w:val="auto"/>
          <w:szCs w:val="20"/>
          <w:vertAlign w:val="superscript"/>
          <w:lang w:val="en-GB"/>
        </w:rPr>
        <w:t>1,2</w:t>
      </w:r>
      <w:r w:rsidRPr="002E5D23">
        <w:rPr>
          <w:snapToGrid w:val="0"/>
          <w:color w:val="auto"/>
          <w:szCs w:val="20"/>
          <w:lang w:val="en-GB"/>
        </w:rPr>
        <w:t xml:space="preserve">, </w:t>
      </w:r>
      <w:r w:rsidR="007A4253" w:rsidRPr="002E5D23">
        <w:rPr>
          <w:snapToGrid w:val="0"/>
          <w:color w:val="auto"/>
          <w:szCs w:val="20"/>
          <w:lang w:val="en-GB"/>
        </w:rPr>
        <w:br/>
      </w:r>
      <w:r w:rsidRPr="002E5D23">
        <w:rPr>
          <w:snapToGrid w:val="0"/>
          <w:color w:val="auto"/>
          <w:szCs w:val="20"/>
          <w:lang w:val="en-GB"/>
        </w:rPr>
        <w:t>Gregorio Bevilacqua</w:t>
      </w:r>
      <w:r w:rsidR="00690A63" w:rsidRPr="002E5D23">
        <w:rPr>
          <w:snapToGrid w:val="0"/>
          <w:color w:val="auto"/>
          <w:szCs w:val="20"/>
          <w:lang w:val="en-GB"/>
        </w:rPr>
        <w:t xml:space="preserve"> </w:t>
      </w:r>
      <w:r w:rsidRPr="002E5D23">
        <w:rPr>
          <w:snapToGrid w:val="0"/>
          <w:color w:val="auto"/>
          <w:szCs w:val="20"/>
          <w:vertAlign w:val="superscript"/>
          <w:lang w:val="en-GB"/>
        </w:rPr>
        <w:t>1</w:t>
      </w:r>
      <w:r w:rsidR="00690A63" w:rsidRPr="002E5D23">
        <w:rPr>
          <w:snapToGrid w:val="0"/>
          <w:color w:val="auto"/>
          <w:szCs w:val="20"/>
          <w:lang w:val="en-GB"/>
        </w:rPr>
        <w:t xml:space="preserve"> and </w:t>
      </w:r>
      <w:r w:rsidRPr="002E5D23">
        <w:rPr>
          <w:snapToGrid w:val="0"/>
          <w:color w:val="auto"/>
          <w:szCs w:val="20"/>
          <w:lang w:val="en-GB"/>
        </w:rPr>
        <w:t>Leo D</w:t>
      </w:r>
      <w:r w:rsidR="008D0C7F" w:rsidRPr="002E5D23">
        <w:rPr>
          <w:rFonts w:eastAsiaTheme="minorEastAsia" w:hint="eastAsia"/>
          <w:snapToGrid w:val="0"/>
          <w:color w:val="auto"/>
          <w:szCs w:val="20"/>
          <w:lang w:val="en-GB" w:eastAsia="zh-CN"/>
        </w:rPr>
        <w:t>.</w:t>
      </w:r>
      <w:r w:rsidRPr="002E5D23">
        <w:rPr>
          <w:snapToGrid w:val="0"/>
          <w:color w:val="auto"/>
          <w:szCs w:val="20"/>
          <w:lang w:val="en-GB"/>
        </w:rPr>
        <w:t xml:space="preserve"> Westbury</w:t>
      </w:r>
      <w:r w:rsidR="00690A63" w:rsidRPr="002E5D23">
        <w:rPr>
          <w:snapToGrid w:val="0"/>
          <w:color w:val="auto"/>
          <w:szCs w:val="20"/>
          <w:lang w:val="en-GB"/>
        </w:rPr>
        <w:t xml:space="preserve"> </w:t>
      </w:r>
      <w:proofErr w:type="gramStart"/>
      <w:r w:rsidRPr="002E5D23">
        <w:rPr>
          <w:snapToGrid w:val="0"/>
          <w:color w:val="auto"/>
          <w:szCs w:val="20"/>
          <w:vertAlign w:val="superscript"/>
          <w:lang w:val="en-GB"/>
        </w:rPr>
        <w:t>1,</w:t>
      </w:r>
      <w:r w:rsidRPr="002E5D23">
        <w:rPr>
          <w:snapToGrid w:val="0"/>
          <w:color w:val="auto"/>
          <w:szCs w:val="20"/>
          <w:lang w:val="en-GB"/>
        </w:rPr>
        <w:t>*</w:t>
      </w:r>
      <w:proofErr w:type="gramEnd"/>
    </w:p>
    <w:p w14:paraId="106A9DE4" w14:textId="391A320D" w:rsidR="00C92627" w:rsidRPr="002E5D23" w:rsidRDefault="00C92627" w:rsidP="007A4253">
      <w:pPr>
        <w:pStyle w:val="MDPI16affiliation"/>
        <w:rPr>
          <w:rFonts w:eastAsiaTheme="minorEastAsia"/>
          <w:snapToGrid w:val="0"/>
          <w:color w:val="auto"/>
          <w:szCs w:val="16"/>
          <w:lang w:val="en-GB" w:eastAsia="zh-CN"/>
        </w:rPr>
      </w:pPr>
      <w:bookmarkStart w:id="0" w:name="affSTemp"/>
      <w:bookmarkEnd w:id="0"/>
      <w:r w:rsidRPr="002E5D23">
        <w:rPr>
          <w:snapToGrid w:val="0"/>
          <w:color w:val="auto"/>
          <w:szCs w:val="16"/>
          <w:vertAlign w:val="superscript"/>
          <w:lang w:val="en-GB"/>
        </w:rPr>
        <w:t>1</w:t>
      </w:r>
      <w:r w:rsidRPr="002E5D23">
        <w:rPr>
          <w:snapToGrid w:val="0"/>
          <w:color w:val="auto"/>
          <w:szCs w:val="16"/>
          <w:lang w:val="en-GB"/>
        </w:rPr>
        <w:tab/>
      </w:r>
      <w:bookmarkStart w:id="1" w:name="_Hlk215060348"/>
      <w:r w:rsidRPr="002E5D23">
        <w:rPr>
          <w:snapToGrid w:val="0"/>
          <w:color w:val="auto"/>
          <w:szCs w:val="16"/>
          <w:lang w:val="en-GB"/>
        </w:rPr>
        <w:t>MRC</w:t>
      </w:r>
      <w:bookmarkEnd w:id="1"/>
      <w:r w:rsidRPr="002E5D23">
        <w:rPr>
          <w:snapToGrid w:val="0"/>
          <w:color w:val="auto"/>
          <w:szCs w:val="16"/>
          <w:lang w:val="en-GB"/>
        </w:rPr>
        <w:t xml:space="preserve"> Lifecourse Epidemiology Centre, University of Southampton, Southampton</w:t>
      </w:r>
      <w:r w:rsidR="002259D4" w:rsidRPr="002E5D23">
        <w:rPr>
          <w:rFonts w:eastAsiaTheme="minorEastAsia" w:hint="eastAsia"/>
          <w:snapToGrid w:val="0"/>
          <w:color w:val="auto"/>
          <w:szCs w:val="16"/>
          <w:lang w:val="en-GB" w:eastAsia="zh-CN"/>
        </w:rPr>
        <w:t xml:space="preserve"> </w:t>
      </w:r>
      <w:r w:rsidR="002259D4" w:rsidRPr="002E5D23">
        <w:t>SO16 6YD</w:t>
      </w:r>
      <w:r w:rsidRPr="002E5D23">
        <w:rPr>
          <w:snapToGrid w:val="0"/>
          <w:color w:val="auto"/>
          <w:szCs w:val="16"/>
          <w:lang w:val="en-GB"/>
        </w:rPr>
        <w:t>, UK</w:t>
      </w:r>
      <w:r w:rsidR="00700F6C" w:rsidRPr="002E5D23">
        <w:rPr>
          <w:rFonts w:eastAsiaTheme="minorEastAsia" w:hint="eastAsia"/>
          <w:snapToGrid w:val="0"/>
          <w:color w:val="auto"/>
          <w:szCs w:val="16"/>
          <w:lang w:val="en-GB" w:eastAsia="zh-CN"/>
        </w:rPr>
        <w:t xml:space="preserve">; </w:t>
      </w:r>
      <w:r w:rsidR="00700F6C" w:rsidRPr="002E5D23">
        <w:rPr>
          <w:lang w:val="en-GB"/>
        </w:rPr>
        <w:t>emd@mrc.soton.ac.uk (E.</w:t>
      </w:r>
      <w:r w:rsidR="00700F6C" w:rsidRPr="002E5D23">
        <w:rPr>
          <w:rFonts w:eastAsiaTheme="minorEastAsia" w:hint="eastAsia"/>
          <w:lang w:val="en-GB" w:eastAsia="zh-CN"/>
        </w:rPr>
        <w:t>M.</w:t>
      </w:r>
      <w:r w:rsidR="00700F6C" w:rsidRPr="002E5D23">
        <w:rPr>
          <w:lang w:val="en-GB"/>
        </w:rPr>
        <w:t>D.)</w:t>
      </w:r>
      <w:r w:rsidR="00700F6C" w:rsidRPr="002E5D23">
        <w:rPr>
          <w:rFonts w:eastAsiaTheme="minorEastAsia" w:hint="eastAsia"/>
          <w:lang w:val="en-GB" w:eastAsia="zh-CN"/>
        </w:rPr>
        <w:t xml:space="preserve">; </w:t>
      </w:r>
      <w:r w:rsidR="00700F6C" w:rsidRPr="002E5D23">
        <w:rPr>
          <w:lang w:val="en-GB"/>
        </w:rPr>
        <w:t>f.laskou@soton.ac.uk (F.L.)</w:t>
      </w:r>
      <w:r w:rsidR="00700F6C" w:rsidRPr="002E5D23">
        <w:rPr>
          <w:rFonts w:eastAsiaTheme="minorEastAsia" w:hint="eastAsia"/>
          <w:lang w:val="en-GB" w:eastAsia="zh-CN"/>
        </w:rPr>
        <w:t xml:space="preserve">; </w:t>
      </w:r>
      <w:r w:rsidR="00700F6C" w:rsidRPr="002E5D23">
        <w:rPr>
          <w:lang w:val="en-GB"/>
        </w:rPr>
        <w:t>hp@mrc.soton.ac.uk (H.P.</w:t>
      </w:r>
      <w:r w:rsidR="00700F6C" w:rsidRPr="002E5D23">
        <w:rPr>
          <w:rFonts w:eastAsiaTheme="minorEastAsia" w:hint="eastAsia"/>
          <w:lang w:val="en-GB" w:eastAsia="zh-CN"/>
        </w:rPr>
        <w:t>P.</w:t>
      </w:r>
      <w:r w:rsidR="00700F6C" w:rsidRPr="002E5D23">
        <w:rPr>
          <w:lang w:val="en-GB"/>
        </w:rPr>
        <w:t>)</w:t>
      </w:r>
      <w:r w:rsidR="00700F6C" w:rsidRPr="002E5D23">
        <w:rPr>
          <w:rFonts w:eastAsiaTheme="minorEastAsia" w:hint="eastAsia"/>
          <w:lang w:val="en-GB" w:eastAsia="zh-CN"/>
        </w:rPr>
        <w:t xml:space="preserve">; </w:t>
      </w:r>
      <w:r w:rsidR="00700F6C" w:rsidRPr="002E5D23">
        <w:rPr>
          <w:lang w:val="en-GB"/>
        </w:rPr>
        <w:t>nrf@mrc.soton.ac.uk (N.F.)</w:t>
      </w:r>
      <w:r w:rsidR="00700F6C" w:rsidRPr="002E5D23">
        <w:rPr>
          <w:rFonts w:eastAsiaTheme="minorEastAsia" w:hint="eastAsia"/>
          <w:lang w:val="en-GB" w:eastAsia="zh-CN"/>
        </w:rPr>
        <w:t xml:space="preserve">; </w:t>
      </w:r>
      <w:r w:rsidR="00700F6C" w:rsidRPr="002E5D23">
        <w:rPr>
          <w:lang w:val="en-GB"/>
        </w:rPr>
        <w:t>kw@mrc.soton.ac.uk (K.</w:t>
      </w:r>
      <w:r w:rsidR="00700F6C" w:rsidRPr="002E5D23">
        <w:rPr>
          <w:rFonts w:eastAsiaTheme="minorEastAsia" w:hint="eastAsia"/>
          <w:lang w:val="en-GB" w:eastAsia="zh-CN"/>
        </w:rPr>
        <w:t>A.</w:t>
      </w:r>
      <w:r w:rsidR="00700F6C" w:rsidRPr="002E5D23">
        <w:rPr>
          <w:lang w:val="en-GB"/>
        </w:rPr>
        <w:t>W.)</w:t>
      </w:r>
      <w:r w:rsidR="00700F6C" w:rsidRPr="002E5D23">
        <w:rPr>
          <w:rFonts w:eastAsiaTheme="minorEastAsia" w:hint="eastAsia"/>
          <w:lang w:val="en-GB" w:eastAsia="zh-CN"/>
        </w:rPr>
        <w:t xml:space="preserve">; </w:t>
      </w:r>
      <w:r w:rsidR="00700F6C" w:rsidRPr="002E5D23">
        <w:rPr>
          <w:lang w:val="en-GB"/>
        </w:rPr>
        <w:t>gb@mrc.soton.ac.uk (G.B.)</w:t>
      </w:r>
    </w:p>
    <w:p w14:paraId="6537E94A" w14:textId="72C7F415" w:rsidR="00C92627" w:rsidRPr="002E5D23" w:rsidRDefault="00C92627" w:rsidP="007A4253">
      <w:pPr>
        <w:pStyle w:val="MDPI16affiliation"/>
        <w:rPr>
          <w:snapToGrid w:val="0"/>
          <w:color w:val="auto"/>
          <w:szCs w:val="16"/>
          <w:lang w:val="en-GB"/>
        </w:rPr>
      </w:pPr>
      <w:r w:rsidRPr="002E5D23">
        <w:rPr>
          <w:snapToGrid w:val="0"/>
          <w:color w:val="auto"/>
          <w:szCs w:val="16"/>
          <w:vertAlign w:val="superscript"/>
          <w:lang w:val="en-GB"/>
        </w:rPr>
        <w:t>2</w:t>
      </w:r>
      <w:r w:rsidRPr="002E5D23">
        <w:rPr>
          <w:snapToGrid w:val="0"/>
          <w:color w:val="auto"/>
          <w:szCs w:val="16"/>
          <w:lang w:val="en-GB"/>
        </w:rPr>
        <w:tab/>
      </w:r>
      <w:bookmarkStart w:id="2" w:name="_Hlk215060353"/>
      <w:r w:rsidRPr="002E5D23">
        <w:rPr>
          <w:snapToGrid w:val="0"/>
          <w:color w:val="auto"/>
          <w:szCs w:val="16"/>
          <w:lang w:val="en-GB"/>
        </w:rPr>
        <w:t xml:space="preserve">NIHR </w:t>
      </w:r>
      <w:bookmarkEnd w:id="2"/>
      <w:r w:rsidRPr="002E5D23">
        <w:rPr>
          <w:snapToGrid w:val="0"/>
          <w:color w:val="auto"/>
          <w:szCs w:val="16"/>
          <w:lang w:val="en-GB"/>
        </w:rPr>
        <w:t xml:space="preserve">Southampton Biomedical Research Centre, University of Southampton and University Hospital Southampton </w:t>
      </w:r>
      <w:bookmarkStart w:id="3" w:name="_Hlk215060359"/>
      <w:r w:rsidRPr="002E5D23">
        <w:rPr>
          <w:snapToGrid w:val="0"/>
          <w:color w:val="auto"/>
          <w:szCs w:val="16"/>
          <w:lang w:val="en-GB"/>
        </w:rPr>
        <w:t xml:space="preserve">NHS </w:t>
      </w:r>
      <w:bookmarkEnd w:id="3"/>
      <w:r w:rsidRPr="002E5D23">
        <w:rPr>
          <w:snapToGrid w:val="0"/>
          <w:color w:val="auto"/>
          <w:szCs w:val="16"/>
          <w:lang w:val="en-GB"/>
        </w:rPr>
        <w:t>Foundation Trust, Southampton</w:t>
      </w:r>
      <w:r w:rsidR="00D2587D" w:rsidRPr="002E5D23">
        <w:rPr>
          <w:rFonts w:eastAsiaTheme="minorEastAsia" w:hint="eastAsia"/>
          <w:snapToGrid w:val="0"/>
          <w:color w:val="auto"/>
          <w:szCs w:val="16"/>
          <w:lang w:val="en-GB" w:eastAsia="zh-CN"/>
        </w:rPr>
        <w:t xml:space="preserve"> </w:t>
      </w:r>
      <w:r w:rsidR="00001F48" w:rsidRPr="002E5D23">
        <w:rPr>
          <w:rFonts w:eastAsiaTheme="minorEastAsia"/>
          <w:snapToGrid w:val="0"/>
          <w:color w:val="auto"/>
          <w:szCs w:val="16"/>
          <w:lang w:val="en-GB" w:eastAsia="zh-CN"/>
        </w:rPr>
        <w:t>SO16 6YD</w:t>
      </w:r>
      <w:r w:rsidRPr="002E5D23">
        <w:rPr>
          <w:snapToGrid w:val="0"/>
          <w:color w:val="auto"/>
          <w:szCs w:val="16"/>
          <w:lang w:val="en-GB"/>
        </w:rPr>
        <w:t xml:space="preserve">, </w:t>
      </w:r>
      <w:bookmarkStart w:id="4" w:name="_Hlk215060364"/>
      <w:r w:rsidRPr="002E5D23">
        <w:rPr>
          <w:snapToGrid w:val="0"/>
          <w:color w:val="auto"/>
          <w:szCs w:val="16"/>
          <w:lang w:val="en-GB"/>
        </w:rPr>
        <w:t>UK</w:t>
      </w:r>
      <w:bookmarkEnd w:id="4"/>
    </w:p>
    <w:p w14:paraId="2CFD9995" w14:textId="5E2960AC" w:rsidR="00C92627" w:rsidRPr="002E5D23" w:rsidRDefault="00C92627" w:rsidP="007A4253">
      <w:pPr>
        <w:pStyle w:val="MDPI16affiliation"/>
        <w:rPr>
          <w:snapToGrid w:val="0"/>
          <w:color w:val="auto"/>
          <w:szCs w:val="16"/>
          <w:lang w:val="en-GB"/>
        </w:rPr>
      </w:pPr>
      <w:r w:rsidRPr="002E5D23">
        <w:rPr>
          <w:snapToGrid w:val="0"/>
          <w:color w:val="auto"/>
          <w:szCs w:val="16"/>
          <w:vertAlign w:val="superscript"/>
          <w:lang w:val="en-GB"/>
        </w:rPr>
        <w:t>3</w:t>
      </w:r>
      <w:r w:rsidRPr="002E5D23">
        <w:rPr>
          <w:snapToGrid w:val="0"/>
          <w:color w:val="auto"/>
          <w:szCs w:val="16"/>
          <w:lang w:val="en-GB"/>
        </w:rPr>
        <w:tab/>
      </w:r>
      <w:r w:rsidR="0059424A" w:rsidRPr="002E5D23">
        <w:rPr>
          <w:snapToGrid w:val="0"/>
          <w:color w:val="auto"/>
          <w:szCs w:val="16"/>
          <w:lang w:val="en-GB"/>
        </w:rPr>
        <w:t>School of Biological Sciences,</w:t>
      </w:r>
      <w:r w:rsidR="0059424A" w:rsidRPr="002E5D23">
        <w:rPr>
          <w:rFonts w:eastAsiaTheme="minorEastAsia" w:hint="eastAsia"/>
          <w:snapToGrid w:val="0"/>
          <w:color w:val="auto"/>
          <w:szCs w:val="16"/>
          <w:lang w:val="en-GB" w:eastAsia="zh-CN"/>
        </w:rPr>
        <w:t xml:space="preserve"> </w:t>
      </w:r>
      <w:r w:rsidRPr="002E5D23">
        <w:rPr>
          <w:snapToGrid w:val="0"/>
          <w:color w:val="auto"/>
          <w:szCs w:val="16"/>
          <w:lang w:val="en-GB"/>
        </w:rPr>
        <w:t>Victoria University of Wellington, Wellington</w:t>
      </w:r>
      <w:r w:rsidR="00997080" w:rsidRPr="002E5D23">
        <w:rPr>
          <w:rFonts w:eastAsiaTheme="minorEastAsia" w:hint="eastAsia"/>
          <w:snapToGrid w:val="0"/>
          <w:color w:val="auto"/>
          <w:szCs w:val="16"/>
          <w:lang w:val="en-GB" w:eastAsia="zh-CN"/>
        </w:rPr>
        <w:t xml:space="preserve"> </w:t>
      </w:r>
      <w:r w:rsidR="00997080" w:rsidRPr="002E5D23">
        <w:t>6012</w:t>
      </w:r>
      <w:r w:rsidRPr="002E5D23">
        <w:rPr>
          <w:snapToGrid w:val="0"/>
          <w:color w:val="auto"/>
          <w:szCs w:val="16"/>
          <w:lang w:val="en-GB"/>
        </w:rPr>
        <w:t>, New Zealand</w:t>
      </w:r>
    </w:p>
    <w:p w14:paraId="17F9B542" w14:textId="0263ED75" w:rsidR="00C92627" w:rsidRPr="002E5D23" w:rsidRDefault="00C92627" w:rsidP="007A4253">
      <w:pPr>
        <w:pStyle w:val="MDPI16affiliation"/>
        <w:rPr>
          <w:snapToGrid w:val="0"/>
          <w:color w:val="auto"/>
          <w:szCs w:val="16"/>
          <w:lang w:val="en-GB"/>
        </w:rPr>
      </w:pPr>
      <w:r w:rsidRPr="002E5D23">
        <w:rPr>
          <w:snapToGrid w:val="0"/>
          <w:color w:val="auto"/>
          <w:szCs w:val="16"/>
          <w:vertAlign w:val="superscript"/>
          <w:lang w:val="en-GB"/>
        </w:rPr>
        <w:t>4</w:t>
      </w:r>
      <w:r w:rsidRPr="002E5D23">
        <w:rPr>
          <w:snapToGrid w:val="0"/>
          <w:color w:val="auto"/>
          <w:szCs w:val="16"/>
          <w:lang w:val="en-GB"/>
        </w:rPr>
        <w:tab/>
        <w:t>Academic Geriatric Medicine, University of Southampton, Southampton</w:t>
      </w:r>
      <w:r w:rsidR="00420A2F" w:rsidRPr="002E5D23">
        <w:rPr>
          <w:rFonts w:eastAsiaTheme="minorEastAsia" w:hint="eastAsia"/>
          <w:snapToGrid w:val="0"/>
          <w:color w:val="auto"/>
          <w:szCs w:val="16"/>
          <w:lang w:val="en-GB" w:eastAsia="zh-CN"/>
        </w:rPr>
        <w:t xml:space="preserve"> </w:t>
      </w:r>
      <w:r w:rsidR="00420A2F" w:rsidRPr="002E5D23">
        <w:t>SO16 6YD</w:t>
      </w:r>
      <w:r w:rsidR="00F170A0" w:rsidRPr="002E5D23">
        <w:rPr>
          <w:rFonts w:eastAsiaTheme="minorEastAsia" w:hint="eastAsia"/>
          <w:snapToGrid w:val="0"/>
          <w:color w:val="auto"/>
          <w:szCs w:val="16"/>
          <w:lang w:val="en-GB" w:eastAsia="zh-CN"/>
        </w:rPr>
        <w:t>,</w:t>
      </w:r>
      <w:r w:rsidRPr="002E5D23">
        <w:rPr>
          <w:snapToGrid w:val="0"/>
          <w:color w:val="auto"/>
          <w:szCs w:val="16"/>
          <w:lang w:val="en-GB"/>
        </w:rPr>
        <w:t xml:space="preserve"> UK</w:t>
      </w:r>
    </w:p>
    <w:p w14:paraId="0EB44EA5" w14:textId="71941B52" w:rsidR="00C92627" w:rsidRPr="002E5D23" w:rsidRDefault="00700F6C" w:rsidP="00700F6C">
      <w:pPr>
        <w:pStyle w:val="MDPI16affiliation"/>
        <w:rPr>
          <w:rFonts w:eastAsiaTheme="minorEastAsia"/>
          <w:lang w:val="en-GB" w:eastAsia="zh-CN"/>
        </w:rPr>
      </w:pPr>
      <w:bookmarkStart w:id="5" w:name="mainSTemp"/>
      <w:r w:rsidRPr="002E5D23">
        <w:rPr>
          <w:b/>
          <w:lang w:val="en-GB"/>
        </w:rPr>
        <w:t>*</w:t>
      </w:r>
      <w:r w:rsidRPr="002E5D23">
        <w:rPr>
          <w:lang w:val="en-GB"/>
        </w:rPr>
        <w:tab/>
        <w:t xml:space="preserve">Correspondence: </w:t>
      </w:r>
      <w:r w:rsidR="00C92627" w:rsidRPr="002E5D23">
        <w:rPr>
          <w:lang w:val="en-GB"/>
        </w:rPr>
        <w:t>lw@mrc.soton.ac.uk; Tel</w:t>
      </w:r>
      <w:r w:rsidRPr="002E5D23">
        <w:rPr>
          <w:rFonts w:eastAsiaTheme="minorEastAsia" w:hint="eastAsia"/>
          <w:lang w:val="en-GB" w:eastAsia="zh-CN"/>
        </w:rPr>
        <w:t>.</w:t>
      </w:r>
      <w:r w:rsidR="00C92627" w:rsidRPr="002E5D23">
        <w:rPr>
          <w:lang w:val="en-GB"/>
        </w:rPr>
        <w:t xml:space="preserve">: </w:t>
      </w:r>
      <w:r w:rsidR="0009550C" w:rsidRPr="002E5D23">
        <w:rPr>
          <w:rFonts w:eastAsiaTheme="minorEastAsia" w:hint="eastAsia"/>
          <w:lang w:val="en-GB" w:eastAsia="zh-CN"/>
        </w:rPr>
        <w:t>+</w:t>
      </w:r>
      <w:r w:rsidR="00C92627" w:rsidRPr="002E5D23">
        <w:rPr>
          <w:lang w:val="en-GB"/>
        </w:rPr>
        <w:t>023</w:t>
      </w:r>
      <w:r w:rsidRPr="002E5D23">
        <w:rPr>
          <w:rFonts w:eastAsiaTheme="minorEastAsia" w:hint="eastAsia"/>
          <w:lang w:val="en-GB" w:eastAsia="zh-CN"/>
        </w:rPr>
        <w:t>-</w:t>
      </w:r>
      <w:r w:rsidR="00C92627" w:rsidRPr="002E5D23">
        <w:rPr>
          <w:lang w:val="en-GB"/>
        </w:rPr>
        <w:t>8077</w:t>
      </w:r>
      <w:r w:rsidRPr="002E5D23">
        <w:rPr>
          <w:rFonts w:eastAsiaTheme="minorEastAsia" w:hint="eastAsia"/>
          <w:lang w:val="en-GB" w:eastAsia="zh-CN"/>
        </w:rPr>
        <w:t>-</w:t>
      </w:r>
      <w:r w:rsidR="00C92627" w:rsidRPr="002E5D23">
        <w:rPr>
          <w:lang w:val="en-GB"/>
        </w:rPr>
        <w:t>7624</w:t>
      </w:r>
    </w:p>
    <w:bookmarkEnd w:id="5"/>
    <w:p w14:paraId="3639C0B8" w14:textId="77777777" w:rsidR="00C92627" w:rsidRPr="002E5D23" w:rsidRDefault="00C92627" w:rsidP="00403A6E">
      <w:pPr>
        <w:pStyle w:val="MDPI17abstract"/>
        <w:jc w:val="left"/>
        <w:rPr>
          <w:b/>
          <w:snapToGrid w:val="0"/>
          <w:color w:val="auto"/>
          <w:szCs w:val="20"/>
          <w:lang w:val="en-GB"/>
        </w:rPr>
      </w:pPr>
      <w:r w:rsidRPr="002E5D23">
        <w:rPr>
          <w:b/>
          <w:snapToGrid w:val="0"/>
          <w:color w:val="auto"/>
          <w:szCs w:val="20"/>
          <w:lang w:val="en-GB"/>
        </w:rPr>
        <w:t>Abstract</w:t>
      </w:r>
    </w:p>
    <w:tbl>
      <w:tblPr>
        <w:tblStyle w:val="MDPItable"/>
        <w:tblpPr w:leftFromText="198" w:rightFromText="198" w:vertAnchor="page" w:horzAnchor="margin" w:tblpY="12250"/>
        <w:tblW w:w="2409" w:type="dxa"/>
        <w:tblLayout w:type="fixed"/>
        <w:tblLook w:val="04A0" w:firstRow="1" w:lastRow="0" w:firstColumn="1" w:lastColumn="0" w:noHBand="0" w:noVBand="1"/>
      </w:tblPr>
      <w:tblGrid>
        <w:gridCol w:w="2409"/>
      </w:tblGrid>
      <w:tr w:rsidR="00BF5F34" w:rsidRPr="002E5D23" w14:paraId="5581A0E0" w14:textId="77777777" w:rsidTr="00BF5F34">
        <w:trPr>
          <w:cantSplit/>
        </w:trPr>
        <w:tc>
          <w:tcPr>
            <w:tcW w:w="2409" w:type="dxa"/>
          </w:tcPr>
          <w:p w14:paraId="5F302777" w14:textId="77777777" w:rsidR="00BF5F34" w:rsidRPr="002E5D23" w:rsidRDefault="00BF5F34" w:rsidP="00BF5F34">
            <w:pPr>
              <w:pStyle w:val="MDPI15academiceditor"/>
              <w:spacing w:before="0" w:after="120"/>
              <w:rPr>
                <w:snapToGrid w:val="0"/>
                <w:lang w:val="en-GB"/>
              </w:rPr>
            </w:pPr>
            <w:bookmarkStart w:id="6" w:name="_Hlk218850487"/>
            <w:r w:rsidRPr="002E5D23">
              <w:rPr>
                <w:snapToGrid w:val="0"/>
                <w:lang w:val="en-GB"/>
              </w:rPr>
              <w:t>Academic Editor(s): Name</w:t>
            </w:r>
          </w:p>
          <w:p w14:paraId="5566E11D" w14:textId="77777777" w:rsidR="00BF5F34" w:rsidRPr="002E5D23" w:rsidRDefault="00BF5F34" w:rsidP="00BF5F34">
            <w:pPr>
              <w:pStyle w:val="MDPI14history"/>
              <w:rPr>
                <w:snapToGrid w:val="0"/>
                <w:lang w:val="en-GB"/>
              </w:rPr>
            </w:pPr>
            <w:r w:rsidRPr="002E5D23">
              <w:rPr>
                <w:snapToGrid w:val="0"/>
                <w:lang w:val="en-GB"/>
              </w:rPr>
              <w:t>Received: 12 December 2025</w:t>
            </w:r>
          </w:p>
          <w:p w14:paraId="66D6EA0D" w14:textId="77777777" w:rsidR="00BF5F34" w:rsidRPr="002E5D23" w:rsidRDefault="00BF5F34" w:rsidP="00BF5F34">
            <w:pPr>
              <w:pStyle w:val="MDPI14history"/>
              <w:rPr>
                <w:snapToGrid w:val="0"/>
                <w:lang w:val="en-GB"/>
              </w:rPr>
            </w:pPr>
            <w:r w:rsidRPr="002E5D23">
              <w:rPr>
                <w:snapToGrid w:val="0"/>
                <w:lang w:val="en-GB"/>
              </w:rPr>
              <w:t>Revised: 23 January 2026</w:t>
            </w:r>
          </w:p>
          <w:p w14:paraId="5DDDF0BA" w14:textId="77777777" w:rsidR="00BF5F34" w:rsidRPr="002E5D23" w:rsidRDefault="00BF5F34" w:rsidP="00BF5F34">
            <w:pPr>
              <w:pStyle w:val="MDPI14history"/>
              <w:rPr>
                <w:snapToGrid w:val="0"/>
                <w:lang w:val="en-GB"/>
              </w:rPr>
            </w:pPr>
            <w:r w:rsidRPr="002E5D23">
              <w:rPr>
                <w:snapToGrid w:val="0"/>
                <w:lang w:val="en-GB"/>
              </w:rPr>
              <w:t>Accepted: 25 January 2026</w:t>
            </w:r>
          </w:p>
          <w:p w14:paraId="26690103" w14:textId="77777777" w:rsidR="00BF5F34" w:rsidRPr="002E5D23" w:rsidRDefault="00BF5F34" w:rsidP="00BF5F34">
            <w:pPr>
              <w:pStyle w:val="MDPI14history"/>
              <w:spacing w:after="120"/>
              <w:rPr>
                <w:snapToGrid w:val="0"/>
                <w:lang w:val="en-GB"/>
              </w:rPr>
            </w:pPr>
            <w:r w:rsidRPr="002E5D23">
              <w:rPr>
                <w:snapToGrid w:val="0"/>
                <w:lang w:val="en-GB"/>
              </w:rPr>
              <w:t>Published: date</w:t>
            </w:r>
          </w:p>
          <w:p w14:paraId="2558AA15" w14:textId="77777777" w:rsidR="00BF5F34" w:rsidRPr="002E5D23" w:rsidRDefault="00BF5F34" w:rsidP="00BF5F34">
            <w:pPr>
              <w:pStyle w:val="MDPI72copyright"/>
              <w:rPr>
                <w:noProof w:val="0"/>
              </w:rPr>
            </w:pPr>
            <w:r w:rsidRPr="002E5D23">
              <w:rPr>
                <w:b/>
                <w:noProof w:val="0"/>
              </w:rPr>
              <w:t>Copyright:</w:t>
            </w:r>
            <w:r w:rsidRPr="002E5D23">
              <w:rPr>
                <w:noProof w:val="0"/>
              </w:rPr>
              <w:t xml:space="preserve"> © 2026 by the authors. Submitted for possible open access publication under the terms and conditions of the </w:t>
            </w:r>
            <w:hyperlink r:id="rId8" w:history="1">
              <w:r w:rsidRPr="002E5D23">
                <w:rPr>
                  <w:rStyle w:val="Hyperlink"/>
                  <w:noProof w:val="0"/>
                  <w:u w:val="none"/>
                </w:rPr>
                <w:t>Creative Commons Attribution (CC BY) license</w:t>
              </w:r>
            </w:hyperlink>
            <w:r w:rsidRPr="002E5D23">
              <w:rPr>
                <w:noProof w:val="0"/>
              </w:rPr>
              <w:t>.</w:t>
            </w:r>
          </w:p>
        </w:tc>
      </w:tr>
    </w:tbl>
    <w:p w14:paraId="5F5E9CC5" w14:textId="747B0239" w:rsidR="00C92627" w:rsidRPr="002E5D23" w:rsidRDefault="00C92627" w:rsidP="00403A6E">
      <w:pPr>
        <w:pStyle w:val="MDPI17abstract"/>
        <w:spacing w:before="0" w:after="0"/>
        <w:rPr>
          <w:b/>
          <w:szCs w:val="18"/>
          <w:lang w:val="en-GB"/>
        </w:rPr>
      </w:pPr>
      <w:r w:rsidRPr="002E5D23">
        <w:rPr>
          <w:b/>
          <w:bCs/>
          <w:lang w:val="en-GB"/>
        </w:rPr>
        <w:t>Background</w:t>
      </w:r>
      <w:r w:rsidR="00C94BC8" w:rsidRPr="002E5D23">
        <w:rPr>
          <w:rFonts w:eastAsiaTheme="minorEastAsia" w:hint="eastAsia"/>
          <w:b/>
          <w:bCs/>
          <w:lang w:val="en-GB" w:eastAsia="zh-CN"/>
        </w:rPr>
        <w:t>:</w:t>
      </w:r>
      <w:r w:rsidRPr="002E5D23">
        <w:rPr>
          <w:b/>
          <w:bCs/>
          <w:lang w:val="en-GB"/>
        </w:rPr>
        <w:t xml:space="preserve"> </w:t>
      </w:r>
      <w:r w:rsidRPr="002E5D23">
        <w:rPr>
          <w:lang w:val="en-GB"/>
        </w:rPr>
        <w:t xml:space="preserve">Few studies have examined changes in diet quality into old </w:t>
      </w:r>
      <w:proofErr w:type="gramStart"/>
      <w:r w:rsidRPr="002E5D23">
        <w:rPr>
          <w:lang w:val="en-GB"/>
        </w:rPr>
        <w:t>age, and</w:t>
      </w:r>
      <w:proofErr w:type="gramEnd"/>
      <w:r w:rsidRPr="002E5D23">
        <w:rPr>
          <w:lang w:val="en-GB"/>
        </w:rPr>
        <w:t xml:space="preserve"> related these changes to musculoskeletal outcomes. We examined this among Hertfordshire Cohort Study participants.</w:t>
      </w:r>
      <w:r w:rsidR="00403A6E" w:rsidRPr="002E5D23">
        <w:rPr>
          <w:rFonts w:eastAsiaTheme="minorEastAsia"/>
          <w:lang w:val="en-GB" w:eastAsia="zh-CN"/>
        </w:rPr>
        <w:t xml:space="preserve"> </w:t>
      </w:r>
      <w:r w:rsidRPr="002E5D23">
        <w:rPr>
          <w:b/>
          <w:bCs/>
          <w:lang w:val="en-GB"/>
        </w:rPr>
        <w:t>Methods</w:t>
      </w:r>
      <w:r w:rsidR="00C94BC8" w:rsidRPr="002E5D23">
        <w:rPr>
          <w:rFonts w:eastAsiaTheme="minorEastAsia" w:hint="eastAsia"/>
          <w:b/>
          <w:bCs/>
          <w:lang w:val="en-GB" w:eastAsia="zh-CN"/>
        </w:rPr>
        <w:t>:</w:t>
      </w:r>
      <w:r w:rsidRPr="002E5D23">
        <w:rPr>
          <w:b/>
          <w:bCs/>
          <w:lang w:val="en-GB"/>
        </w:rPr>
        <w:t xml:space="preserve"> </w:t>
      </w:r>
      <w:r w:rsidR="00BA3328" w:rsidRPr="002E5D23">
        <w:rPr>
          <w:lang w:val="en-GB"/>
        </w:rPr>
        <w:t xml:space="preserve">In total, </w:t>
      </w:r>
      <w:r w:rsidRPr="002E5D23">
        <w:rPr>
          <w:lang w:val="en-GB"/>
        </w:rPr>
        <w:t>178 individuals provided diet quality scores derived in 1998</w:t>
      </w:r>
      <w:r w:rsidR="00545B2F" w:rsidRPr="002E5D23">
        <w:rPr>
          <w:rFonts w:eastAsiaTheme="minorEastAsia"/>
          <w:lang w:val="en-GB" w:eastAsia="zh-CN"/>
        </w:rPr>
        <w:t>–</w:t>
      </w:r>
      <w:r w:rsidRPr="002E5D23">
        <w:rPr>
          <w:lang w:val="en-GB"/>
        </w:rPr>
        <w:t xml:space="preserve">2004, 2011 and 2017 (median age 64.0, 74.7 and 80.7) using principal component analysis of food frequency questionnaires; higher scores indicated healthier diets (more fruit and vegetables, oily fish and wholemeal bread, and less white bread, added sugar, full-fat dairy products, chips and processed meat). Pearson correlations between diet quality scores at each time-point were computed. Group-based trajectory modelling of diet quality scores was implemented; trajectory groups as predictors of musculoskeletal outcomes (history of </w:t>
      </w:r>
      <w:r w:rsidRPr="002E5D23">
        <w:rPr>
          <w:rFonts w:hint="eastAsia"/>
          <w:lang w:val="en-GB"/>
        </w:rPr>
        <w:t>h</w:t>
      </w:r>
      <w:r w:rsidRPr="002E5D23">
        <w:rPr>
          <w:lang w:val="en-GB"/>
        </w:rPr>
        <w:t>ip/knee replacement, osteoporosis, fall in previous year, low grip strength, low gait speed) in 2017 were examined using logistic regression with age and sex included as covariates.</w:t>
      </w:r>
      <w:r w:rsidR="00403A6E" w:rsidRPr="002E5D23">
        <w:rPr>
          <w:rFonts w:eastAsiaTheme="minorEastAsia" w:hint="eastAsia"/>
          <w:lang w:val="en-GB" w:eastAsia="zh-CN"/>
        </w:rPr>
        <w:t xml:space="preserve"> </w:t>
      </w:r>
      <w:r w:rsidRPr="002E5D23">
        <w:rPr>
          <w:b/>
          <w:bCs/>
          <w:lang w:val="en-GB"/>
        </w:rPr>
        <w:t>Results</w:t>
      </w:r>
      <w:r w:rsidR="00C94BC8" w:rsidRPr="002E5D23">
        <w:rPr>
          <w:rFonts w:eastAsiaTheme="minorEastAsia" w:hint="eastAsia"/>
          <w:b/>
          <w:bCs/>
          <w:lang w:val="en-GB" w:eastAsia="zh-CN"/>
        </w:rPr>
        <w:t>:</w:t>
      </w:r>
      <w:r w:rsidRPr="002E5D23">
        <w:rPr>
          <w:b/>
          <w:bCs/>
          <w:lang w:val="en-GB"/>
        </w:rPr>
        <w:t xml:space="preserve"> </w:t>
      </w:r>
      <w:r w:rsidRPr="002E5D23">
        <w:rPr>
          <w:lang w:val="en-GB"/>
        </w:rPr>
        <w:t>Diet quality showed moderate stability over time (0.64</w:t>
      </w:r>
      <w:r w:rsidR="00545B2F" w:rsidRPr="002E5D23">
        <w:rPr>
          <w:rFonts w:eastAsiaTheme="minorEastAsia" w:hint="eastAsia"/>
          <w:lang w:val="en-GB" w:eastAsia="zh-CN"/>
        </w:rPr>
        <w:t xml:space="preserve"> </w:t>
      </w:r>
      <w:r w:rsidRPr="002E5D23">
        <w:rPr>
          <w:lang w:val="en-GB"/>
        </w:rPr>
        <w:t>&lt;</w:t>
      </w:r>
      <w:r w:rsidR="00545B2F" w:rsidRPr="002E5D23">
        <w:rPr>
          <w:rFonts w:eastAsiaTheme="minorEastAsia" w:hint="eastAsia"/>
          <w:lang w:val="en-GB" w:eastAsia="zh-CN"/>
        </w:rPr>
        <w:t xml:space="preserve"> </w:t>
      </w:r>
      <w:r w:rsidRPr="002E5D23">
        <w:rPr>
          <w:lang w:val="en-GB"/>
        </w:rPr>
        <w:t>r</w:t>
      </w:r>
      <w:r w:rsidR="00545B2F" w:rsidRPr="002E5D23">
        <w:rPr>
          <w:rFonts w:eastAsiaTheme="minorEastAsia" w:hint="eastAsia"/>
          <w:lang w:val="en-GB" w:eastAsia="zh-CN"/>
        </w:rPr>
        <w:t xml:space="preserve"> </w:t>
      </w:r>
      <w:r w:rsidRPr="002E5D23">
        <w:rPr>
          <w:lang w:val="en-GB"/>
        </w:rPr>
        <w:t>&lt;</w:t>
      </w:r>
      <w:r w:rsidR="00545B2F" w:rsidRPr="002E5D23">
        <w:rPr>
          <w:rFonts w:eastAsiaTheme="minorEastAsia" w:hint="eastAsia"/>
          <w:lang w:val="en-GB" w:eastAsia="zh-CN"/>
        </w:rPr>
        <w:t xml:space="preserve"> </w:t>
      </w:r>
      <w:r w:rsidRPr="002E5D23">
        <w:rPr>
          <w:lang w:val="en-GB"/>
        </w:rPr>
        <w:t xml:space="preserve">0.74). Three trajectory groups were identified: low (29%), medium (51%), and high diet quality (20%). A higher diet quality group </w:t>
      </w:r>
      <w:r w:rsidRPr="002E5D23">
        <w:rPr>
          <w:rFonts w:hint="eastAsia"/>
          <w:lang w:val="en-GB"/>
        </w:rPr>
        <w:t>was related to greater odds</w:t>
      </w:r>
      <w:r w:rsidRPr="002E5D23">
        <w:rPr>
          <w:lang w:val="en-GB"/>
        </w:rPr>
        <w:t xml:space="preserve"> (95% CI)</w:t>
      </w:r>
      <w:r w:rsidRPr="002E5D23">
        <w:rPr>
          <w:rFonts w:hint="eastAsia"/>
          <w:lang w:val="en-GB"/>
        </w:rPr>
        <w:t xml:space="preserve"> of h</w:t>
      </w:r>
      <w:r w:rsidRPr="002E5D23">
        <w:rPr>
          <w:lang w:val="en-GB"/>
        </w:rPr>
        <w:t>ip/knee replacement (1.85</w:t>
      </w:r>
      <w:r w:rsidR="00545B2F" w:rsidRPr="002E5D23">
        <w:rPr>
          <w:rFonts w:eastAsiaTheme="minorEastAsia" w:hint="eastAsia"/>
          <w:lang w:val="en-GB" w:eastAsia="zh-CN"/>
        </w:rPr>
        <w:t xml:space="preserve"> </w:t>
      </w:r>
      <w:r w:rsidRPr="002E5D23">
        <w:rPr>
          <w:lang w:val="en-GB"/>
        </w:rPr>
        <w:t>(1.05,</w:t>
      </w:r>
      <w:r w:rsidR="00911521" w:rsidRPr="002E5D23">
        <w:rPr>
          <w:rFonts w:eastAsiaTheme="minorEastAsia" w:hint="eastAsia"/>
          <w:lang w:val="en-GB" w:eastAsia="zh-CN"/>
        </w:rPr>
        <w:t xml:space="preserve"> </w:t>
      </w:r>
      <w:r w:rsidRPr="002E5D23">
        <w:rPr>
          <w:lang w:val="en-GB"/>
        </w:rPr>
        <w:t>3.26) per higher category); associations with other musculoskeletal outcomes were weak (</w:t>
      </w:r>
      <w:r w:rsidRPr="002E5D23">
        <w:rPr>
          <w:i/>
          <w:iCs/>
          <w:lang w:val="en-GB"/>
        </w:rPr>
        <w:t>p</w:t>
      </w:r>
      <w:r w:rsidR="000A3C8C" w:rsidRPr="002E5D23">
        <w:rPr>
          <w:rFonts w:eastAsiaTheme="minorEastAsia" w:hint="eastAsia"/>
          <w:lang w:val="en-GB" w:eastAsia="zh-CN"/>
        </w:rPr>
        <w:t xml:space="preserve"> </w:t>
      </w:r>
      <w:r w:rsidRPr="002E5D23">
        <w:rPr>
          <w:lang w:val="en-GB"/>
        </w:rPr>
        <w:t>&gt;</w:t>
      </w:r>
      <w:r w:rsidR="000A3C8C" w:rsidRPr="002E5D23">
        <w:rPr>
          <w:rFonts w:eastAsiaTheme="minorEastAsia" w:hint="eastAsia"/>
          <w:lang w:val="en-GB" w:eastAsia="zh-CN"/>
        </w:rPr>
        <w:t xml:space="preserve"> </w:t>
      </w:r>
      <w:r w:rsidRPr="002E5D23">
        <w:rPr>
          <w:lang w:val="en-GB"/>
        </w:rPr>
        <w:t>0.17).</w:t>
      </w:r>
      <w:r w:rsidR="00403A6E" w:rsidRPr="002E5D23">
        <w:rPr>
          <w:rFonts w:eastAsiaTheme="minorEastAsia" w:hint="eastAsia"/>
          <w:lang w:val="en-GB" w:eastAsia="zh-CN"/>
        </w:rPr>
        <w:t xml:space="preserve"> </w:t>
      </w:r>
      <w:r w:rsidRPr="002E5D23">
        <w:rPr>
          <w:b/>
          <w:bCs/>
          <w:lang w:val="en-GB"/>
        </w:rPr>
        <w:t>Conclusions</w:t>
      </w:r>
      <w:r w:rsidR="00C94BC8" w:rsidRPr="002E5D23">
        <w:rPr>
          <w:rFonts w:eastAsiaTheme="minorEastAsia" w:hint="eastAsia"/>
          <w:b/>
          <w:bCs/>
          <w:lang w:val="en-GB" w:eastAsia="zh-CN"/>
        </w:rPr>
        <w:t>:</w:t>
      </w:r>
      <w:r w:rsidRPr="002E5D23">
        <w:rPr>
          <w:b/>
          <w:bCs/>
          <w:lang w:val="en-GB"/>
        </w:rPr>
        <w:t xml:space="preserve"> </w:t>
      </w:r>
      <w:r w:rsidRPr="002E5D23">
        <w:rPr>
          <w:lang w:val="en-GB"/>
        </w:rPr>
        <w:t>Weak associations were observed between diet quality trajectories and musculoskeletal outcomes. However, higher diet quality was related to increased likelihood of hip/knee joint replacement, potentially due to confounding by socioeconomic position. The stability of diet quality suggests individuals with poorer diets around age 65 are likely to maintain these patterns into old age and may benefit from targeted interventions.</w:t>
      </w:r>
    </w:p>
    <w:bookmarkEnd w:id="6"/>
    <w:p w14:paraId="71D18936" w14:textId="77777777" w:rsidR="00C479A5" w:rsidRPr="002E5D23" w:rsidRDefault="00C479A5">
      <w:pPr>
        <w:spacing w:line="240" w:lineRule="auto"/>
        <w:jc w:val="left"/>
        <w:rPr>
          <w:rFonts w:eastAsia="Times New Roman"/>
          <w:b/>
          <w:snapToGrid w:val="0"/>
          <w:color w:val="auto"/>
          <w:lang w:val="en-GB" w:eastAsia="de-DE" w:bidi="en-US"/>
          <w14:ligatures w14:val="standardContextual"/>
        </w:rPr>
      </w:pPr>
      <w:r w:rsidRPr="002E5D23">
        <w:rPr>
          <w:b/>
          <w:color w:val="auto"/>
          <w:lang w:val="en-GB"/>
          <w14:ligatures w14:val="standardContextual"/>
        </w:rPr>
        <w:br w:type="page"/>
      </w:r>
    </w:p>
    <w:p w14:paraId="4BB10A6E" w14:textId="06BF3E9C" w:rsidR="00C92627" w:rsidRPr="002E5D23" w:rsidRDefault="00403A6E" w:rsidP="00403A6E">
      <w:pPr>
        <w:pStyle w:val="MDPI18keywords"/>
        <w:rPr>
          <w:color w:val="auto"/>
          <w:szCs w:val="20"/>
          <w:lang w:val="en-GB"/>
          <w14:ligatures w14:val="standardContextual"/>
        </w:rPr>
      </w:pPr>
      <w:r w:rsidRPr="002E5D23">
        <w:rPr>
          <w:b/>
          <w:color w:val="auto"/>
          <w:szCs w:val="20"/>
          <w:lang w:val="en-GB"/>
          <w14:ligatures w14:val="standardContextual"/>
        </w:rPr>
        <w:lastRenderedPageBreak/>
        <w:t>Keywords:</w:t>
      </w:r>
      <w:r w:rsidR="00C92627" w:rsidRPr="002E5D23">
        <w:rPr>
          <w:b/>
          <w:color w:val="auto"/>
          <w:szCs w:val="20"/>
          <w:lang w:val="en-GB"/>
          <w14:ligatures w14:val="standardContextual"/>
        </w:rPr>
        <w:t xml:space="preserve"> </w:t>
      </w:r>
      <w:r w:rsidR="00C92627" w:rsidRPr="002E5D23">
        <w:rPr>
          <w:color w:val="auto"/>
          <w:szCs w:val="20"/>
          <w:lang w:val="en-GB"/>
          <w14:ligatures w14:val="standardContextual"/>
        </w:rPr>
        <w:t xml:space="preserve">diet quality; dietary trajectories; musculoskeletal health; ageing; </w:t>
      </w:r>
      <w:r w:rsidR="00D94D52" w:rsidRPr="002E5D23">
        <w:rPr>
          <w:rFonts w:eastAsiaTheme="minorEastAsia"/>
          <w:color w:val="auto"/>
          <w:szCs w:val="20"/>
          <w:lang w:val="en-GB" w:eastAsia="zh-CN"/>
          <w14:ligatures w14:val="standardContextual"/>
        </w:rPr>
        <w:br/>
      </w:r>
      <w:r w:rsidR="00C92627" w:rsidRPr="002E5D23">
        <w:rPr>
          <w:color w:val="auto"/>
          <w:szCs w:val="20"/>
          <w:lang w:val="en-GB"/>
          <w14:ligatures w14:val="standardContextual"/>
        </w:rPr>
        <w:t>sociodemographic factors; community-dwelling older adults</w:t>
      </w:r>
    </w:p>
    <w:p w14:paraId="61EA0822" w14:textId="77777777" w:rsidR="00C92627" w:rsidRPr="002E5D23" w:rsidRDefault="00C92627" w:rsidP="00403A6E">
      <w:pPr>
        <w:pStyle w:val="MDPI19line"/>
        <w:rPr>
          <w:lang w:val="en-GB"/>
        </w:rPr>
      </w:pPr>
    </w:p>
    <w:p w14:paraId="6A46E8F3" w14:textId="77777777" w:rsidR="00C92627" w:rsidRPr="002E5D23" w:rsidRDefault="00C92627" w:rsidP="00D94D52">
      <w:pPr>
        <w:pStyle w:val="MDPI21heading1"/>
        <w:rPr>
          <w:color w:val="auto"/>
          <w:szCs w:val="24"/>
          <w:lang w:val="en-GB"/>
        </w:rPr>
      </w:pPr>
      <w:r w:rsidRPr="002E5D23">
        <w:rPr>
          <w:color w:val="auto"/>
          <w:szCs w:val="24"/>
          <w:lang w:val="en-GB"/>
        </w:rPr>
        <w:t>1. Introduction</w:t>
      </w:r>
    </w:p>
    <w:p w14:paraId="3D63A1FF" w14:textId="3278F405" w:rsidR="00C92627" w:rsidRPr="002E5D23" w:rsidRDefault="00C92627" w:rsidP="00D94D52">
      <w:pPr>
        <w:pStyle w:val="MDPI31text"/>
        <w:rPr>
          <w:color w:val="auto"/>
          <w:szCs w:val="20"/>
          <w:lang w:val="en-GB"/>
        </w:rPr>
      </w:pPr>
      <w:r w:rsidRPr="002E5D23">
        <w:rPr>
          <w:color w:val="auto"/>
          <w:szCs w:val="20"/>
          <w:lang w:val="en-GB"/>
        </w:rPr>
        <w:t xml:space="preserve">Nutritional status is well recognised as an important contributor to musculoskeletal health in later life </w:t>
      </w:r>
      <w:r w:rsidRPr="002E5D23">
        <w:rPr>
          <w:color w:val="auto"/>
          <w:szCs w:val="20"/>
          <w:lang w:val="en-GB"/>
        </w:rPr>
        <w:fldChar w:fldCharType="begin">
          <w:fldData xml:space="preserve">PEVuZE5vdGU+PENpdGU+PEF1dGhvcj5SaXp6b2xpPC9BdXRob3I+PFllYXI+MjAxNDwvWWVhcj48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</w:fldData>
        </w:fldChar>
      </w:r>
      <w:r w:rsidRPr="002E5D23">
        <w:rPr>
          <w:color w:val="auto"/>
          <w:szCs w:val="20"/>
          <w:lang w:val="en-GB"/>
        </w:rPr>
        <w:instrText xml:space="preserve"> ADDIN EN.CITE </w:instrText>
      </w:r>
      <w:r w:rsidRPr="002E5D23">
        <w:rPr>
          <w:color w:val="auto"/>
          <w:szCs w:val="20"/>
          <w:lang w:val="en-GB"/>
        </w:rPr>
        <w:fldChar w:fldCharType="begin">
          <w:fldData xml:space="preserve">PEVuZE5vdGU+PENpdGU+PEF1dGhvcj5SaXp6b2xpPC9BdXRob3I+PFllYXI+MjAxNDwvWWVhcj48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</w:fldData>
        </w:fldChar>
      </w:r>
      <w:r w:rsidRPr="002E5D23">
        <w:rPr>
          <w:color w:val="auto"/>
          <w:szCs w:val="20"/>
          <w:lang w:val="en-GB"/>
        </w:rPr>
        <w:instrText xml:space="preserve"> ADDIN EN.CITE.DATA </w:instrText>
      </w:r>
      <w:r w:rsidRPr="002E5D23">
        <w:rPr>
          <w:color w:val="auto"/>
          <w:szCs w:val="20"/>
          <w:lang w:val="en-GB"/>
        </w:rPr>
      </w:r>
      <w:r w:rsidRPr="002E5D23">
        <w:rPr>
          <w:color w:val="auto"/>
          <w:szCs w:val="20"/>
          <w:lang w:val="en-GB"/>
        </w:rPr>
        <w:fldChar w:fldCharType="end"/>
      </w:r>
      <w:r w:rsidRPr="002E5D23">
        <w:rPr>
          <w:color w:val="auto"/>
          <w:szCs w:val="20"/>
          <w:lang w:val="en-GB"/>
        </w:rPr>
      </w:r>
      <w:r w:rsidRPr="002E5D23">
        <w:rPr>
          <w:color w:val="auto"/>
          <w:szCs w:val="20"/>
          <w:lang w:val="en-GB"/>
        </w:rPr>
        <w:fldChar w:fldCharType="separate"/>
      </w:r>
      <w:r w:rsidR="00EC2B16" w:rsidRPr="002E5D23">
        <w:rPr>
          <w:color w:val="auto"/>
          <w:szCs w:val="20"/>
          <w:lang w:val="en-GB"/>
        </w:rPr>
        <w:t>[1–3</w:t>
      </w:r>
      <w:r w:rsidRPr="002E5D23">
        <w:rPr>
          <w:color w:val="auto"/>
          <w:szCs w:val="20"/>
          <w:lang w:val="en-GB"/>
        </w:rPr>
        <w:t>]</w:t>
      </w:r>
      <w:r w:rsidRPr="002E5D23">
        <w:rPr>
          <w:color w:val="auto"/>
          <w:szCs w:val="20"/>
          <w:lang w:val="en-GB"/>
        </w:rPr>
        <w:fldChar w:fldCharType="end"/>
      </w:r>
      <w:r w:rsidRPr="002E5D23">
        <w:rPr>
          <w:color w:val="auto"/>
          <w:szCs w:val="20"/>
          <w:lang w:val="en-GB"/>
        </w:rPr>
        <w:t xml:space="preserve">. In addition to the contribution of calcium intake, and vitamins including vitamin D and K to bone health </w:t>
      </w:r>
      <w:r w:rsidRPr="002E5D23">
        <w:rPr>
          <w:color w:val="auto"/>
          <w:szCs w:val="20"/>
          <w:lang w:val="en-GB"/>
        </w:rPr>
        <w:fldChar w:fldCharType="begin">
          <w:fldData xml:space="preserve">PEVuZE5vdGU+PENpdGU+PEF1dGhvcj5SaXp6b2xpPC9BdXRob3I+PFllYXI+MjAxNDwvWWVhcj48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</w:fldData>
        </w:fldChar>
      </w:r>
      <w:r w:rsidRPr="002E5D23">
        <w:rPr>
          <w:color w:val="auto"/>
          <w:szCs w:val="20"/>
          <w:lang w:val="en-GB"/>
        </w:rPr>
        <w:instrText xml:space="preserve"> ADDIN EN.CITE </w:instrText>
      </w:r>
      <w:r w:rsidRPr="002E5D23">
        <w:rPr>
          <w:color w:val="auto"/>
          <w:szCs w:val="20"/>
          <w:lang w:val="en-GB"/>
        </w:rPr>
        <w:fldChar w:fldCharType="begin">
          <w:fldData xml:space="preserve">PEVuZE5vdGU+PENpdGU+PEF1dGhvcj5SaXp6b2xpPC9BdXRob3I+PFllYXI+MjAxNDwvWWVhcj48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</w:fldData>
        </w:fldChar>
      </w:r>
      <w:r w:rsidRPr="002E5D23">
        <w:rPr>
          <w:color w:val="auto"/>
          <w:szCs w:val="20"/>
          <w:lang w:val="en-GB"/>
        </w:rPr>
        <w:instrText xml:space="preserve"> ADDIN EN.CITE.DATA </w:instrText>
      </w:r>
      <w:r w:rsidRPr="002E5D23">
        <w:rPr>
          <w:color w:val="auto"/>
          <w:szCs w:val="20"/>
          <w:lang w:val="en-GB"/>
        </w:rPr>
      </w:r>
      <w:r w:rsidRPr="002E5D23">
        <w:rPr>
          <w:color w:val="auto"/>
          <w:szCs w:val="20"/>
          <w:lang w:val="en-GB"/>
        </w:rPr>
        <w:fldChar w:fldCharType="end"/>
      </w:r>
      <w:r w:rsidRPr="002E5D23">
        <w:rPr>
          <w:color w:val="auto"/>
          <w:szCs w:val="20"/>
          <w:lang w:val="en-GB"/>
        </w:rPr>
      </w:r>
      <w:r w:rsidRPr="002E5D23">
        <w:rPr>
          <w:color w:val="auto"/>
          <w:szCs w:val="20"/>
          <w:lang w:val="en-GB"/>
        </w:rPr>
        <w:fldChar w:fldCharType="separate"/>
      </w:r>
      <w:r w:rsidR="00EC2B16" w:rsidRPr="002E5D23">
        <w:rPr>
          <w:color w:val="auto"/>
          <w:szCs w:val="20"/>
          <w:lang w:val="en-GB"/>
        </w:rPr>
        <w:t>[1,2</w:t>
      </w:r>
      <w:r w:rsidRPr="002E5D23">
        <w:rPr>
          <w:color w:val="auto"/>
          <w:szCs w:val="20"/>
          <w:lang w:val="en-GB"/>
        </w:rPr>
        <w:t>]</w:t>
      </w:r>
      <w:r w:rsidRPr="002E5D23">
        <w:rPr>
          <w:color w:val="auto"/>
          <w:szCs w:val="20"/>
          <w:lang w:val="en-GB"/>
        </w:rPr>
        <w:fldChar w:fldCharType="end"/>
      </w:r>
      <w:r w:rsidRPr="002E5D23">
        <w:rPr>
          <w:color w:val="auto"/>
          <w:szCs w:val="20"/>
          <w:lang w:val="en-GB"/>
        </w:rPr>
        <w:t xml:space="preserve">, dietary protein intake is an important determinant of muscle mass in later life </w:t>
      </w:r>
      <w:r w:rsidRPr="002E5D23">
        <w:rPr>
          <w:color w:val="auto"/>
          <w:szCs w:val="20"/>
          <w:lang w:val="en-GB"/>
        </w:rPr>
        <w:fldChar w:fldCharType="begin"/>
      </w:r>
      <w:r w:rsidRPr="002E5D23">
        <w:rPr>
          <w:color w:val="auto"/>
          <w:szCs w:val="20"/>
          <w:lang w:val="en-GB"/>
        </w:rPr>
        <w:instrText xml:space="preserve"> ADDIN EN.CITE &lt;EndNote&gt;&lt;Cite&gt;&lt;Author&gt;Cruz-Jentoft&lt;/Author&gt;&lt;Year&gt;2020&lt;/Year&gt;&lt;RecNum&gt;1736&lt;/RecNum&gt;&lt;DisplayText&gt;[3]&lt;/DisplayText&gt;&lt;record&gt;&lt;rec-number&gt;1736&lt;/rec-number&gt;&lt;foreign-keys&gt;&lt;key app="EN" db-id="xp2sx5aahpsveaea2zq5s2xsef9d0fsxsxex" timestamp="1763977384"&gt;1736&lt;/key&gt;&lt;/foreign-keys&gt;&lt;ref-type name="Journal Article"&gt;17&lt;/ref-type&gt;&lt;contributors&gt;&lt;authors&gt;&lt;author&gt;Cruz-Jentoft, Alfonso J&lt;/author&gt;&lt;author&gt;Hughes, Bess Dawson&lt;/author&gt;&lt;author&gt;Scott, David&lt;/author&gt;&lt;author&gt;Sanders, Kerrie M&lt;/author&gt;&lt;author&gt;Rizzoli, Rene&lt;/author&gt;&lt;/authors&gt;&lt;/contributors&gt;&lt;titles&gt;&lt;title&gt;Nutritional strategies for maintaining muscle mass and strength from middle age to later life: A narrative review&lt;/title&gt;&lt;secondary-title&gt;Maturitas&lt;/secondary-title&gt;&lt;/titles&gt;&lt;periodical&gt;&lt;full-title&gt;Maturitas&lt;/full-title&gt;&lt;abbr-1&gt;Maturitas&lt;/abbr-1&gt;&lt;abbr-2&gt;Maturitas&lt;/abbr-2&gt;&lt;/periodical&gt;&lt;pages&gt;57-64&lt;/pages&gt;&lt;volume&gt;132&lt;/volume&gt;&lt;dates&gt;&lt;year&gt;2020&lt;/year&gt;&lt;/dates&gt;&lt;isbn&gt;0378-5122&lt;/isbn&gt;&lt;urls&gt;&lt;/urls&gt;&lt;/record&gt;&lt;/Cite&gt;&lt;/EndNote&gt;</w:instrText>
      </w:r>
      <w:r w:rsidRPr="002E5D23">
        <w:rPr>
          <w:color w:val="auto"/>
          <w:szCs w:val="20"/>
          <w:lang w:val="en-GB"/>
        </w:rPr>
        <w:fldChar w:fldCharType="separate"/>
      </w:r>
      <w:r w:rsidRPr="002E5D23">
        <w:rPr>
          <w:color w:val="auto"/>
          <w:szCs w:val="20"/>
          <w:lang w:val="en-GB"/>
        </w:rPr>
        <w:t>[3]</w:t>
      </w:r>
      <w:r w:rsidRPr="002E5D23">
        <w:rPr>
          <w:color w:val="auto"/>
          <w:szCs w:val="20"/>
          <w:lang w:val="en-GB"/>
        </w:rPr>
        <w:fldChar w:fldCharType="end"/>
      </w:r>
      <w:r w:rsidRPr="002E5D23">
        <w:rPr>
          <w:color w:val="auto"/>
          <w:szCs w:val="20"/>
          <w:lang w:val="en-GB"/>
        </w:rPr>
        <w:t xml:space="preserve">. Malnutrition may be linked to inadequate calorific intake, which can result in being underweight and at higher risk of osteoporotic fracture </w:t>
      </w:r>
      <w:r w:rsidRPr="002E5D23">
        <w:rPr>
          <w:color w:val="auto"/>
          <w:szCs w:val="20"/>
          <w:lang w:val="en-GB"/>
        </w:rPr>
        <w:fldChar w:fldCharType="begin"/>
      </w:r>
      <w:r w:rsidRPr="002E5D23">
        <w:rPr>
          <w:color w:val="auto"/>
          <w:szCs w:val="20"/>
          <w:lang w:val="en-GB"/>
        </w:rPr>
        <w:instrText xml:space="preserve"> ADDIN EN.CITE &lt;EndNote&gt;&lt;Cite&gt;&lt;Author&gt;Harvey&lt;/Author&gt;&lt;Year&gt;2025&lt;/Year&gt;&lt;RecNum&gt;1690&lt;/RecNum&gt;&lt;DisplayText&gt;[4]&lt;/DisplayText&gt;&lt;record&gt;&lt;rec-number&gt;1690&lt;/rec-number&gt;&lt;foreign-keys&gt;&lt;key app="EN" db-id="xp2sx5aahpsveaea2zq5s2xsef9d0fsxsxex" timestamp="1758444977"&gt;1690&lt;/key&gt;&lt;/foreign-keys&gt;&lt;ref-type name="Journal Article"&gt;17&lt;/ref-type&gt;&lt;contributors&gt;&lt;authors&gt;&lt;author&gt;Harvey, Nicholas C&lt;/author&gt;&lt;author&gt;Johansson, Helena&lt;/author&gt;&lt;author&gt;McCloskey, Eugene V&lt;/author&gt;&lt;author&gt;Liu, Enwu&lt;/author&gt;&lt;author&gt;Åkesson, Kristina E&lt;/author&gt;&lt;author&gt;Anderson, Fred A&lt;/author&gt;&lt;author&gt;Azagra-Ledesma, Rafael&lt;/author&gt;&lt;author&gt;Bager, Cecilie L&lt;/author&gt;&lt;author&gt;Beaudart, Charlotte&lt;/author&gt;&lt;author&gt;Bischoff-Ferrari, Heike A&lt;/author&gt;&lt;/authors&gt;&lt;/contributors&gt;&lt;titles&gt;&lt;title&gt;Body mass index and subsequent fracture risk: a meta-analysis to update FRAX&lt;/title&gt;&lt;secondary-title&gt;J Bone Miner Res&lt;/secondary-title&gt;&lt;/titles&gt;&lt;periodical&gt;&lt;full-title&gt;Journal of Bone and Mineral Research&lt;/full-title&gt;&lt;abbr-1&gt;J. Bone Miner. Res.&lt;/abbr-1&gt;&lt;abbr-2&gt;J Bone Miner Res&lt;/abbr-2&gt;&lt;abbr-3&gt;Journal of Bone &amp;amp; Mineral Research&lt;/abbr-3&gt;&lt;/periodical&gt;&lt;pages&gt;1144-1155&lt;/pages&gt;&lt;volume&gt;40&lt;/volume&gt;&lt;number&gt;10&lt;/number&gt;&lt;dates&gt;&lt;year&gt;2025&lt;/year&gt;&lt;/dates&gt;&lt;isbn&gt;0884-0431&lt;/isbn&gt;&lt;urls&gt;&lt;/urls&gt;&lt;/record&gt;&lt;/Cite&gt;&lt;/EndNote&gt;</w:instrText>
      </w:r>
      <w:r w:rsidRPr="002E5D23">
        <w:rPr>
          <w:color w:val="auto"/>
          <w:szCs w:val="20"/>
          <w:lang w:val="en-GB"/>
        </w:rPr>
        <w:fldChar w:fldCharType="separate"/>
      </w:r>
      <w:r w:rsidRPr="002E5D23">
        <w:rPr>
          <w:color w:val="auto"/>
          <w:szCs w:val="20"/>
          <w:lang w:val="en-GB"/>
        </w:rPr>
        <w:t>[4]</w:t>
      </w:r>
      <w:r w:rsidRPr="002E5D23">
        <w:rPr>
          <w:color w:val="auto"/>
          <w:szCs w:val="20"/>
          <w:lang w:val="en-GB"/>
        </w:rPr>
        <w:fldChar w:fldCharType="end"/>
      </w:r>
      <w:r w:rsidRPr="002E5D23">
        <w:rPr>
          <w:color w:val="auto"/>
          <w:szCs w:val="20"/>
          <w:lang w:val="en-GB"/>
        </w:rPr>
        <w:t xml:space="preserve">, whilst dietary preference dominated by saturated fats and sugar may be linked to being overweight and obese, both of which are linked to poor bone health </w:t>
      </w:r>
      <w:r w:rsidRPr="002E5D23">
        <w:rPr>
          <w:color w:val="auto"/>
          <w:szCs w:val="20"/>
          <w:lang w:val="en-GB"/>
        </w:rPr>
        <w:fldChar w:fldCharType="begin"/>
      </w:r>
      <w:r w:rsidRPr="002E5D23">
        <w:rPr>
          <w:color w:val="auto"/>
          <w:szCs w:val="20"/>
          <w:lang w:val="en-GB"/>
        </w:rPr>
        <w:instrText xml:space="preserve"> ADDIN EN.CITE &lt;EndNote&gt;&lt;Cite&gt;&lt;Author&gt;Harvey&lt;/Author&gt;&lt;Year&gt;2025&lt;/Year&gt;&lt;RecNum&gt;1690&lt;/RecNum&gt;&lt;DisplayText&gt;[4]&lt;/DisplayText&gt;&lt;record&gt;&lt;rec-number&gt;1690&lt;/rec-number&gt;&lt;foreign-keys&gt;&lt;key app="EN" db-id="xp2sx5aahpsveaea2zq5s2xsef9d0fsxsxex" timestamp="1758444977"&gt;1690&lt;/key&gt;&lt;/foreign-keys&gt;&lt;ref-type name="Journal Article"&gt;17&lt;/ref-type&gt;&lt;contributors&gt;&lt;authors&gt;&lt;author&gt;Harvey, Nicholas C&lt;/author&gt;&lt;author&gt;Johansson, Helena&lt;/author&gt;&lt;author&gt;McCloskey, Eugene V&lt;/author&gt;&lt;author&gt;Liu, Enwu&lt;/author&gt;&lt;author&gt;Åkesson, Kristina E&lt;/author&gt;&lt;author&gt;Anderson, Fred A&lt;/author&gt;&lt;author&gt;Azagra-Ledesma, Rafael&lt;/author&gt;&lt;author&gt;Bager, Cecilie L&lt;/author&gt;&lt;author&gt;Beaudart, Charlotte&lt;/author&gt;&lt;author&gt;Bischoff-Ferrari, Heike A&lt;/author&gt;&lt;/authors&gt;&lt;/contributors&gt;&lt;titles&gt;&lt;title&gt;Body mass index and subsequent fracture risk: a meta-analysis to update FRAX&lt;/title&gt;&lt;secondary-title&gt;J Bone Miner Res&lt;/secondary-title&gt;&lt;/titles&gt;&lt;periodical&gt;&lt;full-title&gt;Journal of Bone and Mineral Research&lt;/full-title&gt;&lt;abbr-1&gt;J. Bone Miner. Res.&lt;/abbr-1&gt;&lt;abbr-2&gt;J Bone Miner Res&lt;/abbr-2&gt;&lt;abbr-3&gt;Journal of Bone &amp;amp; Mineral Research&lt;/abbr-3&gt;&lt;/periodical&gt;&lt;pages&gt;1144-1155&lt;/pages&gt;&lt;volume&gt;40&lt;/volume&gt;&lt;number&gt;10&lt;/number&gt;&lt;dates&gt;&lt;year&gt;2025&lt;/year&gt;&lt;/dates&gt;&lt;isbn&gt;0884-0431&lt;/isbn&gt;&lt;urls&gt;&lt;/urls&gt;&lt;/record&gt;&lt;/Cite&gt;&lt;/EndNote&gt;</w:instrText>
      </w:r>
      <w:r w:rsidRPr="002E5D23">
        <w:rPr>
          <w:color w:val="auto"/>
          <w:szCs w:val="20"/>
          <w:lang w:val="en-GB"/>
        </w:rPr>
        <w:fldChar w:fldCharType="separate"/>
      </w:r>
      <w:r w:rsidRPr="002E5D23">
        <w:rPr>
          <w:color w:val="auto"/>
          <w:szCs w:val="20"/>
          <w:lang w:val="en-GB"/>
        </w:rPr>
        <w:t>[4]</w:t>
      </w:r>
      <w:r w:rsidRPr="002E5D23">
        <w:rPr>
          <w:color w:val="auto"/>
          <w:szCs w:val="20"/>
          <w:lang w:val="en-GB"/>
        </w:rPr>
        <w:fldChar w:fldCharType="end"/>
      </w:r>
      <w:r w:rsidRPr="002E5D23">
        <w:rPr>
          <w:color w:val="auto"/>
          <w:szCs w:val="20"/>
          <w:lang w:val="en-GB"/>
        </w:rPr>
        <w:t xml:space="preserve"> and osteosarcopenic obesity </w:t>
      </w:r>
      <w:r w:rsidRPr="002E5D23">
        <w:rPr>
          <w:color w:val="auto"/>
          <w:szCs w:val="20"/>
          <w:lang w:val="en-GB"/>
        </w:rPr>
        <w:fldChar w:fldCharType="begin"/>
      </w:r>
      <w:r w:rsidRPr="002E5D23">
        <w:rPr>
          <w:color w:val="auto"/>
          <w:szCs w:val="20"/>
          <w:lang w:val="en-GB"/>
        </w:rPr>
        <w:instrText xml:space="preserve"> ADDIN EN.CITE &lt;EndNote&gt;&lt;Cite&gt;&lt;Author&gt;Bauer&lt;/Author&gt;&lt;Year&gt;2019&lt;/Year&gt;&lt;RecNum&gt;1737&lt;/RecNum&gt;&lt;DisplayText&gt;[5]&lt;/DisplayText&gt;&lt;record&gt;&lt;rec-number&gt;1737&lt;/rec-number&gt;&lt;foreign-keys&gt;&lt;key app="EN" db-id="xp2sx5aahpsveaea2zq5s2xsef9d0fsxsxex" timestamp="1763977755"&gt;1737&lt;/key&gt;&lt;/foreign-keys&gt;&lt;ref-type name="Journal Article"&gt;17&lt;/ref-type&gt;&lt;contributors&gt;&lt;authors&gt;&lt;author&gt;Bauer, Jürgen M&lt;/author&gt;&lt;author&gt;Cruz-Jentoft, Alfonso J&lt;/author&gt;&lt;author&gt;Fielding, Roger A&lt;/author&gt;&lt;author&gt;Kanis, John A&lt;/author&gt;&lt;author&gt;Reginster, Jean-Yves&lt;/author&gt;&lt;author&gt;Bruyère, Olivier&lt;/author&gt;&lt;author&gt;Cesari, Matteo&lt;/author&gt;&lt;author&gt;Chapurlat, Roland&lt;/author&gt;&lt;author&gt;Al-Daghri, Nasser&lt;/author&gt;&lt;author&gt;Dennison, Elaine&lt;/author&gt;&lt;/authors&gt;&lt;/contributors&gt;&lt;titles&gt;&lt;title&gt;Is there enough evidence for osteosarcopenic obesity as a distinct entity? A critical literature review&lt;/title&gt;&lt;secondary-title&gt;Calcif Tissue Int&lt;/secondary-title&gt;&lt;/titles&gt;&lt;periodical&gt;&lt;full-title&gt;Calcified Tissue International&lt;/full-title&gt;&lt;abbr-1&gt;Calcif. Tissue Int.&lt;/abbr-1&gt;&lt;abbr-2&gt;Calcif Tissue Int&lt;/abbr-2&gt;&lt;/periodical&gt;&lt;pages&gt;109-124&lt;/pages&gt;&lt;volume&gt;105&lt;/volume&gt;&lt;number&gt;2&lt;/number&gt;&lt;dates&gt;&lt;year&gt;2019&lt;/year&gt;&lt;/dates&gt;&lt;isbn&gt;0171-967X&lt;/isbn&gt;&lt;urls&gt;&lt;/urls&gt;&lt;/record&gt;&lt;/Cite&gt;&lt;/EndNote&gt;</w:instrText>
      </w:r>
      <w:r w:rsidRPr="002E5D23">
        <w:rPr>
          <w:color w:val="auto"/>
          <w:szCs w:val="20"/>
          <w:lang w:val="en-GB"/>
        </w:rPr>
        <w:fldChar w:fldCharType="separate"/>
      </w:r>
      <w:r w:rsidRPr="002E5D23">
        <w:rPr>
          <w:color w:val="auto"/>
          <w:szCs w:val="20"/>
          <w:lang w:val="en-GB"/>
        </w:rPr>
        <w:t>[5]</w:t>
      </w:r>
      <w:r w:rsidRPr="002E5D23">
        <w:rPr>
          <w:color w:val="auto"/>
          <w:szCs w:val="20"/>
          <w:lang w:val="en-GB"/>
        </w:rPr>
        <w:fldChar w:fldCharType="end"/>
      </w:r>
      <w:r w:rsidRPr="002E5D23">
        <w:rPr>
          <w:color w:val="auto"/>
          <w:szCs w:val="20"/>
          <w:lang w:val="en-GB"/>
        </w:rPr>
        <w:t xml:space="preserve">. Obesity is also a strong risk factor for the development and progression of osteoarthritis </w:t>
      </w:r>
      <w:r w:rsidRPr="002E5D23">
        <w:rPr>
          <w:color w:val="auto"/>
          <w:szCs w:val="20"/>
          <w:lang w:val="en-GB"/>
        </w:rPr>
        <w:fldChar w:fldCharType="begin"/>
      </w:r>
      <w:r w:rsidRPr="002E5D23">
        <w:rPr>
          <w:color w:val="auto"/>
          <w:szCs w:val="20"/>
          <w:lang w:val="en-GB"/>
        </w:rPr>
        <w:instrText xml:space="preserve"> ADDIN EN.CITE &lt;EndNote&gt;&lt;Cite&gt;&lt;Author&gt;Xu&lt;/Author&gt;&lt;Year&gt;2025&lt;/Year&gt;&lt;RecNum&gt;1738&lt;/RecNum&gt;&lt;DisplayText&gt;[6]&lt;/DisplayText&gt;&lt;record&gt;&lt;rec-number&gt;1738&lt;/rec-number&gt;&lt;foreign-keys&gt;&lt;key app="EN" db-id="xp2sx5aahpsveaea2zq5s2xsef9d0fsxsxex" timestamp="1763977849"&gt;1738&lt;/key&gt;&lt;/foreign-keys&gt;&lt;ref-type name="Journal Article"&gt;17&lt;/ref-type&gt;&lt;contributors&gt;&lt;authors&gt;&lt;author&gt;Xu, Jiaxian&lt;/author&gt;&lt;author&gt;Lei, Mingming&lt;/author&gt;&lt;author&gt;Xu, Dandan&lt;/author&gt;&lt;/authors&gt;&lt;/contributors&gt;&lt;titles&gt;&lt;title&gt;Global, regional, and national burden of knee osteoarthritis attributable to high BMI: a systematic analysis from 1990 to 2021 and projections to 2050&lt;/title&gt;&lt;secondary-title&gt;Front Public Health&lt;/secondary-title&gt;&lt;/titles&gt;&lt;periodical&gt;&lt;full-title&gt;Front Public Health&lt;/full-title&gt;&lt;/periodical&gt;&lt;pages&gt;1668257&lt;/pages&gt;&lt;volume&gt;13&lt;/volume&gt;&lt;dates&gt;&lt;year&gt;2025&lt;/year&gt;&lt;/dates&gt;&lt;isbn&gt;2296-2565&lt;/isbn&gt;&lt;urls&gt;&lt;/urls&gt;&lt;/record&gt;&lt;/Cite&gt;&lt;/EndNote&gt;</w:instrText>
      </w:r>
      <w:r w:rsidRPr="002E5D23">
        <w:rPr>
          <w:color w:val="auto"/>
          <w:szCs w:val="20"/>
          <w:lang w:val="en-GB"/>
        </w:rPr>
        <w:fldChar w:fldCharType="separate"/>
      </w:r>
      <w:r w:rsidRPr="002E5D23">
        <w:rPr>
          <w:color w:val="auto"/>
          <w:szCs w:val="20"/>
          <w:lang w:val="en-GB"/>
        </w:rPr>
        <w:t>[6]</w:t>
      </w:r>
      <w:r w:rsidRPr="002E5D23">
        <w:rPr>
          <w:color w:val="auto"/>
          <w:szCs w:val="20"/>
          <w:lang w:val="en-GB"/>
        </w:rPr>
        <w:fldChar w:fldCharType="end"/>
      </w:r>
      <w:r w:rsidRPr="002E5D23">
        <w:rPr>
          <w:color w:val="auto"/>
          <w:szCs w:val="20"/>
          <w:lang w:val="en-GB"/>
        </w:rPr>
        <w:t>.</w:t>
      </w:r>
    </w:p>
    <w:p w14:paraId="324A86CF" w14:textId="61B377EE" w:rsidR="00C92627" w:rsidRPr="002E5D23" w:rsidRDefault="00C92627" w:rsidP="00D94D52">
      <w:pPr>
        <w:pStyle w:val="MDPI31text"/>
        <w:rPr>
          <w:color w:val="auto"/>
          <w:szCs w:val="20"/>
          <w:lang w:val="en-GB"/>
        </w:rPr>
      </w:pPr>
      <w:r w:rsidRPr="002E5D23">
        <w:rPr>
          <w:color w:val="auto"/>
          <w:szCs w:val="20"/>
          <w:lang w:val="en-GB"/>
        </w:rPr>
        <w:t xml:space="preserve">We have previously demonstrated associations between nutritional status and physical function in participants from a community-dwelling UK cohort, the Hertfordshire Cohort Study </w:t>
      </w:r>
      <w:r w:rsidRPr="002E5D23">
        <w:rPr>
          <w:color w:val="auto"/>
          <w:szCs w:val="20"/>
          <w:lang w:val="en-GB"/>
        </w:rPr>
        <w:fldChar w:fldCharType="begin"/>
      </w:r>
      <w:r w:rsidRPr="002E5D23">
        <w:rPr>
          <w:color w:val="auto"/>
          <w:szCs w:val="20"/>
          <w:lang w:val="en-GB"/>
        </w:rPr>
        <w:instrText xml:space="preserve"> ADDIN EN.CITE &lt;EndNote&gt;&lt;Cite&gt;&lt;Author&gt;Bloom&lt;/Author&gt;&lt;Year&gt;2022&lt;/Year&gt;&lt;RecNum&gt;1739&lt;/RecNum&gt;&lt;DisplayText&gt;[7]&lt;/DisplayText&gt;&lt;record&gt;&lt;rec-number&gt;1739&lt;/rec-number&gt;&lt;foreign-keys&gt;&lt;key app="EN" db-id="xp2sx5aahpsveaea2zq5s2xsef9d0fsxsxex" timestamp="1763978026"&gt;1739&lt;/key&gt;&lt;/foreign-keys&gt;&lt;ref-type name="Journal Article"&gt;17&lt;/ref-type&gt;&lt;contributors&gt;&lt;authors&gt;&lt;author&gt;Bloom, Ilse&lt;/author&gt;&lt;author&gt;Zhang, Jean&lt;/author&gt;&lt;author&gt;Parsons, Camille&lt;/author&gt;&lt;author&gt;Bevilacqua, Gregorio&lt;/author&gt;&lt;author&gt;Dennison, Elaine M&lt;/author&gt;&lt;author&gt;Cooper, Cyrus&lt;/author&gt;&lt;author&gt;Ward, Kate A&lt;/author&gt;&lt;/authors&gt;&lt;/contributors&gt;&lt;titles&gt;&lt;title&gt;Nutritional risk and its relationship with physical function in community-dwelling older adults&lt;/title&gt;&lt;secondary-title&gt;Aging Clin Exp Res&lt;/secondary-title&gt;&lt;/titles&gt;&lt;periodical&gt;&lt;full-title&gt;Aging Clinical and Experimental Research&lt;/full-title&gt;&lt;abbr-1&gt;Aging Clin. Exp. Res.&lt;/abbr-1&gt;&lt;abbr-2&gt;Aging Clin Exp Res&lt;/abbr-2&gt;&lt;abbr-3&gt;Aging Clinical &amp;amp; Experimental Research&lt;/abbr-3&gt;&lt;/periodical&gt;&lt;pages&gt;2031-2039&lt;/pages&gt;&lt;volume&gt;34&lt;/volume&gt;&lt;number&gt;9&lt;/number&gt;&lt;dates&gt;&lt;year&gt;2022&lt;/year&gt;&lt;/dates&gt;&lt;isbn&gt;1720-8319&lt;/isbn&gt;&lt;urls&gt;&lt;/urls&gt;&lt;/record&gt;&lt;/Cite&gt;&lt;/EndNote&gt;</w:instrText>
      </w:r>
      <w:r w:rsidRPr="002E5D23">
        <w:rPr>
          <w:color w:val="auto"/>
          <w:szCs w:val="20"/>
          <w:lang w:val="en-GB"/>
        </w:rPr>
        <w:fldChar w:fldCharType="separate"/>
      </w:r>
      <w:r w:rsidRPr="002E5D23">
        <w:rPr>
          <w:color w:val="auto"/>
          <w:szCs w:val="20"/>
          <w:lang w:val="en-GB"/>
        </w:rPr>
        <w:t>[7]</w:t>
      </w:r>
      <w:r w:rsidRPr="002E5D23">
        <w:rPr>
          <w:color w:val="auto"/>
          <w:szCs w:val="20"/>
          <w:lang w:val="en-GB"/>
        </w:rPr>
        <w:fldChar w:fldCharType="end"/>
      </w:r>
      <w:r w:rsidRPr="002E5D23">
        <w:rPr>
          <w:color w:val="auto"/>
          <w:szCs w:val="20"/>
          <w:lang w:val="en-GB"/>
        </w:rPr>
        <w:t xml:space="preserve">, and other research has linked diet quality with bone microarchitecture. Qualitative work in the Hertfordshire Cohort Study has suggested that nutritional patterns change with ageing and may be driven in part by social and psychological factors </w:t>
      </w:r>
      <w:r w:rsidRPr="002E5D23">
        <w:rPr>
          <w:color w:val="auto"/>
          <w:szCs w:val="20"/>
          <w:lang w:val="en-GB"/>
        </w:rPr>
        <w:fldChar w:fldCharType="begin"/>
      </w:r>
      <w:r w:rsidRPr="002E5D23">
        <w:rPr>
          <w:color w:val="auto"/>
          <w:szCs w:val="20"/>
          <w:lang w:val="en-GB"/>
        </w:rPr>
        <w:instrText xml:space="preserve"> ADDIN EN.CITE &lt;EndNote&gt;&lt;Cite&gt;&lt;Author&gt;Bloom&lt;/Author&gt;&lt;Year&gt;2017&lt;/Year&gt;&lt;RecNum&gt;1741&lt;/RecNum&gt;&lt;DisplayText&gt;[8]&lt;/DisplayText&gt;&lt;record&gt;&lt;rec-number&gt;1741&lt;/rec-number&gt;&lt;foreign-keys&gt;&lt;key app="EN" db-id="xp2sx5aahpsveaea2zq5s2xsef9d0fsxsxex" timestamp="1763978258"&gt;1741&lt;/key&gt;&lt;/foreign-keys&gt;&lt;ref-type name="Journal Article"&gt;17&lt;/ref-type&gt;&lt;contributors&gt;&lt;authors&gt;&lt;author&gt;Bloom, Ilse&lt;/author&gt;&lt;author&gt;Lawrence, Wendy&lt;/author&gt;&lt;author&gt;Barker, Mary&lt;/author&gt;&lt;author&gt;Baird, Janis&lt;/author&gt;&lt;author&gt;Dennison, Elaine&lt;/author&gt;&lt;author&gt;Sayer, Avan Aihie&lt;/author&gt;&lt;author&gt;Cooper, Cyrus&lt;/author&gt;&lt;author&gt;Robinson, Sian&lt;/author&gt;&lt;/authors&gt;&lt;/contributors&gt;&lt;titles&gt;&lt;title&gt;What influences diet quality in older people? A qualitative study among community-dwelling older adults from the Hertfordshire Cohort Study, UK&lt;/title&gt;&lt;secondary-title&gt;Public Health Nutr&lt;/secondary-title&gt;&lt;/titles&gt;&lt;periodical&gt;&lt;full-title&gt;Public Health Nutrition&lt;/full-title&gt;&lt;abbr-1&gt;Public Health Nutr.&lt;/abbr-1&gt;&lt;abbr-2&gt;Public Health Nutr&lt;/abbr-2&gt;&lt;/periodical&gt;&lt;pages&gt;2685-2693&lt;/pages&gt;&lt;volume&gt;20&lt;/volume&gt;&lt;number&gt;15&lt;/number&gt;&lt;dates&gt;&lt;year&gt;2017&lt;/year&gt;&lt;/dates&gt;&lt;isbn&gt;1368-9800&lt;/isbn&gt;&lt;urls&gt;&lt;/urls&gt;&lt;/record&gt;&lt;/Cite&gt;&lt;/EndNote&gt;</w:instrText>
      </w:r>
      <w:r w:rsidRPr="002E5D23">
        <w:rPr>
          <w:color w:val="auto"/>
          <w:szCs w:val="20"/>
          <w:lang w:val="en-GB"/>
        </w:rPr>
        <w:fldChar w:fldCharType="separate"/>
      </w:r>
      <w:r w:rsidRPr="002E5D23">
        <w:rPr>
          <w:color w:val="auto"/>
          <w:szCs w:val="20"/>
          <w:lang w:val="en-GB"/>
        </w:rPr>
        <w:t>[8]</w:t>
      </w:r>
      <w:r w:rsidRPr="002E5D23">
        <w:rPr>
          <w:color w:val="auto"/>
          <w:szCs w:val="20"/>
          <w:lang w:val="en-GB"/>
        </w:rPr>
        <w:fldChar w:fldCharType="end"/>
      </w:r>
      <w:r w:rsidRPr="002E5D23">
        <w:rPr>
          <w:color w:val="auto"/>
          <w:szCs w:val="20"/>
          <w:lang w:val="en-GB"/>
        </w:rPr>
        <w:t>. Nutritional status is often inadequate even in community-dwelling older adult</w:t>
      </w:r>
      <w:r w:rsidRPr="002E5D23">
        <w:rPr>
          <w:rFonts w:hint="eastAsia"/>
          <w:color w:val="auto"/>
          <w:szCs w:val="20"/>
          <w:lang w:val="en-GB"/>
        </w:rPr>
        <w:t>s</w:t>
      </w:r>
      <w:r w:rsidRPr="002E5D23">
        <w:rPr>
          <w:color w:val="auto"/>
          <w:szCs w:val="20"/>
          <w:lang w:val="en-GB"/>
        </w:rPr>
        <w:t>.</w:t>
      </w:r>
      <w:r w:rsidRPr="002E5D23">
        <w:rPr>
          <w:rFonts w:hint="eastAsia"/>
          <w:color w:val="auto"/>
          <w:szCs w:val="20"/>
          <w:lang w:val="en-GB"/>
        </w:rPr>
        <w:t xml:space="preserve"> </w:t>
      </w:r>
      <w:r w:rsidRPr="002E5D23">
        <w:rPr>
          <w:color w:val="auto"/>
          <w:szCs w:val="20"/>
          <w:lang w:val="en-GB"/>
        </w:rPr>
        <w:t>I</w:t>
      </w:r>
      <w:r w:rsidRPr="002E5D23">
        <w:rPr>
          <w:rFonts w:hint="eastAsia"/>
          <w:color w:val="auto"/>
          <w:szCs w:val="20"/>
          <w:lang w:val="en-GB"/>
        </w:rPr>
        <w:t>n our own study</w:t>
      </w:r>
      <w:r w:rsidRPr="002E5D23">
        <w:rPr>
          <w:color w:val="auto"/>
          <w:szCs w:val="20"/>
          <w:lang w:val="en-GB"/>
        </w:rPr>
        <w:t>,</w:t>
      </w:r>
      <w:r w:rsidRPr="002E5D23">
        <w:rPr>
          <w:rFonts w:hint="eastAsia"/>
          <w:color w:val="auto"/>
          <w:szCs w:val="20"/>
          <w:lang w:val="en-GB"/>
        </w:rPr>
        <w:t xml:space="preserve"> when sampled at mean age of 83 years, almost half (47%) of participants scored either ‘moderate’ (score 3</w:t>
      </w:r>
      <w:r w:rsidR="000A3C8C" w:rsidRPr="002E5D23">
        <w:rPr>
          <w:color w:val="auto"/>
          <w:szCs w:val="20"/>
          <w:lang w:val="en-GB"/>
        </w:rPr>
        <w:t>–</w:t>
      </w:r>
      <w:r w:rsidRPr="002E5D23">
        <w:rPr>
          <w:rFonts w:hint="eastAsia"/>
          <w:color w:val="auto"/>
          <w:szCs w:val="20"/>
          <w:lang w:val="en-GB"/>
        </w:rPr>
        <w:t>5) or ‘high’ (score</w:t>
      </w:r>
      <w:r w:rsidR="000A3C8C" w:rsidRPr="002E5D23">
        <w:rPr>
          <w:rFonts w:eastAsiaTheme="minorEastAsia" w:hint="eastAsia"/>
          <w:color w:val="auto"/>
          <w:szCs w:val="20"/>
          <w:lang w:val="en-GB" w:eastAsia="zh-CN"/>
        </w:rPr>
        <w:t xml:space="preserve"> </w:t>
      </w:r>
      <w:r w:rsidRPr="002E5D23">
        <w:rPr>
          <w:rFonts w:hint="eastAsia"/>
          <w:color w:val="auto"/>
          <w:szCs w:val="20"/>
          <w:lang w:val="en-GB"/>
        </w:rPr>
        <w:t>≥</w:t>
      </w:r>
      <w:r w:rsidR="000A3C8C" w:rsidRPr="002E5D23">
        <w:rPr>
          <w:rFonts w:eastAsiaTheme="minorEastAsia" w:hint="eastAsia"/>
          <w:color w:val="auto"/>
          <w:szCs w:val="20"/>
          <w:lang w:val="en-GB" w:eastAsia="zh-CN"/>
        </w:rPr>
        <w:t xml:space="preserve"> </w:t>
      </w:r>
      <w:r w:rsidRPr="002E5D23">
        <w:rPr>
          <w:rFonts w:hint="eastAsia"/>
          <w:color w:val="auto"/>
          <w:szCs w:val="20"/>
          <w:lang w:val="en-GB"/>
        </w:rPr>
        <w:t xml:space="preserve">6) nutritional risk, using the </w:t>
      </w:r>
      <w:bookmarkStart w:id="7" w:name="_Hlk215060411"/>
      <w:r w:rsidRPr="002E5D23">
        <w:rPr>
          <w:rFonts w:hint="eastAsia"/>
          <w:color w:val="auto"/>
          <w:szCs w:val="20"/>
          <w:lang w:val="en-GB"/>
        </w:rPr>
        <w:t>DETERMINE</w:t>
      </w:r>
      <w:r w:rsidRPr="002E5D23">
        <w:rPr>
          <w:color w:val="auto"/>
          <w:szCs w:val="20"/>
          <w:lang w:val="en-GB"/>
        </w:rPr>
        <w:t xml:space="preserve"> nutritional risk</w:t>
      </w:r>
      <w:r w:rsidRPr="002E5D23">
        <w:rPr>
          <w:rFonts w:hint="eastAsia"/>
          <w:color w:val="auto"/>
          <w:szCs w:val="20"/>
          <w:lang w:val="en-GB"/>
        </w:rPr>
        <w:t xml:space="preserve"> </w:t>
      </w:r>
      <w:bookmarkEnd w:id="7"/>
      <w:r w:rsidRPr="002E5D23">
        <w:rPr>
          <w:rFonts w:hint="eastAsia"/>
          <w:color w:val="auto"/>
          <w:szCs w:val="20"/>
          <w:lang w:val="en-GB"/>
        </w:rPr>
        <w:t xml:space="preserve">checklist </w:t>
      </w:r>
      <w:r w:rsidRPr="002E5D23">
        <w:rPr>
          <w:color w:val="auto"/>
          <w:szCs w:val="20"/>
          <w:lang w:val="en-GB"/>
        </w:rPr>
        <w:t xml:space="preserve">tool </w:t>
      </w:r>
      <w:r w:rsidRPr="002E5D23">
        <w:rPr>
          <w:color w:val="auto"/>
          <w:szCs w:val="20"/>
          <w:lang w:val="en-GB"/>
        </w:rPr>
        <w:fldChar w:fldCharType="begin"/>
      </w:r>
      <w:r w:rsidRPr="002E5D23">
        <w:rPr>
          <w:color w:val="auto"/>
          <w:szCs w:val="20"/>
          <w:lang w:val="en-GB"/>
        </w:rPr>
        <w:instrText xml:space="preserve"> ADDIN EN.CITE &lt;EndNote&gt;&lt;Cite&gt;&lt;Author&gt;Bloom&lt;/Author&gt;&lt;Year&gt;2022&lt;/Year&gt;&lt;RecNum&gt;1739&lt;/RecNum&gt;&lt;DisplayText&gt;[7]&lt;/DisplayText&gt;&lt;record&gt;&lt;rec-number&gt;1739&lt;/rec-number&gt;&lt;foreign-keys&gt;&lt;key app="EN" db-id="xp2sx5aahpsveaea2zq5s2xsef9d0fsxsxex" timestamp="1763978026"&gt;1739&lt;/key&gt;&lt;/foreign-keys&gt;&lt;ref-type name="Journal Article"&gt;17&lt;/ref-type&gt;&lt;contributors&gt;&lt;authors&gt;&lt;author&gt;Bloom, Ilse&lt;/author&gt;&lt;author&gt;Zhang, Jean&lt;/author&gt;&lt;author&gt;Parsons, Camille&lt;/author&gt;&lt;author&gt;Bevilacqua, Gregorio&lt;/author&gt;&lt;author&gt;Dennison, Elaine M&lt;/author&gt;&lt;author&gt;Cooper, Cyrus&lt;/author&gt;&lt;author&gt;Ward, Kate A&lt;/author&gt;&lt;/authors&gt;&lt;/contributors&gt;&lt;titles&gt;&lt;title&gt;Nutritional risk and its relationship with physical function in community-dwelling older adults&lt;/title&gt;&lt;secondary-title&gt;Aging Clin Exp Res&lt;/secondary-title&gt;&lt;/titles&gt;&lt;periodical&gt;&lt;full-title&gt;Aging Clinical and Experimental Research&lt;/full-title&gt;&lt;abbr-1&gt;Aging Clin. Exp. Res.&lt;/abbr-1&gt;&lt;abbr-2&gt;Aging Clin Exp Res&lt;/abbr-2&gt;&lt;abbr-3&gt;Aging Clinical &amp;amp; Experimental Research&lt;/abbr-3&gt;&lt;/periodical&gt;&lt;pages&gt;2031-2039&lt;/pages&gt;&lt;volume&gt;34&lt;/volume&gt;&lt;number&gt;9&lt;/number&gt;&lt;dates&gt;&lt;year&gt;2022&lt;/year&gt;&lt;/dates&gt;&lt;isbn&gt;1720-8319&lt;/isbn&gt;&lt;urls&gt;&lt;/urls&gt;&lt;/record&gt;&lt;/Cite&gt;&lt;/EndNote&gt;</w:instrText>
      </w:r>
      <w:r w:rsidRPr="002E5D23">
        <w:rPr>
          <w:color w:val="auto"/>
          <w:szCs w:val="20"/>
          <w:lang w:val="en-GB"/>
        </w:rPr>
        <w:fldChar w:fldCharType="separate"/>
      </w:r>
      <w:r w:rsidRPr="002E5D23">
        <w:rPr>
          <w:color w:val="auto"/>
          <w:szCs w:val="20"/>
          <w:lang w:val="en-GB"/>
        </w:rPr>
        <w:t>[7]</w:t>
      </w:r>
      <w:r w:rsidRPr="002E5D23">
        <w:rPr>
          <w:color w:val="auto"/>
          <w:szCs w:val="20"/>
          <w:lang w:val="en-GB"/>
        </w:rPr>
        <w:fldChar w:fldCharType="end"/>
      </w:r>
      <w:r w:rsidRPr="002E5D23">
        <w:rPr>
          <w:rFonts w:hint="eastAsia"/>
          <w:color w:val="auto"/>
          <w:szCs w:val="20"/>
          <w:lang w:val="en-GB"/>
        </w:rPr>
        <w:t>.</w:t>
      </w:r>
    </w:p>
    <w:p w14:paraId="70227E80" w14:textId="77777777" w:rsidR="00C92627" w:rsidRPr="002E5D23" w:rsidRDefault="00C92627" w:rsidP="00D94D52">
      <w:pPr>
        <w:pStyle w:val="MDPI31text"/>
        <w:rPr>
          <w:color w:val="auto"/>
          <w:szCs w:val="20"/>
          <w:lang w:val="en-GB"/>
        </w:rPr>
      </w:pPr>
      <w:bookmarkStart w:id="8" w:name="_Hlk218850621"/>
      <w:bookmarkStart w:id="9" w:name="_Hlk218073083"/>
      <w:r w:rsidRPr="002E5D23">
        <w:rPr>
          <w:color w:val="auto"/>
          <w:szCs w:val="20"/>
          <w:lang w:val="en-GB"/>
        </w:rPr>
        <w:t xml:space="preserve">Previous studies have examined measures of diet quality in relation to conditions and health outcomes relating to musculoskeletal health. A recent systematic review of 22 observational studies (243,846 participants) on the association between high-quality dietary patterns and osteoporosis reported that high-quality dietary patterns were protective, with stronger associations observed among women </w:t>
      </w:r>
      <w:r w:rsidRPr="002E5D23">
        <w:rPr>
          <w:color w:val="auto"/>
          <w:szCs w:val="20"/>
          <w:lang w:val="en-GB"/>
        </w:rPr>
        <w:fldChar w:fldCharType="begin"/>
      </w:r>
      <w:r w:rsidRPr="002E5D23">
        <w:rPr>
          <w:color w:val="auto"/>
          <w:szCs w:val="20"/>
          <w:lang w:val="en-GB"/>
        </w:rPr>
        <w:instrText xml:space="preserve"> ADDIN EN.CITE &lt;EndNote&gt;&lt;Cite&gt;&lt;Author&gt;Sui&lt;/Author&gt;&lt;Year&gt;2025&lt;/Year&gt;&lt;RecNum&gt;1751&lt;/RecNum&gt;&lt;DisplayText&gt;[9]&lt;/DisplayText&gt;&lt;record&gt;&lt;rec-number&gt;1751&lt;/rec-number&gt;&lt;foreign-keys&gt;&lt;key app="EN" db-id="xp2sx5aahpsveaea2zq5s2xsef9d0fsxsxex" timestamp="1767176495"&gt;1751&lt;/key&gt;&lt;/foreign-keys&gt;&lt;ref-type name="Journal Article"&gt;17&lt;/ref-type&gt;&lt;contributors&gt;&lt;authors&gt;&lt;author&gt;Sui, Jing&lt;/author&gt;&lt;author&gt;Yin, Hanlin&lt;/author&gt;&lt;author&gt;Zhang, Linjie&lt;/author&gt;&lt;author&gt;Li, Jiayi&lt;/author&gt;&lt;/authors&gt;&lt;/contributors&gt;&lt;titles&gt;&lt;title&gt;The impact of high-quality dietary patterns on the prevention of osteoporosis: a meta-analysis of observational studies&lt;/title&gt;&lt;secondary-title&gt;Front Nutr&lt;/secondary-title&gt;&lt;/titles&gt;&lt;periodical&gt;&lt;full-title&gt;Front Nutr&lt;/full-title&gt;&lt;/periodical&gt;&lt;pages&gt;1609442&lt;/pages&gt;&lt;volume&gt;12&lt;/volume&gt;&lt;dates&gt;&lt;year&gt;2025&lt;/year&gt;&lt;/dates&gt;&lt;isbn&gt;2296-861X&lt;/isbn&gt;&lt;urls&gt;&lt;/urls&gt;&lt;/record&gt;&lt;/Cite&gt;&lt;/EndNote&gt;</w:instrText>
      </w:r>
      <w:r w:rsidRPr="002E5D23">
        <w:rPr>
          <w:color w:val="auto"/>
          <w:szCs w:val="20"/>
          <w:lang w:val="en-GB"/>
        </w:rPr>
        <w:fldChar w:fldCharType="separate"/>
      </w:r>
      <w:r w:rsidRPr="002E5D23">
        <w:rPr>
          <w:color w:val="auto"/>
          <w:szCs w:val="20"/>
          <w:lang w:val="en-GB"/>
        </w:rPr>
        <w:t>[9]</w:t>
      </w:r>
      <w:r w:rsidRPr="002E5D23">
        <w:rPr>
          <w:color w:val="auto"/>
          <w:szCs w:val="20"/>
          <w:lang w:val="en-GB"/>
        </w:rPr>
        <w:fldChar w:fldCharType="end"/>
      </w:r>
      <w:r w:rsidRPr="002E5D23">
        <w:rPr>
          <w:color w:val="auto"/>
          <w:szCs w:val="20"/>
          <w:lang w:val="en-GB"/>
        </w:rPr>
        <w:t xml:space="preserve">. In contrast, a 2024 systematic review of five studies examining dietary patterns in relation to risk of falls in adults reported inconsistent results, with findings which differed depending on the sex of participants and the study design (cross-sectional or longitudinal) </w:t>
      </w:r>
      <w:r w:rsidRPr="002E5D23">
        <w:rPr>
          <w:color w:val="auto"/>
          <w:szCs w:val="20"/>
          <w:lang w:val="en-GB"/>
        </w:rPr>
        <w:fldChar w:fldCharType="begin"/>
      </w:r>
      <w:r w:rsidRPr="002E5D23">
        <w:rPr>
          <w:color w:val="auto"/>
          <w:szCs w:val="20"/>
          <w:lang w:val="en-GB"/>
        </w:rPr>
        <w:instrText xml:space="preserve"> ADDIN EN.CITE &lt;EndNote&gt;&lt;Cite&gt;&lt;Author&gt;Nguyen&lt;/Author&gt;&lt;Year&gt;2024&lt;/Year&gt;&lt;RecNum&gt;1753&lt;/RecNum&gt;&lt;DisplayText&gt;[10]&lt;/DisplayText&gt;&lt;record&gt;&lt;rec-number&gt;1753&lt;/rec-number&gt;&lt;foreign-keys&gt;&lt;key app="EN" db-id="xp2sx5aahpsveaea2zq5s2xsef9d0fsxsxex" timestamp="1767177417"&gt;1753&lt;/key&gt;&lt;/foreign-keys&gt;&lt;ref-type name="Journal Article"&gt;17&lt;/ref-type&gt;&lt;contributors&gt;&lt;authors&gt;&lt;author&gt;Nguyen, Hoa H&lt;/author&gt;&lt;author&gt;Do, Dung V&lt;/author&gt;&lt;author&gt;To, Kien G&lt;/author&gt;&lt;author&gt;Doan, Han TN&lt;/author&gt;&lt;author&gt;Oddy, Wendy H&lt;/author&gt;&lt;/authors&gt;&lt;/contributors&gt;&lt;titles&gt;&lt;title&gt;The effect of dietary patterns on reducing falls and falls risk in adults: a systematic review&lt;/title&gt;&lt;secondary-title&gt;Curr Nutr Rep&lt;/secondary-title&gt;&lt;/titles&gt;&lt;periodical&gt;&lt;full-title&gt;Curr Nutr Rep&lt;/full-title&gt;&lt;/periodical&gt;&lt;pages&gt;15-22&lt;/pages&gt;&lt;volume&gt;13&lt;/volume&gt;&lt;number&gt;1&lt;/number&gt;&lt;dates&gt;&lt;year&gt;2024&lt;/year&gt;&lt;/dates&gt;&lt;isbn&gt;2161-3311&lt;/isbn&gt;&lt;urls&gt;&lt;/urls&gt;&lt;/record&gt;&lt;/Cite&gt;&lt;/EndNote&gt;</w:instrText>
      </w:r>
      <w:r w:rsidRPr="002E5D23">
        <w:rPr>
          <w:color w:val="auto"/>
          <w:szCs w:val="20"/>
          <w:lang w:val="en-GB"/>
        </w:rPr>
        <w:fldChar w:fldCharType="separate"/>
      </w:r>
      <w:r w:rsidRPr="002E5D23">
        <w:rPr>
          <w:color w:val="auto"/>
          <w:szCs w:val="20"/>
          <w:lang w:val="en-GB"/>
        </w:rPr>
        <w:t>[10]</w:t>
      </w:r>
      <w:r w:rsidRPr="002E5D23">
        <w:rPr>
          <w:color w:val="auto"/>
          <w:szCs w:val="20"/>
          <w:lang w:val="en-GB"/>
        </w:rPr>
        <w:fldChar w:fldCharType="end"/>
      </w:r>
      <w:r w:rsidRPr="002E5D23">
        <w:rPr>
          <w:color w:val="auto"/>
          <w:szCs w:val="20"/>
          <w:lang w:val="en-GB"/>
        </w:rPr>
        <w:t xml:space="preserve">. A 2022 systematic review and meta-analysis of dietary patterns in relation to measures of skeletal muscle mass, muscle strength, muscle performance, and sarcopenia risk reported that higher adherence to a healthy dietary pattern was associated with a lower risk of gait speed reduction </w:t>
      </w:r>
      <w:r w:rsidRPr="002E5D23">
        <w:rPr>
          <w:color w:val="auto"/>
          <w:szCs w:val="20"/>
          <w:lang w:val="en-GB"/>
        </w:rPr>
        <w:fldChar w:fldCharType="begin"/>
      </w:r>
      <w:r w:rsidRPr="002E5D23">
        <w:rPr>
          <w:color w:val="auto"/>
          <w:szCs w:val="20"/>
          <w:lang w:val="en-GB"/>
        </w:rPr>
        <w:instrText xml:space="preserve"> ADDIN EN.CITE &lt;EndNote&gt;&lt;Cite&gt;&lt;Author&gt;Van Elswyk&lt;/Author&gt;&lt;Year&gt;2022&lt;/Year&gt;&lt;RecNum&gt;1754&lt;/RecNum&gt;&lt;DisplayText&gt;[11]&lt;/DisplayText&gt;&lt;record&gt;&lt;rec-number&gt;1754&lt;/rec-number&gt;&lt;foreign-keys&gt;&lt;key app="EN" db-id="xp2sx5aahpsveaea2zq5s2xsef9d0fsxsxex" timestamp="1767177631"&gt;1754&lt;/key&gt;&lt;/foreign-keys&gt;&lt;ref-type name="Journal Article"&gt;17&lt;/ref-type&gt;&lt;contributors&gt;&lt;authors&gt;&lt;author&gt;Van Elswyk, Mary E&lt;/author&gt;&lt;author&gt;Teo, Lynn&lt;/author&gt;&lt;author&gt;Lau, Clara S&lt;/author&gt;&lt;author&gt;Shanahan, Christopher J&lt;/author&gt;&lt;/authors&gt;&lt;/contributors&gt;&lt;titles&gt;&lt;title&gt;Dietary patterns and the risk of sarcopenia: a systematic review and meta-analysis&lt;/title&gt;&lt;secondary-title&gt;Curr Dev Nutr&lt;/secondary-title&gt;&lt;/titles&gt;&lt;periodical&gt;&lt;full-title&gt;Curr Dev Nutr&lt;/full-title&gt;&lt;/periodical&gt;&lt;pages&gt;nzac001&lt;/pages&gt;&lt;volume&gt;6&lt;/volume&gt;&lt;number&gt;5&lt;/number&gt;&lt;dates&gt;&lt;year&gt;2022&lt;/year&gt;&lt;/dates&gt;&lt;isbn&gt;2475-2991&lt;/isbn&gt;&lt;urls&gt;&lt;/urls&gt;&lt;/record&gt;&lt;/Cite&gt;&lt;/EndNote&gt;</w:instrText>
      </w:r>
      <w:r w:rsidRPr="002E5D23">
        <w:rPr>
          <w:color w:val="auto"/>
          <w:szCs w:val="20"/>
          <w:lang w:val="en-GB"/>
        </w:rPr>
        <w:fldChar w:fldCharType="separate"/>
      </w:r>
      <w:r w:rsidRPr="002E5D23">
        <w:rPr>
          <w:color w:val="auto"/>
          <w:szCs w:val="20"/>
          <w:lang w:val="en-GB"/>
        </w:rPr>
        <w:t>[11]</w:t>
      </w:r>
      <w:r w:rsidRPr="002E5D23">
        <w:rPr>
          <w:color w:val="auto"/>
          <w:szCs w:val="20"/>
          <w:lang w:val="en-GB"/>
        </w:rPr>
        <w:fldChar w:fldCharType="end"/>
      </w:r>
      <w:r w:rsidRPr="002E5D23">
        <w:rPr>
          <w:color w:val="auto"/>
          <w:szCs w:val="20"/>
          <w:lang w:val="en-GB"/>
        </w:rPr>
        <w:t xml:space="preserve">. However, the association between adherence to a healthy dietary pattern and the other outcomes considered was not statistically significant. Previous research on the prospective associations between diet quality and joint arthroplasty is limited. However, a meta-analysis performed in 2022, comprising 15 studies (97,157 individuals), reported associations between a healthier diet and reduced risk of knee osteoarthritis </w:t>
      </w:r>
      <w:r w:rsidRPr="002E5D23">
        <w:rPr>
          <w:color w:val="auto"/>
          <w:szCs w:val="20"/>
          <w:lang w:val="en-GB"/>
        </w:rPr>
        <w:fldChar w:fldCharType="begin"/>
      </w:r>
      <w:r w:rsidRPr="002E5D23">
        <w:rPr>
          <w:color w:val="auto"/>
          <w:szCs w:val="20"/>
          <w:lang w:val="en-GB"/>
        </w:rPr>
        <w:instrText xml:space="preserve"> ADDIN EN.CITE &lt;EndNote&gt;&lt;Cite&gt;&lt;Author&gt;Xu&lt;/Author&gt;&lt;Year&gt;2022&lt;/Year&gt;&lt;RecNum&gt;1755&lt;/RecNum&gt;&lt;DisplayText&gt;[12]&lt;/DisplayText&gt;&lt;record&gt;&lt;rec-number&gt;1755&lt;/rec-number&gt;&lt;foreign-keys&gt;&lt;key app="EN" db-id="xp2sx5aahpsveaea2zq5s2xsef9d0fsxsxex" timestamp="1767179850"&gt;1755&lt;/key&gt;&lt;/foreign-keys&gt;&lt;ref-type name="Journal Article"&gt;17&lt;/ref-type&gt;&lt;contributors&gt;&lt;authors&gt;&lt;author&gt;Xu, Chao&lt;/author&gt;&lt;author&gt;Wang, Shun&lt;/author&gt;&lt;author&gt;Ti, Weiye&lt;/author&gt;&lt;author&gt;Yang, Jun&lt;/author&gt;&lt;author&gt;Yasen, Yalikun&lt;/author&gt;&lt;author&gt;Memetsidiq, Miryaqup&lt;/author&gt;&lt;author&gt;Shi, Song-qing&lt;/author&gt;&lt;/authors&gt;&lt;/contributors&gt;&lt;titles&gt;&lt;title&gt;Role of dietary patterns and factors in determining the risk of knee osteoarthritis: A meta-analysis&lt;/title&gt;&lt;secondary-title&gt;Mod Rheumatol&lt;/secondary-title&gt;&lt;/titles&gt;&lt;periodical&gt;&lt;full-title&gt;Mod Rheumatol&lt;/full-title&gt;&lt;/periodical&gt;&lt;pages&gt;815-821&lt;/pages&gt;&lt;volume&gt;32&lt;/volume&gt;&lt;number&gt;4&lt;/number&gt;&lt;dates&gt;&lt;year&gt;2022&lt;/year&gt;&lt;/dates&gt;&lt;isbn&gt;1439-7595&lt;/isbn&gt;&lt;urls&gt;&lt;/urls&gt;&lt;/record&gt;&lt;/Cite&gt;&lt;/EndNote&gt;</w:instrText>
      </w:r>
      <w:r w:rsidRPr="002E5D23">
        <w:rPr>
          <w:color w:val="auto"/>
          <w:szCs w:val="20"/>
          <w:lang w:val="en-GB"/>
        </w:rPr>
        <w:fldChar w:fldCharType="separate"/>
      </w:r>
      <w:r w:rsidRPr="002E5D23">
        <w:rPr>
          <w:color w:val="auto"/>
          <w:szCs w:val="20"/>
          <w:lang w:val="en-GB"/>
        </w:rPr>
        <w:t>[12]</w:t>
      </w:r>
      <w:r w:rsidRPr="002E5D23">
        <w:rPr>
          <w:color w:val="auto"/>
          <w:szCs w:val="20"/>
          <w:lang w:val="en-GB"/>
        </w:rPr>
        <w:fldChar w:fldCharType="end"/>
      </w:r>
      <w:r w:rsidRPr="002E5D23">
        <w:rPr>
          <w:color w:val="auto"/>
          <w:szCs w:val="20"/>
          <w:lang w:val="en-GB"/>
        </w:rPr>
        <w:t>.</w:t>
      </w:r>
    </w:p>
    <w:p w14:paraId="765BE364" w14:textId="5689947F" w:rsidR="00C92627" w:rsidRPr="002E5D23" w:rsidRDefault="00C92627" w:rsidP="00D94D52">
      <w:pPr>
        <w:pStyle w:val="MDPI31text"/>
        <w:rPr>
          <w:color w:val="auto"/>
          <w:szCs w:val="20"/>
          <w:lang w:val="en-GB"/>
        </w:rPr>
      </w:pPr>
      <w:bookmarkStart w:id="10" w:name="_Hlk218239244"/>
      <w:bookmarkEnd w:id="8"/>
      <w:r w:rsidRPr="002E5D23">
        <w:rPr>
          <w:color w:val="auto"/>
          <w:szCs w:val="20"/>
          <w:lang w:val="en-GB"/>
        </w:rPr>
        <w:t xml:space="preserve">Examining dietary patterns rather than individual nutrients offers several advantages. Dietary pattern analysis captures potential interactive effects of foods and nutrients consumed together, providing a more holistic understanding of the relationship between diet and disease outcomes </w:t>
      </w:r>
      <w:r w:rsidRPr="002E5D23">
        <w:rPr>
          <w:color w:val="auto"/>
          <w:szCs w:val="20"/>
          <w:lang w:val="en-GB"/>
        </w:rPr>
        <w:fldChar w:fldCharType="begin"/>
      </w:r>
      <w:r w:rsidRPr="002E5D23">
        <w:rPr>
          <w:color w:val="auto"/>
          <w:szCs w:val="20"/>
          <w:lang w:val="en-GB"/>
        </w:rPr>
        <w:instrText xml:space="preserve"> ADDIN EN.CITE &lt;EndNote&gt;&lt;Cite&gt;&lt;Author&gt;Dominguez&lt;/Author&gt;&lt;Year&gt;2022&lt;/Year&gt;&lt;RecNum&gt;1757&lt;/RecNum&gt;&lt;DisplayText&gt;[13]&lt;/DisplayText&gt;&lt;record&gt;&lt;rec-number&gt;1757&lt;/rec-number&gt;&lt;foreign-keys&gt;&lt;key app="EN" db-id="xp2sx5aahpsveaea2zq5s2xsef9d0fsxsxex" timestamp="1767346089"&gt;1757&lt;/key&gt;&lt;/foreign-keys&gt;&lt;ref-type name="Journal Article"&gt;17&lt;/ref-type&gt;&lt;contributors&gt;&lt;authors&gt;&lt;author&gt;Dominguez, Ligia J&lt;/author&gt;&lt;author&gt;Veronese, Nicola&lt;/author&gt;&lt;author&gt;Baiamonte, Eleonora&lt;/author&gt;&lt;author&gt;Guarrera, Martina&lt;/author&gt;&lt;author&gt;Parisi, Angela&lt;/author&gt;&lt;author&gt;Ruffolo, Chiara&lt;/author&gt;&lt;author&gt;Tagliaferri, Federica&lt;/author&gt;&lt;author&gt;Barbagallo, Mario&lt;/author&gt;&lt;/authors&gt;&lt;/contributors&gt;&lt;titles&gt;&lt;title&gt;Healthy aging and dietary patterns&lt;/title&gt;&lt;secondary-title&gt;Nutrients&lt;/secondary-title&gt;&lt;/titles&gt;&lt;periodical&gt;&lt;full-title&gt;Nutrients&lt;/full-title&gt;&lt;/periodical&gt;&lt;pages&gt;889&lt;/pages&gt;&lt;volume&gt;14&lt;/volume&gt;&lt;number&gt;4&lt;/number&gt;&lt;dates&gt;&lt;year&gt;2022&lt;/year&gt;&lt;/dates&gt;&lt;isbn&gt;2072-6643&lt;/isbn&gt;&lt;urls&gt;&lt;/urls&gt;&lt;/record&gt;&lt;/Cite&gt;&lt;/EndNote&gt;</w:instrText>
      </w:r>
      <w:r w:rsidRPr="002E5D23">
        <w:rPr>
          <w:color w:val="auto"/>
          <w:szCs w:val="20"/>
          <w:lang w:val="en-GB"/>
        </w:rPr>
        <w:fldChar w:fldCharType="separate"/>
      </w:r>
      <w:r w:rsidRPr="002E5D23">
        <w:rPr>
          <w:color w:val="auto"/>
          <w:szCs w:val="20"/>
          <w:lang w:val="en-GB"/>
        </w:rPr>
        <w:t>[13]</w:t>
      </w:r>
      <w:r w:rsidRPr="002E5D23">
        <w:rPr>
          <w:color w:val="auto"/>
          <w:szCs w:val="20"/>
          <w:lang w:val="en-GB"/>
        </w:rPr>
        <w:fldChar w:fldCharType="end"/>
      </w:r>
      <w:r w:rsidRPr="002E5D23">
        <w:rPr>
          <w:color w:val="auto"/>
          <w:szCs w:val="20"/>
          <w:lang w:val="en-GB"/>
        </w:rPr>
        <w:t xml:space="preserve">. This approach also reduces problems of collinearity among nutrients and more accurately reflects real-world eating </w:t>
      </w:r>
      <w:r w:rsidR="00BA3328" w:rsidRPr="002E5D23">
        <w:rPr>
          <w:color w:val="auto"/>
          <w:szCs w:val="20"/>
          <w:lang w:val="en-GB"/>
        </w:rPr>
        <w:t>behaviours</w:t>
      </w:r>
      <w:r w:rsidRPr="002E5D23">
        <w:rPr>
          <w:color w:val="auto"/>
          <w:szCs w:val="20"/>
          <w:lang w:val="en-GB"/>
        </w:rPr>
        <w:t xml:space="preserve"> and their health consequences. Among older adults, focusing on dietary patterns, rather than single nutrient intakes, may better represent changes in eating habits and overall diet composition that may occur with life transitions such as retirement, bereavement, or living alone. However, this approach also has limitations. The derivation of dietary patterns often depends on subjective analytical decisions, such as food item grouping and statistical methods, which can limit comparability between studies. Moreover, dietary patterns may </w:t>
      </w:r>
      <w:r w:rsidRPr="002E5D23">
        <w:rPr>
          <w:color w:val="auto"/>
          <w:szCs w:val="20"/>
          <w:lang w:val="en-GB"/>
        </w:rPr>
        <w:lastRenderedPageBreak/>
        <w:t>obscure the influence of specific nutrients or foods, limiting understanding of biological mechanisms. Nonetheless, understanding dietary trajectories in later life can help identify critical periods for intervention, such as around retirement, support personalised nutrition strategies, and inform policies promoting healthy ageing.</w:t>
      </w:r>
    </w:p>
    <w:p w14:paraId="3E2F6CF0" w14:textId="7BEBC555" w:rsidR="00C92627" w:rsidRPr="002E5D23" w:rsidRDefault="00C92627" w:rsidP="00D94D52">
      <w:pPr>
        <w:pStyle w:val="MDPI31text"/>
        <w:rPr>
          <w:color w:val="auto"/>
          <w:szCs w:val="20"/>
          <w:lang w:val="en-GB"/>
        </w:rPr>
      </w:pPr>
      <w:bookmarkStart w:id="11" w:name="_Hlk218063007"/>
      <w:bookmarkStart w:id="12" w:name="_Hlk218850701"/>
      <w:bookmarkEnd w:id="9"/>
      <w:bookmarkEnd w:id="10"/>
      <w:r w:rsidRPr="002E5D23">
        <w:rPr>
          <w:color w:val="auto"/>
          <w:szCs w:val="20"/>
          <w:lang w:val="en-GB"/>
        </w:rPr>
        <w:t xml:space="preserve">Previous research has considered associations between dietary trajectories and musculoskeletal health, specifically physical performance </w:t>
      </w:r>
      <w:r w:rsidRPr="002E5D23">
        <w:rPr>
          <w:color w:val="auto"/>
          <w:szCs w:val="20"/>
          <w:lang w:val="en-GB"/>
        </w:rPr>
        <w:fldChar w:fldCharType="begin"/>
      </w:r>
      <w:r w:rsidRPr="002E5D23">
        <w:rPr>
          <w:color w:val="auto"/>
          <w:szCs w:val="20"/>
          <w:lang w:val="en-GB"/>
        </w:rPr>
        <w:instrText xml:space="preserve"> ADDIN EN.CITE &lt;EndNote&gt;&lt;Cite&gt;&lt;Author&gt;Robinson&lt;/Author&gt;&lt;Year&gt;2018&lt;/Year&gt;&lt;RecNum&gt;256&lt;/RecNum&gt;&lt;DisplayText&gt;[14]&lt;/DisplayText&gt;&lt;record&gt;&lt;rec-number&gt;256&lt;/rec-number&gt;&lt;foreign-keys&gt;&lt;key app="EN" db-id="xp2sx5aahpsveaea2zq5s2xsef9d0fsxsxex" timestamp="1579709563"&gt;256&lt;/key&gt;&lt;/foreign-keys&gt;&lt;ref-type name="Journal Article"&gt;17&lt;/ref-type&gt;&lt;contributors&gt;&lt;authors&gt;&lt;author&gt;Robinson, Sian M&lt;/author&gt;&lt;author&gt;Westbury, Leo D&lt;/author&gt;&lt;author&gt;Cooper, Rachel&lt;/author&gt;&lt;author&gt;Kuh, Diana&lt;/author&gt;&lt;author&gt;Ward, Kate&lt;/author&gt;&lt;author&gt;Syddall, Holly E&lt;/author&gt;&lt;author&gt;Sayer, Avan A&lt;/author&gt;&lt;author&gt;Cooper, Cyrus&lt;/author&gt;&lt;/authors&gt;&lt;/contributors&gt;&lt;titles&gt;&lt;title&gt;Adult lifetime diet quality and physical performance in older age: findings from a British birth cohort&lt;/title&gt;&lt;secondary-title&gt;J Gerontol A Biol Sci Med Sci&lt;/secondary-title&gt;&lt;/titles&gt;&lt;periodical&gt;&lt;full-title&gt;Journals of Gerontology. Series A: Biological Sciences and Medical Sciences&lt;/full-title&gt;&lt;abbr-1&gt;J. Gerontol. A Biol. Sci. Med. Sci.&lt;/abbr-1&gt;&lt;abbr-2&gt;J Gerontol A Biol Sci Med Sci&lt;/abbr-2&gt;&lt;abbr-3&gt;Journals of Gerontology. Series A: Biological Sciences &amp;amp; Medical Sciences&lt;/abbr-3&gt;&lt;/periodical&gt;&lt;pages&gt;1532-1537&lt;/pages&gt;&lt;volume&gt;73&lt;/volume&gt;&lt;number&gt;11&lt;/number&gt;&lt;dates&gt;&lt;year&gt;2018&lt;/year&gt;&lt;/dates&gt;&lt;isbn&gt;1079-5006&lt;/isbn&gt;&lt;urls&gt;&lt;/urls&gt;&lt;/record&gt;&lt;/Cite&gt;&lt;/EndNote&gt;</w:instrText>
      </w:r>
      <w:r w:rsidRPr="002E5D23">
        <w:rPr>
          <w:color w:val="auto"/>
          <w:szCs w:val="20"/>
          <w:lang w:val="en-GB"/>
        </w:rPr>
        <w:fldChar w:fldCharType="separate"/>
      </w:r>
      <w:r w:rsidRPr="002E5D23">
        <w:rPr>
          <w:color w:val="auto"/>
          <w:szCs w:val="20"/>
          <w:lang w:val="en-GB"/>
        </w:rPr>
        <w:t>[14]</w:t>
      </w:r>
      <w:r w:rsidRPr="002E5D23">
        <w:rPr>
          <w:color w:val="auto"/>
          <w:szCs w:val="20"/>
          <w:lang w:val="en-GB"/>
        </w:rPr>
        <w:fldChar w:fldCharType="end"/>
      </w:r>
      <w:r w:rsidRPr="002E5D23">
        <w:rPr>
          <w:color w:val="auto"/>
          <w:szCs w:val="20"/>
          <w:lang w:val="en-GB"/>
        </w:rPr>
        <w:t>. However, this work was truncated at age 60</w:t>
      </w:r>
      <w:r w:rsidR="000A3C8C" w:rsidRPr="002E5D23">
        <w:rPr>
          <w:rFonts w:eastAsiaTheme="minorEastAsia"/>
          <w:color w:val="auto"/>
          <w:szCs w:val="20"/>
          <w:lang w:val="en-GB" w:eastAsia="zh-CN"/>
        </w:rPr>
        <w:t>–</w:t>
      </w:r>
      <w:r w:rsidRPr="002E5D23">
        <w:rPr>
          <w:color w:val="auto"/>
          <w:szCs w:val="20"/>
          <w:lang w:val="en-GB"/>
        </w:rPr>
        <w:t xml:space="preserve">64 years. </w:t>
      </w:r>
      <w:bookmarkStart w:id="13" w:name="_Hlk217986089"/>
      <w:r w:rsidRPr="002E5D23">
        <w:rPr>
          <w:color w:val="auto"/>
          <w:szCs w:val="20"/>
          <w:lang w:val="en-GB"/>
        </w:rPr>
        <w:t>Overall, far fewer studies have examined dietary trajectories over long periods extending from around the age of retirement (age 65 years) into old age. Given the importance of nutrition to musculoskeletal health at older ages, we therefore evaluated the stability of diet quality in the Hertfordshire Cohort Study over a median of 17 years, from around the age of 65 up until the ninth decade. We also examined the sociodemographic correlates of dietary trajectories, and associations between these trajectories and adverse musculoskeletal outcomes.</w:t>
      </w:r>
      <w:bookmarkEnd w:id="11"/>
      <w:r w:rsidRPr="002E5D23">
        <w:rPr>
          <w:color w:val="auto"/>
          <w:szCs w:val="20"/>
          <w:lang w:val="en-GB"/>
        </w:rPr>
        <w:t xml:space="preserve"> </w:t>
      </w:r>
      <w:bookmarkEnd w:id="12"/>
      <w:bookmarkEnd w:id="13"/>
      <w:r w:rsidRPr="002E5D23">
        <w:rPr>
          <w:color w:val="auto"/>
          <w:szCs w:val="20"/>
          <w:lang w:val="en-GB"/>
        </w:rPr>
        <w:t>This information may be valuable to clinicians and policymakers as it may help us identify those individuals who are at highest risk of poor diet in later life, at a time when intervention might be easier and most beneficial.</w:t>
      </w:r>
    </w:p>
    <w:p w14:paraId="3C730589" w14:textId="77777777" w:rsidR="00C92627" w:rsidRPr="002E5D23" w:rsidRDefault="00C92627" w:rsidP="00D94D52">
      <w:pPr>
        <w:pStyle w:val="MDPI21heading1"/>
        <w:rPr>
          <w:color w:val="auto"/>
          <w:szCs w:val="24"/>
          <w:lang w:val="en-GB"/>
        </w:rPr>
      </w:pPr>
      <w:r w:rsidRPr="002E5D23">
        <w:rPr>
          <w:color w:val="auto"/>
          <w:szCs w:val="24"/>
          <w:lang w:val="en-GB" w:eastAsia="zh-CN"/>
        </w:rPr>
        <w:t xml:space="preserve">2. </w:t>
      </w:r>
      <w:r w:rsidRPr="002E5D23">
        <w:rPr>
          <w:color w:val="auto"/>
          <w:szCs w:val="24"/>
          <w:lang w:val="en-GB"/>
        </w:rPr>
        <w:t>Materials and Methods</w:t>
      </w:r>
    </w:p>
    <w:p w14:paraId="23A82426" w14:textId="77777777" w:rsidR="00C92627" w:rsidRPr="002E5D23" w:rsidRDefault="00C92627" w:rsidP="00D94D52">
      <w:pPr>
        <w:pStyle w:val="MDPI22heading2"/>
        <w:rPr>
          <w:noProof w:val="0"/>
          <w:color w:val="auto"/>
          <w:szCs w:val="20"/>
          <w:lang w:val="en-GB"/>
        </w:rPr>
      </w:pPr>
      <w:bookmarkStart w:id="14" w:name="_Hlk214871559"/>
      <w:r w:rsidRPr="002E5D23">
        <w:rPr>
          <w:noProof w:val="0"/>
          <w:color w:val="auto"/>
          <w:szCs w:val="20"/>
          <w:lang w:val="en-GB"/>
        </w:rPr>
        <w:t>2.1. The Hertfordshire Cohort Study</w:t>
      </w:r>
    </w:p>
    <w:bookmarkEnd w:id="14"/>
    <w:p w14:paraId="047F954F" w14:textId="1C65549F" w:rsidR="00C92627" w:rsidRPr="002E5D23" w:rsidRDefault="00C92627" w:rsidP="00D94D52">
      <w:pPr>
        <w:pStyle w:val="MDPI31text"/>
        <w:rPr>
          <w:i/>
          <w:color w:val="auto"/>
          <w:szCs w:val="20"/>
          <w:lang w:val="en-GB"/>
        </w:rPr>
      </w:pPr>
      <w:r w:rsidRPr="002E5D23">
        <w:rPr>
          <w:color w:val="auto"/>
          <w:szCs w:val="20"/>
          <w:lang w:val="en-GB"/>
        </w:rPr>
        <w:t>The Hertfordshire Cohort Study consists of 1579 men and 1418 women who were born in Hertfordshire (UK) from 1931</w:t>
      </w:r>
      <w:r w:rsidR="000A3C8C" w:rsidRPr="002E5D23">
        <w:rPr>
          <w:rFonts w:eastAsiaTheme="minorEastAsia"/>
          <w:color w:val="auto"/>
          <w:szCs w:val="20"/>
          <w:lang w:val="en-GB" w:eastAsia="zh-CN"/>
        </w:rPr>
        <w:t>–</w:t>
      </w:r>
      <w:r w:rsidRPr="002E5D23">
        <w:rPr>
          <w:color w:val="auto"/>
          <w:szCs w:val="20"/>
          <w:lang w:val="en-GB"/>
        </w:rPr>
        <w:t>1939, and who still lived there in 1998</w:t>
      </w:r>
      <w:r w:rsidR="000A3C8C" w:rsidRPr="002E5D23">
        <w:rPr>
          <w:rFonts w:eastAsiaTheme="minorEastAsia"/>
          <w:color w:val="auto"/>
          <w:szCs w:val="20"/>
          <w:lang w:val="en-GB" w:eastAsia="zh-CN"/>
        </w:rPr>
        <w:t>–</w:t>
      </w:r>
      <w:r w:rsidRPr="002E5D23">
        <w:rPr>
          <w:color w:val="auto"/>
          <w:szCs w:val="20"/>
          <w:lang w:val="en-GB"/>
        </w:rPr>
        <w:t>2004 when they completed a home interview and clinic visit for a detailed health assessment. At baseline (1998</w:t>
      </w:r>
      <w:r w:rsidR="000A3C8C" w:rsidRPr="002E5D23">
        <w:rPr>
          <w:rFonts w:eastAsiaTheme="minorEastAsia"/>
          <w:color w:val="auto"/>
          <w:szCs w:val="20"/>
          <w:lang w:val="en-GB" w:eastAsia="zh-CN"/>
        </w:rPr>
        <w:t>–</w:t>
      </w:r>
      <w:r w:rsidRPr="002E5D23">
        <w:rPr>
          <w:color w:val="auto"/>
          <w:szCs w:val="20"/>
          <w:lang w:val="en-GB"/>
        </w:rPr>
        <w:t>2004), 966 participants from East Hertfordshire underwent a detailed musculoskeletal assessment. In 2011, 443/966 agreed to participate in a follow-up study, and 224 took part in an additional follow-up study in 2017. The analysis sample for this article comprise</w:t>
      </w:r>
      <w:r w:rsidR="0008199C" w:rsidRPr="002E5D23">
        <w:rPr>
          <w:color w:val="auto"/>
          <w:szCs w:val="20"/>
          <w:lang w:val="en-GB"/>
        </w:rPr>
        <w:t>d</w:t>
      </w:r>
      <w:r w:rsidRPr="002E5D23">
        <w:rPr>
          <w:color w:val="auto"/>
          <w:szCs w:val="20"/>
          <w:lang w:val="en-GB"/>
        </w:rPr>
        <w:t xml:space="preserve"> the 92 men and 86 women with measures of diet quality at all three time-points (1998</w:t>
      </w:r>
      <w:r w:rsidR="000A3C8C" w:rsidRPr="002E5D23">
        <w:rPr>
          <w:rFonts w:eastAsiaTheme="minorEastAsia"/>
          <w:color w:val="auto"/>
          <w:szCs w:val="20"/>
          <w:lang w:val="en-GB" w:eastAsia="zh-CN"/>
        </w:rPr>
        <w:t>–</w:t>
      </w:r>
      <w:r w:rsidRPr="002E5D23">
        <w:rPr>
          <w:color w:val="auto"/>
          <w:szCs w:val="20"/>
          <w:lang w:val="en-GB"/>
        </w:rPr>
        <w:t xml:space="preserve">2004, 2011 and 2017). </w:t>
      </w:r>
      <w:bookmarkStart w:id="15" w:name="_Hlk218245307"/>
      <w:r w:rsidRPr="002E5D23">
        <w:rPr>
          <w:color w:val="auto"/>
          <w:szCs w:val="20"/>
          <w:lang w:val="en-GB"/>
        </w:rPr>
        <w:t xml:space="preserve">Participants may have dropped out of follow-up </w:t>
      </w:r>
      <w:r w:rsidR="000420EA" w:rsidRPr="002E5D23">
        <w:rPr>
          <w:color w:val="auto"/>
          <w:szCs w:val="20"/>
          <w:lang w:val="en-GB"/>
        </w:rPr>
        <w:t xml:space="preserve">studies </w:t>
      </w:r>
      <w:r w:rsidRPr="002E5D23">
        <w:rPr>
          <w:color w:val="auto"/>
          <w:szCs w:val="20"/>
          <w:lang w:val="en-GB"/>
        </w:rPr>
        <w:t>for several reasons, including death, serious illness that prevented participation, relocation, loss of contact, withdrawal of consent, or other personal circumstances.</w:t>
      </w:r>
      <w:bookmarkEnd w:id="15"/>
      <w:r w:rsidRPr="002E5D23">
        <w:rPr>
          <w:color w:val="auto"/>
          <w:szCs w:val="20"/>
          <w:lang w:val="en-GB"/>
        </w:rPr>
        <w:t xml:space="preserve"> Additional information about the HCS has been published previously </w:t>
      </w:r>
      <w:r w:rsidRPr="002E5D23">
        <w:rPr>
          <w:i/>
          <w:color w:val="auto"/>
          <w:szCs w:val="20"/>
          <w:lang w:val="en-GB"/>
        </w:rPr>
        <w:fldChar w:fldCharType="begin"/>
      </w:r>
      <w:r w:rsidRPr="002E5D23">
        <w:rPr>
          <w:color w:val="auto"/>
          <w:szCs w:val="20"/>
          <w:lang w:val="en-GB"/>
        </w:rPr>
        <w:instrText xml:space="preserve"> ADDIN EN.CITE &lt;EndNote&gt;&lt;Cite&gt;&lt;Author&gt;Syddall&lt;/Author&gt;&lt;Year&gt;2005&lt;/Year&gt;&lt;RecNum&gt;436&lt;/RecNum&gt;&lt;DisplayText&gt;[15]&lt;/DisplayText&gt;&lt;record&gt;&lt;rec-number&gt;436&lt;/rec-number&gt;&lt;foreign-keys&gt;&lt;key app="EN" db-id="xp2sx5aahpsveaea2zq5s2xsef9d0fsxsxex" timestamp="1710174623"&gt;436&lt;/key&gt;&lt;/foreign-keys&gt;&lt;ref-type name="Journal Article"&gt;17&lt;/ref-type&gt;&lt;contributors&gt;&lt;authors&gt;&lt;author&gt;Syddall, HE&lt;/author&gt;&lt;author&gt;Aihie Sayer, A&lt;/author&gt;&lt;author&gt;Dennison, EM&lt;/author&gt;&lt;author&gt;Martin, HJ&lt;/author&gt;&lt;author&gt;Barker, DJP&lt;/author&gt;&lt;author&gt;Cooper, C&lt;/author&gt;&lt;/authors&gt;&lt;/contributors&gt;&lt;titles&gt;&lt;title&gt;Cohort profile: the Hertfordshire Cohort Study&lt;/title&gt;&lt;secondary-title&gt;Int J Epidemiol.&lt;/secondary-title&gt;&lt;/titles&gt;&lt;periodical&gt;&lt;full-title&gt;Int J Epidemiol.&lt;/full-title&gt;&lt;/periodical&gt;&lt;pages&gt;1234-1242&lt;/pages&gt;&lt;volume&gt;34&lt;/volume&gt;&lt;number&gt;6&lt;/number&gt;&lt;dates&gt;&lt;year&gt;2005&lt;/year&gt;&lt;/dates&gt;&lt;urls&gt;&lt;/urls&gt;&lt;/record&gt;&lt;/Cite&gt;&lt;/EndNote&gt;</w:instrText>
      </w:r>
      <w:r w:rsidRPr="002E5D23">
        <w:rPr>
          <w:i/>
          <w:color w:val="auto"/>
          <w:szCs w:val="20"/>
          <w:lang w:val="en-GB"/>
        </w:rPr>
        <w:fldChar w:fldCharType="separate"/>
      </w:r>
      <w:r w:rsidRPr="002E5D23">
        <w:rPr>
          <w:color w:val="auto"/>
          <w:szCs w:val="20"/>
          <w:lang w:val="en-GB"/>
        </w:rPr>
        <w:t>[15]</w:t>
      </w:r>
      <w:r w:rsidRPr="002E5D23">
        <w:rPr>
          <w:i/>
          <w:color w:val="auto"/>
          <w:szCs w:val="20"/>
          <w:lang w:val="en-GB"/>
        </w:rPr>
        <w:fldChar w:fldCharType="end"/>
      </w:r>
      <w:r w:rsidRPr="002E5D23">
        <w:rPr>
          <w:color w:val="auto"/>
          <w:szCs w:val="20"/>
          <w:lang w:val="en-GB"/>
        </w:rPr>
        <w:t>.</w:t>
      </w:r>
    </w:p>
    <w:p w14:paraId="2D8FA076" w14:textId="46725668" w:rsidR="00C92627" w:rsidRPr="002E5D23" w:rsidRDefault="00C92627" w:rsidP="00D94D52">
      <w:pPr>
        <w:pStyle w:val="MDPI22heading2"/>
        <w:spacing w:before="240"/>
        <w:rPr>
          <w:noProof w:val="0"/>
          <w:color w:val="auto"/>
          <w:szCs w:val="20"/>
          <w:lang w:val="en-GB"/>
        </w:rPr>
      </w:pPr>
      <w:r w:rsidRPr="002E5D23">
        <w:rPr>
          <w:noProof w:val="0"/>
          <w:color w:val="auto"/>
          <w:szCs w:val="20"/>
          <w:lang w:val="en-GB"/>
        </w:rPr>
        <w:t xml:space="preserve">2.2. Assessment of </w:t>
      </w:r>
      <w:r w:rsidR="00D94D52" w:rsidRPr="002E5D23">
        <w:rPr>
          <w:noProof w:val="0"/>
          <w:color w:val="auto"/>
          <w:szCs w:val="20"/>
          <w:lang w:val="en-GB"/>
        </w:rPr>
        <w:t xml:space="preserve">Diet Quality </w:t>
      </w:r>
      <w:r w:rsidRPr="002E5D23">
        <w:rPr>
          <w:noProof w:val="0"/>
          <w:color w:val="auto"/>
          <w:szCs w:val="20"/>
          <w:lang w:val="en-GB"/>
        </w:rPr>
        <w:t>in 1998</w:t>
      </w:r>
      <w:r w:rsidR="003F3029" w:rsidRPr="002E5D23">
        <w:rPr>
          <w:rFonts w:eastAsiaTheme="minorEastAsia"/>
          <w:noProof w:val="0"/>
          <w:color w:val="auto"/>
          <w:szCs w:val="20"/>
          <w:lang w:val="en-GB" w:eastAsia="zh-CN"/>
        </w:rPr>
        <w:t>–</w:t>
      </w:r>
      <w:r w:rsidRPr="002E5D23">
        <w:rPr>
          <w:noProof w:val="0"/>
          <w:color w:val="auto"/>
          <w:szCs w:val="20"/>
          <w:lang w:val="en-GB"/>
        </w:rPr>
        <w:t>2004, 2011 and 2017</w:t>
      </w:r>
    </w:p>
    <w:p w14:paraId="7A0BA183" w14:textId="3948E908" w:rsidR="00C92627" w:rsidRPr="002E5D23" w:rsidRDefault="00C92627" w:rsidP="00F602C2">
      <w:pPr>
        <w:pStyle w:val="MDPI31text"/>
        <w:rPr>
          <w:i/>
          <w:color w:val="auto"/>
          <w:szCs w:val="20"/>
          <w:lang w:val="en-GB"/>
        </w:rPr>
      </w:pPr>
      <w:r w:rsidRPr="002E5D23">
        <w:rPr>
          <w:color w:val="auto"/>
          <w:szCs w:val="20"/>
          <w:lang w:val="en-GB"/>
        </w:rPr>
        <w:t>At baseline (1998</w:t>
      </w:r>
      <w:r w:rsidR="000A3C8C" w:rsidRPr="002E5D23">
        <w:rPr>
          <w:color w:val="auto"/>
          <w:szCs w:val="20"/>
          <w:lang w:val="en-GB"/>
        </w:rPr>
        <w:t>–</w:t>
      </w:r>
      <w:r w:rsidRPr="002E5D23">
        <w:rPr>
          <w:color w:val="auto"/>
          <w:szCs w:val="20"/>
          <w:lang w:val="en-GB"/>
        </w:rPr>
        <w:t xml:space="preserve">2004), diet was assessed using a food frequency questionnaire (FFQ), and principal component analysis was conducted using data from the full </w:t>
      </w:r>
      <w:bookmarkStart w:id="16" w:name="_Hlk215060428"/>
      <w:r w:rsidRPr="002E5D23">
        <w:rPr>
          <w:color w:val="auto"/>
          <w:szCs w:val="20"/>
          <w:lang w:val="en-GB"/>
        </w:rPr>
        <w:t xml:space="preserve">FFQ </w:t>
      </w:r>
      <w:bookmarkEnd w:id="16"/>
      <w:r w:rsidRPr="002E5D23">
        <w:rPr>
          <w:color w:val="auto"/>
          <w:szCs w:val="20"/>
          <w:lang w:val="en-GB"/>
        </w:rPr>
        <w:t xml:space="preserve">(129 food items) </w:t>
      </w:r>
      <w:r w:rsidRPr="002E5D23">
        <w:rPr>
          <w:i/>
          <w:color w:val="auto"/>
          <w:szCs w:val="20"/>
          <w:lang w:val="en-GB"/>
        </w:rPr>
        <w:fldChar w:fldCharType="begin"/>
      </w:r>
      <w:r w:rsidRPr="002E5D23">
        <w:rPr>
          <w:color w:val="auto"/>
          <w:szCs w:val="20"/>
          <w:lang w:val="en-GB"/>
        </w:rPr>
        <w:instrText xml:space="preserve"> ADDIN EN.CITE &lt;EndNote&gt;&lt;Cite&gt;&lt;Author&gt;Robinson&lt;/Author&gt;&lt;Year&gt;2009&lt;/Year&gt;&lt;RecNum&gt;17&lt;/RecNum&gt;&lt;DisplayText&gt;[16]&lt;/DisplayText&gt;&lt;record&gt;&lt;rec-number&gt;17&lt;/rec-number&gt;&lt;foreign-keys&gt;&lt;key app="EN" db-id="xp2sx5aahpsveaea2zq5s2xsef9d0fsxsxex" timestamp="1447944745"&gt;17&lt;/key&gt;&lt;/foreign-keys&gt;&lt;ref-type name="Journal Article"&gt;17&lt;/ref-type&gt;&lt;contributors&gt;&lt;authors&gt;&lt;author&gt;Robinson, Siân&lt;/author&gt;&lt;author&gt;Syddall, Holly&lt;/author&gt;&lt;author&gt;Jameson, Karen&lt;/author&gt;&lt;author&gt;Batelaan, Sue&lt;/author&gt;&lt;author&gt;Martin, Helen&lt;/author&gt;&lt;author&gt;Dennison, Elaine M&lt;/author&gt;&lt;author&gt;Cooper, Cyrus&lt;/author&gt;&lt;author&gt;Sayer, Avan Aihie&lt;/author&gt;&lt;author&gt;Hertfordshire Study Group&lt;/author&gt;&lt;/authors&gt;&lt;/contributors&gt;&lt;titles&gt;&lt;title&gt;Current patterns of diet in community-dwelling older men and women: results from the Hertfordshire Cohort Study&lt;/title&gt;&lt;secondary-title&gt;Age Ageing&lt;/secondary-title&gt;&lt;/titles&gt;&lt;periodical&gt;&lt;full-title&gt;Age and Ageing&lt;/full-title&gt;&lt;abbr-1&gt;Age Ageing&lt;/abbr-1&gt;&lt;abbr-2&gt;Age Ageing&lt;/abbr-2&gt;&lt;abbr-3&gt;Age &amp;amp; Ageing&lt;/abbr-3&gt;&lt;/periodical&gt;&lt;pages&gt;594-599&lt;/pages&gt;&lt;volume&gt;38&lt;/volume&gt;&lt;number&gt;5&lt;/number&gt;&lt;dates&gt;&lt;year&gt;2009&lt;/year&gt;&lt;/dates&gt;&lt;isbn&gt;0002-0729&lt;/isbn&gt;&lt;urls&gt;&lt;/urls&gt;&lt;/record&gt;&lt;/Cite&gt;&lt;/EndNote&gt;</w:instrText>
      </w:r>
      <w:r w:rsidRPr="002E5D23">
        <w:rPr>
          <w:i/>
          <w:color w:val="auto"/>
          <w:szCs w:val="20"/>
          <w:lang w:val="en-GB"/>
        </w:rPr>
        <w:fldChar w:fldCharType="separate"/>
      </w:r>
      <w:r w:rsidRPr="002E5D23">
        <w:rPr>
          <w:color w:val="auto"/>
          <w:szCs w:val="20"/>
          <w:lang w:val="en-GB"/>
        </w:rPr>
        <w:t>[16]</w:t>
      </w:r>
      <w:r w:rsidRPr="002E5D23">
        <w:rPr>
          <w:i/>
          <w:color w:val="auto"/>
          <w:szCs w:val="20"/>
          <w:lang w:val="en-GB"/>
        </w:rPr>
        <w:fldChar w:fldCharType="end"/>
      </w:r>
      <w:r w:rsidRPr="002E5D23">
        <w:rPr>
          <w:color w:val="auto"/>
          <w:szCs w:val="20"/>
          <w:lang w:val="en-GB"/>
        </w:rPr>
        <w:t xml:space="preserve">. The 24 items with the largest absolute coefficients on the first principal component were selected to derive a diet quality score; these coefficients are presented in Supplementary Table </w:t>
      </w:r>
      <w:r w:rsidR="00A95D95" w:rsidRPr="002E5D23">
        <w:rPr>
          <w:rFonts w:eastAsiaTheme="minorEastAsia" w:hint="eastAsia"/>
          <w:color w:val="auto"/>
          <w:szCs w:val="20"/>
          <w:lang w:val="en-GB" w:eastAsia="zh-CN"/>
        </w:rPr>
        <w:t>S</w:t>
      </w:r>
      <w:r w:rsidRPr="002E5D23">
        <w:rPr>
          <w:color w:val="auto"/>
          <w:szCs w:val="20"/>
          <w:lang w:val="en-GB"/>
        </w:rPr>
        <w:t xml:space="preserve">1. For each participant, the reported consumption of these 24 food items was standardized using the mean and standard deviation of the reported consumption at baseline, and then multiplied by the corresponding coefficient, and the resulting values were summed to obtain a diet quality score, with higher scores indicating healthier diets (higher consumption of fruit and vegetables, oily fish and wholemeal bread but lower consumption of white bread, added sugar, full-fat dairy products, chips and processed meat). The same coefficients for these 24 food items were applied to FFQs administered in 2011 and 2017, which included the same food items, to ensure that diet quality was assessed on a consistent scale across time-points. Previously, diet scores derived from the full and short FFQs at baseline were shown to be highly correlated (r = 0.912 in men; r = 0.904 in women) and to demonstrate similar associations with key nutrient intakes and with blood concentrations of vitamin C and lipids </w:t>
      </w:r>
      <w:r w:rsidRPr="002E5D23">
        <w:rPr>
          <w:i/>
          <w:color w:val="auto"/>
          <w:szCs w:val="20"/>
          <w:lang w:val="en-GB"/>
        </w:rPr>
        <w:fldChar w:fldCharType="begin"/>
      </w:r>
      <w:r w:rsidRPr="002E5D23">
        <w:rPr>
          <w:color w:val="auto"/>
          <w:szCs w:val="20"/>
          <w:lang w:val="en-GB"/>
        </w:rPr>
        <w:instrText xml:space="preserve"> ADDIN EN.CITE &lt;EndNote&gt;&lt;Cite&gt;&lt;Author&gt;Robinson&lt;/Author&gt;&lt;Year&gt;2017&lt;/Year&gt;&lt;RecNum&gt;487&lt;/RecNum&gt;&lt;DisplayText&gt;[17]&lt;/DisplayText&gt;&lt;record&gt;&lt;rec-number&gt;487&lt;/rec-number&gt;&lt;foreign-keys&gt;&lt;key app="EN" db-id="xp2sx5aahpsveaea2zq5s2xsef9d0fsxsxex" timestamp="1729581470"&gt;487&lt;/key&gt;&lt;/foreign-keys&gt;&lt;ref-type name="Journal Article"&gt;17&lt;/ref-type&gt;&lt;contributors&gt;&lt;authors&gt;&lt;author&gt;Robinson, SM&lt;/author&gt;&lt;author&gt;Jameson, KA&lt;/author&gt;&lt;author&gt;Bloom, I&lt;/author&gt;&lt;author&gt;Ntani, G&lt;/author&gt;&lt;author&gt;Crozier, SR&lt;/author&gt;&lt;author&gt;Syddall, H&lt;/author&gt;&lt;author&gt;Dennison, EM&lt;/author&gt;&lt;author&gt;Cooper, C&lt;/author&gt;&lt;author&gt;Sayer, AA&lt;/author&gt;&lt;/authors&gt;&lt;/contributors&gt;&lt;titles&gt;&lt;title&gt;Development of a short questionnaire to assess diet quality among older community-dwelling adults&lt;/title&gt;&lt;secondary-title&gt;J Nutr Health Aging&lt;/secondary-title&gt;&lt;/titles&gt;&lt;periodical&gt;&lt;full-title&gt;The Journal of Nutrition, Health &amp;amp; Aging&lt;/full-title&gt;&lt;abbr-1&gt;J. Nutr. Health Aging&lt;/abbr-1&gt;&lt;abbr-2&gt;J Nutr Health Aging&lt;/abbr-2&gt;&lt;/periodical&gt;&lt;pages&gt;247-253&lt;/pages&gt;&lt;volume&gt;21&lt;/volume&gt;&lt;number&gt;3&lt;/number&gt;&lt;dates&gt;&lt;year&gt;2017&lt;/year&gt;&lt;/dates&gt;&lt;isbn&gt;1279-7707&lt;/isbn&gt;&lt;urls&gt;&lt;/urls&gt;&lt;/record&gt;&lt;/Cite&gt;&lt;/EndNote&gt;</w:instrText>
      </w:r>
      <w:r w:rsidRPr="002E5D23">
        <w:rPr>
          <w:i/>
          <w:color w:val="auto"/>
          <w:szCs w:val="20"/>
          <w:lang w:val="en-GB"/>
        </w:rPr>
        <w:fldChar w:fldCharType="separate"/>
      </w:r>
      <w:r w:rsidRPr="002E5D23">
        <w:rPr>
          <w:color w:val="auto"/>
          <w:szCs w:val="20"/>
          <w:lang w:val="en-GB"/>
        </w:rPr>
        <w:t>[17]</w:t>
      </w:r>
      <w:r w:rsidRPr="002E5D23">
        <w:rPr>
          <w:i/>
          <w:color w:val="auto"/>
          <w:szCs w:val="20"/>
          <w:lang w:val="en-GB"/>
        </w:rPr>
        <w:fldChar w:fldCharType="end"/>
      </w:r>
      <w:r w:rsidRPr="002E5D23">
        <w:rPr>
          <w:color w:val="auto"/>
          <w:szCs w:val="20"/>
          <w:lang w:val="en-GB"/>
        </w:rPr>
        <w:t>.</w:t>
      </w:r>
    </w:p>
    <w:p w14:paraId="3940F937" w14:textId="77777777" w:rsidR="009A45BB" w:rsidRPr="002E5D23" w:rsidRDefault="009A45BB">
      <w:pPr>
        <w:spacing w:line="240" w:lineRule="auto"/>
        <w:jc w:val="left"/>
        <w:rPr>
          <w:rFonts w:eastAsia="Times New Roman"/>
          <w:i/>
          <w:snapToGrid w:val="0"/>
          <w:color w:val="auto"/>
          <w:lang w:val="en-GB" w:eastAsia="de-DE" w:bidi="en-US"/>
          <w14:ligatures w14:val="standardContextual"/>
        </w:rPr>
      </w:pPr>
      <w:bookmarkStart w:id="17" w:name="_Hlk214871647"/>
      <w:r w:rsidRPr="002E5D23">
        <w:rPr>
          <w:color w:val="auto"/>
          <w:lang w:val="en-GB"/>
        </w:rPr>
        <w:br w:type="page"/>
      </w:r>
    </w:p>
    <w:p w14:paraId="2B4005D8" w14:textId="5DC7136C" w:rsidR="00C92627" w:rsidRPr="002E5D23" w:rsidRDefault="00C92627" w:rsidP="00F602C2">
      <w:pPr>
        <w:pStyle w:val="MDPI22heading2"/>
        <w:spacing w:before="240"/>
        <w:rPr>
          <w:noProof w:val="0"/>
          <w:color w:val="auto"/>
          <w:szCs w:val="20"/>
          <w:lang w:val="en-GB"/>
        </w:rPr>
      </w:pPr>
      <w:r w:rsidRPr="002E5D23">
        <w:rPr>
          <w:noProof w:val="0"/>
          <w:color w:val="auto"/>
          <w:szCs w:val="20"/>
          <w:lang w:val="en-GB"/>
        </w:rPr>
        <w:lastRenderedPageBreak/>
        <w:t xml:space="preserve">2.3. Ascertainment of </w:t>
      </w:r>
      <w:r w:rsidR="00F602C2" w:rsidRPr="002E5D23">
        <w:rPr>
          <w:noProof w:val="0"/>
          <w:color w:val="auto"/>
          <w:szCs w:val="20"/>
          <w:lang w:val="en-GB"/>
        </w:rPr>
        <w:t xml:space="preserve">Other Participant Characteristics </w:t>
      </w:r>
      <w:r w:rsidRPr="002E5D23">
        <w:rPr>
          <w:noProof w:val="0"/>
          <w:color w:val="auto"/>
          <w:szCs w:val="20"/>
          <w:lang w:val="en-GB"/>
        </w:rPr>
        <w:t>in 1998</w:t>
      </w:r>
      <w:r w:rsidR="00F602C2" w:rsidRPr="002E5D23">
        <w:rPr>
          <w:rFonts w:eastAsiaTheme="minorEastAsia"/>
          <w:noProof w:val="0"/>
          <w:color w:val="auto"/>
          <w:szCs w:val="20"/>
          <w:lang w:val="en-GB" w:eastAsia="zh-CN"/>
        </w:rPr>
        <w:t>–</w:t>
      </w:r>
      <w:r w:rsidRPr="002E5D23">
        <w:rPr>
          <w:noProof w:val="0"/>
          <w:color w:val="auto"/>
          <w:szCs w:val="20"/>
          <w:lang w:val="en-GB"/>
        </w:rPr>
        <w:t>2004</w:t>
      </w:r>
    </w:p>
    <w:bookmarkEnd w:id="17"/>
    <w:p w14:paraId="522CEEA2" w14:textId="623C54BC" w:rsidR="00C92627" w:rsidRPr="002E5D23" w:rsidRDefault="00C92627" w:rsidP="00590721">
      <w:pPr>
        <w:pStyle w:val="MDPI31text"/>
        <w:rPr>
          <w:color w:val="auto"/>
          <w:szCs w:val="20"/>
          <w:lang w:val="en-GB"/>
        </w:rPr>
      </w:pPr>
      <w:r w:rsidRPr="002E5D23">
        <w:rPr>
          <w:color w:val="auto"/>
          <w:szCs w:val="20"/>
          <w:lang w:val="en-GB"/>
        </w:rPr>
        <w:t xml:space="preserve">Physical activity (Dallosso questionnaire </w:t>
      </w:r>
      <w:r w:rsidRPr="002E5D23">
        <w:rPr>
          <w:i/>
          <w:color w:val="auto"/>
          <w:szCs w:val="20"/>
          <w:lang w:val="en-GB"/>
        </w:rPr>
        <w:fldChar w:fldCharType="begin"/>
      </w:r>
      <w:r w:rsidRPr="002E5D23">
        <w:rPr>
          <w:color w:val="auto"/>
          <w:szCs w:val="20"/>
          <w:lang w:val="en-GB"/>
        </w:rPr>
        <w:instrText xml:space="preserve"> ADDIN EN.CITE &lt;EndNote&gt;&lt;Cite&gt;&lt;Author&gt;Dallosso&lt;/Author&gt;&lt;Year&gt;1988&lt;/Year&gt;&lt;RecNum&gt;208&lt;/RecNum&gt;&lt;DisplayText&gt;[18]&lt;/DisplayText&gt;&lt;record&gt;&lt;rec-number&gt;208&lt;/rec-number&gt;&lt;foreign-keys&gt;&lt;key app="EN" db-id="xp2sx5aahpsveaea2zq5s2xsef9d0fsxsxex" timestamp="1525950525"&gt;208&lt;/key&gt;&lt;/foreign-keys&gt;&lt;ref-type name="Journal Article"&gt;17&lt;/ref-type&gt;&lt;contributors&gt;&lt;authors&gt;&lt;author&gt;Dallosso, HM&lt;/author&gt;&lt;author&gt;Morgan, K&lt;/author&gt;&lt;author&gt;Bassey, EJ&lt;/author&gt;&lt;author&gt;Ebrahim, SB&lt;/author&gt;&lt;author&gt;Fentem, PH&lt;/author&gt;&lt;author&gt;Arie, TH&lt;/author&gt;&lt;/authors&gt;&lt;/contributors&gt;&lt;titles&gt;&lt;title&gt;Levels of customary physical activity among the old and the very old living at home&lt;/title&gt;&lt;secondary-title&gt;J Epidemiol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121-127&lt;/pages&gt;&lt;volume&gt;42&lt;/volume&gt;&lt;number&gt;2&lt;/number&gt;&lt;dates&gt;&lt;year&gt;1988&lt;/year&gt;&lt;/dates&gt;&lt;isbn&gt;0143-005X&lt;/isbn&gt;&lt;urls&gt;&lt;/urls&gt;&lt;/record&gt;&lt;/Cite&gt;&lt;/EndNote&gt;</w:instrText>
      </w:r>
      <w:r w:rsidRPr="002E5D23">
        <w:rPr>
          <w:i/>
          <w:color w:val="auto"/>
          <w:szCs w:val="20"/>
          <w:lang w:val="en-GB"/>
        </w:rPr>
        <w:fldChar w:fldCharType="separate"/>
      </w:r>
      <w:r w:rsidRPr="002E5D23">
        <w:rPr>
          <w:color w:val="auto"/>
          <w:szCs w:val="20"/>
          <w:lang w:val="en-GB"/>
        </w:rPr>
        <w:t>[18]</w:t>
      </w:r>
      <w:r w:rsidRPr="002E5D23">
        <w:rPr>
          <w:i/>
          <w:color w:val="auto"/>
          <w:szCs w:val="20"/>
          <w:lang w:val="en-GB"/>
        </w:rPr>
        <w:fldChar w:fldCharType="end"/>
      </w:r>
      <w:r w:rsidRPr="002E5D23">
        <w:rPr>
          <w:color w:val="auto"/>
          <w:szCs w:val="20"/>
          <w:lang w:val="en-GB"/>
        </w:rPr>
        <w:t xml:space="preserve">), alcohol consumption and smoking status were ascertained at the home interview by a clinician-administered questionnaire. Occupational social class was ascertained from the most recent or current full-time occupation for men and among women who never married, and from the husband’s occupation for ever-married women. Occupations were then classified according to the </w:t>
      </w:r>
      <w:bookmarkStart w:id="18" w:name="_Hlk215060446"/>
      <w:r w:rsidRPr="002E5D23">
        <w:rPr>
          <w:color w:val="auto"/>
          <w:szCs w:val="20"/>
          <w:lang w:val="en-GB"/>
        </w:rPr>
        <w:t xml:space="preserve">1990 OPCS Standard Occupational Classification (SOC90) </w:t>
      </w:r>
      <w:bookmarkEnd w:id="18"/>
      <w:r w:rsidRPr="002E5D23">
        <w:rPr>
          <w:color w:val="auto"/>
          <w:szCs w:val="20"/>
          <w:lang w:val="en-GB"/>
        </w:rPr>
        <w:t xml:space="preserve">unit group for occupation </w:t>
      </w:r>
      <w:r w:rsidRPr="002E5D23">
        <w:rPr>
          <w:i/>
          <w:color w:val="auto"/>
          <w:szCs w:val="20"/>
          <w:lang w:val="en-GB"/>
        </w:rPr>
        <w:fldChar w:fldCharType="begin"/>
      </w:r>
      <w:r w:rsidRPr="002E5D23">
        <w:rPr>
          <w:color w:val="auto"/>
          <w:szCs w:val="20"/>
          <w:lang w:val="en-GB"/>
        </w:rPr>
        <w:instrText xml:space="preserve"> ADDIN EN.CITE &lt;EndNote&gt;&lt;Cite&gt;&lt;Author&gt;Office of Population Censuses and Surveys&lt;/Author&gt;&lt;Year&gt;1990&lt;/Year&gt;&lt;RecNum&gt;120&lt;/RecNum&gt;&lt;DisplayText&gt;[19]&lt;/DisplayText&gt;&lt;record&gt;&lt;rec-number&gt;120&lt;/rec-number&gt;&lt;foreign-keys&gt;&lt;key app="EN" db-id="xp2sx5aahpsveaea2zq5s2xsef9d0fsxsxex" timestamp="1505298120"&gt;120&lt;/key&gt;&lt;/foreign-keys&gt;&lt;ref-type name="Journal Article"&gt;17&lt;/ref-type&gt;&lt;contributors&gt;&lt;authors&gt;&lt;author&gt;Office of Population Censuses and Surveys,&lt;/author&gt;&lt;/authors&gt;&lt;/contributors&gt;&lt;titles&gt;&lt;title&gt;Standard occupational classification, Vol 1 Structure and definition of major, minor and unit groups. HMSO. London.&lt;/title&gt;&lt;/titles&gt;&lt;dates&gt;&lt;year&gt;1990&lt;/year&gt;&lt;/dates&gt;&lt;urls&gt;&lt;/urls&gt;&lt;/record&gt;&lt;/Cite&gt;&lt;/EndNote&gt;</w:instrText>
      </w:r>
      <w:r w:rsidRPr="002E5D23">
        <w:rPr>
          <w:i/>
          <w:color w:val="auto"/>
          <w:szCs w:val="20"/>
          <w:lang w:val="en-GB"/>
        </w:rPr>
        <w:fldChar w:fldCharType="separate"/>
      </w:r>
      <w:r w:rsidRPr="002E5D23">
        <w:rPr>
          <w:color w:val="auto"/>
          <w:szCs w:val="20"/>
          <w:lang w:val="en-GB"/>
        </w:rPr>
        <w:t>[19]</w:t>
      </w:r>
      <w:r w:rsidRPr="002E5D23">
        <w:rPr>
          <w:i/>
          <w:color w:val="auto"/>
          <w:szCs w:val="20"/>
          <w:lang w:val="en-GB"/>
        </w:rPr>
        <w:fldChar w:fldCharType="end"/>
      </w:r>
      <w:r w:rsidRPr="002E5D23">
        <w:rPr>
          <w:color w:val="auto"/>
          <w:szCs w:val="20"/>
          <w:lang w:val="en-GB"/>
        </w:rPr>
        <w:t xml:space="preserve">. Information on housing tenure (owned, mortgaged, rented or ‘other’) and the age at which participants left full-time education was also collected. Details were recorded of </w:t>
      </w:r>
      <w:proofErr w:type="gramStart"/>
      <w:r w:rsidRPr="002E5D23">
        <w:rPr>
          <w:color w:val="auto"/>
          <w:szCs w:val="20"/>
          <w:lang w:val="en-GB"/>
        </w:rPr>
        <w:t>over</w:t>
      </w:r>
      <w:r w:rsidR="001D11E2" w:rsidRPr="002E5D23">
        <w:rPr>
          <w:color w:val="auto"/>
          <w:szCs w:val="20"/>
          <w:lang w:val="en-GB"/>
        </w:rPr>
        <w:t>-</w:t>
      </w:r>
      <w:r w:rsidRPr="002E5D23">
        <w:rPr>
          <w:color w:val="auto"/>
          <w:szCs w:val="20"/>
          <w:lang w:val="en-GB"/>
        </w:rPr>
        <w:t>the</w:t>
      </w:r>
      <w:r w:rsidR="001D11E2" w:rsidRPr="002E5D23">
        <w:rPr>
          <w:color w:val="auto"/>
          <w:szCs w:val="20"/>
          <w:lang w:val="en-GB"/>
        </w:rPr>
        <w:t>-</w:t>
      </w:r>
      <w:r w:rsidRPr="002E5D23">
        <w:rPr>
          <w:color w:val="auto"/>
          <w:szCs w:val="20"/>
          <w:lang w:val="en-GB"/>
        </w:rPr>
        <w:t>counter</w:t>
      </w:r>
      <w:proofErr w:type="gramEnd"/>
      <w:r w:rsidRPr="002E5D23">
        <w:rPr>
          <w:color w:val="auto"/>
          <w:szCs w:val="20"/>
          <w:lang w:val="en-GB"/>
        </w:rPr>
        <w:t xml:space="preserve"> and prescription medications that participants were currently taking. These medications were coded into the following systems according to the British National Formulary: cardiovascular; respiratory; gastro-intestinal; endocrine; central nervous; malignant disease and immunosuppression; nutrition and blood; musculoskeletal and joint disease; eye; ear; nose; skin; miscellaneous; and </w:t>
      </w:r>
      <w:proofErr w:type="spellStart"/>
      <w:r w:rsidRPr="002E5D23">
        <w:rPr>
          <w:color w:val="auto"/>
          <w:szCs w:val="20"/>
          <w:lang w:val="en-GB"/>
        </w:rPr>
        <w:t>genito</w:t>
      </w:r>
      <w:proofErr w:type="spellEnd"/>
      <w:r w:rsidRPr="002E5D23">
        <w:rPr>
          <w:color w:val="auto"/>
          <w:szCs w:val="20"/>
          <w:lang w:val="en-GB"/>
        </w:rPr>
        <w:t>-urinary tract. The number of systems medicated was then used as a marker of morbidity level.</w:t>
      </w:r>
    </w:p>
    <w:p w14:paraId="20CB9B6A" w14:textId="00F99DBA" w:rsidR="00C92627" w:rsidRPr="002E5D23" w:rsidRDefault="00C92627" w:rsidP="00590721">
      <w:pPr>
        <w:pStyle w:val="MDPI31text"/>
        <w:rPr>
          <w:i/>
          <w:color w:val="auto"/>
          <w:szCs w:val="20"/>
          <w:lang w:val="en-GB"/>
        </w:rPr>
      </w:pPr>
      <w:r w:rsidRPr="002E5D23">
        <w:rPr>
          <w:color w:val="auto"/>
          <w:szCs w:val="20"/>
          <w:lang w:val="en-GB"/>
        </w:rPr>
        <w:t xml:space="preserve">At the baseline clinic, height (Harpenden pocket stadiometer, </w:t>
      </w:r>
      <w:proofErr w:type="spellStart"/>
      <w:r w:rsidRPr="002E5D23">
        <w:rPr>
          <w:color w:val="auto"/>
          <w:szCs w:val="20"/>
          <w:lang w:val="en-GB"/>
        </w:rPr>
        <w:t>Chasmors</w:t>
      </w:r>
      <w:proofErr w:type="spellEnd"/>
      <w:r w:rsidRPr="002E5D23">
        <w:rPr>
          <w:color w:val="auto"/>
          <w:szCs w:val="20"/>
          <w:lang w:val="en-GB"/>
        </w:rPr>
        <w:t xml:space="preserve"> Ltd</w:t>
      </w:r>
      <w:r w:rsidR="00EC2B16" w:rsidRPr="002E5D23">
        <w:rPr>
          <w:color w:val="auto"/>
          <w:szCs w:val="20"/>
          <w:lang w:val="en-GB"/>
        </w:rPr>
        <w:t>.</w:t>
      </w:r>
      <w:r w:rsidRPr="002E5D23">
        <w:rPr>
          <w:color w:val="auto"/>
          <w:szCs w:val="20"/>
          <w:lang w:val="en-GB"/>
        </w:rPr>
        <w:t xml:space="preserve">, London, UK) and weight (SECA floor scale, </w:t>
      </w:r>
      <w:proofErr w:type="spellStart"/>
      <w:r w:rsidRPr="002E5D23">
        <w:rPr>
          <w:color w:val="auto"/>
          <w:szCs w:val="20"/>
          <w:lang w:val="en-GB"/>
        </w:rPr>
        <w:t>Chasmors</w:t>
      </w:r>
      <w:proofErr w:type="spellEnd"/>
      <w:r w:rsidRPr="002E5D23">
        <w:rPr>
          <w:color w:val="auto"/>
          <w:szCs w:val="20"/>
          <w:lang w:val="en-GB"/>
        </w:rPr>
        <w:t xml:space="preserve"> Ltd</w:t>
      </w:r>
      <w:r w:rsidR="00EC2B16" w:rsidRPr="002E5D23">
        <w:rPr>
          <w:color w:val="auto"/>
          <w:szCs w:val="20"/>
          <w:lang w:val="en-GB"/>
        </w:rPr>
        <w:t>.</w:t>
      </w:r>
      <w:r w:rsidRPr="002E5D23">
        <w:rPr>
          <w:color w:val="auto"/>
          <w:szCs w:val="20"/>
          <w:lang w:val="en-GB"/>
        </w:rPr>
        <w:t>, London, UK) were measured and used to derive body mass index (</w:t>
      </w:r>
      <w:bookmarkStart w:id="19" w:name="_Hlk215060481"/>
      <w:r w:rsidRPr="002E5D23">
        <w:rPr>
          <w:color w:val="auto"/>
          <w:szCs w:val="20"/>
          <w:lang w:val="en-GB"/>
        </w:rPr>
        <w:t>BMI</w:t>
      </w:r>
      <w:bookmarkEnd w:id="19"/>
      <w:r w:rsidRPr="002E5D23">
        <w:rPr>
          <w:color w:val="auto"/>
          <w:szCs w:val="20"/>
          <w:lang w:val="en-GB"/>
        </w:rPr>
        <w:t>).</w:t>
      </w:r>
    </w:p>
    <w:p w14:paraId="3E15EDD3" w14:textId="61CDBDDA" w:rsidR="00C92627" w:rsidRPr="002E5D23" w:rsidRDefault="00C92627" w:rsidP="00590721">
      <w:pPr>
        <w:pStyle w:val="MDPI22heading2"/>
        <w:spacing w:before="240"/>
        <w:rPr>
          <w:noProof w:val="0"/>
          <w:color w:val="auto"/>
          <w:szCs w:val="20"/>
          <w:lang w:val="en-GB"/>
        </w:rPr>
      </w:pPr>
      <w:bookmarkStart w:id="20" w:name="_Hlk214871679"/>
      <w:r w:rsidRPr="002E5D23">
        <w:rPr>
          <w:noProof w:val="0"/>
          <w:color w:val="auto"/>
          <w:szCs w:val="20"/>
          <w:lang w:val="en-GB"/>
        </w:rPr>
        <w:t xml:space="preserve">2.4. Ascertainment of </w:t>
      </w:r>
      <w:r w:rsidR="00590721" w:rsidRPr="002E5D23">
        <w:rPr>
          <w:noProof w:val="0"/>
          <w:color w:val="auto"/>
          <w:szCs w:val="20"/>
          <w:lang w:val="en-GB"/>
        </w:rPr>
        <w:t xml:space="preserve">Adverse Musculoskeletal Outcomes </w:t>
      </w:r>
      <w:r w:rsidRPr="002E5D23">
        <w:rPr>
          <w:noProof w:val="0"/>
          <w:color w:val="auto"/>
          <w:szCs w:val="20"/>
          <w:lang w:val="en-GB"/>
        </w:rPr>
        <w:t>in 2017</w:t>
      </w:r>
    </w:p>
    <w:bookmarkEnd w:id="20"/>
    <w:p w14:paraId="6A5199F5" w14:textId="61F5F482" w:rsidR="00C92627" w:rsidRPr="002E5D23" w:rsidRDefault="00C92627" w:rsidP="00590721">
      <w:pPr>
        <w:pStyle w:val="MDPI31text"/>
        <w:rPr>
          <w:i/>
          <w:color w:val="auto"/>
          <w:szCs w:val="20"/>
          <w:lang w:val="en-GB"/>
        </w:rPr>
      </w:pPr>
      <w:r w:rsidRPr="002E5D23">
        <w:rPr>
          <w:color w:val="auto"/>
          <w:szCs w:val="20"/>
          <w:lang w:val="en-GB"/>
        </w:rPr>
        <w:t xml:space="preserve">In 2017, information was obtained through clinician-administered questionnaires and participants underwent scans at the MRC Elsie Widdowson Laboratory (Cambridge). Participants were asked to report current use of any over the counter and prescription medications. Participants were asked if a doctor had ever told them that they had osteoporosis. Measurement of </w:t>
      </w:r>
      <w:bookmarkStart w:id="21" w:name="_Hlk215060491"/>
      <w:proofErr w:type="spellStart"/>
      <w:r w:rsidRPr="002E5D23">
        <w:rPr>
          <w:color w:val="auto"/>
          <w:szCs w:val="20"/>
          <w:lang w:val="en-GB"/>
        </w:rPr>
        <w:t>aBMD</w:t>
      </w:r>
      <w:bookmarkEnd w:id="21"/>
      <w:proofErr w:type="spellEnd"/>
      <w:r w:rsidRPr="002E5D23">
        <w:rPr>
          <w:color w:val="auto"/>
          <w:szCs w:val="20"/>
          <w:lang w:val="en-GB"/>
        </w:rPr>
        <w:t xml:space="preserve"> was performed at both femoral necks using dual-energy X-ray absorptiometry (</w:t>
      </w:r>
      <w:proofErr w:type="spellStart"/>
      <w:r w:rsidRPr="002E5D23">
        <w:rPr>
          <w:color w:val="auto"/>
          <w:szCs w:val="20"/>
          <w:lang w:val="en-GB"/>
        </w:rPr>
        <w:t>iDXA</w:t>
      </w:r>
      <w:proofErr w:type="spellEnd"/>
      <w:r w:rsidRPr="002E5D23">
        <w:rPr>
          <w:color w:val="auto"/>
          <w:szCs w:val="20"/>
          <w:lang w:val="en-GB"/>
        </w:rPr>
        <w:t>, GE-Lunar scanner</w:t>
      </w:r>
      <w:r w:rsidR="00AB6408" w:rsidRPr="002E5D23">
        <w:rPr>
          <w:color w:val="auto"/>
          <w:szCs w:val="20"/>
          <w:lang w:val="en-GB"/>
        </w:rPr>
        <w:t>,</w:t>
      </w:r>
      <w:r w:rsidR="00AB6408" w:rsidRPr="002E5D23">
        <w:t xml:space="preserve"> </w:t>
      </w:r>
      <w:r w:rsidR="00AB6408" w:rsidRPr="002E5D23">
        <w:rPr>
          <w:color w:val="auto"/>
          <w:szCs w:val="20"/>
          <w:lang w:val="en-GB"/>
        </w:rPr>
        <w:t>GE Healthcare, Madison, WI, USA</w:t>
      </w:r>
      <w:r w:rsidRPr="002E5D23">
        <w:rPr>
          <w:color w:val="auto"/>
          <w:szCs w:val="20"/>
          <w:lang w:val="en-GB"/>
        </w:rPr>
        <w:t xml:space="preserve">); the lowest of the two readings was used in analyses. Participants with at least one of the following criteria were regarded as having osteoporosis: femoral neck bone mineral density T-score </w:t>
      </w:r>
      <w:r w:rsidRPr="002E5D23">
        <w:rPr>
          <w:rFonts w:hint="eastAsia"/>
          <w:color w:val="auto"/>
          <w:szCs w:val="20"/>
          <w:lang w:val="en-GB"/>
        </w:rPr>
        <w:t>≤</w:t>
      </w:r>
      <w:r w:rsidRPr="002E5D23">
        <w:rPr>
          <w:color w:val="auto"/>
          <w:szCs w:val="20"/>
          <w:lang w:val="en-GB"/>
        </w:rPr>
        <w:t xml:space="preserve"> </w:t>
      </w:r>
      <w:r w:rsidR="00DF67AD" w:rsidRPr="002E5D23">
        <w:rPr>
          <w:color w:val="auto"/>
          <w:szCs w:val="20"/>
          <w:lang w:val="en-GB"/>
        </w:rPr>
        <w:t>−</w:t>
      </w:r>
      <w:r w:rsidRPr="002E5D23">
        <w:rPr>
          <w:color w:val="auto"/>
          <w:szCs w:val="20"/>
          <w:lang w:val="en-GB"/>
        </w:rPr>
        <w:t>2.5; current use of anti-osteoporosis medications (female hormone replacement therapy, bisphosphonates, raloxifene, or strontium); or self-reported diagnosis of osteoporosis by a doctor. Participants were also asked if they had fallen in the past year. Grip strength was assessed three times on each hand (Jamar dynamometer</w:t>
      </w:r>
      <w:r w:rsidR="006D1497" w:rsidRPr="002E5D23">
        <w:rPr>
          <w:color w:val="auto"/>
          <w:szCs w:val="20"/>
          <w:lang w:val="en-GB"/>
        </w:rPr>
        <w:t xml:space="preserve">, </w:t>
      </w:r>
      <w:proofErr w:type="spellStart"/>
      <w:r w:rsidR="006D1497" w:rsidRPr="002E5D23">
        <w:rPr>
          <w:color w:val="auto"/>
          <w:szCs w:val="20"/>
        </w:rPr>
        <w:t>Promedics</w:t>
      </w:r>
      <w:proofErr w:type="spellEnd"/>
      <w:r w:rsidR="006D1497" w:rsidRPr="002E5D23">
        <w:rPr>
          <w:color w:val="auto"/>
          <w:szCs w:val="20"/>
        </w:rPr>
        <w:t>, Blackburn, UK</w:t>
      </w:r>
      <w:r w:rsidRPr="002E5D23">
        <w:rPr>
          <w:color w:val="auto"/>
          <w:szCs w:val="20"/>
          <w:lang w:val="en-GB"/>
        </w:rPr>
        <w:t xml:space="preserve">) using a standardised protocol </w:t>
      </w:r>
      <w:r w:rsidRPr="002E5D23">
        <w:rPr>
          <w:i/>
          <w:color w:val="auto"/>
          <w:szCs w:val="20"/>
          <w:lang w:val="en-GB"/>
        </w:rPr>
        <w:fldChar w:fldCharType="begin"/>
      </w:r>
      <w:r w:rsidRPr="002E5D23">
        <w:rPr>
          <w:color w:val="auto"/>
          <w:szCs w:val="20"/>
          <w:lang w:val="en-GB"/>
        </w:rPr>
        <w:instrText xml:space="preserve"> ADDIN EN.CITE &lt;EndNote&gt;&lt;Cite&gt;&lt;Author&gt;Roberts&lt;/Author&gt;&lt;Year&gt;2011&lt;/Year&gt;&lt;RecNum&gt;47&lt;/RecNum&gt;&lt;DisplayText&gt;[20]&lt;/DisplayText&gt;&lt;record&gt;&lt;rec-number&gt;47&lt;/rec-number&gt;&lt;foreign-keys&gt;&lt;key app="EN" db-id="xp2sx5aahpsveaea2zq5s2xsef9d0fsxsxex" timestamp="1481708945"&gt;47&lt;/key&gt;&lt;/foreign-keys&gt;&lt;ref-type name="Journal Article"&gt;17&lt;/ref-type&gt;&lt;contributors&gt;&lt;authors&gt;&lt;author&gt;Roberts, Helen C&lt;/author&gt;&lt;author&gt;Denison, Hayley J&lt;/author&gt;&lt;author&gt;Martin, Helen J&lt;/author&gt;&lt;author&gt;Patel, Harnish P&lt;/author&gt;&lt;author&gt;Syddall, Holly&lt;/author&gt;&lt;author&gt;Cooper, Cyrus&lt;/author&gt;&lt;author&gt;Sayer, Avan Aihie&lt;/author&gt;&lt;/authors&gt;&lt;/contributors&gt;&lt;titles&gt;&lt;title&gt;A review of the measurement of grip strength in clinical and epidemiological studies: towards a standardised approach&lt;/title&gt;&lt;secondary-title&gt;Age Ageing&lt;/secondary-title&gt;&lt;/titles&gt;&lt;periodical&gt;&lt;full-title&gt;Age and Ageing&lt;/full-title&gt;&lt;abbr-1&gt;Age Ageing&lt;/abbr-1&gt;&lt;abbr-2&gt;Age Ageing&lt;/abbr-2&gt;&lt;abbr-3&gt;Age &amp;amp; Ageing&lt;/abbr-3&gt;&lt;/periodical&gt;&lt;pages&gt;423-9&lt;/pages&gt;&lt;volume&gt;40&lt;/volume&gt;&lt;number&gt;4&lt;/number&gt;&lt;dates&gt;&lt;year&gt;2011&lt;/year&gt;&lt;/dates&gt;&lt;isbn&gt;0002-0729&lt;/isbn&gt;&lt;urls&gt;&lt;/urls&gt;&lt;/record&gt;&lt;/Cite&gt;&lt;/EndNote&gt;</w:instrText>
      </w:r>
      <w:r w:rsidRPr="002E5D23">
        <w:rPr>
          <w:i/>
          <w:color w:val="auto"/>
          <w:szCs w:val="20"/>
          <w:lang w:val="en-GB"/>
        </w:rPr>
        <w:fldChar w:fldCharType="separate"/>
      </w:r>
      <w:r w:rsidRPr="002E5D23">
        <w:rPr>
          <w:color w:val="auto"/>
          <w:szCs w:val="20"/>
          <w:lang w:val="en-GB"/>
        </w:rPr>
        <w:t>[20]</w:t>
      </w:r>
      <w:r w:rsidRPr="002E5D23">
        <w:rPr>
          <w:i/>
          <w:color w:val="auto"/>
          <w:szCs w:val="20"/>
          <w:lang w:val="en-GB"/>
        </w:rPr>
        <w:fldChar w:fldCharType="end"/>
      </w:r>
      <w:r w:rsidRPr="002E5D23">
        <w:rPr>
          <w:color w:val="auto"/>
          <w:szCs w:val="20"/>
          <w:lang w:val="en-GB"/>
        </w:rPr>
        <w:t>; the highest of the six values was used for analysis. Low grip strength was defined according to the 2019 European Working Group on Sarcopenia in Older People (</w:t>
      </w:r>
      <w:bookmarkStart w:id="22" w:name="_Hlk215060510"/>
      <w:r w:rsidRPr="002E5D23">
        <w:rPr>
          <w:color w:val="auto"/>
          <w:szCs w:val="20"/>
          <w:lang w:val="en-GB"/>
        </w:rPr>
        <w:t>EWGSOP2</w:t>
      </w:r>
      <w:bookmarkEnd w:id="22"/>
      <w:r w:rsidRPr="002E5D23">
        <w:rPr>
          <w:color w:val="auto"/>
          <w:szCs w:val="20"/>
          <w:lang w:val="en-GB"/>
        </w:rPr>
        <w:t xml:space="preserve">) criteria as &lt;27 kg for men and &lt;16 kg for women </w:t>
      </w:r>
      <w:r w:rsidRPr="002E5D23">
        <w:rPr>
          <w:i/>
          <w:color w:val="auto"/>
          <w:szCs w:val="20"/>
          <w:lang w:val="en-GB"/>
        </w:rPr>
        <w:fldChar w:fldCharType="begin"/>
      </w:r>
      <w:r w:rsidRPr="002E5D23">
        <w:rPr>
          <w:color w:val="auto"/>
          <w:szCs w:val="20"/>
          <w:lang w:val="en-GB"/>
        </w:rPr>
        <w:instrText xml:space="preserve"> ADDIN EN.CITE &lt;EndNote&gt;&lt;Cite&gt;&lt;Author&gt;Cruz-Jentoft&lt;/Author&gt;&lt;Year&gt;2019&lt;/Year&gt;&lt;RecNum&gt;260&lt;/RecNum&gt;&lt;DisplayText&gt;[21]&lt;/DisplayText&gt;&lt;record&gt;&lt;rec-number&gt;260&lt;/rec-number&gt;&lt;foreign-keys&gt;&lt;key app="EN" db-id="xp2sx5aahpsveaea2zq5s2xsef9d0fsxsxex" timestamp="1583320471"&gt;260&lt;/key&gt;&lt;/foreign-keys&gt;&lt;ref-type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Aihie&lt;/author&gt;&lt;/authors&gt;&lt;/contributors&gt;&lt;titles&gt;&lt;title&gt;Sarcopenia: revised European consensus on definition and diagnosis&lt;/title&gt;&lt;secondary-title&gt;Age Ageing&lt;/secondary-title&gt;&lt;/titles&gt;&lt;periodical&gt;&lt;full-title&gt;Age and Ageing&lt;/full-title&gt;&lt;abbr-1&gt;Age Ageing&lt;/abbr-1&gt;&lt;abbr-2&gt;Age Ageing&lt;/abbr-2&gt;&lt;abbr-3&gt;Age &amp;amp; Ageing&lt;/abbr-3&gt;&lt;/periodical&gt;&lt;pages&gt;16-31&lt;/pages&gt;&lt;volume&gt;48&lt;/volume&gt;&lt;number&gt;1&lt;/number&gt;&lt;dates&gt;&lt;year&gt;2019&lt;/year&gt;&lt;/dates&gt;&lt;isbn&gt;0002-0729&lt;/isbn&gt;&lt;urls&gt;&lt;/urls&gt;&lt;/record&gt;&lt;/Cite&gt;&lt;/EndNote&gt;</w:instrText>
      </w:r>
      <w:r w:rsidRPr="002E5D23">
        <w:rPr>
          <w:i/>
          <w:color w:val="auto"/>
          <w:szCs w:val="20"/>
          <w:lang w:val="en-GB"/>
        </w:rPr>
        <w:fldChar w:fldCharType="separate"/>
      </w:r>
      <w:r w:rsidRPr="002E5D23">
        <w:rPr>
          <w:color w:val="auto"/>
          <w:szCs w:val="20"/>
          <w:lang w:val="en-GB"/>
        </w:rPr>
        <w:t>[21]</w:t>
      </w:r>
      <w:r w:rsidRPr="002E5D23">
        <w:rPr>
          <w:i/>
          <w:color w:val="auto"/>
          <w:szCs w:val="20"/>
          <w:lang w:val="en-GB"/>
        </w:rPr>
        <w:fldChar w:fldCharType="end"/>
      </w:r>
      <w:r w:rsidRPr="002E5D23">
        <w:rPr>
          <w:color w:val="auto"/>
          <w:szCs w:val="20"/>
          <w:lang w:val="en-GB"/>
        </w:rPr>
        <w:t>. Customary gait speed was assessed twice over an 8ft course; the mean time of two trials was used, and gait speed was calculated as distance (metres) divided by time (seconds). Low gait speed was defined as ≤0.8 m/s, consistent with EWGSOP2 criteria. Participants were also asked to report any operations that they had undergone; these free text responses were used to determine whether participants had ever had a hip/knee joint replacement.</w:t>
      </w:r>
    </w:p>
    <w:p w14:paraId="578C31D5" w14:textId="5EA91EB6" w:rsidR="00C92627" w:rsidRPr="002E5D23" w:rsidRDefault="00C92627" w:rsidP="00590721">
      <w:pPr>
        <w:pStyle w:val="MDPI22heading2"/>
        <w:spacing w:before="240"/>
        <w:rPr>
          <w:noProof w:val="0"/>
          <w:color w:val="auto"/>
          <w:szCs w:val="20"/>
          <w:lang w:val="en-GB"/>
        </w:rPr>
      </w:pPr>
      <w:r w:rsidRPr="002E5D23">
        <w:rPr>
          <w:noProof w:val="0"/>
          <w:color w:val="auto"/>
          <w:szCs w:val="20"/>
          <w:lang w:val="en-GB"/>
        </w:rPr>
        <w:t xml:space="preserve">2.5. Statistical </w:t>
      </w:r>
      <w:r w:rsidR="00590721" w:rsidRPr="002E5D23">
        <w:rPr>
          <w:noProof w:val="0"/>
          <w:color w:val="auto"/>
          <w:szCs w:val="20"/>
          <w:lang w:val="en-GB"/>
        </w:rPr>
        <w:t>Methods</w:t>
      </w:r>
    </w:p>
    <w:p w14:paraId="38608C73" w14:textId="1156E171" w:rsidR="00C92627" w:rsidRPr="002E5D23" w:rsidRDefault="00C92627" w:rsidP="00ED3A47">
      <w:pPr>
        <w:pStyle w:val="MDPI31text"/>
        <w:rPr>
          <w:color w:val="auto"/>
          <w:szCs w:val="20"/>
          <w:lang w:val="en-GB"/>
        </w:rPr>
      </w:pPr>
      <w:r w:rsidRPr="002E5D23">
        <w:rPr>
          <w:color w:val="auto"/>
          <w:szCs w:val="20"/>
          <w:lang w:val="en-GB"/>
        </w:rPr>
        <w:t>Participant characteristics at the three time-points (1998</w:t>
      </w:r>
      <w:r w:rsidR="002468E3" w:rsidRPr="002E5D23">
        <w:rPr>
          <w:rFonts w:eastAsiaTheme="minorEastAsia"/>
          <w:color w:val="auto"/>
          <w:szCs w:val="20"/>
          <w:lang w:val="en-GB" w:eastAsia="zh-CN"/>
        </w:rPr>
        <w:t>–</w:t>
      </w:r>
      <w:r w:rsidRPr="002E5D23">
        <w:rPr>
          <w:color w:val="auto"/>
          <w:szCs w:val="20"/>
          <w:lang w:val="en-GB"/>
        </w:rPr>
        <w:t xml:space="preserve">2004, 2011 and 2017) were described using summary statistics. Group-based trajectory modelling was implemented to identify distinct longitudinal trajectory groups of diet quality according to age, using the diet quality scores assessed at the three time-points </w:t>
      </w:r>
      <w:r w:rsidRPr="002E5D23">
        <w:rPr>
          <w:i/>
          <w:color w:val="auto"/>
          <w:szCs w:val="20"/>
          <w:lang w:val="en-GB"/>
        </w:rPr>
        <w:fldChar w:fldCharType="begin"/>
      </w:r>
      <w:r w:rsidRPr="002E5D23">
        <w:rPr>
          <w:color w:val="auto"/>
          <w:szCs w:val="20"/>
          <w:lang w:val="en-GB"/>
        </w:rPr>
        <w:instrText xml:space="preserve"> ADDIN EN.CITE &lt;EndNote&gt;&lt;Cite&gt;&lt;Author&gt;Nagin&lt;/Author&gt;&lt;Year&gt;2010&lt;/Year&gt;&lt;RecNum&gt;1742&lt;/RecNum&gt;&lt;DisplayText&gt;[22]&lt;/DisplayText&gt;&lt;record&gt;&lt;rec-number&gt;1742&lt;/rec-number&gt;&lt;foreign-keys&gt;&lt;key app="EN" db-id="xp2sx5aahpsveaea2zq5s2xsef9d0fsxsxex" timestamp="1763980003"&gt;1742&lt;/key&gt;&lt;/foreign-keys&gt;&lt;ref-type name="Journal Article"&gt;17&lt;/ref-type&gt;&lt;contributors&gt;&lt;authors&gt;&lt;author&gt;Nagin, Daniel S&lt;/author&gt;&lt;author&gt;Odgers, Candice L&lt;/author&gt;&lt;/authors&gt;&lt;/contributors&gt;&lt;titles&gt;&lt;title&gt;Group-based trajectory modeling in clinical research&lt;/title&gt;&lt;secondary-title&gt;Annu Rev Clin Psychol&lt;/secondary-title&gt;&lt;/titles&gt;&lt;periodical&gt;&lt;full-title&gt;Annual Review of Clinical Psychology&lt;/full-title&gt;&lt;abbr-1&gt;Annu. Rev. Clin. Psychol.&lt;/abbr-1&gt;&lt;abbr-2&gt;Annu Rev Clin Psychol&lt;/abbr-2&gt;&lt;/periodical&gt;&lt;pages&gt;109-138&lt;/pages&gt;&lt;volume&gt;6&lt;/volume&gt;&lt;number&gt;1&lt;/number&gt;&lt;dates&gt;&lt;year&gt;2010&lt;/year&gt;&lt;/dates&gt;&lt;isbn&gt;1548-5943&lt;/isbn&gt;&lt;urls&gt;&lt;/urls&gt;&lt;/record&gt;&lt;/Cite&gt;&lt;/EndNote&gt;</w:instrText>
      </w:r>
      <w:r w:rsidRPr="002E5D23">
        <w:rPr>
          <w:i/>
          <w:color w:val="auto"/>
          <w:szCs w:val="20"/>
          <w:lang w:val="en-GB"/>
        </w:rPr>
        <w:fldChar w:fldCharType="separate"/>
      </w:r>
      <w:r w:rsidRPr="002E5D23">
        <w:rPr>
          <w:color w:val="auto"/>
          <w:szCs w:val="20"/>
          <w:lang w:val="en-GB"/>
        </w:rPr>
        <w:t>[22]</w:t>
      </w:r>
      <w:r w:rsidRPr="002E5D23">
        <w:rPr>
          <w:i/>
          <w:color w:val="auto"/>
          <w:szCs w:val="20"/>
          <w:lang w:val="en-GB"/>
        </w:rPr>
        <w:fldChar w:fldCharType="end"/>
      </w:r>
      <w:r w:rsidRPr="002E5D23">
        <w:rPr>
          <w:color w:val="auto"/>
          <w:szCs w:val="20"/>
          <w:lang w:val="en-GB"/>
        </w:rPr>
        <w:t>. Models with up to four latent trajectory groups were considered under the assumption of a censored normal distribution for the diet quality scores. To accommodate potential non-linear trends, all combinations of polynomial terms up to cubic order were considered for each group. Among the models where the highest order polynomial term was statistically significant (</w:t>
      </w:r>
      <w:r w:rsidRPr="002E5D23">
        <w:rPr>
          <w:i/>
          <w:iCs/>
          <w:color w:val="auto"/>
          <w:szCs w:val="20"/>
          <w:lang w:val="en-GB"/>
        </w:rPr>
        <w:t>p</w:t>
      </w:r>
      <w:r w:rsidR="002468E3" w:rsidRPr="002E5D23">
        <w:rPr>
          <w:rFonts w:eastAsiaTheme="minorEastAsia" w:hint="eastAsia"/>
          <w:color w:val="auto"/>
          <w:szCs w:val="20"/>
          <w:lang w:val="en-GB" w:eastAsia="zh-CN"/>
        </w:rPr>
        <w:t xml:space="preserve"> </w:t>
      </w:r>
      <w:r w:rsidRPr="002E5D23">
        <w:rPr>
          <w:color w:val="auto"/>
          <w:szCs w:val="20"/>
          <w:lang w:val="en-GB"/>
        </w:rPr>
        <w:t>&lt;</w:t>
      </w:r>
      <w:r w:rsidR="002468E3" w:rsidRPr="002E5D23">
        <w:rPr>
          <w:rFonts w:eastAsiaTheme="minorEastAsia" w:hint="eastAsia"/>
          <w:color w:val="auto"/>
          <w:szCs w:val="20"/>
          <w:lang w:val="en-GB" w:eastAsia="zh-CN"/>
        </w:rPr>
        <w:t xml:space="preserve"> </w:t>
      </w:r>
      <w:r w:rsidRPr="002E5D23">
        <w:rPr>
          <w:color w:val="auto"/>
          <w:szCs w:val="20"/>
          <w:lang w:val="en-GB"/>
        </w:rPr>
        <w:t xml:space="preserve">0.05), </w:t>
      </w:r>
      <w:r w:rsidRPr="002E5D23">
        <w:rPr>
          <w:color w:val="auto"/>
          <w:szCs w:val="20"/>
          <w:lang w:val="en-GB"/>
        </w:rPr>
        <w:lastRenderedPageBreak/>
        <w:t>the model with the lowest Bayesian Information Criterion was selected as the optimal model.</w:t>
      </w:r>
    </w:p>
    <w:p w14:paraId="6AF8E9F9" w14:textId="7DB73385" w:rsidR="00C92627" w:rsidRPr="002E5D23" w:rsidRDefault="00C92627" w:rsidP="00ED3A47">
      <w:pPr>
        <w:pStyle w:val="MDPI31text"/>
        <w:rPr>
          <w:i/>
          <w:color w:val="auto"/>
          <w:szCs w:val="20"/>
          <w:lang w:val="en-GB"/>
        </w:rPr>
      </w:pPr>
      <w:r w:rsidRPr="002E5D23">
        <w:rPr>
          <w:color w:val="auto"/>
          <w:szCs w:val="20"/>
          <w:lang w:val="en-GB"/>
        </w:rPr>
        <w:t>To examine baseline predictors of trajectory group membership, ordinal logistic regression models were fitted with the diet quality trajectory group as the outcome. Separate models were implemented for the following baseline characteristics: age; sex; BMI;</w:t>
      </w:r>
      <w:r w:rsidRPr="002E5D23">
        <w:rPr>
          <w:rFonts w:hint="eastAsia"/>
          <w:color w:val="auto"/>
          <w:szCs w:val="20"/>
          <w:lang w:val="en-GB"/>
        </w:rPr>
        <w:t xml:space="preserve"> </w:t>
      </w:r>
      <w:r w:rsidRPr="002E5D23">
        <w:rPr>
          <w:color w:val="auto"/>
          <w:szCs w:val="20"/>
          <w:lang w:val="en-GB"/>
        </w:rPr>
        <w:t>ever</w:t>
      </w:r>
      <w:r w:rsidRPr="002E5D23">
        <w:rPr>
          <w:rFonts w:hint="eastAsia"/>
          <w:color w:val="auto"/>
          <w:szCs w:val="20"/>
          <w:lang w:val="en-GB"/>
        </w:rPr>
        <w:t xml:space="preserve"> smoked regularly (</w:t>
      </w:r>
      <w:r w:rsidRPr="002E5D23">
        <w:rPr>
          <w:color w:val="auto"/>
          <w:szCs w:val="20"/>
          <w:lang w:val="en-GB"/>
        </w:rPr>
        <w:t>yes/no</w:t>
      </w:r>
      <w:r w:rsidRPr="002E5D23">
        <w:rPr>
          <w:rFonts w:hint="eastAsia"/>
          <w:color w:val="auto"/>
          <w:szCs w:val="20"/>
          <w:lang w:val="en-GB"/>
        </w:rPr>
        <w:t xml:space="preserve">); high alcohol intake (&gt;14 units/week versus ≤14 units); Dallosso physical activity score; age left full-time education (≥15 years versus &lt;15 years); housing tenure (owned/mortgaged versus rented/other); occupational </w:t>
      </w:r>
      <w:r w:rsidRPr="002E5D23">
        <w:rPr>
          <w:color w:val="auto"/>
          <w:szCs w:val="20"/>
          <w:lang w:val="en-GB"/>
        </w:rPr>
        <w:t>social class (non-manual versus manual); and number of systems medicated. To examine associations between the diet quality trajectory groups and later-life musculoskeletal outcomes, binary logistic regression models were used to estimate the odds of the fo</w:t>
      </w:r>
      <w:r w:rsidRPr="002E5D23">
        <w:rPr>
          <w:rFonts w:hint="eastAsia"/>
          <w:color w:val="auto"/>
          <w:szCs w:val="20"/>
          <w:lang w:val="en-GB"/>
        </w:rPr>
        <w:t xml:space="preserve">llowing adverse outcomes ascertained at the 2017 </w:t>
      </w:r>
      <w:r w:rsidRPr="002E5D23">
        <w:rPr>
          <w:color w:val="auto"/>
          <w:szCs w:val="20"/>
          <w:lang w:val="en-GB"/>
        </w:rPr>
        <w:t>follow-up</w:t>
      </w:r>
      <w:r w:rsidRPr="002E5D23">
        <w:rPr>
          <w:rFonts w:hint="eastAsia"/>
          <w:color w:val="auto"/>
          <w:szCs w:val="20"/>
          <w:lang w:val="en-GB"/>
        </w:rPr>
        <w:t>: osteoporosis; falls in the previous year; low grip strength (&lt;27</w:t>
      </w:r>
      <w:r w:rsidR="002468E3" w:rsidRPr="002E5D23">
        <w:rPr>
          <w:rFonts w:eastAsiaTheme="minorEastAsia" w:hint="eastAsia"/>
          <w:color w:val="auto"/>
          <w:szCs w:val="20"/>
          <w:lang w:val="en-GB" w:eastAsia="zh-CN"/>
        </w:rPr>
        <w:t xml:space="preserve"> </w:t>
      </w:r>
      <w:r w:rsidRPr="002E5D23">
        <w:rPr>
          <w:rFonts w:hint="eastAsia"/>
          <w:color w:val="auto"/>
          <w:szCs w:val="20"/>
          <w:lang w:val="en-GB"/>
        </w:rPr>
        <w:t>kg men, &lt;16</w:t>
      </w:r>
      <w:r w:rsidR="002468E3" w:rsidRPr="002E5D23">
        <w:rPr>
          <w:rFonts w:eastAsiaTheme="minorEastAsia" w:hint="eastAsia"/>
          <w:color w:val="auto"/>
          <w:szCs w:val="20"/>
          <w:lang w:val="en-GB" w:eastAsia="zh-CN"/>
        </w:rPr>
        <w:t xml:space="preserve"> </w:t>
      </w:r>
      <w:r w:rsidRPr="002E5D23">
        <w:rPr>
          <w:rFonts w:hint="eastAsia"/>
          <w:color w:val="auto"/>
          <w:szCs w:val="20"/>
          <w:lang w:val="en-GB"/>
        </w:rPr>
        <w:t xml:space="preserve">kg women); low gait speed (≤0.8 m/s); and history of hip/knee replacement. </w:t>
      </w:r>
      <w:r w:rsidRPr="002E5D23">
        <w:rPr>
          <w:color w:val="auto"/>
          <w:szCs w:val="20"/>
          <w:lang w:val="en-GB"/>
        </w:rPr>
        <w:t>Age and sex were included as covariates in all models. Stata (version 17.0) was used for statistical analysis. Men and women were pooled as sex-interaction effects were not statistically significant.</w:t>
      </w:r>
    </w:p>
    <w:p w14:paraId="6A34D942" w14:textId="77777777" w:rsidR="00C92627" w:rsidRPr="002E5D23" w:rsidRDefault="00C92627" w:rsidP="00ED3A47">
      <w:pPr>
        <w:pStyle w:val="MDPI21heading1"/>
        <w:rPr>
          <w:color w:val="auto"/>
          <w:szCs w:val="24"/>
          <w:lang w:val="en-GB"/>
        </w:rPr>
      </w:pPr>
      <w:r w:rsidRPr="002E5D23">
        <w:rPr>
          <w:color w:val="auto"/>
          <w:szCs w:val="24"/>
          <w:lang w:val="en-GB"/>
        </w:rPr>
        <w:t>3. Results</w:t>
      </w:r>
    </w:p>
    <w:p w14:paraId="087FB716" w14:textId="23DDD508" w:rsidR="00C92627" w:rsidRPr="002E5D23" w:rsidRDefault="00C92627" w:rsidP="00ED3A47">
      <w:pPr>
        <w:pStyle w:val="MDPI22heading2"/>
        <w:rPr>
          <w:noProof w:val="0"/>
          <w:color w:val="auto"/>
          <w:szCs w:val="20"/>
          <w:lang w:val="en-GB"/>
        </w:rPr>
      </w:pPr>
      <w:bookmarkStart w:id="23" w:name="_Hlk214871412"/>
      <w:r w:rsidRPr="002E5D23">
        <w:rPr>
          <w:noProof w:val="0"/>
          <w:color w:val="auto"/>
          <w:szCs w:val="20"/>
          <w:lang w:val="en-GB"/>
        </w:rPr>
        <w:t xml:space="preserve">3.1. Descriptive </w:t>
      </w:r>
      <w:r w:rsidR="00ED3A47" w:rsidRPr="002E5D23">
        <w:rPr>
          <w:noProof w:val="0"/>
          <w:color w:val="auto"/>
          <w:szCs w:val="20"/>
          <w:lang w:val="en-GB"/>
        </w:rPr>
        <w:t>Statistics</w:t>
      </w:r>
    </w:p>
    <w:p w14:paraId="269F6F01" w14:textId="287CBBA3" w:rsidR="00C92627" w:rsidRPr="002E5D23" w:rsidRDefault="00C92627" w:rsidP="00ED3A47">
      <w:pPr>
        <w:pStyle w:val="MDPI31text"/>
        <w:rPr>
          <w:rFonts w:eastAsiaTheme="minorEastAsia"/>
          <w:color w:val="auto"/>
          <w:szCs w:val="20"/>
          <w:lang w:val="en-GB" w:eastAsia="zh-CN"/>
        </w:rPr>
      </w:pPr>
      <w:r w:rsidRPr="002E5D23">
        <w:rPr>
          <w:color w:val="auto"/>
          <w:szCs w:val="20"/>
          <w:lang w:val="en-GB"/>
        </w:rPr>
        <w:t>Descriptive statistics for the participant characteristics at the three time-points (1998</w:t>
      </w:r>
      <w:r w:rsidR="00F27B04" w:rsidRPr="002E5D23">
        <w:rPr>
          <w:rFonts w:eastAsiaTheme="minorEastAsia"/>
          <w:color w:val="auto"/>
          <w:szCs w:val="20"/>
          <w:lang w:val="en-GB" w:eastAsia="zh-CN"/>
        </w:rPr>
        <w:t>–</w:t>
      </w:r>
      <w:r w:rsidRPr="002E5D23">
        <w:rPr>
          <w:color w:val="auto"/>
          <w:szCs w:val="20"/>
          <w:lang w:val="en-GB"/>
        </w:rPr>
        <w:t xml:space="preserve">2004, 2011 and 2017) are presented in Table 1. Median (lower quartile, upper quartile) ages at the three time-points </w:t>
      </w:r>
      <w:bookmarkStart w:id="24" w:name="_Hlk216268325"/>
      <w:r w:rsidRPr="002E5D23">
        <w:rPr>
          <w:color w:val="auto"/>
          <w:szCs w:val="20"/>
          <w:lang w:val="en-GB"/>
        </w:rPr>
        <w:t xml:space="preserve">were 64.0 (62.0, 66.4), 74.7 (73.0, 77.1) and 80.7 (78.9, 83.1) </w:t>
      </w:r>
      <w:bookmarkEnd w:id="24"/>
      <w:r w:rsidRPr="002E5D23">
        <w:rPr>
          <w:color w:val="auto"/>
          <w:szCs w:val="20"/>
          <w:lang w:val="en-GB"/>
        </w:rPr>
        <w:t>years. Mean (</w:t>
      </w:r>
      <w:bookmarkStart w:id="25" w:name="_Hlk215060533"/>
      <w:r w:rsidRPr="002E5D23">
        <w:rPr>
          <w:color w:val="auto"/>
          <w:szCs w:val="20"/>
          <w:lang w:val="en-GB"/>
        </w:rPr>
        <w:t>SD</w:t>
      </w:r>
      <w:bookmarkEnd w:id="25"/>
      <w:r w:rsidRPr="002E5D23">
        <w:rPr>
          <w:color w:val="auto"/>
          <w:szCs w:val="20"/>
          <w:lang w:val="en-GB"/>
        </w:rPr>
        <w:t xml:space="preserve">) diet quality scores were higher among women than men at the first (0.6 (1.1) versus </w:t>
      </w:r>
      <w:r w:rsidR="00F20497" w:rsidRPr="002E5D23">
        <w:rPr>
          <w:color w:val="auto"/>
          <w:szCs w:val="20"/>
          <w:lang w:val="en-GB"/>
        </w:rPr>
        <w:t>−</w:t>
      </w:r>
      <w:r w:rsidRPr="002E5D23">
        <w:rPr>
          <w:color w:val="auto"/>
          <w:szCs w:val="20"/>
          <w:lang w:val="en-GB"/>
        </w:rPr>
        <w:t xml:space="preserve">0.3 (1.2)), second (0.5 (1.4) versus </w:t>
      </w:r>
      <w:r w:rsidR="00F20497" w:rsidRPr="002E5D23">
        <w:rPr>
          <w:color w:val="auto"/>
          <w:szCs w:val="20"/>
          <w:lang w:val="en-GB"/>
        </w:rPr>
        <w:t>−</w:t>
      </w:r>
      <w:r w:rsidRPr="002E5D23">
        <w:rPr>
          <w:color w:val="auto"/>
          <w:szCs w:val="20"/>
          <w:lang w:val="en-GB"/>
        </w:rPr>
        <w:t xml:space="preserve">0.3 (1.5)) and third (0.7 (1.1) versus 0.2 (1.2)) time-point. Compared to participants who were not included in the current study, those who were included generally had better health behaviours regarding smoking and physical </w:t>
      </w:r>
      <w:proofErr w:type="gramStart"/>
      <w:r w:rsidRPr="002E5D23">
        <w:rPr>
          <w:color w:val="auto"/>
          <w:szCs w:val="20"/>
          <w:lang w:val="en-GB"/>
        </w:rPr>
        <w:t>activity, and</w:t>
      </w:r>
      <w:proofErr w:type="gramEnd"/>
      <w:r w:rsidRPr="002E5D23">
        <w:rPr>
          <w:color w:val="auto"/>
          <w:szCs w:val="20"/>
          <w:lang w:val="en-GB"/>
        </w:rPr>
        <w:t xml:space="preserve"> were more likely to have markers indicative of higher socioeconomic position, such as home ownership and a non-manual occupation (Supplementary Table </w:t>
      </w:r>
      <w:r w:rsidR="00A95D95" w:rsidRPr="002E5D23">
        <w:rPr>
          <w:rFonts w:eastAsiaTheme="minorEastAsia" w:hint="eastAsia"/>
          <w:color w:val="auto"/>
          <w:szCs w:val="20"/>
          <w:lang w:val="en-GB" w:eastAsia="zh-CN"/>
        </w:rPr>
        <w:t>S</w:t>
      </w:r>
      <w:r w:rsidRPr="002E5D23">
        <w:rPr>
          <w:color w:val="auto"/>
          <w:szCs w:val="20"/>
          <w:lang w:val="en-GB"/>
        </w:rPr>
        <w:t>2).</w:t>
      </w:r>
    </w:p>
    <w:p w14:paraId="4D72530D" w14:textId="77777777" w:rsidR="00C92627" w:rsidRPr="002E5D23" w:rsidRDefault="00C92627" w:rsidP="00496D3A">
      <w:pPr>
        <w:pStyle w:val="MDPI41tablecaption"/>
        <w:rPr>
          <w:rFonts w:eastAsiaTheme="minorEastAsia" w:cs="Times New Roman"/>
          <w:i/>
          <w:snapToGrid w:val="0"/>
          <w:color w:val="auto"/>
          <w:szCs w:val="18"/>
          <w:lang w:val="en-GB" w:eastAsia="zh-CN"/>
        </w:rPr>
      </w:pPr>
      <w:r w:rsidRPr="002E5D23">
        <w:rPr>
          <w:rFonts w:cs="Times New Roman"/>
          <w:b/>
          <w:snapToGrid w:val="0"/>
          <w:color w:val="auto"/>
          <w:szCs w:val="18"/>
          <w:lang w:val="en-GB"/>
        </w:rPr>
        <w:t xml:space="preserve">Table 1. </w:t>
      </w:r>
      <w:r w:rsidRPr="002E5D23">
        <w:rPr>
          <w:rFonts w:cs="Times New Roman"/>
          <w:snapToGrid w:val="0"/>
          <w:color w:val="auto"/>
          <w:szCs w:val="18"/>
          <w:lang w:val="en-GB"/>
        </w:rPr>
        <w:t>Descriptive statistics of the analysis sample.</w:t>
      </w:r>
    </w:p>
    <w:tbl>
      <w:tblPr>
        <w:tblW w:w="7857" w:type="dxa"/>
        <w:tblInd w:w="2608" w:type="dxa"/>
        <w:tblLayout w:type="fixed"/>
        <w:tblCellMar>
          <w:left w:w="0" w:type="dxa"/>
          <w:right w:w="0" w:type="dxa"/>
        </w:tblCellMar>
        <w:tblLook w:val="04A0" w:firstRow="1" w:lastRow="0" w:firstColumn="1" w:lastColumn="0" w:noHBand="0" w:noVBand="1"/>
      </w:tblPr>
      <w:tblGrid>
        <w:gridCol w:w="4376"/>
        <w:gridCol w:w="1790"/>
        <w:gridCol w:w="1691"/>
      </w:tblGrid>
      <w:tr w:rsidR="00690A63" w:rsidRPr="002E5D23" w14:paraId="27ACDB36" w14:textId="77777777" w:rsidTr="00F87E46">
        <w:tc>
          <w:tcPr>
            <w:tcW w:w="4376" w:type="dxa"/>
            <w:vMerge w:val="restart"/>
            <w:tcBorders>
              <w:top w:val="single" w:sz="8" w:space="0" w:color="auto"/>
            </w:tcBorders>
            <w:vAlign w:val="center"/>
          </w:tcPr>
          <w:p w14:paraId="35E903D2" w14:textId="77777777" w:rsidR="00C92627" w:rsidRPr="002E5D23" w:rsidRDefault="00C92627" w:rsidP="00F87E46">
            <w:pPr>
              <w:adjustRightInd w:val="0"/>
              <w:snapToGrid w:val="0"/>
              <w:spacing w:line="240" w:lineRule="auto"/>
              <w:jc w:val="center"/>
              <w:rPr>
                <w:rFonts w:eastAsia="Times New Roman" w:cs="Calibri"/>
                <w:b/>
                <w:bCs/>
                <w:color w:val="auto"/>
                <w:lang w:val="en-GB" w:eastAsia="en-GB"/>
              </w:rPr>
            </w:pPr>
            <w:bookmarkStart w:id="26" w:name="_Hlk215050401"/>
            <w:r w:rsidRPr="002E5D23">
              <w:rPr>
                <w:rFonts w:eastAsia="Times New Roman" w:cs="Calibri"/>
                <w:b/>
                <w:bCs/>
                <w:color w:val="auto"/>
                <w:lang w:val="en-GB" w:eastAsia="en-GB"/>
              </w:rPr>
              <w:t>Participant Characteristic</w:t>
            </w:r>
          </w:p>
        </w:tc>
        <w:tc>
          <w:tcPr>
            <w:tcW w:w="3481" w:type="dxa"/>
            <w:gridSpan w:val="2"/>
            <w:tcBorders>
              <w:top w:val="single" w:sz="8" w:space="0" w:color="auto"/>
              <w:bottom w:val="single" w:sz="4" w:space="0" w:color="auto"/>
            </w:tcBorders>
            <w:vAlign w:val="center"/>
          </w:tcPr>
          <w:p w14:paraId="474470EC" w14:textId="6B997D7E" w:rsidR="00C92627" w:rsidRPr="002E5D23" w:rsidRDefault="00C92627" w:rsidP="00F87E46">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 xml:space="preserve">Mean (SD); </w:t>
            </w:r>
            <w:r w:rsidR="00ED3A47" w:rsidRPr="002E5D23">
              <w:rPr>
                <w:rFonts w:eastAsia="Times New Roman" w:cs="Calibri"/>
                <w:b/>
                <w:bCs/>
                <w:color w:val="auto"/>
                <w:lang w:val="en-GB" w:eastAsia="en-GB"/>
              </w:rPr>
              <w:t xml:space="preserve">Median </w:t>
            </w:r>
            <w:r w:rsidRPr="002E5D23">
              <w:rPr>
                <w:rFonts w:eastAsia="Times New Roman" w:cs="Calibri"/>
                <w:b/>
                <w:bCs/>
                <w:color w:val="auto"/>
                <w:lang w:val="en-GB" w:eastAsia="en-GB"/>
              </w:rPr>
              <w:t>(</w:t>
            </w:r>
            <w:r w:rsidR="00ED3A47" w:rsidRPr="002E5D23">
              <w:rPr>
                <w:rFonts w:eastAsia="Times New Roman" w:cs="Calibri"/>
                <w:b/>
                <w:bCs/>
                <w:color w:val="auto"/>
                <w:lang w:val="en-GB" w:eastAsia="en-GB"/>
              </w:rPr>
              <w:t>Lower Quartile</w:t>
            </w:r>
            <w:r w:rsidRPr="002E5D23">
              <w:rPr>
                <w:rFonts w:eastAsia="Times New Roman" w:cs="Calibri"/>
                <w:b/>
                <w:bCs/>
                <w:color w:val="auto"/>
                <w:lang w:val="en-GB" w:eastAsia="en-GB"/>
              </w:rPr>
              <w:t xml:space="preserve">, </w:t>
            </w:r>
            <w:r w:rsidR="00ED3A47" w:rsidRPr="002E5D23">
              <w:rPr>
                <w:rFonts w:eastAsia="Times New Roman" w:cs="Calibri"/>
                <w:b/>
                <w:bCs/>
                <w:color w:val="auto"/>
                <w:lang w:val="en-GB" w:eastAsia="en-GB"/>
              </w:rPr>
              <w:t>Upper Quartile</w:t>
            </w:r>
            <w:r w:rsidRPr="002E5D23">
              <w:rPr>
                <w:rFonts w:eastAsia="Times New Roman" w:cs="Calibri"/>
                <w:b/>
                <w:bCs/>
                <w:color w:val="auto"/>
                <w:lang w:val="en-GB" w:eastAsia="en-GB"/>
              </w:rPr>
              <w:t>); or n</w:t>
            </w:r>
            <w:r w:rsidR="00620978" w:rsidRPr="002E5D23">
              <w:rPr>
                <w:rFonts w:eastAsiaTheme="minorEastAsia" w:cs="Calibri" w:hint="eastAsia"/>
                <w:b/>
                <w:bCs/>
                <w:color w:val="auto"/>
                <w:lang w:val="en-GB"/>
              </w:rPr>
              <w:t xml:space="preserve"> </w:t>
            </w:r>
            <w:r w:rsidRPr="002E5D23">
              <w:rPr>
                <w:rFonts w:eastAsia="Times New Roman" w:cs="Calibri"/>
                <w:b/>
                <w:bCs/>
                <w:color w:val="auto"/>
                <w:lang w:val="en-GB" w:eastAsia="en-GB"/>
              </w:rPr>
              <w:t>(%)</w:t>
            </w:r>
          </w:p>
        </w:tc>
      </w:tr>
      <w:tr w:rsidR="00690A63" w:rsidRPr="002E5D23" w14:paraId="53DEB2D3" w14:textId="77777777" w:rsidTr="00F87E46">
        <w:tc>
          <w:tcPr>
            <w:tcW w:w="4376" w:type="dxa"/>
            <w:vMerge/>
            <w:tcBorders>
              <w:bottom w:val="single" w:sz="4" w:space="0" w:color="auto"/>
            </w:tcBorders>
            <w:vAlign w:val="center"/>
            <w:hideMark/>
          </w:tcPr>
          <w:p w14:paraId="2D62796A" w14:textId="77777777" w:rsidR="00C92627" w:rsidRPr="002E5D23" w:rsidRDefault="00C92627" w:rsidP="00F87E46">
            <w:pPr>
              <w:adjustRightInd w:val="0"/>
              <w:snapToGrid w:val="0"/>
              <w:spacing w:line="240" w:lineRule="auto"/>
              <w:jc w:val="center"/>
              <w:rPr>
                <w:rFonts w:eastAsia="Times New Roman" w:cs="Calibri"/>
                <w:b/>
                <w:bCs/>
                <w:color w:val="auto"/>
                <w:lang w:val="en-GB" w:eastAsia="en-GB"/>
              </w:rPr>
            </w:pPr>
          </w:p>
        </w:tc>
        <w:tc>
          <w:tcPr>
            <w:tcW w:w="1790" w:type="dxa"/>
            <w:tcBorders>
              <w:top w:val="single" w:sz="4" w:space="0" w:color="auto"/>
              <w:bottom w:val="single" w:sz="4" w:space="0" w:color="auto"/>
            </w:tcBorders>
            <w:vAlign w:val="center"/>
            <w:hideMark/>
          </w:tcPr>
          <w:p w14:paraId="35D8A655" w14:textId="57AE318D" w:rsidR="00C92627" w:rsidRPr="002E5D23" w:rsidRDefault="00C92627" w:rsidP="00F87E46">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Men (n</w:t>
            </w:r>
            <w:r w:rsidR="00ED3A47" w:rsidRPr="002E5D23">
              <w:rPr>
                <w:rFonts w:eastAsiaTheme="minorEastAsia" w:cs="Calibri" w:hint="eastAsia"/>
                <w:b/>
                <w:bCs/>
                <w:color w:val="auto"/>
                <w:lang w:val="en-GB"/>
              </w:rPr>
              <w:t xml:space="preserve"> </w:t>
            </w:r>
            <w:r w:rsidRPr="002E5D23">
              <w:rPr>
                <w:rFonts w:eastAsia="Times New Roman" w:cs="Calibri"/>
                <w:b/>
                <w:bCs/>
                <w:color w:val="auto"/>
                <w:lang w:val="en-GB" w:eastAsia="en-GB"/>
              </w:rPr>
              <w:t>=</w:t>
            </w:r>
            <w:r w:rsidR="00ED3A47" w:rsidRPr="002E5D23">
              <w:rPr>
                <w:rFonts w:eastAsiaTheme="minorEastAsia" w:cs="Calibri" w:hint="eastAsia"/>
                <w:b/>
                <w:bCs/>
                <w:color w:val="auto"/>
                <w:lang w:val="en-GB"/>
              </w:rPr>
              <w:t xml:space="preserve"> </w:t>
            </w:r>
            <w:r w:rsidRPr="002E5D23">
              <w:rPr>
                <w:rFonts w:eastAsia="Times New Roman" w:cs="Calibri"/>
                <w:b/>
                <w:bCs/>
                <w:color w:val="auto"/>
                <w:lang w:val="en-GB" w:eastAsia="en-GB"/>
              </w:rPr>
              <w:t>92)</w:t>
            </w:r>
          </w:p>
        </w:tc>
        <w:tc>
          <w:tcPr>
            <w:tcW w:w="1691" w:type="dxa"/>
            <w:tcBorders>
              <w:top w:val="single" w:sz="4" w:space="0" w:color="auto"/>
              <w:bottom w:val="single" w:sz="4" w:space="0" w:color="auto"/>
            </w:tcBorders>
            <w:noWrap/>
            <w:vAlign w:val="center"/>
            <w:hideMark/>
          </w:tcPr>
          <w:p w14:paraId="5371E804" w14:textId="0563BF6A" w:rsidR="00C92627" w:rsidRPr="002E5D23" w:rsidRDefault="00C92627" w:rsidP="00F87E46">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Women (n</w:t>
            </w:r>
            <w:r w:rsidR="00ED3A47" w:rsidRPr="002E5D23">
              <w:rPr>
                <w:rFonts w:eastAsiaTheme="minorEastAsia" w:cs="Calibri" w:hint="eastAsia"/>
                <w:b/>
                <w:bCs/>
                <w:color w:val="auto"/>
                <w:lang w:val="en-GB"/>
              </w:rPr>
              <w:t xml:space="preserve"> </w:t>
            </w:r>
            <w:r w:rsidRPr="002E5D23">
              <w:rPr>
                <w:rFonts w:eastAsia="Times New Roman" w:cs="Calibri"/>
                <w:b/>
                <w:bCs/>
                <w:color w:val="auto"/>
                <w:lang w:val="en-GB" w:eastAsia="en-GB"/>
              </w:rPr>
              <w:t>=</w:t>
            </w:r>
            <w:r w:rsidR="00ED3A47" w:rsidRPr="002E5D23">
              <w:rPr>
                <w:rFonts w:eastAsiaTheme="minorEastAsia" w:cs="Calibri" w:hint="eastAsia"/>
                <w:b/>
                <w:bCs/>
                <w:color w:val="auto"/>
                <w:lang w:val="en-GB"/>
              </w:rPr>
              <w:t xml:space="preserve"> </w:t>
            </w:r>
            <w:r w:rsidRPr="002E5D23">
              <w:rPr>
                <w:rFonts w:eastAsia="Times New Roman" w:cs="Calibri"/>
                <w:b/>
                <w:bCs/>
                <w:color w:val="auto"/>
                <w:lang w:val="en-GB" w:eastAsia="en-GB"/>
              </w:rPr>
              <w:t>86)</w:t>
            </w:r>
          </w:p>
        </w:tc>
      </w:tr>
      <w:tr w:rsidR="00690A63" w:rsidRPr="002E5D23" w14:paraId="0C376771" w14:textId="77777777" w:rsidTr="00F87E46">
        <w:tc>
          <w:tcPr>
            <w:tcW w:w="4376" w:type="dxa"/>
            <w:noWrap/>
            <w:vAlign w:val="center"/>
            <w:hideMark/>
          </w:tcPr>
          <w:p w14:paraId="76F0E502" w14:textId="5FB35D0C" w:rsidR="00C92627" w:rsidRPr="002E5D23" w:rsidRDefault="00C92627" w:rsidP="00F87E46">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Baseline (1998</w:t>
            </w:r>
            <w:r w:rsidR="00ED3A47" w:rsidRPr="002E5D23">
              <w:rPr>
                <w:rFonts w:eastAsiaTheme="minorEastAsia" w:cs="Calibri"/>
                <w:b/>
                <w:bCs/>
                <w:color w:val="auto"/>
                <w:lang w:val="en-GB"/>
              </w:rPr>
              <w:t>–</w:t>
            </w:r>
            <w:r w:rsidRPr="002E5D23">
              <w:rPr>
                <w:rFonts w:eastAsia="Times New Roman" w:cs="Calibri"/>
                <w:b/>
                <w:bCs/>
                <w:color w:val="auto"/>
                <w:lang w:val="en-GB" w:eastAsia="en-GB"/>
              </w:rPr>
              <w:t>2004)</w:t>
            </w:r>
          </w:p>
        </w:tc>
        <w:tc>
          <w:tcPr>
            <w:tcW w:w="1790" w:type="dxa"/>
            <w:noWrap/>
            <w:vAlign w:val="center"/>
            <w:hideMark/>
          </w:tcPr>
          <w:p w14:paraId="128E711F" w14:textId="77777777" w:rsidR="00C92627" w:rsidRPr="002E5D23" w:rsidRDefault="00C92627" w:rsidP="00F87E46">
            <w:pPr>
              <w:adjustRightInd w:val="0"/>
              <w:snapToGrid w:val="0"/>
              <w:spacing w:line="240" w:lineRule="auto"/>
              <w:jc w:val="center"/>
              <w:rPr>
                <w:rFonts w:eastAsia="Times New Roman" w:cs="Calibri"/>
                <w:b/>
                <w:bCs/>
                <w:i/>
                <w:iCs/>
                <w:color w:val="auto"/>
                <w:lang w:val="en-GB" w:eastAsia="en-GB"/>
              </w:rPr>
            </w:pPr>
          </w:p>
        </w:tc>
        <w:tc>
          <w:tcPr>
            <w:tcW w:w="1691" w:type="dxa"/>
            <w:noWrap/>
            <w:vAlign w:val="center"/>
            <w:hideMark/>
          </w:tcPr>
          <w:p w14:paraId="7D965B3E"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p>
        </w:tc>
      </w:tr>
      <w:tr w:rsidR="00690A63" w:rsidRPr="002E5D23" w14:paraId="2670FA7C" w14:textId="77777777" w:rsidTr="00F87E46">
        <w:tc>
          <w:tcPr>
            <w:tcW w:w="4376" w:type="dxa"/>
            <w:noWrap/>
            <w:vAlign w:val="center"/>
            <w:hideMark/>
          </w:tcPr>
          <w:p w14:paraId="44880EBA"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Age (years)</w:t>
            </w:r>
          </w:p>
        </w:tc>
        <w:tc>
          <w:tcPr>
            <w:tcW w:w="1790" w:type="dxa"/>
            <w:noWrap/>
            <w:vAlign w:val="center"/>
            <w:hideMark/>
          </w:tcPr>
          <w:p w14:paraId="32A9C3A6"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63.1 (61.7, 65.4)</w:t>
            </w:r>
          </w:p>
        </w:tc>
        <w:tc>
          <w:tcPr>
            <w:tcW w:w="1691" w:type="dxa"/>
            <w:noWrap/>
            <w:vAlign w:val="center"/>
            <w:hideMark/>
          </w:tcPr>
          <w:p w14:paraId="35C3751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65.1 (62.8, 67.2)</w:t>
            </w:r>
          </w:p>
        </w:tc>
      </w:tr>
      <w:tr w:rsidR="00690A63" w:rsidRPr="002E5D23" w14:paraId="08C0C141" w14:textId="77777777" w:rsidTr="00F87E46">
        <w:tc>
          <w:tcPr>
            <w:tcW w:w="4376" w:type="dxa"/>
            <w:noWrap/>
            <w:vAlign w:val="center"/>
            <w:hideMark/>
          </w:tcPr>
          <w:p w14:paraId="574620D1"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BMI (kg/m</w:t>
            </w:r>
            <w:r w:rsidRPr="002E5D23">
              <w:rPr>
                <w:rFonts w:eastAsia="Times New Roman" w:cs="Calibri"/>
                <w:color w:val="auto"/>
                <w:vertAlign w:val="superscript"/>
                <w:lang w:val="en-GB" w:eastAsia="en-GB"/>
              </w:rPr>
              <w:t>2</w:t>
            </w:r>
            <w:r w:rsidRPr="002E5D23">
              <w:rPr>
                <w:rFonts w:eastAsia="Times New Roman" w:cs="Calibri"/>
                <w:color w:val="auto"/>
                <w:lang w:val="en-GB" w:eastAsia="en-GB"/>
              </w:rPr>
              <w:t>)</w:t>
            </w:r>
          </w:p>
        </w:tc>
        <w:tc>
          <w:tcPr>
            <w:tcW w:w="1790" w:type="dxa"/>
            <w:noWrap/>
            <w:vAlign w:val="center"/>
            <w:hideMark/>
          </w:tcPr>
          <w:p w14:paraId="3865CD7D"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26.5 (3.7)</w:t>
            </w:r>
          </w:p>
        </w:tc>
        <w:tc>
          <w:tcPr>
            <w:tcW w:w="1691" w:type="dxa"/>
            <w:noWrap/>
            <w:vAlign w:val="center"/>
            <w:hideMark/>
          </w:tcPr>
          <w:p w14:paraId="34890CE7"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26.4 (4.2)</w:t>
            </w:r>
          </w:p>
        </w:tc>
      </w:tr>
      <w:tr w:rsidR="00690A63" w:rsidRPr="002E5D23" w14:paraId="7F047203" w14:textId="77777777" w:rsidTr="00F87E46">
        <w:tc>
          <w:tcPr>
            <w:tcW w:w="4376" w:type="dxa"/>
            <w:noWrap/>
            <w:vAlign w:val="center"/>
            <w:hideMark/>
          </w:tcPr>
          <w:p w14:paraId="65C28B17"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Ever smoked regularly</w:t>
            </w:r>
          </w:p>
        </w:tc>
        <w:tc>
          <w:tcPr>
            <w:tcW w:w="1790" w:type="dxa"/>
            <w:noWrap/>
            <w:vAlign w:val="center"/>
            <w:hideMark/>
          </w:tcPr>
          <w:p w14:paraId="735EDF33"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55 (60%)</w:t>
            </w:r>
          </w:p>
        </w:tc>
        <w:tc>
          <w:tcPr>
            <w:tcW w:w="1691" w:type="dxa"/>
            <w:noWrap/>
            <w:vAlign w:val="center"/>
            <w:hideMark/>
          </w:tcPr>
          <w:p w14:paraId="19A58C4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28 (33%)</w:t>
            </w:r>
          </w:p>
        </w:tc>
      </w:tr>
      <w:tr w:rsidR="00690A63" w:rsidRPr="002E5D23" w14:paraId="436CC0E3" w14:textId="77777777" w:rsidTr="00F87E46">
        <w:tc>
          <w:tcPr>
            <w:tcW w:w="4376" w:type="dxa"/>
            <w:noWrap/>
            <w:vAlign w:val="center"/>
            <w:hideMark/>
          </w:tcPr>
          <w:p w14:paraId="6896C995"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High alcohol intake (&gt;14 units per week)</w:t>
            </w:r>
          </w:p>
        </w:tc>
        <w:tc>
          <w:tcPr>
            <w:tcW w:w="1790" w:type="dxa"/>
            <w:noWrap/>
            <w:vAlign w:val="center"/>
            <w:hideMark/>
          </w:tcPr>
          <w:p w14:paraId="7BC059ED"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35 (38%)</w:t>
            </w:r>
          </w:p>
        </w:tc>
        <w:tc>
          <w:tcPr>
            <w:tcW w:w="1691" w:type="dxa"/>
            <w:noWrap/>
            <w:vAlign w:val="center"/>
            <w:hideMark/>
          </w:tcPr>
          <w:p w14:paraId="1D46E285"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 (2%)</w:t>
            </w:r>
          </w:p>
        </w:tc>
      </w:tr>
      <w:tr w:rsidR="00690A63" w:rsidRPr="002E5D23" w14:paraId="15418186" w14:textId="77777777" w:rsidTr="00F87E46">
        <w:tc>
          <w:tcPr>
            <w:tcW w:w="4376" w:type="dxa"/>
            <w:noWrap/>
            <w:vAlign w:val="center"/>
            <w:hideMark/>
          </w:tcPr>
          <w:p w14:paraId="3E30A3A0"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Dallosso physical activity score</w:t>
            </w:r>
          </w:p>
        </w:tc>
        <w:tc>
          <w:tcPr>
            <w:tcW w:w="1790" w:type="dxa"/>
            <w:noWrap/>
            <w:vAlign w:val="center"/>
            <w:hideMark/>
          </w:tcPr>
          <w:p w14:paraId="6B01FED3"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64 (54, 79)</w:t>
            </w:r>
          </w:p>
        </w:tc>
        <w:tc>
          <w:tcPr>
            <w:tcW w:w="1691" w:type="dxa"/>
            <w:noWrap/>
            <w:vAlign w:val="center"/>
            <w:hideMark/>
          </w:tcPr>
          <w:p w14:paraId="4699CC5A"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64 (57, 71)</w:t>
            </w:r>
          </w:p>
        </w:tc>
      </w:tr>
      <w:tr w:rsidR="00690A63" w:rsidRPr="002E5D23" w14:paraId="6B203158" w14:textId="77777777" w:rsidTr="00F87E46">
        <w:tc>
          <w:tcPr>
            <w:tcW w:w="4376" w:type="dxa"/>
            <w:noWrap/>
            <w:vAlign w:val="center"/>
            <w:hideMark/>
          </w:tcPr>
          <w:p w14:paraId="0D12A994"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Diet quality score</w:t>
            </w:r>
          </w:p>
        </w:tc>
        <w:tc>
          <w:tcPr>
            <w:tcW w:w="1790" w:type="dxa"/>
            <w:noWrap/>
            <w:vAlign w:val="center"/>
            <w:hideMark/>
          </w:tcPr>
          <w:p w14:paraId="20005993" w14:textId="048EBA7E" w:rsidR="00C92627" w:rsidRPr="002E5D23" w:rsidRDefault="00584E1F"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w:t>
            </w:r>
            <w:r w:rsidR="00C92627" w:rsidRPr="002E5D23">
              <w:rPr>
                <w:rFonts w:eastAsia="Times New Roman" w:cs="Calibri"/>
                <w:color w:val="auto"/>
                <w:lang w:val="en-GB" w:eastAsia="en-GB"/>
              </w:rPr>
              <w:t>0.3 (1.2)</w:t>
            </w:r>
          </w:p>
        </w:tc>
        <w:tc>
          <w:tcPr>
            <w:tcW w:w="1691" w:type="dxa"/>
            <w:noWrap/>
            <w:vAlign w:val="center"/>
            <w:hideMark/>
          </w:tcPr>
          <w:p w14:paraId="487928D4"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0.6 (1.1)</w:t>
            </w:r>
          </w:p>
        </w:tc>
      </w:tr>
      <w:tr w:rsidR="00690A63" w:rsidRPr="002E5D23" w14:paraId="5298BFEE" w14:textId="77777777" w:rsidTr="00F87E46">
        <w:tc>
          <w:tcPr>
            <w:tcW w:w="4376" w:type="dxa"/>
            <w:noWrap/>
            <w:vAlign w:val="center"/>
            <w:hideMark/>
          </w:tcPr>
          <w:p w14:paraId="4D11DF20"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Age left full-time education (≥15 years)</w:t>
            </w:r>
          </w:p>
        </w:tc>
        <w:tc>
          <w:tcPr>
            <w:tcW w:w="1790" w:type="dxa"/>
            <w:noWrap/>
            <w:vAlign w:val="center"/>
          </w:tcPr>
          <w:p w14:paraId="41A9A6AA"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77 (84%)</w:t>
            </w:r>
          </w:p>
        </w:tc>
        <w:tc>
          <w:tcPr>
            <w:tcW w:w="1691" w:type="dxa"/>
            <w:noWrap/>
            <w:vAlign w:val="center"/>
          </w:tcPr>
          <w:p w14:paraId="246BB202"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71 (83%)</w:t>
            </w:r>
          </w:p>
        </w:tc>
      </w:tr>
      <w:tr w:rsidR="00690A63" w:rsidRPr="002E5D23" w14:paraId="3E262829" w14:textId="77777777" w:rsidTr="00F87E46">
        <w:tc>
          <w:tcPr>
            <w:tcW w:w="4376" w:type="dxa"/>
            <w:noWrap/>
            <w:vAlign w:val="center"/>
            <w:hideMark/>
          </w:tcPr>
          <w:p w14:paraId="4907F90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Home ownership (owned/mortgaged)</w:t>
            </w:r>
          </w:p>
        </w:tc>
        <w:tc>
          <w:tcPr>
            <w:tcW w:w="1790" w:type="dxa"/>
            <w:noWrap/>
            <w:vAlign w:val="center"/>
          </w:tcPr>
          <w:p w14:paraId="51EA87FE"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80 (87%)</w:t>
            </w:r>
          </w:p>
        </w:tc>
        <w:tc>
          <w:tcPr>
            <w:tcW w:w="1691" w:type="dxa"/>
            <w:noWrap/>
            <w:vAlign w:val="center"/>
          </w:tcPr>
          <w:p w14:paraId="2D70096B"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74 (86%)</w:t>
            </w:r>
          </w:p>
        </w:tc>
      </w:tr>
      <w:tr w:rsidR="00690A63" w:rsidRPr="002E5D23" w14:paraId="40FA007F" w14:textId="77777777" w:rsidTr="00F87E46">
        <w:tc>
          <w:tcPr>
            <w:tcW w:w="4376" w:type="dxa"/>
            <w:noWrap/>
            <w:vAlign w:val="center"/>
            <w:hideMark/>
          </w:tcPr>
          <w:p w14:paraId="58DF8203"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Non-manual occupational social class</w:t>
            </w:r>
          </w:p>
        </w:tc>
        <w:tc>
          <w:tcPr>
            <w:tcW w:w="1790" w:type="dxa"/>
            <w:noWrap/>
            <w:vAlign w:val="center"/>
          </w:tcPr>
          <w:p w14:paraId="118B941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41 (47%)</w:t>
            </w:r>
          </w:p>
        </w:tc>
        <w:tc>
          <w:tcPr>
            <w:tcW w:w="1691" w:type="dxa"/>
            <w:noWrap/>
            <w:vAlign w:val="center"/>
          </w:tcPr>
          <w:p w14:paraId="32BE135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42 (49%)</w:t>
            </w:r>
          </w:p>
        </w:tc>
      </w:tr>
      <w:tr w:rsidR="00690A63" w:rsidRPr="002E5D23" w14:paraId="1FFEB0AD" w14:textId="77777777" w:rsidTr="00F87E46">
        <w:tc>
          <w:tcPr>
            <w:tcW w:w="4376" w:type="dxa"/>
            <w:noWrap/>
            <w:vAlign w:val="center"/>
            <w:hideMark/>
          </w:tcPr>
          <w:p w14:paraId="51F1F1E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Number of systems medicated</w:t>
            </w:r>
          </w:p>
        </w:tc>
        <w:tc>
          <w:tcPr>
            <w:tcW w:w="1790" w:type="dxa"/>
            <w:noWrap/>
            <w:vAlign w:val="center"/>
            <w:hideMark/>
          </w:tcPr>
          <w:p w14:paraId="49DB49F2"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 (0, 1)</w:t>
            </w:r>
          </w:p>
        </w:tc>
        <w:tc>
          <w:tcPr>
            <w:tcW w:w="1691" w:type="dxa"/>
            <w:noWrap/>
            <w:vAlign w:val="center"/>
            <w:hideMark/>
          </w:tcPr>
          <w:p w14:paraId="7CB0A6D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 (0, 2)</w:t>
            </w:r>
          </w:p>
        </w:tc>
      </w:tr>
      <w:tr w:rsidR="00690A63" w:rsidRPr="002E5D23" w14:paraId="7853FFFB" w14:textId="77777777" w:rsidTr="00F87E46">
        <w:tc>
          <w:tcPr>
            <w:tcW w:w="4376" w:type="dxa"/>
            <w:noWrap/>
            <w:vAlign w:val="center"/>
            <w:hideMark/>
          </w:tcPr>
          <w:p w14:paraId="2FAADCF5" w14:textId="77777777" w:rsidR="00C92627" w:rsidRPr="002E5D23" w:rsidRDefault="00C92627" w:rsidP="00F87E46">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2011 follow-up</w:t>
            </w:r>
          </w:p>
        </w:tc>
        <w:tc>
          <w:tcPr>
            <w:tcW w:w="1790" w:type="dxa"/>
            <w:noWrap/>
            <w:vAlign w:val="center"/>
            <w:hideMark/>
          </w:tcPr>
          <w:p w14:paraId="48EB7FEA" w14:textId="77777777" w:rsidR="00C92627" w:rsidRPr="002E5D23" w:rsidRDefault="00C92627" w:rsidP="00F87E46">
            <w:pPr>
              <w:adjustRightInd w:val="0"/>
              <w:snapToGrid w:val="0"/>
              <w:spacing w:line="240" w:lineRule="auto"/>
              <w:jc w:val="center"/>
              <w:rPr>
                <w:rFonts w:eastAsia="Times New Roman" w:cs="Calibri"/>
                <w:b/>
                <w:bCs/>
                <w:i/>
                <w:iCs/>
                <w:color w:val="auto"/>
                <w:lang w:val="en-GB" w:eastAsia="en-GB"/>
              </w:rPr>
            </w:pPr>
          </w:p>
        </w:tc>
        <w:tc>
          <w:tcPr>
            <w:tcW w:w="1691" w:type="dxa"/>
            <w:noWrap/>
            <w:vAlign w:val="center"/>
            <w:hideMark/>
          </w:tcPr>
          <w:p w14:paraId="0D9716D7"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p>
        </w:tc>
      </w:tr>
      <w:tr w:rsidR="00690A63" w:rsidRPr="002E5D23" w14:paraId="4112E990" w14:textId="77777777" w:rsidTr="00F87E46">
        <w:tc>
          <w:tcPr>
            <w:tcW w:w="4376" w:type="dxa"/>
            <w:noWrap/>
            <w:vAlign w:val="center"/>
            <w:hideMark/>
          </w:tcPr>
          <w:p w14:paraId="49904422"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Age (years)</w:t>
            </w:r>
          </w:p>
        </w:tc>
        <w:tc>
          <w:tcPr>
            <w:tcW w:w="1790" w:type="dxa"/>
            <w:noWrap/>
            <w:vAlign w:val="center"/>
            <w:hideMark/>
          </w:tcPr>
          <w:p w14:paraId="3E92A13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74.6 (73.1, 77.0)</w:t>
            </w:r>
          </w:p>
        </w:tc>
        <w:tc>
          <w:tcPr>
            <w:tcW w:w="1691" w:type="dxa"/>
            <w:noWrap/>
            <w:vAlign w:val="center"/>
            <w:hideMark/>
          </w:tcPr>
          <w:p w14:paraId="1A40C003"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74.9 (73.0, 77.2)</w:t>
            </w:r>
          </w:p>
        </w:tc>
      </w:tr>
      <w:tr w:rsidR="00690A63" w:rsidRPr="002E5D23" w14:paraId="174888D7" w14:textId="77777777" w:rsidTr="00F87E46">
        <w:tc>
          <w:tcPr>
            <w:tcW w:w="4376" w:type="dxa"/>
            <w:noWrap/>
            <w:vAlign w:val="center"/>
            <w:hideMark/>
          </w:tcPr>
          <w:p w14:paraId="0D97152E"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Diet quality score</w:t>
            </w:r>
          </w:p>
        </w:tc>
        <w:tc>
          <w:tcPr>
            <w:tcW w:w="1790" w:type="dxa"/>
            <w:noWrap/>
            <w:vAlign w:val="center"/>
            <w:hideMark/>
          </w:tcPr>
          <w:p w14:paraId="78142D58" w14:textId="5F1B1367" w:rsidR="00C92627" w:rsidRPr="002E5D23" w:rsidRDefault="00584E1F"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w:t>
            </w:r>
            <w:r w:rsidR="00C92627" w:rsidRPr="002E5D23">
              <w:rPr>
                <w:rFonts w:eastAsia="Times New Roman" w:cs="Calibri"/>
                <w:color w:val="auto"/>
                <w:lang w:val="en-GB" w:eastAsia="en-GB"/>
              </w:rPr>
              <w:t>0.3 (1.5)</w:t>
            </w:r>
          </w:p>
        </w:tc>
        <w:tc>
          <w:tcPr>
            <w:tcW w:w="1691" w:type="dxa"/>
            <w:noWrap/>
            <w:vAlign w:val="center"/>
            <w:hideMark/>
          </w:tcPr>
          <w:p w14:paraId="391C8C8B"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0.5 (1.4)</w:t>
            </w:r>
          </w:p>
        </w:tc>
      </w:tr>
      <w:tr w:rsidR="00690A63" w:rsidRPr="002E5D23" w14:paraId="6206608D" w14:textId="77777777" w:rsidTr="00F87E46">
        <w:tc>
          <w:tcPr>
            <w:tcW w:w="4376" w:type="dxa"/>
            <w:noWrap/>
            <w:vAlign w:val="center"/>
            <w:hideMark/>
          </w:tcPr>
          <w:p w14:paraId="6591F47E" w14:textId="77777777" w:rsidR="00C92627" w:rsidRPr="002E5D23" w:rsidRDefault="00C92627" w:rsidP="00F87E46">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2017 follow-up</w:t>
            </w:r>
          </w:p>
        </w:tc>
        <w:tc>
          <w:tcPr>
            <w:tcW w:w="1790" w:type="dxa"/>
            <w:noWrap/>
            <w:vAlign w:val="center"/>
            <w:hideMark/>
          </w:tcPr>
          <w:p w14:paraId="2B5D678E" w14:textId="77777777" w:rsidR="00C92627" w:rsidRPr="002E5D23" w:rsidRDefault="00C92627" w:rsidP="00F87E46">
            <w:pPr>
              <w:adjustRightInd w:val="0"/>
              <w:snapToGrid w:val="0"/>
              <w:spacing w:line="240" w:lineRule="auto"/>
              <w:jc w:val="center"/>
              <w:rPr>
                <w:rFonts w:eastAsia="Times New Roman" w:cs="Calibri"/>
                <w:b/>
                <w:bCs/>
                <w:i/>
                <w:iCs/>
                <w:color w:val="auto"/>
                <w:lang w:val="en-GB" w:eastAsia="en-GB"/>
              </w:rPr>
            </w:pPr>
          </w:p>
        </w:tc>
        <w:tc>
          <w:tcPr>
            <w:tcW w:w="1691" w:type="dxa"/>
            <w:noWrap/>
            <w:vAlign w:val="center"/>
            <w:hideMark/>
          </w:tcPr>
          <w:p w14:paraId="395A8E00"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p>
        </w:tc>
      </w:tr>
      <w:tr w:rsidR="00690A63" w:rsidRPr="002E5D23" w14:paraId="04C97EF4" w14:textId="77777777" w:rsidTr="00F87E46">
        <w:tc>
          <w:tcPr>
            <w:tcW w:w="4376" w:type="dxa"/>
            <w:noWrap/>
            <w:vAlign w:val="center"/>
            <w:hideMark/>
          </w:tcPr>
          <w:p w14:paraId="29B2F729"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Age (years)</w:t>
            </w:r>
          </w:p>
        </w:tc>
        <w:tc>
          <w:tcPr>
            <w:tcW w:w="1790" w:type="dxa"/>
            <w:noWrap/>
            <w:vAlign w:val="center"/>
            <w:hideMark/>
          </w:tcPr>
          <w:p w14:paraId="51C0B5FD"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80.6 (79.0, 83.0)</w:t>
            </w:r>
          </w:p>
        </w:tc>
        <w:tc>
          <w:tcPr>
            <w:tcW w:w="1691" w:type="dxa"/>
            <w:noWrap/>
            <w:vAlign w:val="center"/>
            <w:hideMark/>
          </w:tcPr>
          <w:p w14:paraId="6912796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80.9 (78.7, 83.2)</w:t>
            </w:r>
          </w:p>
        </w:tc>
      </w:tr>
      <w:tr w:rsidR="00690A63" w:rsidRPr="002E5D23" w14:paraId="032C63E3" w14:textId="77777777" w:rsidTr="00F87E46">
        <w:tc>
          <w:tcPr>
            <w:tcW w:w="4376" w:type="dxa"/>
            <w:noWrap/>
            <w:vAlign w:val="center"/>
            <w:hideMark/>
          </w:tcPr>
          <w:p w14:paraId="41181222"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Diet quality score</w:t>
            </w:r>
          </w:p>
        </w:tc>
        <w:tc>
          <w:tcPr>
            <w:tcW w:w="1790" w:type="dxa"/>
            <w:noWrap/>
            <w:vAlign w:val="center"/>
            <w:hideMark/>
          </w:tcPr>
          <w:p w14:paraId="537C84BB"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0.2 (1.2)</w:t>
            </w:r>
          </w:p>
        </w:tc>
        <w:tc>
          <w:tcPr>
            <w:tcW w:w="1691" w:type="dxa"/>
            <w:noWrap/>
            <w:vAlign w:val="center"/>
            <w:hideMark/>
          </w:tcPr>
          <w:p w14:paraId="6AFCE6BA"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0.7 (1.1)</w:t>
            </w:r>
          </w:p>
        </w:tc>
      </w:tr>
      <w:tr w:rsidR="00690A63" w:rsidRPr="002E5D23" w14:paraId="5F545323" w14:textId="77777777" w:rsidTr="00F87E46">
        <w:tc>
          <w:tcPr>
            <w:tcW w:w="4376" w:type="dxa"/>
            <w:noWrap/>
            <w:vAlign w:val="center"/>
            <w:hideMark/>
          </w:tcPr>
          <w:p w14:paraId="5900A7B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lastRenderedPageBreak/>
              <w:t>Osteoporosis</w:t>
            </w:r>
          </w:p>
        </w:tc>
        <w:tc>
          <w:tcPr>
            <w:tcW w:w="1790" w:type="dxa"/>
            <w:noWrap/>
            <w:vAlign w:val="center"/>
            <w:hideMark/>
          </w:tcPr>
          <w:p w14:paraId="093031A5"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14 (15%)</w:t>
            </w:r>
          </w:p>
        </w:tc>
        <w:tc>
          <w:tcPr>
            <w:tcW w:w="1691" w:type="dxa"/>
            <w:noWrap/>
            <w:vAlign w:val="center"/>
            <w:hideMark/>
          </w:tcPr>
          <w:p w14:paraId="18ED3699"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34 (40%)</w:t>
            </w:r>
          </w:p>
        </w:tc>
      </w:tr>
      <w:tr w:rsidR="00690A63" w:rsidRPr="002E5D23" w14:paraId="1B3C49D6" w14:textId="77777777" w:rsidTr="00F87E46">
        <w:tc>
          <w:tcPr>
            <w:tcW w:w="4376" w:type="dxa"/>
            <w:noWrap/>
            <w:vAlign w:val="center"/>
            <w:hideMark/>
          </w:tcPr>
          <w:p w14:paraId="41065176"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Fall in previous year</w:t>
            </w:r>
          </w:p>
        </w:tc>
        <w:tc>
          <w:tcPr>
            <w:tcW w:w="1790" w:type="dxa"/>
            <w:noWrap/>
            <w:vAlign w:val="center"/>
            <w:hideMark/>
          </w:tcPr>
          <w:p w14:paraId="2A6FFD5A"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16 (17%)</w:t>
            </w:r>
          </w:p>
        </w:tc>
        <w:tc>
          <w:tcPr>
            <w:tcW w:w="1691" w:type="dxa"/>
            <w:noWrap/>
            <w:vAlign w:val="center"/>
            <w:hideMark/>
          </w:tcPr>
          <w:p w14:paraId="2557253D"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12 (14%)</w:t>
            </w:r>
          </w:p>
        </w:tc>
      </w:tr>
      <w:tr w:rsidR="00690A63" w:rsidRPr="002E5D23" w14:paraId="35B5869F" w14:textId="77777777" w:rsidTr="00F87E46">
        <w:tc>
          <w:tcPr>
            <w:tcW w:w="4376" w:type="dxa"/>
            <w:noWrap/>
            <w:vAlign w:val="center"/>
            <w:hideMark/>
          </w:tcPr>
          <w:p w14:paraId="72E964D1" w14:textId="00B80068"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Low grip strength (&lt;27</w:t>
            </w:r>
            <w:r w:rsidR="00584E1F" w:rsidRPr="002E5D23">
              <w:rPr>
                <w:rFonts w:eastAsiaTheme="minorEastAsia" w:cs="Calibri" w:hint="eastAsia"/>
                <w:color w:val="auto"/>
                <w:lang w:val="en-GB"/>
              </w:rPr>
              <w:t xml:space="preserve"> </w:t>
            </w:r>
            <w:r w:rsidRPr="002E5D23">
              <w:rPr>
                <w:rFonts w:eastAsia="Times New Roman" w:cs="Calibri"/>
                <w:color w:val="auto"/>
                <w:lang w:val="en-GB" w:eastAsia="en-GB"/>
              </w:rPr>
              <w:t>kg men, &lt;16</w:t>
            </w:r>
            <w:r w:rsidR="00584E1F" w:rsidRPr="002E5D23">
              <w:rPr>
                <w:rFonts w:eastAsiaTheme="minorEastAsia" w:cs="Calibri" w:hint="eastAsia"/>
                <w:color w:val="auto"/>
                <w:lang w:val="en-GB"/>
              </w:rPr>
              <w:t xml:space="preserve"> </w:t>
            </w:r>
            <w:r w:rsidRPr="002E5D23">
              <w:rPr>
                <w:rFonts w:eastAsia="Times New Roman" w:cs="Calibri"/>
                <w:color w:val="auto"/>
                <w:lang w:val="en-GB" w:eastAsia="en-GB"/>
              </w:rPr>
              <w:t>kg women)</w:t>
            </w:r>
          </w:p>
        </w:tc>
        <w:tc>
          <w:tcPr>
            <w:tcW w:w="1790" w:type="dxa"/>
            <w:noWrap/>
            <w:vAlign w:val="center"/>
            <w:hideMark/>
          </w:tcPr>
          <w:p w14:paraId="7ECD8A1A"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28 (31%)</w:t>
            </w:r>
          </w:p>
        </w:tc>
        <w:tc>
          <w:tcPr>
            <w:tcW w:w="1691" w:type="dxa"/>
            <w:noWrap/>
            <w:vAlign w:val="center"/>
            <w:hideMark/>
          </w:tcPr>
          <w:p w14:paraId="2E38021B"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22 (26%)</w:t>
            </w:r>
          </w:p>
        </w:tc>
      </w:tr>
      <w:tr w:rsidR="00690A63" w:rsidRPr="002E5D23" w14:paraId="3EBE71FA" w14:textId="77777777" w:rsidTr="00F87E46">
        <w:tc>
          <w:tcPr>
            <w:tcW w:w="4376" w:type="dxa"/>
            <w:noWrap/>
            <w:vAlign w:val="center"/>
            <w:hideMark/>
          </w:tcPr>
          <w:p w14:paraId="0FFA602D"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Low gait speed (</w:t>
            </w:r>
            <w:r w:rsidRPr="002E5D23">
              <w:rPr>
                <w:rFonts w:cs="Calibri"/>
                <w:color w:val="auto"/>
                <w:lang w:val="en-GB"/>
              </w:rPr>
              <w:t>≤</w:t>
            </w:r>
            <w:r w:rsidRPr="002E5D23">
              <w:rPr>
                <w:rFonts w:eastAsia="Times New Roman" w:cs="Calibri"/>
                <w:color w:val="auto"/>
                <w:lang w:val="en-GB" w:eastAsia="en-GB"/>
              </w:rPr>
              <w:t>0.8 m/s)</w:t>
            </w:r>
          </w:p>
        </w:tc>
        <w:tc>
          <w:tcPr>
            <w:tcW w:w="1790" w:type="dxa"/>
            <w:noWrap/>
            <w:vAlign w:val="center"/>
            <w:hideMark/>
          </w:tcPr>
          <w:p w14:paraId="13484CBB"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65 (71%)</w:t>
            </w:r>
          </w:p>
        </w:tc>
        <w:tc>
          <w:tcPr>
            <w:tcW w:w="1691" w:type="dxa"/>
            <w:noWrap/>
            <w:vAlign w:val="center"/>
            <w:hideMark/>
          </w:tcPr>
          <w:p w14:paraId="57B4661E"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65 (76%)</w:t>
            </w:r>
          </w:p>
        </w:tc>
      </w:tr>
      <w:tr w:rsidR="00690A63" w:rsidRPr="002E5D23" w14:paraId="457A6B59" w14:textId="77777777" w:rsidTr="00F87E46">
        <w:tc>
          <w:tcPr>
            <w:tcW w:w="4376" w:type="dxa"/>
            <w:tcBorders>
              <w:bottom w:val="single" w:sz="8" w:space="0" w:color="auto"/>
            </w:tcBorders>
            <w:noWrap/>
            <w:vAlign w:val="center"/>
            <w:hideMark/>
          </w:tcPr>
          <w:p w14:paraId="2B275EE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Hip or knee replacement</w:t>
            </w:r>
          </w:p>
        </w:tc>
        <w:tc>
          <w:tcPr>
            <w:tcW w:w="1790" w:type="dxa"/>
            <w:tcBorders>
              <w:bottom w:val="single" w:sz="8" w:space="0" w:color="auto"/>
            </w:tcBorders>
            <w:noWrap/>
            <w:vAlign w:val="center"/>
            <w:hideMark/>
          </w:tcPr>
          <w:p w14:paraId="2071CBDF"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20 (22%)</w:t>
            </w:r>
          </w:p>
        </w:tc>
        <w:tc>
          <w:tcPr>
            <w:tcW w:w="1691" w:type="dxa"/>
            <w:tcBorders>
              <w:bottom w:val="single" w:sz="8" w:space="0" w:color="auto"/>
            </w:tcBorders>
            <w:noWrap/>
            <w:vAlign w:val="center"/>
            <w:hideMark/>
          </w:tcPr>
          <w:p w14:paraId="48A6E3B5" w14:textId="77777777" w:rsidR="00C92627" w:rsidRPr="002E5D23" w:rsidRDefault="00C92627" w:rsidP="00F87E46">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16 (19%)</w:t>
            </w:r>
          </w:p>
        </w:tc>
      </w:tr>
    </w:tbl>
    <w:bookmarkEnd w:id="26"/>
    <w:p w14:paraId="68E20C5E" w14:textId="79196B2E" w:rsidR="00E01BB5" w:rsidRPr="002E5D23" w:rsidRDefault="00E01BB5" w:rsidP="00E01BB5">
      <w:pPr>
        <w:adjustRightInd w:val="0"/>
        <w:snapToGrid w:val="0"/>
        <w:spacing w:after="240"/>
        <w:ind w:left="2608"/>
        <w:rPr>
          <w:rFonts w:eastAsia="Times New Roman"/>
          <w:snapToGrid w:val="0"/>
          <w:color w:val="auto"/>
          <w:sz w:val="18"/>
          <w:szCs w:val="18"/>
          <w:lang w:val="en-GB" w:eastAsia="en-GB"/>
          <w14:ligatures w14:val="standardContextual"/>
        </w:rPr>
      </w:pPr>
      <w:r w:rsidRPr="002E5D23">
        <w:rPr>
          <w:rFonts w:eastAsia="Times New Roman"/>
          <w:snapToGrid w:val="0"/>
          <w:color w:val="auto"/>
          <w:sz w:val="18"/>
          <w:szCs w:val="18"/>
          <w:lang w:val="en-GB" w:eastAsia="en-GB"/>
          <w14:ligatures w14:val="standardContextual"/>
        </w:rPr>
        <w:t>Osteoporosis: any of the following: femoral neck T-score ≤ −2.5; taking anti-osteoporosis medications; or self-reported osteoporosis diagnosis by doctor.</w:t>
      </w:r>
      <w:r w:rsidRPr="002E5D23">
        <w:rPr>
          <w:rFonts w:eastAsiaTheme="minorEastAsia" w:hint="eastAsia"/>
          <w:snapToGrid w:val="0"/>
          <w:color w:val="auto"/>
          <w:sz w:val="18"/>
          <w:szCs w:val="18"/>
          <w:lang w:val="en-GB"/>
          <w14:ligatures w14:val="standardContextual"/>
        </w:rPr>
        <w:t xml:space="preserve"> </w:t>
      </w:r>
      <w:r w:rsidRPr="002E5D23">
        <w:rPr>
          <w:rFonts w:eastAsia="Times New Roman"/>
          <w:snapToGrid w:val="0"/>
          <w:color w:val="auto"/>
          <w:sz w:val="18"/>
          <w:szCs w:val="18"/>
          <w:lang w:val="en-GB" w:eastAsia="en-GB"/>
          <w14:ligatures w14:val="standardContextual"/>
        </w:rPr>
        <w:t>Low grip strength and gait speed thresholds were based on the 2019 European Working Group on Sarcopenia in Older People (EWGSOP2) definition.</w:t>
      </w:r>
      <w:r w:rsidR="00364D3D" w:rsidRPr="002E5D23">
        <w:rPr>
          <w:rFonts w:eastAsia="Times New Roman"/>
          <w:snapToGrid w:val="0"/>
          <w:color w:val="auto"/>
          <w:sz w:val="18"/>
          <w:szCs w:val="18"/>
          <w:lang w:val="en-GB" w:eastAsia="en-GB"/>
          <w14:ligatures w14:val="standardContextual"/>
        </w:rPr>
        <w:t xml:space="preserve"> </w:t>
      </w:r>
      <w:r w:rsidR="00084943" w:rsidRPr="002E5D23">
        <w:rPr>
          <w:rFonts w:eastAsia="Times New Roman"/>
          <w:snapToGrid w:val="0"/>
          <w:color w:val="auto"/>
          <w:sz w:val="18"/>
          <w:szCs w:val="18"/>
          <w:lang w:val="en-GB" w:eastAsia="en-GB"/>
          <w14:ligatures w14:val="standardContextual"/>
        </w:rPr>
        <w:t>The follow-up stage is stated in the column</w:t>
      </w:r>
      <w:r w:rsidR="00084943" w:rsidRPr="002E5D23">
        <w:t xml:space="preserve"> ‘</w:t>
      </w:r>
      <w:r w:rsidR="00084943" w:rsidRPr="002E5D23">
        <w:rPr>
          <w:rFonts w:eastAsia="Times New Roman"/>
          <w:snapToGrid w:val="0"/>
          <w:color w:val="auto"/>
          <w:sz w:val="18"/>
          <w:szCs w:val="18"/>
          <w:lang w:val="en-GB" w:eastAsia="en-GB"/>
          <w14:ligatures w14:val="standardContextual"/>
        </w:rPr>
        <w:t xml:space="preserve">Participant Characteristic’ in bold font. </w:t>
      </w:r>
    </w:p>
    <w:p w14:paraId="6B9C7EF6" w14:textId="42D0D582" w:rsidR="00C92627" w:rsidRPr="002E5D23" w:rsidRDefault="00C92627" w:rsidP="00043349">
      <w:pPr>
        <w:pStyle w:val="MDPI22heading2"/>
        <w:spacing w:before="240"/>
        <w:rPr>
          <w:noProof w:val="0"/>
          <w:color w:val="auto"/>
          <w:szCs w:val="20"/>
          <w:lang w:val="en-GB"/>
        </w:rPr>
      </w:pPr>
      <w:r w:rsidRPr="002E5D23">
        <w:rPr>
          <w:noProof w:val="0"/>
          <w:color w:val="auto"/>
          <w:szCs w:val="20"/>
          <w:lang w:val="en-GB"/>
        </w:rPr>
        <w:t xml:space="preserve">3.2. Tracking of </w:t>
      </w:r>
      <w:r w:rsidR="00043349" w:rsidRPr="002E5D23">
        <w:rPr>
          <w:noProof w:val="0"/>
          <w:color w:val="auto"/>
          <w:szCs w:val="20"/>
          <w:lang w:val="en-GB"/>
        </w:rPr>
        <w:t xml:space="preserve">Diet Quality </w:t>
      </w:r>
      <w:r w:rsidR="006E1E41" w:rsidRPr="002E5D23">
        <w:rPr>
          <w:noProof w:val="0"/>
          <w:color w:val="auto"/>
          <w:szCs w:val="20"/>
          <w:lang w:val="en-GB"/>
        </w:rPr>
        <w:t xml:space="preserve">over </w:t>
      </w:r>
      <w:r w:rsidR="00043349" w:rsidRPr="002E5D23">
        <w:rPr>
          <w:noProof w:val="0"/>
          <w:color w:val="auto"/>
          <w:szCs w:val="20"/>
          <w:lang w:val="en-GB"/>
        </w:rPr>
        <w:t>Time</w:t>
      </w:r>
    </w:p>
    <w:p w14:paraId="6DBF8645" w14:textId="52A0EEA2" w:rsidR="00C92627" w:rsidRPr="002E5D23" w:rsidRDefault="00C92627" w:rsidP="00043349">
      <w:pPr>
        <w:pStyle w:val="MDPI31text"/>
        <w:rPr>
          <w:i/>
          <w:color w:val="auto"/>
          <w:szCs w:val="20"/>
          <w:lang w:val="en-GB"/>
        </w:rPr>
      </w:pPr>
      <w:r w:rsidRPr="002E5D23">
        <w:rPr>
          <w:color w:val="auto"/>
          <w:szCs w:val="20"/>
          <w:lang w:val="en-GB"/>
        </w:rPr>
        <w:t>Pearson correlations between diet quality scores at the three time-points (1998</w:t>
      </w:r>
      <w:r w:rsidR="00CE2530" w:rsidRPr="002E5D23">
        <w:rPr>
          <w:rFonts w:eastAsiaTheme="minorEastAsia"/>
          <w:color w:val="auto"/>
          <w:szCs w:val="20"/>
          <w:lang w:val="en-GB" w:eastAsia="zh-CN"/>
        </w:rPr>
        <w:t>–</w:t>
      </w:r>
      <w:r w:rsidRPr="002E5D23">
        <w:rPr>
          <w:color w:val="auto"/>
          <w:szCs w:val="20"/>
          <w:lang w:val="en-GB"/>
        </w:rPr>
        <w:t>2004, 2011 and 2017) are presented in Table 2. Fairly strong pairwise correlations (0.64</w:t>
      </w:r>
      <w:r w:rsidR="00CE2530" w:rsidRPr="002E5D23">
        <w:rPr>
          <w:rFonts w:eastAsiaTheme="minorEastAsia"/>
          <w:color w:val="auto"/>
          <w:szCs w:val="20"/>
          <w:lang w:val="en-GB" w:eastAsia="zh-CN"/>
        </w:rPr>
        <w:t xml:space="preserve"> </w:t>
      </w:r>
      <w:r w:rsidRPr="002E5D23">
        <w:rPr>
          <w:color w:val="auto"/>
          <w:szCs w:val="20"/>
          <w:lang w:val="en-GB"/>
        </w:rPr>
        <w:t>&lt;</w:t>
      </w:r>
      <w:r w:rsidR="00CE2530" w:rsidRPr="002E5D23">
        <w:rPr>
          <w:rFonts w:eastAsiaTheme="minorEastAsia"/>
          <w:color w:val="auto"/>
          <w:szCs w:val="20"/>
          <w:lang w:val="en-GB" w:eastAsia="zh-CN"/>
        </w:rPr>
        <w:t xml:space="preserve"> </w:t>
      </w:r>
      <w:r w:rsidRPr="002E5D23">
        <w:rPr>
          <w:color w:val="auto"/>
          <w:szCs w:val="20"/>
          <w:lang w:val="en-GB"/>
        </w:rPr>
        <w:t>r</w:t>
      </w:r>
      <w:r w:rsidR="00CE2530" w:rsidRPr="002E5D23">
        <w:rPr>
          <w:rFonts w:eastAsiaTheme="minorEastAsia"/>
          <w:color w:val="auto"/>
          <w:szCs w:val="20"/>
          <w:lang w:val="en-GB" w:eastAsia="zh-CN"/>
        </w:rPr>
        <w:t xml:space="preserve"> </w:t>
      </w:r>
      <w:r w:rsidRPr="002E5D23">
        <w:rPr>
          <w:color w:val="auto"/>
          <w:szCs w:val="20"/>
          <w:lang w:val="en-GB"/>
        </w:rPr>
        <w:t>&lt;</w:t>
      </w:r>
      <w:r w:rsidR="00CE2530" w:rsidRPr="002E5D23">
        <w:rPr>
          <w:rFonts w:eastAsiaTheme="minorEastAsia"/>
          <w:color w:val="auto"/>
          <w:szCs w:val="20"/>
          <w:lang w:val="en-GB" w:eastAsia="zh-CN"/>
        </w:rPr>
        <w:t xml:space="preserve"> </w:t>
      </w:r>
      <w:r w:rsidRPr="002E5D23">
        <w:rPr>
          <w:color w:val="auto"/>
          <w:szCs w:val="20"/>
          <w:lang w:val="en-GB"/>
        </w:rPr>
        <w:t>0.74) were observed between diet quality scores at these three time-points, indicating stability of diet quality between 1998</w:t>
      </w:r>
      <w:r w:rsidR="00CE2530" w:rsidRPr="002E5D23">
        <w:rPr>
          <w:rFonts w:eastAsiaTheme="minorEastAsia"/>
          <w:color w:val="auto"/>
          <w:szCs w:val="20"/>
          <w:lang w:val="en-GB" w:eastAsia="zh-CN"/>
        </w:rPr>
        <w:t>–</w:t>
      </w:r>
      <w:r w:rsidRPr="002E5D23">
        <w:rPr>
          <w:color w:val="auto"/>
          <w:szCs w:val="20"/>
          <w:lang w:val="en-GB"/>
        </w:rPr>
        <w:t>2004 and 2017.</w:t>
      </w:r>
    </w:p>
    <w:p w14:paraId="678EFC46" w14:textId="77777777" w:rsidR="00C92627" w:rsidRPr="002E5D23" w:rsidRDefault="00C92627" w:rsidP="00496D3A">
      <w:pPr>
        <w:pStyle w:val="MDPI41tablecaption"/>
        <w:rPr>
          <w:rFonts w:cs="Times New Roman"/>
          <w:i/>
          <w:snapToGrid w:val="0"/>
          <w:color w:val="auto"/>
          <w:szCs w:val="18"/>
          <w:lang w:val="en-GB"/>
        </w:rPr>
      </w:pPr>
      <w:r w:rsidRPr="002E5D23">
        <w:rPr>
          <w:rFonts w:cs="Times New Roman"/>
          <w:b/>
          <w:snapToGrid w:val="0"/>
          <w:color w:val="auto"/>
          <w:szCs w:val="18"/>
          <w:lang w:val="en-GB"/>
        </w:rPr>
        <w:t xml:space="preserve">Table 2. </w:t>
      </w:r>
      <w:r w:rsidRPr="002E5D23">
        <w:rPr>
          <w:rFonts w:cs="Times New Roman"/>
          <w:snapToGrid w:val="0"/>
          <w:color w:val="auto"/>
          <w:szCs w:val="18"/>
          <w:lang w:val="en-GB"/>
        </w:rPr>
        <w:t>Pearson correlations between diet quality scores at the three time-points.</w:t>
      </w:r>
    </w:p>
    <w:tbl>
      <w:tblPr>
        <w:tblW w:w="7857" w:type="dxa"/>
        <w:tblInd w:w="2608" w:type="dxa"/>
        <w:tblLayout w:type="fixed"/>
        <w:tblCellMar>
          <w:left w:w="0" w:type="dxa"/>
          <w:right w:w="0" w:type="dxa"/>
        </w:tblCellMar>
        <w:tblLook w:val="04A0" w:firstRow="1" w:lastRow="0" w:firstColumn="1" w:lastColumn="0" w:noHBand="0" w:noVBand="1"/>
      </w:tblPr>
      <w:tblGrid>
        <w:gridCol w:w="2841"/>
        <w:gridCol w:w="3256"/>
        <w:gridCol w:w="1760"/>
      </w:tblGrid>
      <w:tr w:rsidR="00690A63" w:rsidRPr="002E5D23" w14:paraId="62437AB1" w14:textId="77777777" w:rsidTr="00373B13">
        <w:tc>
          <w:tcPr>
            <w:tcW w:w="2841" w:type="dxa"/>
            <w:tcBorders>
              <w:top w:val="single" w:sz="8" w:space="0" w:color="auto"/>
              <w:left w:val="nil"/>
              <w:bottom w:val="single" w:sz="4" w:space="0" w:color="auto"/>
              <w:right w:val="nil"/>
            </w:tcBorders>
            <w:noWrap/>
            <w:vAlign w:val="center"/>
            <w:hideMark/>
          </w:tcPr>
          <w:p w14:paraId="73710954" w14:textId="36FF88F1" w:rsidR="00C92627" w:rsidRPr="002E5D23" w:rsidRDefault="00C92627" w:rsidP="00373B13">
            <w:pPr>
              <w:adjustRightInd w:val="0"/>
              <w:snapToGrid w:val="0"/>
              <w:spacing w:line="240" w:lineRule="auto"/>
              <w:jc w:val="center"/>
              <w:rPr>
                <w:rFonts w:eastAsia="Times New Roman" w:cs="Calibri"/>
                <w:color w:val="auto"/>
                <w:lang w:val="en-GB" w:eastAsia="en-GB"/>
              </w:rPr>
            </w:pPr>
            <w:bookmarkStart w:id="27" w:name="_Hlk215050421"/>
            <w:r w:rsidRPr="002E5D23">
              <w:rPr>
                <w:rFonts w:eastAsia="Times New Roman" w:cs="Calibri"/>
                <w:color w:val="auto"/>
                <w:lang w:val="en-GB" w:eastAsia="en-GB"/>
              </w:rPr>
              <w:t>Time-</w:t>
            </w:r>
            <w:r w:rsidR="00043349" w:rsidRPr="002E5D23">
              <w:rPr>
                <w:rFonts w:eastAsia="Times New Roman" w:cs="Calibri"/>
                <w:color w:val="auto"/>
                <w:lang w:val="en-GB" w:eastAsia="en-GB"/>
              </w:rPr>
              <w:t>Point</w:t>
            </w:r>
          </w:p>
        </w:tc>
        <w:tc>
          <w:tcPr>
            <w:tcW w:w="3256" w:type="dxa"/>
            <w:tcBorders>
              <w:top w:val="single" w:sz="8" w:space="0" w:color="auto"/>
              <w:left w:val="nil"/>
              <w:bottom w:val="single" w:sz="4" w:space="0" w:color="auto"/>
              <w:right w:val="nil"/>
            </w:tcBorders>
            <w:noWrap/>
            <w:vAlign w:val="center"/>
            <w:hideMark/>
          </w:tcPr>
          <w:p w14:paraId="527FDE0A" w14:textId="51BC43FB"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1998</w:t>
            </w:r>
            <w:r w:rsidR="00043349" w:rsidRPr="002E5D23">
              <w:rPr>
                <w:rFonts w:eastAsiaTheme="minorEastAsia" w:cs="Calibri"/>
                <w:color w:val="auto"/>
                <w:lang w:val="en-GB"/>
              </w:rPr>
              <w:t>–</w:t>
            </w:r>
            <w:r w:rsidRPr="002E5D23">
              <w:rPr>
                <w:rFonts w:eastAsia="Times New Roman" w:cs="Calibri"/>
                <w:color w:val="auto"/>
                <w:lang w:val="en-GB" w:eastAsia="en-GB"/>
              </w:rPr>
              <w:t>2004</w:t>
            </w:r>
          </w:p>
        </w:tc>
        <w:tc>
          <w:tcPr>
            <w:tcW w:w="1760" w:type="dxa"/>
            <w:tcBorders>
              <w:top w:val="single" w:sz="8" w:space="0" w:color="auto"/>
              <w:left w:val="nil"/>
              <w:bottom w:val="single" w:sz="4" w:space="0" w:color="auto"/>
              <w:right w:val="nil"/>
            </w:tcBorders>
            <w:noWrap/>
            <w:vAlign w:val="center"/>
            <w:hideMark/>
          </w:tcPr>
          <w:p w14:paraId="0E760FA9"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2011</w:t>
            </w:r>
          </w:p>
        </w:tc>
      </w:tr>
      <w:tr w:rsidR="00690A63" w:rsidRPr="002E5D23" w14:paraId="5BBCC7D0" w14:textId="77777777" w:rsidTr="00373B13">
        <w:tc>
          <w:tcPr>
            <w:tcW w:w="2841" w:type="dxa"/>
            <w:tcBorders>
              <w:top w:val="nil"/>
              <w:left w:val="nil"/>
              <w:bottom w:val="nil"/>
              <w:right w:val="nil"/>
            </w:tcBorders>
            <w:noWrap/>
            <w:vAlign w:val="center"/>
            <w:hideMark/>
          </w:tcPr>
          <w:p w14:paraId="51C6D043"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2011</w:t>
            </w:r>
          </w:p>
        </w:tc>
        <w:tc>
          <w:tcPr>
            <w:tcW w:w="3256" w:type="dxa"/>
            <w:tcBorders>
              <w:top w:val="nil"/>
              <w:left w:val="nil"/>
              <w:bottom w:val="nil"/>
              <w:right w:val="nil"/>
            </w:tcBorders>
            <w:noWrap/>
            <w:vAlign w:val="center"/>
            <w:hideMark/>
          </w:tcPr>
          <w:p w14:paraId="53306CC3"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0.73</w:t>
            </w:r>
          </w:p>
        </w:tc>
        <w:tc>
          <w:tcPr>
            <w:tcW w:w="1760" w:type="dxa"/>
            <w:tcBorders>
              <w:top w:val="nil"/>
              <w:left w:val="nil"/>
              <w:bottom w:val="nil"/>
              <w:right w:val="nil"/>
            </w:tcBorders>
            <w:noWrap/>
            <w:vAlign w:val="center"/>
            <w:hideMark/>
          </w:tcPr>
          <w:p w14:paraId="03C94731"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p>
        </w:tc>
      </w:tr>
      <w:tr w:rsidR="00690A63" w:rsidRPr="002E5D23" w14:paraId="14D37173" w14:textId="77777777" w:rsidTr="00373B13">
        <w:tc>
          <w:tcPr>
            <w:tcW w:w="2841" w:type="dxa"/>
            <w:tcBorders>
              <w:top w:val="nil"/>
              <w:left w:val="nil"/>
              <w:bottom w:val="single" w:sz="8" w:space="0" w:color="auto"/>
              <w:right w:val="nil"/>
            </w:tcBorders>
            <w:noWrap/>
            <w:vAlign w:val="center"/>
            <w:hideMark/>
          </w:tcPr>
          <w:p w14:paraId="744A6C6C"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2017</w:t>
            </w:r>
          </w:p>
        </w:tc>
        <w:tc>
          <w:tcPr>
            <w:tcW w:w="3256" w:type="dxa"/>
            <w:tcBorders>
              <w:top w:val="nil"/>
              <w:left w:val="nil"/>
              <w:bottom w:val="single" w:sz="8" w:space="0" w:color="auto"/>
              <w:right w:val="nil"/>
            </w:tcBorders>
            <w:noWrap/>
            <w:vAlign w:val="center"/>
            <w:hideMark/>
          </w:tcPr>
          <w:p w14:paraId="662E60B8"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0.65</w:t>
            </w:r>
          </w:p>
        </w:tc>
        <w:tc>
          <w:tcPr>
            <w:tcW w:w="1760" w:type="dxa"/>
            <w:tcBorders>
              <w:top w:val="nil"/>
              <w:left w:val="nil"/>
              <w:bottom w:val="single" w:sz="8" w:space="0" w:color="auto"/>
              <w:right w:val="nil"/>
            </w:tcBorders>
            <w:noWrap/>
            <w:vAlign w:val="center"/>
            <w:hideMark/>
          </w:tcPr>
          <w:p w14:paraId="1C416BDB" w14:textId="77777777" w:rsidR="00C92627" w:rsidRPr="002E5D23" w:rsidRDefault="00C92627" w:rsidP="00373B1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0.67</w:t>
            </w:r>
          </w:p>
        </w:tc>
      </w:tr>
    </w:tbl>
    <w:bookmarkEnd w:id="27"/>
    <w:p w14:paraId="0B7E61CB" w14:textId="1427FD43" w:rsidR="00345548" w:rsidRPr="002E5D23" w:rsidRDefault="00345548" w:rsidP="00345548">
      <w:pPr>
        <w:pStyle w:val="MDPI22heading2"/>
        <w:spacing w:before="0" w:after="240"/>
        <w:jc w:val="both"/>
        <w:outlineLvl w:val="9"/>
        <w:rPr>
          <w:rFonts w:eastAsiaTheme="minorEastAsia"/>
          <w:i w:val="0"/>
          <w:noProof w:val="0"/>
          <w:color w:val="auto"/>
          <w:sz w:val="18"/>
          <w:szCs w:val="18"/>
          <w:lang w:val="en-GB" w:eastAsia="zh-CN"/>
        </w:rPr>
      </w:pPr>
      <w:r w:rsidRPr="002E5D23">
        <w:rPr>
          <w:iCs/>
          <w:noProof w:val="0"/>
          <w:color w:val="auto"/>
          <w:sz w:val="18"/>
          <w:szCs w:val="18"/>
          <w:lang w:val="en-GB" w:eastAsia="en-GB"/>
        </w:rPr>
        <w:t>p</w:t>
      </w:r>
      <w:r w:rsidRPr="002E5D23">
        <w:rPr>
          <w:rFonts w:eastAsiaTheme="minorEastAsia" w:hint="eastAsia"/>
          <w:i w:val="0"/>
          <w:noProof w:val="0"/>
          <w:color w:val="auto"/>
          <w:sz w:val="18"/>
          <w:szCs w:val="18"/>
          <w:lang w:val="en-GB"/>
        </w:rPr>
        <w:t xml:space="preserve"> </w:t>
      </w:r>
      <w:r w:rsidRPr="002E5D23">
        <w:rPr>
          <w:i w:val="0"/>
          <w:noProof w:val="0"/>
          <w:color w:val="auto"/>
          <w:sz w:val="18"/>
          <w:szCs w:val="18"/>
          <w:lang w:val="en-GB" w:eastAsia="en-GB"/>
        </w:rPr>
        <w:t>&lt;</w:t>
      </w:r>
      <w:r w:rsidRPr="002E5D23">
        <w:rPr>
          <w:rFonts w:eastAsiaTheme="minorEastAsia" w:hint="eastAsia"/>
          <w:i w:val="0"/>
          <w:noProof w:val="0"/>
          <w:color w:val="auto"/>
          <w:sz w:val="18"/>
          <w:szCs w:val="18"/>
          <w:lang w:val="en-GB"/>
        </w:rPr>
        <w:t xml:space="preserve"> </w:t>
      </w:r>
      <w:r w:rsidRPr="002E5D23">
        <w:rPr>
          <w:i w:val="0"/>
          <w:noProof w:val="0"/>
          <w:color w:val="auto"/>
          <w:sz w:val="18"/>
          <w:szCs w:val="18"/>
          <w:lang w:val="en-GB" w:eastAsia="en-GB"/>
        </w:rPr>
        <w:t>0.001 for all associations.</w:t>
      </w:r>
    </w:p>
    <w:p w14:paraId="123C4C13" w14:textId="2D896898" w:rsidR="00C92627" w:rsidRPr="002E5D23" w:rsidRDefault="00C92627" w:rsidP="009A4293">
      <w:pPr>
        <w:pStyle w:val="MDPI22heading2"/>
        <w:spacing w:before="240"/>
        <w:rPr>
          <w:noProof w:val="0"/>
          <w:color w:val="auto"/>
          <w:szCs w:val="20"/>
          <w:lang w:val="en-GB"/>
        </w:rPr>
      </w:pPr>
      <w:r w:rsidRPr="002E5D23">
        <w:rPr>
          <w:noProof w:val="0"/>
          <w:color w:val="auto"/>
          <w:szCs w:val="20"/>
          <w:lang w:val="en-GB"/>
        </w:rPr>
        <w:t xml:space="preserve">3.3. Trajectory </w:t>
      </w:r>
      <w:r w:rsidR="009A4293" w:rsidRPr="002E5D23">
        <w:rPr>
          <w:noProof w:val="0"/>
          <w:color w:val="auto"/>
          <w:szCs w:val="20"/>
          <w:lang w:val="en-GB"/>
        </w:rPr>
        <w:t xml:space="preserve">Groups </w:t>
      </w:r>
      <w:r w:rsidRPr="002E5D23">
        <w:rPr>
          <w:noProof w:val="0"/>
          <w:color w:val="auto"/>
          <w:szCs w:val="20"/>
          <w:lang w:val="en-GB"/>
        </w:rPr>
        <w:t xml:space="preserve">of </w:t>
      </w:r>
      <w:r w:rsidR="009A4293" w:rsidRPr="002E5D23">
        <w:rPr>
          <w:noProof w:val="0"/>
          <w:color w:val="auto"/>
          <w:szCs w:val="20"/>
          <w:lang w:val="en-GB"/>
        </w:rPr>
        <w:t>Diet Quality</w:t>
      </w:r>
    </w:p>
    <w:p w14:paraId="2E3F3019" w14:textId="03C5D5D5" w:rsidR="00C92627" w:rsidRPr="002E5D23" w:rsidRDefault="00C92627" w:rsidP="009A4293">
      <w:pPr>
        <w:pStyle w:val="MDPI31text"/>
        <w:rPr>
          <w:i/>
          <w:color w:val="auto"/>
          <w:szCs w:val="20"/>
          <w:lang w:val="en-GB"/>
        </w:rPr>
      </w:pPr>
      <w:r w:rsidRPr="002E5D23">
        <w:rPr>
          <w:color w:val="auto"/>
          <w:szCs w:val="20"/>
          <w:lang w:val="en-GB"/>
        </w:rPr>
        <w:t xml:space="preserve">The optimum group-based trajectory model for diet quality according to age is presented in Figure 1. This model had three trajectory groups for diet quality (low (29%), medium (51%) and high (20%)). Differences in levels of diet quality between trajectory groups were considerably greater than differences in rates of change in diet quality. </w:t>
      </w:r>
      <w:bookmarkStart w:id="28" w:name="_Hlk218407263"/>
      <w:r w:rsidRPr="002E5D23">
        <w:rPr>
          <w:color w:val="auto"/>
          <w:szCs w:val="20"/>
          <w:lang w:val="en-GB"/>
        </w:rPr>
        <w:t xml:space="preserve">Baseline descriptive statistics, stratified by diet quality trajectory group, are presented in Supplementary Table </w:t>
      </w:r>
      <w:r w:rsidR="00A95D95" w:rsidRPr="002E5D23">
        <w:rPr>
          <w:rFonts w:eastAsiaTheme="minorEastAsia" w:hint="eastAsia"/>
          <w:color w:val="auto"/>
          <w:szCs w:val="20"/>
          <w:lang w:val="en-GB" w:eastAsia="zh-CN"/>
        </w:rPr>
        <w:t>S</w:t>
      </w:r>
      <w:r w:rsidRPr="002E5D23">
        <w:rPr>
          <w:color w:val="auto"/>
          <w:szCs w:val="20"/>
          <w:lang w:val="en-GB"/>
        </w:rPr>
        <w:t>3.</w:t>
      </w:r>
      <w:bookmarkEnd w:id="28"/>
    </w:p>
    <w:p w14:paraId="4924F597" w14:textId="4380E755" w:rsidR="00C92627" w:rsidRPr="002E5D23" w:rsidRDefault="00776E9C" w:rsidP="00776E9C">
      <w:pPr>
        <w:pStyle w:val="MDPI52figure"/>
        <w:ind w:left="2608"/>
        <w:jc w:val="left"/>
        <w:rPr>
          <w:lang w:val="en-GB"/>
        </w:rPr>
      </w:pPr>
      <w:bookmarkStart w:id="29" w:name="_Hlk215050450"/>
      <w:r w:rsidRPr="002E5D23">
        <w:rPr>
          <w:noProof/>
          <w:lang w:val="en-GB"/>
        </w:rPr>
        <w:drawing>
          <wp:inline distT="0" distB="0" distL="0" distR="0" wp14:anchorId="433770C9" wp14:editId="40EE9EBE">
            <wp:extent cx="3771900" cy="2743200"/>
            <wp:effectExtent l="0" t="0" r="0" b="0"/>
            <wp:docPr id="11780626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62656" name=""/>
                    <pic:cNvPicPr/>
                  </pic:nvPicPr>
                  <pic:blipFill>
                    <a:blip r:embed="rId9">
                      <a:extLst>
                        <a:ext uri="{96DAC541-7B7A-43D3-8B79-37D633B846F1}">
                          <asvg:svgBlip xmlns:asvg="http://schemas.microsoft.com/office/drawing/2016/SVG/main" r:embed="rId10"/>
                        </a:ext>
                      </a:extLst>
                    </a:blip>
                    <a:stretch>
                      <a:fillRect/>
                    </a:stretch>
                  </pic:blipFill>
                  <pic:spPr>
                    <a:xfrm>
                      <a:off x="0" y="0"/>
                      <a:ext cx="3771900" cy="2743200"/>
                    </a:xfrm>
                    <a:prstGeom prst="rect">
                      <a:avLst/>
                    </a:prstGeom>
                  </pic:spPr>
                </pic:pic>
              </a:graphicData>
            </a:graphic>
          </wp:inline>
        </w:drawing>
      </w:r>
    </w:p>
    <w:p w14:paraId="29EE78C6" w14:textId="77777777" w:rsidR="00C92627" w:rsidRPr="002E5D23" w:rsidRDefault="00C92627" w:rsidP="009A4293">
      <w:pPr>
        <w:pStyle w:val="MDPI51figurecaption"/>
        <w:rPr>
          <w:snapToGrid w:val="0"/>
          <w:color w:val="auto"/>
          <w:szCs w:val="18"/>
          <w:lang w:val="en-GB"/>
        </w:rPr>
      </w:pPr>
      <w:bookmarkStart w:id="30" w:name="_Hlk218243148"/>
      <w:r w:rsidRPr="002E5D23">
        <w:rPr>
          <w:b/>
          <w:snapToGrid w:val="0"/>
          <w:color w:val="auto"/>
          <w:szCs w:val="18"/>
          <w:lang w:val="en-GB"/>
        </w:rPr>
        <w:t xml:space="preserve">Figure 1. </w:t>
      </w:r>
      <w:r w:rsidRPr="002E5D23">
        <w:rPr>
          <w:snapToGrid w:val="0"/>
          <w:color w:val="auto"/>
          <w:szCs w:val="18"/>
          <w:lang w:val="en-GB"/>
        </w:rPr>
        <w:t>Diet quality trajectory groups according to age.</w:t>
      </w:r>
    </w:p>
    <w:bookmarkEnd w:id="29"/>
    <w:bookmarkEnd w:id="30"/>
    <w:p w14:paraId="3C9C1261" w14:textId="2D84F223" w:rsidR="00C92627" w:rsidRPr="002E5D23" w:rsidRDefault="00C92627" w:rsidP="009A4293">
      <w:pPr>
        <w:pStyle w:val="MDPI22heading2"/>
        <w:spacing w:before="240"/>
        <w:rPr>
          <w:noProof w:val="0"/>
          <w:color w:val="auto"/>
          <w:szCs w:val="20"/>
          <w:lang w:val="en-GB"/>
        </w:rPr>
      </w:pPr>
      <w:r w:rsidRPr="002E5D23">
        <w:rPr>
          <w:noProof w:val="0"/>
          <w:color w:val="auto"/>
          <w:szCs w:val="20"/>
          <w:lang w:val="en-GB"/>
        </w:rPr>
        <w:t xml:space="preserve">3.4. Associations </w:t>
      </w:r>
      <w:r w:rsidR="009A4293" w:rsidRPr="002E5D23">
        <w:rPr>
          <w:noProof w:val="0"/>
          <w:color w:val="auto"/>
          <w:szCs w:val="20"/>
          <w:lang w:val="en-GB"/>
        </w:rPr>
        <w:t xml:space="preserve">Between Baseline Characteristics </w:t>
      </w:r>
      <w:r w:rsidRPr="002E5D23">
        <w:rPr>
          <w:noProof w:val="0"/>
          <w:color w:val="auto"/>
          <w:szCs w:val="20"/>
          <w:lang w:val="en-GB"/>
        </w:rPr>
        <w:t xml:space="preserve">and </w:t>
      </w:r>
      <w:r w:rsidR="009A4293" w:rsidRPr="002E5D23">
        <w:rPr>
          <w:noProof w:val="0"/>
          <w:color w:val="auto"/>
          <w:szCs w:val="20"/>
          <w:lang w:val="en-GB"/>
        </w:rPr>
        <w:t>Diet Quality Trajectory Groups</w:t>
      </w:r>
    </w:p>
    <w:p w14:paraId="4A79F3E5" w14:textId="77777777" w:rsidR="00C92627" w:rsidRPr="002E5D23" w:rsidRDefault="00C92627" w:rsidP="00E70F7E">
      <w:pPr>
        <w:pStyle w:val="MDPI31text"/>
        <w:rPr>
          <w:i/>
          <w:color w:val="auto"/>
          <w:szCs w:val="20"/>
          <w:lang w:val="en-GB"/>
        </w:rPr>
      </w:pPr>
      <w:r w:rsidRPr="002E5D23">
        <w:rPr>
          <w:color w:val="auto"/>
          <w:szCs w:val="20"/>
          <w:lang w:val="en-GB"/>
        </w:rPr>
        <w:t xml:space="preserve">Odds ratios (95% CI) for being in a higher diet quality trajectory group according to HCS baseline participant characteristics are presented in Table 3. The following </w:t>
      </w:r>
      <w:r w:rsidRPr="002E5D23">
        <w:rPr>
          <w:color w:val="auto"/>
          <w:szCs w:val="20"/>
          <w:lang w:val="en-GB"/>
        </w:rPr>
        <w:lastRenderedPageBreak/>
        <w:t>characteristics were related to increased likelihood of being in a higher diet quality trajectory group: female sex (odds ratio (95% CI): 4.01 (2.14, 7.51)); high alcohol intake of &gt;14 units/week (2.23 (1.00, 4.95)); leaving full-time education at age 15 years or later (2.52 (1.04, 6.15)); and non-manual occupational social class (1.97 (1.10, 3.54)). The association with female sex was adjusted for baseline age, and all other associations reported above were adjusted for baseline age and sex.</w:t>
      </w:r>
    </w:p>
    <w:p w14:paraId="438E7E2B" w14:textId="59F2AA7D" w:rsidR="00C92627" w:rsidRPr="002E5D23" w:rsidRDefault="00C92627" w:rsidP="00006D9D">
      <w:pPr>
        <w:pStyle w:val="MDPI41tablecaption"/>
        <w:jc w:val="both"/>
        <w:rPr>
          <w:rFonts w:cs="Times New Roman"/>
          <w:i/>
          <w:snapToGrid w:val="0"/>
          <w:color w:val="auto"/>
          <w:szCs w:val="18"/>
          <w:lang w:val="en-GB"/>
        </w:rPr>
      </w:pPr>
      <w:r w:rsidRPr="002E5D23">
        <w:rPr>
          <w:rFonts w:cs="Times New Roman"/>
          <w:b/>
          <w:snapToGrid w:val="0"/>
          <w:color w:val="auto"/>
          <w:szCs w:val="18"/>
          <w:lang w:val="en-GB"/>
        </w:rPr>
        <w:t xml:space="preserve">Table 3. </w:t>
      </w:r>
      <w:r w:rsidRPr="002E5D23">
        <w:rPr>
          <w:rFonts w:cs="Times New Roman"/>
          <w:snapToGrid w:val="0"/>
          <w:color w:val="auto"/>
          <w:szCs w:val="18"/>
          <w:lang w:val="en-GB"/>
        </w:rPr>
        <w:t>Odds ratios (95% CI) for being in a higher diet quality trajectory group according to HCS baseline participant characteristics.</w:t>
      </w:r>
    </w:p>
    <w:tbl>
      <w:tblPr>
        <w:tblW w:w="7857" w:type="dxa"/>
        <w:tblInd w:w="2608" w:type="dxa"/>
        <w:tblLayout w:type="fixed"/>
        <w:tblCellMar>
          <w:left w:w="0" w:type="dxa"/>
          <w:right w:w="0" w:type="dxa"/>
        </w:tblCellMar>
        <w:tblLook w:val="04A0" w:firstRow="1" w:lastRow="0" w:firstColumn="1" w:lastColumn="0" w:noHBand="0" w:noVBand="1"/>
      </w:tblPr>
      <w:tblGrid>
        <w:gridCol w:w="4645"/>
        <w:gridCol w:w="1993"/>
        <w:gridCol w:w="1219"/>
      </w:tblGrid>
      <w:tr w:rsidR="00E70F7E" w:rsidRPr="002E5D23" w14:paraId="4E48E901" w14:textId="77777777" w:rsidTr="00CC559B">
        <w:tc>
          <w:tcPr>
            <w:tcW w:w="4520" w:type="dxa"/>
            <w:vMerge w:val="restart"/>
            <w:tcBorders>
              <w:top w:val="single" w:sz="8" w:space="0" w:color="auto"/>
              <w:left w:val="nil"/>
              <w:bottom w:val="single" w:sz="4" w:space="0" w:color="000000"/>
              <w:right w:val="nil"/>
            </w:tcBorders>
            <w:vAlign w:val="center"/>
            <w:hideMark/>
          </w:tcPr>
          <w:p w14:paraId="4C8B19A0" w14:textId="408B10E2" w:rsidR="00E70F7E" w:rsidRPr="002E5D23" w:rsidRDefault="00E70F7E" w:rsidP="00CC559B">
            <w:pPr>
              <w:adjustRightInd w:val="0"/>
              <w:snapToGrid w:val="0"/>
              <w:spacing w:line="240" w:lineRule="auto"/>
              <w:jc w:val="center"/>
              <w:rPr>
                <w:rFonts w:eastAsia="Times New Roman" w:cs="Calibri"/>
                <w:b/>
                <w:bCs/>
                <w:color w:val="auto"/>
                <w:lang w:val="en-GB" w:eastAsia="en-GB"/>
              </w:rPr>
            </w:pPr>
            <w:bookmarkStart w:id="31" w:name="_Hlk215050465"/>
            <w:r w:rsidRPr="002E5D23">
              <w:rPr>
                <w:rFonts w:eastAsia="Times New Roman" w:cs="Calibri"/>
                <w:b/>
                <w:bCs/>
                <w:color w:val="auto"/>
                <w:lang w:val="en-GB" w:eastAsia="en-GB"/>
              </w:rPr>
              <w:t>HCS Baseline Characteristic</w:t>
            </w:r>
          </w:p>
        </w:tc>
        <w:tc>
          <w:tcPr>
            <w:tcW w:w="3125" w:type="dxa"/>
            <w:gridSpan w:val="2"/>
            <w:tcBorders>
              <w:top w:val="single" w:sz="8" w:space="0" w:color="auto"/>
              <w:left w:val="nil"/>
              <w:bottom w:val="nil"/>
              <w:right w:val="nil"/>
            </w:tcBorders>
            <w:noWrap/>
            <w:vAlign w:val="center"/>
            <w:hideMark/>
          </w:tcPr>
          <w:p w14:paraId="0F62FF72" w14:textId="6499F1B1" w:rsidR="00E70F7E" w:rsidRPr="002E5D23" w:rsidRDefault="00E70F7E" w:rsidP="00CC559B">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Adjusted for Baseline Age and Sex</w:t>
            </w:r>
          </w:p>
        </w:tc>
      </w:tr>
      <w:tr w:rsidR="00E70F7E" w:rsidRPr="002E5D23" w14:paraId="23D03E9B" w14:textId="77777777" w:rsidTr="00CC559B">
        <w:tc>
          <w:tcPr>
            <w:tcW w:w="4520" w:type="dxa"/>
            <w:vMerge/>
            <w:tcBorders>
              <w:top w:val="single" w:sz="4" w:space="0" w:color="auto"/>
              <w:left w:val="nil"/>
              <w:bottom w:val="single" w:sz="4" w:space="0" w:color="auto"/>
              <w:right w:val="nil"/>
            </w:tcBorders>
            <w:vAlign w:val="center"/>
            <w:hideMark/>
          </w:tcPr>
          <w:p w14:paraId="5E1FBD41" w14:textId="77777777" w:rsidR="00E70F7E" w:rsidRPr="002E5D23" w:rsidRDefault="00E70F7E" w:rsidP="00CC559B">
            <w:pPr>
              <w:adjustRightInd w:val="0"/>
              <w:snapToGrid w:val="0"/>
              <w:spacing w:line="240" w:lineRule="auto"/>
              <w:jc w:val="center"/>
              <w:rPr>
                <w:rFonts w:eastAsia="Times New Roman" w:cs="Calibri"/>
                <w:b/>
                <w:bCs/>
                <w:color w:val="auto"/>
                <w:lang w:val="en-GB" w:eastAsia="en-GB"/>
              </w:rPr>
            </w:pPr>
          </w:p>
        </w:tc>
        <w:tc>
          <w:tcPr>
            <w:tcW w:w="1939" w:type="dxa"/>
            <w:tcBorders>
              <w:top w:val="nil"/>
              <w:left w:val="nil"/>
              <w:bottom w:val="single" w:sz="4" w:space="0" w:color="auto"/>
              <w:right w:val="nil"/>
            </w:tcBorders>
            <w:noWrap/>
            <w:vAlign w:val="center"/>
            <w:hideMark/>
          </w:tcPr>
          <w:p w14:paraId="02AC440E" w14:textId="4587B770" w:rsidR="00E70F7E" w:rsidRPr="002E5D23" w:rsidRDefault="00E70F7E" w:rsidP="00CC559B">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Odds Ratio (95% CI)</w:t>
            </w:r>
          </w:p>
        </w:tc>
        <w:tc>
          <w:tcPr>
            <w:tcW w:w="1186" w:type="dxa"/>
            <w:tcBorders>
              <w:top w:val="nil"/>
              <w:left w:val="nil"/>
              <w:bottom w:val="single" w:sz="4" w:space="0" w:color="auto"/>
              <w:right w:val="nil"/>
            </w:tcBorders>
            <w:noWrap/>
            <w:vAlign w:val="center"/>
            <w:hideMark/>
          </w:tcPr>
          <w:p w14:paraId="25BB6D9B" w14:textId="16E97205" w:rsidR="00E70F7E" w:rsidRPr="002E5D23" w:rsidRDefault="00E70F7E" w:rsidP="00CC559B">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i/>
                <w:iCs/>
                <w:color w:val="auto"/>
                <w:lang w:val="en-GB" w:eastAsia="en-GB"/>
              </w:rPr>
              <w:t>p</w:t>
            </w:r>
            <w:r w:rsidRPr="002E5D23">
              <w:rPr>
                <w:rFonts w:eastAsia="Times New Roman" w:cs="Calibri"/>
                <w:b/>
                <w:bCs/>
                <w:color w:val="auto"/>
                <w:lang w:val="en-GB" w:eastAsia="en-GB"/>
              </w:rPr>
              <w:t>-Value</w:t>
            </w:r>
          </w:p>
        </w:tc>
      </w:tr>
      <w:tr w:rsidR="00E70F7E" w:rsidRPr="002E5D23" w14:paraId="4B227FF3" w14:textId="77777777" w:rsidTr="00CC559B">
        <w:tc>
          <w:tcPr>
            <w:tcW w:w="4520" w:type="dxa"/>
            <w:tcBorders>
              <w:top w:val="single" w:sz="4" w:space="0" w:color="auto"/>
              <w:left w:val="nil"/>
              <w:bottom w:val="nil"/>
              <w:right w:val="nil"/>
            </w:tcBorders>
            <w:noWrap/>
            <w:vAlign w:val="center"/>
            <w:hideMark/>
          </w:tcPr>
          <w:p w14:paraId="06FE736A"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Age (per year increase)</w:t>
            </w:r>
          </w:p>
        </w:tc>
        <w:tc>
          <w:tcPr>
            <w:tcW w:w="1939" w:type="dxa"/>
            <w:tcBorders>
              <w:top w:val="single" w:sz="4" w:space="0" w:color="auto"/>
              <w:left w:val="nil"/>
              <w:bottom w:val="nil"/>
              <w:right w:val="nil"/>
            </w:tcBorders>
            <w:noWrap/>
            <w:vAlign w:val="center"/>
          </w:tcPr>
          <w:p w14:paraId="6A9E5856"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0.97 (0.87, 1.08)</w:t>
            </w:r>
          </w:p>
        </w:tc>
        <w:tc>
          <w:tcPr>
            <w:tcW w:w="1186" w:type="dxa"/>
            <w:tcBorders>
              <w:top w:val="single" w:sz="4" w:space="0" w:color="auto"/>
              <w:left w:val="nil"/>
              <w:bottom w:val="nil"/>
              <w:right w:val="nil"/>
            </w:tcBorders>
            <w:noWrap/>
            <w:vAlign w:val="center"/>
          </w:tcPr>
          <w:p w14:paraId="57AFC93C"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0.597</w:t>
            </w:r>
          </w:p>
        </w:tc>
      </w:tr>
      <w:tr w:rsidR="00E70F7E" w:rsidRPr="002E5D23" w14:paraId="0B343772" w14:textId="77777777" w:rsidTr="00CC559B">
        <w:tc>
          <w:tcPr>
            <w:tcW w:w="4520" w:type="dxa"/>
            <w:tcBorders>
              <w:top w:val="nil"/>
              <w:left w:val="nil"/>
              <w:bottom w:val="nil"/>
              <w:right w:val="nil"/>
            </w:tcBorders>
            <w:noWrap/>
            <w:vAlign w:val="center"/>
            <w:hideMark/>
          </w:tcPr>
          <w:p w14:paraId="0593738F"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Sex (female)</w:t>
            </w:r>
          </w:p>
        </w:tc>
        <w:tc>
          <w:tcPr>
            <w:tcW w:w="1939" w:type="dxa"/>
            <w:tcBorders>
              <w:top w:val="nil"/>
              <w:left w:val="nil"/>
              <w:bottom w:val="nil"/>
              <w:right w:val="nil"/>
            </w:tcBorders>
            <w:noWrap/>
            <w:vAlign w:val="center"/>
          </w:tcPr>
          <w:p w14:paraId="04C4E61B"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4.01 (2.14, 7.51)</w:t>
            </w:r>
          </w:p>
        </w:tc>
        <w:tc>
          <w:tcPr>
            <w:tcW w:w="1186" w:type="dxa"/>
            <w:tcBorders>
              <w:top w:val="nil"/>
              <w:left w:val="nil"/>
              <w:bottom w:val="nil"/>
              <w:right w:val="nil"/>
            </w:tcBorders>
            <w:noWrap/>
            <w:vAlign w:val="center"/>
          </w:tcPr>
          <w:p w14:paraId="10BC5348"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&lt;0.001</w:t>
            </w:r>
          </w:p>
        </w:tc>
      </w:tr>
      <w:tr w:rsidR="00E70F7E" w:rsidRPr="002E5D23" w14:paraId="0DE87F23" w14:textId="77777777" w:rsidTr="00CC559B">
        <w:tc>
          <w:tcPr>
            <w:tcW w:w="4520" w:type="dxa"/>
            <w:tcBorders>
              <w:top w:val="nil"/>
              <w:left w:val="nil"/>
              <w:bottom w:val="nil"/>
              <w:right w:val="nil"/>
            </w:tcBorders>
            <w:noWrap/>
            <w:vAlign w:val="center"/>
            <w:hideMark/>
          </w:tcPr>
          <w:p w14:paraId="6D3FD63F"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BMI (per unit increase)</w:t>
            </w:r>
          </w:p>
        </w:tc>
        <w:tc>
          <w:tcPr>
            <w:tcW w:w="1939" w:type="dxa"/>
            <w:tcBorders>
              <w:top w:val="nil"/>
              <w:left w:val="nil"/>
              <w:bottom w:val="nil"/>
              <w:right w:val="nil"/>
            </w:tcBorders>
            <w:noWrap/>
            <w:vAlign w:val="center"/>
          </w:tcPr>
          <w:p w14:paraId="450B13D1"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0.99 (0.92, 1.06)</w:t>
            </w:r>
          </w:p>
        </w:tc>
        <w:tc>
          <w:tcPr>
            <w:tcW w:w="1186" w:type="dxa"/>
            <w:tcBorders>
              <w:top w:val="nil"/>
              <w:left w:val="nil"/>
              <w:bottom w:val="nil"/>
              <w:right w:val="nil"/>
            </w:tcBorders>
            <w:noWrap/>
            <w:vAlign w:val="center"/>
          </w:tcPr>
          <w:p w14:paraId="5504062D"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0.727</w:t>
            </w:r>
          </w:p>
        </w:tc>
      </w:tr>
      <w:tr w:rsidR="00E70F7E" w:rsidRPr="002E5D23" w14:paraId="18CC7826" w14:textId="77777777" w:rsidTr="00CC559B">
        <w:tc>
          <w:tcPr>
            <w:tcW w:w="4520" w:type="dxa"/>
            <w:tcBorders>
              <w:top w:val="nil"/>
              <w:left w:val="nil"/>
              <w:bottom w:val="nil"/>
              <w:right w:val="nil"/>
            </w:tcBorders>
            <w:noWrap/>
            <w:vAlign w:val="center"/>
            <w:hideMark/>
          </w:tcPr>
          <w:p w14:paraId="2B62175D"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Ever smoked regularly</w:t>
            </w:r>
          </w:p>
        </w:tc>
        <w:tc>
          <w:tcPr>
            <w:tcW w:w="1939" w:type="dxa"/>
            <w:tcBorders>
              <w:top w:val="nil"/>
              <w:left w:val="nil"/>
              <w:bottom w:val="nil"/>
              <w:right w:val="nil"/>
            </w:tcBorders>
            <w:noWrap/>
            <w:vAlign w:val="center"/>
          </w:tcPr>
          <w:p w14:paraId="6D2726B8"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0.94 (0.52, 1.68)</w:t>
            </w:r>
          </w:p>
        </w:tc>
        <w:tc>
          <w:tcPr>
            <w:tcW w:w="1186" w:type="dxa"/>
            <w:tcBorders>
              <w:top w:val="nil"/>
              <w:left w:val="nil"/>
              <w:bottom w:val="nil"/>
              <w:right w:val="nil"/>
            </w:tcBorders>
            <w:noWrap/>
            <w:vAlign w:val="center"/>
          </w:tcPr>
          <w:p w14:paraId="12055C2E"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0.824</w:t>
            </w:r>
          </w:p>
        </w:tc>
      </w:tr>
      <w:tr w:rsidR="00E70F7E" w:rsidRPr="002E5D23" w14:paraId="4050F238" w14:textId="77777777" w:rsidTr="00CC559B">
        <w:tc>
          <w:tcPr>
            <w:tcW w:w="4520" w:type="dxa"/>
            <w:tcBorders>
              <w:top w:val="nil"/>
              <w:left w:val="nil"/>
              <w:bottom w:val="nil"/>
              <w:right w:val="nil"/>
            </w:tcBorders>
            <w:noWrap/>
            <w:vAlign w:val="center"/>
            <w:hideMark/>
          </w:tcPr>
          <w:p w14:paraId="7729F795"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High alcohol intake (&gt;14 units/week)</w:t>
            </w:r>
          </w:p>
        </w:tc>
        <w:tc>
          <w:tcPr>
            <w:tcW w:w="1939" w:type="dxa"/>
            <w:tcBorders>
              <w:top w:val="nil"/>
              <w:left w:val="nil"/>
              <w:bottom w:val="nil"/>
              <w:right w:val="nil"/>
            </w:tcBorders>
            <w:noWrap/>
            <w:vAlign w:val="center"/>
          </w:tcPr>
          <w:p w14:paraId="200C0EA9"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2.23 (1.00, 4.95)</w:t>
            </w:r>
          </w:p>
        </w:tc>
        <w:tc>
          <w:tcPr>
            <w:tcW w:w="1186" w:type="dxa"/>
            <w:tcBorders>
              <w:top w:val="nil"/>
              <w:left w:val="nil"/>
              <w:bottom w:val="nil"/>
              <w:right w:val="nil"/>
            </w:tcBorders>
            <w:noWrap/>
            <w:vAlign w:val="center"/>
          </w:tcPr>
          <w:p w14:paraId="099B22DE"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0.049</w:t>
            </w:r>
          </w:p>
        </w:tc>
      </w:tr>
      <w:tr w:rsidR="00E70F7E" w:rsidRPr="002E5D23" w14:paraId="0B3ED071" w14:textId="77777777" w:rsidTr="00CC559B">
        <w:tc>
          <w:tcPr>
            <w:tcW w:w="4520" w:type="dxa"/>
            <w:tcBorders>
              <w:top w:val="nil"/>
              <w:left w:val="nil"/>
              <w:bottom w:val="nil"/>
              <w:right w:val="nil"/>
            </w:tcBorders>
            <w:noWrap/>
            <w:vAlign w:val="center"/>
            <w:hideMark/>
          </w:tcPr>
          <w:p w14:paraId="7C69142C"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Dallosso physical activity score (per unit increase)</w:t>
            </w:r>
          </w:p>
        </w:tc>
        <w:tc>
          <w:tcPr>
            <w:tcW w:w="1939" w:type="dxa"/>
            <w:tcBorders>
              <w:top w:val="nil"/>
              <w:left w:val="nil"/>
              <w:bottom w:val="nil"/>
              <w:right w:val="nil"/>
            </w:tcBorders>
            <w:noWrap/>
            <w:vAlign w:val="center"/>
          </w:tcPr>
          <w:p w14:paraId="6637E746"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1.00 (0.98, 1.02)</w:t>
            </w:r>
          </w:p>
        </w:tc>
        <w:tc>
          <w:tcPr>
            <w:tcW w:w="1186" w:type="dxa"/>
            <w:tcBorders>
              <w:top w:val="nil"/>
              <w:left w:val="nil"/>
              <w:bottom w:val="nil"/>
              <w:right w:val="nil"/>
            </w:tcBorders>
            <w:noWrap/>
            <w:vAlign w:val="center"/>
          </w:tcPr>
          <w:p w14:paraId="09B05C0C"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0.726</w:t>
            </w:r>
          </w:p>
        </w:tc>
      </w:tr>
      <w:tr w:rsidR="00E70F7E" w:rsidRPr="002E5D23" w14:paraId="1669459E" w14:textId="77777777" w:rsidTr="00CC559B">
        <w:tc>
          <w:tcPr>
            <w:tcW w:w="4520" w:type="dxa"/>
            <w:tcBorders>
              <w:top w:val="nil"/>
              <w:left w:val="nil"/>
              <w:bottom w:val="nil"/>
              <w:right w:val="nil"/>
            </w:tcBorders>
            <w:noWrap/>
            <w:vAlign w:val="center"/>
            <w:hideMark/>
          </w:tcPr>
          <w:p w14:paraId="03CF34B4"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Age left education (≥15 years)</w:t>
            </w:r>
          </w:p>
        </w:tc>
        <w:tc>
          <w:tcPr>
            <w:tcW w:w="1939" w:type="dxa"/>
            <w:tcBorders>
              <w:top w:val="nil"/>
              <w:left w:val="nil"/>
              <w:bottom w:val="nil"/>
              <w:right w:val="nil"/>
            </w:tcBorders>
            <w:noWrap/>
            <w:vAlign w:val="center"/>
          </w:tcPr>
          <w:p w14:paraId="3F2592F7"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2.52 (1.04, 6.15)</w:t>
            </w:r>
          </w:p>
        </w:tc>
        <w:tc>
          <w:tcPr>
            <w:tcW w:w="1186" w:type="dxa"/>
            <w:tcBorders>
              <w:top w:val="nil"/>
              <w:left w:val="nil"/>
              <w:bottom w:val="nil"/>
              <w:right w:val="nil"/>
            </w:tcBorders>
            <w:noWrap/>
            <w:vAlign w:val="center"/>
          </w:tcPr>
          <w:p w14:paraId="1F83E2B4"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0.042</w:t>
            </w:r>
          </w:p>
        </w:tc>
      </w:tr>
      <w:tr w:rsidR="00E70F7E" w:rsidRPr="002E5D23" w14:paraId="403D5262" w14:textId="77777777" w:rsidTr="00CC559B">
        <w:tc>
          <w:tcPr>
            <w:tcW w:w="4520" w:type="dxa"/>
            <w:tcBorders>
              <w:top w:val="nil"/>
              <w:left w:val="nil"/>
              <w:bottom w:val="nil"/>
              <w:right w:val="nil"/>
            </w:tcBorders>
            <w:noWrap/>
            <w:vAlign w:val="center"/>
            <w:hideMark/>
          </w:tcPr>
          <w:p w14:paraId="5FA07445"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Housing tenure (owned/mortgaged)</w:t>
            </w:r>
          </w:p>
        </w:tc>
        <w:tc>
          <w:tcPr>
            <w:tcW w:w="1939" w:type="dxa"/>
            <w:tcBorders>
              <w:top w:val="nil"/>
              <w:left w:val="nil"/>
              <w:bottom w:val="nil"/>
              <w:right w:val="nil"/>
            </w:tcBorders>
            <w:noWrap/>
            <w:vAlign w:val="center"/>
          </w:tcPr>
          <w:p w14:paraId="29996BE9"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1.55 (0.69, 3.49)</w:t>
            </w:r>
          </w:p>
        </w:tc>
        <w:tc>
          <w:tcPr>
            <w:tcW w:w="1186" w:type="dxa"/>
            <w:tcBorders>
              <w:top w:val="nil"/>
              <w:left w:val="nil"/>
              <w:bottom w:val="nil"/>
              <w:right w:val="nil"/>
            </w:tcBorders>
            <w:noWrap/>
            <w:vAlign w:val="center"/>
          </w:tcPr>
          <w:p w14:paraId="7DCD923F"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0.288</w:t>
            </w:r>
          </w:p>
        </w:tc>
      </w:tr>
      <w:tr w:rsidR="00E70F7E" w:rsidRPr="002E5D23" w14:paraId="4B2C7E43" w14:textId="77777777" w:rsidTr="00CC559B">
        <w:tc>
          <w:tcPr>
            <w:tcW w:w="4520" w:type="dxa"/>
            <w:tcBorders>
              <w:top w:val="nil"/>
              <w:left w:val="nil"/>
              <w:bottom w:val="nil"/>
              <w:right w:val="nil"/>
            </w:tcBorders>
            <w:noWrap/>
            <w:vAlign w:val="center"/>
            <w:hideMark/>
          </w:tcPr>
          <w:p w14:paraId="0B8E3E64"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Occupational social class (non-manual)</w:t>
            </w:r>
          </w:p>
        </w:tc>
        <w:tc>
          <w:tcPr>
            <w:tcW w:w="1939" w:type="dxa"/>
            <w:tcBorders>
              <w:top w:val="nil"/>
              <w:left w:val="nil"/>
              <w:bottom w:val="nil"/>
              <w:right w:val="nil"/>
            </w:tcBorders>
            <w:noWrap/>
            <w:vAlign w:val="center"/>
          </w:tcPr>
          <w:p w14:paraId="6AFC2C10"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1.97 (1.10, 3.54)</w:t>
            </w:r>
          </w:p>
        </w:tc>
        <w:tc>
          <w:tcPr>
            <w:tcW w:w="1186" w:type="dxa"/>
            <w:tcBorders>
              <w:top w:val="nil"/>
              <w:left w:val="nil"/>
              <w:bottom w:val="nil"/>
              <w:right w:val="nil"/>
            </w:tcBorders>
            <w:noWrap/>
            <w:vAlign w:val="center"/>
          </w:tcPr>
          <w:p w14:paraId="67334251"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0.023</w:t>
            </w:r>
          </w:p>
        </w:tc>
      </w:tr>
      <w:tr w:rsidR="00E70F7E" w:rsidRPr="002E5D23" w14:paraId="4B7FB943" w14:textId="77777777" w:rsidTr="00CC559B">
        <w:tc>
          <w:tcPr>
            <w:tcW w:w="4520" w:type="dxa"/>
            <w:tcBorders>
              <w:top w:val="nil"/>
              <w:left w:val="nil"/>
              <w:bottom w:val="single" w:sz="8" w:space="0" w:color="auto"/>
              <w:right w:val="nil"/>
            </w:tcBorders>
            <w:noWrap/>
            <w:vAlign w:val="center"/>
            <w:hideMark/>
          </w:tcPr>
          <w:p w14:paraId="04F4BFE9"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Number of systems medicated (per unit increase)</w:t>
            </w:r>
          </w:p>
        </w:tc>
        <w:tc>
          <w:tcPr>
            <w:tcW w:w="1939" w:type="dxa"/>
            <w:tcBorders>
              <w:top w:val="nil"/>
              <w:left w:val="nil"/>
              <w:bottom w:val="single" w:sz="8" w:space="0" w:color="auto"/>
              <w:right w:val="nil"/>
            </w:tcBorders>
            <w:noWrap/>
            <w:vAlign w:val="center"/>
          </w:tcPr>
          <w:p w14:paraId="3C7312E1"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1.14 (0.86, 1.51)</w:t>
            </w:r>
          </w:p>
        </w:tc>
        <w:tc>
          <w:tcPr>
            <w:tcW w:w="1186" w:type="dxa"/>
            <w:tcBorders>
              <w:top w:val="nil"/>
              <w:left w:val="nil"/>
              <w:bottom w:val="single" w:sz="8" w:space="0" w:color="auto"/>
              <w:right w:val="nil"/>
            </w:tcBorders>
            <w:noWrap/>
            <w:vAlign w:val="center"/>
          </w:tcPr>
          <w:p w14:paraId="25A81549" w14:textId="77777777" w:rsidR="00E70F7E" w:rsidRPr="002E5D23" w:rsidRDefault="00E70F7E" w:rsidP="00CC559B">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0.377</w:t>
            </w:r>
          </w:p>
        </w:tc>
      </w:tr>
    </w:tbl>
    <w:bookmarkEnd w:id="31"/>
    <w:p w14:paraId="51D6D1EC" w14:textId="7AA6E16D" w:rsidR="00CC559B" w:rsidRPr="002E5D23" w:rsidRDefault="00CC559B" w:rsidP="00CC559B">
      <w:pPr>
        <w:pStyle w:val="MDPI22heading2"/>
        <w:spacing w:before="0" w:after="240"/>
        <w:jc w:val="both"/>
        <w:outlineLvl w:val="9"/>
        <w:rPr>
          <w:rFonts w:eastAsiaTheme="minorEastAsia"/>
          <w:i w:val="0"/>
          <w:iCs/>
          <w:noProof w:val="0"/>
          <w:color w:val="auto"/>
          <w:sz w:val="18"/>
          <w:szCs w:val="18"/>
          <w:lang w:val="en-GB" w:eastAsia="zh-CN"/>
        </w:rPr>
      </w:pPr>
      <w:r w:rsidRPr="002E5D23">
        <w:rPr>
          <w:i w:val="0"/>
          <w:iCs/>
          <w:noProof w:val="0"/>
          <w:color w:val="auto"/>
          <w:sz w:val="18"/>
          <w:szCs w:val="18"/>
          <w:lang w:val="en-GB" w:eastAsia="en-GB"/>
        </w:rPr>
        <w:t>Unless indicated otherwise, odds ratios are presented for the presence versus absence of the HCS baseline characteristic</w:t>
      </w:r>
      <w:r w:rsidRPr="002E5D23">
        <w:rPr>
          <w:rFonts w:eastAsiaTheme="minorEastAsia" w:hint="eastAsia"/>
          <w:i w:val="0"/>
          <w:iCs/>
          <w:noProof w:val="0"/>
          <w:color w:val="auto"/>
          <w:sz w:val="18"/>
          <w:szCs w:val="18"/>
          <w:lang w:val="en-GB" w:eastAsia="zh-CN"/>
        </w:rPr>
        <w:t xml:space="preserve">. </w:t>
      </w:r>
      <w:r w:rsidRPr="002E5D23">
        <w:rPr>
          <w:i w:val="0"/>
          <w:iCs/>
          <w:noProof w:val="0"/>
          <w:color w:val="auto"/>
          <w:sz w:val="18"/>
          <w:szCs w:val="18"/>
          <w:lang w:val="en-GB" w:eastAsia="en-GB"/>
        </w:rPr>
        <w:t>Associations for age were only adjusted for sex; associations for sex were only adjusted for age</w:t>
      </w:r>
      <w:r w:rsidRPr="002E5D23">
        <w:rPr>
          <w:rFonts w:eastAsiaTheme="minorEastAsia" w:hint="eastAsia"/>
          <w:i w:val="0"/>
          <w:iCs/>
          <w:noProof w:val="0"/>
          <w:color w:val="auto"/>
          <w:sz w:val="18"/>
          <w:szCs w:val="18"/>
          <w:lang w:val="en-GB" w:eastAsia="zh-CN"/>
        </w:rPr>
        <w:t xml:space="preserve">. </w:t>
      </w:r>
      <w:r w:rsidRPr="002E5D23">
        <w:rPr>
          <w:i w:val="0"/>
          <w:iCs/>
          <w:noProof w:val="0"/>
          <w:color w:val="auto"/>
          <w:sz w:val="18"/>
          <w:szCs w:val="18"/>
          <w:lang w:val="en-GB" w:eastAsia="en-GB"/>
        </w:rPr>
        <w:t>Odds ratios were estimated using ordinal logistic regression models</w:t>
      </w:r>
      <w:r w:rsidRPr="002E5D23">
        <w:rPr>
          <w:rFonts w:eastAsiaTheme="minorEastAsia" w:hint="eastAsia"/>
          <w:i w:val="0"/>
          <w:iCs/>
          <w:noProof w:val="0"/>
          <w:color w:val="auto"/>
          <w:sz w:val="18"/>
          <w:szCs w:val="18"/>
          <w:lang w:val="en-GB" w:eastAsia="zh-CN"/>
        </w:rPr>
        <w:t>.</w:t>
      </w:r>
    </w:p>
    <w:p w14:paraId="47A23DCD" w14:textId="7663FB05" w:rsidR="00C92627" w:rsidRPr="002E5D23" w:rsidRDefault="00C92627" w:rsidP="00E70F7E">
      <w:pPr>
        <w:pStyle w:val="MDPI22heading2"/>
        <w:spacing w:before="240"/>
        <w:rPr>
          <w:noProof w:val="0"/>
          <w:color w:val="auto"/>
          <w:szCs w:val="20"/>
          <w:lang w:val="en-GB"/>
        </w:rPr>
      </w:pPr>
      <w:r w:rsidRPr="002E5D23">
        <w:rPr>
          <w:noProof w:val="0"/>
          <w:color w:val="auto"/>
          <w:szCs w:val="20"/>
          <w:lang w:val="en-GB"/>
        </w:rPr>
        <w:t>3.</w:t>
      </w:r>
      <w:r w:rsidR="006E1E41" w:rsidRPr="002E5D23">
        <w:rPr>
          <w:rFonts w:eastAsiaTheme="minorEastAsia" w:hint="eastAsia"/>
          <w:noProof w:val="0"/>
          <w:color w:val="auto"/>
          <w:szCs w:val="20"/>
          <w:lang w:val="en-GB" w:eastAsia="zh-CN"/>
        </w:rPr>
        <w:t>5</w:t>
      </w:r>
      <w:r w:rsidRPr="002E5D23">
        <w:rPr>
          <w:noProof w:val="0"/>
          <w:color w:val="auto"/>
          <w:szCs w:val="20"/>
          <w:lang w:val="en-GB"/>
        </w:rPr>
        <w:t xml:space="preserve">. Associations </w:t>
      </w:r>
      <w:r w:rsidR="00E70F7E" w:rsidRPr="002E5D23">
        <w:rPr>
          <w:noProof w:val="0"/>
          <w:color w:val="auto"/>
          <w:szCs w:val="20"/>
          <w:lang w:val="en-GB"/>
        </w:rPr>
        <w:t xml:space="preserve">Between Diet Quality Trajectory Groups </w:t>
      </w:r>
      <w:r w:rsidRPr="002E5D23">
        <w:rPr>
          <w:noProof w:val="0"/>
          <w:color w:val="auto"/>
          <w:szCs w:val="20"/>
          <w:lang w:val="en-GB"/>
        </w:rPr>
        <w:t xml:space="preserve">and </w:t>
      </w:r>
      <w:r w:rsidR="00E70F7E" w:rsidRPr="002E5D23">
        <w:rPr>
          <w:noProof w:val="0"/>
          <w:color w:val="auto"/>
          <w:szCs w:val="20"/>
          <w:lang w:val="en-GB"/>
        </w:rPr>
        <w:t xml:space="preserve">Adverse Musculoskeletal Outcomes </w:t>
      </w:r>
      <w:r w:rsidRPr="002E5D23">
        <w:rPr>
          <w:noProof w:val="0"/>
          <w:color w:val="auto"/>
          <w:szCs w:val="20"/>
          <w:lang w:val="en-GB"/>
        </w:rPr>
        <w:t xml:space="preserve">at the 2017 </w:t>
      </w:r>
      <w:r w:rsidR="00E70F7E" w:rsidRPr="002E5D23">
        <w:rPr>
          <w:noProof w:val="0"/>
          <w:color w:val="auto"/>
          <w:szCs w:val="20"/>
          <w:lang w:val="en-GB"/>
        </w:rPr>
        <w:t>Follow</w:t>
      </w:r>
      <w:r w:rsidRPr="002E5D23">
        <w:rPr>
          <w:noProof w:val="0"/>
          <w:color w:val="auto"/>
          <w:szCs w:val="20"/>
          <w:lang w:val="en-GB"/>
        </w:rPr>
        <w:t>-</w:t>
      </w:r>
      <w:r w:rsidR="00E70F7E" w:rsidRPr="002E5D23">
        <w:rPr>
          <w:noProof w:val="0"/>
          <w:color w:val="auto"/>
          <w:szCs w:val="20"/>
          <w:lang w:val="en-GB"/>
        </w:rPr>
        <w:t>Up</w:t>
      </w:r>
    </w:p>
    <w:p w14:paraId="3629AA61" w14:textId="617DB5B5" w:rsidR="00C92627" w:rsidRPr="002E5D23" w:rsidRDefault="00C92627" w:rsidP="00C559B4">
      <w:pPr>
        <w:pStyle w:val="MDPI31text"/>
        <w:rPr>
          <w:i/>
          <w:color w:val="auto"/>
          <w:szCs w:val="20"/>
          <w:lang w:val="en-GB"/>
        </w:rPr>
      </w:pPr>
      <w:r w:rsidRPr="002E5D23">
        <w:rPr>
          <w:color w:val="auto"/>
          <w:szCs w:val="20"/>
          <w:lang w:val="en-GB"/>
        </w:rPr>
        <w:t>Odds ratios (95% CI) for adverse outcomes at follow-up per higher diet quality trajectory group are presented in Table 4 after adjustment for age at the 2017 follow-up and sex. Being in a higher diet quality trajectory group was related to increased risk of having a history of hip/knee replacement (1.85 (1.05, 3.26)). Associations for the remaining adverse outcomes were weak (</w:t>
      </w:r>
      <w:r w:rsidRPr="002E5D23">
        <w:rPr>
          <w:i/>
          <w:iCs/>
          <w:color w:val="auto"/>
          <w:szCs w:val="20"/>
          <w:lang w:val="en-GB"/>
        </w:rPr>
        <w:t>p</w:t>
      </w:r>
      <w:r w:rsidR="000F6F1B" w:rsidRPr="002E5D23">
        <w:rPr>
          <w:rFonts w:eastAsiaTheme="minorEastAsia" w:hint="eastAsia"/>
          <w:color w:val="auto"/>
          <w:szCs w:val="20"/>
          <w:lang w:val="en-GB" w:eastAsia="zh-CN"/>
        </w:rPr>
        <w:t xml:space="preserve"> </w:t>
      </w:r>
      <w:r w:rsidRPr="002E5D23">
        <w:rPr>
          <w:color w:val="auto"/>
          <w:szCs w:val="20"/>
          <w:lang w:val="en-GB"/>
        </w:rPr>
        <w:t>&gt;</w:t>
      </w:r>
      <w:r w:rsidR="000F6F1B" w:rsidRPr="002E5D23">
        <w:rPr>
          <w:rFonts w:eastAsiaTheme="minorEastAsia" w:hint="eastAsia"/>
          <w:color w:val="auto"/>
          <w:szCs w:val="20"/>
          <w:lang w:val="en-GB" w:eastAsia="zh-CN"/>
        </w:rPr>
        <w:t xml:space="preserve"> </w:t>
      </w:r>
      <w:r w:rsidRPr="002E5D23">
        <w:rPr>
          <w:color w:val="auto"/>
          <w:szCs w:val="20"/>
          <w:lang w:val="en-GB"/>
        </w:rPr>
        <w:t>0.17).</w:t>
      </w:r>
    </w:p>
    <w:p w14:paraId="777A1AF5" w14:textId="77777777" w:rsidR="00C92627" w:rsidRPr="002E5D23" w:rsidRDefault="00C92627" w:rsidP="00FA348F">
      <w:pPr>
        <w:pStyle w:val="MDPI41tablecaption"/>
        <w:jc w:val="both"/>
        <w:rPr>
          <w:rFonts w:cs="Times New Roman"/>
          <w:i/>
          <w:snapToGrid w:val="0"/>
          <w:color w:val="auto"/>
          <w:szCs w:val="18"/>
          <w:lang w:val="en-GB"/>
        </w:rPr>
      </w:pPr>
      <w:r w:rsidRPr="002E5D23">
        <w:rPr>
          <w:rFonts w:cs="Times New Roman"/>
          <w:b/>
          <w:snapToGrid w:val="0"/>
          <w:color w:val="auto"/>
          <w:szCs w:val="18"/>
          <w:lang w:val="en-GB"/>
        </w:rPr>
        <w:t xml:space="preserve">Table 4. </w:t>
      </w:r>
      <w:r w:rsidRPr="002E5D23">
        <w:rPr>
          <w:rFonts w:cs="Times New Roman"/>
          <w:snapToGrid w:val="0"/>
          <w:color w:val="auto"/>
          <w:szCs w:val="18"/>
          <w:lang w:val="en-GB"/>
        </w:rPr>
        <w:t>Odds ratios (95% CI) for adverse musculoskeletal outcomes at the 2017 follow-up per higher diet quality trajectory group.</w:t>
      </w:r>
    </w:p>
    <w:tbl>
      <w:tblPr>
        <w:tblW w:w="5000" w:type="pct"/>
        <w:tblCellMar>
          <w:left w:w="0" w:type="dxa"/>
          <w:right w:w="0" w:type="dxa"/>
        </w:tblCellMar>
        <w:tblLook w:val="04A0" w:firstRow="1" w:lastRow="0" w:firstColumn="1" w:lastColumn="0" w:noHBand="0" w:noVBand="1"/>
      </w:tblPr>
      <w:tblGrid>
        <w:gridCol w:w="6088"/>
        <w:gridCol w:w="2917"/>
        <w:gridCol w:w="1461"/>
      </w:tblGrid>
      <w:tr w:rsidR="00690A63" w:rsidRPr="002E5D23" w14:paraId="5AC8297D" w14:textId="77777777" w:rsidTr="002F31CA">
        <w:tc>
          <w:tcPr>
            <w:tcW w:w="3277" w:type="pct"/>
            <w:vMerge w:val="restart"/>
            <w:tcBorders>
              <w:top w:val="single" w:sz="8" w:space="0" w:color="auto"/>
              <w:left w:val="nil"/>
              <w:bottom w:val="single" w:sz="4" w:space="0" w:color="000000"/>
              <w:right w:val="nil"/>
            </w:tcBorders>
            <w:vAlign w:val="center"/>
            <w:hideMark/>
          </w:tcPr>
          <w:p w14:paraId="22693366" w14:textId="0E4AE405" w:rsidR="00C92627" w:rsidRPr="002E5D23" w:rsidRDefault="00C92627" w:rsidP="00FB34F3">
            <w:pPr>
              <w:adjustRightInd w:val="0"/>
              <w:snapToGrid w:val="0"/>
              <w:spacing w:line="240" w:lineRule="auto"/>
              <w:jc w:val="center"/>
              <w:rPr>
                <w:rFonts w:eastAsia="Times New Roman" w:cs="Calibri"/>
                <w:b/>
                <w:bCs/>
                <w:color w:val="auto"/>
                <w:lang w:val="en-GB" w:eastAsia="en-GB"/>
              </w:rPr>
            </w:pPr>
            <w:bookmarkStart w:id="32" w:name="_Hlk215053115"/>
            <w:r w:rsidRPr="002E5D23">
              <w:rPr>
                <w:rFonts w:eastAsia="Times New Roman" w:cs="Calibri"/>
                <w:b/>
                <w:bCs/>
                <w:color w:val="auto"/>
                <w:lang w:val="en-GB" w:eastAsia="en-GB"/>
              </w:rPr>
              <w:t xml:space="preserve">Musculoskeletal </w:t>
            </w:r>
            <w:r w:rsidR="00C559B4" w:rsidRPr="002E5D23">
              <w:rPr>
                <w:rFonts w:eastAsia="Times New Roman" w:cs="Calibri"/>
                <w:b/>
                <w:bCs/>
                <w:color w:val="auto"/>
                <w:lang w:val="en-GB" w:eastAsia="en-GB"/>
              </w:rPr>
              <w:t>Outcome</w:t>
            </w:r>
          </w:p>
        </w:tc>
        <w:tc>
          <w:tcPr>
            <w:tcW w:w="1723" w:type="pct"/>
            <w:gridSpan w:val="2"/>
            <w:tcBorders>
              <w:top w:val="single" w:sz="8" w:space="0" w:color="auto"/>
              <w:left w:val="nil"/>
              <w:bottom w:val="nil"/>
              <w:right w:val="nil"/>
            </w:tcBorders>
            <w:noWrap/>
            <w:vAlign w:val="center"/>
            <w:hideMark/>
          </w:tcPr>
          <w:p w14:paraId="38E5966A" w14:textId="4F832642" w:rsidR="00C92627" w:rsidRPr="002E5D23" w:rsidRDefault="00C92627" w:rsidP="00FB34F3">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 xml:space="preserve">Adjusted for </w:t>
            </w:r>
            <w:r w:rsidR="00C559B4" w:rsidRPr="002E5D23">
              <w:rPr>
                <w:rFonts w:eastAsia="Times New Roman" w:cs="Calibri"/>
                <w:b/>
                <w:bCs/>
                <w:color w:val="auto"/>
                <w:lang w:val="en-GB" w:eastAsia="en-GB"/>
              </w:rPr>
              <w:t xml:space="preserve">Age </w:t>
            </w:r>
            <w:r w:rsidRPr="002E5D23">
              <w:rPr>
                <w:rFonts w:eastAsia="Times New Roman" w:cs="Calibri"/>
                <w:b/>
                <w:bCs/>
                <w:color w:val="auto"/>
                <w:lang w:val="en-GB" w:eastAsia="en-GB"/>
              </w:rPr>
              <w:t xml:space="preserve">at the 2017 </w:t>
            </w:r>
            <w:r w:rsidR="00C559B4" w:rsidRPr="002E5D23">
              <w:rPr>
                <w:rFonts w:eastAsia="Times New Roman" w:cs="Calibri"/>
                <w:b/>
                <w:bCs/>
                <w:color w:val="auto"/>
                <w:lang w:val="en-GB" w:eastAsia="en-GB"/>
              </w:rPr>
              <w:t>Follow</w:t>
            </w:r>
            <w:r w:rsidRPr="002E5D23">
              <w:rPr>
                <w:rFonts w:eastAsia="Times New Roman" w:cs="Calibri"/>
                <w:b/>
                <w:bCs/>
                <w:color w:val="auto"/>
                <w:lang w:val="en-GB" w:eastAsia="en-GB"/>
              </w:rPr>
              <w:t>-</w:t>
            </w:r>
            <w:r w:rsidR="00C559B4" w:rsidRPr="002E5D23">
              <w:rPr>
                <w:rFonts w:eastAsia="Times New Roman" w:cs="Calibri"/>
                <w:b/>
                <w:bCs/>
                <w:color w:val="auto"/>
                <w:lang w:val="en-GB" w:eastAsia="en-GB"/>
              </w:rPr>
              <w:t xml:space="preserve">Up </w:t>
            </w:r>
            <w:r w:rsidRPr="002E5D23">
              <w:rPr>
                <w:rFonts w:eastAsia="Times New Roman" w:cs="Calibri"/>
                <w:b/>
                <w:bCs/>
                <w:color w:val="auto"/>
                <w:lang w:val="en-GB" w:eastAsia="en-GB"/>
              </w:rPr>
              <w:t xml:space="preserve">and </w:t>
            </w:r>
            <w:r w:rsidR="00C559B4" w:rsidRPr="002E5D23">
              <w:rPr>
                <w:rFonts w:eastAsia="Times New Roman" w:cs="Calibri"/>
                <w:b/>
                <w:bCs/>
                <w:color w:val="auto"/>
                <w:lang w:val="en-GB" w:eastAsia="en-GB"/>
              </w:rPr>
              <w:t>Sex</w:t>
            </w:r>
          </w:p>
        </w:tc>
      </w:tr>
      <w:tr w:rsidR="00690A63" w:rsidRPr="002E5D23" w14:paraId="49887655" w14:textId="77777777" w:rsidTr="002F31CA">
        <w:tc>
          <w:tcPr>
            <w:tcW w:w="3277" w:type="pct"/>
            <w:vMerge/>
            <w:tcBorders>
              <w:top w:val="single" w:sz="4" w:space="0" w:color="auto"/>
              <w:left w:val="nil"/>
              <w:bottom w:val="single" w:sz="4" w:space="0" w:color="auto"/>
              <w:right w:val="nil"/>
            </w:tcBorders>
            <w:vAlign w:val="center"/>
            <w:hideMark/>
          </w:tcPr>
          <w:p w14:paraId="4BEC771A" w14:textId="77777777" w:rsidR="00C92627" w:rsidRPr="002E5D23" w:rsidRDefault="00C92627" w:rsidP="00FB34F3">
            <w:pPr>
              <w:adjustRightInd w:val="0"/>
              <w:snapToGrid w:val="0"/>
              <w:spacing w:line="240" w:lineRule="auto"/>
              <w:jc w:val="center"/>
              <w:rPr>
                <w:rFonts w:eastAsia="Times New Roman" w:cs="Calibri"/>
                <w:b/>
                <w:bCs/>
                <w:color w:val="auto"/>
                <w:lang w:val="en-GB" w:eastAsia="en-GB"/>
              </w:rPr>
            </w:pPr>
          </w:p>
        </w:tc>
        <w:tc>
          <w:tcPr>
            <w:tcW w:w="1148" w:type="pct"/>
            <w:tcBorders>
              <w:top w:val="nil"/>
              <w:left w:val="nil"/>
              <w:bottom w:val="single" w:sz="4" w:space="0" w:color="auto"/>
              <w:right w:val="nil"/>
            </w:tcBorders>
            <w:noWrap/>
            <w:vAlign w:val="center"/>
            <w:hideMark/>
          </w:tcPr>
          <w:p w14:paraId="49A2005A" w14:textId="70C81CF6" w:rsidR="00C92627" w:rsidRPr="002E5D23" w:rsidRDefault="00C92627" w:rsidP="00FB34F3">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color w:val="auto"/>
                <w:lang w:val="en-GB" w:eastAsia="en-GB"/>
              </w:rPr>
              <w:t xml:space="preserve">Odds </w:t>
            </w:r>
            <w:r w:rsidR="00C559B4" w:rsidRPr="002E5D23">
              <w:rPr>
                <w:rFonts w:eastAsia="Times New Roman" w:cs="Calibri"/>
                <w:b/>
                <w:bCs/>
                <w:color w:val="auto"/>
                <w:lang w:val="en-GB" w:eastAsia="en-GB"/>
              </w:rPr>
              <w:t xml:space="preserve">Ratio </w:t>
            </w:r>
            <w:r w:rsidRPr="002E5D23">
              <w:rPr>
                <w:rFonts w:eastAsia="Times New Roman" w:cs="Calibri"/>
                <w:b/>
                <w:bCs/>
                <w:color w:val="auto"/>
                <w:lang w:val="en-GB" w:eastAsia="en-GB"/>
              </w:rPr>
              <w:t>(95% CI)</w:t>
            </w:r>
          </w:p>
        </w:tc>
        <w:tc>
          <w:tcPr>
            <w:tcW w:w="575" w:type="pct"/>
            <w:tcBorders>
              <w:top w:val="nil"/>
              <w:left w:val="nil"/>
              <w:bottom w:val="single" w:sz="4" w:space="0" w:color="auto"/>
              <w:right w:val="nil"/>
            </w:tcBorders>
            <w:noWrap/>
            <w:vAlign w:val="center"/>
            <w:hideMark/>
          </w:tcPr>
          <w:p w14:paraId="66F469B7" w14:textId="085CA95D" w:rsidR="00C92627" w:rsidRPr="002E5D23" w:rsidRDefault="00C559B4" w:rsidP="00FB34F3">
            <w:pPr>
              <w:adjustRightInd w:val="0"/>
              <w:snapToGrid w:val="0"/>
              <w:spacing w:line="240" w:lineRule="auto"/>
              <w:jc w:val="center"/>
              <w:rPr>
                <w:rFonts w:eastAsia="Times New Roman" w:cs="Calibri"/>
                <w:b/>
                <w:bCs/>
                <w:color w:val="auto"/>
                <w:lang w:val="en-GB" w:eastAsia="en-GB"/>
              </w:rPr>
            </w:pPr>
            <w:r w:rsidRPr="002E5D23">
              <w:rPr>
                <w:rFonts w:eastAsia="Times New Roman" w:cs="Calibri"/>
                <w:b/>
                <w:bCs/>
                <w:i/>
                <w:iCs/>
                <w:color w:val="auto"/>
                <w:lang w:val="en-GB" w:eastAsia="en-GB"/>
              </w:rPr>
              <w:t>p</w:t>
            </w:r>
            <w:r w:rsidR="00C92627" w:rsidRPr="002E5D23">
              <w:rPr>
                <w:rFonts w:eastAsia="Times New Roman" w:cs="Calibri"/>
                <w:b/>
                <w:bCs/>
                <w:color w:val="auto"/>
                <w:lang w:val="en-GB" w:eastAsia="en-GB"/>
              </w:rPr>
              <w:t>-</w:t>
            </w:r>
            <w:r w:rsidRPr="002E5D23">
              <w:rPr>
                <w:rFonts w:eastAsia="Times New Roman" w:cs="Calibri"/>
                <w:b/>
                <w:bCs/>
                <w:color w:val="auto"/>
                <w:lang w:val="en-GB" w:eastAsia="en-GB"/>
              </w:rPr>
              <w:t>Value</w:t>
            </w:r>
          </w:p>
        </w:tc>
      </w:tr>
      <w:tr w:rsidR="00690A63" w:rsidRPr="002E5D23" w14:paraId="1D7D95E3" w14:textId="77777777" w:rsidTr="002F31CA">
        <w:tc>
          <w:tcPr>
            <w:tcW w:w="3277" w:type="pct"/>
            <w:tcBorders>
              <w:top w:val="single" w:sz="4" w:space="0" w:color="auto"/>
              <w:left w:val="nil"/>
              <w:bottom w:val="nil"/>
              <w:right w:val="nil"/>
            </w:tcBorders>
            <w:noWrap/>
            <w:vAlign w:val="center"/>
            <w:hideMark/>
          </w:tcPr>
          <w:p w14:paraId="13308774"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Osteoporosis (from doctor-diagnosis, t-score or medications)</w:t>
            </w:r>
          </w:p>
        </w:tc>
        <w:tc>
          <w:tcPr>
            <w:tcW w:w="1148" w:type="pct"/>
            <w:tcBorders>
              <w:top w:val="single" w:sz="4" w:space="0" w:color="auto"/>
              <w:left w:val="nil"/>
              <w:bottom w:val="nil"/>
              <w:right w:val="nil"/>
            </w:tcBorders>
            <w:noWrap/>
            <w:vAlign w:val="center"/>
            <w:hideMark/>
          </w:tcPr>
          <w:p w14:paraId="47C9282F"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0.78 (0.45, 1.35)</w:t>
            </w:r>
          </w:p>
        </w:tc>
        <w:tc>
          <w:tcPr>
            <w:tcW w:w="575" w:type="pct"/>
            <w:tcBorders>
              <w:top w:val="single" w:sz="4" w:space="0" w:color="auto"/>
              <w:left w:val="nil"/>
              <w:bottom w:val="nil"/>
              <w:right w:val="nil"/>
            </w:tcBorders>
            <w:noWrap/>
            <w:vAlign w:val="center"/>
            <w:hideMark/>
          </w:tcPr>
          <w:p w14:paraId="0B177203"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0.374</w:t>
            </w:r>
          </w:p>
        </w:tc>
      </w:tr>
      <w:tr w:rsidR="00690A63" w:rsidRPr="002E5D23" w14:paraId="023D675B" w14:textId="77777777" w:rsidTr="002F31CA">
        <w:tc>
          <w:tcPr>
            <w:tcW w:w="3277" w:type="pct"/>
            <w:tcBorders>
              <w:top w:val="nil"/>
              <w:left w:val="nil"/>
              <w:bottom w:val="nil"/>
              <w:right w:val="nil"/>
            </w:tcBorders>
            <w:noWrap/>
            <w:vAlign w:val="center"/>
            <w:hideMark/>
          </w:tcPr>
          <w:p w14:paraId="75EBF32A"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Fall in previous year</w:t>
            </w:r>
          </w:p>
        </w:tc>
        <w:tc>
          <w:tcPr>
            <w:tcW w:w="1148" w:type="pct"/>
            <w:tcBorders>
              <w:top w:val="nil"/>
              <w:left w:val="nil"/>
              <w:bottom w:val="nil"/>
              <w:right w:val="nil"/>
            </w:tcBorders>
            <w:noWrap/>
            <w:vAlign w:val="center"/>
            <w:hideMark/>
          </w:tcPr>
          <w:p w14:paraId="77DC79F5"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1.17 (0.63, 2.14)</w:t>
            </w:r>
          </w:p>
        </w:tc>
        <w:tc>
          <w:tcPr>
            <w:tcW w:w="575" w:type="pct"/>
            <w:tcBorders>
              <w:top w:val="nil"/>
              <w:left w:val="nil"/>
              <w:bottom w:val="nil"/>
              <w:right w:val="nil"/>
            </w:tcBorders>
            <w:noWrap/>
            <w:vAlign w:val="center"/>
            <w:hideMark/>
          </w:tcPr>
          <w:p w14:paraId="603F94D4"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0.621</w:t>
            </w:r>
          </w:p>
        </w:tc>
      </w:tr>
      <w:tr w:rsidR="00690A63" w:rsidRPr="002E5D23" w14:paraId="093CB6EB" w14:textId="77777777" w:rsidTr="002F31CA">
        <w:tc>
          <w:tcPr>
            <w:tcW w:w="3277" w:type="pct"/>
            <w:tcBorders>
              <w:top w:val="nil"/>
              <w:left w:val="nil"/>
              <w:bottom w:val="nil"/>
              <w:right w:val="nil"/>
            </w:tcBorders>
            <w:noWrap/>
            <w:vAlign w:val="center"/>
            <w:hideMark/>
          </w:tcPr>
          <w:p w14:paraId="08B2B579" w14:textId="7F27CBA5"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Low grip strength (&lt;27</w:t>
            </w:r>
            <w:r w:rsidR="00FA348F" w:rsidRPr="002E5D23">
              <w:rPr>
                <w:rFonts w:eastAsiaTheme="minorEastAsia" w:cs="Calibri" w:hint="eastAsia"/>
                <w:color w:val="auto"/>
                <w:lang w:val="en-GB"/>
              </w:rPr>
              <w:t xml:space="preserve"> </w:t>
            </w:r>
            <w:r w:rsidRPr="002E5D23">
              <w:rPr>
                <w:rFonts w:eastAsia="Times New Roman" w:cs="Calibri"/>
                <w:color w:val="auto"/>
                <w:lang w:val="en-GB" w:eastAsia="en-GB"/>
              </w:rPr>
              <w:t>kg (men), &lt;16</w:t>
            </w:r>
            <w:r w:rsidR="00FA348F" w:rsidRPr="002E5D23">
              <w:rPr>
                <w:rFonts w:eastAsiaTheme="minorEastAsia" w:cs="Calibri" w:hint="eastAsia"/>
                <w:color w:val="auto"/>
                <w:lang w:val="en-GB"/>
              </w:rPr>
              <w:t xml:space="preserve"> </w:t>
            </w:r>
            <w:r w:rsidRPr="002E5D23">
              <w:rPr>
                <w:rFonts w:eastAsia="Times New Roman" w:cs="Calibri"/>
                <w:color w:val="auto"/>
                <w:lang w:val="en-GB" w:eastAsia="en-GB"/>
              </w:rPr>
              <w:t>kg (women))</w:t>
            </w:r>
          </w:p>
        </w:tc>
        <w:tc>
          <w:tcPr>
            <w:tcW w:w="1148" w:type="pct"/>
            <w:tcBorders>
              <w:top w:val="nil"/>
              <w:left w:val="nil"/>
              <w:bottom w:val="nil"/>
              <w:right w:val="nil"/>
            </w:tcBorders>
            <w:noWrap/>
            <w:vAlign w:val="center"/>
            <w:hideMark/>
          </w:tcPr>
          <w:p w14:paraId="4AE8AB44"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1.28 (0.77, 2.13)</w:t>
            </w:r>
          </w:p>
        </w:tc>
        <w:tc>
          <w:tcPr>
            <w:tcW w:w="575" w:type="pct"/>
            <w:tcBorders>
              <w:top w:val="nil"/>
              <w:left w:val="nil"/>
              <w:bottom w:val="nil"/>
              <w:right w:val="nil"/>
            </w:tcBorders>
            <w:noWrap/>
            <w:vAlign w:val="center"/>
            <w:hideMark/>
          </w:tcPr>
          <w:p w14:paraId="5AFF2509"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0.341</w:t>
            </w:r>
          </w:p>
        </w:tc>
      </w:tr>
      <w:tr w:rsidR="00690A63" w:rsidRPr="002E5D23" w14:paraId="4210B740" w14:textId="77777777" w:rsidTr="002F31CA">
        <w:tc>
          <w:tcPr>
            <w:tcW w:w="3277" w:type="pct"/>
            <w:tcBorders>
              <w:top w:val="nil"/>
              <w:left w:val="nil"/>
              <w:bottom w:val="nil"/>
              <w:right w:val="nil"/>
            </w:tcBorders>
            <w:noWrap/>
            <w:vAlign w:val="center"/>
            <w:hideMark/>
          </w:tcPr>
          <w:p w14:paraId="79421761" w14:textId="1059C424"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Low gait speed (</w:t>
            </w:r>
            <w:r w:rsidRPr="002E5D23">
              <w:rPr>
                <w:rFonts w:cs="Calibri"/>
                <w:color w:val="auto"/>
                <w:lang w:val="en-GB"/>
              </w:rPr>
              <w:t>≤</w:t>
            </w:r>
            <w:r w:rsidRPr="002E5D23">
              <w:rPr>
                <w:rFonts w:eastAsia="Times New Roman" w:cs="Calibri"/>
                <w:color w:val="auto"/>
                <w:lang w:val="en-GB" w:eastAsia="en-GB"/>
              </w:rPr>
              <w:t>0.8</w:t>
            </w:r>
            <w:r w:rsidR="000B3C32" w:rsidRPr="002E5D23">
              <w:rPr>
                <w:rFonts w:eastAsiaTheme="minorEastAsia" w:cs="Calibri" w:hint="eastAsia"/>
                <w:color w:val="auto"/>
                <w:lang w:val="en-GB"/>
              </w:rPr>
              <w:t xml:space="preserve"> </w:t>
            </w:r>
            <w:r w:rsidRPr="002E5D23">
              <w:rPr>
                <w:rFonts w:eastAsia="Times New Roman" w:cs="Calibri"/>
                <w:color w:val="auto"/>
                <w:lang w:val="en-GB" w:eastAsia="en-GB"/>
              </w:rPr>
              <w:t>m/s)</w:t>
            </w:r>
          </w:p>
        </w:tc>
        <w:tc>
          <w:tcPr>
            <w:tcW w:w="1148" w:type="pct"/>
            <w:tcBorders>
              <w:top w:val="nil"/>
              <w:left w:val="nil"/>
              <w:bottom w:val="nil"/>
              <w:right w:val="nil"/>
            </w:tcBorders>
            <w:noWrap/>
            <w:vAlign w:val="center"/>
            <w:hideMark/>
          </w:tcPr>
          <w:p w14:paraId="7787E569"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0.70 (0.41, 1.18)</w:t>
            </w:r>
          </w:p>
        </w:tc>
        <w:tc>
          <w:tcPr>
            <w:tcW w:w="575" w:type="pct"/>
            <w:tcBorders>
              <w:top w:val="nil"/>
              <w:left w:val="nil"/>
              <w:bottom w:val="nil"/>
              <w:right w:val="nil"/>
            </w:tcBorders>
            <w:noWrap/>
            <w:vAlign w:val="center"/>
            <w:hideMark/>
          </w:tcPr>
          <w:p w14:paraId="3378F30B"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0.178</w:t>
            </w:r>
          </w:p>
        </w:tc>
      </w:tr>
      <w:tr w:rsidR="00690A63" w:rsidRPr="002E5D23" w14:paraId="4317C0A8" w14:textId="77777777" w:rsidTr="002F31CA">
        <w:tc>
          <w:tcPr>
            <w:tcW w:w="3277" w:type="pct"/>
            <w:tcBorders>
              <w:top w:val="nil"/>
              <w:left w:val="nil"/>
              <w:bottom w:val="single" w:sz="8" w:space="0" w:color="auto"/>
              <w:right w:val="nil"/>
            </w:tcBorders>
            <w:noWrap/>
            <w:vAlign w:val="center"/>
            <w:hideMark/>
          </w:tcPr>
          <w:p w14:paraId="1652EC51"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eastAsia="Times New Roman" w:cs="Calibri"/>
                <w:color w:val="auto"/>
                <w:lang w:val="en-GB" w:eastAsia="en-GB"/>
              </w:rPr>
              <w:t>Hip or knee replacement</w:t>
            </w:r>
          </w:p>
        </w:tc>
        <w:tc>
          <w:tcPr>
            <w:tcW w:w="1148" w:type="pct"/>
            <w:tcBorders>
              <w:top w:val="nil"/>
              <w:left w:val="nil"/>
              <w:bottom w:val="single" w:sz="8" w:space="0" w:color="auto"/>
              <w:right w:val="nil"/>
            </w:tcBorders>
            <w:noWrap/>
            <w:vAlign w:val="center"/>
            <w:hideMark/>
          </w:tcPr>
          <w:p w14:paraId="06409FA5"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1.85 (1.05, 3.26)</w:t>
            </w:r>
          </w:p>
        </w:tc>
        <w:tc>
          <w:tcPr>
            <w:tcW w:w="575" w:type="pct"/>
            <w:tcBorders>
              <w:top w:val="nil"/>
              <w:left w:val="nil"/>
              <w:bottom w:val="single" w:sz="8" w:space="0" w:color="auto"/>
              <w:right w:val="nil"/>
            </w:tcBorders>
            <w:noWrap/>
            <w:vAlign w:val="center"/>
            <w:hideMark/>
          </w:tcPr>
          <w:p w14:paraId="7839239A" w14:textId="77777777" w:rsidR="00C92627" w:rsidRPr="002E5D23" w:rsidRDefault="00C92627" w:rsidP="00FB34F3">
            <w:pPr>
              <w:adjustRightInd w:val="0"/>
              <w:snapToGrid w:val="0"/>
              <w:spacing w:line="240" w:lineRule="auto"/>
              <w:jc w:val="center"/>
              <w:rPr>
                <w:rFonts w:eastAsia="Times New Roman" w:cs="Calibri"/>
                <w:color w:val="auto"/>
                <w:lang w:val="en-GB" w:eastAsia="en-GB"/>
              </w:rPr>
            </w:pPr>
            <w:r w:rsidRPr="002E5D23">
              <w:rPr>
                <w:rFonts w:cs="Calibri"/>
                <w:color w:val="auto"/>
                <w:lang w:val="en-GB"/>
              </w:rPr>
              <w:t>0.033</w:t>
            </w:r>
          </w:p>
        </w:tc>
      </w:tr>
    </w:tbl>
    <w:bookmarkEnd w:id="23"/>
    <w:bookmarkEnd w:id="32"/>
    <w:p w14:paraId="1B460158" w14:textId="5F630B62" w:rsidR="00530075" w:rsidRPr="002E5D23" w:rsidRDefault="00530075" w:rsidP="00530075">
      <w:pPr>
        <w:pStyle w:val="MDPI21heading1"/>
        <w:spacing w:before="0" w:after="240"/>
        <w:jc w:val="both"/>
        <w:outlineLvl w:val="9"/>
        <w:rPr>
          <w:rFonts w:eastAsiaTheme="minorEastAsia"/>
          <w:b w:val="0"/>
          <w:bCs/>
          <w:color w:val="auto"/>
          <w:sz w:val="18"/>
          <w:szCs w:val="18"/>
          <w:lang w:val="en-GB" w:eastAsia="zh-CN"/>
        </w:rPr>
      </w:pPr>
      <w:r w:rsidRPr="002E5D23">
        <w:rPr>
          <w:b w:val="0"/>
          <w:bCs/>
          <w:color w:val="auto"/>
          <w:sz w:val="18"/>
          <w:szCs w:val="18"/>
          <w:lang w:val="en-GB" w:eastAsia="en-GB"/>
        </w:rPr>
        <w:t>Osteoporosis: any of the following: femoral neck T-score ≤ −2.5; taking anti-osteoporosis medications; or self-reported osteoporosis diagnosis by doctor</w:t>
      </w:r>
      <w:r w:rsidRPr="002E5D23">
        <w:rPr>
          <w:rFonts w:eastAsiaTheme="minorEastAsia" w:hint="eastAsia"/>
          <w:b w:val="0"/>
          <w:bCs/>
          <w:color w:val="auto"/>
          <w:sz w:val="18"/>
          <w:szCs w:val="18"/>
          <w:lang w:val="en-GB" w:eastAsia="zh-CN"/>
        </w:rPr>
        <w:t xml:space="preserve">. </w:t>
      </w:r>
      <w:r w:rsidRPr="002E5D23">
        <w:rPr>
          <w:b w:val="0"/>
          <w:bCs/>
          <w:color w:val="auto"/>
          <w:sz w:val="18"/>
          <w:szCs w:val="18"/>
          <w:lang w:val="en-GB" w:eastAsia="en-GB"/>
        </w:rPr>
        <w:t>Odds ratios were estimated using binary logistic regression models.</w:t>
      </w:r>
    </w:p>
    <w:p w14:paraId="1DD46BCD" w14:textId="733AC269" w:rsidR="00C92627" w:rsidRPr="002E5D23" w:rsidRDefault="00C92627" w:rsidP="00CF5981">
      <w:pPr>
        <w:pStyle w:val="MDPI21heading1"/>
        <w:rPr>
          <w:color w:val="auto"/>
          <w:szCs w:val="24"/>
          <w:lang w:val="en-GB"/>
        </w:rPr>
      </w:pPr>
      <w:r w:rsidRPr="002E5D23">
        <w:rPr>
          <w:color w:val="auto"/>
          <w:szCs w:val="24"/>
          <w:lang w:val="en-GB"/>
        </w:rPr>
        <w:t>4. Discussion</w:t>
      </w:r>
    </w:p>
    <w:p w14:paraId="79386A7D" w14:textId="77777777" w:rsidR="00C92627" w:rsidRPr="002E5D23" w:rsidRDefault="00C92627" w:rsidP="00CF5981">
      <w:pPr>
        <w:pStyle w:val="MDPI31text"/>
        <w:rPr>
          <w:color w:val="auto"/>
          <w:szCs w:val="20"/>
          <w:lang w:val="en-GB"/>
        </w:rPr>
      </w:pPr>
      <w:r w:rsidRPr="002E5D23">
        <w:rPr>
          <w:color w:val="auto"/>
          <w:szCs w:val="20"/>
          <w:lang w:val="en-GB"/>
        </w:rPr>
        <w:t xml:space="preserve">The findings from this study indicate that diet quality remained relatively stable over the nearly two-decade follow-up period. While this might be perceived as positive, it also suggests that individuals with poorer diets are unlikely to improve their diet and dietary </w:t>
      </w:r>
      <w:r w:rsidRPr="002E5D23">
        <w:rPr>
          <w:color w:val="auto"/>
          <w:szCs w:val="20"/>
          <w:lang w:val="en-GB"/>
        </w:rPr>
        <w:lastRenderedPageBreak/>
        <w:t>patterns without intervention. Several baseline characteristics were associated with a greater likelihood of being in a higher diet quality trajectory group, including being female, higher consumption of alcohol, remaining in full-time education beyond age 15, and having a non-manual occupational social class. Notably, individuals in the higher diet quality trajectory groups also had an increased likelihood of reporting a history of hip or knee replacement at the 2017 follow-up, while associations with other adverse musculoskeletal outcomes were generally weak.</w:t>
      </w:r>
    </w:p>
    <w:p w14:paraId="045A4782" w14:textId="03249A67" w:rsidR="00C92627" w:rsidRPr="002E5D23" w:rsidRDefault="00C92627" w:rsidP="00CF5981">
      <w:pPr>
        <w:pStyle w:val="MDPI31text"/>
        <w:rPr>
          <w:color w:val="auto"/>
          <w:szCs w:val="20"/>
          <w:lang w:val="en-GB"/>
        </w:rPr>
      </w:pPr>
      <w:bookmarkStart w:id="33" w:name="_Hlk218850964"/>
      <w:r w:rsidRPr="002E5D23">
        <w:rPr>
          <w:color w:val="auto"/>
          <w:szCs w:val="20"/>
          <w:lang w:val="en-GB"/>
        </w:rPr>
        <w:t xml:space="preserve">In our study, markers of higher socioeconomic position, such as remaining in full-time education for longer and a non-manual occupational social class, were associated with better diet quality. These findings align with extensive evidence demonstrating that social determinants of health, including education, income, and occupation, play an important role in shaping lifestyle </w:t>
      </w:r>
      <w:r w:rsidR="00BA3328" w:rsidRPr="002E5D23">
        <w:rPr>
          <w:color w:val="auto"/>
          <w:szCs w:val="20"/>
          <w:lang w:val="en-GB"/>
        </w:rPr>
        <w:t>behaviours</w:t>
      </w:r>
      <w:r w:rsidRPr="002E5D23">
        <w:rPr>
          <w:color w:val="auto"/>
          <w:szCs w:val="20"/>
          <w:lang w:val="en-GB"/>
        </w:rPr>
        <w:t xml:space="preserve"> and nutritional choices </w:t>
      </w:r>
      <w:r w:rsidRPr="002E5D23">
        <w:rPr>
          <w:b/>
          <w:color w:val="auto"/>
          <w:szCs w:val="20"/>
          <w:lang w:val="en-GB"/>
        </w:rPr>
        <w:fldChar w:fldCharType="begin"/>
      </w:r>
      <w:r w:rsidRPr="002E5D23">
        <w:rPr>
          <w:color w:val="auto"/>
          <w:szCs w:val="20"/>
          <w:lang w:val="en-GB"/>
        </w:rPr>
        <w:instrText xml:space="preserve"> ADDIN EN.CITE &lt;EndNote&gt;&lt;Cite&gt;&lt;Author&gt;Jiao&lt;/Author&gt;&lt;Year&gt;2024&lt;/Year&gt;&lt;RecNum&gt;1756&lt;/RecNum&gt;&lt;DisplayText&gt;[23]&lt;/DisplayText&gt;&lt;record&gt;&lt;rec-number&gt;1756&lt;/rec-number&gt;&lt;foreign-keys&gt;&lt;key app="EN" db-id="xp2sx5aahpsveaea2zq5s2xsef9d0fsxsxex" timestamp="1767183523"&gt;1756&lt;/key&gt;&lt;/foreign-keys&gt;&lt;ref-type name="Journal Article"&gt;17&lt;/ref-type&gt;&lt;contributors&gt;&lt;authors&gt;&lt;author&gt;Jiao, Li&lt;/author&gt;&lt;/authors&gt;&lt;/contributors&gt;&lt;titles&gt;&lt;title&gt;Social determinants of health, diet, and health outcome&lt;/title&gt;&lt;secondary-title&gt;Nutrients&lt;/secondary-title&gt;&lt;/titles&gt;&lt;periodical&gt;&lt;full-title&gt;Nutrients&lt;/full-title&gt;&lt;/periodical&gt;&lt;pages&gt;3642&lt;/pages&gt;&lt;volume&gt;16&lt;/volume&gt;&lt;number&gt;21&lt;/number&gt;&lt;dates&gt;&lt;year&gt;2024&lt;/year&gt;&lt;/dates&gt;&lt;isbn&gt;2072-6643&lt;/isbn&gt;&lt;urls&gt;&lt;/urls&gt;&lt;/record&gt;&lt;/Cite&gt;&lt;/EndNote&gt;</w:instrText>
      </w:r>
      <w:r w:rsidRPr="002E5D23">
        <w:rPr>
          <w:b/>
          <w:color w:val="auto"/>
          <w:szCs w:val="20"/>
          <w:lang w:val="en-GB"/>
        </w:rPr>
        <w:fldChar w:fldCharType="separate"/>
      </w:r>
      <w:r w:rsidRPr="002E5D23">
        <w:rPr>
          <w:color w:val="auto"/>
          <w:szCs w:val="20"/>
          <w:lang w:val="en-GB"/>
        </w:rPr>
        <w:t>[23]</w:t>
      </w:r>
      <w:r w:rsidRPr="002E5D23">
        <w:rPr>
          <w:b/>
          <w:color w:val="auto"/>
          <w:szCs w:val="20"/>
          <w:lang w:val="en-GB"/>
        </w:rPr>
        <w:fldChar w:fldCharType="end"/>
      </w:r>
      <w:r w:rsidRPr="002E5D23">
        <w:rPr>
          <w:color w:val="auto"/>
          <w:szCs w:val="20"/>
          <w:lang w:val="en-GB"/>
        </w:rPr>
        <w:t xml:space="preserve">. These disparities arise from social and structural determinants, including differences in food affordability and nutritional literacy, as well as broader influences such as neighbourhood food environments </w:t>
      </w:r>
      <w:r w:rsidRPr="002E5D23">
        <w:rPr>
          <w:b/>
          <w:color w:val="auto"/>
          <w:szCs w:val="20"/>
          <w:lang w:val="en-GB"/>
        </w:rPr>
        <w:fldChar w:fldCharType="begin"/>
      </w:r>
      <w:r w:rsidRPr="002E5D23">
        <w:rPr>
          <w:color w:val="auto"/>
          <w:szCs w:val="20"/>
          <w:lang w:val="en-GB"/>
        </w:rPr>
        <w:instrText xml:space="preserve"> ADDIN EN.CITE &lt;EndNote&gt;&lt;Cite&gt;&lt;Author&gt;Jiao&lt;/Author&gt;&lt;Year&gt;2024&lt;/Year&gt;&lt;RecNum&gt;1756&lt;/RecNum&gt;&lt;DisplayText&gt;[23]&lt;/DisplayText&gt;&lt;record&gt;&lt;rec-number&gt;1756&lt;/rec-number&gt;&lt;foreign-keys&gt;&lt;key app="EN" db-id="xp2sx5aahpsveaea2zq5s2xsef9d0fsxsxex" timestamp="1767183523"&gt;1756&lt;/key&gt;&lt;/foreign-keys&gt;&lt;ref-type name="Journal Article"&gt;17&lt;/ref-type&gt;&lt;contributors&gt;&lt;authors&gt;&lt;author&gt;Jiao, Li&lt;/author&gt;&lt;/authors&gt;&lt;/contributors&gt;&lt;titles&gt;&lt;title&gt;Social determinants of health, diet, and health outcome&lt;/title&gt;&lt;secondary-title&gt;Nutrients&lt;/secondary-title&gt;&lt;/titles&gt;&lt;periodical&gt;&lt;full-title&gt;Nutrients&lt;/full-title&gt;&lt;/periodical&gt;&lt;pages&gt;3642&lt;/pages&gt;&lt;volume&gt;16&lt;/volume&gt;&lt;number&gt;21&lt;/number&gt;&lt;dates&gt;&lt;year&gt;2024&lt;/year&gt;&lt;/dates&gt;&lt;isbn&gt;2072-6643&lt;/isbn&gt;&lt;urls&gt;&lt;/urls&gt;&lt;/record&gt;&lt;/Cite&gt;&lt;/EndNote&gt;</w:instrText>
      </w:r>
      <w:r w:rsidRPr="002E5D23">
        <w:rPr>
          <w:b/>
          <w:color w:val="auto"/>
          <w:szCs w:val="20"/>
          <w:lang w:val="en-GB"/>
        </w:rPr>
        <w:fldChar w:fldCharType="separate"/>
      </w:r>
      <w:r w:rsidRPr="002E5D23">
        <w:rPr>
          <w:color w:val="auto"/>
          <w:szCs w:val="20"/>
          <w:lang w:val="en-GB"/>
        </w:rPr>
        <w:t>[23]</w:t>
      </w:r>
      <w:r w:rsidRPr="002E5D23">
        <w:rPr>
          <w:b/>
          <w:color w:val="auto"/>
          <w:szCs w:val="20"/>
          <w:lang w:val="en-GB"/>
        </w:rPr>
        <w:fldChar w:fldCharType="end"/>
      </w:r>
      <w:r w:rsidRPr="002E5D23">
        <w:rPr>
          <w:color w:val="auto"/>
          <w:szCs w:val="20"/>
          <w:lang w:val="en-GB"/>
        </w:rPr>
        <w:t>.</w:t>
      </w:r>
    </w:p>
    <w:bookmarkEnd w:id="33"/>
    <w:p w14:paraId="1675F0B7" w14:textId="77777777" w:rsidR="00C92627" w:rsidRPr="002E5D23" w:rsidRDefault="00C92627" w:rsidP="00CF5981">
      <w:pPr>
        <w:pStyle w:val="MDPI31text"/>
        <w:rPr>
          <w:color w:val="auto"/>
          <w:szCs w:val="20"/>
          <w:lang w:val="en-GB"/>
        </w:rPr>
      </w:pPr>
      <w:r w:rsidRPr="002E5D23">
        <w:rPr>
          <w:color w:val="auto"/>
          <w:szCs w:val="20"/>
          <w:lang w:val="en-GB"/>
        </w:rPr>
        <w:t xml:space="preserve">Our study found generally healthier diets in women, a pattern reported in other studies that used other nutritional indices </w:t>
      </w:r>
      <w:r w:rsidRPr="002E5D23">
        <w:rPr>
          <w:b/>
          <w:color w:val="auto"/>
          <w:szCs w:val="20"/>
          <w:lang w:val="en-GB"/>
        </w:rPr>
        <w:fldChar w:fldCharType="begin"/>
      </w:r>
      <w:r w:rsidRPr="002E5D23">
        <w:rPr>
          <w:color w:val="auto"/>
          <w:szCs w:val="20"/>
          <w:lang w:val="en-GB"/>
        </w:rPr>
        <w:instrText xml:space="preserve"> ADDIN EN.CITE &lt;EndNote&gt;&lt;Cite&gt;&lt;Author&gt;Stubbendorff&lt;/Author&gt;&lt;Year&gt;2025&lt;/Year&gt;&lt;RecNum&gt;1743&lt;/RecNum&gt;&lt;DisplayText&gt;[24]&lt;/DisplayText&gt;&lt;record&gt;&lt;rec-number&gt;1743&lt;/rec-number&gt;&lt;foreign-keys&gt;&lt;key app="EN" db-id="xp2sx5aahpsveaea2zq5s2xsef9d0fsxsxex" timestamp="1763982525"&gt;1743&lt;/key&gt;&lt;/foreign-keys&gt;&lt;ref-type name="Journal Article"&gt;17&lt;/ref-type&gt;&lt;contributors&gt;&lt;authors&gt;&lt;author&gt;Stubbendorff, Anna&lt;/author&gt;&lt;author&gt;Kern, Silke&lt;/author&gt;&lt;author&gt;Rydén, Lina&lt;/author&gt;&lt;author&gt;Skoog, Ingmar&lt;/author&gt;&lt;author&gt;Samuelsson, Jessica&lt;/author&gt;&lt;/authors&gt;&lt;/contributors&gt;&lt;titles&gt;&lt;title&gt;The EAT-Lancet diet in relation nutrient intake among older adults: insights from the Gothenburg H70 birth cohort study&lt;/title&gt;&lt;secondary-title&gt;Nutr J&lt;/secondary-title&gt;&lt;/titles&gt;&lt;periodical&gt;&lt;full-title&gt;Nutr J&lt;/full-title&gt;&lt;/periodical&gt;&lt;pages&gt;124&lt;/pages&gt;&lt;volume&gt;24&lt;/volume&gt;&lt;number&gt;1&lt;/number&gt;&lt;dates&gt;&lt;year&gt;2025&lt;/year&gt;&lt;/dates&gt;&lt;isbn&gt;1475-2891&lt;/isbn&gt;&lt;urls&gt;&lt;/urls&gt;&lt;/record&gt;&lt;/Cite&gt;&lt;/EndNote&gt;</w:instrText>
      </w:r>
      <w:r w:rsidRPr="002E5D23">
        <w:rPr>
          <w:b/>
          <w:color w:val="auto"/>
          <w:szCs w:val="20"/>
          <w:lang w:val="en-GB"/>
        </w:rPr>
        <w:fldChar w:fldCharType="separate"/>
      </w:r>
      <w:r w:rsidRPr="002E5D23">
        <w:rPr>
          <w:color w:val="auto"/>
          <w:szCs w:val="20"/>
          <w:lang w:val="en-GB"/>
        </w:rPr>
        <w:t>[24]</w:t>
      </w:r>
      <w:r w:rsidRPr="002E5D23">
        <w:rPr>
          <w:b/>
          <w:color w:val="auto"/>
          <w:szCs w:val="20"/>
          <w:lang w:val="en-GB"/>
        </w:rPr>
        <w:fldChar w:fldCharType="end"/>
      </w:r>
      <w:r w:rsidRPr="002E5D23">
        <w:rPr>
          <w:color w:val="auto"/>
          <w:szCs w:val="20"/>
          <w:lang w:val="en-GB"/>
        </w:rPr>
        <w:t xml:space="preserve">. Our cohort consisted of community-dwelling older adults, a factor that may have maintained apparent stability of nutritional choice as frailty is often linked to poorer nutritional status </w:t>
      </w:r>
      <w:r w:rsidRPr="002E5D23">
        <w:rPr>
          <w:b/>
          <w:color w:val="auto"/>
          <w:szCs w:val="20"/>
          <w:lang w:val="en-GB"/>
        </w:rPr>
        <w:fldChar w:fldCharType="begin"/>
      </w:r>
      <w:r w:rsidRPr="002E5D23">
        <w:rPr>
          <w:color w:val="auto"/>
          <w:szCs w:val="20"/>
          <w:lang w:val="en-GB"/>
        </w:rPr>
        <w:instrText xml:space="preserve"> ADDIN EN.CITE &lt;EndNote&gt;&lt;Cite&gt;&lt;Author&gt;Silva&lt;/Author&gt;&lt;Year&gt;2025&lt;/Year&gt;&lt;RecNum&gt;1744&lt;/RecNum&gt;&lt;DisplayText&gt;[25]&lt;/DisplayText&gt;&lt;record&gt;&lt;rec-number&gt;1744&lt;/rec-number&gt;&lt;foreign-keys&gt;&lt;key app="EN" db-id="xp2sx5aahpsveaea2zq5s2xsef9d0fsxsxex" timestamp="1763982681"&gt;1744&lt;/key&gt;&lt;/foreign-keys&gt;&lt;ref-type name="Journal Article"&gt;17&lt;/ref-type&gt;&lt;contributors&gt;&lt;authors&gt;&lt;author&gt;Silva, Suzana Pires&lt;/author&gt;&lt;author&gt;Blauth, Fernando Gioppo&lt;/author&gt;&lt;author&gt;Vettori, Josiane Cheli&lt;/author&gt;&lt;author&gt;Agnollitto, Maria Izaura Sedoguti Scudeler&lt;/author&gt;&lt;author&gt;Moriguti, Julio Cesar&lt;/author&gt;&lt;author&gt;Lima, Nereida Kilza da Costa&lt;/author&gt;&lt;/authors&gt;&lt;/contributors&gt;&lt;titles&gt;&lt;title&gt;Nutritional Status in Frail and Non-Frail Independent Very Old Individuals&lt;/title&gt;&lt;secondary-title&gt;J Nutr Gerontol Geriatr&lt;/secondary-title&gt;&lt;/titles&gt;&lt;periodical&gt;&lt;full-title&gt;J Nutr Gerontol Geriatr&lt;/full-title&gt;&lt;/periodical&gt;&lt;pages&gt;242-251&lt;/pages&gt;&lt;volume&gt;44&lt;/volume&gt;&lt;number&gt;4&lt;/number&gt;&lt;dates&gt;&lt;year&gt;2025&lt;/year&gt;&lt;/dates&gt;&lt;isbn&gt;2155-1197&lt;/isbn&gt;&lt;urls&gt;&lt;/urls&gt;&lt;/record&gt;&lt;/Cite&gt;&lt;/EndNote&gt;</w:instrText>
      </w:r>
      <w:r w:rsidRPr="002E5D23">
        <w:rPr>
          <w:b/>
          <w:color w:val="auto"/>
          <w:szCs w:val="20"/>
          <w:lang w:val="en-GB"/>
        </w:rPr>
        <w:fldChar w:fldCharType="separate"/>
      </w:r>
      <w:r w:rsidRPr="002E5D23">
        <w:rPr>
          <w:color w:val="auto"/>
          <w:szCs w:val="20"/>
          <w:lang w:val="en-GB"/>
        </w:rPr>
        <w:t>[25]</w:t>
      </w:r>
      <w:r w:rsidRPr="002E5D23">
        <w:rPr>
          <w:b/>
          <w:color w:val="auto"/>
          <w:szCs w:val="20"/>
          <w:lang w:val="en-GB"/>
        </w:rPr>
        <w:fldChar w:fldCharType="end"/>
      </w:r>
      <w:r w:rsidRPr="002E5D23">
        <w:rPr>
          <w:color w:val="auto"/>
          <w:szCs w:val="20"/>
          <w:lang w:val="en-GB"/>
        </w:rPr>
        <w:t xml:space="preserve">. In our own study, we did not find associations between nutritional trajectory and musculoskeletal outcomes, other than joint arthroplasty. We hypothesize that this may be linked to a healthy cohort bias and limited power to study some associations; all our study participants were still living at home, and the prevalence of frailty was very low. </w:t>
      </w:r>
      <w:bookmarkStart w:id="34" w:name="_Hlk217988051"/>
      <w:r w:rsidRPr="002E5D23">
        <w:rPr>
          <w:color w:val="auto"/>
          <w:szCs w:val="20"/>
          <w:lang w:val="en-GB"/>
        </w:rPr>
        <w:t xml:space="preserve">However, we did find higher rates of joint replacement linked to higher diet quality. A limitation of our data is that we are unable to distinguish between private and publicly funded surgeries. In the UK, joint replacement has been linked to socioeconomic status, with those of greater material wealth being more able to afford to pay privately for such operations </w:t>
      </w:r>
      <w:r w:rsidRPr="002E5D23">
        <w:rPr>
          <w:b/>
          <w:color w:val="auto"/>
          <w:szCs w:val="20"/>
          <w:lang w:val="en-GB"/>
        </w:rPr>
        <w:fldChar w:fldCharType="begin"/>
      </w:r>
      <w:r w:rsidRPr="002E5D23">
        <w:rPr>
          <w:color w:val="auto"/>
          <w:szCs w:val="20"/>
          <w:lang w:val="en-GB"/>
        </w:rPr>
        <w:instrText xml:space="preserve"> ADDIN EN.CITE &lt;EndNote&gt;&lt;Cite&gt;&lt;Author&gt;Kirkwood&lt;/Author&gt;&lt;Year&gt;2024&lt;/Year&gt;&lt;RecNum&gt;1745&lt;/RecNum&gt;&lt;DisplayText&gt;[26]&lt;/DisplayText&gt;&lt;record&gt;&lt;rec-number&gt;1745&lt;/rec-number&gt;&lt;foreign-keys&gt;&lt;key app="EN" db-id="xp2sx5aahpsveaea2zq5s2xsef9d0fsxsxex" timestamp="1763982842"&gt;1745&lt;/key&gt;&lt;/foreign-keys&gt;&lt;ref-type name="Journal Article"&gt;17&lt;/ref-type&gt;&lt;contributors&gt;&lt;authors&gt;&lt;author&gt;Kirkwood, Graham&lt;/author&gt;&lt;author&gt;Pollock, Allyson M&lt;/author&gt;&lt;author&gt;Roderick, Peter&lt;/author&gt;&lt;/authors&gt;&lt;/contributors&gt;&lt;titles&gt;&lt;title&gt;Private sector expansion and the widening NHS treatment gap between rich and poor in England: Admissions for NHS-funded elective primary hip and knee replacements between 1997/98 and 2018/19&lt;/title&gt;&lt;secondary-title&gt;Health Policy&lt;/secondary-title&gt;&lt;/titles&gt;&lt;periodical&gt;&lt;full-title&gt;Health Policy&lt;/full-title&gt;&lt;abbr-1&gt;Health Policy&lt;/abbr-1&gt;&lt;abbr-2&gt;Health Policy&lt;/abbr-2&gt;&lt;/periodical&gt;&lt;pages&gt;105118&lt;/pages&gt;&lt;volume&gt;146&lt;/volume&gt;&lt;dates&gt;&lt;year&gt;2024&lt;/year&gt;&lt;/dates&gt;&lt;isbn&gt;0168-8510&lt;/isbn&gt;&lt;urls&gt;&lt;/urls&gt;&lt;/record&gt;&lt;/Cite&gt;&lt;/EndNote&gt;</w:instrText>
      </w:r>
      <w:r w:rsidRPr="002E5D23">
        <w:rPr>
          <w:b/>
          <w:color w:val="auto"/>
          <w:szCs w:val="20"/>
          <w:lang w:val="en-GB"/>
        </w:rPr>
        <w:fldChar w:fldCharType="separate"/>
      </w:r>
      <w:r w:rsidRPr="002E5D23">
        <w:rPr>
          <w:color w:val="auto"/>
          <w:szCs w:val="20"/>
          <w:lang w:val="en-GB"/>
        </w:rPr>
        <w:t>[26]</w:t>
      </w:r>
      <w:r w:rsidRPr="002E5D23">
        <w:rPr>
          <w:b/>
          <w:color w:val="auto"/>
          <w:szCs w:val="20"/>
          <w:lang w:val="en-GB"/>
        </w:rPr>
        <w:fldChar w:fldCharType="end"/>
      </w:r>
      <w:r w:rsidRPr="002E5D23">
        <w:rPr>
          <w:color w:val="auto"/>
          <w:szCs w:val="20"/>
          <w:lang w:val="en-GB"/>
        </w:rPr>
        <w:t>. Therefore, it is plausible that our observed association between higher diet quality and increased likelihood of joint replacement is driven entirely by socioeconomic differences in access to surgery rather than any health impact of diet quality. Therefore, this finding should be interpreted with caution.</w:t>
      </w:r>
      <w:bookmarkEnd w:id="34"/>
      <w:r w:rsidRPr="002E5D23">
        <w:rPr>
          <w:color w:val="auto"/>
          <w:szCs w:val="20"/>
          <w:lang w:val="en-GB"/>
        </w:rPr>
        <w:t xml:space="preserve"> Finally, we also observed higher alcohol intake in participants with higher nutritional patterns. This may also reflect confounding by higher socioeconomic class </w:t>
      </w:r>
      <w:r w:rsidRPr="002E5D23">
        <w:rPr>
          <w:b/>
          <w:color w:val="auto"/>
          <w:szCs w:val="20"/>
          <w:lang w:val="en-GB"/>
        </w:rPr>
        <w:fldChar w:fldCharType="begin"/>
      </w:r>
      <w:r w:rsidRPr="002E5D23">
        <w:rPr>
          <w:color w:val="auto"/>
          <w:szCs w:val="20"/>
          <w:lang w:val="en-GB"/>
        </w:rPr>
        <w:instrText xml:space="preserve"> ADDIN EN.CITE &lt;EndNote&gt;&lt;Cite&gt;&lt;Author&gt;Livingston&lt;/Author&gt;&lt;Year&gt;2025&lt;/Year&gt;&lt;RecNum&gt;1746&lt;/RecNum&gt;&lt;DisplayText&gt;[27]&lt;/DisplayText&gt;&lt;record&gt;&lt;rec-number&gt;1746&lt;/rec-number&gt;&lt;foreign-keys&gt;&lt;key app="EN" db-id="xp2sx5aahpsveaea2zq5s2xsef9d0fsxsxex" timestamp="1763982981"&gt;1746&lt;/key&gt;&lt;/foreign-keys&gt;&lt;ref-type name="Journal Article"&gt;17&lt;/ref-type&gt;&lt;contributors&gt;&lt;authors&gt;&lt;author&gt;Livingston, Michael&lt;/author&gt;&lt;author&gt;Taylor, Nic&lt;/author&gt;&lt;author&gt;Callinan, Sarah&lt;/author&gt;&lt;author&gt;Mojica‐Perez, Yvette&lt;/author&gt;&lt;author&gt;Torney, Alexandra&lt;/author&gt;&lt;author&gt;Caluzzi, Gabriel&lt;/author&gt;&lt;author&gt;Kepa, Klaudia&lt;/author&gt;&lt;author&gt;Pennay, Amy&lt;/author&gt;&lt;/authors&gt;&lt;/contributors&gt;&lt;titles&gt;&lt;title&gt;Describing the alcohol harm paradox: 20 years of data from Victoria, Australia&lt;/title&gt;&lt;secondary-title&gt;Addiction&lt;/secondary-title&gt;&lt;/titles&gt;&lt;periodical&gt;&lt;full-title&gt;Addiction&lt;/full-title&gt;&lt;abbr-1&gt;Addiction&lt;/abbr-1&gt;&lt;abbr-2&gt;Addiction&lt;/abbr-2&gt;&lt;/periodical&gt;&lt;pages&gt;349-359&lt;/pages&gt;&lt;volume&gt;121&lt;/volume&gt;&lt;number&gt;2&lt;/number&gt;&lt;dates&gt;&lt;year&gt;2025&lt;/year&gt;&lt;/dates&gt;&lt;isbn&gt;0965-2140&lt;/isbn&gt;&lt;urls&gt;&lt;/urls&gt;&lt;/record&gt;&lt;/Cite&gt;&lt;/EndNote&gt;</w:instrText>
      </w:r>
      <w:r w:rsidRPr="002E5D23">
        <w:rPr>
          <w:b/>
          <w:color w:val="auto"/>
          <w:szCs w:val="20"/>
          <w:lang w:val="en-GB"/>
        </w:rPr>
        <w:fldChar w:fldCharType="separate"/>
      </w:r>
      <w:r w:rsidRPr="002E5D23">
        <w:rPr>
          <w:color w:val="auto"/>
          <w:szCs w:val="20"/>
          <w:lang w:val="en-GB"/>
        </w:rPr>
        <w:t>[27]</w:t>
      </w:r>
      <w:r w:rsidRPr="002E5D23">
        <w:rPr>
          <w:b/>
          <w:color w:val="auto"/>
          <w:szCs w:val="20"/>
          <w:lang w:val="en-GB"/>
        </w:rPr>
        <w:fldChar w:fldCharType="end"/>
      </w:r>
      <w:r w:rsidRPr="002E5D23">
        <w:rPr>
          <w:color w:val="auto"/>
          <w:szCs w:val="20"/>
          <w:lang w:val="en-GB"/>
        </w:rPr>
        <w:t>.</w:t>
      </w:r>
    </w:p>
    <w:p w14:paraId="45A04F95" w14:textId="6C1FE13B" w:rsidR="00C92627" w:rsidRPr="002E5D23" w:rsidRDefault="00C92627" w:rsidP="00CF5981">
      <w:pPr>
        <w:pStyle w:val="MDPI31text"/>
        <w:rPr>
          <w:b/>
          <w:color w:val="auto"/>
          <w:szCs w:val="20"/>
          <w:lang w:val="en-GB"/>
        </w:rPr>
      </w:pPr>
      <w:r w:rsidRPr="002E5D23">
        <w:rPr>
          <w:color w:val="auto"/>
          <w:szCs w:val="20"/>
          <w:lang w:val="en-GB"/>
        </w:rPr>
        <w:t xml:space="preserve">Within our cohort, we identified participants with poorer nutritional patterns. We were particularly interested in studying older adults living in their own homes, who still have autonomy over food choices. Nutritional choice is complex; it was the topic of a recent position piece, which suggested that there should be more responsibility placed on the government and food manufacturers rather than individuals </w:t>
      </w:r>
      <w:r w:rsidRPr="002E5D23">
        <w:rPr>
          <w:b/>
          <w:color w:val="auto"/>
          <w:szCs w:val="20"/>
          <w:lang w:val="en-GB"/>
        </w:rPr>
        <w:fldChar w:fldCharType="begin"/>
      </w:r>
      <w:r w:rsidRPr="002E5D23">
        <w:rPr>
          <w:color w:val="auto"/>
          <w:szCs w:val="20"/>
          <w:lang w:val="en-GB"/>
        </w:rPr>
        <w:instrText xml:space="preserve"> ADDIN EN.CITE &lt;EndNote&gt;&lt;Cite&gt;&lt;Author&gt;Serrano-Fuentes&lt;/Author&gt;&lt;Year&gt;2025&lt;/Year&gt;&lt;RecNum&gt;1747&lt;/RecNum&gt;&lt;DisplayText&gt;[28]&lt;/DisplayText&gt;&lt;record&gt;&lt;rec-number&gt;1747&lt;/rec-number&gt;&lt;foreign-keys&gt;&lt;key app="EN" db-id="xp2sx5aahpsveaea2zq5s2xsef9d0fsxsxex" timestamp="1763983109"&gt;1747&lt;/key&gt;&lt;/foreign-keys&gt;&lt;ref-type name="Journal Article"&gt;17&lt;/ref-type&gt;&lt;contributors&gt;&lt;authors&gt;&lt;author&gt;Serrano-Fuentes, Nestor&lt;/author&gt;&lt;author&gt;Ellett, Lyn&lt;/author&gt;&lt;author&gt;Vogel, Christina&lt;/author&gt;&lt;author&gt;Baird, Janis&lt;/author&gt;&lt;author&gt;Tavares, Nuno&lt;/author&gt;&lt;author&gt;Portillo, Mari Carmen&lt;/author&gt;&lt;/authors&gt;&lt;/contributors&gt;&lt;titles&gt;&lt;title&gt;Mapping how responsibility for poor diets is framed in the United Kingdom: a scoping review&lt;/title&gt;&lt;secondary-title&gt;Public Health Nutr&lt;/secondary-title&gt;&lt;/titles&gt;&lt;periodical&gt;&lt;full-title&gt;Public Health Nutrition&lt;/full-title&gt;&lt;abbr-1&gt;Public Health Nutr.&lt;/abbr-1&gt;&lt;abbr-2&gt;Public Health Nutr&lt;/abbr-2&gt;&lt;/periodical&gt;&lt;volume&gt;28&lt;/volume&gt;&lt;number&gt;1&lt;/number&gt;&lt;dates&gt;&lt;year&gt;2025&lt;/year&gt;&lt;/dates&gt;&lt;isbn&gt;1368-9800&lt;/isbn&gt;&lt;urls&gt;&lt;/urls&gt;&lt;/record&gt;&lt;/Cite&gt;&lt;/EndNote&gt;</w:instrText>
      </w:r>
      <w:r w:rsidRPr="002E5D23">
        <w:rPr>
          <w:b/>
          <w:color w:val="auto"/>
          <w:szCs w:val="20"/>
          <w:lang w:val="en-GB"/>
        </w:rPr>
        <w:fldChar w:fldCharType="separate"/>
      </w:r>
      <w:r w:rsidRPr="002E5D23">
        <w:rPr>
          <w:color w:val="auto"/>
          <w:szCs w:val="20"/>
          <w:lang w:val="en-GB"/>
        </w:rPr>
        <w:t>[28]</w:t>
      </w:r>
      <w:r w:rsidRPr="002E5D23">
        <w:rPr>
          <w:b/>
          <w:color w:val="auto"/>
          <w:szCs w:val="20"/>
          <w:lang w:val="en-GB"/>
        </w:rPr>
        <w:fldChar w:fldCharType="end"/>
      </w:r>
      <w:r w:rsidRPr="002E5D23">
        <w:rPr>
          <w:color w:val="auto"/>
          <w:szCs w:val="20"/>
          <w:lang w:val="en-GB"/>
        </w:rPr>
        <w:t xml:space="preserve">, so any scalable interventions need to be multifactorial. For example, a nutritional risk screening programme, using a validated tool such as the Malnutrition Universal Screening Tool (MUST) or DETERMINE, could be implemented in the community as part of an annual assessment for older adults. This would enable early identification of individuals at high risk of malnutrition and allow provision of targeted support and health interventions to improve their nutritional status. At the individual level, we recently suggested that retirement is a time of transition when lifestyle modification might be possible, despite the challenge of long-term behaviours </w:t>
      </w:r>
      <w:r w:rsidRPr="002E5D23">
        <w:rPr>
          <w:b/>
          <w:color w:val="auto"/>
          <w:szCs w:val="20"/>
          <w:lang w:val="en-GB"/>
        </w:rPr>
        <w:fldChar w:fldCharType="begin"/>
      </w:r>
      <w:r w:rsidRPr="002E5D23">
        <w:rPr>
          <w:color w:val="auto"/>
          <w:szCs w:val="20"/>
          <w:lang w:val="en-GB"/>
        </w:rPr>
        <w:instrText xml:space="preserve"> ADDIN EN.CITE &lt;EndNote&gt;&lt;Cite&gt;&lt;Author&gt;Westbury&lt;/Author&gt;&lt;Year&gt;2025&lt;/Year&gt;&lt;RecNum&gt;1748&lt;/RecNum&gt;&lt;DisplayText&gt;[29]&lt;/DisplayText&gt;&lt;record&gt;&lt;rec-number&gt;1748&lt;/rec-number&gt;&lt;foreign-keys&gt;&lt;key app="EN" db-id="xp2sx5aahpsveaea2zq5s2xsef9d0fsxsxex" timestamp="1763983518"&gt;1748&lt;/key&gt;&lt;/foreign-keys&gt;&lt;ref-type name="Journal Article"&gt;17&lt;/ref-type&gt;&lt;contributors&gt;&lt;authors&gt;&lt;author&gt;Westbury, Leo&lt;/author&gt;&lt;author&gt;Gaba, Kamran&lt;/author&gt;&lt;author&gt;Bevilacqua, Gregorio&lt;/author&gt;&lt;author&gt;Fuggle, Nicholas&lt;/author&gt;&lt;author&gt;Dennison, Elaine&lt;/author&gt;&lt;/authors&gt;&lt;/contributors&gt;&lt;titles&gt;&lt;title&gt;60 is the new 40: preparing for better bone health in later life&lt;/title&gt;&lt;secondary-title&gt;Front Aging&lt;/secondary-title&gt;&lt;/titles&gt;&lt;periodical&gt;&lt;full-title&gt;Front Aging&lt;/full-title&gt;&lt;/periodical&gt;&lt;pages&gt;1490124&lt;/pages&gt;&lt;volume&gt;6&lt;/volume&gt;&lt;dates&gt;&lt;year&gt;2025&lt;/year&gt;&lt;/dates&gt;&lt;isbn&gt;2673-6217&lt;/isbn&gt;&lt;urls&gt;&lt;/urls&gt;&lt;/record&gt;&lt;/Cite&gt;&lt;/EndNote&gt;</w:instrText>
      </w:r>
      <w:r w:rsidRPr="002E5D23">
        <w:rPr>
          <w:b/>
          <w:color w:val="auto"/>
          <w:szCs w:val="20"/>
          <w:lang w:val="en-GB"/>
        </w:rPr>
        <w:fldChar w:fldCharType="separate"/>
      </w:r>
      <w:r w:rsidRPr="002E5D23">
        <w:rPr>
          <w:color w:val="auto"/>
          <w:szCs w:val="20"/>
          <w:lang w:val="en-GB"/>
        </w:rPr>
        <w:t>[29]</w:t>
      </w:r>
      <w:r w:rsidRPr="002E5D23">
        <w:rPr>
          <w:b/>
          <w:color w:val="auto"/>
          <w:szCs w:val="20"/>
          <w:lang w:val="en-GB"/>
        </w:rPr>
        <w:fldChar w:fldCharType="end"/>
      </w:r>
      <w:r w:rsidRPr="002E5D23">
        <w:rPr>
          <w:color w:val="auto"/>
          <w:szCs w:val="20"/>
          <w:lang w:val="en-GB"/>
        </w:rPr>
        <w:t xml:space="preserve">. A healthy conversation skills intervention is one method that has been trialled in this cohort, with preliminary data suggesting it may be effective, even in later life </w:t>
      </w:r>
      <w:r w:rsidRPr="002E5D23">
        <w:rPr>
          <w:b/>
          <w:color w:val="auto"/>
          <w:szCs w:val="20"/>
          <w:lang w:val="en-GB"/>
        </w:rPr>
        <w:fldChar w:fldCharType="begin"/>
      </w:r>
      <w:r w:rsidRPr="002E5D23">
        <w:rPr>
          <w:color w:val="auto"/>
          <w:szCs w:val="20"/>
          <w:lang w:val="en-GB"/>
        </w:rPr>
        <w:instrText xml:space="preserve"> ADDIN EN.CITE &lt;EndNote&gt;&lt;Cite&gt;&lt;Author&gt;Zhang&lt;/Author&gt;&lt;Year&gt;2024&lt;/Year&gt;&lt;RecNum&gt;1749&lt;/RecNum&gt;&lt;DisplayText&gt;[30]&lt;/DisplayText&gt;&lt;record&gt;&lt;rec-number&gt;1749&lt;/rec-number&gt;&lt;foreign-keys&gt;&lt;key app="EN" db-id="xp2sx5aahpsveaea2zq5s2xsef9d0fsxsxex" timestamp="1763983644"&gt;1749&lt;/key&gt;&lt;/foreign-keys&gt;&lt;ref-type name="Journal Article"&gt;17&lt;/ref-type&gt;&lt;contributors&gt;&lt;authors&gt;&lt;author&gt;Zhang, J&lt;/author&gt;&lt;author&gt;Bloom, I&lt;/author&gt;&lt;author&gt;Westbury, LD&lt;/author&gt;&lt;author&gt;Bevilacqua, G&lt;/author&gt;&lt;author&gt;Ward, KA&lt;/author&gt;&lt;author&gt;Barker, M&lt;/author&gt;&lt;author&gt;Lawrence, W&lt;/author&gt;&lt;author&gt;Cooper, C&lt;/author&gt;&lt;author&gt;Dennison, EM&lt;/author&gt;&lt;/authors&gt;&lt;/contributors&gt;&lt;titles&gt;&lt;title&gt;A Healthy Conversation Skills intervention to support changes to physical activity and dietary behaviours in community-dwelling older adults during the COVID-19 pandemic&lt;/title&gt;&lt;secondary-title&gt;Perspect Public Health&lt;/secondary-title&gt;&lt;/titles&gt;&lt;periodical&gt;&lt;full-title&gt;Perspect Public Health&lt;/full-title&gt;&lt;/periodical&gt;&lt;pages&gt;17579139241262657&lt;/pages&gt;&lt;volume&gt;1&lt;/volume&gt;&lt;dates&gt;&lt;year&gt;2024&lt;/year&gt;&lt;/dates&gt;&lt;isbn&gt;1757-9139&lt;/isbn&gt;&lt;urls&gt;&lt;/urls&gt;&lt;/record&gt;&lt;/Cite&gt;&lt;/EndNote&gt;</w:instrText>
      </w:r>
      <w:r w:rsidRPr="002E5D23">
        <w:rPr>
          <w:b/>
          <w:color w:val="auto"/>
          <w:szCs w:val="20"/>
          <w:lang w:val="en-GB"/>
        </w:rPr>
        <w:fldChar w:fldCharType="separate"/>
      </w:r>
      <w:r w:rsidRPr="002E5D23">
        <w:rPr>
          <w:color w:val="auto"/>
          <w:szCs w:val="20"/>
          <w:lang w:val="en-GB"/>
        </w:rPr>
        <w:t>[30]</w:t>
      </w:r>
      <w:r w:rsidRPr="002E5D23">
        <w:rPr>
          <w:b/>
          <w:color w:val="auto"/>
          <w:szCs w:val="20"/>
          <w:lang w:val="en-GB"/>
        </w:rPr>
        <w:fldChar w:fldCharType="end"/>
      </w:r>
      <w:r w:rsidRPr="002E5D23">
        <w:rPr>
          <w:color w:val="auto"/>
          <w:szCs w:val="20"/>
          <w:lang w:val="en-GB"/>
        </w:rPr>
        <w:t>. Social factors have been identified as important contributors to dietary choice in this cohort and might be harnessed in any interventions.</w:t>
      </w:r>
    </w:p>
    <w:p w14:paraId="3219DC53" w14:textId="7376119D" w:rsidR="00C92627" w:rsidRPr="002E5D23" w:rsidRDefault="00C92627" w:rsidP="00CF5981">
      <w:pPr>
        <w:pStyle w:val="MDPI31text"/>
        <w:rPr>
          <w:b/>
          <w:color w:val="auto"/>
          <w:szCs w:val="20"/>
          <w:lang w:val="en-GB"/>
        </w:rPr>
      </w:pPr>
      <w:r w:rsidRPr="002E5D23">
        <w:rPr>
          <w:color w:val="auto"/>
          <w:szCs w:val="20"/>
          <w:lang w:val="en-GB"/>
        </w:rPr>
        <w:t xml:space="preserve">Strengths of this study include the repeated assessment of diet across three time points spanning nearly two decades, the availability of a broad set of baseline characteristics and follow-up outcomes, and the rigorous phenotyping protocols applied within </w:t>
      </w:r>
      <w:r w:rsidRPr="002E5D23">
        <w:rPr>
          <w:color w:val="auto"/>
          <w:szCs w:val="20"/>
          <w:lang w:val="en-GB"/>
        </w:rPr>
        <w:lastRenderedPageBreak/>
        <w:t xml:space="preserve">HCS. </w:t>
      </w:r>
      <w:bookmarkStart w:id="35" w:name="_Hlk220054043"/>
      <w:bookmarkStart w:id="36" w:name="_Hlk220054178"/>
      <w:r w:rsidRPr="002E5D23">
        <w:rPr>
          <w:color w:val="auto"/>
          <w:szCs w:val="20"/>
          <w:lang w:val="en-GB"/>
        </w:rPr>
        <w:t xml:space="preserve">However, our study has several limitations. First, substantial selection and attrition biases may be present as the analytical sample comprised relatively healthy, community-dwelling older adults who remained engaged in the study over multiple follow-up stages. This ‘healthy participant’ effect likely reduces variability in both the dietary exposure and musculoskeletal outcomes, limiting statistical power and increasing the risk of type II errors. </w:t>
      </w:r>
      <w:bookmarkStart w:id="37" w:name="_Hlk218850115"/>
      <w:r w:rsidRPr="002E5D23">
        <w:rPr>
          <w:color w:val="auto"/>
          <w:szCs w:val="20"/>
          <w:lang w:val="en-GB"/>
        </w:rPr>
        <w:t xml:space="preserve">Moreover, participants were all Caucasian. Consequently, the generalisability of our findings may be much more limited for populations with greater socioeconomic deprivation, higher levels of frailty (such as nursing home residents), or those from different ethnic backgrounds or countries. </w:t>
      </w:r>
      <w:bookmarkEnd w:id="37"/>
      <w:r w:rsidRPr="002E5D23">
        <w:rPr>
          <w:color w:val="auto"/>
          <w:szCs w:val="20"/>
          <w:lang w:val="en-GB"/>
        </w:rPr>
        <w:t xml:space="preserve">Despite this, the baseline characteristics of the cohort were broadly comparable to those of participants in the nationally representative Health Survey for England. </w:t>
      </w:r>
      <w:bookmarkStart w:id="38" w:name="_Hlk218849896"/>
      <w:r w:rsidRPr="002E5D23">
        <w:rPr>
          <w:color w:val="auto"/>
          <w:szCs w:val="20"/>
          <w:lang w:val="en-GB"/>
        </w:rPr>
        <w:t xml:space="preserve">Second, baseline dietary assessment occurred between 1998 and 2004. Dietary environments, food availability, and public health recommendations have changed substantially since then, limiting the relevance of these findings for contemporary nutrition policy. </w:t>
      </w:r>
      <w:bookmarkStart w:id="39" w:name="_Hlk218850369"/>
      <w:bookmarkEnd w:id="38"/>
      <w:r w:rsidRPr="002E5D23">
        <w:rPr>
          <w:color w:val="auto"/>
          <w:szCs w:val="20"/>
          <w:lang w:val="en-GB"/>
        </w:rPr>
        <w:t xml:space="preserve">Third, the sample size </w:t>
      </w:r>
      <w:r w:rsidR="00726528" w:rsidRPr="002E5D23">
        <w:rPr>
          <w:color w:val="auto"/>
          <w:szCs w:val="20"/>
          <w:lang w:val="en-GB"/>
        </w:rPr>
        <w:t xml:space="preserve">was </w:t>
      </w:r>
      <w:r w:rsidRPr="002E5D23">
        <w:rPr>
          <w:color w:val="auto"/>
          <w:szCs w:val="20"/>
          <w:lang w:val="en-GB"/>
        </w:rPr>
        <w:t xml:space="preserve">small for trajectory modelling, particularly when outcomes are relatively infrequent. This constrains the precision of effect estimates and precludes robust subgroup or interaction analyses, such as sex-specific effects. This would have also reduced the statistical power to detect associations. </w:t>
      </w:r>
      <w:bookmarkEnd w:id="39"/>
      <w:r w:rsidRPr="002E5D23">
        <w:rPr>
          <w:color w:val="auto"/>
          <w:szCs w:val="20"/>
          <w:lang w:val="en-GB"/>
        </w:rPr>
        <w:t xml:space="preserve">However, the observed findings remain biologically plausible and consistent with previous research. </w:t>
      </w:r>
      <w:bookmarkStart w:id="40" w:name="_Hlk218851690"/>
      <w:r w:rsidRPr="002E5D23">
        <w:rPr>
          <w:color w:val="auto"/>
          <w:szCs w:val="20"/>
          <w:lang w:val="en-GB"/>
        </w:rPr>
        <w:t xml:space="preserve">Fourth, several musculoskeletal outcomes relied on self-report, including osteoporosis diagnosis and falls, introducing potential recall bias. In addition, for the osteoporosis outcome, participants who did not report doctor-diagnosed osteoporosis were assumed not to have the condition, even if their T-score or medication data were missing. However, the association between trajectory group membership and osteoporosis was similarly weak when repeated in the subsample of participants (155 of 179) with complete data for all three components used to define osteoporosis status. </w:t>
      </w:r>
      <w:bookmarkEnd w:id="40"/>
      <w:r w:rsidRPr="002E5D23">
        <w:rPr>
          <w:color w:val="auto"/>
          <w:szCs w:val="20"/>
          <w:lang w:val="en-GB"/>
        </w:rPr>
        <w:t>A further limitation is that self-reported doctor-diagnosed osteoarthritis was not collected at the 2017 follow-up; instead, we used history of hip or knee joint replacement as a proxy for severe osteoarthritis. This measure may not capture individuals with osteoarthritis who have not undergone arthroplasty, for example due to limited access to surgery.</w:t>
      </w:r>
      <w:bookmarkEnd w:id="35"/>
    </w:p>
    <w:p w14:paraId="4337A25F" w14:textId="77777777" w:rsidR="00C92627" w:rsidRPr="002E5D23" w:rsidRDefault="00C92627" w:rsidP="00CF5981">
      <w:pPr>
        <w:pStyle w:val="MDPI21heading1"/>
        <w:rPr>
          <w:color w:val="auto"/>
          <w:szCs w:val="24"/>
          <w:lang w:val="en-GB"/>
        </w:rPr>
      </w:pPr>
      <w:bookmarkStart w:id="41" w:name="_Hlk219626151"/>
      <w:bookmarkEnd w:id="36"/>
      <w:r w:rsidRPr="002E5D23">
        <w:rPr>
          <w:color w:val="auto"/>
          <w:szCs w:val="24"/>
          <w:lang w:val="en-GB"/>
        </w:rPr>
        <w:t>5. Conclusions and Future Perspectives</w:t>
      </w:r>
      <w:bookmarkEnd w:id="41"/>
    </w:p>
    <w:p w14:paraId="485CF3DF" w14:textId="1CB3240F" w:rsidR="00C92627" w:rsidRPr="002E5D23" w:rsidRDefault="00C92627" w:rsidP="00CF5981">
      <w:pPr>
        <w:pStyle w:val="MDPI31text"/>
        <w:rPr>
          <w:color w:val="auto"/>
          <w:szCs w:val="20"/>
          <w:lang w:val="en-GB"/>
        </w:rPr>
      </w:pPr>
      <w:r w:rsidRPr="002E5D23">
        <w:rPr>
          <w:color w:val="auto"/>
          <w:szCs w:val="20"/>
          <w:lang w:val="en-GB"/>
        </w:rPr>
        <w:t>In summary, we have reported generally stable diet quality trajectories over 17 years of follow-up in older adults, an observation that might be considered an opportunity or a challenge. We did not formally assess cognitive function in our study; our sample might be considered generally healthier than many of their peers, and cognitive impairment was not reported by participants or their carers. Future work should include participants who report memory problems, as this might be expected to be a group at high risk. Although we did not report strong associations with musculoskeletal outcomes in this sample, larger studies of older adults are now indicated, especially in populations where the prevalence of frailty is higher. Given demographic changes and increasing life expectancy, this work is urgently required.</w:t>
      </w:r>
    </w:p>
    <w:p w14:paraId="3104984A" w14:textId="77777777" w:rsidR="00C92627" w:rsidRPr="002E5D23" w:rsidRDefault="00C92627" w:rsidP="00CF5981">
      <w:pPr>
        <w:pStyle w:val="MDPI31text"/>
        <w:rPr>
          <w:rFonts w:eastAsiaTheme="minorEastAsia"/>
          <w:color w:val="auto"/>
          <w:szCs w:val="20"/>
          <w:lang w:val="en-GB" w:eastAsia="zh-CN"/>
        </w:rPr>
      </w:pPr>
      <w:bookmarkStart w:id="42" w:name="_Hlk219626068"/>
      <w:bookmarkStart w:id="43" w:name="_Hlk219732199"/>
      <w:r w:rsidRPr="002E5D23">
        <w:rPr>
          <w:color w:val="auto"/>
          <w:szCs w:val="20"/>
          <w:lang w:val="en-GB"/>
        </w:rPr>
        <w:t>In this study, we used observational data from a well-characterized cohort to examine diet quality trajectories in relation to sociodemographic and lifestyle factors, and in relation to musculoskeletal outcomes. While these analyses are descriptive, a key strength is the long duration of follow-up into very old age, a life stage for which high-quality dietary data are scarce, combined with detailed phenotyping. Although residual confounding is possible, the findings highlight population-level associations between socioeconomic and lifestyle factors around the time of retirement and dietary patterns nearly two decades later. These results suggest that interventions in the seventh decade of life may have the potential to yield long-lasting benefits extending into the oldest old</w:t>
      </w:r>
      <w:bookmarkEnd w:id="42"/>
      <w:r w:rsidRPr="002E5D23">
        <w:rPr>
          <w:color w:val="auto"/>
          <w:szCs w:val="20"/>
          <w:lang w:val="en-GB"/>
        </w:rPr>
        <w:t>.</w:t>
      </w:r>
    </w:p>
    <w:p w14:paraId="60E7E334" w14:textId="24824F63" w:rsidR="00CF5981" w:rsidRPr="002E5D23" w:rsidRDefault="00CF5981" w:rsidP="00CF5981">
      <w:pPr>
        <w:pStyle w:val="MDPI31text"/>
        <w:spacing w:before="240" w:after="120"/>
        <w:ind w:firstLine="0"/>
        <w:rPr>
          <w:rFonts w:eastAsiaTheme="minorEastAsia"/>
          <w:b/>
          <w:color w:val="auto"/>
          <w:sz w:val="18"/>
          <w:szCs w:val="18"/>
          <w:lang w:val="en-GB" w:eastAsia="zh-CN"/>
        </w:rPr>
      </w:pPr>
      <w:r w:rsidRPr="002E5D23">
        <w:rPr>
          <w:rFonts w:eastAsiaTheme="minorEastAsia"/>
          <w:b/>
          <w:color w:val="auto"/>
          <w:sz w:val="18"/>
          <w:szCs w:val="18"/>
          <w:lang w:val="en-GB" w:eastAsia="zh-CN"/>
        </w:rPr>
        <w:lastRenderedPageBreak/>
        <w:t xml:space="preserve">Supplementary Materials: </w:t>
      </w:r>
      <w:r w:rsidRPr="002E5D23">
        <w:rPr>
          <w:rFonts w:eastAsiaTheme="minorEastAsia"/>
          <w:bCs/>
          <w:color w:val="auto"/>
          <w:sz w:val="18"/>
          <w:szCs w:val="18"/>
          <w:lang w:val="en-GB" w:eastAsia="zh-CN"/>
        </w:rPr>
        <w:t xml:space="preserve">The following supporting information can be downloaded at: https://www.mdpi.com/article/doi/s1, Table S1: </w:t>
      </w:r>
      <w:r w:rsidR="00DC6129" w:rsidRPr="002E5D23">
        <w:rPr>
          <w:rFonts w:eastAsiaTheme="minorEastAsia"/>
          <w:bCs/>
          <w:color w:val="auto"/>
          <w:sz w:val="18"/>
          <w:szCs w:val="18"/>
          <w:lang w:val="en-GB" w:eastAsia="zh-CN"/>
        </w:rPr>
        <w:t>First principal component coefficient for each food item used to derive the diet quality score</w:t>
      </w:r>
      <w:r w:rsidRPr="002E5D23">
        <w:rPr>
          <w:rFonts w:eastAsiaTheme="minorEastAsia"/>
          <w:bCs/>
          <w:color w:val="auto"/>
          <w:sz w:val="18"/>
          <w:szCs w:val="18"/>
          <w:lang w:val="en-GB" w:eastAsia="zh-CN"/>
        </w:rPr>
        <w:t xml:space="preserve">; </w:t>
      </w:r>
      <w:r w:rsidR="00BB10F1" w:rsidRPr="002E5D23">
        <w:rPr>
          <w:rFonts w:eastAsiaTheme="minorEastAsia"/>
          <w:bCs/>
          <w:color w:val="auto"/>
          <w:sz w:val="18"/>
          <w:szCs w:val="18"/>
          <w:lang w:val="en-GB" w:eastAsia="zh-CN"/>
        </w:rPr>
        <w:t>Table S</w:t>
      </w:r>
      <w:r w:rsidR="00BB10F1" w:rsidRPr="002E5D23">
        <w:rPr>
          <w:rFonts w:eastAsiaTheme="minorEastAsia" w:hint="eastAsia"/>
          <w:bCs/>
          <w:color w:val="auto"/>
          <w:sz w:val="18"/>
          <w:szCs w:val="18"/>
          <w:lang w:val="en-GB" w:eastAsia="zh-CN"/>
        </w:rPr>
        <w:t>2</w:t>
      </w:r>
      <w:r w:rsidR="00BB10F1" w:rsidRPr="002E5D23">
        <w:rPr>
          <w:rFonts w:eastAsiaTheme="minorEastAsia"/>
          <w:bCs/>
          <w:color w:val="auto"/>
          <w:sz w:val="18"/>
          <w:szCs w:val="18"/>
          <w:lang w:val="en-GB" w:eastAsia="zh-CN"/>
        </w:rPr>
        <w:t xml:space="preserve">: </w:t>
      </w:r>
      <w:r w:rsidR="00DC6129" w:rsidRPr="002E5D23">
        <w:rPr>
          <w:rFonts w:eastAsiaTheme="minorEastAsia"/>
          <w:bCs/>
          <w:color w:val="auto"/>
          <w:sz w:val="18"/>
          <w:szCs w:val="18"/>
          <w:lang w:val="en-GB" w:eastAsia="zh-CN"/>
        </w:rPr>
        <w:t>Comparison of baseline participant characteristics between the analysis sample and the group of participants who were not included in the analysis sample</w:t>
      </w:r>
      <w:r w:rsidR="00BB10F1" w:rsidRPr="002E5D23">
        <w:rPr>
          <w:rFonts w:eastAsiaTheme="minorEastAsia" w:hint="eastAsia"/>
          <w:bCs/>
          <w:color w:val="auto"/>
          <w:sz w:val="18"/>
          <w:szCs w:val="18"/>
          <w:lang w:val="en-GB" w:eastAsia="zh-CN"/>
        </w:rPr>
        <w:t xml:space="preserve">; </w:t>
      </w:r>
      <w:r w:rsidR="00BB10F1" w:rsidRPr="002E5D23">
        <w:rPr>
          <w:rFonts w:eastAsiaTheme="minorEastAsia"/>
          <w:bCs/>
          <w:color w:val="auto"/>
          <w:sz w:val="18"/>
          <w:szCs w:val="18"/>
          <w:lang w:val="en-GB" w:eastAsia="zh-CN"/>
        </w:rPr>
        <w:t>Table S</w:t>
      </w:r>
      <w:r w:rsidR="00BB10F1" w:rsidRPr="002E5D23">
        <w:rPr>
          <w:rFonts w:eastAsiaTheme="minorEastAsia" w:hint="eastAsia"/>
          <w:bCs/>
          <w:color w:val="auto"/>
          <w:sz w:val="18"/>
          <w:szCs w:val="18"/>
          <w:lang w:val="en-GB" w:eastAsia="zh-CN"/>
        </w:rPr>
        <w:t>3</w:t>
      </w:r>
      <w:r w:rsidR="00BB10F1" w:rsidRPr="002E5D23">
        <w:rPr>
          <w:rFonts w:eastAsiaTheme="minorEastAsia"/>
          <w:bCs/>
          <w:color w:val="auto"/>
          <w:sz w:val="18"/>
          <w:szCs w:val="18"/>
          <w:lang w:val="en-GB" w:eastAsia="zh-CN"/>
        </w:rPr>
        <w:t xml:space="preserve">: </w:t>
      </w:r>
      <w:r w:rsidR="00DC6129" w:rsidRPr="002E5D23">
        <w:rPr>
          <w:rFonts w:eastAsiaTheme="minorEastAsia"/>
          <w:bCs/>
          <w:color w:val="auto"/>
          <w:sz w:val="18"/>
          <w:szCs w:val="18"/>
          <w:lang w:val="en-GB" w:eastAsia="zh-CN"/>
        </w:rPr>
        <w:t>Participant characteristics at baseline (1998</w:t>
      </w:r>
      <w:r w:rsidR="00527BCE" w:rsidRPr="002E5D23">
        <w:rPr>
          <w:rFonts w:eastAsiaTheme="minorEastAsia"/>
          <w:bCs/>
          <w:color w:val="auto"/>
          <w:sz w:val="18"/>
          <w:szCs w:val="18"/>
          <w:lang w:val="en-GB" w:eastAsia="zh-CN"/>
        </w:rPr>
        <w:t>–</w:t>
      </w:r>
      <w:r w:rsidR="00DC6129" w:rsidRPr="002E5D23">
        <w:rPr>
          <w:rFonts w:eastAsiaTheme="minorEastAsia"/>
          <w:bCs/>
          <w:color w:val="auto"/>
          <w:sz w:val="18"/>
          <w:szCs w:val="18"/>
          <w:lang w:val="en-GB" w:eastAsia="zh-CN"/>
        </w:rPr>
        <w:t>2004), stratified by diet quality trajectory group</w:t>
      </w:r>
      <w:r w:rsidRPr="002E5D23">
        <w:rPr>
          <w:rFonts w:eastAsiaTheme="minorEastAsia"/>
          <w:bCs/>
          <w:color w:val="auto"/>
          <w:sz w:val="18"/>
          <w:szCs w:val="18"/>
          <w:lang w:val="en-GB" w:eastAsia="zh-CN"/>
        </w:rPr>
        <w:t>.</w:t>
      </w:r>
    </w:p>
    <w:bookmarkEnd w:id="43"/>
    <w:p w14:paraId="18532667" w14:textId="6E13B9D9" w:rsidR="00C92627" w:rsidRPr="002E5D23" w:rsidRDefault="00CF5981" w:rsidP="00CF5981">
      <w:pPr>
        <w:pStyle w:val="MDPI62backmatter"/>
        <w:spacing w:before="240"/>
        <w:rPr>
          <w:rFonts w:eastAsiaTheme="minorEastAsia"/>
          <w:color w:val="auto"/>
          <w:szCs w:val="18"/>
          <w:lang w:val="en-GB"/>
        </w:rPr>
      </w:pPr>
      <w:r w:rsidRPr="002E5D23">
        <w:rPr>
          <w:b/>
          <w:color w:val="auto"/>
          <w:szCs w:val="18"/>
          <w:lang w:val="en-GB"/>
        </w:rPr>
        <w:t>Author Contribution</w:t>
      </w:r>
      <w:r w:rsidR="00C92627" w:rsidRPr="002E5D23">
        <w:rPr>
          <w:b/>
          <w:color w:val="auto"/>
          <w:szCs w:val="18"/>
          <w:lang w:val="en-GB"/>
        </w:rPr>
        <w:t xml:space="preserve">s: </w:t>
      </w:r>
      <w:r w:rsidR="00C92627" w:rsidRPr="002E5D23">
        <w:rPr>
          <w:color w:val="auto"/>
          <w:szCs w:val="18"/>
          <w:lang w:val="en-GB"/>
        </w:rPr>
        <w:t>E</w:t>
      </w:r>
      <w:r w:rsidR="00F743E5" w:rsidRPr="002E5D23">
        <w:rPr>
          <w:rFonts w:eastAsiaTheme="minorEastAsia" w:hint="eastAsia"/>
          <w:color w:val="auto"/>
          <w:szCs w:val="18"/>
          <w:lang w:val="en-GB"/>
        </w:rPr>
        <w:t>.</w:t>
      </w:r>
      <w:r w:rsidR="00C92627" w:rsidRPr="002E5D23">
        <w:rPr>
          <w:color w:val="auto"/>
          <w:szCs w:val="18"/>
          <w:lang w:val="en-GB"/>
        </w:rPr>
        <w:t>M</w:t>
      </w:r>
      <w:r w:rsidR="00F743E5" w:rsidRPr="002E5D23">
        <w:rPr>
          <w:rFonts w:eastAsiaTheme="minorEastAsia" w:hint="eastAsia"/>
          <w:color w:val="auto"/>
          <w:szCs w:val="18"/>
          <w:lang w:val="en-GB"/>
        </w:rPr>
        <w:t>.</w:t>
      </w:r>
      <w:r w:rsidR="00C92627" w:rsidRPr="002E5D23">
        <w:rPr>
          <w:color w:val="auto"/>
          <w:szCs w:val="18"/>
          <w:lang w:val="en-GB"/>
        </w:rPr>
        <w:t>D</w:t>
      </w:r>
      <w:r w:rsidR="00F743E5" w:rsidRPr="002E5D23">
        <w:rPr>
          <w:rFonts w:eastAsiaTheme="minorEastAsia" w:hint="eastAsia"/>
          <w:color w:val="auto"/>
          <w:szCs w:val="18"/>
          <w:lang w:val="en-GB"/>
        </w:rPr>
        <w:t>.</w:t>
      </w:r>
      <w:r w:rsidR="00C92627" w:rsidRPr="002E5D23">
        <w:rPr>
          <w:color w:val="auto"/>
          <w:szCs w:val="18"/>
          <w:lang w:val="en-GB"/>
        </w:rPr>
        <w:t>: conceptualization, writing</w:t>
      </w:r>
      <w:r w:rsidR="00EC2B16" w:rsidRPr="002E5D23">
        <w:rPr>
          <w:color w:val="auto"/>
          <w:szCs w:val="18"/>
          <w:lang w:val="en-GB"/>
        </w:rPr>
        <w:t>—</w:t>
      </w:r>
      <w:r w:rsidR="00C92627" w:rsidRPr="002E5D23">
        <w:rPr>
          <w:color w:val="auto"/>
          <w:szCs w:val="18"/>
          <w:lang w:val="en-GB"/>
        </w:rPr>
        <w:t>original draft, writing</w:t>
      </w:r>
      <w:r w:rsidR="00EC2B16" w:rsidRPr="002E5D23">
        <w:rPr>
          <w:color w:val="auto"/>
          <w:szCs w:val="18"/>
          <w:lang w:val="en-GB"/>
        </w:rPr>
        <w:t>—</w:t>
      </w:r>
      <w:r w:rsidR="00C92627" w:rsidRPr="002E5D23">
        <w:rPr>
          <w:color w:val="auto"/>
          <w:szCs w:val="18"/>
          <w:lang w:val="en-GB"/>
        </w:rPr>
        <w:t>review and editing, supervision, project administration; F</w:t>
      </w:r>
      <w:r w:rsidR="00F743E5" w:rsidRPr="002E5D23">
        <w:rPr>
          <w:rFonts w:eastAsiaTheme="minorEastAsia" w:hint="eastAsia"/>
          <w:color w:val="auto"/>
          <w:szCs w:val="18"/>
          <w:lang w:val="en-GB"/>
        </w:rPr>
        <w:t>.</w:t>
      </w:r>
      <w:r w:rsidR="00C92627" w:rsidRPr="002E5D23">
        <w:rPr>
          <w:color w:val="auto"/>
          <w:szCs w:val="18"/>
          <w:lang w:val="en-GB"/>
        </w:rPr>
        <w:t>L</w:t>
      </w:r>
      <w:r w:rsidR="00F743E5" w:rsidRPr="002E5D23">
        <w:rPr>
          <w:rFonts w:eastAsiaTheme="minorEastAsia" w:hint="eastAsia"/>
          <w:color w:val="auto"/>
          <w:szCs w:val="18"/>
          <w:lang w:val="en-GB"/>
        </w:rPr>
        <w:t>.</w:t>
      </w:r>
      <w:r w:rsidR="00C92627" w:rsidRPr="002E5D23">
        <w:rPr>
          <w:color w:val="auto"/>
          <w:szCs w:val="18"/>
          <w:lang w:val="en-GB"/>
        </w:rPr>
        <w:t>: writing</w:t>
      </w:r>
      <w:r w:rsidR="00EC2B16" w:rsidRPr="002E5D23">
        <w:rPr>
          <w:color w:val="auto"/>
          <w:szCs w:val="18"/>
          <w:lang w:val="en-GB"/>
        </w:rPr>
        <w:t>—</w:t>
      </w:r>
      <w:r w:rsidR="00C92627" w:rsidRPr="002E5D23">
        <w:rPr>
          <w:color w:val="auto"/>
          <w:szCs w:val="18"/>
          <w:lang w:val="en-GB"/>
        </w:rPr>
        <w:t>review and editing; H</w:t>
      </w:r>
      <w:r w:rsidR="00F743E5" w:rsidRPr="002E5D23">
        <w:rPr>
          <w:rFonts w:eastAsiaTheme="minorEastAsia" w:hint="eastAsia"/>
          <w:color w:val="auto"/>
          <w:szCs w:val="18"/>
          <w:lang w:val="en-GB"/>
        </w:rPr>
        <w:t>.</w:t>
      </w:r>
      <w:r w:rsidR="00C92627" w:rsidRPr="002E5D23">
        <w:rPr>
          <w:color w:val="auto"/>
          <w:szCs w:val="18"/>
          <w:lang w:val="en-GB"/>
        </w:rPr>
        <w:t>P</w:t>
      </w:r>
      <w:r w:rsidR="00F743E5" w:rsidRPr="002E5D23">
        <w:rPr>
          <w:rFonts w:eastAsiaTheme="minorEastAsia" w:hint="eastAsia"/>
          <w:color w:val="auto"/>
          <w:szCs w:val="18"/>
          <w:lang w:val="en-GB"/>
        </w:rPr>
        <w:t>.P.</w:t>
      </w:r>
      <w:r w:rsidR="00C92627" w:rsidRPr="002E5D23">
        <w:rPr>
          <w:color w:val="auto"/>
          <w:szCs w:val="18"/>
          <w:lang w:val="en-GB"/>
        </w:rPr>
        <w:t>: writing</w:t>
      </w:r>
      <w:r w:rsidR="00EC2B16" w:rsidRPr="002E5D23">
        <w:rPr>
          <w:color w:val="auto"/>
          <w:szCs w:val="18"/>
          <w:lang w:val="en-GB"/>
        </w:rPr>
        <w:t>—</w:t>
      </w:r>
      <w:r w:rsidR="00C92627" w:rsidRPr="002E5D23">
        <w:rPr>
          <w:color w:val="auto"/>
          <w:szCs w:val="18"/>
          <w:lang w:val="en-GB"/>
        </w:rPr>
        <w:t>review and editing; N</w:t>
      </w:r>
      <w:r w:rsidR="00F743E5" w:rsidRPr="002E5D23">
        <w:rPr>
          <w:rFonts w:eastAsiaTheme="minorEastAsia" w:hint="eastAsia"/>
          <w:color w:val="auto"/>
          <w:szCs w:val="18"/>
          <w:lang w:val="en-GB"/>
        </w:rPr>
        <w:t>.</w:t>
      </w:r>
      <w:r w:rsidR="00C92627" w:rsidRPr="002E5D23">
        <w:rPr>
          <w:color w:val="auto"/>
          <w:szCs w:val="18"/>
          <w:lang w:val="en-GB"/>
        </w:rPr>
        <w:t>F</w:t>
      </w:r>
      <w:r w:rsidR="00F743E5" w:rsidRPr="002E5D23">
        <w:rPr>
          <w:rFonts w:eastAsiaTheme="minorEastAsia" w:hint="eastAsia"/>
          <w:color w:val="auto"/>
          <w:szCs w:val="18"/>
          <w:lang w:val="en-GB"/>
        </w:rPr>
        <w:t>.</w:t>
      </w:r>
      <w:r w:rsidR="00C92627" w:rsidRPr="002E5D23">
        <w:rPr>
          <w:color w:val="auto"/>
          <w:szCs w:val="18"/>
          <w:lang w:val="en-GB"/>
        </w:rPr>
        <w:t>: writing</w:t>
      </w:r>
      <w:r w:rsidR="00EC2B16" w:rsidRPr="002E5D23">
        <w:rPr>
          <w:color w:val="auto"/>
          <w:szCs w:val="18"/>
          <w:lang w:val="en-GB"/>
        </w:rPr>
        <w:t>—</w:t>
      </w:r>
      <w:r w:rsidR="00C92627" w:rsidRPr="002E5D23">
        <w:rPr>
          <w:color w:val="auto"/>
          <w:szCs w:val="18"/>
          <w:lang w:val="en-GB"/>
        </w:rPr>
        <w:t>review and editing; K</w:t>
      </w:r>
      <w:r w:rsidR="00F743E5" w:rsidRPr="002E5D23">
        <w:rPr>
          <w:rFonts w:eastAsiaTheme="minorEastAsia" w:hint="eastAsia"/>
          <w:color w:val="auto"/>
          <w:szCs w:val="18"/>
          <w:lang w:val="en-GB"/>
        </w:rPr>
        <w:t>.</w:t>
      </w:r>
      <w:r w:rsidR="00C92627" w:rsidRPr="002E5D23">
        <w:rPr>
          <w:color w:val="auto"/>
          <w:szCs w:val="18"/>
          <w:lang w:val="en-GB"/>
        </w:rPr>
        <w:t>A</w:t>
      </w:r>
      <w:r w:rsidR="00F743E5" w:rsidRPr="002E5D23">
        <w:rPr>
          <w:rFonts w:eastAsiaTheme="minorEastAsia" w:hint="eastAsia"/>
          <w:color w:val="auto"/>
          <w:szCs w:val="18"/>
          <w:lang w:val="en-GB"/>
        </w:rPr>
        <w:t>.</w:t>
      </w:r>
      <w:r w:rsidR="00C92627" w:rsidRPr="002E5D23">
        <w:rPr>
          <w:color w:val="auto"/>
          <w:szCs w:val="18"/>
          <w:lang w:val="en-GB"/>
        </w:rPr>
        <w:t>W</w:t>
      </w:r>
      <w:r w:rsidR="00F743E5" w:rsidRPr="002E5D23">
        <w:rPr>
          <w:rFonts w:eastAsiaTheme="minorEastAsia" w:hint="eastAsia"/>
          <w:color w:val="auto"/>
          <w:szCs w:val="18"/>
          <w:lang w:val="en-GB"/>
        </w:rPr>
        <w:t>.</w:t>
      </w:r>
      <w:r w:rsidR="00C92627" w:rsidRPr="002E5D23">
        <w:rPr>
          <w:color w:val="auto"/>
          <w:szCs w:val="18"/>
          <w:lang w:val="en-GB"/>
        </w:rPr>
        <w:t>: writing</w:t>
      </w:r>
      <w:r w:rsidR="00EC2B16" w:rsidRPr="002E5D23">
        <w:rPr>
          <w:color w:val="auto"/>
          <w:szCs w:val="18"/>
          <w:lang w:val="en-GB"/>
        </w:rPr>
        <w:t>—</w:t>
      </w:r>
      <w:r w:rsidR="00C92627" w:rsidRPr="002E5D23">
        <w:rPr>
          <w:color w:val="auto"/>
          <w:szCs w:val="18"/>
          <w:lang w:val="en-GB"/>
        </w:rPr>
        <w:t>review and editing; G</w:t>
      </w:r>
      <w:r w:rsidR="00F743E5" w:rsidRPr="002E5D23">
        <w:rPr>
          <w:rFonts w:eastAsiaTheme="minorEastAsia" w:hint="eastAsia"/>
          <w:color w:val="auto"/>
          <w:szCs w:val="18"/>
          <w:lang w:val="en-GB"/>
        </w:rPr>
        <w:t>.</w:t>
      </w:r>
      <w:r w:rsidR="00C92627" w:rsidRPr="002E5D23">
        <w:rPr>
          <w:color w:val="auto"/>
          <w:szCs w:val="18"/>
          <w:lang w:val="en-GB"/>
        </w:rPr>
        <w:t>B</w:t>
      </w:r>
      <w:r w:rsidR="00F743E5" w:rsidRPr="002E5D23">
        <w:rPr>
          <w:rFonts w:eastAsiaTheme="minorEastAsia" w:hint="eastAsia"/>
          <w:color w:val="auto"/>
          <w:szCs w:val="18"/>
          <w:lang w:val="en-GB"/>
        </w:rPr>
        <w:t>.</w:t>
      </w:r>
      <w:r w:rsidR="00C92627" w:rsidRPr="002E5D23">
        <w:rPr>
          <w:color w:val="auto"/>
          <w:szCs w:val="18"/>
          <w:lang w:val="en-GB"/>
        </w:rPr>
        <w:t>: writing</w:t>
      </w:r>
      <w:r w:rsidR="00EC2B16" w:rsidRPr="002E5D23">
        <w:rPr>
          <w:color w:val="auto"/>
          <w:szCs w:val="18"/>
          <w:lang w:val="en-GB"/>
        </w:rPr>
        <w:t>—</w:t>
      </w:r>
      <w:r w:rsidR="00C92627" w:rsidRPr="002E5D23">
        <w:rPr>
          <w:color w:val="auto"/>
          <w:szCs w:val="18"/>
          <w:lang w:val="en-GB"/>
        </w:rPr>
        <w:t>review and editing; L</w:t>
      </w:r>
      <w:r w:rsidR="00F743E5" w:rsidRPr="002E5D23">
        <w:rPr>
          <w:rFonts w:eastAsiaTheme="minorEastAsia" w:hint="eastAsia"/>
          <w:color w:val="auto"/>
          <w:szCs w:val="18"/>
          <w:lang w:val="en-GB"/>
        </w:rPr>
        <w:t>.</w:t>
      </w:r>
      <w:r w:rsidR="00C92627" w:rsidRPr="002E5D23">
        <w:rPr>
          <w:color w:val="auto"/>
          <w:szCs w:val="18"/>
          <w:lang w:val="en-GB"/>
        </w:rPr>
        <w:t>D</w:t>
      </w:r>
      <w:r w:rsidR="00F743E5" w:rsidRPr="002E5D23">
        <w:rPr>
          <w:rFonts w:eastAsiaTheme="minorEastAsia" w:hint="eastAsia"/>
          <w:color w:val="auto"/>
          <w:szCs w:val="18"/>
          <w:lang w:val="en-GB"/>
        </w:rPr>
        <w:t>.</w:t>
      </w:r>
      <w:r w:rsidR="00C92627" w:rsidRPr="002E5D23">
        <w:rPr>
          <w:color w:val="auto"/>
          <w:szCs w:val="18"/>
          <w:lang w:val="en-GB"/>
        </w:rPr>
        <w:t>W</w:t>
      </w:r>
      <w:r w:rsidR="00F743E5" w:rsidRPr="002E5D23">
        <w:rPr>
          <w:rFonts w:eastAsiaTheme="minorEastAsia" w:hint="eastAsia"/>
          <w:color w:val="auto"/>
          <w:szCs w:val="18"/>
          <w:lang w:val="en-GB"/>
        </w:rPr>
        <w:t>.</w:t>
      </w:r>
      <w:r w:rsidR="00C92627" w:rsidRPr="002E5D23">
        <w:rPr>
          <w:color w:val="auto"/>
          <w:szCs w:val="18"/>
          <w:lang w:val="en-GB"/>
        </w:rPr>
        <w:t>: conceptualization, methodology, formal analysis, writing</w:t>
      </w:r>
      <w:r w:rsidR="00EC2B16" w:rsidRPr="002E5D23">
        <w:rPr>
          <w:color w:val="auto"/>
          <w:szCs w:val="18"/>
          <w:lang w:val="en-GB"/>
        </w:rPr>
        <w:t>—</w:t>
      </w:r>
      <w:r w:rsidR="00C92627" w:rsidRPr="002E5D23">
        <w:rPr>
          <w:color w:val="auto"/>
          <w:szCs w:val="18"/>
          <w:lang w:val="en-GB"/>
        </w:rPr>
        <w:t>original draft, writing</w:t>
      </w:r>
      <w:r w:rsidR="00EC2B16" w:rsidRPr="002E5D23">
        <w:rPr>
          <w:color w:val="auto"/>
          <w:szCs w:val="18"/>
          <w:lang w:val="en-GB"/>
        </w:rPr>
        <w:t>—</w:t>
      </w:r>
      <w:r w:rsidR="00C92627" w:rsidRPr="002E5D23">
        <w:rPr>
          <w:color w:val="auto"/>
          <w:szCs w:val="18"/>
          <w:lang w:val="en-GB"/>
        </w:rPr>
        <w:t>review and editing. All authors made substantial contributions to the manuscript and approved the final version.</w:t>
      </w:r>
      <w:r w:rsidR="00F743E5" w:rsidRPr="002E5D23">
        <w:rPr>
          <w:rFonts w:eastAsiaTheme="minorEastAsia"/>
          <w:color w:val="auto"/>
          <w:szCs w:val="18"/>
          <w:lang w:val="en-GB"/>
        </w:rPr>
        <w:t xml:space="preserve"> All authors have read and agreed to the published version of the manuscript.</w:t>
      </w:r>
    </w:p>
    <w:p w14:paraId="48F4F6E3" w14:textId="482FABFD" w:rsidR="00C92627" w:rsidRPr="002E5D23" w:rsidRDefault="00C92627" w:rsidP="00CF5981">
      <w:pPr>
        <w:pStyle w:val="MDPI62backmatter"/>
        <w:rPr>
          <w:color w:val="auto"/>
          <w:szCs w:val="18"/>
          <w:lang w:val="en-GB"/>
        </w:rPr>
      </w:pPr>
      <w:r w:rsidRPr="002E5D23">
        <w:rPr>
          <w:b/>
          <w:color w:val="auto"/>
          <w:szCs w:val="18"/>
          <w:lang w:val="en-GB"/>
        </w:rPr>
        <w:t>Funding:</w:t>
      </w:r>
      <w:r w:rsidRPr="002E5D23">
        <w:rPr>
          <w:color w:val="auto"/>
          <w:szCs w:val="18"/>
          <w:lang w:val="en-GB"/>
        </w:rPr>
        <w:t xml:space="preserve"> The Hertfordshire Cohort Study was supported by the Medical Research Council University Unit Partnership grant number MRC_MC_UP_A620_1014. E</w:t>
      </w:r>
      <w:r w:rsidR="00444259" w:rsidRPr="002E5D23">
        <w:rPr>
          <w:rFonts w:eastAsiaTheme="minorEastAsia" w:hint="eastAsia"/>
          <w:color w:val="auto"/>
          <w:szCs w:val="18"/>
          <w:lang w:val="en-GB"/>
        </w:rPr>
        <w:t>.M.</w:t>
      </w:r>
      <w:r w:rsidRPr="002E5D23">
        <w:rPr>
          <w:color w:val="auto"/>
          <w:szCs w:val="18"/>
          <w:lang w:val="en-GB"/>
        </w:rPr>
        <w:t>D</w:t>
      </w:r>
      <w:r w:rsidR="00444259" w:rsidRPr="002E5D23">
        <w:rPr>
          <w:rFonts w:eastAsiaTheme="minorEastAsia" w:hint="eastAsia"/>
          <w:color w:val="auto"/>
          <w:szCs w:val="18"/>
          <w:lang w:val="en-GB"/>
        </w:rPr>
        <w:t>.</w:t>
      </w:r>
      <w:r w:rsidRPr="002E5D23">
        <w:rPr>
          <w:color w:val="auto"/>
          <w:szCs w:val="18"/>
          <w:lang w:val="en-GB"/>
        </w:rPr>
        <w:t>, G</w:t>
      </w:r>
      <w:r w:rsidR="00444259" w:rsidRPr="002E5D23">
        <w:rPr>
          <w:rFonts w:eastAsiaTheme="minorEastAsia" w:hint="eastAsia"/>
          <w:color w:val="auto"/>
          <w:szCs w:val="18"/>
          <w:lang w:val="en-GB"/>
        </w:rPr>
        <w:t>.</w:t>
      </w:r>
      <w:r w:rsidRPr="002E5D23">
        <w:rPr>
          <w:color w:val="auto"/>
          <w:szCs w:val="18"/>
          <w:lang w:val="en-GB"/>
        </w:rPr>
        <w:t>B</w:t>
      </w:r>
      <w:r w:rsidR="00444259" w:rsidRPr="002E5D23">
        <w:rPr>
          <w:rFonts w:eastAsiaTheme="minorEastAsia" w:hint="eastAsia"/>
          <w:color w:val="auto"/>
          <w:szCs w:val="18"/>
          <w:lang w:val="en-GB"/>
        </w:rPr>
        <w:t>.</w:t>
      </w:r>
      <w:r w:rsidRPr="002E5D23">
        <w:rPr>
          <w:color w:val="auto"/>
          <w:szCs w:val="18"/>
          <w:lang w:val="en-GB"/>
        </w:rPr>
        <w:t xml:space="preserve"> and L</w:t>
      </w:r>
      <w:r w:rsidR="00444259" w:rsidRPr="002E5D23">
        <w:rPr>
          <w:rFonts w:eastAsiaTheme="minorEastAsia" w:hint="eastAsia"/>
          <w:color w:val="auto"/>
          <w:szCs w:val="18"/>
          <w:lang w:val="en-GB"/>
        </w:rPr>
        <w:t>.D.</w:t>
      </w:r>
      <w:r w:rsidRPr="002E5D23">
        <w:rPr>
          <w:color w:val="auto"/>
          <w:szCs w:val="18"/>
          <w:lang w:val="en-GB"/>
        </w:rPr>
        <w:t>W</w:t>
      </w:r>
      <w:r w:rsidR="00444259" w:rsidRPr="002E5D23">
        <w:rPr>
          <w:rFonts w:eastAsiaTheme="minorEastAsia" w:hint="eastAsia"/>
          <w:color w:val="auto"/>
          <w:szCs w:val="18"/>
          <w:lang w:val="en-GB"/>
        </w:rPr>
        <w:t>.</w:t>
      </w:r>
      <w:r w:rsidRPr="002E5D23">
        <w:rPr>
          <w:color w:val="auto"/>
          <w:szCs w:val="18"/>
          <w:lang w:val="en-GB"/>
        </w:rPr>
        <w:t xml:space="preserve"> are supported by the UK Medical Research Council [MC_PC_21003; MC_PC_21001]. The funders had no role in the study design, collection, analysis and interpretation of data, in the writing of the manuscript, or in the decision to submit the manuscript for publication. </w:t>
      </w:r>
      <w:proofErr w:type="gramStart"/>
      <w:r w:rsidRPr="002E5D23">
        <w:rPr>
          <w:color w:val="auto"/>
          <w:szCs w:val="18"/>
          <w:lang w:val="en-GB"/>
        </w:rPr>
        <w:t>For the purpose of</w:t>
      </w:r>
      <w:proofErr w:type="gramEnd"/>
      <w:r w:rsidRPr="002E5D23">
        <w:rPr>
          <w:color w:val="auto"/>
          <w:szCs w:val="18"/>
          <w:lang w:val="en-GB"/>
        </w:rPr>
        <w:t xml:space="preserve"> open access, the author has applied a Creative Commons attribution license (CC BY) to any Author Accepted Manuscript version arising from this submission.</w:t>
      </w:r>
    </w:p>
    <w:p w14:paraId="78B04884" w14:textId="24474303" w:rsidR="00C92627" w:rsidRPr="002E5D23" w:rsidRDefault="00C92627" w:rsidP="00CF5981">
      <w:pPr>
        <w:pStyle w:val="MDPI62backmatter"/>
        <w:rPr>
          <w:b/>
          <w:color w:val="auto"/>
          <w:szCs w:val="18"/>
          <w:lang w:val="en-GB"/>
        </w:rPr>
      </w:pPr>
      <w:bookmarkStart w:id="44" w:name="_Hlk89945590"/>
      <w:bookmarkStart w:id="45" w:name="_Hlk60054323"/>
      <w:r w:rsidRPr="002E5D23">
        <w:rPr>
          <w:b/>
          <w:color w:val="auto"/>
          <w:szCs w:val="18"/>
          <w:lang w:val="en-GB"/>
        </w:rPr>
        <w:t xml:space="preserve">Institutional Review Board Statement: </w:t>
      </w:r>
      <w:bookmarkStart w:id="46" w:name="_Hlk215129270"/>
      <w:r w:rsidRPr="002E5D23">
        <w:rPr>
          <w:color w:val="auto"/>
          <w:szCs w:val="18"/>
          <w:lang w:val="en-GB"/>
        </w:rPr>
        <w:t>The HCS investigations at baseline (1998</w:t>
      </w:r>
      <w:r w:rsidR="00444259" w:rsidRPr="002E5D23">
        <w:rPr>
          <w:rFonts w:eastAsiaTheme="minorEastAsia"/>
          <w:color w:val="auto"/>
          <w:szCs w:val="18"/>
          <w:lang w:val="en-GB"/>
        </w:rPr>
        <w:t>–</w:t>
      </w:r>
      <w:r w:rsidRPr="002E5D23">
        <w:rPr>
          <w:color w:val="auto"/>
          <w:szCs w:val="18"/>
          <w:lang w:val="en-GB"/>
        </w:rPr>
        <w:t>2004) had ethical approval from the Hertfordshire and Bedfordshire Local Research Ethics Committee</w:t>
      </w:r>
      <w:r w:rsidR="00B8563A" w:rsidRPr="002E5D23">
        <w:rPr>
          <w:color w:val="auto"/>
          <w:szCs w:val="18"/>
          <w:lang w:val="en-GB"/>
        </w:rPr>
        <w:t xml:space="preserve"> (EC982481</w:t>
      </w:r>
      <w:r w:rsidR="0066316C" w:rsidRPr="002E5D23">
        <w:rPr>
          <w:color w:val="auto"/>
          <w:szCs w:val="18"/>
          <w:lang w:val="en-GB"/>
        </w:rPr>
        <w:t xml:space="preserve">, </w:t>
      </w:r>
      <w:r w:rsidR="0066316C" w:rsidRPr="002E5D23">
        <w:rPr>
          <w:color w:val="auto"/>
          <w:szCs w:val="18"/>
        </w:rPr>
        <w:t>29 January 1998</w:t>
      </w:r>
      <w:r w:rsidR="00B8563A" w:rsidRPr="002E5D23">
        <w:rPr>
          <w:color w:val="auto"/>
          <w:szCs w:val="18"/>
          <w:lang w:val="en-GB"/>
        </w:rPr>
        <w:t>)</w:t>
      </w:r>
      <w:r w:rsidR="00D937C7" w:rsidRPr="002E5D23">
        <w:rPr>
          <w:color w:val="auto"/>
          <w:szCs w:val="18"/>
          <w:lang w:val="en-GB"/>
        </w:rPr>
        <w:t>;</w:t>
      </w:r>
      <w:r w:rsidRPr="002E5D23">
        <w:rPr>
          <w:color w:val="auto"/>
          <w:szCs w:val="18"/>
          <w:lang w:val="en-GB"/>
        </w:rPr>
        <w:t xml:space="preserve"> the 2011</w:t>
      </w:r>
      <w:r w:rsidR="00D937C7" w:rsidRPr="002E5D23">
        <w:rPr>
          <w:color w:val="auto"/>
          <w:szCs w:val="18"/>
          <w:lang w:val="en-GB"/>
        </w:rPr>
        <w:t xml:space="preserve"> follow-up had ethical approval from the</w:t>
      </w:r>
      <w:r w:rsidR="003E7FB7" w:rsidRPr="002E5D23">
        <w:rPr>
          <w:color w:val="auto"/>
          <w:szCs w:val="18"/>
          <w:lang w:val="en-GB"/>
        </w:rPr>
        <w:t xml:space="preserve"> </w:t>
      </w:r>
      <w:r w:rsidR="000F0705" w:rsidRPr="002E5D23">
        <w:rPr>
          <w:color w:val="auto"/>
          <w:szCs w:val="18"/>
          <w:lang w:val="en-GB"/>
        </w:rPr>
        <w:t>East and North Hertfordshire Ethical Committee</w:t>
      </w:r>
      <w:r w:rsidR="004D0061" w:rsidRPr="002E5D23">
        <w:rPr>
          <w:color w:val="auto"/>
          <w:szCs w:val="18"/>
          <w:lang w:val="en-GB"/>
        </w:rPr>
        <w:t xml:space="preserve"> </w:t>
      </w:r>
      <w:r w:rsidR="003E7FB7" w:rsidRPr="002E5D23">
        <w:rPr>
          <w:color w:val="auto"/>
          <w:szCs w:val="18"/>
          <w:lang w:val="en-GB"/>
        </w:rPr>
        <w:t>(</w:t>
      </w:r>
      <w:r w:rsidR="000C7ED6" w:rsidRPr="002E5D23">
        <w:rPr>
          <w:color w:val="auto"/>
          <w:szCs w:val="18"/>
        </w:rPr>
        <w:t xml:space="preserve">10/h0311/595, </w:t>
      </w:r>
      <w:r w:rsidR="00D038A2" w:rsidRPr="002E5D23">
        <w:rPr>
          <w:color w:val="auto"/>
          <w:szCs w:val="18"/>
        </w:rPr>
        <w:t>3 December 2010</w:t>
      </w:r>
      <w:r w:rsidR="003E7FB7" w:rsidRPr="002E5D23">
        <w:rPr>
          <w:color w:val="auto"/>
          <w:szCs w:val="18"/>
          <w:lang w:val="en-GB"/>
        </w:rPr>
        <w:t>)</w:t>
      </w:r>
      <w:r w:rsidR="007462BC" w:rsidRPr="002E5D23">
        <w:rPr>
          <w:color w:val="auto"/>
          <w:szCs w:val="18"/>
          <w:lang w:val="en-GB"/>
        </w:rPr>
        <w:t>;</w:t>
      </w:r>
      <w:r w:rsidR="00D937C7" w:rsidRPr="002E5D23">
        <w:rPr>
          <w:color w:val="auto"/>
          <w:szCs w:val="18"/>
          <w:lang w:val="en-GB"/>
        </w:rPr>
        <w:t xml:space="preserve"> </w:t>
      </w:r>
      <w:r w:rsidRPr="002E5D23">
        <w:rPr>
          <w:color w:val="auto"/>
          <w:szCs w:val="18"/>
          <w:lang w:val="en-GB"/>
        </w:rPr>
        <w:t xml:space="preserve">and </w:t>
      </w:r>
      <w:r w:rsidR="00A14AF1" w:rsidRPr="002E5D23">
        <w:rPr>
          <w:color w:val="auto"/>
          <w:szCs w:val="18"/>
          <w:lang w:val="en-GB"/>
        </w:rPr>
        <w:t xml:space="preserve">the </w:t>
      </w:r>
      <w:r w:rsidRPr="002E5D23">
        <w:rPr>
          <w:color w:val="auto"/>
          <w:szCs w:val="18"/>
          <w:lang w:val="en-GB"/>
        </w:rPr>
        <w:t xml:space="preserve">2017 follow-up had ethical approval from the </w:t>
      </w:r>
      <w:r w:rsidR="007462BC" w:rsidRPr="002E5D23">
        <w:rPr>
          <w:color w:val="auto"/>
          <w:szCs w:val="18"/>
          <w:lang w:val="en-GB"/>
        </w:rPr>
        <w:t>East of England - Cambridgeshire and Hertfordshire Research Ethics Committee</w:t>
      </w:r>
      <w:r w:rsidR="00266596" w:rsidRPr="002E5D23">
        <w:rPr>
          <w:color w:val="auto"/>
          <w:szCs w:val="18"/>
          <w:lang w:val="en-GB"/>
        </w:rPr>
        <w:t xml:space="preserve"> (11/EE/01966, </w:t>
      </w:r>
      <w:r w:rsidR="009D5DD8" w:rsidRPr="002E5D23">
        <w:rPr>
          <w:color w:val="auto"/>
          <w:szCs w:val="18"/>
          <w:lang w:val="en-GB"/>
        </w:rPr>
        <w:t>21 December 2016</w:t>
      </w:r>
      <w:r w:rsidR="00266596" w:rsidRPr="002E5D23">
        <w:rPr>
          <w:color w:val="auto"/>
          <w:szCs w:val="18"/>
          <w:lang w:val="en-GB"/>
        </w:rPr>
        <w:t>)</w:t>
      </w:r>
      <w:r w:rsidRPr="002E5D23">
        <w:rPr>
          <w:color w:val="auto"/>
          <w:szCs w:val="18"/>
          <w:lang w:val="en-GB"/>
        </w:rPr>
        <w:t xml:space="preserve">. </w:t>
      </w:r>
      <w:bookmarkEnd w:id="46"/>
      <w:r w:rsidRPr="002E5D23">
        <w:rPr>
          <w:color w:val="auto"/>
          <w:szCs w:val="18"/>
          <w:lang w:val="en-GB"/>
        </w:rPr>
        <w:t>All procedures performed in studies involving human participants were in accordance with the ethical standards of the relevant research committee and with the 1964 Helsinki declaration (as amended) or comparable standards.</w:t>
      </w:r>
    </w:p>
    <w:bookmarkEnd w:id="44"/>
    <w:p w14:paraId="1DDAD8EE" w14:textId="77777777" w:rsidR="00C92627" w:rsidRPr="002E5D23" w:rsidRDefault="00C92627" w:rsidP="00CF5981">
      <w:pPr>
        <w:pStyle w:val="MDPI62backmatter"/>
        <w:rPr>
          <w:color w:val="auto"/>
          <w:szCs w:val="18"/>
          <w:lang w:val="en-GB"/>
        </w:rPr>
      </w:pPr>
      <w:r w:rsidRPr="002E5D23">
        <w:rPr>
          <w:b/>
          <w:color w:val="auto"/>
          <w:szCs w:val="18"/>
          <w:lang w:val="en-GB"/>
        </w:rPr>
        <w:t xml:space="preserve">Informed Consent Statement: </w:t>
      </w:r>
      <w:bookmarkEnd w:id="45"/>
      <w:r w:rsidRPr="002E5D23">
        <w:rPr>
          <w:color w:val="auto"/>
          <w:szCs w:val="18"/>
          <w:lang w:val="en-GB"/>
        </w:rPr>
        <w:t>All participants provided written informed consent to participate in the study and for their health records to be accessed in future.</w:t>
      </w:r>
    </w:p>
    <w:p w14:paraId="6FC0E85E" w14:textId="31FBA760" w:rsidR="00C92627" w:rsidRPr="002E5D23" w:rsidRDefault="00C92627" w:rsidP="00CF5981">
      <w:pPr>
        <w:pStyle w:val="MDPI62backmatter"/>
        <w:rPr>
          <w:color w:val="auto"/>
          <w:szCs w:val="18"/>
          <w:lang w:val="en-GB"/>
        </w:rPr>
      </w:pPr>
      <w:r w:rsidRPr="002E5D23">
        <w:rPr>
          <w:b/>
          <w:color w:val="auto"/>
          <w:szCs w:val="18"/>
          <w:lang w:val="en-GB"/>
        </w:rPr>
        <w:t xml:space="preserve">Data Availability Statement: </w:t>
      </w:r>
      <w:r w:rsidRPr="002E5D23">
        <w:rPr>
          <w:color w:val="auto"/>
          <w:szCs w:val="18"/>
          <w:lang w:val="en-GB"/>
        </w:rPr>
        <w:t>The data used in this article cannot be shared widely due to consent restrictions. The participants only consented for their data to be shared with the Hertfordshire Cohort Study Research Team. Requests to access Hertfordshire Cohort Study data for new research projects should be made to E</w:t>
      </w:r>
      <w:r w:rsidR="002B5700" w:rsidRPr="002E5D23">
        <w:rPr>
          <w:rFonts w:eastAsiaTheme="minorEastAsia" w:hint="eastAsia"/>
          <w:color w:val="auto"/>
          <w:szCs w:val="18"/>
          <w:lang w:val="en-GB"/>
        </w:rPr>
        <w:t>.M.</w:t>
      </w:r>
      <w:r w:rsidRPr="002E5D23">
        <w:rPr>
          <w:color w:val="auto"/>
          <w:szCs w:val="18"/>
          <w:lang w:val="en-GB"/>
        </w:rPr>
        <w:t>D</w:t>
      </w:r>
      <w:r w:rsidR="002B5700" w:rsidRPr="002E5D23">
        <w:rPr>
          <w:rFonts w:eastAsiaTheme="minorEastAsia" w:hint="eastAsia"/>
          <w:color w:val="auto"/>
          <w:szCs w:val="18"/>
          <w:lang w:val="en-GB"/>
        </w:rPr>
        <w:t>.</w:t>
      </w:r>
      <w:r w:rsidRPr="002E5D23">
        <w:rPr>
          <w:color w:val="auto"/>
          <w:szCs w:val="18"/>
          <w:lang w:val="en-GB"/>
        </w:rPr>
        <w:t xml:space="preserve"> (</w:t>
      </w:r>
      <w:hyperlink r:id="rId11" w:history="1">
        <w:r w:rsidRPr="002E5D23">
          <w:rPr>
            <w:rStyle w:val="Hyperlink"/>
            <w:color w:val="auto"/>
            <w:szCs w:val="18"/>
            <w:u w:val="none"/>
            <w:lang w:val="en-GB"/>
          </w:rPr>
          <w:t>emd@mrc.soton.ac.uk</w:t>
        </w:r>
      </w:hyperlink>
      <w:r w:rsidRPr="002E5D23">
        <w:rPr>
          <w:color w:val="auto"/>
          <w:szCs w:val="18"/>
          <w:lang w:val="en-GB"/>
        </w:rPr>
        <w:t>).</w:t>
      </w:r>
    </w:p>
    <w:p w14:paraId="569F4A0B" w14:textId="2550374B" w:rsidR="00C92627" w:rsidRPr="002E5D23" w:rsidRDefault="00C92627" w:rsidP="00CF5981">
      <w:pPr>
        <w:pStyle w:val="MDPI62backmatter"/>
        <w:rPr>
          <w:color w:val="auto"/>
          <w:szCs w:val="18"/>
          <w:lang w:val="en-GB"/>
        </w:rPr>
      </w:pPr>
      <w:r w:rsidRPr="002E5D23">
        <w:rPr>
          <w:b/>
          <w:color w:val="auto"/>
          <w:szCs w:val="18"/>
          <w:lang w:val="en-GB"/>
        </w:rPr>
        <w:t>Acknowledgments:</w:t>
      </w:r>
      <w:r w:rsidRPr="002E5D23">
        <w:rPr>
          <w:color w:val="auto"/>
          <w:szCs w:val="18"/>
          <w:lang w:val="en-GB"/>
        </w:rPr>
        <w:t xml:space="preserve"> Generative artificial intelligence tools were not used in the preparation of this manuscript.</w:t>
      </w:r>
    </w:p>
    <w:p w14:paraId="37E8776A" w14:textId="2C84DF25" w:rsidR="00C92627" w:rsidRPr="002E5D23" w:rsidRDefault="00C92627" w:rsidP="00CF5981">
      <w:pPr>
        <w:pStyle w:val="MDPI62backmatter"/>
        <w:rPr>
          <w:color w:val="auto"/>
          <w:szCs w:val="18"/>
          <w:lang w:val="en-GB"/>
        </w:rPr>
      </w:pPr>
      <w:r w:rsidRPr="002E5D23">
        <w:rPr>
          <w:b/>
          <w:color w:val="auto"/>
          <w:szCs w:val="18"/>
          <w:lang w:val="en-GB"/>
        </w:rPr>
        <w:t xml:space="preserve">Conflicts of Interest: </w:t>
      </w:r>
      <w:bookmarkStart w:id="47" w:name="_Hlk181004646"/>
      <w:r w:rsidRPr="002E5D23">
        <w:rPr>
          <w:color w:val="auto"/>
          <w:szCs w:val="18"/>
          <w:lang w:val="en-GB"/>
        </w:rPr>
        <w:t>N</w:t>
      </w:r>
      <w:r w:rsidR="002B5700" w:rsidRPr="002E5D23">
        <w:rPr>
          <w:rFonts w:eastAsiaTheme="minorEastAsia" w:hint="eastAsia"/>
          <w:color w:val="auto"/>
          <w:szCs w:val="18"/>
          <w:lang w:val="en-GB"/>
        </w:rPr>
        <w:t>.</w:t>
      </w:r>
      <w:r w:rsidRPr="002E5D23">
        <w:rPr>
          <w:color w:val="auto"/>
          <w:szCs w:val="18"/>
          <w:lang w:val="en-GB"/>
        </w:rPr>
        <w:t>F</w:t>
      </w:r>
      <w:r w:rsidR="002B5700" w:rsidRPr="002E5D23">
        <w:rPr>
          <w:rFonts w:eastAsiaTheme="minorEastAsia" w:hint="eastAsia"/>
          <w:color w:val="auto"/>
          <w:szCs w:val="18"/>
          <w:lang w:val="en-GB"/>
        </w:rPr>
        <w:t>.</w:t>
      </w:r>
      <w:r w:rsidRPr="002E5D23">
        <w:rPr>
          <w:color w:val="auto"/>
          <w:szCs w:val="18"/>
          <w:lang w:val="en-GB"/>
        </w:rPr>
        <w:t xml:space="preserve"> reports speaker fees for UCB, Viatris and Amgen, and travel bursaries from Pfizer and Eli Lilly. E</w:t>
      </w:r>
      <w:r w:rsidR="00042751" w:rsidRPr="002E5D23">
        <w:rPr>
          <w:rFonts w:eastAsiaTheme="minorEastAsia" w:hint="eastAsia"/>
          <w:color w:val="auto"/>
          <w:szCs w:val="18"/>
          <w:lang w:val="en-GB"/>
        </w:rPr>
        <w:t>.M.</w:t>
      </w:r>
      <w:r w:rsidRPr="002E5D23">
        <w:rPr>
          <w:color w:val="auto"/>
          <w:szCs w:val="18"/>
          <w:lang w:val="en-GB"/>
        </w:rPr>
        <w:t>D</w:t>
      </w:r>
      <w:r w:rsidR="00042751" w:rsidRPr="002E5D23">
        <w:rPr>
          <w:rFonts w:eastAsiaTheme="minorEastAsia" w:hint="eastAsia"/>
          <w:color w:val="auto"/>
          <w:szCs w:val="18"/>
          <w:lang w:val="en-GB"/>
        </w:rPr>
        <w:t>.</w:t>
      </w:r>
      <w:r w:rsidRPr="002E5D23">
        <w:rPr>
          <w:color w:val="auto"/>
          <w:szCs w:val="18"/>
          <w:lang w:val="en-GB"/>
        </w:rPr>
        <w:t xml:space="preserve"> is a member of the Editorial Board of Nutrients and declares consultancy and speaker fees from Pfizer, UCB and Lilly. H</w:t>
      </w:r>
      <w:r w:rsidR="008474F9" w:rsidRPr="002E5D23">
        <w:rPr>
          <w:rFonts w:eastAsiaTheme="minorEastAsia" w:hint="eastAsia"/>
          <w:color w:val="auto"/>
          <w:szCs w:val="18"/>
          <w:lang w:val="en-GB"/>
        </w:rPr>
        <w:t>.</w:t>
      </w:r>
      <w:r w:rsidRPr="002E5D23">
        <w:rPr>
          <w:color w:val="auto"/>
          <w:szCs w:val="18"/>
          <w:lang w:val="en-GB"/>
        </w:rPr>
        <w:t>P</w:t>
      </w:r>
      <w:r w:rsidR="008474F9" w:rsidRPr="002E5D23">
        <w:rPr>
          <w:rFonts w:eastAsiaTheme="minorEastAsia" w:hint="eastAsia"/>
          <w:color w:val="auto"/>
          <w:szCs w:val="18"/>
          <w:lang w:val="en-GB"/>
        </w:rPr>
        <w:t>.</w:t>
      </w:r>
      <w:r w:rsidRPr="002E5D23">
        <w:rPr>
          <w:color w:val="auto"/>
          <w:szCs w:val="18"/>
          <w:lang w:val="en-GB"/>
        </w:rPr>
        <w:t>P</w:t>
      </w:r>
      <w:r w:rsidR="008474F9" w:rsidRPr="002E5D23">
        <w:rPr>
          <w:rFonts w:eastAsiaTheme="minorEastAsia" w:hint="eastAsia"/>
          <w:color w:val="auto"/>
          <w:szCs w:val="18"/>
          <w:lang w:val="en-GB"/>
        </w:rPr>
        <w:t>.</w:t>
      </w:r>
      <w:r w:rsidRPr="002E5D23">
        <w:rPr>
          <w:color w:val="auto"/>
          <w:szCs w:val="18"/>
          <w:lang w:val="en-GB"/>
        </w:rPr>
        <w:t xml:space="preserve"> has received lecture fees from Pfizer, HCUK conferences and conference attendance fees from UCB. F</w:t>
      </w:r>
      <w:r w:rsidR="008474F9" w:rsidRPr="002E5D23">
        <w:rPr>
          <w:rFonts w:eastAsiaTheme="minorEastAsia" w:hint="eastAsia"/>
          <w:color w:val="auto"/>
          <w:szCs w:val="18"/>
          <w:lang w:val="en-GB"/>
        </w:rPr>
        <w:t>.</w:t>
      </w:r>
      <w:r w:rsidRPr="002E5D23">
        <w:rPr>
          <w:color w:val="auto"/>
          <w:szCs w:val="18"/>
          <w:lang w:val="en-GB"/>
        </w:rPr>
        <w:t>L</w:t>
      </w:r>
      <w:r w:rsidR="008474F9" w:rsidRPr="002E5D23">
        <w:rPr>
          <w:rFonts w:eastAsiaTheme="minorEastAsia" w:hint="eastAsia"/>
          <w:color w:val="auto"/>
          <w:szCs w:val="18"/>
          <w:lang w:val="en-GB"/>
        </w:rPr>
        <w:t>.</w:t>
      </w:r>
      <w:r w:rsidRPr="002E5D23">
        <w:rPr>
          <w:color w:val="auto"/>
          <w:szCs w:val="18"/>
          <w:lang w:val="en-GB"/>
        </w:rPr>
        <w:t xml:space="preserve"> has received lecture fees from </w:t>
      </w:r>
      <w:proofErr w:type="spellStart"/>
      <w:r w:rsidRPr="002E5D23">
        <w:rPr>
          <w:color w:val="auto"/>
          <w:szCs w:val="18"/>
          <w:lang w:val="en-GB"/>
        </w:rPr>
        <w:t>Alfasigma</w:t>
      </w:r>
      <w:proofErr w:type="spellEnd"/>
      <w:r w:rsidRPr="002E5D23">
        <w:rPr>
          <w:color w:val="auto"/>
          <w:szCs w:val="18"/>
          <w:lang w:val="en-GB"/>
        </w:rPr>
        <w:t>. The remaining authors declare that they have no conflicts of interest.</w:t>
      </w:r>
    </w:p>
    <w:p w14:paraId="4639135B" w14:textId="77777777" w:rsidR="0041053A" w:rsidRPr="002E5D23" w:rsidRDefault="0041053A">
      <w:pPr>
        <w:spacing w:line="240" w:lineRule="auto"/>
        <w:jc w:val="left"/>
        <w:rPr>
          <w:rFonts w:eastAsia="Times New Roman"/>
          <w:b/>
          <w:snapToGrid w:val="0"/>
          <w:color w:val="auto"/>
          <w:sz w:val="24"/>
          <w:szCs w:val="24"/>
          <w:lang w:val="en-GB" w:eastAsia="de-DE" w:bidi="en-US"/>
          <w14:ligatures w14:val="standardContextual"/>
        </w:rPr>
      </w:pPr>
      <w:r w:rsidRPr="002E5D23">
        <w:rPr>
          <w:color w:val="auto"/>
          <w:szCs w:val="24"/>
          <w:lang w:val="en-GB"/>
        </w:rPr>
        <w:br w:type="page"/>
      </w:r>
    </w:p>
    <w:p w14:paraId="6C39FB2A" w14:textId="00C2A4CE" w:rsidR="00C92627" w:rsidRPr="002E5D23" w:rsidRDefault="00C92627" w:rsidP="00CF5981">
      <w:pPr>
        <w:pStyle w:val="MDPI21heading1"/>
        <w:rPr>
          <w:rFonts w:eastAsiaTheme="minorEastAsia"/>
          <w:color w:val="auto"/>
          <w:szCs w:val="24"/>
          <w:lang w:val="en-GB" w:eastAsia="zh-CN"/>
        </w:rPr>
      </w:pPr>
      <w:r w:rsidRPr="002E5D23">
        <w:rPr>
          <w:color w:val="auto"/>
          <w:szCs w:val="24"/>
          <w:lang w:val="en-GB"/>
        </w:rPr>
        <w:lastRenderedPageBreak/>
        <w:t>Abbreviations</w:t>
      </w:r>
    </w:p>
    <w:p w14:paraId="07657C69" w14:textId="77777777" w:rsidR="00C92627" w:rsidRPr="002E5D23" w:rsidRDefault="00C92627" w:rsidP="00C92627">
      <w:pPr>
        <w:pStyle w:val="MDPI32textnoindent"/>
        <w:spacing w:after="240"/>
        <w:rPr>
          <w:color w:val="auto"/>
          <w:sz w:val="18"/>
          <w:szCs w:val="18"/>
          <w:lang w:val="en-GB"/>
        </w:rPr>
      </w:pPr>
      <w:r w:rsidRPr="002E5D23">
        <w:rPr>
          <w:color w:val="auto"/>
          <w:sz w:val="18"/>
          <w:szCs w:val="18"/>
          <w:lang w:val="en-GB"/>
        </w:rPr>
        <w:t>The following abbreviations are used in this manuscript:</w:t>
      </w:r>
    </w:p>
    <w:tbl>
      <w:tblPr>
        <w:tblStyle w:val="TableGrid"/>
        <w:tblW w:w="789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677"/>
      </w:tblGrid>
      <w:tr w:rsidR="00690A63" w:rsidRPr="002E5D23" w14:paraId="7E1D5F10" w14:textId="77777777" w:rsidTr="009C6D84">
        <w:tc>
          <w:tcPr>
            <w:tcW w:w="1220" w:type="dxa"/>
          </w:tcPr>
          <w:p w14:paraId="5B628F40"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MRC</w:t>
            </w:r>
          </w:p>
        </w:tc>
        <w:tc>
          <w:tcPr>
            <w:tcW w:w="6677" w:type="dxa"/>
          </w:tcPr>
          <w:p w14:paraId="6F1E728C"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Medical Research Council</w:t>
            </w:r>
          </w:p>
        </w:tc>
      </w:tr>
      <w:tr w:rsidR="00690A63" w:rsidRPr="002E5D23" w14:paraId="3654EE74" w14:textId="77777777" w:rsidTr="009C6D84">
        <w:tc>
          <w:tcPr>
            <w:tcW w:w="1220" w:type="dxa"/>
          </w:tcPr>
          <w:p w14:paraId="47D4F2E8"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NIHR</w:t>
            </w:r>
          </w:p>
        </w:tc>
        <w:tc>
          <w:tcPr>
            <w:tcW w:w="6677" w:type="dxa"/>
          </w:tcPr>
          <w:p w14:paraId="4F777F21"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National Institute for Health and Care Research</w:t>
            </w:r>
          </w:p>
        </w:tc>
      </w:tr>
      <w:tr w:rsidR="00690A63" w:rsidRPr="002E5D23" w14:paraId="78A9F4B9" w14:textId="77777777" w:rsidTr="009C6D84">
        <w:tc>
          <w:tcPr>
            <w:tcW w:w="1220" w:type="dxa"/>
          </w:tcPr>
          <w:p w14:paraId="734CAD55"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NHS</w:t>
            </w:r>
          </w:p>
        </w:tc>
        <w:tc>
          <w:tcPr>
            <w:tcW w:w="6677" w:type="dxa"/>
          </w:tcPr>
          <w:p w14:paraId="5FA283DF"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National Health Service</w:t>
            </w:r>
          </w:p>
        </w:tc>
      </w:tr>
      <w:tr w:rsidR="00690A63" w:rsidRPr="002E5D23" w14:paraId="18EC99EC" w14:textId="77777777" w:rsidTr="009C6D84">
        <w:tc>
          <w:tcPr>
            <w:tcW w:w="1220" w:type="dxa"/>
          </w:tcPr>
          <w:p w14:paraId="2B1E60EF"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UK</w:t>
            </w:r>
          </w:p>
        </w:tc>
        <w:tc>
          <w:tcPr>
            <w:tcW w:w="6677" w:type="dxa"/>
          </w:tcPr>
          <w:p w14:paraId="477970E3"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United Kingdom</w:t>
            </w:r>
          </w:p>
        </w:tc>
      </w:tr>
      <w:tr w:rsidR="00690A63" w:rsidRPr="002E5D23" w14:paraId="1377828E" w14:textId="77777777" w:rsidTr="009C6D84">
        <w:tc>
          <w:tcPr>
            <w:tcW w:w="1220" w:type="dxa"/>
          </w:tcPr>
          <w:p w14:paraId="47D9A3F6"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CI</w:t>
            </w:r>
          </w:p>
        </w:tc>
        <w:tc>
          <w:tcPr>
            <w:tcW w:w="6677" w:type="dxa"/>
          </w:tcPr>
          <w:p w14:paraId="0373FB2C"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Confidence Interval</w:t>
            </w:r>
          </w:p>
        </w:tc>
      </w:tr>
      <w:tr w:rsidR="00690A63" w:rsidRPr="002E5D23" w14:paraId="6AA2A5E0" w14:textId="77777777" w:rsidTr="009C6D84">
        <w:tc>
          <w:tcPr>
            <w:tcW w:w="1220" w:type="dxa"/>
          </w:tcPr>
          <w:p w14:paraId="6AD84492"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FFQ</w:t>
            </w:r>
          </w:p>
        </w:tc>
        <w:tc>
          <w:tcPr>
            <w:tcW w:w="6677" w:type="dxa"/>
          </w:tcPr>
          <w:p w14:paraId="05CB7DB8"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Food Frequency Questionnaire</w:t>
            </w:r>
          </w:p>
        </w:tc>
      </w:tr>
      <w:tr w:rsidR="00690A63" w:rsidRPr="002E5D23" w14:paraId="3D593EBB" w14:textId="77777777" w:rsidTr="009C6D84">
        <w:tc>
          <w:tcPr>
            <w:tcW w:w="1220" w:type="dxa"/>
          </w:tcPr>
          <w:p w14:paraId="7CC27EC1"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BMI</w:t>
            </w:r>
          </w:p>
        </w:tc>
        <w:tc>
          <w:tcPr>
            <w:tcW w:w="6677" w:type="dxa"/>
          </w:tcPr>
          <w:p w14:paraId="4C85A008"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Body Mass Index</w:t>
            </w:r>
          </w:p>
        </w:tc>
      </w:tr>
      <w:tr w:rsidR="00690A63" w:rsidRPr="002E5D23" w14:paraId="20D883FF" w14:textId="77777777" w:rsidTr="009C6D84">
        <w:tc>
          <w:tcPr>
            <w:tcW w:w="1220" w:type="dxa"/>
          </w:tcPr>
          <w:p w14:paraId="23C84E06" w14:textId="77777777" w:rsidR="00C92627" w:rsidRPr="002E5D23" w:rsidRDefault="00C92627" w:rsidP="009C6D84">
            <w:pPr>
              <w:pStyle w:val="MDPI42tablebody"/>
              <w:spacing w:line="240" w:lineRule="auto"/>
              <w:jc w:val="left"/>
              <w:rPr>
                <w:color w:val="auto"/>
                <w:sz w:val="18"/>
                <w:szCs w:val="18"/>
                <w:lang w:val="en-GB"/>
              </w:rPr>
            </w:pPr>
            <w:proofErr w:type="spellStart"/>
            <w:r w:rsidRPr="002E5D23">
              <w:rPr>
                <w:color w:val="auto"/>
                <w:sz w:val="18"/>
                <w:szCs w:val="18"/>
                <w:lang w:val="en-GB"/>
              </w:rPr>
              <w:t>aBMD</w:t>
            </w:r>
            <w:proofErr w:type="spellEnd"/>
          </w:p>
        </w:tc>
        <w:tc>
          <w:tcPr>
            <w:tcW w:w="6677" w:type="dxa"/>
          </w:tcPr>
          <w:p w14:paraId="5665F799"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Areal Bone Mineral Density</w:t>
            </w:r>
          </w:p>
        </w:tc>
      </w:tr>
      <w:tr w:rsidR="00690A63" w:rsidRPr="002E5D23" w14:paraId="7492BBF7" w14:textId="77777777" w:rsidTr="009C6D84">
        <w:tc>
          <w:tcPr>
            <w:tcW w:w="1220" w:type="dxa"/>
          </w:tcPr>
          <w:p w14:paraId="2D4C9831"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EWGSOP2</w:t>
            </w:r>
          </w:p>
        </w:tc>
        <w:tc>
          <w:tcPr>
            <w:tcW w:w="6677" w:type="dxa"/>
          </w:tcPr>
          <w:p w14:paraId="6E775F5F"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Revised 2019 European Working Group on Sarcopenia in Older People</w:t>
            </w:r>
          </w:p>
        </w:tc>
      </w:tr>
      <w:tr w:rsidR="00690A63" w:rsidRPr="002E5D23" w14:paraId="240891CD" w14:textId="77777777" w:rsidTr="009C6D84">
        <w:tc>
          <w:tcPr>
            <w:tcW w:w="1220" w:type="dxa"/>
          </w:tcPr>
          <w:p w14:paraId="3C41E7B2"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SD</w:t>
            </w:r>
          </w:p>
        </w:tc>
        <w:tc>
          <w:tcPr>
            <w:tcW w:w="6677" w:type="dxa"/>
          </w:tcPr>
          <w:p w14:paraId="47625FF8"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Standard Deviation</w:t>
            </w:r>
          </w:p>
        </w:tc>
      </w:tr>
      <w:tr w:rsidR="00690A63" w:rsidRPr="002E5D23" w14:paraId="7CF903D1" w14:textId="77777777" w:rsidTr="009C6D84">
        <w:tc>
          <w:tcPr>
            <w:tcW w:w="1220" w:type="dxa"/>
          </w:tcPr>
          <w:p w14:paraId="77CE1DBE"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MUST</w:t>
            </w:r>
          </w:p>
        </w:tc>
        <w:tc>
          <w:tcPr>
            <w:tcW w:w="6677" w:type="dxa"/>
          </w:tcPr>
          <w:p w14:paraId="3957EBAC" w14:textId="77777777" w:rsidR="00C92627" w:rsidRPr="002E5D23" w:rsidRDefault="00C92627" w:rsidP="009C6D84">
            <w:pPr>
              <w:pStyle w:val="MDPI42tablebody"/>
              <w:spacing w:line="240" w:lineRule="auto"/>
              <w:jc w:val="left"/>
              <w:rPr>
                <w:color w:val="auto"/>
                <w:sz w:val="18"/>
                <w:szCs w:val="18"/>
                <w:lang w:val="en-GB"/>
              </w:rPr>
            </w:pPr>
            <w:r w:rsidRPr="002E5D23">
              <w:rPr>
                <w:color w:val="auto"/>
                <w:sz w:val="18"/>
                <w:szCs w:val="18"/>
                <w:lang w:val="en-GB"/>
              </w:rPr>
              <w:t>Malnutrition Universal Screening Tool</w:t>
            </w:r>
          </w:p>
        </w:tc>
      </w:tr>
      <w:tr w:rsidR="00690A63" w:rsidRPr="002E5D23" w14:paraId="69D49C34" w14:textId="77777777" w:rsidTr="004847A8">
        <w:trPr>
          <w:trHeight w:val="54"/>
        </w:trPr>
        <w:tc>
          <w:tcPr>
            <w:tcW w:w="1220" w:type="dxa"/>
          </w:tcPr>
          <w:p w14:paraId="78145D10" w14:textId="11660CFE" w:rsidR="00C92627" w:rsidRPr="002E5D23" w:rsidRDefault="00C92627" w:rsidP="009C6D84">
            <w:pPr>
              <w:pStyle w:val="MDPI42tablebody"/>
              <w:spacing w:line="240" w:lineRule="auto"/>
              <w:jc w:val="left"/>
              <w:rPr>
                <w:color w:val="auto"/>
                <w:sz w:val="18"/>
                <w:szCs w:val="18"/>
                <w:lang w:val="en-GB"/>
              </w:rPr>
            </w:pPr>
          </w:p>
        </w:tc>
        <w:tc>
          <w:tcPr>
            <w:tcW w:w="6677" w:type="dxa"/>
          </w:tcPr>
          <w:p w14:paraId="40431DA2" w14:textId="130D3076" w:rsidR="00C92627" w:rsidRPr="002E5D23" w:rsidRDefault="00C92627" w:rsidP="009C6D84">
            <w:pPr>
              <w:pStyle w:val="MDPI42tablebody"/>
              <w:spacing w:line="240" w:lineRule="auto"/>
              <w:jc w:val="left"/>
              <w:rPr>
                <w:color w:val="auto"/>
                <w:sz w:val="18"/>
                <w:szCs w:val="18"/>
                <w:lang w:val="en-GB"/>
              </w:rPr>
            </w:pPr>
          </w:p>
        </w:tc>
      </w:tr>
    </w:tbl>
    <w:p w14:paraId="1C795441" w14:textId="77777777" w:rsidR="00C92627" w:rsidRPr="002E5D23" w:rsidRDefault="00C92627" w:rsidP="00C92627">
      <w:pPr>
        <w:pStyle w:val="MDPI21heading1"/>
        <w:ind w:left="0"/>
        <w:rPr>
          <w:color w:val="auto"/>
          <w:lang w:val="en-GB"/>
        </w:rPr>
      </w:pPr>
      <w:bookmarkStart w:id="48" w:name="referenceBookmark"/>
      <w:bookmarkStart w:id="49" w:name="RefSection"/>
      <w:bookmarkEnd w:id="47"/>
      <w:bookmarkEnd w:id="48"/>
      <w:r w:rsidRPr="002E5D23">
        <w:rPr>
          <w:color w:val="auto"/>
          <w:lang w:val="en-GB"/>
        </w:rPr>
        <w:t>Reference</w:t>
      </w:r>
      <w:bookmarkStart w:id="50" w:name="_Hlk216251645"/>
      <w:bookmarkEnd w:id="49"/>
      <w:r w:rsidRPr="002E5D23">
        <w:rPr>
          <w:color w:val="auto"/>
          <w:lang w:val="en-GB"/>
        </w:rPr>
        <w:t>s</w:t>
      </w:r>
    </w:p>
    <w:p w14:paraId="22C9B12F" w14:textId="77777777" w:rsidR="005E2D71" w:rsidRPr="002E5D23" w:rsidRDefault="005E2D71" w:rsidP="005E2D71">
      <w:pPr>
        <w:pStyle w:val="EndNoteBibliography"/>
        <w:numPr>
          <w:ilvl w:val="0"/>
          <w:numId w:val="28"/>
        </w:numPr>
        <w:adjustRightInd w:val="0"/>
        <w:snapToGrid w:val="0"/>
        <w:spacing w:line="280" w:lineRule="atLeast"/>
        <w:ind w:left="425" w:hanging="425"/>
      </w:pPr>
      <w:bookmarkStart w:id="51" w:name="_Hlk220482686"/>
      <w:r w:rsidRPr="002E5D23">
        <w:t xml:space="preserve">Rizzoli, R.; Stevenson, J.C.; Bauer, J.M.; van Loon, L.J.; Walrand, S.; Kanis, J.A.; Cooper, C.; Brandi, M.-L.; Diez-Perez, A.; Reginster, J.-Y. </w:t>
      </w:r>
      <w:r w:rsidRPr="002E5D23">
        <w:rPr>
          <w:bCs/>
        </w:rPr>
        <w:t>The role of dietary protein and vitamin D in maintaining musculoskeletal health in postmenopausal women: A consensus statement from the European Society for Clinical and Economic Aspects of Osteoporosis and Osteoarthritis (ESCEO).</w:t>
      </w:r>
      <w:r w:rsidRPr="002E5D23">
        <w:t xml:space="preserve"> </w:t>
      </w:r>
      <w:r w:rsidRPr="002E5D23">
        <w:rPr>
          <w:i/>
        </w:rPr>
        <w:t>Maturitas</w:t>
      </w:r>
      <w:r w:rsidRPr="002E5D23">
        <w:t xml:space="preserve"> </w:t>
      </w:r>
      <w:r w:rsidRPr="002E5D23">
        <w:rPr>
          <w:b/>
        </w:rPr>
        <w:t>2014</w:t>
      </w:r>
      <w:r w:rsidRPr="002E5D23">
        <w:t xml:space="preserve">, </w:t>
      </w:r>
      <w:r w:rsidRPr="002E5D23">
        <w:rPr>
          <w:i/>
        </w:rPr>
        <w:t>79</w:t>
      </w:r>
      <w:r w:rsidRPr="002E5D23">
        <w:t>, 122–132.</w:t>
      </w:r>
    </w:p>
    <w:p w14:paraId="2E9F23C1" w14:textId="77777777" w:rsidR="005E2D71" w:rsidRPr="002E5D23" w:rsidRDefault="005E2D71" w:rsidP="005E2D71">
      <w:pPr>
        <w:pStyle w:val="EndNoteBibliography"/>
        <w:numPr>
          <w:ilvl w:val="0"/>
          <w:numId w:val="28"/>
        </w:numPr>
        <w:adjustRightInd w:val="0"/>
        <w:snapToGrid w:val="0"/>
        <w:spacing w:line="280" w:lineRule="atLeast"/>
        <w:ind w:left="425" w:hanging="425"/>
        <w:rPr>
          <w:bCs/>
        </w:rPr>
      </w:pPr>
      <w:r w:rsidRPr="002E5D23">
        <w:t xml:space="preserve">Geiker, N.; Mølgaard, C.; Iuliano, S.; Rizzoli, R.; Manios, Y.; Van Loon, L.; Lecerf, J.M.; Moschonis, G.; Reginster, J.Y.; Givens, I.; Astrup, A. </w:t>
      </w:r>
      <w:r w:rsidRPr="002E5D23">
        <w:rPr>
          <w:bCs/>
        </w:rPr>
        <w:t xml:space="preserve">Impact of whole dairy matrix on musculoskeletal health and aging–current knowledge and research gaps. </w:t>
      </w:r>
      <w:r w:rsidRPr="002E5D23">
        <w:rPr>
          <w:bCs/>
          <w:i/>
        </w:rPr>
        <w:t>Osteoporos. Int</w:t>
      </w:r>
      <w:r w:rsidRPr="002E5D23">
        <w:rPr>
          <w:bCs/>
        </w:rPr>
        <w:t xml:space="preserve">. </w:t>
      </w:r>
      <w:r w:rsidRPr="002E5D23">
        <w:rPr>
          <w:b/>
          <w:bCs/>
        </w:rPr>
        <w:t>2020</w:t>
      </w:r>
      <w:r w:rsidRPr="002E5D23">
        <w:rPr>
          <w:bCs/>
        </w:rPr>
        <w:t xml:space="preserve">, </w:t>
      </w:r>
      <w:r w:rsidRPr="002E5D23">
        <w:rPr>
          <w:bCs/>
          <w:i/>
        </w:rPr>
        <w:t>31</w:t>
      </w:r>
      <w:r w:rsidRPr="002E5D23">
        <w:rPr>
          <w:bCs/>
        </w:rPr>
        <w:t>, 601–615.</w:t>
      </w:r>
    </w:p>
    <w:p w14:paraId="2A2B6820"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Cruz-Jentoft, A.J.; Hughes, B.D.; Scott, D.; Sanders, K.M.; Rizzoli, R. </w:t>
      </w:r>
      <w:r w:rsidRPr="002E5D23">
        <w:rPr>
          <w:bCs/>
        </w:rPr>
        <w:t>Nutritional strategies for maintaining muscle mass and strength from middle age to later life: A narrative review.</w:t>
      </w:r>
      <w:r w:rsidRPr="002E5D23">
        <w:t xml:space="preserve"> </w:t>
      </w:r>
      <w:r w:rsidRPr="002E5D23">
        <w:rPr>
          <w:i/>
        </w:rPr>
        <w:t>Maturitas</w:t>
      </w:r>
      <w:r w:rsidRPr="002E5D23">
        <w:t xml:space="preserve"> </w:t>
      </w:r>
      <w:r w:rsidRPr="002E5D23">
        <w:rPr>
          <w:b/>
        </w:rPr>
        <w:t>2020</w:t>
      </w:r>
      <w:r w:rsidRPr="002E5D23">
        <w:t xml:space="preserve">, </w:t>
      </w:r>
      <w:r w:rsidRPr="002E5D23">
        <w:rPr>
          <w:i/>
        </w:rPr>
        <w:t>132</w:t>
      </w:r>
      <w:r w:rsidRPr="002E5D23">
        <w:t>, 57–64.</w:t>
      </w:r>
    </w:p>
    <w:p w14:paraId="5E465243" w14:textId="77777777" w:rsidR="005E2D71" w:rsidRPr="002E5D23" w:rsidRDefault="005E2D71" w:rsidP="005E2D71">
      <w:pPr>
        <w:pStyle w:val="EndNoteBibliography"/>
        <w:numPr>
          <w:ilvl w:val="0"/>
          <w:numId w:val="28"/>
        </w:numPr>
        <w:adjustRightInd w:val="0"/>
        <w:snapToGrid w:val="0"/>
        <w:spacing w:line="280" w:lineRule="atLeast"/>
        <w:ind w:left="425" w:hanging="425"/>
        <w:rPr>
          <w:bCs/>
        </w:rPr>
      </w:pPr>
      <w:r w:rsidRPr="002E5D23">
        <w:t xml:space="preserve">Harvey, N.C.; Johansson, H.; McCloskey, E.V.; Liu, E.; Åkesson, K.E.; Anderson, F.A.; Azagra-Ledesma, R.; Bager, C.L.; Beaudart, C.; A Bischoff-Ferrari, H.; et al. </w:t>
      </w:r>
      <w:r w:rsidRPr="002E5D23">
        <w:rPr>
          <w:bCs/>
        </w:rPr>
        <w:t xml:space="preserve">Body mass index and subsequent fracture risk: A meta-analysis to update FRAX. </w:t>
      </w:r>
      <w:r w:rsidRPr="002E5D23">
        <w:rPr>
          <w:bCs/>
          <w:i/>
        </w:rPr>
        <w:t>J. Bone Miner. Res</w:t>
      </w:r>
      <w:r w:rsidRPr="002E5D23">
        <w:rPr>
          <w:bCs/>
        </w:rPr>
        <w:t xml:space="preserve">. </w:t>
      </w:r>
      <w:r w:rsidRPr="002E5D23">
        <w:rPr>
          <w:b/>
          <w:bCs/>
        </w:rPr>
        <w:t>2025</w:t>
      </w:r>
      <w:r w:rsidRPr="002E5D23">
        <w:rPr>
          <w:bCs/>
        </w:rPr>
        <w:t xml:space="preserve">, </w:t>
      </w:r>
      <w:r w:rsidRPr="002E5D23">
        <w:rPr>
          <w:bCs/>
          <w:i/>
        </w:rPr>
        <w:t>40</w:t>
      </w:r>
      <w:r w:rsidRPr="002E5D23">
        <w:rPr>
          <w:bCs/>
        </w:rPr>
        <w:t>, 1144–1155.</w:t>
      </w:r>
    </w:p>
    <w:p w14:paraId="4ACECED9"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Bauer, J.M.; Cruz-Jentoft, A.J.; Fielding, R.A.; Kanis, J.A.; Reginster, J.-Y.; Bruyère, O.; Cesari, M.; Chapurlat, R.; Al-Daghri, N.; Dennison, E.; et al. Is there enough evidence for osteosarcopenic obesity as a distinct entity? A critical literature review. </w:t>
      </w:r>
      <w:r w:rsidRPr="002E5D23">
        <w:rPr>
          <w:i/>
        </w:rPr>
        <w:t>Calcif. Tissue Int</w:t>
      </w:r>
      <w:r w:rsidRPr="002E5D23">
        <w:t xml:space="preserve">. </w:t>
      </w:r>
      <w:r w:rsidRPr="002E5D23">
        <w:rPr>
          <w:b/>
        </w:rPr>
        <w:t>2019</w:t>
      </w:r>
      <w:r w:rsidRPr="002E5D23">
        <w:t xml:space="preserve">, </w:t>
      </w:r>
      <w:r w:rsidRPr="002E5D23">
        <w:rPr>
          <w:i/>
        </w:rPr>
        <w:t>105</w:t>
      </w:r>
      <w:r w:rsidRPr="002E5D23">
        <w:t>, 109–124.</w:t>
      </w:r>
    </w:p>
    <w:p w14:paraId="7AE233FE"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Xu, J.; Lei, M.; Xu, D. </w:t>
      </w:r>
      <w:r w:rsidRPr="002E5D23">
        <w:rPr>
          <w:bCs/>
        </w:rPr>
        <w:t xml:space="preserve">Global, regional, and national burden of knee osteoarthritis attributable to high BMI: A systematic analysis from 1990 to 2021 and projections to 2050. </w:t>
      </w:r>
      <w:r w:rsidRPr="002E5D23">
        <w:rPr>
          <w:i/>
        </w:rPr>
        <w:t>Front. Public Health</w:t>
      </w:r>
      <w:r w:rsidRPr="002E5D23">
        <w:t xml:space="preserve"> </w:t>
      </w:r>
      <w:r w:rsidRPr="002E5D23">
        <w:rPr>
          <w:b/>
        </w:rPr>
        <w:t>2025</w:t>
      </w:r>
      <w:r w:rsidRPr="002E5D23">
        <w:t xml:space="preserve">, </w:t>
      </w:r>
      <w:r w:rsidRPr="002E5D23">
        <w:rPr>
          <w:i/>
        </w:rPr>
        <w:t>13</w:t>
      </w:r>
      <w:r w:rsidRPr="002E5D23">
        <w:t>, 1668257.</w:t>
      </w:r>
    </w:p>
    <w:p w14:paraId="52F19D52"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Bloom, I.; Zhang, J.; Parsons, C.; Bevilacqua, G.; Dennison, E.M.; Cooper, C.; Ward, K.A. </w:t>
      </w:r>
      <w:r w:rsidRPr="002E5D23">
        <w:rPr>
          <w:bCs/>
        </w:rPr>
        <w:t>Nutritional risk and its relationship with physical function in community-dwelling older adults</w:t>
      </w:r>
      <w:r w:rsidRPr="002E5D23">
        <w:t xml:space="preserve">. </w:t>
      </w:r>
      <w:r w:rsidRPr="002E5D23">
        <w:rPr>
          <w:i/>
        </w:rPr>
        <w:t>Aging Clin. Exp. Res</w:t>
      </w:r>
      <w:r w:rsidRPr="002E5D23">
        <w:t xml:space="preserve">. </w:t>
      </w:r>
      <w:r w:rsidRPr="002E5D23">
        <w:rPr>
          <w:b/>
        </w:rPr>
        <w:t>2022</w:t>
      </w:r>
      <w:r w:rsidRPr="002E5D23">
        <w:t xml:space="preserve">, </w:t>
      </w:r>
      <w:r w:rsidRPr="002E5D23">
        <w:rPr>
          <w:i/>
        </w:rPr>
        <w:t>34</w:t>
      </w:r>
      <w:r w:rsidRPr="002E5D23">
        <w:t>, 2031–2039.</w:t>
      </w:r>
    </w:p>
    <w:p w14:paraId="1A2D2AFB"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Bloom, I.; Lawrence, W.; Barker, M.; Baird, J.; Dennison, E.; Sayer, A.A.; Cooper, C.; Robinson, S. </w:t>
      </w:r>
      <w:r w:rsidRPr="002E5D23">
        <w:rPr>
          <w:bCs/>
        </w:rPr>
        <w:t>What influences diet quality in older people? A qualitative study among community-dwelling older adults from the Hertfordshire Cohort Study, UK.</w:t>
      </w:r>
      <w:r w:rsidRPr="002E5D23">
        <w:t xml:space="preserve"> </w:t>
      </w:r>
      <w:r w:rsidRPr="002E5D23">
        <w:rPr>
          <w:i/>
        </w:rPr>
        <w:t>Public Health Nutr</w:t>
      </w:r>
      <w:r w:rsidRPr="002E5D23">
        <w:t xml:space="preserve">. </w:t>
      </w:r>
      <w:r w:rsidRPr="002E5D23">
        <w:rPr>
          <w:b/>
        </w:rPr>
        <w:t>2017</w:t>
      </w:r>
      <w:r w:rsidRPr="002E5D23">
        <w:t xml:space="preserve">, </w:t>
      </w:r>
      <w:r w:rsidRPr="002E5D23">
        <w:rPr>
          <w:i/>
        </w:rPr>
        <w:t>20</w:t>
      </w:r>
      <w:r w:rsidRPr="002E5D23">
        <w:t>, 2685–2693.</w:t>
      </w:r>
    </w:p>
    <w:p w14:paraId="51D6B101"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Sui, J.; Yin, H.; Zhang, L.; Li, J. </w:t>
      </w:r>
      <w:r w:rsidRPr="002E5D23">
        <w:rPr>
          <w:bCs/>
        </w:rPr>
        <w:t>The impact of high-quality dietary patterns on the prevention of osteoporosis: A meta-analysis of observational studies</w:t>
      </w:r>
      <w:r w:rsidRPr="002E5D23">
        <w:t xml:space="preserve">. </w:t>
      </w:r>
      <w:r w:rsidRPr="002E5D23">
        <w:rPr>
          <w:i/>
        </w:rPr>
        <w:t>Front. Nutr</w:t>
      </w:r>
      <w:r w:rsidRPr="002E5D23">
        <w:t xml:space="preserve">. </w:t>
      </w:r>
      <w:r w:rsidRPr="002E5D23">
        <w:rPr>
          <w:b/>
        </w:rPr>
        <w:t>2025</w:t>
      </w:r>
      <w:r w:rsidRPr="002E5D23">
        <w:t xml:space="preserve">, </w:t>
      </w:r>
      <w:r w:rsidRPr="002E5D23">
        <w:rPr>
          <w:i/>
        </w:rPr>
        <w:t>12</w:t>
      </w:r>
      <w:r w:rsidRPr="002E5D23">
        <w:t>, 1609442.</w:t>
      </w:r>
    </w:p>
    <w:p w14:paraId="34515AB1"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Nguyen, H.H.; Do, D.V.; To, K.G.; Doan, H.T.; Oddy, W.H. </w:t>
      </w:r>
      <w:r w:rsidRPr="002E5D23">
        <w:rPr>
          <w:bCs/>
        </w:rPr>
        <w:t>The effect of dietary patterns on reducing falls and falls risk in adults: A systematic review</w:t>
      </w:r>
      <w:r w:rsidRPr="002E5D23">
        <w:t xml:space="preserve">. </w:t>
      </w:r>
      <w:r w:rsidRPr="002E5D23">
        <w:rPr>
          <w:i/>
        </w:rPr>
        <w:t>Curr. Nutr. Rep</w:t>
      </w:r>
      <w:r w:rsidRPr="002E5D23">
        <w:t xml:space="preserve">. </w:t>
      </w:r>
      <w:r w:rsidRPr="002E5D23">
        <w:rPr>
          <w:b/>
        </w:rPr>
        <w:t>2024</w:t>
      </w:r>
      <w:r w:rsidRPr="002E5D23">
        <w:t xml:space="preserve">, </w:t>
      </w:r>
      <w:r w:rsidRPr="002E5D23">
        <w:rPr>
          <w:i/>
        </w:rPr>
        <w:t>13</w:t>
      </w:r>
      <w:r w:rsidRPr="002E5D23">
        <w:t>, 15–22.</w:t>
      </w:r>
    </w:p>
    <w:p w14:paraId="3010FE49"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Van Elswyk, M.E.; Teo, L.; Lau, C.S.; Shanahan, C.J. </w:t>
      </w:r>
      <w:r w:rsidRPr="002E5D23">
        <w:rPr>
          <w:bCs/>
        </w:rPr>
        <w:t>Dietary patterns and the risk of sarcopenia: A systematic review and meta-analysis.</w:t>
      </w:r>
      <w:r w:rsidRPr="002E5D23">
        <w:t xml:space="preserve"> </w:t>
      </w:r>
      <w:r w:rsidRPr="002E5D23">
        <w:rPr>
          <w:i/>
        </w:rPr>
        <w:t>Curr. Dev. Nutr</w:t>
      </w:r>
      <w:r w:rsidRPr="002E5D23">
        <w:t xml:space="preserve">. </w:t>
      </w:r>
      <w:r w:rsidRPr="002E5D23">
        <w:rPr>
          <w:b/>
        </w:rPr>
        <w:t>2022</w:t>
      </w:r>
      <w:r w:rsidRPr="002E5D23">
        <w:t xml:space="preserve">, </w:t>
      </w:r>
      <w:r w:rsidRPr="002E5D23">
        <w:rPr>
          <w:i/>
        </w:rPr>
        <w:t>6</w:t>
      </w:r>
      <w:r w:rsidRPr="002E5D23">
        <w:t>, nzac001.</w:t>
      </w:r>
    </w:p>
    <w:p w14:paraId="16F80306" w14:textId="77777777" w:rsidR="005E2D71" w:rsidRPr="002E5D23" w:rsidRDefault="005E2D71" w:rsidP="005E2D71">
      <w:pPr>
        <w:pStyle w:val="EndNoteBibliography"/>
        <w:numPr>
          <w:ilvl w:val="0"/>
          <w:numId w:val="28"/>
        </w:numPr>
        <w:adjustRightInd w:val="0"/>
        <w:snapToGrid w:val="0"/>
        <w:spacing w:line="280" w:lineRule="atLeast"/>
        <w:ind w:left="425" w:hanging="425"/>
        <w:rPr>
          <w:lang w:val="it-IT"/>
        </w:rPr>
      </w:pPr>
      <w:r w:rsidRPr="002E5D23">
        <w:t xml:space="preserve">Xu, C.; Wang, S.; Ti, W.; Yang, J.; Yasen, Y.; Memetsidiq, M.; Shi, S.-q. Role of dietary patterns and factors in determining the risk of knee osteoarthritis: A meta-analysis. </w:t>
      </w:r>
      <w:r w:rsidRPr="002E5D23">
        <w:rPr>
          <w:i/>
          <w:lang w:val="it-IT"/>
        </w:rPr>
        <w:t>Mod. Rheumatol</w:t>
      </w:r>
      <w:r w:rsidRPr="002E5D23">
        <w:rPr>
          <w:lang w:val="it-IT"/>
        </w:rPr>
        <w:t xml:space="preserve">. </w:t>
      </w:r>
      <w:r w:rsidRPr="002E5D23">
        <w:rPr>
          <w:b/>
          <w:lang w:val="it-IT"/>
        </w:rPr>
        <w:t>2022</w:t>
      </w:r>
      <w:r w:rsidRPr="002E5D23">
        <w:rPr>
          <w:lang w:val="it-IT"/>
        </w:rPr>
        <w:t xml:space="preserve">, </w:t>
      </w:r>
      <w:r w:rsidRPr="002E5D23">
        <w:rPr>
          <w:i/>
          <w:lang w:val="it-IT"/>
        </w:rPr>
        <w:t>32</w:t>
      </w:r>
      <w:r w:rsidRPr="002E5D23">
        <w:rPr>
          <w:lang w:val="it-IT"/>
        </w:rPr>
        <w:t>, 815–821.</w:t>
      </w:r>
    </w:p>
    <w:p w14:paraId="4398C21D"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rPr>
          <w:lang w:val="it-IT"/>
        </w:rPr>
        <w:t xml:space="preserve">Dominguez, L.J.; Veronese, N.; Baiamonte, E.; Guarrera, M.; Parisi, A.; Ruffolo, C.; </w:t>
      </w:r>
      <w:r w:rsidRPr="002E5D23">
        <w:t xml:space="preserve">Tagliaferri, F.; Barbagallo, M. </w:t>
      </w:r>
      <w:r w:rsidRPr="002E5D23">
        <w:rPr>
          <w:bCs/>
        </w:rPr>
        <w:t>Healthy aging and dietary patterns.</w:t>
      </w:r>
      <w:r w:rsidRPr="002E5D23">
        <w:t xml:space="preserve"> </w:t>
      </w:r>
      <w:r w:rsidRPr="002E5D23">
        <w:rPr>
          <w:i/>
        </w:rPr>
        <w:t>Nutrients</w:t>
      </w:r>
      <w:r w:rsidRPr="002E5D23">
        <w:t xml:space="preserve"> </w:t>
      </w:r>
      <w:r w:rsidRPr="002E5D23">
        <w:rPr>
          <w:b/>
        </w:rPr>
        <w:t>2022</w:t>
      </w:r>
      <w:r w:rsidRPr="002E5D23">
        <w:t xml:space="preserve">, </w:t>
      </w:r>
      <w:r w:rsidRPr="002E5D23">
        <w:rPr>
          <w:i/>
        </w:rPr>
        <w:t>14</w:t>
      </w:r>
      <w:r w:rsidRPr="002E5D23">
        <w:t>, 889.</w:t>
      </w:r>
    </w:p>
    <w:p w14:paraId="565BB092"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Robinson, S.M.; Westbury, L.D.; Cooper, R.; Kuh, D.; Ward, K.; Syddall, H.E.; A Sayer, A.; Cooper, C. </w:t>
      </w:r>
      <w:r w:rsidRPr="002E5D23">
        <w:rPr>
          <w:bCs/>
        </w:rPr>
        <w:t>Adult lifetime diet quality and physical performance in older age: Findings from a British birth cohort.</w:t>
      </w:r>
      <w:r w:rsidRPr="002E5D23">
        <w:t xml:space="preserve"> </w:t>
      </w:r>
      <w:r w:rsidRPr="002E5D23">
        <w:rPr>
          <w:i/>
        </w:rPr>
        <w:t>J. Gerontol. A Biol. Sci. Med. Sci</w:t>
      </w:r>
      <w:r w:rsidRPr="002E5D23">
        <w:t xml:space="preserve">. </w:t>
      </w:r>
      <w:r w:rsidRPr="002E5D23">
        <w:rPr>
          <w:b/>
        </w:rPr>
        <w:t>2018</w:t>
      </w:r>
      <w:r w:rsidRPr="002E5D23">
        <w:t xml:space="preserve">, </w:t>
      </w:r>
      <w:r w:rsidRPr="002E5D23">
        <w:rPr>
          <w:i/>
        </w:rPr>
        <w:t>73</w:t>
      </w:r>
      <w:r w:rsidRPr="002E5D23">
        <w:t>, 1532–1537.</w:t>
      </w:r>
    </w:p>
    <w:p w14:paraId="1691A94F"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lastRenderedPageBreak/>
        <w:t xml:space="preserve">Syddall, H.; Aihie Sayer, A.; Dennison, E.; Martin, H.; Barker, D.; Cooper, C. </w:t>
      </w:r>
      <w:r w:rsidRPr="002E5D23">
        <w:rPr>
          <w:bCs/>
        </w:rPr>
        <w:t>Cohort profile: The Hertfordshire Cohort Study.</w:t>
      </w:r>
      <w:r w:rsidRPr="002E5D23">
        <w:t xml:space="preserve"> </w:t>
      </w:r>
      <w:r w:rsidRPr="002E5D23">
        <w:rPr>
          <w:i/>
        </w:rPr>
        <w:t>Int. J. Epidemiol</w:t>
      </w:r>
      <w:r w:rsidRPr="002E5D23">
        <w:t xml:space="preserve">. </w:t>
      </w:r>
      <w:r w:rsidRPr="002E5D23">
        <w:rPr>
          <w:b/>
        </w:rPr>
        <w:t>2005</w:t>
      </w:r>
      <w:r w:rsidRPr="002E5D23">
        <w:t xml:space="preserve">, </w:t>
      </w:r>
      <w:r w:rsidRPr="002E5D23">
        <w:rPr>
          <w:i/>
        </w:rPr>
        <w:t>34</w:t>
      </w:r>
      <w:r w:rsidRPr="002E5D23">
        <w:t>, 1234–1242.</w:t>
      </w:r>
    </w:p>
    <w:p w14:paraId="6D18EE20"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Robinson, S.; Syddall, H.; Jameson, K.; Batelaan, S.; Martin, H.; Dennison, E.M.; Cooper, C.; Sayer, A.A. </w:t>
      </w:r>
      <w:r w:rsidRPr="002E5D23">
        <w:rPr>
          <w:bCs/>
        </w:rPr>
        <w:t>Current patterns of diet in community-dwelling older men and women: Results from the Hertfordshire Cohort Study</w:t>
      </w:r>
      <w:r w:rsidRPr="002E5D23">
        <w:t xml:space="preserve">. </w:t>
      </w:r>
      <w:r w:rsidRPr="002E5D23">
        <w:rPr>
          <w:i/>
        </w:rPr>
        <w:t>Age Ageing</w:t>
      </w:r>
      <w:r w:rsidRPr="002E5D23">
        <w:t xml:space="preserve"> </w:t>
      </w:r>
      <w:r w:rsidRPr="002E5D23">
        <w:rPr>
          <w:b/>
        </w:rPr>
        <w:t>2009</w:t>
      </w:r>
      <w:r w:rsidRPr="002E5D23">
        <w:t xml:space="preserve">, </w:t>
      </w:r>
      <w:r w:rsidRPr="002E5D23">
        <w:rPr>
          <w:i/>
        </w:rPr>
        <w:t>38</w:t>
      </w:r>
      <w:r w:rsidRPr="002E5D23">
        <w:t>, 594–599.</w:t>
      </w:r>
    </w:p>
    <w:p w14:paraId="707424D4"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Robinson, S.; Jameson, K.; Bloom, I.; Ntani, G.; Crozier, S.; Syddall, H.; Dennison, E.M.; Cooper, C.; Sayer, A.A. </w:t>
      </w:r>
      <w:r w:rsidRPr="002E5D23">
        <w:rPr>
          <w:bCs/>
        </w:rPr>
        <w:t xml:space="preserve">Development of a short questionnaire to assess diet quality among older community-dwelling adults. </w:t>
      </w:r>
      <w:r w:rsidRPr="002E5D23">
        <w:rPr>
          <w:i/>
        </w:rPr>
        <w:t>J. Nutr. Health Aging</w:t>
      </w:r>
      <w:r w:rsidRPr="002E5D23">
        <w:t xml:space="preserve"> </w:t>
      </w:r>
      <w:r w:rsidRPr="002E5D23">
        <w:rPr>
          <w:b/>
        </w:rPr>
        <w:t>2017</w:t>
      </w:r>
      <w:r w:rsidRPr="002E5D23">
        <w:t xml:space="preserve">, </w:t>
      </w:r>
      <w:r w:rsidRPr="002E5D23">
        <w:rPr>
          <w:i/>
        </w:rPr>
        <w:t>21</w:t>
      </w:r>
      <w:r w:rsidRPr="002E5D23">
        <w:t>, 247–253.</w:t>
      </w:r>
    </w:p>
    <w:p w14:paraId="32B5C5BD"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Dallosso, H.; Morgan, K.; Bassey, E.; Ebrahim, S.; Fentem, P.; Arie, T. </w:t>
      </w:r>
      <w:r w:rsidRPr="002E5D23">
        <w:rPr>
          <w:bCs/>
        </w:rPr>
        <w:t>Levels of customary physical activity among the old and the very old living at home</w:t>
      </w:r>
      <w:r w:rsidRPr="002E5D23">
        <w:t xml:space="preserve">. </w:t>
      </w:r>
      <w:r w:rsidRPr="002E5D23">
        <w:rPr>
          <w:i/>
        </w:rPr>
        <w:t>J. Epidemiol. Community Health</w:t>
      </w:r>
      <w:r w:rsidRPr="002E5D23">
        <w:t xml:space="preserve"> </w:t>
      </w:r>
      <w:r w:rsidRPr="002E5D23">
        <w:rPr>
          <w:b/>
        </w:rPr>
        <w:t>1988</w:t>
      </w:r>
      <w:r w:rsidRPr="002E5D23">
        <w:t xml:space="preserve">, </w:t>
      </w:r>
      <w:r w:rsidRPr="002E5D23">
        <w:rPr>
          <w:i/>
        </w:rPr>
        <w:t>42</w:t>
      </w:r>
      <w:r w:rsidRPr="002E5D23">
        <w:t>, 121–127.</w:t>
      </w:r>
    </w:p>
    <w:p w14:paraId="026FACB8"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Office of Population Censuses Surveys. </w:t>
      </w:r>
      <w:r w:rsidRPr="002E5D23">
        <w:rPr>
          <w:i/>
          <w:iCs/>
        </w:rPr>
        <w:t>Standard Occupational Classification Vol 1 Structure Definition of Major Minor Unit Groups</w:t>
      </w:r>
      <w:r w:rsidRPr="002E5D23">
        <w:t>; H.M.S.O.: London, UK, 1990.</w:t>
      </w:r>
    </w:p>
    <w:p w14:paraId="1141C625"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Roberts, H.C.; Denison, H.J.; Martin, H.J.; Patel, H.P.; Syddall, H.; Cooper, C.; Sayer, A.A. </w:t>
      </w:r>
      <w:r w:rsidRPr="002E5D23">
        <w:rPr>
          <w:bCs/>
        </w:rPr>
        <w:t xml:space="preserve">A review of the measurement of grip strength in clinical and epidemiological studies: Towards a standardised approach. </w:t>
      </w:r>
      <w:r w:rsidRPr="002E5D23">
        <w:rPr>
          <w:i/>
        </w:rPr>
        <w:t>Age Ageing</w:t>
      </w:r>
      <w:r w:rsidRPr="002E5D23">
        <w:t xml:space="preserve"> </w:t>
      </w:r>
      <w:r w:rsidRPr="002E5D23">
        <w:rPr>
          <w:b/>
        </w:rPr>
        <w:t>2011</w:t>
      </w:r>
      <w:r w:rsidRPr="002E5D23">
        <w:t xml:space="preserve">, </w:t>
      </w:r>
      <w:r w:rsidRPr="002E5D23">
        <w:rPr>
          <w:i/>
        </w:rPr>
        <w:t>40</w:t>
      </w:r>
      <w:r w:rsidRPr="002E5D23">
        <w:t>, 423–429.</w:t>
      </w:r>
    </w:p>
    <w:p w14:paraId="235B2EDF"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Cruz-Jentoft, A.J.; Bahat, G.; Bauer, J.; Boirie, Y.; Bruyère, O.; Cederholm, T.; Cooper, C.; Landi, F.; Rolland, Y.; Sayer, A.A.; et al. </w:t>
      </w:r>
      <w:r w:rsidRPr="002E5D23">
        <w:rPr>
          <w:bCs/>
        </w:rPr>
        <w:t>Sarcopenia: Revised European consensus on definition and diagnosis.</w:t>
      </w:r>
      <w:r w:rsidRPr="002E5D23">
        <w:t xml:space="preserve"> </w:t>
      </w:r>
      <w:r w:rsidRPr="002E5D23">
        <w:rPr>
          <w:i/>
        </w:rPr>
        <w:t>Age Ageing</w:t>
      </w:r>
      <w:r w:rsidRPr="002E5D23">
        <w:t xml:space="preserve"> </w:t>
      </w:r>
      <w:r w:rsidRPr="002E5D23">
        <w:rPr>
          <w:b/>
        </w:rPr>
        <w:t>2019</w:t>
      </w:r>
      <w:r w:rsidRPr="002E5D23">
        <w:t xml:space="preserve">, </w:t>
      </w:r>
      <w:r w:rsidRPr="002E5D23">
        <w:rPr>
          <w:i/>
        </w:rPr>
        <w:t>48</w:t>
      </w:r>
      <w:r w:rsidRPr="002E5D23">
        <w:t>, 16–31.</w:t>
      </w:r>
    </w:p>
    <w:p w14:paraId="7C21D8AE"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Nagin, D.S.; Odgers, C.L. Group-based trajectory modeling in clinical research. </w:t>
      </w:r>
      <w:r w:rsidRPr="002E5D23">
        <w:rPr>
          <w:i/>
        </w:rPr>
        <w:t>Annu. Rev. Clin. Psychol</w:t>
      </w:r>
      <w:r w:rsidRPr="002E5D23">
        <w:t xml:space="preserve">. </w:t>
      </w:r>
      <w:r w:rsidRPr="002E5D23">
        <w:rPr>
          <w:b/>
        </w:rPr>
        <w:t>2010</w:t>
      </w:r>
      <w:r w:rsidRPr="002E5D23">
        <w:t xml:space="preserve">, </w:t>
      </w:r>
      <w:r w:rsidRPr="002E5D23">
        <w:rPr>
          <w:i/>
        </w:rPr>
        <w:t>6</w:t>
      </w:r>
      <w:r w:rsidRPr="002E5D23">
        <w:t>, 109–138.</w:t>
      </w:r>
    </w:p>
    <w:p w14:paraId="398289D7"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Jiao, L. Social determinants of health, diet, and health outcome. </w:t>
      </w:r>
      <w:r w:rsidRPr="002E5D23">
        <w:rPr>
          <w:i/>
        </w:rPr>
        <w:t>Nutrients</w:t>
      </w:r>
      <w:r w:rsidRPr="002E5D23">
        <w:t xml:space="preserve"> </w:t>
      </w:r>
      <w:r w:rsidRPr="002E5D23">
        <w:rPr>
          <w:b/>
        </w:rPr>
        <w:t>2024</w:t>
      </w:r>
      <w:r w:rsidRPr="002E5D23">
        <w:t xml:space="preserve">, </w:t>
      </w:r>
      <w:r w:rsidRPr="002E5D23">
        <w:rPr>
          <w:i/>
        </w:rPr>
        <w:t>16</w:t>
      </w:r>
      <w:r w:rsidRPr="002E5D23">
        <w:t>, 3642.</w:t>
      </w:r>
    </w:p>
    <w:p w14:paraId="5FEED60B" w14:textId="77777777" w:rsidR="005E2D71" w:rsidRPr="002E5D23" w:rsidRDefault="005E2D71" w:rsidP="005E2D71">
      <w:pPr>
        <w:pStyle w:val="EndNoteBibliography"/>
        <w:numPr>
          <w:ilvl w:val="0"/>
          <w:numId w:val="28"/>
        </w:numPr>
        <w:adjustRightInd w:val="0"/>
        <w:snapToGrid w:val="0"/>
        <w:spacing w:line="280" w:lineRule="atLeast"/>
        <w:ind w:left="425" w:hanging="425"/>
        <w:rPr>
          <w:lang w:val="it-IT"/>
        </w:rPr>
      </w:pPr>
      <w:r w:rsidRPr="002E5D23">
        <w:t xml:space="preserve">Stubbendorff, A.; Kern, S.; Rydén, L.; Skoog, I.; Samuelsson, J. The EAT-Lancet diet in relation nutrient intake among older adults: Insights from the Gothenburg H70 birth cohort study. </w:t>
      </w:r>
      <w:r w:rsidRPr="002E5D23">
        <w:rPr>
          <w:i/>
          <w:lang w:val="it-IT"/>
        </w:rPr>
        <w:t>Nutr. J</w:t>
      </w:r>
      <w:r w:rsidRPr="002E5D23">
        <w:rPr>
          <w:lang w:val="it-IT"/>
        </w:rPr>
        <w:t xml:space="preserve">. </w:t>
      </w:r>
      <w:r w:rsidRPr="002E5D23">
        <w:rPr>
          <w:b/>
          <w:lang w:val="it-IT"/>
        </w:rPr>
        <w:t>2025</w:t>
      </w:r>
      <w:r w:rsidRPr="002E5D23">
        <w:rPr>
          <w:lang w:val="it-IT"/>
        </w:rPr>
        <w:t xml:space="preserve">, </w:t>
      </w:r>
      <w:r w:rsidRPr="002E5D23">
        <w:rPr>
          <w:i/>
          <w:lang w:val="it-IT"/>
        </w:rPr>
        <w:t>24</w:t>
      </w:r>
      <w:r w:rsidRPr="002E5D23">
        <w:rPr>
          <w:lang w:val="it-IT"/>
        </w:rPr>
        <w:t>, 124.</w:t>
      </w:r>
    </w:p>
    <w:p w14:paraId="68965523"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rPr>
          <w:lang w:val="it-IT"/>
        </w:rPr>
        <w:t xml:space="preserve">Silva, S.P.; Blauth, F.G.; Vettori, J.C.; Agnollitto, M.I.S.S.; Moriguti, J.C.; Lima, N.K.d.C. </w:t>
      </w:r>
      <w:r w:rsidRPr="002E5D23">
        <w:t xml:space="preserve">Nutritional Status in Frail and Non-Frail Independent Very Old Individuals. </w:t>
      </w:r>
      <w:r w:rsidRPr="002E5D23">
        <w:rPr>
          <w:i/>
        </w:rPr>
        <w:t>J. Nutr. Gerontol. Geriatr</w:t>
      </w:r>
      <w:r w:rsidRPr="002E5D23">
        <w:t xml:space="preserve">. </w:t>
      </w:r>
      <w:r w:rsidRPr="002E5D23">
        <w:rPr>
          <w:b/>
        </w:rPr>
        <w:t>2025</w:t>
      </w:r>
      <w:r w:rsidRPr="002E5D23">
        <w:t xml:space="preserve">, </w:t>
      </w:r>
      <w:r w:rsidRPr="002E5D23">
        <w:rPr>
          <w:i/>
        </w:rPr>
        <w:t>44</w:t>
      </w:r>
      <w:r w:rsidRPr="002E5D23">
        <w:t>, 242–251.</w:t>
      </w:r>
    </w:p>
    <w:p w14:paraId="6A4D0431" w14:textId="77777777" w:rsidR="005E2D71" w:rsidRPr="002E5D23" w:rsidRDefault="005E2D71" w:rsidP="005E2D71">
      <w:pPr>
        <w:pStyle w:val="EndNoteBibliography"/>
        <w:numPr>
          <w:ilvl w:val="0"/>
          <w:numId w:val="28"/>
        </w:numPr>
        <w:adjustRightInd w:val="0"/>
        <w:snapToGrid w:val="0"/>
        <w:spacing w:line="280" w:lineRule="atLeast"/>
        <w:ind w:left="425" w:hanging="425"/>
      </w:pPr>
      <w:r w:rsidRPr="002E5D23">
        <w:t xml:space="preserve">Kirkwood, G.; Pollock, A.M.; Roderick, P. Private sector expansion and the widening NHS treatment gap between rich and poor in England: Admissions for NHS-funded elective primary hip and knee replacements between 1997/98 and 2018/19. </w:t>
      </w:r>
      <w:r w:rsidRPr="002E5D23">
        <w:rPr>
          <w:i/>
        </w:rPr>
        <w:t>Health Policy</w:t>
      </w:r>
      <w:r w:rsidRPr="002E5D23">
        <w:t xml:space="preserve"> </w:t>
      </w:r>
      <w:r w:rsidRPr="002E5D23">
        <w:rPr>
          <w:b/>
        </w:rPr>
        <w:t>2024</w:t>
      </w:r>
      <w:r w:rsidRPr="002E5D23">
        <w:t xml:space="preserve">, </w:t>
      </w:r>
      <w:r w:rsidRPr="002E5D23">
        <w:rPr>
          <w:i/>
        </w:rPr>
        <w:t>146</w:t>
      </w:r>
      <w:r w:rsidRPr="002E5D23">
        <w:t>, 105118.</w:t>
      </w:r>
    </w:p>
    <w:p w14:paraId="27A6BBE5" w14:textId="77777777" w:rsidR="005E2D71" w:rsidRPr="002E5D23" w:rsidRDefault="005E2D71" w:rsidP="005E2D71">
      <w:pPr>
        <w:pStyle w:val="EndNoteBibliography"/>
        <w:numPr>
          <w:ilvl w:val="0"/>
          <w:numId w:val="28"/>
        </w:numPr>
        <w:adjustRightInd w:val="0"/>
        <w:snapToGrid w:val="0"/>
        <w:spacing w:line="280" w:lineRule="atLeast"/>
        <w:ind w:left="425" w:hanging="425"/>
        <w:rPr>
          <w:bCs/>
        </w:rPr>
      </w:pPr>
      <w:r w:rsidRPr="002E5D23">
        <w:t xml:space="preserve">Livingston, M.; Taylor, N.; Callinan, S.; Mojica-Perez, Y.; Torney, A.; Caluzzi, G.; Kepa, K.; Pennay, A. </w:t>
      </w:r>
      <w:r w:rsidRPr="002E5D23">
        <w:rPr>
          <w:rFonts w:hint="eastAsia"/>
          <w:bCs/>
        </w:rPr>
        <w:t>Describing the alcohol ha</w:t>
      </w:r>
      <w:r w:rsidRPr="002E5D23">
        <w:rPr>
          <w:bCs/>
        </w:rPr>
        <w:t xml:space="preserve">rm paradox: 20 years of data from Victoria, Australia. </w:t>
      </w:r>
      <w:r w:rsidRPr="002E5D23">
        <w:rPr>
          <w:bCs/>
          <w:i/>
        </w:rPr>
        <w:t>Addiction</w:t>
      </w:r>
      <w:r w:rsidRPr="002E5D23">
        <w:rPr>
          <w:bCs/>
        </w:rPr>
        <w:t xml:space="preserve"> </w:t>
      </w:r>
      <w:r w:rsidRPr="002E5D23">
        <w:rPr>
          <w:b/>
          <w:bCs/>
        </w:rPr>
        <w:t>2025</w:t>
      </w:r>
      <w:r w:rsidRPr="002E5D23">
        <w:rPr>
          <w:bCs/>
        </w:rPr>
        <w:t xml:space="preserve">, </w:t>
      </w:r>
      <w:r w:rsidRPr="002E5D23">
        <w:rPr>
          <w:bCs/>
          <w:i/>
        </w:rPr>
        <w:t>121</w:t>
      </w:r>
      <w:r w:rsidRPr="002E5D23">
        <w:rPr>
          <w:bCs/>
        </w:rPr>
        <w:t>, 349–359.</w:t>
      </w:r>
    </w:p>
    <w:p w14:paraId="42830FD7" w14:textId="77777777" w:rsidR="005E2D71" w:rsidRPr="002E5D23" w:rsidRDefault="005E2D71" w:rsidP="005E2D71">
      <w:pPr>
        <w:pStyle w:val="EndNoteBibliography"/>
        <w:numPr>
          <w:ilvl w:val="0"/>
          <w:numId w:val="28"/>
        </w:numPr>
        <w:adjustRightInd w:val="0"/>
        <w:snapToGrid w:val="0"/>
        <w:spacing w:line="280" w:lineRule="atLeast"/>
        <w:ind w:left="425" w:hanging="425"/>
        <w:rPr>
          <w:bCs/>
        </w:rPr>
      </w:pPr>
      <w:r w:rsidRPr="002E5D23">
        <w:t xml:space="preserve">Serrano-Fuentes, N.; Ellett, L.; Vogel, C.; Baird, J.; Tavares, N.; Portillo, M.C. </w:t>
      </w:r>
      <w:r w:rsidRPr="002E5D23">
        <w:rPr>
          <w:bCs/>
        </w:rPr>
        <w:t xml:space="preserve">Mapping how responsibility for poor diets is framed in the United Kingdom: A scoping review. </w:t>
      </w:r>
      <w:r w:rsidRPr="002E5D23">
        <w:rPr>
          <w:bCs/>
          <w:i/>
        </w:rPr>
        <w:t>Public Health Nutr</w:t>
      </w:r>
      <w:r w:rsidRPr="002E5D23">
        <w:rPr>
          <w:bCs/>
        </w:rPr>
        <w:t xml:space="preserve">. </w:t>
      </w:r>
      <w:r w:rsidRPr="002E5D23">
        <w:rPr>
          <w:b/>
          <w:bCs/>
        </w:rPr>
        <w:t>2025</w:t>
      </w:r>
      <w:r w:rsidRPr="002E5D23">
        <w:rPr>
          <w:bCs/>
        </w:rPr>
        <w:t xml:space="preserve">, </w:t>
      </w:r>
      <w:r w:rsidRPr="002E5D23">
        <w:rPr>
          <w:bCs/>
          <w:i/>
        </w:rPr>
        <w:t>28</w:t>
      </w:r>
      <w:r w:rsidRPr="002E5D23">
        <w:rPr>
          <w:bCs/>
        </w:rPr>
        <w:t>, e167.</w:t>
      </w:r>
    </w:p>
    <w:p w14:paraId="3903882B" w14:textId="77777777" w:rsidR="005E2D71" w:rsidRPr="002E5D23" w:rsidRDefault="005E2D71" w:rsidP="005E2D71">
      <w:pPr>
        <w:pStyle w:val="EndNoteBibliography"/>
        <w:numPr>
          <w:ilvl w:val="0"/>
          <w:numId w:val="28"/>
        </w:numPr>
        <w:adjustRightInd w:val="0"/>
        <w:snapToGrid w:val="0"/>
        <w:spacing w:line="280" w:lineRule="atLeast"/>
        <w:ind w:left="425" w:hanging="425"/>
        <w:rPr>
          <w:bCs/>
        </w:rPr>
      </w:pPr>
      <w:r w:rsidRPr="002E5D23">
        <w:t xml:space="preserve">Westbury, L.; Gaba, K.; Bevilacqua, G.; Fuggle, N.; Dennison, E. </w:t>
      </w:r>
      <w:r w:rsidRPr="002E5D23">
        <w:rPr>
          <w:bCs/>
        </w:rPr>
        <w:t xml:space="preserve">60 is the new 40: Preparing for better bone health in later life. </w:t>
      </w:r>
      <w:r w:rsidRPr="002E5D23">
        <w:rPr>
          <w:bCs/>
          <w:i/>
        </w:rPr>
        <w:t>Front. Aging</w:t>
      </w:r>
      <w:r w:rsidRPr="002E5D23">
        <w:rPr>
          <w:bCs/>
        </w:rPr>
        <w:t xml:space="preserve"> </w:t>
      </w:r>
      <w:r w:rsidRPr="002E5D23">
        <w:rPr>
          <w:b/>
          <w:bCs/>
        </w:rPr>
        <w:t>2025</w:t>
      </w:r>
      <w:r w:rsidRPr="002E5D23">
        <w:rPr>
          <w:bCs/>
        </w:rPr>
        <w:t xml:space="preserve">, </w:t>
      </w:r>
      <w:r w:rsidRPr="002E5D23">
        <w:rPr>
          <w:bCs/>
          <w:i/>
        </w:rPr>
        <w:t>6</w:t>
      </w:r>
      <w:r w:rsidRPr="002E5D23">
        <w:rPr>
          <w:bCs/>
        </w:rPr>
        <w:t>, 1490124.</w:t>
      </w:r>
    </w:p>
    <w:p w14:paraId="578BA406" w14:textId="77777777" w:rsidR="005E2D71" w:rsidRPr="002E5D23" w:rsidRDefault="005E2D71" w:rsidP="005E2D71">
      <w:pPr>
        <w:pStyle w:val="EndNoteBibliography"/>
        <w:numPr>
          <w:ilvl w:val="0"/>
          <w:numId w:val="28"/>
        </w:numPr>
        <w:adjustRightInd w:val="0"/>
        <w:snapToGrid w:val="0"/>
        <w:spacing w:line="280" w:lineRule="atLeast"/>
        <w:ind w:left="425" w:hanging="425"/>
        <w:rPr>
          <w:bCs/>
        </w:rPr>
      </w:pPr>
      <w:r w:rsidRPr="002E5D23">
        <w:t xml:space="preserve">Zhang, J.; Bloom, I.; Westbury, L.; Bevilacqua, G.; Ward, K.; Barker, M.; Lawrence, W.; Cooper, C.; Dennison, E. </w:t>
      </w:r>
      <w:r w:rsidRPr="002E5D23">
        <w:rPr>
          <w:bCs/>
        </w:rPr>
        <w:t xml:space="preserve">A Healthy Conversation Skills intervention to support changes to physical activity and dietary behaviours in community-dwelling older adults during the COVID-19 pandemic. </w:t>
      </w:r>
      <w:r w:rsidRPr="002E5D23">
        <w:rPr>
          <w:bCs/>
          <w:i/>
        </w:rPr>
        <w:t>Perspect. Public Health</w:t>
      </w:r>
      <w:r w:rsidRPr="002E5D23">
        <w:rPr>
          <w:bCs/>
        </w:rPr>
        <w:t xml:space="preserve"> </w:t>
      </w:r>
      <w:r w:rsidRPr="002E5D23">
        <w:rPr>
          <w:b/>
          <w:bCs/>
        </w:rPr>
        <w:t>2024</w:t>
      </w:r>
      <w:r w:rsidRPr="002E5D23">
        <w:rPr>
          <w:bCs/>
        </w:rPr>
        <w:t xml:space="preserve">, </w:t>
      </w:r>
      <w:r w:rsidRPr="002E5D23">
        <w:rPr>
          <w:bCs/>
          <w:i/>
        </w:rPr>
        <w:t>1</w:t>
      </w:r>
      <w:r w:rsidRPr="002E5D23">
        <w:rPr>
          <w:bCs/>
        </w:rPr>
        <w:t>, 17579139241262657.</w:t>
      </w:r>
    </w:p>
    <w:bookmarkEnd w:id="50"/>
    <w:bookmarkEnd w:id="51"/>
    <w:p w14:paraId="0F0E1626" w14:textId="79875C56" w:rsidR="00D47EA5" w:rsidRPr="005E2D71" w:rsidRDefault="005E2D71" w:rsidP="005E2D71">
      <w:pPr>
        <w:adjustRightInd w:val="0"/>
        <w:snapToGrid w:val="0"/>
        <w:spacing w:before="240"/>
        <w:rPr>
          <w:snapToGrid w:val="0"/>
          <w:color w:val="auto"/>
          <w:sz w:val="18"/>
          <w:szCs w:val="18"/>
          <w:lang w:val="en-GB"/>
          <w14:ligatures w14:val="standardContextual"/>
        </w:rPr>
      </w:pPr>
      <w:r w:rsidRPr="002E5D23">
        <w:rPr>
          <w:b/>
          <w:snapToGrid w:val="0"/>
          <w:color w:val="auto"/>
          <w:sz w:val="18"/>
          <w:szCs w:val="18"/>
          <w:lang w:val="en-GB"/>
          <w14:ligatures w14:val="standardContextual"/>
        </w:rPr>
        <w:t>Disclaimer/Publisher’s Note:</w:t>
      </w:r>
      <w:r w:rsidRPr="002E5D23">
        <w:rPr>
          <w:snapToGrid w:val="0"/>
          <w:color w:val="auto"/>
          <w:sz w:val="18"/>
          <w:szCs w:val="18"/>
          <w:lang w:val="en-GB"/>
          <w14:ligatures w14:val="standardContextual"/>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D47EA5" w:rsidRPr="005E2D71" w:rsidSect="006107D5">
      <w:headerReference w:type="even" r:id="rId12"/>
      <w:headerReference w:type="default" r:id="rId13"/>
      <w:footerReference w:type="default" r:id="rId14"/>
      <w:headerReference w:type="first" r:id="rId15"/>
      <w:footerReference w:type="first" r:id="rId16"/>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504F" w14:textId="77777777" w:rsidR="00C27710" w:rsidRPr="004951B3" w:rsidRDefault="00C27710">
      <w:pPr>
        <w:spacing w:line="240" w:lineRule="auto"/>
      </w:pPr>
      <w:r w:rsidRPr="004951B3">
        <w:separator/>
      </w:r>
    </w:p>
  </w:endnote>
  <w:endnote w:type="continuationSeparator" w:id="0">
    <w:p w14:paraId="3780A55E" w14:textId="77777777" w:rsidR="00C27710" w:rsidRPr="004951B3" w:rsidRDefault="00C27710">
      <w:pPr>
        <w:spacing w:line="240" w:lineRule="auto"/>
      </w:pPr>
      <w:r w:rsidRPr="00495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EA09" w14:textId="77777777" w:rsidR="00C90B3B" w:rsidRPr="00780C1B" w:rsidRDefault="00780C1B" w:rsidP="00780C1B">
    <w:pPr>
      <w:pStyle w:val="Footer"/>
      <w:spacing w:line="240" w:lineRule="auto"/>
      <w:jc w:val="right"/>
    </w:pPr>
    <w:r w:rsidRPr="002F17D4">
      <w:rPr>
        <w:sz w:val="16"/>
      </w:rPr>
      <w:t>https://doi.org/10.3390/xxxxx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724B" w14:textId="77777777" w:rsidR="0045699E" w:rsidRPr="004951B3" w:rsidRDefault="0045699E" w:rsidP="00F25C65">
    <w:pPr>
      <w:pBdr>
        <w:top w:val="single" w:sz="4" w:space="0" w:color="000000"/>
      </w:pBdr>
      <w:adjustRightInd w:val="0"/>
      <w:snapToGrid w:val="0"/>
      <w:spacing w:before="480" w:line="100" w:lineRule="exact"/>
      <w:rPr>
        <w:i/>
        <w:sz w:val="16"/>
        <w:szCs w:val="16"/>
      </w:rPr>
    </w:pPr>
  </w:p>
  <w:p w14:paraId="02D1B4B7" w14:textId="77777777" w:rsidR="00C90B3B" w:rsidRPr="004951B3" w:rsidRDefault="00C90B3B" w:rsidP="000943F3">
    <w:pPr>
      <w:tabs>
        <w:tab w:val="right" w:pos="10466"/>
      </w:tabs>
      <w:spacing w:line="240" w:lineRule="auto"/>
      <w:rPr>
        <w:sz w:val="16"/>
        <w:szCs w:val="16"/>
      </w:rPr>
    </w:pPr>
    <w:r w:rsidRPr="004951B3">
      <w:rPr>
        <w:i/>
        <w:sz w:val="16"/>
        <w:szCs w:val="16"/>
      </w:rPr>
      <w:t>Nutrients</w:t>
    </w:r>
    <w:r w:rsidRPr="004951B3">
      <w:rPr>
        <w:iCs/>
        <w:sz w:val="16"/>
        <w:szCs w:val="16"/>
      </w:rPr>
      <w:t xml:space="preserve"> </w:t>
    </w:r>
    <w:r w:rsidR="00780C1B">
      <w:rPr>
        <w:b/>
        <w:bCs/>
        <w:iCs/>
        <w:sz w:val="16"/>
        <w:szCs w:val="16"/>
      </w:rPr>
      <w:t>2026</w:t>
    </w:r>
    <w:r w:rsidR="008313A9" w:rsidRPr="004951B3">
      <w:rPr>
        <w:bCs/>
        <w:iCs/>
        <w:sz w:val="16"/>
        <w:szCs w:val="16"/>
      </w:rPr>
      <w:t>,</w:t>
    </w:r>
    <w:r w:rsidR="005F69D4" w:rsidRPr="004951B3">
      <w:rPr>
        <w:bCs/>
        <w:i/>
        <w:iCs/>
        <w:sz w:val="16"/>
        <w:szCs w:val="16"/>
      </w:rPr>
      <w:t xml:space="preserve"> </w:t>
    </w:r>
    <w:r w:rsidR="00780C1B">
      <w:rPr>
        <w:bCs/>
        <w:i/>
        <w:iCs/>
        <w:sz w:val="16"/>
        <w:szCs w:val="16"/>
      </w:rPr>
      <w:t>18</w:t>
    </w:r>
    <w:r w:rsidR="008313A9" w:rsidRPr="004951B3">
      <w:rPr>
        <w:bCs/>
        <w:iCs/>
        <w:sz w:val="16"/>
        <w:szCs w:val="16"/>
      </w:rPr>
      <w:t xml:space="preserve">, </w:t>
    </w:r>
    <w:r w:rsidR="00831BDE" w:rsidRPr="004951B3">
      <w:rPr>
        <w:bCs/>
        <w:iCs/>
        <w:sz w:val="16"/>
        <w:szCs w:val="16"/>
      </w:rPr>
      <w:t>x</w:t>
    </w:r>
    <w:r w:rsidR="000943F3" w:rsidRPr="004951B3">
      <w:rPr>
        <w:sz w:val="16"/>
        <w:szCs w:val="16"/>
      </w:rPr>
      <w:tab/>
    </w:r>
    <w:r w:rsidR="00780C1B" w:rsidRPr="002F17D4">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A571" w14:textId="77777777" w:rsidR="00C27710" w:rsidRPr="004951B3" w:rsidRDefault="00C27710">
      <w:pPr>
        <w:spacing w:line="240" w:lineRule="auto"/>
      </w:pPr>
      <w:r w:rsidRPr="004951B3">
        <w:separator/>
      </w:r>
    </w:p>
  </w:footnote>
  <w:footnote w:type="continuationSeparator" w:id="0">
    <w:p w14:paraId="5DE19731" w14:textId="77777777" w:rsidR="00C27710" w:rsidRPr="004951B3" w:rsidRDefault="00C27710">
      <w:pPr>
        <w:spacing w:line="240" w:lineRule="auto"/>
      </w:pPr>
      <w:r w:rsidRPr="00495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971" w14:textId="77777777" w:rsidR="00C90B3B" w:rsidRPr="004951B3"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5945" w14:textId="4C2689CF" w:rsidR="0045699E" w:rsidRPr="004951B3" w:rsidRDefault="00C90B3B" w:rsidP="000943F3">
    <w:pPr>
      <w:tabs>
        <w:tab w:val="right" w:pos="10466"/>
      </w:tabs>
      <w:adjustRightInd w:val="0"/>
      <w:snapToGrid w:val="0"/>
      <w:spacing w:line="240" w:lineRule="auto"/>
      <w:rPr>
        <w:sz w:val="16"/>
      </w:rPr>
    </w:pPr>
    <w:r w:rsidRPr="004951B3">
      <w:rPr>
        <w:i/>
        <w:sz w:val="16"/>
      </w:rPr>
      <w:t xml:space="preserve">Nutrients </w:t>
    </w:r>
    <w:r w:rsidR="00780C1B">
      <w:rPr>
        <w:b/>
        <w:sz w:val="16"/>
      </w:rPr>
      <w:t>2026</w:t>
    </w:r>
    <w:r w:rsidR="008313A9" w:rsidRPr="004951B3">
      <w:rPr>
        <w:sz w:val="16"/>
      </w:rPr>
      <w:t>,</w:t>
    </w:r>
    <w:r w:rsidR="005F69D4" w:rsidRPr="004951B3">
      <w:rPr>
        <w:i/>
        <w:sz w:val="16"/>
      </w:rPr>
      <w:t xml:space="preserve"> </w:t>
    </w:r>
    <w:r w:rsidR="00780C1B">
      <w:rPr>
        <w:i/>
        <w:sz w:val="16"/>
      </w:rPr>
      <w:t>18</w:t>
    </w:r>
    <w:r w:rsidR="00831BDE" w:rsidRPr="004951B3">
      <w:rPr>
        <w:sz w:val="16"/>
      </w:rPr>
      <w:t xml:space="preserve">, x </w:t>
    </w:r>
    <w:r w:rsidR="005F69D4" w:rsidRPr="004951B3">
      <w:rPr>
        <w:sz w:val="16"/>
      </w:rPr>
      <w:t>FOR PEER REVIEW</w:t>
    </w:r>
    <w:r w:rsidR="005F69D4" w:rsidRPr="004951B3">
      <w:rPr>
        <w:sz w:val="16"/>
      </w:rPr>
      <w:ptab w:relativeTo="margin" w:alignment="right" w:leader="none"/>
    </w:r>
    <w:r w:rsidR="005F69D4" w:rsidRPr="004951B3">
      <w:rPr>
        <w:sz w:val="16"/>
      </w:rPr>
      <w:fldChar w:fldCharType="begin"/>
    </w:r>
    <w:r w:rsidR="005F69D4" w:rsidRPr="004951B3">
      <w:rPr>
        <w:sz w:val="16"/>
      </w:rPr>
      <w:instrText xml:space="preserve"> PAGE   \* MERGEFORMAT </w:instrText>
    </w:r>
    <w:r w:rsidR="005F69D4" w:rsidRPr="004951B3">
      <w:rPr>
        <w:sz w:val="16"/>
      </w:rPr>
      <w:fldChar w:fldCharType="separate"/>
    </w:r>
    <w:r w:rsidR="005F69D4" w:rsidRPr="004951B3">
      <w:rPr>
        <w:sz w:val="16"/>
      </w:rPr>
      <w:t>2</w:t>
    </w:r>
    <w:r w:rsidR="005F69D4" w:rsidRPr="004951B3">
      <w:rPr>
        <w:sz w:val="16"/>
      </w:rPr>
      <w:fldChar w:fldCharType="end"/>
    </w:r>
    <w:r w:rsidR="005F69D4" w:rsidRPr="004951B3">
      <w:rPr>
        <w:sz w:val="16"/>
      </w:rPr>
      <w:t xml:space="preserve"> of </w:t>
    </w:r>
    <w:r w:rsidR="005F69D4" w:rsidRPr="004951B3">
      <w:rPr>
        <w:sz w:val="16"/>
      </w:rPr>
      <w:fldChar w:fldCharType="begin"/>
    </w:r>
    <w:r w:rsidR="005F69D4" w:rsidRPr="004951B3">
      <w:rPr>
        <w:sz w:val="16"/>
      </w:rPr>
      <w:instrText xml:space="preserve"> NUMPAGES   \* MERGEFORMAT </w:instrText>
    </w:r>
    <w:r w:rsidR="005F69D4" w:rsidRPr="004951B3">
      <w:rPr>
        <w:sz w:val="16"/>
      </w:rPr>
      <w:fldChar w:fldCharType="separate"/>
    </w:r>
    <w:r w:rsidR="005F69D4" w:rsidRPr="004951B3">
      <w:rPr>
        <w:sz w:val="16"/>
      </w:rPr>
      <w:t>7</w:t>
    </w:r>
    <w:r w:rsidR="005F69D4" w:rsidRPr="004951B3">
      <w:rPr>
        <w:sz w:val="16"/>
      </w:rPr>
      <w:fldChar w:fldCharType="end"/>
    </w:r>
  </w:p>
  <w:p w14:paraId="53248F7F" w14:textId="77777777" w:rsidR="00C90B3B" w:rsidRPr="004951B3" w:rsidRDefault="00C90B3B"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45699E" w:rsidRPr="004951B3" w14:paraId="151DF757" w14:textId="77777777" w:rsidTr="009B1545">
      <w:trPr>
        <w:trHeight w:val="686"/>
      </w:trPr>
      <w:tc>
        <w:tcPr>
          <w:tcW w:w="3679" w:type="dxa"/>
          <w:vAlign w:val="center"/>
        </w:tcPr>
        <w:p w14:paraId="7471A855" w14:textId="77777777" w:rsidR="0045699E" w:rsidRPr="004951B3" w:rsidRDefault="00D77192" w:rsidP="000943F3">
          <w:pPr>
            <w:pStyle w:val="Header"/>
            <w:pBdr>
              <w:bottom w:val="none" w:sz="0" w:space="0" w:color="auto"/>
            </w:pBdr>
            <w:jc w:val="left"/>
            <w:rPr>
              <w:rFonts w:eastAsia="DengXian"/>
              <w:b/>
              <w:bCs/>
            </w:rPr>
          </w:pPr>
          <w:r w:rsidRPr="004951B3">
            <w:rPr>
              <w:rFonts w:eastAsia="DengXian"/>
              <w:b/>
              <w:bCs/>
              <w:noProof/>
            </w:rPr>
            <w:drawing>
              <wp:inline distT="0" distB="0" distL="0" distR="0" wp14:anchorId="53D63EA0" wp14:editId="5D2D55EB">
                <wp:extent cx="1341634" cy="432000"/>
                <wp:effectExtent l="0" t="0" r="0" b="6350"/>
                <wp:docPr id="981432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32460" name=""/>
                        <pic:cNvPicPr/>
                      </pic:nvPicPr>
                      <pic:blipFill>
                        <a:blip r:embed="rId1"/>
                        <a:stretch>
                          <a:fillRect/>
                        </a:stretch>
                      </pic:blipFill>
                      <pic:spPr>
                        <a:xfrm>
                          <a:off x="0" y="0"/>
                          <a:ext cx="1341634" cy="432000"/>
                        </a:xfrm>
                        <a:prstGeom prst="rect">
                          <a:avLst/>
                        </a:prstGeom>
                      </pic:spPr>
                    </pic:pic>
                  </a:graphicData>
                </a:graphic>
              </wp:inline>
            </w:drawing>
          </w:r>
        </w:p>
      </w:tc>
      <w:tc>
        <w:tcPr>
          <w:tcW w:w="4535" w:type="dxa"/>
          <w:vAlign w:val="center"/>
        </w:tcPr>
        <w:p w14:paraId="4753C0CF" w14:textId="77777777" w:rsidR="0045699E" w:rsidRPr="004951B3" w:rsidRDefault="0045699E" w:rsidP="000943F3">
          <w:pPr>
            <w:pStyle w:val="Header"/>
            <w:pBdr>
              <w:bottom w:val="none" w:sz="0" w:space="0" w:color="auto"/>
            </w:pBdr>
            <w:rPr>
              <w:rFonts w:eastAsia="DengXian"/>
              <w:b/>
              <w:bCs/>
            </w:rPr>
          </w:pPr>
        </w:p>
      </w:tc>
      <w:tc>
        <w:tcPr>
          <w:tcW w:w="2273" w:type="dxa"/>
          <w:vAlign w:val="center"/>
        </w:tcPr>
        <w:p w14:paraId="7318AFD2" w14:textId="77777777" w:rsidR="0045699E" w:rsidRPr="004951B3" w:rsidRDefault="009B1545" w:rsidP="009B1545">
          <w:pPr>
            <w:pStyle w:val="Header"/>
            <w:pBdr>
              <w:bottom w:val="none" w:sz="0" w:space="0" w:color="auto"/>
            </w:pBdr>
            <w:jc w:val="right"/>
            <w:rPr>
              <w:rFonts w:eastAsia="DengXian"/>
              <w:b/>
              <w:bCs/>
            </w:rPr>
          </w:pPr>
          <w:r w:rsidRPr="004951B3">
            <w:rPr>
              <w:rFonts w:eastAsia="DengXian"/>
              <w:b/>
              <w:bCs/>
              <w:noProof/>
            </w:rPr>
            <w:drawing>
              <wp:inline distT="0" distB="0" distL="0" distR="0" wp14:anchorId="2F460864" wp14:editId="2CBCAD03">
                <wp:extent cx="540000" cy="360000"/>
                <wp:effectExtent l="0" t="0" r="0" b="2540"/>
                <wp:docPr id="1999601399" name="Picture 1"/>
                <wp:cNvGraphicFramePr/>
                <a:graphic xmlns:a="http://schemas.openxmlformats.org/drawingml/2006/main">
                  <a:graphicData uri="http://schemas.openxmlformats.org/drawingml/2006/picture">
                    <pic:pic xmlns:pic="http://schemas.openxmlformats.org/drawingml/2006/picture">
                      <pic:nvPicPr>
                        <pic:cNvPr id="1999601399" name=""/>
                        <pic:cNvPicPr/>
                      </pic:nvPicPr>
                      <pic:blipFill>
                        <a:blip r:embed="rId2"/>
                        <a:stretch>
                          <a:fillRect/>
                        </a:stretch>
                      </pic:blipFill>
                      <pic:spPr>
                        <a:xfrm>
                          <a:off x="0" y="0"/>
                          <a:ext cx="540000" cy="360000"/>
                        </a:xfrm>
                        <a:prstGeom prst="rect">
                          <a:avLst/>
                        </a:prstGeom>
                      </pic:spPr>
                    </pic:pic>
                  </a:graphicData>
                </a:graphic>
              </wp:inline>
            </w:drawing>
          </w:r>
        </w:p>
      </w:tc>
    </w:tr>
  </w:tbl>
  <w:p w14:paraId="39A67562" w14:textId="77777777" w:rsidR="00C90B3B" w:rsidRPr="004951B3" w:rsidRDefault="00C90B3B" w:rsidP="005F69D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105"/>
    <w:multiLevelType w:val="hybridMultilevel"/>
    <w:tmpl w:val="A3C8D98E"/>
    <w:lvl w:ilvl="0" w:tplc="48880106">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46D00"/>
    <w:multiLevelType w:val="hybridMultilevel"/>
    <w:tmpl w:val="8F4A89D6"/>
    <w:lvl w:ilvl="0" w:tplc="D4ECF69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362E07AA"/>
    <w:lvl w:ilvl="0" w:tplc="0D6E78CC">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B5AAE06C"/>
    <w:lvl w:ilvl="0" w:tplc="CE16BAE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E12E9C8"/>
    <w:lvl w:ilvl="0" w:tplc="8D8CDB2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0374FB9E"/>
    <w:lvl w:ilvl="0" w:tplc="B5842F9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D2E7168"/>
    <w:multiLevelType w:val="hybridMultilevel"/>
    <w:tmpl w:val="C5A04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A3F4C"/>
    <w:multiLevelType w:val="hybridMultilevel"/>
    <w:tmpl w:val="5D841F04"/>
    <w:lvl w:ilvl="0" w:tplc="C3B0C1FC">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9022">
    <w:abstractNumId w:val="6"/>
  </w:num>
  <w:num w:numId="2" w16cid:durableId="1871070396">
    <w:abstractNumId w:val="8"/>
  </w:num>
  <w:num w:numId="3" w16cid:durableId="912589453">
    <w:abstractNumId w:val="5"/>
  </w:num>
  <w:num w:numId="4" w16cid:durableId="9768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4436">
    <w:abstractNumId w:val="7"/>
  </w:num>
  <w:num w:numId="6" w16cid:durableId="1366296750">
    <w:abstractNumId w:val="10"/>
  </w:num>
  <w:num w:numId="7" w16cid:durableId="1720665601">
    <w:abstractNumId w:val="3"/>
  </w:num>
  <w:num w:numId="8" w16cid:durableId="1169908287">
    <w:abstractNumId w:val="10"/>
  </w:num>
  <w:num w:numId="9" w16cid:durableId="1005354364">
    <w:abstractNumId w:val="3"/>
  </w:num>
  <w:num w:numId="10" w16cid:durableId="808278404">
    <w:abstractNumId w:val="10"/>
  </w:num>
  <w:num w:numId="11" w16cid:durableId="2078086066">
    <w:abstractNumId w:val="3"/>
  </w:num>
  <w:num w:numId="12" w16cid:durableId="623267721">
    <w:abstractNumId w:val="13"/>
  </w:num>
  <w:num w:numId="13" w16cid:durableId="1414817629">
    <w:abstractNumId w:val="10"/>
  </w:num>
  <w:num w:numId="14" w16cid:durableId="1180512512">
    <w:abstractNumId w:val="3"/>
  </w:num>
  <w:num w:numId="15" w16cid:durableId="857161393">
    <w:abstractNumId w:val="2"/>
  </w:num>
  <w:num w:numId="16" w16cid:durableId="1084767157">
    <w:abstractNumId w:val="9"/>
  </w:num>
  <w:num w:numId="17" w16cid:durableId="1200627556">
    <w:abstractNumId w:val="1"/>
  </w:num>
  <w:num w:numId="18" w16cid:durableId="886650859">
    <w:abstractNumId w:val="10"/>
  </w:num>
  <w:num w:numId="19" w16cid:durableId="611398766">
    <w:abstractNumId w:val="3"/>
  </w:num>
  <w:num w:numId="20" w16cid:durableId="27878980">
    <w:abstractNumId w:val="2"/>
  </w:num>
  <w:num w:numId="21" w16cid:durableId="2065638470">
    <w:abstractNumId w:val="1"/>
  </w:num>
  <w:num w:numId="22" w16cid:durableId="1337999985">
    <w:abstractNumId w:val="12"/>
  </w:num>
  <w:num w:numId="23" w16cid:durableId="1670211335">
    <w:abstractNumId w:val="4"/>
  </w:num>
  <w:num w:numId="24" w16cid:durableId="826096896">
    <w:abstractNumId w:val="10"/>
  </w:num>
  <w:num w:numId="25" w16cid:durableId="2036466688">
    <w:abstractNumId w:val="3"/>
  </w:num>
  <w:num w:numId="26" w16cid:durableId="509107833">
    <w:abstractNumId w:val="0"/>
  </w:num>
  <w:num w:numId="27" w16cid:durableId="25955605">
    <w:abstractNumId w:val="2"/>
  </w:num>
  <w:num w:numId="28" w16cid:durableId="1154644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27"/>
    <w:rsid w:val="00001F48"/>
    <w:rsid w:val="00006D9D"/>
    <w:rsid w:val="000102B2"/>
    <w:rsid w:val="000231E1"/>
    <w:rsid w:val="000330FF"/>
    <w:rsid w:val="0003624F"/>
    <w:rsid w:val="000420EA"/>
    <w:rsid w:val="00042751"/>
    <w:rsid w:val="00043349"/>
    <w:rsid w:val="00051359"/>
    <w:rsid w:val="00061EB1"/>
    <w:rsid w:val="00062112"/>
    <w:rsid w:val="00062F0E"/>
    <w:rsid w:val="00070240"/>
    <w:rsid w:val="00073A9B"/>
    <w:rsid w:val="00073F06"/>
    <w:rsid w:val="00077A11"/>
    <w:rsid w:val="0008055A"/>
    <w:rsid w:val="00080F55"/>
    <w:rsid w:val="0008199C"/>
    <w:rsid w:val="00081EB3"/>
    <w:rsid w:val="00084943"/>
    <w:rsid w:val="000943F3"/>
    <w:rsid w:val="00094C54"/>
    <w:rsid w:val="0009550C"/>
    <w:rsid w:val="000A0720"/>
    <w:rsid w:val="000A105A"/>
    <w:rsid w:val="000A3C8C"/>
    <w:rsid w:val="000B3C32"/>
    <w:rsid w:val="000B6163"/>
    <w:rsid w:val="000C0975"/>
    <w:rsid w:val="000C7ED6"/>
    <w:rsid w:val="000D2038"/>
    <w:rsid w:val="000E5185"/>
    <w:rsid w:val="000F03E2"/>
    <w:rsid w:val="000F0705"/>
    <w:rsid w:val="000F203A"/>
    <w:rsid w:val="000F6F1B"/>
    <w:rsid w:val="00102808"/>
    <w:rsid w:val="00111102"/>
    <w:rsid w:val="0011580B"/>
    <w:rsid w:val="00126D58"/>
    <w:rsid w:val="0013280E"/>
    <w:rsid w:val="001376AB"/>
    <w:rsid w:val="0014668B"/>
    <w:rsid w:val="00147C72"/>
    <w:rsid w:val="0015213E"/>
    <w:rsid w:val="00154AD5"/>
    <w:rsid w:val="0016727F"/>
    <w:rsid w:val="00173DDF"/>
    <w:rsid w:val="00192EF9"/>
    <w:rsid w:val="001978F7"/>
    <w:rsid w:val="00197A9B"/>
    <w:rsid w:val="00197F51"/>
    <w:rsid w:val="001B4E10"/>
    <w:rsid w:val="001B7D47"/>
    <w:rsid w:val="001D11E2"/>
    <w:rsid w:val="001D43A5"/>
    <w:rsid w:val="001E2AEB"/>
    <w:rsid w:val="001E4BE2"/>
    <w:rsid w:val="001F6252"/>
    <w:rsid w:val="0020251C"/>
    <w:rsid w:val="00202E01"/>
    <w:rsid w:val="0020578D"/>
    <w:rsid w:val="00211C8D"/>
    <w:rsid w:val="002124D8"/>
    <w:rsid w:val="0021329E"/>
    <w:rsid w:val="002259D4"/>
    <w:rsid w:val="00227535"/>
    <w:rsid w:val="00233804"/>
    <w:rsid w:val="002462FA"/>
    <w:rsid w:val="002468E3"/>
    <w:rsid w:val="002549C8"/>
    <w:rsid w:val="00255F42"/>
    <w:rsid w:val="00264F54"/>
    <w:rsid w:val="00266596"/>
    <w:rsid w:val="00275213"/>
    <w:rsid w:val="0027719E"/>
    <w:rsid w:val="00277B9C"/>
    <w:rsid w:val="0029512B"/>
    <w:rsid w:val="00295161"/>
    <w:rsid w:val="00295965"/>
    <w:rsid w:val="002B13D7"/>
    <w:rsid w:val="002B5700"/>
    <w:rsid w:val="002C5127"/>
    <w:rsid w:val="002D0C05"/>
    <w:rsid w:val="002E54D0"/>
    <w:rsid w:val="002E5D23"/>
    <w:rsid w:val="002F17D4"/>
    <w:rsid w:val="002F31CA"/>
    <w:rsid w:val="00314D7F"/>
    <w:rsid w:val="00320E31"/>
    <w:rsid w:val="00326141"/>
    <w:rsid w:val="00327B8E"/>
    <w:rsid w:val="00330309"/>
    <w:rsid w:val="00331C27"/>
    <w:rsid w:val="00336870"/>
    <w:rsid w:val="00345548"/>
    <w:rsid w:val="00355677"/>
    <w:rsid w:val="00360B41"/>
    <w:rsid w:val="00364D3D"/>
    <w:rsid w:val="00370457"/>
    <w:rsid w:val="00373B13"/>
    <w:rsid w:val="0037474C"/>
    <w:rsid w:val="00383D0B"/>
    <w:rsid w:val="00390107"/>
    <w:rsid w:val="00390A0D"/>
    <w:rsid w:val="003934AC"/>
    <w:rsid w:val="003957F2"/>
    <w:rsid w:val="00397220"/>
    <w:rsid w:val="0039779D"/>
    <w:rsid w:val="003A4AB6"/>
    <w:rsid w:val="003B11AD"/>
    <w:rsid w:val="003B1F9E"/>
    <w:rsid w:val="003C58AC"/>
    <w:rsid w:val="003E4154"/>
    <w:rsid w:val="003E7FB7"/>
    <w:rsid w:val="003F3029"/>
    <w:rsid w:val="003F38B7"/>
    <w:rsid w:val="003F67DB"/>
    <w:rsid w:val="00401D30"/>
    <w:rsid w:val="00403A6E"/>
    <w:rsid w:val="0041053A"/>
    <w:rsid w:val="00411CE7"/>
    <w:rsid w:val="00413234"/>
    <w:rsid w:val="00417F6A"/>
    <w:rsid w:val="00420A2F"/>
    <w:rsid w:val="004233EA"/>
    <w:rsid w:val="004235E6"/>
    <w:rsid w:val="004329D1"/>
    <w:rsid w:val="00435811"/>
    <w:rsid w:val="00444259"/>
    <w:rsid w:val="004450B3"/>
    <w:rsid w:val="00454A4A"/>
    <w:rsid w:val="004564EF"/>
    <w:rsid w:val="0045699E"/>
    <w:rsid w:val="00461281"/>
    <w:rsid w:val="004612DD"/>
    <w:rsid w:val="00462043"/>
    <w:rsid w:val="00464A25"/>
    <w:rsid w:val="0046708D"/>
    <w:rsid w:val="004847A8"/>
    <w:rsid w:val="004951B3"/>
    <w:rsid w:val="00496D3A"/>
    <w:rsid w:val="004A24C8"/>
    <w:rsid w:val="004A4156"/>
    <w:rsid w:val="004A6A50"/>
    <w:rsid w:val="004B543E"/>
    <w:rsid w:val="004B786D"/>
    <w:rsid w:val="004C025E"/>
    <w:rsid w:val="004C210B"/>
    <w:rsid w:val="004C3BAD"/>
    <w:rsid w:val="004C5904"/>
    <w:rsid w:val="004C7CDF"/>
    <w:rsid w:val="004D0061"/>
    <w:rsid w:val="004D39A2"/>
    <w:rsid w:val="00507625"/>
    <w:rsid w:val="0051300D"/>
    <w:rsid w:val="00520DC1"/>
    <w:rsid w:val="00521B0E"/>
    <w:rsid w:val="00527BCE"/>
    <w:rsid w:val="00530075"/>
    <w:rsid w:val="00545B2F"/>
    <w:rsid w:val="00545B32"/>
    <w:rsid w:val="00557412"/>
    <w:rsid w:val="00584E1F"/>
    <w:rsid w:val="0058522B"/>
    <w:rsid w:val="005902CF"/>
    <w:rsid w:val="00590721"/>
    <w:rsid w:val="0059424A"/>
    <w:rsid w:val="005A0B6A"/>
    <w:rsid w:val="005A435E"/>
    <w:rsid w:val="005A79DF"/>
    <w:rsid w:val="005B00C1"/>
    <w:rsid w:val="005C4E68"/>
    <w:rsid w:val="005C71E1"/>
    <w:rsid w:val="005C74F1"/>
    <w:rsid w:val="005D0250"/>
    <w:rsid w:val="005D7FA1"/>
    <w:rsid w:val="005E2D71"/>
    <w:rsid w:val="005E3F38"/>
    <w:rsid w:val="005E49C3"/>
    <w:rsid w:val="005E4D1A"/>
    <w:rsid w:val="005F69D4"/>
    <w:rsid w:val="00603958"/>
    <w:rsid w:val="0060706F"/>
    <w:rsid w:val="0060709B"/>
    <w:rsid w:val="00610718"/>
    <w:rsid w:val="006107D5"/>
    <w:rsid w:val="00612EEA"/>
    <w:rsid w:val="00620978"/>
    <w:rsid w:val="006349C5"/>
    <w:rsid w:val="00645667"/>
    <w:rsid w:val="00646809"/>
    <w:rsid w:val="00657213"/>
    <w:rsid w:val="00657B19"/>
    <w:rsid w:val="0066316C"/>
    <w:rsid w:val="00663AF5"/>
    <w:rsid w:val="00663B31"/>
    <w:rsid w:val="006659ED"/>
    <w:rsid w:val="00666D33"/>
    <w:rsid w:val="0067051F"/>
    <w:rsid w:val="00690A63"/>
    <w:rsid w:val="00692393"/>
    <w:rsid w:val="006939FE"/>
    <w:rsid w:val="0069485F"/>
    <w:rsid w:val="006A1D7B"/>
    <w:rsid w:val="006C0570"/>
    <w:rsid w:val="006C2553"/>
    <w:rsid w:val="006C3251"/>
    <w:rsid w:val="006C5F6E"/>
    <w:rsid w:val="006D1497"/>
    <w:rsid w:val="006D345A"/>
    <w:rsid w:val="006D5B1F"/>
    <w:rsid w:val="006E1E41"/>
    <w:rsid w:val="006E3D57"/>
    <w:rsid w:val="006F0648"/>
    <w:rsid w:val="006F0855"/>
    <w:rsid w:val="006F133A"/>
    <w:rsid w:val="006F195E"/>
    <w:rsid w:val="00700F6C"/>
    <w:rsid w:val="00703117"/>
    <w:rsid w:val="0070418D"/>
    <w:rsid w:val="00721BCF"/>
    <w:rsid w:val="00721F3B"/>
    <w:rsid w:val="00723D99"/>
    <w:rsid w:val="00726528"/>
    <w:rsid w:val="00730035"/>
    <w:rsid w:val="00742B3E"/>
    <w:rsid w:val="00743AB9"/>
    <w:rsid w:val="007462BC"/>
    <w:rsid w:val="00747DA1"/>
    <w:rsid w:val="00762A45"/>
    <w:rsid w:val="00776E9C"/>
    <w:rsid w:val="00780C1B"/>
    <w:rsid w:val="00783B48"/>
    <w:rsid w:val="007944B7"/>
    <w:rsid w:val="00797D64"/>
    <w:rsid w:val="007A4253"/>
    <w:rsid w:val="007D0BB0"/>
    <w:rsid w:val="007D50E6"/>
    <w:rsid w:val="007F5E35"/>
    <w:rsid w:val="00801504"/>
    <w:rsid w:val="00810B46"/>
    <w:rsid w:val="00811348"/>
    <w:rsid w:val="00830F91"/>
    <w:rsid w:val="008313A9"/>
    <w:rsid w:val="00831BDE"/>
    <w:rsid w:val="0083789A"/>
    <w:rsid w:val="0084006D"/>
    <w:rsid w:val="008427A3"/>
    <w:rsid w:val="00842B80"/>
    <w:rsid w:val="008474F9"/>
    <w:rsid w:val="00850CDD"/>
    <w:rsid w:val="0085535E"/>
    <w:rsid w:val="00857440"/>
    <w:rsid w:val="00865AC6"/>
    <w:rsid w:val="00882750"/>
    <w:rsid w:val="008838D2"/>
    <w:rsid w:val="00891137"/>
    <w:rsid w:val="008949C9"/>
    <w:rsid w:val="00896939"/>
    <w:rsid w:val="00897AA7"/>
    <w:rsid w:val="008A2B64"/>
    <w:rsid w:val="008B5FC5"/>
    <w:rsid w:val="008B61A0"/>
    <w:rsid w:val="008C262F"/>
    <w:rsid w:val="008C455F"/>
    <w:rsid w:val="008D0C7F"/>
    <w:rsid w:val="008D534B"/>
    <w:rsid w:val="008E01FB"/>
    <w:rsid w:val="008E0DD3"/>
    <w:rsid w:val="009030B4"/>
    <w:rsid w:val="00911521"/>
    <w:rsid w:val="00915BFC"/>
    <w:rsid w:val="00937C38"/>
    <w:rsid w:val="009532EF"/>
    <w:rsid w:val="00961F55"/>
    <w:rsid w:val="00980381"/>
    <w:rsid w:val="009905E2"/>
    <w:rsid w:val="00997080"/>
    <w:rsid w:val="0099746A"/>
    <w:rsid w:val="009A4293"/>
    <w:rsid w:val="009A45BB"/>
    <w:rsid w:val="009A6662"/>
    <w:rsid w:val="009A7F2B"/>
    <w:rsid w:val="009B1545"/>
    <w:rsid w:val="009B1D1B"/>
    <w:rsid w:val="009B682C"/>
    <w:rsid w:val="009C50EC"/>
    <w:rsid w:val="009C5D89"/>
    <w:rsid w:val="009C6A60"/>
    <w:rsid w:val="009D5DD8"/>
    <w:rsid w:val="009E6F3F"/>
    <w:rsid w:val="009F70E6"/>
    <w:rsid w:val="009F76A1"/>
    <w:rsid w:val="00A0198E"/>
    <w:rsid w:val="00A04892"/>
    <w:rsid w:val="00A0559E"/>
    <w:rsid w:val="00A109FA"/>
    <w:rsid w:val="00A149BE"/>
    <w:rsid w:val="00A14AF1"/>
    <w:rsid w:val="00A2123A"/>
    <w:rsid w:val="00A32615"/>
    <w:rsid w:val="00A61CC6"/>
    <w:rsid w:val="00A922EE"/>
    <w:rsid w:val="00A93046"/>
    <w:rsid w:val="00A95D95"/>
    <w:rsid w:val="00A977B0"/>
    <w:rsid w:val="00AA06F2"/>
    <w:rsid w:val="00AB431B"/>
    <w:rsid w:val="00AB6408"/>
    <w:rsid w:val="00AB7A1A"/>
    <w:rsid w:val="00AE6C73"/>
    <w:rsid w:val="00AF33F6"/>
    <w:rsid w:val="00AF3A21"/>
    <w:rsid w:val="00B07DED"/>
    <w:rsid w:val="00B119A8"/>
    <w:rsid w:val="00B13BB4"/>
    <w:rsid w:val="00B20393"/>
    <w:rsid w:val="00B20555"/>
    <w:rsid w:val="00B33FA5"/>
    <w:rsid w:val="00B34E8E"/>
    <w:rsid w:val="00B42244"/>
    <w:rsid w:val="00B42B42"/>
    <w:rsid w:val="00B50063"/>
    <w:rsid w:val="00B57184"/>
    <w:rsid w:val="00B571A7"/>
    <w:rsid w:val="00B715CF"/>
    <w:rsid w:val="00B751BD"/>
    <w:rsid w:val="00B8563A"/>
    <w:rsid w:val="00B9176A"/>
    <w:rsid w:val="00B919EF"/>
    <w:rsid w:val="00B9388D"/>
    <w:rsid w:val="00BA3328"/>
    <w:rsid w:val="00BA3481"/>
    <w:rsid w:val="00BB10F1"/>
    <w:rsid w:val="00BB4A21"/>
    <w:rsid w:val="00BC0D1F"/>
    <w:rsid w:val="00BD0170"/>
    <w:rsid w:val="00BD2F41"/>
    <w:rsid w:val="00BD3278"/>
    <w:rsid w:val="00BE05D8"/>
    <w:rsid w:val="00BF0847"/>
    <w:rsid w:val="00BF157E"/>
    <w:rsid w:val="00BF5F34"/>
    <w:rsid w:val="00BF6E9F"/>
    <w:rsid w:val="00C014AD"/>
    <w:rsid w:val="00C06DD9"/>
    <w:rsid w:val="00C07C75"/>
    <w:rsid w:val="00C1192A"/>
    <w:rsid w:val="00C27710"/>
    <w:rsid w:val="00C31AF5"/>
    <w:rsid w:val="00C40A45"/>
    <w:rsid w:val="00C479A5"/>
    <w:rsid w:val="00C51ABD"/>
    <w:rsid w:val="00C559B4"/>
    <w:rsid w:val="00C57E47"/>
    <w:rsid w:val="00C6083F"/>
    <w:rsid w:val="00C64435"/>
    <w:rsid w:val="00C658BF"/>
    <w:rsid w:val="00C71F19"/>
    <w:rsid w:val="00C77084"/>
    <w:rsid w:val="00C835E3"/>
    <w:rsid w:val="00C86505"/>
    <w:rsid w:val="00C876E2"/>
    <w:rsid w:val="00C90B3B"/>
    <w:rsid w:val="00C92627"/>
    <w:rsid w:val="00C94BC8"/>
    <w:rsid w:val="00C97651"/>
    <w:rsid w:val="00CA0854"/>
    <w:rsid w:val="00CA3955"/>
    <w:rsid w:val="00CA3FF0"/>
    <w:rsid w:val="00CB161B"/>
    <w:rsid w:val="00CB1DA5"/>
    <w:rsid w:val="00CB42D7"/>
    <w:rsid w:val="00CB5A21"/>
    <w:rsid w:val="00CC03C7"/>
    <w:rsid w:val="00CC0501"/>
    <w:rsid w:val="00CC51B3"/>
    <w:rsid w:val="00CC559B"/>
    <w:rsid w:val="00CC5F55"/>
    <w:rsid w:val="00CD7F52"/>
    <w:rsid w:val="00CE2530"/>
    <w:rsid w:val="00CE429C"/>
    <w:rsid w:val="00CE591F"/>
    <w:rsid w:val="00CF5981"/>
    <w:rsid w:val="00D038A2"/>
    <w:rsid w:val="00D05EF7"/>
    <w:rsid w:val="00D15AC3"/>
    <w:rsid w:val="00D2217F"/>
    <w:rsid w:val="00D2587D"/>
    <w:rsid w:val="00D30418"/>
    <w:rsid w:val="00D30929"/>
    <w:rsid w:val="00D34B73"/>
    <w:rsid w:val="00D36044"/>
    <w:rsid w:val="00D47EA5"/>
    <w:rsid w:val="00D5219E"/>
    <w:rsid w:val="00D543BC"/>
    <w:rsid w:val="00D567C0"/>
    <w:rsid w:val="00D77192"/>
    <w:rsid w:val="00D82A76"/>
    <w:rsid w:val="00D937C7"/>
    <w:rsid w:val="00D94D52"/>
    <w:rsid w:val="00DA4375"/>
    <w:rsid w:val="00DA4D22"/>
    <w:rsid w:val="00DA6C33"/>
    <w:rsid w:val="00DC6129"/>
    <w:rsid w:val="00DD1D1E"/>
    <w:rsid w:val="00DD3F21"/>
    <w:rsid w:val="00DD56F9"/>
    <w:rsid w:val="00DE1434"/>
    <w:rsid w:val="00DE259F"/>
    <w:rsid w:val="00DE66F9"/>
    <w:rsid w:val="00DF1C1D"/>
    <w:rsid w:val="00DF67AD"/>
    <w:rsid w:val="00DF73F4"/>
    <w:rsid w:val="00DF7BAF"/>
    <w:rsid w:val="00E001D4"/>
    <w:rsid w:val="00E01BB5"/>
    <w:rsid w:val="00E22B91"/>
    <w:rsid w:val="00E23D9F"/>
    <w:rsid w:val="00E24422"/>
    <w:rsid w:val="00E45AA3"/>
    <w:rsid w:val="00E60FD3"/>
    <w:rsid w:val="00E652EB"/>
    <w:rsid w:val="00E662F7"/>
    <w:rsid w:val="00E70F7E"/>
    <w:rsid w:val="00E74AEF"/>
    <w:rsid w:val="00E80413"/>
    <w:rsid w:val="00E82579"/>
    <w:rsid w:val="00E85E0E"/>
    <w:rsid w:val="00E9445D"/>
    <w:rsid w:val="00E95E1F"/>
    <w:rsid w:val="00EA70F0"/>
    <w:rsid w:val="00EC2B16"/>
    <w:rsid w:val="00EC4FBC"/>
    <w:rsid w:val="00EC71B4"/>
    <w:rsid w:val="00EC7C01"/>
    <w:rsid w:val="00ED3A47"/>
    <w:rsid w:val="00ED6578"/>
    <w:rsid w:val="00F05486"/>
    <w:rsid w:val="00F117B6"/>
    <w:rsid w:val="00F12D8D"/>
    <w:rsid w:val="00F170A0"/>
    <w:rsid w:val="00F20497"/>
    <w:rsid w:val="00F20B52"/>
    <w:rsid w:val="00F220BB"/>
    <w:rsid w:val="00F25C65"/>
    <w:rsid w:val="00F27B04"/>
    <w:rsid w:val="00F300E3"/>
    <w:rsid w:val="00F34FEE"/>
    <w:rsid w:val="00F45636"/>
    <w:rsid w:val="00F602C2"/>
    <w:rsid w:val="00F61439"/>
    <w:rsid w:val="00F6585D"/>
    <w:rsid w:val="00F65AD5"/>
    <w:rsid w:val="00F732F0"/>
    <w:rsid w:val="00F73D59"/>
    <w:rsid w:val="00F743E5"/>
    <w:rsid w:val="00F83519"/>
    <w:rsid w:val="00F86C65"/>
    <w:rsid w:val="00F87E46"/>
    <w:rsid w:val="00FA2128"/>
    <w:rsid w:val="00FA348F"/>
    <w:rsid w:val="00FA7192"/>
    <w:rsid w:val="00FB0F0C"/>
    <w:rsid w:val="00FB34F3"/>
    <w:rsid w:val="00FC780D"/>
    <w:rsid w:val="00FE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606E8"/>
  <w15:chartTrackingRefBased/>
  <w15:docId w15:val="{D03C5A43-2497-4324-842B-BC7DB861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6107D5"/>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6107D5"/>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6107D5"/>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6107D5"/>
    <w:pPr>
      <w:adjustRightInd w:val="0"/>
      <w:snapToGrid w:val="0"/>
      <w:spacing w:line="240" w:lineRule="atLeast"/>
      <w:ind w:right="113"/>
      <w:jc w:val="left"/>
    </w:pPr>
    <w:rPr>
      <w:rFonts w:eastAsia="Times New Roman"/>
      <w:sz w:val="14"/>
      <w:lang w:eastAsia="de-DE" w:bidi="en-US"/>
      <w14:ligatures w14:val="standardContextual"/>
    </w:rPr>
  </w:style>
  <w:style w:type="paragraph" w:customStyle="1" w:styleId="MDPI16affiliation">
    <w:name w:val="MDPI_1.6_affiliation"/>
    <w:qFormat/>
    <w:rsid w:val="006107D5"/>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6107D5"/>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6107D5"/>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6107D5"/>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32textnoindent">
    <w:name w:val="MDPI_3.2_text_no_indent"/>
    <w:basedOn w:val="MDPI31text"/>
    <w:qFormat/>
    <w:rsid w:val="006107D5"/>
    <w:pPr>
      <w:ind w:firstLine="0"/>
    </w:pPr>
  </w:style>
  <w:style w:type="paragraph" w:customStyle="1" w:styleId="MDPI31text">
    <w:name w:val="MDPI_3.1_text"/>
    <w:link w:val="MDPI31textChar"/>
    <w:qFormat/>
    <w:rsid w:val="006107D5"/>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6107D5"/>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6107D5"/>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6107D5"/>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6107D5"/>
    <w:pPr>
      <w:numPr>
        <w:numId w:val="24"/>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6107D5"/>
    <w:pPr>
      <w:numPr>
        <w:numId w:val="25"/>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6107D5"/>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6107D5"/>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6107D5"/>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6107D5"/>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6107D5"/>
    <w:pPr>
      <w:adjustRightInd w:val="0"/>
      <w:snapToGrid w:val="0"/>
      <w:spacing w:line="280" w:lineRule="atLeast"/>
      <w:ind w:left="2608"/>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6107D5"/>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6107D5"/>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23heading3">
    <w:name w:val="MDPI_2.3_heading3"/>
    <w:qFormat/>
    <w:rsid w:val="006107D5"/>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6107D5"/>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6107D5"/>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6107D5"/>
    <w:pPr>
      <w:numPr>
        <w:numId w:val="27"/>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C57E47"/>
    <w:rPr>
      <w:rFonts w:ascii="Palatino Linotype" w:hAnsi="Palatino Linotype"/>
      <w:sz w:val="16"/>
    </w:rPr>
  </w:style>
  <w:style w:type="table" w:customStyle="1" w:styleId="MDPI41threelinetable">
    <w:name w:val="MDPI_4.1_three_line_table"/>
    <w:basedOn w:val="TableNormal"/>
    <w:uiPriority w:val="99"/>
    <w:rsid w:val="006107D5"/>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UnresolvedMention">
    <w:name w:val="Unresolved Mention"/>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6107D5"/>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82theorem">
    <w:name w:val="MDPI_8.2_theorem"/>
    <w:qFormat/>
    <w:rsid w:val="006107D5"/>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6107D5"/>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61citation">
    <w:name w:val="MDPI_6.1_citation"/>
    <w:qFormat/>
    <w:rsid w:val="006107D5"/>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6107D5"/>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6107D5"/>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6107D5"/>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6107D5"/>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6107D5"/>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6107D5"/>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6107D5"/>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rsid w:val="00D47EA5"/>
    <w:rPr>
      <w:sz w:val="21"/>
      <w:szCs w:val="21"/>
    </w:rPr>
  </w:style>
  <w:style w:type="paragraph" w:styleId="CommentText">
    <w:name w:val="annotation text"/>
    <w:basedOn w:val="Normal"/>
    <w:link w:val="CommentTextChar"/>
    <w:rsid w:val="00D47EA5"/>
  </w:style>
  <w:style w:type="character" w:customStyle="1" w:styleId="CommentTextChar">
    <w:name w:val="Comment Text Char"/>
    <w:link w:val="CommentTex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
    <w:name w:val="MDPI_7.1_footnotes"/>
    <w:qFormat/>
    <w:rsid w:val="006107D5"/>
    <w:pPr>
      <w:numPr>
        <w:numId w:val="26"/>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styleId="Strong">
    <w:name w:val="Strong"/>
    <w:basedOn w:val="DefaultParagraphFont"/>
    <w:uiPriority w:val="22"/>
    <w:qFormat/>
    <w:rsid w:val="00080F55"/>
    <w:rPr>
      <w:b/>
      <w:bCs/>
    </w:rPr>
  </w:style>
  <w:style w:type="character" w:customStyle="1" w:styleId="MDPI31textChar">
    <w:name w:val="MDPI_3.1_text Char"/>
    <w:basedOn w:val="DefaultParagraphFont"/>
    <w:link w:val="MDPI31text"/>
    <w:rsid w:val="00C92627"/>
    <w:rPr>
      <w:rFonts w:ascii="Palatino Linotype" w:eastAsia="Times New Roman" w:hAnsi="Palatino Linotype"/>
      <w:snapToGrid w:val="0"/>
      <w:color w:val="000000"/>
      <w:szCs w:val="22"/>
      <w:lang w:eastAsia="de-DE" w:bidi="en-US"/>
      <w14:ligatures w14:val="standardContextual"/>
    </w:rPr>
  </w:style>
  <w:style w:type="paragraph" w:customStyle="1" w:styleId="EndNoteBibliography">
    <w:name w:val="EndNote Bibliography"/>
    <w:basedOn w:val="Normal"/>
    <w:link w:val="EndNoteBibliographyChar"/>
    <w:rsid w:val="00C92627"/>
    <w:pPr>
      <w:spacing w:line="240" w:lineRule="atLeast"/>
    </w:pPr>
    <w:rPr>
      <w:rFonts w:eastAsia="Times New Roman"/>
      <w:noProof/>
      <w:sz w:val="18"/>
      <w:szCs w:val="22"/>
      <w:lang w:eastAsia="de-DE" w:bidi="en-US"/>
    </w:rPr>
  </w:style>
  <w:style w:type="character" w:customStyle="1" w:styleId="EndNoteBibliographyChar">
    <w:name w:val="EndNote Bibliography Char"/>
    <w:basedOn w:val="MDPI31textChar"/>
    <w:link w:val="EndNoteBibliography"/>
    <w:rsid w:val="00C92627"/>
    <w:rPr>
      <w:rFonts w:ascii="Palatino Linotype" w:eastAsia="Times New Roman" w:hAnsi="Palatino Linotype"/>
      <w:noProof/>
      <w:snapToGrid/>
      <w:color w:val="000000"/>
      <w:sz w:val="18"/>
      <w:szCs w:val="22"/>
      <w:lang w:eastAsia="de-DE" w:bidi="en-US"/>
      <w14:ligatures w14:val="standardContextual"/>
    </w:rPr>
  </w:style>
  <w:style w:type="paragraph" w:styleId="Revision">
    <w:name w:val="Revision"/>
    <w:hidden/>
    <w:uiPriority w:val="99"/>
    <w:semiHidden/>
    <w:rsid w:val="00EC2B16"/>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58276">
      <w:bodyDiv w:val="1"/>
      <w:marLeft w:val="0"/>
      <w:marRight w:val="0"/>
      <w:marTop w:val="0"/>
      <w:marBottom w:val="0"/>
      <w:divBdr>
        <w:top w:val="none" w:sz="0" w:space="0" w:color="auto"/>
        <w:left w:val="none" w:sz="0" w:space="0" w:color="auto"/>
        <w:bottom w:val="none" w:sz="0" w:space="0" w:color="auto"/>
        <w:right w:val="none" w:sz="0" w:space="0" w:color="auto"/>
      </w:divBdr>
      <w:divsChild>
        <w:div w:id="1259874172">
          <w:marLeft w:val="0"/>
          <w:marRight w:val="0"/>
          <w:marTop w:val="0"/>
          <w:marBottom w:val="0"/>
          <w:divBdr>
            <w:top w:val="none" w:sz="0" w:space="0" w:color="auto"/>
            <w:left w:val="none" w:sz="0" w:space="0" w:color="auto"/>
            <w:bottom w:val="none" w:sz="0" w:space="0" w:color="auto"/>
            <w:right w:val="none" w:sz="0" w:space="0" w:color="auto"/>
          </w:divBdr>
        </w:div>
      </w:divsChild>
    </w:div>
    <w:div w:id="1633436517">
      <w:bodyDiv w:val="1"/>
      <w:marLeft w:val="0"/>
      <w:marRight w:val="0"/>
      <w:marTop w:val="0"/>
      <w:marBottom w:val="0"/>
      <w:divBdr>
        <w:top w:val="none" w:sz="0" w:space="0" w:color="auto"/>
        <w:left w:val="none" w:sz="0" w:space="0" w:color="auto"/>
        <w:bottom w:val="none" w:sz="0" w:space="0" w:color="auto"/>
        <w:right w:val="none" w:sz="0" w:space="0" w:color="auto"/>
      </w:divBdr>
      <w:divsChild>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 w:id="210993370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d@mrc.soton.ac.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Word%20template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4478-8D94-4513-98E5-2AE93EF6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nutrients-template</Template>
  <TotalTime>1</TotalTime>
  <Pages>12</Pages>
  <Words>6242</Words>
  <Characters>36393</Characters>
  <Application>Microsoft Office Word</Application>
  <DocSecurity>4</DocSecurity>
  <Lines>644</Lines>
  <Paragraphs>254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Karen Drake</cp:lastModifiedBy>
  <cp:revision>2</cp:revision>
  <cp:lastPrinted>2026-01-28T10:44:00Z</cp:lastPrinted>
  <dcterms:created xsi:type="dcterms:W3CDTF">2026-01-28T13:59:00Z</dcterms:created>
  <dcterms:modified xsi:type="dcterms:W3CDTF">2026-01-28T13:59:00Z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a8d35185b9c66ed78fd9c83b3a41adddc67b0f60bc700212656088af65c13647</vt:lpwstr>
  </property>
</Properties>
</file>