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C38496" w14:textId="0B10292D" w:rsidR="00907F8A" w:rsidRPr="007B1311" w:rsidRDefault="007F0242" w:rsidP="007F0242">
      <w:pPr>
        <w:pStyle w:val="Heading1"/>
        <w:rPr>
          <w:sz w:val="28"/>
          <w:szCs w:val="28"/>
        </w:rPr>
      </w:pPr>
      <w:r w:rsidRPr="007B1311">
        <w:rPr>
          <w:sz w:val="28"/>
          <w:szCs w:val="28"/>
        </w:rPr>
        <w:t>Long-term Covid research priorities for children and young people’s mental health informed by lived experiences</w:t>
      </w:r>
    </w:p>
    <w:p w14:paraId="57C8B671" w14:textId="77777777" w:rsidR="007F0242" w:rsidRPr="00352B4D" w:rsidRDefault="007F0242"/>
    <w:p w14:paraId="48FE23F6" w14:textId="64711F29" w:rsidR="007F0242" w:rsidRPr="00352B4D" w:rsidRDefault="007F0242">
      <w:pPr>
        <w:rPr>
          <w:vertAlign w:val="superscript"/>
        </w:rPr>
      </w:pPr>
      <w:r w:rsidRPr="00352B4D">
        <w:t>Brian C</w:t>
      </w:r>
      <w:r w:rsidR="00743AF0">
        <w:t>. F.</w:t>
      </w:r>
      <w:r w:rsidRPr="00352B4D">
        <w:t xml:space="preserve"> Ching</w:t>
      </w:r>
      <w:r w:rsidRPr="00352B4D">
        <w:rPr>
          <w:vertAlign w:val="superscript"/>
        </w:rPr>
        <w:t>1</w:t>
      </w:r>
      <w:r w:rsidRPr="00352B4D">
        <w:t>, Valeria Parlatini</w:t>
      </w:r>
      <w:r w:rsidRPr="00352B4D">
        <w:rPr>
          <w:vertAlign w:val="superscript"/>
        </w:rPr>
        <w:t>1</w:t>
      </w:r>
      <w:r w:rsidRPr="00352B4D">
        <w:t>, Johnny Downs</w:t>
      </w:r>
      <w:r w:rsidRPr="00352B4D">
        <w:rPr>
          <w:vertAlign w:val="superscript"/>
        </w:rPr>
        <w:t>1,2</w:t>
      </w:r>
      <w:r w:rsidRPr="00352B4D">
        <w:t>, &amp; Emily Simonoff</w:t>
      </w:r>
      <w:r w:rsidRPr="00352B4D">
        <w:rPr>
          <w:vertAlign w:val="superscript"/>
        </w:rPr>
        <w:t>1,2*</w:t>
      </w:r>
    </w:p>
    <w:p w14:paraId="47BED9B8" w14:textId="11906FB7" w:rsidR="007F0242" w:rsidRPr="00352B4D" w:rsidRDefault="009328C4">
      <w:r w:rsidRPr="00352B4D">
        <w:rPr>
          <w:vertAlign w:val="superscript"/>
        </w:rPr>
        <w:t>1</w:t>
      </w:r>
      <w:r w:rsidR="007F0242" w:rsidRPr="00352B4D">
        <w:t>Department of Child and Adolescent Psychiatry, Institute of Psychiatry, Psychology and Neuroscience, King’s College London, 16 De Crespigny Park, London SE5 8AF, UK</w:t>
      </w:r>
      <w:r w:rsidR="00412F35">
        <w:t>.</w:t>
      </w:r>
    </w:p>
    <w:p w14:paraId="5BA3A83E" w14:textId="6D1A6DEF" w:rsidR="009328C4" w:rsidRDefault="009328C4">
      <w:r w:rsidRPr="00352B4D">
        <w:rPr>
          <w:vertAlign w:val="superscript"/>
        </w:rPr>
        <w:t>2</w:t>
      </w:r>
      <w:r w:rsidRPr="00352B4D">
        <w:t>National Institute for Health Research (NIHR) Biomedical Research Centre, South London and Maudsley NHS Foundation Trust, London, UK</w:t>
      </w:r>
      <w:r w:rsidR="00412F35">
        <w:t>.</w:t>
      </w:r>
    </w:p>
    <w:p w14:paraId="36AA7B38" w14:textId="6F6C7298" w:rsidR="00B37EFA" w:rsidRDefault="00412F35" w:rsidP="00412F35">
      <w:r>
        <w:t xml:space="preserve">*Corresponding author: Professor Emily Simonoff, </w:t>
      </w:r>
      <w:hyperlink r:id="rId8" w:history="1">
        <w:r w:rsidR="007E3C7E" w:rsidRPr="00520064">
          <w:rPr>
            <w:rStyle w:val="Hyperlink"/>
          </w:rPr>
          <w:t>emily.simonoff@kcl.ac.uk</w:t>
        </w:r>
      </w:hyperlink>
      <w:r w:rsidR="00D41D50">
        <w:t xml:space="preserve">; ORCiD ID: </w:t>
      </w:r>
      <w:r w:rsidR="00D41D50" w:rsidRPr="00D41D50">
        <w:t>0000-0002-5450-0823</w:t>
      </w:r>
      <w:r w:rsidR="00D41D50">
        <w:t>.</w:t>
      </w:r>
    </w:p>
    <w:p w14:paraId="09D9C0BA" w14:textId="77777777" w:rsidR="00412F35" w:rsidRDefault="00412F35" w:rsidP="00412F35"/>
    <w:p w14:paraId="002A5118" w14:textId="71CA3F66" w:rsidR="005267EC" w:rsidRDefault="005267EC" w:rsidP="00412F35">
      <w:pPr>
        <w:rPr>
          <w:b/>
          <w:bCs/>
        </w:rPr>
      </w:pPr>
      <w:r>
        <w:rPr>
          <w:b/>
          <w:bCs/>
        </w:rPr>
        <w:t>Standfirst:</w:t>
      </w:r>
    </w:p>
    <w:p w14:paraId="77337F8E" w14:textId="7AFD2229" w:rsidR="005267EC" w:rsidRPr="005267EC" w:rsidRDefault="00C07D14" w:rsidP="00412F35">
      <w:r w:rsidRPr="00C07D14">
        <w:t>Covid and mental health is still important three years since the start of the pandemic, with unique and unprecedented developmental disruptions to children and young people. We call for a continued multidisciplinary approach to answer critical questions about the long-term impact of the pandemic. This Comment integrates voices and perspectives from service user groups about what children and young people think are important for mental health in the context of the pandemic. We provide recommendations for future research priorities.</w:t>
      </w:r>
    </w:p>
    <w:p w14:paraId="41ACA703" w14:textId="77777777" w:rsidR="005267EC" w:rsidRPr="00D8539F" w:rsidRDefault="005267EC" w:rsidP="00412F35"/>
    <w:p w14:paraId="6582BFB5" w14:textId="65AFFC5B" w:rsidR="002C53A7" w:rsidRPr="00D8539F" w:rsidRDefault="009328C4" w:rsidP="009328C4">
      <w:pPr>
        <w:rPr>
          <w:b/>
          <w:bCs/>
        </w:rPr>
      </w:pPr>
      <w:r w:rsidRPr="00D8539F">
        <w:rPr>
          <w:b/>
          <w:bCs/>
        </w:rPr>
        <w:t xml:space="preserve">Why is </w:t>
      </w:r>
      <w:r w:rsidR="00314B4C" w:rsidRPr="00D8539F">
        <w:rPr>
          <w:b/>
          <w:bCs/>
        </w:rPr>
        <w:t xml:space="preserve">research on </w:t>
      </w:r>
      <w:r w:rsidRPr="00D8539F">
        <w:rPr>
          <w:b/>
          <w:bCs/>
        </w:rPr>
        <w:t>Covid and mental health still important?</w:t>
      </w:r>
    </w:p>
    <w:p w14:paraId="305EC003" w14:textId="1365E705" w:rsidR="007B5EE8" w:rsidRPr="00D8539F" w:rsidRDefault="003D370B" w:rsidP="009328C4">
      <w:r w:rsidRPr="00D8539F">
        <w:t>T</w:t>
      </w:r>
      <w:r w:rsidR="007B5EE8" w:rsidRPr="00D8539F">
        <w:t xml:space="preserve">he </w:t>
      </w:r>
      <w:r w:rsidR="009328C4" w:rsidRPr="00D8539F">
        <w:t xml:space="preserve">Covid </w:t>
      </w:r>
      <w:r w:rsidR="007B5EE8" w:rsidRPr="00D8539F">
        <w:t xml:space="preserve">pandemic </w:t>
      </w:r>
      <w:r w:rsidRPr="00D8539F">
        <w:t xml:space="preserve">started </w:t>
      </w:r>
      <w:r w:rsidR="009328C4" w:rsidRPr="00D8539F">
        <w:t xml:space="preserve">over three years ago and there is an understandable temptation to put </w:t>
      </w:r>
      <w:r w:rsidRPr="00D8539F">
        <w:t>it</w:t>
      </w:r>
      <w:r w:rsidR="009328C4" w:rsidRPr="00D8539F">
        <w:t xml:space="preserve"> behind us. </w:t>
      </w:r>
      <w:r w:rsidR="007B5EE8" w:rsidRPr="00D8539F">
        <w:t xml:space="preserve">Covid cases are </w:t>
      </w:r>
      <w:r w:rsidR="00DC19A0" w:rsidRPr="00D8539F">
        <w:t xml:space="preserve">now </w:t>
      </w:r>
      <w:r w:rsidR="007B5EE8" w:rsidRPr="00D8539F">
        <w:t>significantly lower</w:t>
      </w:r>
      <w:r w:rsidR="00DC19A0" w:rsidRPr="00D8539F">
        <w:t xml:space="preserve"> </w:t>
      </w:r>
      <w:r w:rsidR="007B5EE8" w:rsidRPr="00D8539F">
        <w:t>compared to peak infection periods in 2020</w:t>
      </w:r>
      <w:r w:rsidR="00DC19A0" w:rsidRPr="00D8539F">
        <w:t>-</w:t>
      </w:r>
      <w:r w:rsidR="007B5EE8" w:rsidRPr="00D8539F">
        <w:t>21</w:t>
      </w:r>
      <w:r w:rsidR="00314E93" w:rsidRPr="00D8539F">
        <w:t>;</w:t>
      </w:r>
      <w:r w:rsidR="00463E1B" w:rsidRPr="00D8539F">
        <w:t xml:space="preserve"> vaccines have reduced transmission and disease severity</w:t>
      </w:r>
      <w:r w:rsidR="00314E93" w:rsidRPr="00D8539F">
        <w:t>;</w:t>
      </w:r>
      <w:r w:rsidR="007B5EE8" w:rsidRPr="00D8539F">
        <w:t xml:space="preserve"> and Covid is no longer defined</w:t>
      </w:r>
      <w:r w:rsidR="00C25EA0" w:rsidRPr="00D8539F">
        <w:t xml:space="preserve"> by the World Health Organisation</w:t>
      </w:r>
      <w:r w:rsidR="007B5EE8" w:rsidRPr="00D8539F">
        <w:t xml:space="preserve"> as a</w:t>
      </w:r>
      <w:r w:rsidR="00BF7D31" w:rsidRPr="00D8539F">
        <w:t xml:space="preserve">n international public health emergency. </w:t>
      </w:r>
      <w:r w:rsidR="00DB558E" w:rsidRPr="00D8539F">
        <w:t xml:space="preserve">However, </w:t>
      </w:r>
      <w:r w:rsidR="00C25EA0" w:rsidRPr="00D8539F">
        <w:t xml:space="preserve">sustaining our </w:t>
      </w:r>
      <w:r w:rsidR="00BC1E5C" w:rsidRPr="00D8539F">
        <w:t>research</w:t>
      </w:r>
      <w:r w:rsidR="00DB558E" w:rsidRPr="00D8539F">
        <w:t xml:space="preserve"> </w:t>
      </w:r>
      <w:r w:rsidR="00C25EA0" w:rsidRPr="00D8539F">
        <w:t xml:space="preserve">efforts on the impact of this pandemic is crucial if we want to decipher its </w:t>
      </w:r>
      <w:r w:rsidR="00DB558E" w:rsidRPr="00D8539F">
        <w:t xml:space="preserve">long-term consequences and </w:t>
      </w:r>
      <w:r w:rsidR="00C25EA0" w:rsidRPr="00D8539F">
        <w:t>be better prepared for the future</w:t>
      </w:r>
      <w:r w:rsidR="00DB558E" w:rsidRPr="00D8539F">
        <w:t xml:space="preserve">. </w:t>
      </w:r>
    </w:p>
    <w:p w14:paraId="6FB03741" w14:textId="42E20F72" w:rsidR="007C287F" w:rsidRPr="00D8539F" w:rsidRDefault="00DB558E" w:rsidP="009328C4">
      <w:pPr>
        <w:rPr>
          <w:rFonts w:cstheme="minorHAnsi"/>
        </w:rPr>
      </w:pPr>
      <w:r w:rsidRPr="00D8539F">
        <w:rPr>
          <w:rFonts w:cstheme="minorHAnsi"/>
        </w:rPr>
        <w:t>Th</w:t>
      </w:r>
      <w:r w:rsidR="002669E1" w:rsidRPr="00D8539F">
        <w:rPr>
          <w:rFonts w:cstheme="minorHAnsi"/>
        </w:rPr>
        <w:t>e ongoing</w:t>
      </w:r>
      <w:r w:rsidRPr="00D8539F">
        <w:rPr>
          <w:rFonts w:cstheme="minorHAnsi"/>
        </w:rPr>
        <w:t xml:space="preserve"> pandemic </w:t>
      </w:r>
      <w:r w:rsidR="002669E1" w:rsidRPr="00D8539F">
        <w:rPr>
          <w:rFonts w:cstheme="minorHAnsi"/>
        </w:rPr>
        <w:t>serves as a worldwide</w:t>
      </w:r>
      <w:r w:rsidRPr="00D8539F">
        <w:rPr>
          <w:rFonts w:cstheme="minorHAnsi"/>
        </w:rPr>
        <w:t xml:space="preserve"> natural experiment on how stress, uncertainty, and </w:t>
      </w:r>
      <w:r w:rsidR="00314E93" w:rsidRPr="00D8539F">
        <w:rPr>
          <w:rFonts w:cstheme="minorHAnsi"/>
        </w:rPr>
        <w:t xml:space="preserve">social restrictions </w:t>
      </w:r>
      <w:r w:rsidR="00BB63B6" w:rsidRPr="00D8539F">
        <w:rPr>
          <w:rFonts w:cstheme="minorHAnsi"/>
        </w:rPr>
        <w:t>can affect mental health</w:t>
      </w:r>
      <w:r w:rsidR="00C25EA0" w:rsidRPr="00D8539F">
        <w:rPr>
          <w:rFonts w:cstheme="minorHAnsi"/>
        </w:rPr>
        <w:t>.</w:t>
      </w:r>
      <w:r w:rsidR="002669E1" w:rsidRPr="00D8539F">
        <w:rPr>
          <w:rFonts w:cstheme="minorHAnsi"/>
        </w:rPr>
        <w:t xml:space="preserve"> It presents a unique opportunity for our generation of scientists to disentangle a host of potential risk and protective factors affecting mental health. Across the world, governments implemented</w:t>
      </w:r>
      <w:r w:rsidR="002669E1" w:rsidRPr="00D8539F">
        <w:rPr>
          <w:rFonts w:cstheme="minorHAnsi"/>
          <w:color w:val="212121"/>
          <w:shd w:val="clear" w:color="auto" w:fill="FFFFFF"/>
        </w:rPr>
        <w:t xml:space="preserve"> large‐scale environmental changes on their population</w:t>
      </w:r>
      <w:r w:rsidR="009F7646" w:rsidRPr="00D8539F">
        <w:rPr>
          <w:rFonts w:cstheme="minorHAnsi"/>
          <w:color w:val="212121"/>
          <w:shd w:val="clear" w:color="auto" w:fill="FFFFFF"/>
        </w:rPr>
        <w:t>s</w:t>
      </w:r>
      <w:r w:rsidR="002669E1" w:rsidRPr="00D8539F">
        <w:rPr>
          <w:rFonts w:cstheme="minorHAnsi"/>
          <w:color w:val="212121"/>
          <w:shd w:val="clear" w:color="auto" w:fill="FFFFFF"/>
        </w:rPr>
        <w:t>. These changes were well described, temporally precise</w:t>
      </w:r>
      <w:r w:rsidR="001F6D2B" w:rsidRPr="00D8539F">
        <w:rPr>
          <w:rFonts w:cstheme="minorHAnsi"/>
          <w:color w:val="212121"/>
          <w:shd w:val="clear" w:color="auto" w:fill="FFFFFF"/>
        </w:rPr>
        <w:t>,</w:t>
      </w:r>
      <w:r w:rsidR="002669E1" w:rsidRPr="00D8539F">
        <w:rPr>
          <w:rFonts w:cstheme="minorHAnsi"/>
          <w:color w:val="212121"/>
          <w:shd w:val="clear" w:color="auto" w:fill="FFFFFF"/>
        </w:rPr>
        <w:t xml:space="preserve"> and highly </w:t>
      </w:r>
      <w:r w:rsidR="002669E1" w:rsidRPr="00D8539F">
        <w:rPr>
          <w:rFonts w:cstheme="minorHAnsi"/>
        </w:rPr>
        <w:t>variable by region in their stringency and duration</w:t>
      </w:r>
      <w:r w:rsidR="002669E1" w:rsidRPr="00D8539F">
        <w:rPr>
          <w:rFonts w:cstheme="minorHAnsi"/>
          <w:color w:val="212121"/>
          <w:shd w:val="clear" w:color="auto" w:fill="FFFFFF"/>
        </w:rPr>
        <w:t xml:space="preserve">. </w:t>
      </w:r>
      <w:r w:rsidR="00BF7D31" w:rsidRPr="00D8539F">
        <w:rPr>
          <w:rFonts w:cstheme="minorHAnsi"/>
          <w:color w:val="212121"/>
          <w:shd w:val="clear" w:color="auto" w:fill="FFFFFF"/>
        </w:rPr>
        <w:t>T</w:t>
      </w:r>
      <w:r w:rsidR="002669E1" w:rsidRPr="00D8539F">
        <w:rPr>
          <w:rFonts w:cstheme="minorHAnsi"/>
          <w:color w:val="212121"/>
          <w:shd w:val="clear" w:color="auto" w:fill="FFFFFF"/>
        </w:rPr>
        <w:t>hese characteristics are exceptionally rare</w:t>
      </w:r>
      <w:r w:rsidR="00361883" w:rsidRPr="00D8539F">
        <w:rPr>
          <w:rFonts w:cstheme="minorHAnsi"/>
        </w:rPr>
        <w:t xml:space="preserve"> and</w:t>
      </w:r>
      <w:r w:rsidR="00C25EA0" w:rsidRPr="00D8539F">
        <w:rPr>
          <w:rFonts w:cstheme="minorHAnsi"/>
        </w:rPr>
        <w:t xml:space="preserve"> </w:t>
      </w:r>
      <w:r w:rsidR="00361883" w:rsidRPr="00D8539F">
        <w:rPr>
          <w:rFonts w:cstheme="minorHAnsi"/>
        </w:rPr>
        <w:t xml:space="preserve">permits a robust examination </w:t>
      </w:r>
      <w:r w:rsidR="001F6D2B" w:rsidRPr="00D8539F">
        <w:rPr>
          <w:rFonts w:cstheme="minorHAnsi"/>
        </w:rPr>
        <w:t xml:space="preserve">of </w:t>
      </w:r>
      <w:r w:rsidR="002669E1" w:rsidRPr="00D8539F">
        <w:rPr>
          <w:rFonts w:cstheme="minorHAnsi"/>
        </w:rPr>
        <w:t xml:space="preserve">pandemic-related </w:t>
      </w:r>
      <w:r w:rsidR="00361883" w:rsidRPr="00D8539F">
        <w:rPr>
          <w:rFonts w:cstheme="minorHAnsi"/>
        </w:rPr>
        <w:t>daily life disruption</w:t>
      </w:r>
      <w:r w:rsidR="002669E1" w:rsidRPr="00D8539F">
        <w:rPr>
          <w:rFonts w:cstheme="minorHAnsi"/>
        </w:rPr>
        <w:t>s</w:t>
      </w:r>
      <w:r w:rsidR="00361883" w:rsidRPr="00D8539F">
        <w:rPr>
          <w:rFonts w:cstheme="minorHAnsi"/>
        </w:rPr>
        <w:t xml:space="preserve"> on mental health outcomes.</w:t>
      </w:r>
      <w:r w:rsidR="002013DD" w:rsidRPr="00D8539F">
        <w:rPr>
          <w:rFonts w:cstheme="minorHAnsi"/>
        </w:rPr>
        <w:t xml:space="preserve"> </w:t>
      </w:r>
    </w:p>
    <w:p w14:paraId="3F4541CB" w14:textId="76D8F5FF" w:rsidR="00983E30" w:rsidRPr="00D8539F" w:rsidRDefault="00AE495C" w:rsidP="009328C4">
      <w:r w:rsidRPr="00D8539F">
        <w:t xml:space="preserve">Investigating the impact on children and young people </w:t>
      </w:r>
      <w:r w:rsidR="00054DF5" w:rsidRPr="00D8539F">
        <w:t>is</w:t>
      </w:r>
      <w:r w:rsidRPr="00D8539F">
        <w:t xml:space="preserve"> particularly relevant</w:t>
      </w:r>
      <w:r w:rsidR="00BA69AB" w:rsidRPr="00D8539F">
        <w:t xml:space="preserve">. </w:t>
      </w:r>
      <w:r w:rsidR="00983E30" w:rsidRPr="00D8539F">
        <w:t xml:space="preserve">Pandemic-related disruptions have eroded children and young people’s opportunity to achieve fundamental </w:t>
      </w:r>
      <w:r w:rsidR="009F7646" w:rsidRPr="00D8539F">
        <w:t>social, cognitive</w:t>
      </w:r>
      <w:r w:rsidR="00DB5FB2" w:rsidRPr="00D8539F">
        <w:t>,</w:t>
      </w:r>
      <w:r w:rsidR="009F7646" w:rsidRPr="00D8539F">
        <w:t xml:space="preserve"> and emotional </w:t>
      </w:r>
      <w:r w:rsidR="00983E30" w:rsidRPr="00D8539F">
        <w:t>milestones critical for healthy development. These include starting school, forming social identities, navigating the transition to primary and secondary school, and taking state exam</w:t>
      </w:r>
      <w:r w:rsidR="009F7646" w:rsidRPr="00D8539F">
        <w:t>inations</w:t>
      </w:r>
      <w:r w:rsidR="00983E30" w:rsidRPr="00D8539F">
        <w:t xml:space="preserve">. The scale of these interruptions </w:t>
      </w:r>
      <w:r w:rsidR="00907F50" w:rsidRPr="00D8539F">
        <w:t>in childhood and adolescence is</w:t>
      </w:r>
      <w:r w:rsidR="00983E30" w:rsidRPr="00D8539F">
        <w:t xml:space="preserve"> </w:t>
      </w:r>
      <w:r w:rsidR="00C05D44" w:rsidRPr="00D8539F">
        <w:t>unprecedented and are</w:t>
      </w:r>
      <w:r w:rsidR="00983E30" w:rsidRPr="00D8539F">
        <w:t xml:space="preserve"> likely to have introduced biopsychosocial risks for </w:t>
      </w:r>
      <w:r w:rsidR="00030C50" w:rsidRPr="00D8539F">
        <w:t xml:space="preserve">longer-term </w:t>
      </w:r>
      <w:r w:rsidR="00C05D44" w:rsidRPr="00D8539F">
        <w:t xml:space="preserve">developmental and </w:t>
      </w:r>
      <w:r w:rsidR="00983E30" w:rsidRPr="00D8539F">
        <w:t>mental health outcomes</w:t>
      </w:r>
      <w:r w:rsidR="00983E30" w:rsidRPr="00D8539F">
        <w:rPr>
          <w:vertAlign w:val="superscript"/>
        </w:rPr>
        <w:t>1</w:t>
      </w:r>
      <w:r w:rsidR="00C05D44" w:rsidRPr="00D8539F">
        <w:rPr>
          <w:vertAlign w:val="superscript"/>
        </w:rPr>
        <w:t>,2</w:t>
      </w:r>
      <w:r w:rsidR="00983E30" w:rsidRPr="00D8539F">
        <w:t xml:space="preserve">. </w:t>
      </w:r>
    </w:p>
    <w:p w14:paraId="1319945B" w14:textId="16658C46" w:rsidR="00DF14E8" w:rsidRPr="00D8539F" w:rsidRDefault="00DF14E8" w:rsidP="009328C4">
      <w:r w:rsidRPr="00D8539F">
        <w:lastRenderedPageBreak/>
        <w:t xml:space="preserve">We need to maintain research efforts to understand which children and young people were </w:t>
      </w:r>
      <w:r w:rsidR="00030C50" w:rsidRPr="00D8539F">
        <w:t xml:space="preserve">most </w:t>
      </w:r>
      <w:r w:rsidR="00BB63B6" w:rsidRPr="00D8539F">
        <w:t xml:space="preserve">adversely affected </w:t>
      </w:r>
      <w:r w:rsidRPr="00D8539F">
        <w:t xml:space="preserve">by Covid, why they were vulnerable, and </w:t>
      </w:r>
      <w:r w:rsidR="00BB63B6" w:rsidRPr="00D8539F">
        <w:t xml:space="preserve">what the </w:t>
      </w:r>
      <w:r w:rsidRPr="00D8539F">
        <w:t>mechanisms</w:t>
      </w:r>
      <w:r w:rsidR="0069013C" w:rsidRPr="00D8539F">
        <w:t xml:space="preserve"> </w:t>
      </w:r>
      <w:r w:rsidR="005D02AA" w:rsidRPr="00D8539F">
        <w:t xml:space="preserve">were </w:t>
      </w:r>
      <w:r w:rsidR="0069013C" w:rsidRPr="00D8539F">
        <w:t>that</w:t>
      </w:r>
      <w:r w:rsidRPr="00D8539F">
        <w:t xml:space="preserve"> contribute</w:t>
      </w:r>
      <w:r w:rsidR="0069013C" w:rsidRPr="00D8539F">
        <w:t>d</w:t>
      </w:r>
      <w:r w:rsidRPr="00D8539F">
        <w:t xml:space="preserve"> to </w:t>
      </w:r>
      <w:r w:rsidR="00BB63B6" w:rsidRPr="00D8539F">
        <w:t xml:space="preserve">poor </w:t>
      </w:r>
      <w:r w:rsidRPr="00D8539F">
        <w:t>mental health. This is critical for the management of the</w:t>
      </w:r>
      <w:r w:rsidR="00AE495C" w:rsidRPr="00D8539F">
        <w:t xml:space="preserve"> consequences of the</w:t>
      </w:r>
      <w:r w:rsidRPr="00D8539F">
        <w:t xml:space="preserve"> current pandemic</w:t>
      </w:r>
      <w:r w:rsidR="00CA000A" w:rsidRPr="00D8539F">
        <w:t xml:space="preserve"> and</w:t>
      </w:r>
      <w:r w:rsidRPr="00D8539F">
        <w:t xml:space="preserve"> prepar</w:t>
      </w:r>
      <w:r w:rsidR="00CA000A" w:rsidRPr="00D8539F">
        <w:t>ations</w:t>
      </w:r>
      <w:r w:rsidRPr="00D8539F">
        <w:t xml:space="preserve"> for</w:t>
      </w:r>
      <w:r w:rsidR="009A5164" w:rsidRPr="00D8539F">
        <w:t xml:space="preserve"> likely</w:t>
      </w:r>
      <w:r w:rsidRPr="00D8539F">
        <w:t xml:space="preserve"> future </w:t>
      </w:r>
      <w:r w:rsidR="00AE495C" w:rsidRPr="00D8539F">
        <w:t>ones</w:t>
      </w:r>
      <w:r w:rsidRPr="00D8539F">
        <w:t xml:space="preserve">. </w:t>
      </w:r>
      <w:r w:rsidR="00BB63B6" w:rsidRPr="00D8539F">
        <w:t xml:space="preserve">Research </w:t>
      </w:r>
      <w:r w:rsidR="009B4543" w:rsidRPr="00D8539F">
        <w:t xml:space="preserve">will </w:t>
      </w:r>
      <w:r w:rsidR="00FB122B" w:rsidRPr="00D8539F">
        <w:t xml:space="preserve">shed light on stress factors that </w:t>
      </w:r>
      <w:r w:rsidR="00AE495C" w:rsidRPr="00D8539F">
        <w:t xml:space="preserve">can </w:t>
      </w:r>
      <w:r w:rsidR="00FB122B" w:rsidRPr="00D8539F">
        <w:t>become target</w:t>
      </w:r>
      <w:r w:rsidR="00BB63B6" w:rsidRPr="00D8539F">
        <w:t>s</w:t>
      </w:r>
      <w:r w:rsidR="00FB122B" w:rsidRPr="00D8539F">
        <w:t xml:space="preserve"> for wider intervention</w:t>
      </w:r>
      <w:r w:rsidR="00274917" w:rsidRPr="00D8539F">
        <w:t>s</w:t>
      </w:r>
      <w:r w:rsidR="00FB122B" w:rsidRPr="00D8539F">
        <w:t xml:space="preserve"> </w:t>
      </w:r>
      <w:r w:rsidR="007229C9" w:rsidRPr="00D8539F">
        <w:t xml:space="preserve">to “increase resilience of our health systems against future </w:t>
      </w:r>
      <w:r w:rsidR="00FB122B" w:rsidRPr="00D8539F">
        <w:t>shocks”</w:t>
      </w:r>
      <w:r w:rsidR="00521103" w:rsidRPr="00D8539F">
        <w:rPr>
          <w:vertAlign w:val="superscript"/>
        </w:rPr>
        <w:t>3</w:t>
      </w:r>
      <w:r w:rsidR="00FB122B" w:rsidRPr="00D8539F">
        <w:t xml:space="preserve">. </w:t>
      </w:r>
    </w:p>
    <w:p w14:paraId="30C79EA7" w14:textId="77777777" w:rsidR="009328C4" w:rsidRPr="00D8539F" w:rsidRDefault="009328C4" w:rsidP="009328C4">
      <w:pPr>
        <w:rPr>
          <w:b/>
          <w:bCs/>
        </w:rPr>
      </w:pPr>
      <w:r w:rsidRPr="00D8539F">
        <w:rPr>
          <w:b/>
          <w:bCs/>
        </w:rPr>
        <w:t>A call for a continued multidisciplinary approach to answer critical questions.</w:t>
      </w:r>
    </w:p>
    <w:p w14:paraId="0754B05D" w14:textId="7D8AF201" w:rsidR="000C3DC6" w:rsidRPr="00D8539F" w:rsidRDefault="007C15CC" w:rsidP="009328C4">
      <w:r>
        <w:t>Covid research was strengthened by multidisciplinary</w:t>
      </w:r>
      <w:r w:rsidR="009B4543">
        <w:t xml:space="preserve"> approaches</w:t>
      </w:r>
      <w:r>
        <w:t xml:space="preserve">, bringing together clinical, sociological, economic, and developmental perspectives. </w:t>
      </w:r>
      <w:r w:rsidR="00FB122B">
        <w:t xml:space="preserve">A national survey in the UK found significant </w:t>
      </w:r>
      <w:r w:rsidR="00274917">
        <w:t xml:space="preserve">pandemic-related </w:t>
      </w:r>
      <w:r w:rsidR="00FB122B">
        <w:t>increases in probable mental health problems in children and young people across age, gender, and racial groups</w:t>
      </w:r>
      <w:r w:rsidR="00521103" w:rsidRPr="5547ACB8">
        <w:rPr>
          <w:vertAlign w:val="superscript"/>
        </w:rPr>
        <w:t>4</w:t>
      </w:r>
      <w:r w:rsidR="00FB122B">
        <w:t xml:space="preserve">. </w:t>
      </w:r>
      <w:r w:rsidR="00274917">
        <w:t>However, meta</w:t>
      </w:r>
      <w:r w:rsidR="00FB122B">
        <w:t xml:space="preserve">-analyses </w:t>
      </w:r>
      <w:r w:rsidR="003D370B">
        <w:t>have been</w:t>
      </w:r>
      <w:r w:rsidR="00A45A6C">
        <w:t xml:space="preserve"> </w:t>
      </w:r>
      <w:r w:rsidR="00175EC9">
        <w:t>inconsistent</w:t>
      </w:r>
      <w:r w:rsidR="00FB122B">
        <w:t xml:space="preserve"> </w:t>
      </w:r>
      <w:r w:rsidR="00A45A6C">
        <w:t xml:space="preserve">regarding </w:t>
      </w:r>
      <w:r w:rsidR="00703611">
        <w:t>rates of</w:t>
      </w:r>
      <w:r w:rsidR="00175EC9">
        <w:t xml:space="preserve"> anxiety, depression, </w:t>
      </w:r>
      <w:r w:rsidR="00BB63B6">
        <w:t>behaviour</w:t>
      </w:r>
      <w:r w:rsidR="00A45A6C">
        <w:t>al</w:t>
      </w:r>
      <w:r w:rsidR="00175EC9">
        <w:t>, and inattention/hyperactivity problems</w:t>
      </w:r>
      <w:r w:rsidR="00521103" w:rsidRPr="5547ACB8">
        <w:rPr>
          <w:vertAlign w:val="superscript"/>
        </w:rPr>
        <w:t>5</w:t>
      </w:r>
      <w:r w:rsidR="00175EC9" w:rsidRPr="5547ACB8">
        <w:rPr>
          <w:vertAlign w:val="superscript"/>
        </w:rPr>
        <w:t>,</w:t>
      </w:r>
      <w:r w:rsidR="00521103" w:rsidRPr="5547ACB8">
        <w:rPr>
          <w:vertAlign w:val="superscript"/>
        </w:rPr>
        <w:t>6</w:t>
      </w:r>
      <w:r w:rsidR="00175EC9">
        <w:t xml:space="preserve">. </w:t>
      </w:r>
      <w:r w:rsidR="00AA0A4D">
        <w:t>A</w:t>
      </w:r>
      <w:r w:rsidR="00274917">
        <w:t>lthough</w:t>
      </w:r>
      <w:r w:rsidR="00730184">
        <w:t xml:space="preserve"> invaluable</w:t>
      </w:r>
      <w:r w:rsidR="00703611">
        <w:t xml:space="preserve"> first steps</w:t>
      </w:r>
      <w:r w:rsidR="00274917">
        <w:t xml:space="preserve">, </w:t>
      </w:r>
      <w:r w:rsidR="00AA0A4D">
        <w:t xml:space="preserve">these studies </w:t>
      </w:r>
      <w:r w:rsidR="00730184">
        <w:t>have</w:t>
      </w:r>
      <w:r w:rsidR="00175EC9">
        <w:t xml:space="preserve"> methodological </w:t>
      </w:r>
      <w:r w:rsidR="00BB63B6">
        <w:t xml:space="preserve">limitations </w:t>
      </w:r>
      <w:r w:rsidR="00175EC9">
        <w:t>that</w:t>
      </w:r>
      <w:r w:rsidR="00730184">
        <w:t xml:space="preserve"> may</w:t>
      </w:r>
      <w:r w:rsidR="00175EC9">
        <w:t xml:space="preserve"> </w:t>
      </w:r>
      <w:r w:rsidR="00274917">
        <w:t xml:space="preserve">hinder </w:t>
      </w:r>
      <w:r w:rsidR="00175EC9">
        <w:t>our understanding o</w:t>
      </w:r>
      <w:r w:rsidR="00A45A6C">
        <w:t>f</w:t>
      </w:r>
      <w:r w:rsidR="00175EC9">
        <w:t xml:space="preserve"> </w:t>
      </w:r>
      <w:r w:rsidR="00730184">
        <w:t>Covid’s impact</w:t>
      </w:r>
      <w:r w:rsidR="00175EC9">
        <w:t xml:space="preserve">. </w:t>
      </w:r>
      <w:r w:rsidR="00AA0A4D">
        <w:t>These include t</w:t>
      </w:r>
      <w:r w:rsidR="00BB63B6">
        <w:t xml:space="preserve">he small number of </w:t>
      </w:r>
      <w:r w:rsidR="00CC4163">
        <w:t>studies</w:t>
      </w:r>
      <w:r w:rsidR="00175EC9">
        <w:t xml:space="preserve"> </w:t>
      </w:r>
      <w:r w:rsidR="00BB63B6">
        <w:t>i</w:t>
      </w:r>
      <w:r w:rsidR="00175EC9">
        <w:t xml:space="preserve">n </w:t>
      </w:r>
      <w:r w:rsidR="00AA0A4D">
        <w:t>youths</w:t>
      </w:r>
      <w:r w:rsidR="00CC4163">
        <w:t xml:space="preserve"> </w:t>
      </w:r>
      <w:r w:rsidR="000422A6">
        <w:t>compared to adults</w:t>
      </w:r>
      <w:r w:rsidR="00BB63B6">
        <w:t xml:space="preserve">, </w:t>
      </w:r>
      <w:r w:rsidR="00AA0A4D">
        <w:t>and the heterogeneity</w:t>
      </w:r>
      <w:r w:rsidR="00BB63B6">
        <w:t xml:space="preserve"> of </w:t>
      </w:r>
      <w:r w:rsidR="00AA0A4D">
        <w:t xml:space="preserve">outcome </w:t>
      </w:r>
      <w:r w:rsidR="00BB63B6">
        <w:t>measures, informants</w:t>
      </w:r>
      <w:r w:rsidR="00AA195C">
        <w:t xml:space="preserve">, </w:t>
      </w:r>
      <w:r w:rsidR="00BB63B6">
        <w:t>and time frames</w:t>
      </w:r>
      <w:r w:rsidR="000422A6">
        <w:t xml:space="preserve">. </w:t>
      </w:r>
      <w:r w:rsidR="00AA0A4D">
        <w:t>Further, r</w:t>
      </w:r>
      <w:r w:rsidR="000422A6">
        <w:t xml:space="preserve">eporting of relevant </w:t>
      </w:r>
      <w:r w:rsidR="00AA0A4D">
        <w:t xml:space="preserve">individual </w:t>
      </w:r>
      <w:r w:rsidR="000422A6">
        <w:t>characteristics</w:t>
      </w:r>
      <w:r w:rsidR="00586B3E">
        <w:t xml:space="preserve">, </w:t>
      </w:r>
      <w:r w:rsidR="000422A6">
        <w:t xml:space="preserve">such as </w:t>
      </w:r>
      <w:r w:rsidR="00AA195C">
        <w:t>race</w:t>
      </w:r>
      <w:r w:rsidR="00AA0A4D">
        <w:t xml:space="preserve"> </w:t>
      </w:r>
      <w:r w:rsidR="000422A6">
        <w:t xml:space="preserve">or </w:t>
      </w:r>
      <w:r w:rsidR="00AA0A4D">
        <w:t>socio-economic</w:t>
      </w:r>
      <w:r w:rsidR="000422A6">
        <w:t xml:space="preserve"> deprivation</w:t>
      </w:r>
      <w:r w:rsidR="002D176E">
        <w:t>,</w:t>
      </w:r>
      <w:r w:rsidR="000422A6">
        <w:t xml:space="preserve"> </w:t>
      </w:r>
      <w:r w:rsidR="001B1F3A">
        <w:t xml:space="preserve">were </w:t>
      </w:r>
      <w:r w:rsidR="00586B3E">
        <w:t>inconsistent</w:t>
      </w:r>
      <w:r w:rsidR="000422A6">
        <w:t xml:space="preserve">. Findings suggest </w:t>
      </w:r>
      <w:r w:rsidR="00AA0A4D">
        <w:t xml:space="preserve">that </w:t>
      </w:r>
      <w:r w:rsidR="000422A6">
        <w:t>vulnerable groups</w:t>
      </w:r>
      <w:r w:rsidR="00102559">
        <w:t xml:space="preserve">, such as those with pre-existing </w:t>
      </w:r>
      <w:r w:rsidR="4A96FC68">
        <w:t>mental</w:t>
      </w:r>
      <w:r w:rsidR="00AA0A4D">
        <w:t xml:space="preserve"> health </w:t>
      </w:r>
      <w:r w:rsidR="00102559">
        <w:t xml:space="preserve">conditions, </w:t>
      </w:r>
      <w:r w:rsidR="000422A6">
        <w:t>may be disproportionately affected</w:t>
      </w:r>
      <w:r w:rsidR="00DA13EE">
        <w:t xml:space="preserve">, but findings were not systematically explored. </w:t>
      </w:r>
      <w:r w:rsidR="00C43D05">
        <w:t>Time-sensitive</w:t>
      </w:r>
      <w:r w:rsidR="00102559">
        <w:t xml:space="preserve"> </w:t>
      </w:r>
      <w:r w:rsidR="00AA0A4D">
        <w:t xml:space="preserve">analysis </w:t>
      </w:r>
      <w:r w:rsidR="000476F9">
        <w:t xml:space="preserve">highlighted </w:t>
      </w:r>
      <w:r w:rsidR="00237469">
        <w:t>changing patterns of</w:t>
      </w:r>
      <w:r w:rsidR="00102559">
        <w:t xml:space="preserve"> mental health presentations</w:t>
      </w:r>
      <w:r w:rsidR="00AA0A4D">
        <w:t xml:space="preserve"> in emergency departments</w:t>
      </w:r>
      <w:r w:rsidR="00273C48">
        <w:t>, including rates of self-harm,</w:t>
      </w:r>
      <w:r w:rsidR="00DF169E">
        <w:t xml:space="preserve"> </w:t>
      </w:r>
      <w:r w:rsidR="0091164E">
        <w:t>over the</w:t>
      </w:r>
      <w:r w:rsidR="000476F9">
        <w:t xml:space="preserve"> </w:t>
      </w:r>
      <w:r w:rsidR="0091164E">
        <w:t>pandemic</w:t>
      </w:r>
      <w:r w:rsidR="00521103" w:rsidRPr="5547ACB8">
        <w:rPr>
          <w:vertAlign w:val="superscript"/>
        </w:rPr>
        <w:t>7</w:t>
      </w:r>
      <w:r w:rsidR="0091164E">
        <w:t>,</w:t>
      </w:r>
      <w:r w:rsidR="000476F9">
        <w:t xml:space="preserve"> </w:t>
      </w:r>
      <w:r w:rsidR="0091164E">
        <w:t>suggesting</w:t>
      </w:r>
      <w:r w:rsidR="00DC5810">
        <w:t xml:space="preserve"> </w:t>
      </w:r>
      <w:r w:rsidR="0091164E">
        <w:t>its</w:t>
      </w:r>
      <w:r w:rsidR="00DC5810">
        <w:t xml:space="preserve"> </w:t>
      </w:r>
      <w:r w:rsidR="005671C0">
        <w:t xml:space="preserve">effect </w:t>
      </w:r>
      <w:r w:rsidR="0091164E">
        <w:t xml:space="preserve">varied </w:t>
      </w:r>
      <w:r w:rsidR="005671C0">
        <w:t>over time.</w:t>
      </w:r>
      <w:r>
        <w:t xml:space="preserve"> </w:t>
      </w:r>
      <w:r w:rsidR="009B4543">
        <w:t>M</w:t>
      </w:r>
      <w:r w:rsidR="00703611">
        <w:t>ost of</w:t>
      </w:r>
      <w:r w:rsidR="0091164E">
        <w:t xml:space="preserve"> the studies published </w:t>
      </w:r>
      <w:r w:rsidR="00BE6AEF">
        <w:t xml:space="preserve">to date </w:t>
      </w:r>
      <w:r w:rsidR="0091164E">
        <w:t xml:space="preserve">only include data up to early 2021. </w:t>
      </w:r>
      <w:r w:rsidR="003E1DBD">
        <w:t>I</w:t>
      </w:r>
      <w:r w:rsidR="00A245F6">
        <w:t>ndicators of dynamic changes</w:t>
      </w:r>
      <w:r w:rsidR="00BE6AEF">
        <w:t xml:space="preserve"> </w:t>
      </w:r>
      <w:r w:rsidR="00A245F6">
        <w:t>in outcomes</w:t>
      </w:r>
      <w:r w:rsidR="006D0268">
        <w:t xml:space="preserve"> warrant the</w:t>
      </w:r>
      <w:r w:rsidR="000476F9">
        <w:t xml:space="preserve"> </w:t>
      </w:r>
      <w:r w:rsidR="0091164E">
        <w:t xml:space="preserve">analysis of </w:t>
      </w:r>
      <w:r w:rsidR="000476F9">
        <w:t>longitudinal trajectories</w:t>
      </w:r>
      <w:r w:rsidR="00BE6AEF">
        <w:t xml:space="preserve"> and longer-term effects</w:t>
      </w:r>
      <w:r w:rsidR="0091164E">
        <w:t xml:space="preserve">, especially in </w:t>
      </w:r>
      <w:r w:rsidR="000476F9">
        <w:t xml:space="preserve">vulnerable </w:t>
      </w:r>
      <w:r w:rsidR="00087732">
        <w:t>children and young people</w:t>
      </w:r>
      <w:r w:rsidR="000476F9">
        <w:t xml:space="preserve">. </w:t>
      </w:r>
      <w:r>
        <w:t xml:space="preserve">A wider perspective is needed to follow-up on the important but still preliminary </w:t>
      </w:r>
      <w:r w:rsidR="00D6446F">
        <w:t>Covid literature</w:t>
      </w:r>
      <w:r>
        <w:t>.</w:t>
      </w:r>
    </w:p>
    <w:p w14:paraId="47DE1C10" w14:textId="134C586F" w:rsidR="009328C4" w:rsidRPr="00D8539F" w:rsidRDefault="009328C4" w:rsidP="009328C4">
      <w:pPr>
        <w:rPr>
          <w:b/>
          <w:bCs/>
        </w:rPr>
      </w:pPr>
      <w:r w:rsidRPr="00D8539F">
        <w:rPr>
          <w:b/>
          <w:bCs/>
        </w:rPr>
        <w:t>Voices of young people</w:t>
      </w:r>
      <w:r w:rsidR="0039156E" w:rsidRPr="00D8539F">
        <w:rPr>
          <w:b/>
          <w:bCs/>
        </w:rPr>
        <w:t xml:space="preserve"> and</w:t>
      </w:r>
      <w:r w:rsidRPr="00D8539F">
        <w:rPr>
          <w:b/>
          <w:bCs/>
        </w:rPr>
        <w:t xml:space="preserve"> service users with lived experience.</w:t>
      </w:r>
    </w:p>
    <w:p w14:paraId="47DE3165" w14:textId="0470C274" w:rsidR="00C34228" w:rsidRPr="00D8539F" w:rsidRDefault="00A601B2" w:rsidP="009328C4">
      <w:r w:rsidRPr="00D8539F">
        <w:t xml:space="preserve">Sustaining a research strategy that poses the right research questions requires patient and public engagement. Gaining insights from young people and their caregivers on what has helped or hindered their mental health is fundamental to ongoing Covid research as there is a limited evidence base to draw from. </w:t>
      </w:r>
      <w:r w:rsidR="003C5C0E" w:rsidRPr="003C5C0E">
        <w:t xml:space="preserve">To generate hypotheses and future directions in the field about how Covid-related factors affected young people's stress and mental health over time, we had </w:t>
      </w:r>
      <w:r w:rsidR="003C5C0E">
        <w:t xml:space="preserve">informal </w:t>
      </w:r>
      <w:r w:rsidR="003C5C0E" w:rsidRPr="003C5C0E">
        <w:t>discussions with several existing adolescent service user and caregiver advisory groups in South London. We asked them what factors were important to their mental health during Covid and what topics researchers should prioritise going forward. Several insights were identified (Fig. 1):</w:t>
      </w:r>
    </w:p>
    <w:p w14:paraId="1FE7CE22" w14:textId="05AEE865" w:rsidR="00C20B5D" w:rsidRPr="00D8539F" w:rsidRDefault="00C20B5D" w:rsidP="009328C4">
      <w:r w:rsidRPr="00412F35">
        <w:rPr>
          <w:u w:val="single"/>
        </w:rPr>
        <w:t>Uncertainty</w:t>
      </w:r>
      <w:r w:rsidR="00E00C2F" w:rsidRPr="00412F35">
        <w:rPr>
          <w:u w:val="single"/>
        </w:rPr>
        <w:t>.</w:t>
      </w:r>
      <w:r w:rsidR="00E00C2F" w:rsidRPr="00D8539F">
        <w:rPr>
          <w:b/>
          <w:bCs/>
        </w:rPr>
        <w:t xml:space="preserve"> </w:t>
      </w:r>
      <w:r w:rsidR="00AF70E1" w:rsidRPr="00D8539F">
        <w:t>Young people</w:t>
      </w:r>
      <w:r w:rsidR="000425C4" w:rsidRPr="00D8539F">
        <w:t xml:space="preserve"> highlighted that uncertainty about </w:t>
      </w:r>
      <w:r w:rsidR="00536887" w:rsidRPr="00D8539F">
        <w:t>their daily life, including educatio</w:t>
      </w:r>
      <w:r w:rsidR="00DE3835" w:rsidRPr="00D8539F">
        <w:t>n and social connections, and their foreseeable future were</w:t>
      </w:r>
      <w:r w:rsidR="00E131BF" w:rsidRPr="00D8539F">
        <w:t xml:space="preserve"> huge stressors impact</w:t>
      </w:r>
      <w:r w:rsidR="00BE5DE7" w:rsidRPr="00D8539F">
        <w:t>ing</w:t>
      </w:r>
      <w:r w:rsidR="00E131BF" w:rsidRPr="00D8539F">
        <w:t xml:space="preserve"> </w:t>
      </w:r>
      <w:r w:rsidR="00CB1B2C" w:rsidRPr="00D8539F">
        <w:t xml:space="preserve">on </w:t>
      </w:r>
      <w:r w:rsidR="00E131BF" w:rsidRPr="00D8539F">
        <w:t xml:space="preserve">their mental health. </w:t>
      </w:r>
      <w:r w:rsidR="00CB1B2C" w:rsidRPr="00D8539F">
        <w:t>Stability</w:t>
      </w:r>
      <w:r w:rsidR="00BE5DE7" w:rsidRPr="00D8539F">
        <w:t>, predictability</w:t>
      </w:r>
      <w:r w:rsidR="0098436F">
        <w:t>,</w:t>
      </w:r>
      <w:r w:rsidR="00CB1B2C" w:rsidRPr="00D8539F">
        <w:t xml:space="preserve"> and re</w:t>
      </w:r>
      <w:r w:rsidR="00E131BF" w:rsidRPr="00D8539F">
        <w:t>assurance</w:t>
      </w:r>
      <w:r w:rsidR="003D7543" w:rsidRPr="00D8539F">
        <w:t xml:space="preserve"> were </w:t>
      </w:r>
      <w:r w:rsidR="00CB1B2C" w:rsidRPr="00D8539F">
        <w:t>identified as</w:t>
      </w:r>
      <w:r w:rsidR="003D7543" w:rsidRPr="00D8539F">
        <w:t xml:space="preserve"> </w:t>
      </w:r>
      <w:r w:rsidR="00CB32D0" w:rsidRPr="00D8539F">
        <w:t>core</w:t>
      </w:r>
      <w:r w:rsidR="003D7543" w:rsidRPr="00D8539F">
        <w:t xml:space="preserve"> </w:t>
      </w:r>
      <w:r w:rsidR="00CB1B2C" w:rsidRPr="00D8539F">
        <w:t>needs</w:t>
      </w:r>
      <w:r w:rsidR="00155C4C" w:rsidRPr="00D8539F">
        <w:t>.</w:t>
      </w:r>
    </w:p>
    <w:p w14:paraId="5357AD14" w14:textId="3F8D05F0" w:rsidR="00155C4C" w:rsidRPr="00D8539F" w:rsidRDefault="00155C4C" w:rsidP="009328C4">
      <w:r w:rsidRPr="00412F35">
        <w:rPr>
          <w:u w:val="single"/>
        </w:rPr>
        <w:t>Relationships.</w:t>
      </w:r>
      <w:r w:rsidRPr="00D8539F">
        <w:rPr>
          <w:b/>
          <w:bCs/>
        </w:rPr>
        <w:t xml:space="preserve"> </w:t>
      </w:r>
      <w:r w:rsidR="00CB1B2C" w:rsidRPr="00D8539F">
        <w:t xml:space="preserve">Most young people consider </w:t>
      </w:r>
      <w:r w:rsidR="00CB32D0" w:rsidRPr="00D8539F">
        <w:t>friendships as the main source of support</w:t>
      </w:r>
      <w:r w:rsidR="00AC442D" w:rsidRPr="00D8539F">
        <w:t xml:space="preserve"> and, </w:t>
      </w:r>
      <w:r w:rsidR="00CB32D0" w:rsidRPr="00D8539F">
        <w:t xml:space="preserve">whereby contact was facilitated at school, they were unable to </w:t>
      </w:r>
      <w:r w:rsidR="00AC442D" w:rsidRPr="00D8539F">
        <w:t>access this</w:t>
      </w:r>
      <w:r w:rsidR="00CB32D0" w:rsidRPr="00D8539F">
        <w:t xml:space="preserve"> support in the early peak</w:t>
      </w:r>
      <w:r w:rsidR="00AC442D" w:rsidRPr="00D8539F">
        <w:t xml:space="preserve"> </w:t>
      </w:r>
      <w:r w:rsidR="00CB32D0" w:rsidRPr="00D8539F">
        <w:t xml:space="preserve">of </w:t>
      </w:r>
      <w:r w:rsidR="00AC442D" w:rsidRPr="00D8539F">
        <w:t>the pandemic</w:t>
      </w:r>
      <w:r w:rsidR="00CB32D0" w:rsidRPr="00D8539F">
        <w:t xml:space="preserve">. </w:t>
      </w:r>
      <w:r w:rsidR="00787117" w:rsidRPr="00D8539F">
        <w:t xml:space="preserve">Returning to school in </w:t>
      </w:r>
      <w:r w:rsidR="00AC442D" w:rsidRPr="00D8539F">
        <w:t xml:space="preserve">small groups, or </w:t>
      </w:r>
      <w:r w:rsidR="00787117" w:rsidRPr="00D8539F">
        <w:t>‘bubbles’</w:t>
      </w:r>
      <w:r w:rsidR="00AC442D" w:rsidRPr="00D8539F">
        <w:t xml:space="preserve">, </w:t>
      </w:r>
      <w:r w:rsidR="00787117" w:rsidRPr="00D8539F">
        <w:t xml:space="preserve">and </w:t>
      </w:r>
      <w:r w:rsidR="00AC442D" w:rsidRPr="00D8539F">
        <w:t xml:space="preserve">having </w:t>
      </w:r>
      <w:r w:rsidR="00787117" w:rsidRPr="00D8539F">
        <w:t xml:space="preserve">staggered timetables </w:t>
      </w:r>
      <w:r w:rsidR="00F824B1" w:rsidRPr="00D8539F">
        <w:t xml:space="preserve">that didn’t account for friendship groups </w:t>
      </w:r>
      <w:r w:rsidR="00AC442D" w:rsidRPr="00D8539F">
        <w:t xml:space="preserve">further </w:t>
      </w:r>
      <w:r w:rsidR="00787117" w:rsidRPr="00D8539F">
        <w:t xml:space="preserve">deprived them </w:t>
      </w:r>
      <w:r w:rsidR="00F824B1" w:rsidRPr="00D8539F">
        <w:t xml:space="preserve">of </w:t>
      </w:r>
      <w:r w:rsidR="00787117" w:rsidRPr="00D8539F">
        <w:t xml:space="preserve">social support. </w:t>
      </w:r>
      <w:r w:rsidR="00A308C5" w:rsidRPr="00D8539F">
        <w:t xml:space="preserve">When they formed </w:t>
      </w:r>
      <w:r w:rsidR="0026664B" w:rsidRPr="00D8539F">
        <w:t xml:space="preserve">groups </w:t>
      </w:r>
      <w:r w:rsidR="00B80430" w:rsidRPr="00D8539F">
        <w:t>during Covid</w:t>
      </w:r>
      <w:r w:rsidR="00980CBA" w:rsidRPr="00D8539F">
        <w:t xml:space="preserve"> </w:t>
      </w:r>
      <w:r w:rsidR="00B80430" w:rsidRPr="00D8539F">
        <w:t>restricted socialising</w:t>
      </w:r>
      <w:r w:rsidR="00A308C5" w:rsidRPr="00D8539F">
        <w:t>,</w:t>
      </w:r>
      <w:r w:rsidR="00B80430" w:rsidRPr="00D8539F">
        <w:t xml:space="preserve"> </w:t>
      </w:r>
      <w:r w:rsidR="00A308C5" w:rsidRPr="00D8539F">
        <w:t xml:space="preserve">they found that </w:t>
      </w:r>
      <w:r w:rsidR="0008241E" w:rsidRPr="00D8539F">
        <w:t>the</w:t>
      </w:r>
      <w:r w:rsidR="00703611" w:rsidRPr="00D8539F">
        <w:t>y had fewer</w:t>
      </w:r>
      <w:r w:rsidR="0026664B" w:rsidRPr="00D8539F">
        <w:t xml:space="preserve"> </w:t>
      </w:r>
      <w:r w:rsidR="000863A4" w:rsidRPr="00D8539F">
        <w:t>friend</w:t>
      </w:r>
      <w:r w:rsidR="00A308C5" w:rsidRPr="00D8539F">
        <w:t xml:space="preserve">s </w:t>
      </w:r>
      <w:r w:rsidR="0008241E" w:rsidRPr="00D8539F">
        <w:t xml:space="preserve">and </w:t>
      </w:r>
      <w:r w:rsidR="00A308C5" w:rsidRPr="00D8539F">
        <w:t>experienced more</w:t>
      </w:r>
      <w:r w:rsidR="0026664B" w:rsidRPr="00D8539F">
        <w:t xml:space="preserve"> bullying. </w:t>
      </w:r>
      <w:r w:rsidR="0008241E" w:rsidRPr="00D8539F">
        <w:t xml:space="preserve">Restriction of in-person social </w:t>
      </w:r>
      <w:r w:rsidR="00C17A44" w:rsidRPr="00D8539F">
        <w:t xml:space="preserve">contact reduced confidence in socialising when it </w:t>
      </w:r>
      <w:r w:rsidR="0008241E" w:rsidRPr="00D8539F">
        <w:t xml:space="preserve">became </w:t>
      </w:r>
      <w:r w:rsidR="00C17A44" w:rsidRPr="00D8539F">
        <w:t xml:space="preserve">possible. </w:t>
      </w:r>
      <w:r w:rsidR="00AC319F" w:rsidRPr="00D8539F">
        <w:t xml:space="preserve">Family relationships </w:t>
      </w:r>
      <w:r w:rsidR="00BE5DE7" w:rsidRPr="00D8539F">
        <w:t xml:space="preserve">could </w:t>
      </w:r>
      <w:r w:rsidR="0008241E" w:rsidRPr="00D8539F">
        <w:t xml:space="preserve">also </w:t>
      </w:r>
      <w:r w:rsidR="00BE5DE7" w:rsidRPr="00D8539F">
        <w:t xml:space="preserve">be </w:t>
      </w:r>
      <w:r w:rsidR="0008241E" w:rsidRPr="00D8539F">
        <w:t>a stressor,</w:t>
      </w:r>
      <w:r w:rsidR="00AC319F" w:rsidRPr="00D8539F">
        <w:t xml:space="preserve"> with increased </w:t>
      </w:r>
      <w:r w:rsidR="00E23496" w:rsidRPr="00D8539F">
        <w:t xml:space="preserve">conflict within nuclear </w:t>
      </w:r>
      <w:r w:rsidR="0008241E" w:rsidRPr="00D8539F">
        <w:t xml:space="preserve">families and loss of intimacy with extended </w:t>
      </w:r>
      <w:r w:rsidR="00D41502" w:rsidRPr="00D8539F">
        <w:t xml:space="preserve">family members. </w:t>
      </w:r>
    </w:p>
    <w:p w14:paraId="0FFA6010" w14:textId="0EE4240B" w:rsidR="00C446D5" w:rsidRPr="00D8539F" w:rsidRDefault="00C446D5" w:rsidP="009328C4">
      <w:r w:rsidRPr="00412F35">
        <w:rPr>
          <w:u w:val="single"/>
        </w:rPr>
        <w:lastRenderedPageBreak/>
        <w:t>Education.</w:t>
      </w:r>
      <w:r w:rsidRPr="00D8539F">
        <w:rPr>
          <w:b/>
          <w:bCs/>
        </w:rPr>
        <w:t xml:space="preserve"> </w:t>
      </w:r>
      <w:r w:rsidR="009E38B8" w:rsidRPr="00412F35">
        <w:t>Young people experienced less en</w:t>
      </w:r>
      <w:r w:rsidR="009E38B8" w:rsidRPr="00D8539F">
        <w:t>joy</w:t>
      </w:r>
      <w:r w:rsidR="009E38B8" w:rsidRPr="00412F35">
        <w:t>ment in education</w:t>
      </w:r>
      <w:r w:rsidR="009E38B8" w:rsidRPr="00D8539F">
        <w:t>.</w:t>
      </w:r>
      <w:r w:rsidR="009E38B8" w:rsidRPr="00D8539F">
        <w:rPr>
          <w:b/>
          <w:bCs/>
        </w:rPr>
        <w:t xml:space="preserve"> </w:t>
      </w:r>
      <w:r w:rsidR="009E38B8" w:rsidRPr="00412F35">
        <w:t>While</w:t>
      </w:r>
      <w:r w:rsidR="009E38B8" w:rsidRPr="00D8539F">
        <w:rPr>
          <w:b/>
          <w:bCs/>
        </w:rPr>
        <w:t xml:space="preserve"> </w:t>
      </w:r>
      <w:r w:rsidR="009E38B8" w:rsidRPr="00D8539F">
        <w:t>o</w:t>
      </w:r>
      <w:r w:rsidR="00195BA1" w:rsidRPr="00D8539F">
        <w:t xml:space="preserve">nline learning </w:t>
      </w:r>
      <w:r w:rsidR="00E06404" w:rsidRPr="00D8539F">
        <w:t xml:space="preserve">provided </w:t>
      </w:r>
      <w:r w:rsidR="00A308C5" w:rsidRPr="00D8539F">
        <w:t xml:space="preserve">them with </w:t>
      </w:r>
      <w:r w:rsidR="00D503E0" w:rsidRPr="00D8539F">
        <w:t>the unique</w:t>
      </w:r>
      <w:r w:rsidR="00E06404" w:rsidRPr="00D8539F">
        <w:t xml:space="preserve"> opportuni</w:t>
      </w:r>
      <w:r w:rsidR="009E38B8" w:rsidRPr="00D8539F">
        <w:t>ties</w:t>
      </w:r>
      <w:r w:rsidR="00E06404" w:rsidRPr="00D8539F">
        <w:t xml:space="preserve"> to be</w:t>
      </w:r>
      <w:r w:rsidR="00D503E0" w:rsidRPr="00D8539F">
        <w:t xml:space="preserve"> flexible and</w:t>
      </w:r>
      <w:r w:rsidR="00E06404" w:rsidRPr="00D8539F">
        <w:t xml:space="preserve"> independent in learning</w:t>
      </w:r>
      <w:r w:rsidR="00D503E0" w:rsidRPr="00D8539F">
        <w:t xml:space="preserve">, it </w:t>
      </w:r>
      <w:r w:rsidR="00AE6B19" w:rsidRPr="00D8539F">
        <w:t>exacerbated difficul</w:t>
      </w:r>
      <w:r w:rsidR="008C1E0C" w:rsidRPr="00D8539F">
        <w:t>ties</w:t>
      </w:r>
      <w:r w:rsidR="00AE6B19" w:rsidRPr="00D8539F">
        <w:t xml:space="preserve"> with focus</w:t>
      </w:r>
      <w:r w:rsidR="00482EE2" w:rsidRPr="00D8539F">
        <w:t xml:space="preserve">, </w:t>
      </w:r>
      <w:r w:rsidR="00AE6B19" w:rsidRPr="00D8539F">
        <w:t>self-motivation</w:t>
      </w:r>
      <w:r w:rsidR="00482EE2" w:rsidRPr="00D8539F">
        <w:t>, and engagement</w:t>
      </w:r>
      <w:r w:rsidR="00AE6B19" w:rsidRPr="00D8539F">
        <w:t xml:space="preserve">. </w:t>
      </w:r>
      <w:r w:rsidR="00660BBA" w:rsidRPr="00D8539F">
        <w:t xml:space="preserve">School policies, such as sanctions for students if cameras were not </w:t>
      </w:r>
      <w:r w:rsidR="00E4239C" w:rsidRPr="00D8539F">
        <w:t>turned</w:t>
      </w:r>
      <w:r w:rsidR="00E4239C">
        <w:t xml:space="preserve"> </w:t>
      </w:r>
      <w:r w:rsidR="00E4239C" w:rsidRPr="00D8539F">
        <w:t>on</w:t>
      </w:r>
      <w:r w:rsidR="00660BBA" w:rsidRPr="00D8539F">
        <w:t xml:space="preserve"> </w:t>
      </w:r>
      <w:r w:rsidR="00A308C5" w:rsidRPr="00D8539F">
        <w:t xml:space="preserve">during </w:t>
      </w:r>
      <w:r w:rsidR="00660BBA" w:rsidRPr="00D8539F">
        <w:t>cl</w:t>
      </w:r>
      <w:r w:rsidR="00271E47" w:rsidRPr="00D8539F">
        <w:t xml:space="preserve">ass, exerted </w:t>
      </w:r>
      <w:r w:rsidR="008C1E0C" w:rsidRPr="00D8539F">
        <w:t xml:space="preserve">undue </w:t>
      </w:r>
      <w:r w:rsidR="00271E47" w:rsidRPr="00D8539F">
        <w:t>pressure and stress</w:t>
      </w:r>
      <w:r w:rsidR="00A308C5" w:rsidRPr="00D8539F">
        <w:t xml:space="preserve">, especially for </w:t>
      </w:r>
      <w:r w:rsidR="00263E29" w:rsidRPr="00D8539F">
        <w:t>those with reduced digital access</w:t>
      </w:r>
      <w:r w:rsidR="005E0333" w:rsidRPr="00D8539F">
        <w:t xml:space="preserve"> (e.g., </w:t>
      </w:r>
      <w:r w:rsidR="00263E29" w:rsidRPr="00D8539F">
        <w:t>weak Wi-Fi</w:t>
      </w:r>
      <w:r w:rsidR="005E0333" w:rsidRPr="00D8539F">
        <w:t>)</w:t>
      </w:r>
      <w:r w:rsidR="00263E29" w:rsidRPr="00D8539F">
        <w:t>.</w:t>
      </w:r>
      <w:r w:rsidR="00271E47" w:rsidRPr="00D8539F">
        <w:t xml:space="preserve"> </w:t>
      </w:r>
      <w:r w:rsidR="00AE6B19" w:rsidRPr="00D8539F">
        <w:t xml:space="preserve">Those with special education needs (SEN) </w:t>
      </w:r>
      <w:r w:rsidR="002F5BD1" w:rsidRPr="00D8539F">
        <w:t>were disproportionately affected</w:t>
      </w:r>
      <w:r w:rsidR="00A2673F" w:rsidRPr="00D8539F">
        <w:t>,</w:t>
      </w:r>
      <w:r w:rsidR="002F5BD1" w:rsidRPr="00D8539F">
        <w:t xml:space="preserve"> as online learning support was insufficient. </w:t>
      </w:r>
      <w:r w:rsidR="00427513" w:rsidRPr="00D8539F">
        <w:t>Conversely, i</w:t>
      </w:r>
      <w:r w:rsidR="00142817" w:rsidRPr="00D8539F">
        <w:t xml:space="preserve">n-person schooling was </w:t>
      </w:r>
      <w:r w:rsidR="00626965" w:rsidRPr="00D8539F">
        <w:t xml:space="preserve">anxiety-inducing for some young people </w:t>
      </w:r>
      <w:r w:rsidR="00DE6D5D" w:rsidRPr="00D8539F">
        <w:t>because of relaxed restrictions (</w:t>
      </w:r>
      <w:r w:rsidR="00263E29" w:rsidRPr="00D8539F">
        <w:t>e.g.,</w:t>
      </w:r>
      <w:r w:rsidR="00BC1E5C" w:rsidRPr="00D8539F">
        <w:t xml:space="preserve"> optional mask-wearing</w:t>
      </w:r>
      <w:r w:rsidR="00066203" w:rsidRPr="00D8539F">
        <w:t>)</w:t>
      </w:r>
      <w:r w:rsidR="00DE6D5D" w:rsidRPr="00D8539F">
        <w:t xml:space="preserve">. </w:t>
      </w:r>
    </w:p>
    <w:p w14:paraId="50880195" w14:textId="55797C2C" w:rsidR="00C17A44" w:rsidRPr="00D8539F" w:rsidRDefault="00B23468" w:rsidP="009328C4">
      <w:r w:rsidRPr="00412F35">
        <w:rPr>
          <w:u w:val="single"/>
        </w:rPr>
        <w:t>Pre-existing mental health.</w:t>
      </w:r>
      <w:r w:rsidRPr="00D8539F">
        <w:t xml:space="preserve"> </w:t>
      </w:r>
      <w:r w:rsidR="00E155C6" w:rsidRPr="00D8539F">
        <w:t>The inter</w:t>
      </w:r>
      <w:r w:rsidR="00E04619" w:rsidRPr="00D8539F">
        <w:t>play</w:t>
      </w:r>
      <w:r w:rsidR="00E155C6" w:rsidRPr="00D8539F">
        <w:t xml:space="preserve"> between Covid and pre-existing mental health problems </w:t>
      </w:r>
      <w:r w:rsidR="00812045" w:rsidRPr="00D8539F">
        <w:t xml:space="preserve">varied. For example, </w:t>
      </w:r>
      <w:r w:rsidR="00BC1E5C" w:rsidRPr="00D8539F">
        <w:t xml:space="preserve">young people reflected how </w:t>
      </w:r>
      <w:r w:rsidR="00812045" w:rsidRPr="00D8539F">
        <w:t xml:space="preserve">social anxiety </w:t>
      </w:r>
      <w:r w:rsidR="00E04619" w:rsidRPr="00D8539F">
        <w:t xml:space="preserve">lessened </w:t>
      </w:r>
      <w:r w:rsidR="00812045" w:rsidRPr="00D8539F">
        <w:t xml:space="preserve">initially </w:t>
      </w:r>
      <w:r w:rsidR="00E04619" w:rsidRPr="00D8539F">
        <w:t xml:space="preserve">in </w:t>
      </w:r>
      <w:r w:rsidR="00812045" w:rsidRPr="00D8539F">
        <w:t xml:space="preserve">lockdown but deteriorated </w:t>
      </w:r>
      <w:r w:rsidR="00E04619" w:rsidRPr="00D8539F">
        <w:t>when restrictions were lifted</w:t>
      </w:r>
      <w:r w:rsidR="000968E7" w:rsidRPr="00D8539F">
        <w:t>, and d</w:t>
      </w:r>
      <w:r w:rsidR="00812045" w:rsidRPr="00D8539F">
        <w:t xml:space="preserve">epression worsened as the scope of activities reduced. </w:t>
      </w:r>
      <w:r w:rsidR="000968E7" w:rsidRPr="00D8539F">
        <w:t>E</w:t>
      </w:r>
      <w:r w:rsidR="00812045" w:rsidRPr="00D8539F">
        <w:t xml:space="preserve">xperiences </w:t>
      </w:r>
      <w:r w:rsidR="000968E7" w:rsidRPr="00D8539F">
        <w:t>were said to depend</w:t>
      </w:r>
      <w:r w:rsidR="00812045" w:rsidRPr="00D8539F">
        <w:t xml:space="preserve"> on factors such as age, </w:t>
      </w:r>
      <w:r w:rsidR="002407A3" w:rsidRPr="00D8539F">
        <w:t>race</w:t>
      </w:r>
      <w:r w:rsidR="00B85A03" w:rsidRPr="00D8539F">
        <w:t xml:space="preserve">, socioeconomic status, </w:t>
      </w:r>
      <w:r w:rsidR="00812045" w:rsidRPr="00D8539F">
        <w:t xml:space="preserve">coping strategies, and cultural differences. </w:t>
      </w:r>
    </w:p>
    <w:p w14:paraId="1C127D1D" w14:textId="239AC8B7" w:rsidR="00AF70E1" w:rsidRPr="00D8539F" w:rsidRDefault="00D213B9" w:rsidP="009328C4">
      <w:r w:rsidRPr="00412F35">
        <w:rPr>
          <w:u w:val="single"/>
        </w:rPr>
        <w:t>Physical health.</w:t>
      </w:r>
      <w:r w:rsidRPr="00D8539F">
        <w:rPr>
          <w:b/>
          <w:bCs/>
        </w:rPr>
        <w:t xml:space="preserve"> </w:t>
      </w:r>
      <w:r w:rsidRPr="00D8539F">
        <w:t xml:space="preserve">Those who had </w:t>
      </w:r>
      <w:r w:rsidR="00DC448A" w:rsidRPr="00D8539F">
        <w:t>long-term physical health conditions</w:t>
      </w:r>
      <w:r w:rsidR="00675645" w:rsidRPr="00D8539F">
        <w:t xml:space="preserve"> </w:t>
      </w:r>
      <w:r w:rsidR="00DB7C8D" w:rsidRPr="00D8539F">
        <w:t>were informed by the government that they were considered vulnerable</w:t>
      </w:r>
      <w:r w:rsidR="00D615B7" w:rsidRPr="00D8539F">
        <w:t xml:space="preserve">, which prevented them from </w:t>
      </w:r>
      <w:r w:rsidR="00B109E1" w:rsidRPr="00D8539F">
        <w:t xml:space="preserve">socialising and leveraging social support after restrictions eased. </w:t>
      </w:r>
      <w:r w:rsidR="00DB7C8D" w:rsidRPr="00D8539F">
        <w:t xml:space="preserve">Anxiety about their own safety pervaded their interactions. </w:t>
      </w:r>
    </w:p>
    <w:p w14:paraId="4FCDDBE6" w14:textId="3A773E32" w:rsidR="00675645" w:rsidRPr="00D8539F" w:rsidRDefault="007A02C8" w:rsidP="009328C4">
      <w:r w:rsidRPr="00412F35">
        <w:rPr>
          <w:u w:val="single"/>
        </w:rPr>
        <w:t>Health services.</w:t>
      </w:r>
      <w:r w:rsidR="00DD6AB3" w:rsidRPr="00D8539F">
        <w:rPr>
          <w:b/>
          <w:bCs/>
        </w:rPr>
        <w:t xml:space="preserve"> </w:t>
      </w:r>
      <w:r w:rsidR="00D1033A" w:rsidRPr="00D8539F">
        <w:t>Long w</w:t>
      </w:r>
      <w:r w:rsidR="00DD6AB3" w:rsidRPr="00D8539F">
        <w:t xml:space="preserve">aiting lists for services exacerbated physical and mental </w:t>
      </w:r>
      <w:r w:rsidR="00083900" w:rsidRPr="00D8539F">
        <w:t>health problems</w:t>
      </w:r>
      <w:r w:rsidR="00D1033A" w:rsidRPr="00D8539F">
        <w:t xml:space="preserve">, even for those prioritised. </w:t>
      </w:r>
      <w:r w:rsidR="0033205E" w:rsidRPr="00D8539F">
        <w:t>Telemental health care</w:t>
      </w:r>
      <w:r w:rsidR="00D806E1" w:rsidRPr="00D8539F">
        <w:t xml:space="preserve"> </w:t>
      </w:r>
      <w:r w:rsidR="00F617D1" w:rsidRPr="00D8539F">
        <w:t xml:space="preserve">brought frustrating barriers to the development of rapport and </w:t>
      </w:r>
      <w:r w:rsidR="0033205E" w:rsidRPr="00D8539F">
        <w:t xml:space="preserve">therapeutic relationships, but </w:t>
      </w:r>
      <w:r w:rsidR="002E0705" w:rsidRPr="00D8539F">
        <w:t>promoted a sense of safety as young people could be seen at home.</w:t>
      </w:r>
      <w:r w:rsidR="00A77540" w:rsidRPr="00D8539F">
        <w:t xml:space="preserve"> Available service provision was perceived as </w:t>
      </w:r>
      <w:r w:rsidR="00A2613F" w:rsidRPr="00D8539F">
        <w:t xml:space="preserve">varied across geographical areas and services. </w:t>
      </w:r>
      <w:r w:rsidR="002E0705" w:rsidRPr="00D8539F">
        <w:t xml:space="preserve">Young people transitioning to adult services </w:t>
      </w:r>
      <w:r w:rsidR="00E10F49" w:rsidRPr="00D8539F">
        <w:t xml:space="preserve">expressed </w:t>
      </w:r>
      <w:r w:rsidR="00427513" w:rsidRPr="00D8539F">
        <w:t xml:space="preserve">challenges with </w:t>
      </w:r>
      <w:r w:rsidR="00E10F49" w:rsidRPr="00D8539F">
        <w:t>hav</w:t>
      </w:r>
      <w:r w:rsidR="00427513" w:rsidRPr="00D8539F">
        <w:t xml:space="preserve">ing </w:t>
      </w:r>
      <w:r w:rsidR="00E10F49" w:rsidRPr="00D8539F">
        <w:t xml:space="preserve">their voices heard. </w:t>
      </w:r>
      <w:r w:rsidR="00A2673F" w:rsidRPr="00D8539F">
        <w:t xml:space="preserve">Young people presenting with mental health concerns felt </w:t>
      </w:r>
      <w:r w:rsidR="00432D66" w:rsidRPr="00D8539F">
        <w:t xml:space="preserve">like a burden </w:t>
      </w:r>
      <w:r w:rsidR="00A2673F" w:rsidRPr="00D8539F">
        <w:t>to</w:t>
      </w:r>
      <w:r w:rsidR="00432D66" w:rsidRPr="00D8539F">
        <w:t xml:space="preserve"> services</w:t>
      </w:r>
      <w:r w:rsidR="00A2673F" w:rsidRPr="00D8539F">
        <w:t>, which</w:t>
      </w:r>
      <w:r w:rsidR="00432D66" w:rsidRPr="00D8539F">
        <w:t xml:space="preserve"> were </w:t>
      </w:r>
      <w:r w:rsidR="00FA2A53" w:rsidRPr="00D8539F">
        <w:t xml:space="preserve">focused on infection control. </w:t>
      </w:r>
      <w:r w:rsidR="00A2673F" w:rsidRPr="00D8539F">
        <w:t xml:space="preserve">Those hospitalised in Covid wards reported fear </w:t>
      </w:r>
      <w:r w:rsidR="008E7C9A" w:rsidRPr="00D8539F">
        <w:t xml:space="preserve">for their own safety. </w:t>
      </w:r>
      <w:r w:rsidR="00721B4E" w:rsidRPr="00D8539F">
        <w:t xml:space="preserve"> </w:t>
      </w:r>
    </w:p>
    <w:p w14:paraId="34C3EB7D" w14:textId="68FB4470" w:rsidR="008E7C9A" w:rsidRPr="00D8539F" w:rsidRDefault="008E7C9A" w:rsidP="009328C4">
      <w:r w:rsidRPr="00412F35">
        <w:rPr>
          <w:u w:val="single"/>
        </w:rPr>
        <w:t>Social media.</w:t>
      </w:r>
      <w:r w:rsidRPr="00D8539F">
        <w:rPr>
          <w:b/>
          <w:bCs/>
        </w:rPr>
        <w:t xml:space="preserve"> </w:t>
      </w:r>
      <w:r w:rsidR="001F3375" w:rsidRPr="00D8539F">
        <w:t>Bombardment of information about the worsening of the pandemic was emotionally exhausting and anxiety-inducing for young people</w:t>
      </w:r>
      <w:r w:rsidR="00D134E9" w:rsidRPr="00D8539F">
        <w:t xml:space="preserve">, </w:t>
      </w:r>
      <w:r w:rsidR="00036261" w:rsidRPr="00D8539F">
        <w:t xml:space="preserve">and some used </w:t>
      </w:r>
      <w:r w:rsidR="00D134E9" w:rsidRPr="00D8539F">
        <w:t xml:space="preserve">active strategies to block out news to protect their mental health. Social media </w:t>
      </w:r>
      <w:r w:rsidR="00A2626A" w:rsidRPr="00D8539F">
        <w:t>facilitated some social contact (e.g., House</w:t>
      </w:r>
      <w:r w:rsidR="00DC0C43" w:rsidRPr="00D8539F">
        <w:t>party</w:t>
      </w:r>
      <w:r w:rsidR="00541D5B" w:rsidRPr="00D8539F">
        <w:t xml:space="preserve"> application</w:t>
      </w:r>
      <w:r w:rsidR="00DC0C43" w:rsidRPr="00D8539F">
        <w:t>)</w:t>
      </w:r>
      <w:r w:rsidR="00C27D7E" w:rsidRPr="00D8539F">
        <w:t xml:space="preserve"> and coping from stress (e.g., video games). </w:t>
      </w:r>
    </w:p>
    <w:p w14:paraId="1A4D134C" w14:textId="7FCAD5E7" w:rsidR="009F098A" w:rsidRPr="00D8539F" w:rsidRDefault="00E4239C" w:rsidP="009328C4">
      <w:r>
        <w:rPr>
          <w:u w:val="single"/>
        </w:rPr>
        <w:t>Weariness</w:t>
      </w:r>
      <w:r w:rsidR="00A2613F" w:rsidRPr="00412F35">
        <w:rPr>
          <w:u w:val="single"/>
        </w:rPr>
        <w:t>.</w:t>
      </w:r>
      <w:r w:rsidR="00A2613F" w:rsidRPr="00D8539F">
        <w:rPr>
          <w:b/>
          <w:bCs/>
        </w:rPr>
        <w:t xml:space="preserve"> </w:t>
      </w:r>
      <w:r w:rsidR="00971898" w:rsidRPr="00D8539F">
        <w:t xml:space="preserve">Social discourse around mental health changed across time. Young people felt there were more tips and support for mental health </w:t>
      </w:r>
      <w:r w:rsidR="007717D2" w:rsidRPr="00D8539F">
        <w:t>and feelings of hope in the first lockdown, but this dwindled in the second lockdown due to fatigue</w:t>
      </w:r>
      <w:r w:rsidR="00313747" w:rsidRPr="00D8539F">
        <w:t xml:space="preserve"> and </w:t>
      </w:r>
      <w:r w:rsidR="007717D2" w:rsidRPr="00D8539F">
        <w:t xml:space="preserve">reduced momentum to engage with strategies for mental health. </w:t>
      </w:r>
    </w:p>
    <w:p w14:paraId="73EAF1AF" w14:textId="610ABF13" w:rsidR="009F098A" w:rsidRPr="00D8539F" w:rsidRDefault="00565A11" w:rsidP="009F7DFA">
      <w:pPr>
        <w:tabs>
          <w:tab w:val="left" w:pos="1545"/>
        </w:tabs>
      </w:pPr>
      <w:r w:rsidRPr="00412F35">
        <w:rPr>
          <w:u w:val="single"/>
        </w:rPr>
        <w:t>Research.</w:t>
      </w:r>
      <w:r w:rsidRPr="00D8539F">
        <w:rPr>
          <w:b/>
          <w:bCs/>
        </w:rPr>
        <w:t xml:space="preserve"> </w:t>
      </w:r>
      <w:r w:rsidR="00036261" w:rsidRPr="00412F35">
        <w:t>Young people supported</w:t>
      </w:r>
      <w:r w:rsidR="00036261" w:rsidRPr="00D8539F">
        <w:rPr>
          <w:b/>
          <w:bCs/>
        </w:rPr>
        <w:t xml:space="preserve"> </w:t>
      </w:r>
      <w:r w:rsidRPr="00D8539F">
        <w:t xml:space="preserve">the need for </w:t>
      </w:r>
      <w:r w:rsidR="00332BE1" w:rsidRPr="00D8539F">
        <w:t xml:space="preserve">harmonising data across health, educational, and social sources </w:t>
      </w:r>
      <w:r w:rsidR="00F67501" w:rsidRPr="00D8539F">
        <w:t xml:space="preserve">to best understand the holistic impact of Covid on children and young people’s mental health. Quantitative and qualitative methodologies were highlighted as </w:t>
      </w:r>
      <w:r w:rsidR="00C20DEA" w:rsidRPr="00D8539F">
        <w:t xml:space="preserve">equally </w:t>
      </w:r>
      <w:r w:rsidR="00F67501" w:rsidRPr="00D8539F">
        <w:t>valuable.</w:t>
      </w:r>
    </w:p>
    <w:p w14:paraId="677A9E02" w14:textId="77777777" w:rsidR="009328C4" w:rsidRPr="00D8539F" w:rsidRDefault="009328C4" w:rsidP="009328C4">
      <w:pPr>
        <w:rPr>
          <w:b/>
          <w:bCs/>
        </w:rPr>
      </w:pPr>
      <w:r w:rsidRPr="00D8539F">
        <w:rPr>
          <w:b/>
          <w:bCs/>
        </w:rPr>
        <w:t>What are the future research priorities?</w:t>
      </w:r>
    </w:p>
    <w:p w14:paraId="6510D347" w14:textId="60B531FD" w:rsidR="008C1702" w:rsidRPr="00D8539F" w:rsidRDefault="00695576" w:rsidP="006861B1">
      <w:r>
        <w:t xml:space="preserve">Investing in longitudinal research </w:t>
      </w:r>
      <w:r w:rsidR="00AB578A">
        <w:t>will utilise the opportunities that this unprecedented natural experiment introduced in understanding the effect of pandemic-related changes on child and adolescent mental health and development</w:t>
      </w:r>
      <w:r w:rsidR="00AB578A" w:rsidRPr="00D8539F">
        <w:rPr>
          <w:vertAlign w:val="superscript"/>
        </w:rPr>
        <w:t>8</w:t>
      </w:r>
      <w:r w:rsidR="00AB578A">
        <w:t xml:space="preserve">. </w:t>
      </w:r>
      <w:r w:rsidR="006B75CC" w:rsidRPr="00D8539F">
        <w:t>We</w:t>
      </w:r>
      <w:r w:rsidR="008C1702" w:rsidRPr="00D8539F">
        <w:t xml:space="preserve"> need </w:t>
      </w:r>
      <w:r w:rsidR="00271BB1" w:rsidRPr="00D8539F">
        <w:t xml:space="preserve">to identify the </w:t>
      </w:r>
      <w:r w:rsidR="008C1702" w:rsidRPr="00D8539F">
        <w:t xml:space="preserve">vulnerable groups, including </w:t>
      </w:r>
      <w:r w:rsidR="00AF291E" w:rsidRPr="00D8539F">
        <w:t>those</w:t>
      </w:r>
      <w:r w:rsidR="008C1702" w:rsidRPr="00D8539F">
        <w:t xml:space="preserve"> with pre-existing mental health conditions</w:t>
      </w:r>
      <w:r w:rsidR="00296E49" w:rsidRPr="00D8539F">
        <w:t xml:space="preserve">, </w:t>
      </w:r>
      <w:r w:rsidR="00271BB1" w:rsidRPr="00D8539F">
        <w:t>to develop more targeted interventions</w:t>
      </w:r>
      <w:r w:rsidR="00B517D4" w:rsidRPr="00D8539F">
        <w:t>.</w:t>
      </w:r>
      <w:r w:rsidR="00C20DEA" w:rsidRPr="00D8539F">
        <w:t xml:space="preserve"> Qualitative studies should complement epidemiological data to highlight potential mechanisms of change</w:t>
      </w:r>
      <w:r w:rsidR="00BE5F22" w:rsidRPr="00D8539F">
        <w:t xml:space="preserve"> in mental healt</w:t>
      </w:r>
      <w:r w:rsidR="00AF291E" w:rsidRPr="00D8539F">
        <w:t>h</w:t>
      </w:r>
      <w:r w:rsidR="00C20DEA" w:rsidRPr="00D8539F">
        <w:t xml:space="preserve">. </w:t>
      </w:r>
      <w:r w:rsidR="00591A05" w:rsidRPr="00D8539F">
        <w:t xml:space="preserve">High-quality data linkage studies </w:t>
      </w:r>
      <w:r w:rsidR="002D552A" w:rsidRPr="00D8539F">
        <w:t>may</w:t>
      </w:r>
      <w:r w:rsidR="00591A05" w:rsidRPr="00D8539F">
        <w:t xml:space="preserve"> broaden our understanding of the interacting and complex mental health landscape</w:t>
      </w:r>
      <w:r w:rsidR="00AC1D9E" w:rsidRPr="00D8539F">
        <w:t xml:space="preserve">. Harnessing the rich data </w:t>
      </w:r>
      <w:r w:rsidR="00556DBF" w:rsidRPr="00D8539F">
        <w:t xml:space="preserve">across domains </w:t>
      </w:r>
      <w:r w:rsidR="001F5F40" w:rsidRPr="00D8539F">
        <w:t xml:space="preserve">(e.g., electronic </w:t>
      </w:r>
      <w:r w:rsidR="001F5F40" w:rsidRPr="00D8539F">
        <w:lastRenderedPageBreak/>
        <w:t xml:space="preserve">patient records </w:t>
      </w:r>
      <w:r w:rsidR="00924B17" w:rsidRPr="00D8539F">
        <w:t>and school administrative data</w:t>
      </w:r>
      <w:r w:rsidR="001F5F40" w:rsidRPr="00D8539F">
        <w:t xml:space="preserve">) </w:t>
      </w:r>
      <w:r w:rsidR="00556DBF" w:rsidRPr="00D8539F">
        <w:t xml:space="preserve">will </w:t>
      </w:r>
      <w:r w:rsidR="00271BB1" w:rsidRPr="00D8539F">
        <w:t xml:space="preserve">provide </w:t>
      </w:r>
      <w:r w:rsidR="002D4DDC" w:rsidRPr="00D8539F">
        <w:t xml:space="preserve">a fuller picture of </w:t>
      </w:r>
      <w:r w:rsidR="008C1702" w:rsidRPr="00D8539F">
        <w:t xml:space="preserve">the </w:t>
      </w:r>
      <w:r w:rsidR="00F8458F" w:rsidRPr="00D8539F">
        <w:t>‘</w:t>
      </w:r>
      <w:r w:rsidR="008C1702" w:rsidRPr="00D8539F">
        <w:t>active ingredients</w:t>
      </w:r>
      <w:r w:rsidR="00F8458F" w:rsidRPr="00D8539F">
        <w:t>’</w:t>
      </w:r>
      <w:r w:rsidR="008C1702" w:rsidRPr="00D8539F">
        <w:t xml:space="preserve"> </w:t>
      </w:r>
      <w:r w:rsidR="00F8458F" w:rsidRPr="00D8539F">
        <w:t xml:space="preserve">contributing to </w:t>
      </w:r>
      <w:r w:rsidR="008C1702" w:rsidRPr="00D8539F">
        <w:t>mental health in the context of Covid</w:t>
      </w:r>
      <w:r w:rsidR="006861B1" w:rsidRPr="00D8539F">
        <w:t>.</w:t>
      </w:r>
    </w:p>
    <w:p w14:paraId="2C8FD700" w14:textId="1C39084A" w:rsidR="00EA210B" w:rsidRPr="00D8539F" w:rsidRDefault="00E97686" w:rsidP="009328C4">
      <w:r w:rsidRPr="00D8539F">
        <w:t>L</w:t>
      </w:r>
      <w:r w:rsidR="00EA210B" w:rsidRPr="00D8539F">
        <w:t xml:space="preserve">ong-term research </w:t>
      </w:r>
      <w:r w:rsidR="00F8458F" w:rsidRPr="00D8539F">
        <w:t>on Covid’s impact on</w:t>
      </w:r>
      <w:r w:rsidR="00266136" w:rsidRPr="00D8539F">
        <w:t xml:space="preserve"> children and young people’s mental health </w:t>
      </w:r>
      <w:r w:rsidR="00F8458F" w:rsidRPr="00D8539F">
        <w:t>is a</w:t>
      </w:r>
      <w:r w:rsidR="00CD0C6B" w:rsidRPr="00D8539F">
        <w:t>n utmost</w:t>
      </w:r>
      <w:r w:rsidR="00F8458F" w:rsidRPr="00D8539F">
        <w:t xml:space="preserve"> priority. It is </w:t>
      </w:r>
      <w:r w:rsidR="00266136" w:rsidRPr="00D8539F">
        <w:t>needed to enhance understanding and management of the current pandemic’s long-term</w:t>
      </w:r>
      <w:r w:rsidR="00AD74C1" w:rsidRPr="00D8539F">
        <w:t xml:space="preserve"> </w:t>
      </w:r>
      <w:r w:rsidR="00266136" w:rsidRPr="00D8539F">
        <w:t xml:space="preserve">consequences </w:t>
      </w:r>
      <w:r w:rsidR="00FB7899" w:rsidRPr="00D8539F">
        <w:t>on developmental and mental health outcomes</w:t>
      </w:r>
      <w:r w:rsidR="00DB1845" w:rsidRPr="00D8539F">
        <w:t xml:space="preserve"> and inform </w:t>
      </w:r>
      <w:r w:rsidR="002603C3" w:rsidRPr="00D8539F">
        <w:t>responses to future pandemics through resource planning and distribution of</w:t>
      </w:r>
      <w:r w:rsidR="00AD74C1" w:rsidRPr="00D8539F">
        <w:t xml:space="preserve"> child and adolescent</w:t>
      </w:r>
      <w:r w:rsidR="002603C3" w:rsidRPr="00D8539F">
        <w:t xml:space="preserve"> </w:t>
      </w:r>
      <w:r w:rsidR="00AD74C1" w:rsidRPr="00D8539F">
        <w:t>mental health services</w:t>
      </w:r>
      <w:r w:rsidR="00E057B2" w:rsidRPr="00D8539F">
        <w:t>.</w:t>
      </w:r>
      <w:r w:rsidR="00AD74C1" w:rsidRPr="00D8539F">
        <w:t xml:space="preserve"> Furthermore, understanding the effects of Covid-related stressors on children and young people’s </w:t>
      </w:r>
      <w:r w:rsidR="00251CCA" w:rsidRPr="00D8539F">
        <w:t xml:space="preserve">development and mental health will provide important </w:t>
      </w:r>
      <w:r w:rsidR="00A30420" w:rsidRPr="00D8539F">
        <w:t>wider</w:t>
      </w:r>
      <w:r w:rsidR="00665ADC" w:rsidRPr="00D8539F">
        <w:t xml:space="preserve"> lessons for not only Covid but wider policies</w:t>
      </w:r>
      <w:r w:rsidR="00432C68" w:rsidRPr="00D8539F">
        <w:t xml:space="preserve"> and contexts</w:t>
      </w:r>
      <w:r w:rsidR="00665ADC" w:rsidRPr="00D8539F">
        <w:t xml:space="preserve"> tha</w:t>
      </w:r>
      <w:r w:rsidR="00432C68" w:rsidRPr="00D8539F">
        <w:t xml:space="preserve">t influence </w:t>
      </w:r>
      <w:r w:rsidR="00321866" w:rsidRPr="00D8539F">
        <w:t>their</w:t>
      </w:r>
      <w:r w:rsidR="00432C68" w:rsidRPr="00D8539F">
        <w:t xml:space="preserve"> lives</w:t>
      </w:r>
      <w:r w:rsidR="00251CCA" w:rsidRPr="00D8539F">
        <w:t xml:space="preserve"> (e.g.</w:t>
      </w:r>
      <w:r w:rsidR="00AB578A">
        <w:t>,</w:t>
      </w:r>
      <w:r w:rsidR="00251CCA" w:rsidRPr="00D8539F">
        <w:t xml:space="preserve"> other health</w:t>
      </w:r>
      <w:r w:rsidR="002A70EF" w:rsidRPr="00D8539F">
        <w:t xml:space="preserve"> and </w:t>
      </w:r>
      <w:r w:rsidR="00251CCA" w:rsidRPr="00D8539F">
        <w:t>social</w:t>
      </w:r>
      <w:r w:rsidR="002A70EF" w:rsidRPr="00D8539F">
        <w:t xml:space="preserve"> services, and educational settings</w:t>
      </w:r>
      <w:r w:rsidR="00251CCA" w:rsidRPr="00D8539F">
        <w:t>)</w:t>
      </w:r>
      <w:r w:rsidR="00432C68" w:rsidRPr="00D8539F">
        <w:t>.</w:t>
      </w:r>
      <w:r w:rsidR="007D5D81" w:rsidRPr="00D8539F">
        <w:t xml:space="preserve"> </w:t>
      </w:r>
      <w:r w:rsidR="00DE011B" w:rsidRPr="00D8539F">
        <w:t>Engaging in</w:t>
      </w:r>
      <w:r w:rsidR="002A70EF" w:rsidRPr="00D8539F">
        <w:t xml:space="preserve"> c</w:t>
      </w:r>
      <w:r w:rsidR="00CD15B8" w:rsidRPr="00D8539F">
        <w:t xml:space="preserve">ontinued </w:t>
      </w:r>
      <w:r w:rsidR="009A0F5C" w:rsidRPr="00D8539F">
        <w:t>multidisciplinary</w:t>
      </w:r>
      <w:r w:rsidR="00CD15B8" w:rsidRPr="00D8539F">
        <w:t xml:space="preserve"> research</w:t>
      </w:r>
      <w:r w:rsidR="00DE011B" w:rsidRPr="00D8539F">
        <w:t xml:space="preserve"> informed by lived experience</w:t>
      </w:r>
      <w:r w:rsidR="00CD15B8" w:rsidRPr="00D8539F">
        <w:t xml:space="preserve"> will transform how the scientific community meet goals </w:t>
      </w:r>
      <w:r w:rsidR="00D46B34" w:rsidRPr="00D8539F">
        <w:t>set out about protecting and managing the impact of Covid on the mental health of children and young people</w:t>
      </w:r>
      <w:r w:rsidR="006861B1" w:rsidRPr="00D8539F">
        <w:rPr>
          <w:vertAlign w:val="superscript"/>
        </w:rPr>
        <w:t>9</w:t>
      </w:r>
      <w:r w:rsidR="00D46B34" w:rsidRPr="00D8539F">
        <w:t xml:space="preserve">. </w:t>
      </w:r>
    </w:p>
    <w:p w14:paraId="139FAFAC" w14:textId="77777777" w:rsidR="009328C4" w:rsidRPr="00D8539F" w:rsidRDefault="009328C4"/>
    <w:p w14:paraId="1DAD98BD" w14:textId="111D4EE0" w:rsidR="009328C4" w:rsidRPr="00D8539F" w:rsidRDefault="009328C4">
      <w:pPr>
        <w:rPr>
          <w:b/>
          <w:bCs/>
        </w:rPr>
      </w:pPr>
      <w:r w:rsidRPr="00D8539F">
        <w:rPr>
          <w:b/>
          <w:bCs/>
        </w:rPr>
        <w:t>References:</w:t>
      </w:r>
    </w:p>
    <w:p w14:paraId="34372153" w14:textId="6BFF688F" w:rsidR="00C05D44" w:rsidRPr="00D8539F" w:rsidRDefault="00C05D44" w:rsidP="00FB122B">
      <w:pPr>
        <w:pStyle w:val="ListParagraph"/>
        <w:numPr>
          <w:ilvl w:val="0"/>
          <w:numId w:val="2"/>
        </w:numPr>
      </w:pPr>
      <w:r w:rsidRPr="00D8539F">
        <w:t xml:space="preserve">Fox, </w:t>
      </w:r>
      <w:r w:rsidR="00DE2EAA" w:rsidRPr="00D8539F">
        <w:t xml:space="preserve">N. A., &amp; Rutter, M. </w:t>
      </w:r>
      <w:r w:rsidR="00DE2EAA" w:rsidRPr="00D8539F">
        <w:rPr>
          <w:i/>
          <w:iCs/>
        </w:rPr>
        <w:t xml:space="preserve">Child Development </w:t>
      </w:r>
      <w:r w:rsidR="00DF34D2" w:rsidRPr="00D8539F">
        <w:rPr>
          <w:b/>
          <w:bCs/>
        </w:rPr>
        <w:t>81</w:t>
      </w:r>
      <w:r w:rsidR="00DF34D2" w:rsidRPr="00D8539F">
        <w:t xml:space="preserve">, 23-27 (2010). </w:t>
      </w:r>
    </w:p>
    <w:p w14:paraId="77BEA2D5" w14:textId="2B59EF1E" w:rsidR="00B93EF5" w:rsidRPr="00D8539F" w:rsidRDefault="0026259A" w:rsidP="00FB122B">
      <w:pPr>
        <w:pStyle w:val="ListParagraph"/>
        <w:numPr>
          <w:ilvl w:val="0"/>
          <w:numId w:val="2"/>
        </w:numPr>
      </w:pPr>
      <w:r w:rsidRPr="00D8539F">
        <w:t xml:space="preserve">Benner, A. D. </w:t>
      </w:r>
      <w:r w:rsidRPr="00D8539F">
        <w:rPr>
          <w:i/>
          <w:iCs/>
        </w:rPr>
        <w:t xml:space="preserve">Child Development Perspectives </w:t>
      </w:r>
      <w:r w:rsidRPr="00D8539F">
        <w:rPr>
          <w:b/>
          <w:bCs/>
        </w:rPr>
        <w:t>14</w:t>
      </w:r>
      <w:r w:rsidRPr="00D8539F">
        <w:t xml:space="preserve">, 236-243 (2020). </w:t>
      </w:r>
    </w:p>
    <w:p w14:paraId="1E16CA16" w14:textId="62CD4435" w:rsidR="009328C4" w:rsidRPr="00D8539F" w:rsidRDefault="00FB122B" w:rsidP="00FB122B">
      <w:pPr>
        <w:pStyle w:val="ListParagraph"/>
        <w:numPr>
          <w:ilvl w:val="0"/>
          <w:numId w:val="2"/>
        </w:numPr>
      </w:pPr>
      <w:r w:rsidRPr="00D8539F">
        <w:t xml:space="preserve">World Health Organization. </w:t>
      </w:r>
      <w:hyperlink r:id="rId9" w:history="1">
        <w:r w:rsidRPr="00D8539F">
          <w:rPr>
            <w:rStyle w:val="Hyperlink"/>
          </w:rPr>
          <w:t>https://www.who.int/europe/news/item/12-06-2023-with-the-international-public-health-emergency-ending--who-europe-launches-its-transition-plan-for-covid-19</w:t>
        </w:r>
      </w:hyperlink>
      <w:r w:rsidRPr="00D8539F">
        <w:t xml:space="preserve"> (WHO, 2023).</w:t>
      </w:r>
    </w:p>
    <w:p w14:paraId="510218E4" w14:textId="6375B578" w:rsidR="00FB122B" w:rsidRPr="00D8539F" w:rsidRDefault="00FB122B" w:rsidP="00FB122B">
      <w:pPr>
        <w:pStyle w:val="ListParagraph"/>
        <w:numPr>
          <w:ilvl w:val="0"/>
          <w:numId w:val="2"/>
        </w:numPr>
      </w:pPr>
      <w:r w:rsidRPr="00D8539F">
        <w:t xml:space="preserve">Newlove-Delgado, T. et al. </w:t>
      </w:r>
      <w:r w:rsidRPr="00D8539F">
        <w:rPr>
          <w:i/>
          <w:iCs/>
        </w:rPr>
        <w:t xml:space="preserve">Lancet Psychiatry </w:t>
      </w:r>
      <w:r w:rsidRPr="00D8539F">
        <w:rPr>
          <w:b/>
          <w:bCs/>
        </w:rPr>
        <w:t>8</w:t>
      </w:r>
      <w:r w:rsidRPr="00D8539F">
        <w:t xml:space="preserve">, 353-354 (2021). </w:t>
      </w:r>
    </w:p>
    <w:p w14:paraId="133A03A5" w14:textId="34CFC6FF" w:rsidR="00FB122B" w:rsidRPr="00D8539F" w:rsidRDefault="00175EC9" w:rsidP="00FB122B">
      <w:pPr>
        <w:pStyle w:val="ListParagraph"/>
        <w:numPr>
          <w:ilvl w:val="0"/>
          <w:numId w:val="2"/>
        </w:numPr>
      </w:pPr>
      <w:r w:rsidRPr="00D8539F">
        <w:t xml:space="preserve">Newlove-Delgado, T. et al. </w:t>
      </w:r>
      <w:r w:rsidRPr="00D8539F">
        <w:rPr>
          <w:i/>
          <w:iCs/>
        </w:rPr>
        <w:t xml:space="preserve">Journal of Child Psychology and Psychiatry </w:t>
      </w:r>
      <w:r w:rsidRPr="00D8539F">
        <w:rPr>
          <w:b/>
          <w:bCs/>
        </w:rPr>
        <w:t>64</w:t>
      </w:r>
      <w:r w:rsidRPr="00D8539F">
        <w:t>, 611-640 (2023).</w:t>
      </w:r>
    </w:p>
    <w:p w14:paraId="25C1527D" w14:textId="3410697F" w:rsidR="00175EC9" w:rsidRPr="00412F35" w:rsidRDefault="00175EC9" w:rsidP="00FB122B">
      <w:pPr>
        <w:pStyle w:val="ListParagraph"/>
        <w:numPr>
          <w:ilvl w:val="0"/>
          <w:numId w:val="2"/>
        </w:numPr>
        <w:rPr>
          <w:lang w:val="fi-FI"/>
        </w:rPr>
      </w:pPr>
      <w:r w:rsidRPr="00412F35">
        <w:rPr>
          <w:lang w:val="fi-FI"/>
        </w:rPr>
        <w:t xml:space="preserve">Sun, Y. et al. </w:t>
      </w:r>
      <w:r w:rsidRPr="00412F35">
        <w:rPr>
          <w:i/>
          <w:iCs/>
          <w:lang w:val="fi-FI"/>
        </w:rPr>
        <w:t xml:space="preserve">BMJ </w:t>
      </w:r>
      <w:r w:rsidRPr="00412F35">
        <w:rPr>
          <w:b/>
          <w:bCs/>
          <w:lang w:val="fi-FI"/>
        </w:rPr>
        <w:t>380</w:t>
      </w:r>
      <w:r w:rsidRPr="00412F35">
        <w:rPr>
          <w:lang w:val="fi-FI"/>
        </w:rPr>
        <w:t xml:space="preserve">, 1-10 (2023). </w:t>
      </w:r>
    </w:p>
    <w:p w14:paraId="23615801" w14:textId="5340E16D" w:rsidR="000422A6" w:rsidRPr="00D8539F" w:rsidRDefault="00102559" w:rsidP="00FB122B">
      <w:pPr>
        <w:pStyle w:val="ListParagraph"/>
        <w:numPr>
          <w:ilvl w:val="0"/>
          <w:numId w:val="2"/>
        </w:numPr>
      </w:pPr>
      <w:r w:rsidRPr="00D8539F">
        <w:t xml:space="preserve">Wong, B. H. C. et al. </w:t>
      </w:r>
      <w:r w:rsidRPr="00D8539F">
        <w:rPr>
          <w:i/>
          <w:iCs/>
        </w:rPr>
        <w:t>Journal of the American Academy of Child &amp; Adolescent Psychiatry</w:t>
      </w:r>
      <w:r w:rsidRPr="00D8539F">
        <w:t xml:space="preserve">, 1-12 (2023). </w:t>
      </w:r>
    </w:p>
    <w:p w14:paraId="5414AD96" w14:textId="11657D66" w:rsidR="00E81590" w:rsidRPr="00D8539F" w:rsidRDefault="00E81590" w:rsidP="00FB122B">
      <w:pPr>
        <w:pStyle w:val="ListParagraph"/>
        <w:numPr>
          <w:ilvl w:val="0"/>
          <w:numId w:val="2"/>
        </w:numPr>
      </w:pPr>
      <w:r w:rsidRPr="00D8539F">
        <w:t xml:space="preserve">Wade, M. et al. </w:t>
      </w:r>
      <w:r w:rsidRPr="00D8539F">
        <w:rPr>
          <w:i/>
          <w:iCs/>
        </w:rPr>
        <w:t>Psychiatry Research</w:t>
      </w:r>
      <w:r w:rsidR="00296167" w:rsidRPr="00D8539F">
        <w:rPr>
          <w:i/>
          <w:iCs/>
        </w:rPr>
        <w:t xml:space="preserve"> </w:t>
      </w:r>
      <w:r w:rsidR="00296167" w:rsidRPr="00D8539F">
        <w:rPr>
          <w:b/>
          <w:bCs/>
        </w:rPr>
        <w:t>290</w:t>
      </w:r>
      <w:r w:rsidR="00EE0CE1" w:rsidRPr="00D8539F">
        <w:t xml:space="preserve">, 1-2 (2020). </w:t>
      </w:r>
    </w:p>
    <w:p w14:paraId="307132D8" w14:textId="67D40555" w:rsidR="00D46B34" w:rsidRPr="00D8539F" w:rsidRDefault="009A0F5C" w:rsidP="00FB122B">
      <w:pPr>
        <w:pStyle w:val="ListParagraph"/>
        <w:numPr>
          <w:ilvl w:val="0"/>
          <w:numId w:val="2"/>
        </w:numPr>
      </w:pPr>
      <w:r w:rsidRPr="00412F35">
        <w:rPr>
          <w:lang w:val="fi-FI"/>
        </w:rPr>
        <w:t xml:space="preserve">Holmes, E. A. et al. </w:t>
      </w:r>
      <w:r w:rsidRPr="00D8539F">
        <w:rPr>
          <w:i/>
          <w:iCs/>
        </w:rPr>
        <w:t xml:space="preserve">Lancet Psychiatry </w:t>
      </w:r>
      <w:r w:rsidRPr="00D8539F">
        <w:rPr>
          <w:b/>
          <w:bCs/>
        </w:rPr>
        <w:t>7</w:t>
      </w:r>
      <w:r w:rsidRPr="00D8539F">
        <w:t xml:space="preserve">, 547-560 (2020). </w:t>
      </w:r>
    </w:p>
    <w:p w14:paraId="1B2227A0" w14:textId="77777777" w:rsidR="00FB122B" w:rsidRPr="00D8539F" w:rsidRDefault="00FB122B" w:rsidP="00FB122B"/>
    <w:p w14:paraId="7558B581" w14:textId="298CF2D6" w:rsidR="000260EE" w:rsidRPr="00D8539F" w:rsidRDefault="000260EE">
      <w:pPr>
        <w:rPr>
          <w:b/>
          <w:bCs/>
        </w:rPr>
      </w:pPr>
      <w:r w:rsidRPr="00D8539F">
        <w:rPr>
          <w:b/>
          <w:bCs/>
        </w:rPr>
        <w:t>Acknowledgements</w:t>
      </w:r>
    </w:p>
    <w:p w14:paraId="380336AE" w14:textId="10D84D7E" w:rsidR="000260EE" w:rsidRPr="00D8539F" w:rsidRDefault="00447A30">
      <w:r>
        <w:t xml:space="preserve">Many thanks to Stephen Douch from King’s College London CAMHS Digital Lab for his input on the figure and the children and young people, service users, and carers for their </w:t>
      </w:r>
      <w:r w:rsidR="005032C5">
        <w:t>lived experience input in this Comment</w:t>
      </w:r>
      <w:r>
        <w:t xml:space="preserve">. </w:t>
      </w:r>
      <w:r w:rsidR="004D0E4E" w:rsidRPr="00D8539F">
        <w:t>BCFC is supported by the UK Medical Research Council (</w:t>
      </w:r>
      <w:r w:rsidR="004824DF" w:rsidRPr="00D8539F">
        <w:t>MR/W006820/1</w:t>
      </w:r>
      <w:r w:rsidR="004D0E4E" w:rsidRPr="00D8539F">
        <w:t>) and King’s College London member of the MRC Doctoral Training Partnership in Biomedical Sciences.</w:t>
      </w:r>
      <w:r w:rsidR="00D92AA6" w:rsidRPr="00D8539F">
        <w:t xml:space="preserve"> VP is recipient of a Clinical Lectureship funded by the Department of Child and Adolescent Psychiatry, IoPPN, KCL; and of the Starter Grant for Clinical Lecturers, which is supported by Academy of Medical Sciences (AMS), the Wellcome Trust, the Medical Research Council (MRC), the British Heart Foundation, Versus Arthritis, Diabetes UK, the British Thoracic Society (Helen and Andrew Douglas bequest), and the Association of Physicians of Great Britain and Ireland (AoP) [SGL024\1092].</w:t>
      </w:r>
      <w:r w:rsidR="004D0E4E" w:rsidRPr="00D8539F">
        <w:t xml:space="preserve"> </w:t>
      </w:r>
      <w:r w:rsidR="00D92AA6" w:rsidRPr="00D8539F">
        <w:t xml:space="preserve">JD is supported by NIHR Clinician Science Fellowship award (CS‐2018‐18‐ST2‐014) and has received support from a Medical Research Council (MRC) Clinical Research Training Fellowship (MR/L017105/1) and Psychiatry Research Trust Peggy Pollak Research Fellowship in Developmental Psychiatry. </w:t>
      </w:r>
      <w:r w:rsidR="002F4995" w:rsidRPr="00D8539F">
        <w:t xml:space="preserve">ES is supported by the NIHR Biomedical Research Centre (BRC) at SLaM NHS Foundation Trust (IS‐BRC‐1215‐20018), the NIHR through a program grant (RP‐PG‐1211‐20016) and Senior Investigator Award (NF‐SI‐0514‐10073 and NF‐SI‐0617‐10120), the European Union Innovative Medicines Initiative (EU‐IMI 115300), Autistica (7237) MRC (MR/R000832/1, MR/P019293/1), the </w:t>
      </w:r>
      <w:r w:rsidR="002F4995" w:rsidRPr="00D8539F">
        <w:lastRenderedPageBreak/>
        <w:t>Economic and Social Research Council (ESRC 003041/1) and GSST Charity (GSTT EF1150502) and the Maudsley Charity.</w:t>
      </w:r>
      <w:r w:rsidR="009A78DE" w:rsidRPr="00D8539F">
        <w:t xml:space="preserve"> </w:t>
      </w:r>
    </w:p>
    <w:p w14:paraId="365B8763" w14:textId="77777777" w:rsidR="000260EE" w:rsidRDefault="000260EE"/>
    <w:p w14:paraId="04C95B9F" w14:textId="22628F09" w:rsidR="00591FB4" w:rsidRDefault="00591FB4">
      <w:pPr>
        <w:rPr>
          <w:b/>
          <w:bCs/>
        </w:rPr>
      </w:pPr>
      <w:r>
        <w:rPr>
          <w:b/>
          <w:bCs/>
        </w:rPr>
        <w:t>Author contributions</w:t>
      </w:r>
    </w:p>
    <w:p w14:paraId="7D8A5FCF" w14:textId="639FC51C" w:rsidR="00591FB4" w:rsidRPr="00591FB4" w:rsidRDefault="00B0203C">
      <w:r>
        <w:t>BCFC and ES conceptualised the paper</w:t>
      </w:r>
      <w:r w:rsidR="00A81B72">
        <w:t xml:space="preserve">, BCFC wrote the manuscript with input from VP, JD, and ES. </w:t>
      </w:r>
    </w:p>
    <w:p w14:paraId="33A96874" w14:textId="77777777" w:rsidR="00591FB4" w:rsidRPr="00D8539F" w:rsidRDefault="00591FB4"/>
    <w:p w14:paraId="63C417E2" w14:textId="2963179B" w:rsidR="000260EE" w:rsidRPr="00D8539F" w:rsidRDefault="000260EE">
      <w:pPr>
        <w:rPr>
          <w:b/>
          <w:bCs/>
        </w:rPr>
      </w:pPr>
      <w:r w:rsidRPr="00D8539F">
        <w:rPr>
          <w:b/>
          <w:bCs/>
        </w:rPr>
        <w:t>Competing interests</w:t>
      </w:r>
    </w:p>
    <w:p w14:paraId="606C923E" w14:textId="16688DE7" w:rsidR="00EA2766" w:rsidRDefault="00EA2766">
      <w:r w:rsidRPr="00D8539F">
        <w:t xml:space="preserve">The authors declare no competing interests. </w:t>
      </w:r>
    </w:p>
    <w:p w14:paraId="7E1B2BF9" w14:textId="7EF73683" w:rsidR="00376B37" w:rsidRPr="00D8539F" w:rsidRDefault="00376B37"/>
    <w:sectPr w:rsidR="00376B37" w:rsidRPr="00D8539F">
      <w:footerReference w:type="default" r:id="rId1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78D7B0" w14:textId="77777777" w:rsidR="00D926DE" w:rsidRDefault="00D926DE" w:rsidP="000F43BF">
      <w:pPr>
        <w:spacing w:after="0" w:line="240" w:lineRule="auto"/>
      </w:pPr>
      <w:r>
        <w:separator/>
      </w:r>
    </w:p>
  </w:endnote>
  <w:endnote w:type="continuationSeparator" w:id="0">
    <w:p w14:paraId="67BC6A2D" w14:textId="77777777" w:rsidR="00D926DE" w:rsidRDefault="00D926DE" w:rsidP="000F43B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31563126"/>
      <w:docPartObj>
        <w:docPartGallery w:val="Page Numbers (Bottom of Page)"/>
        <w:docPartUnique/>
      </w:docPartObj>
    </w:sdtPr>
    <w:sdtEndPr>
      <w:rPr>
        <w:noProof/>
      </w:rPr>
    </w:sdtEndPr>
    <w:sdtContent>
      <w:p w14:paraId="3A4055BC" w14:textId="7CB7E9ED" w:rsidR="000F43BF" w:rsidRDefault="000F43BF">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0C188450" w14:textId="77777777" w:rsidR="000F43BF" w:rsidRDefault="000F43B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C3164B" w14:textId="77777777" w:rsidR="00D926DE" w:rsidRDefault="00D926DE" w:rsidP="000F43BF">
      <w:pPr>
        <w:spacing w:after="0" w:line="240" w:lineRule="auto"/>
      </w:pPr>
      <w:r>
        <w:separator/>
      </w:r>
    </w:p>
  </w:footnote>
  <w:footnote w:type="continuationSeparator" w:id="0">
    <w:p w14:paraId="1623BB82" w14:textId="77777777" w:rsidR="00D926DE" w:rsidRDefault="00D926DE" w:rsidP="000F43B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B23EB5"/>
    <w:multiLevelType w:val="hybridMultilevel"/>
    <w:tmpl w:val="35660280"/>
    <w:lvl w:ilvl="0" w:tplc="1F28C200">
      <w:start w:val="2000"/>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D636062"/>
    <w:multiLevelType w:val="multilevel"/>
    <w:tmpl w:val="B206114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33DF2265"/>
    <w:multiLevelType w:val="hybridMultilevel"/>
    <w:tmpl w:val="4E14C87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855262856">
    <w:abstractNumId w:val="1"/>
  </w:num>
  <w:num w:numId="2" w16cid:durableId="1876968063">
    <w:abstractNumId w:val="2"/>
  </w:num>
  <w:num w:numId="3" w16cid:durableId="48493293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gnword-docGUID" w:val="{C045E41F-B06C-4B92-B177-0A4918D67665}"/>
    <w:docVar w:name="dgnword-eventsink" w:val="2491819268432"/>
  </w:docVars>
  <w:rsids>
    <w:rsidRoot w:val="007F0242"/>
    <w:rsid w:val="000064D6"/>
    <w:rsid w:val="00015657"/>
    <w:rsid w:val="000260EE"/>
    <w:rsid w:val="00030C50"/>
    <w:rsid w:val="00036261"/>
    <w:rsid w:val="00042009"/>
    <w:rsid w:val="000422A6"/>
    <w:rsid w:val="0004245D"/>
    <w:rsid w:val="000425C4"/>
    <w:rsid w:val="000476F9"/>
    <w:rsid w:val="00054DF5"/>
    <w:rsid w:val="0005544E"/>
    <w:rsid w:val="00060E1A"/>
    <w:rsid w:val="00066203"/>
    <w:rsid w:val="00071C94"/>
    <w:rsid w:val="000723D7"/>
    <w:rsid w:val="00073B55"/>
    <w:rsid w:val="0008241E"/>
    <w:rsid w:val="00083189"/>
    <w:rsid w:val="00083900"/>
    <w:rsid w:val="000863A4"/>
    <w:rsid w:val="00087732"/>
    <w:rsid w:val="000968E7"/>
    <w:rsid w:val="000A1BD1"/>
    <w:rsid w:val="000C3DC6"/>
    <w:rsid w:val="000D77F0"/>
    <w:rsid w:val="000E7048"/>
    <w:rsid w:val="000F3907"/>
    <w:rsid w:val="000F43BF"/>
    <w:rsid w:val="00102559"/>
    <w:rsid w:val="001264E6"/>
    <w:rsid w:val="00142817"/>
    <w:rsid w:val="001542E6"/>
    <w:rsid w:val="00155C4C"/>
    <w:rsid w:val="0016126E"/>
    <w:rsid w:val="00175EC9"/>
    <w:rsid w:val="0019065C"/>
    <w:rsid w:val="00195BA1"/>
    <w:rsid w:val="0019769E"/>
    <w:rsid w:val="001A150A"/>
    <w:rsid w:val="001A5368"/>
    <w:rsid w:val="001B1F3A"/>
    <w:rsid w:val="001C29A0"/>
    <w:rsid w:val="001F3375"/>
    <w:rsid w:val="001F43AE"/>
    <w:rsid w:val="001F5F40"/>
    <w:rsid w:val="001F6D2B"/>
    <w:rsid w:val="0020036F"/>
    <w:rsid w:val="002013DD"/>
    <w:rsid w:val="00211B79"/>
    <w:rsid w:val="002244A1"/>
    <w:rsid w:val="00237469"/>
    <w:rsid w:val="002407A3"/>
    <w:rsid w:val="002500E9"/>
    <w:rsid w:val="00251CCA"/>
    <w:rsid w:val="002603C3"/>
    <w:rsid w:val="0026259A"/>
    <w:rsid w:val="00263E29"/>
    <w:rsid w:val="00266136"/>
    <w:rsid w:val="0026664B"/>
    <w:rsid w:val="002669E1"/>
    <w:rsid w:val="00271BB1"/>
    <w:rsid w:val="00271E47"/>
    <w:rsid w:val="00273C48"/>
    <w:rsid w:val="00274917"/>
    <w:rsid w:val="002822B5"/>
    <w:rsid w:val="00296167"/>
    <w:rsid w:val="00296E49"/>
    <w:rsid w:val="002A348E"/>
    <w:rsid w:val="002A4269"/>
    <w:rsid w:val="002A70EF"/>
    <w:rsid w:val="002C53A7"/>
    <w:rsid w:val="002D176E"/>
    <w:rsid w:val="002D1B3F"/>
    <w:rsid w:val="002D4DDC"/>
    <w:rsid w:val="002D552A"/>
    <w:rsid w:val="002E0705"/>
    <w:rsid w:val="002E6E6C"/>
    <w:rsid w:val="002F0049"/>
    <w:rsid w:val="002F4995"/>
    <w:rsid w:val="002F4DDA"/>
    <w:rsid w:val="002F5BD1"/>
    <w:rsid w:val="003079BF"/>
    <w:rsid w:val="00313747"/>
    <w:rsid w:val="00314B4C"/>
    <w:rsid w:val="00314E93"/>
    <w:rsid w:val="00317E6E"/>
    <w:rsid w:val="00321866"/>
    <w:rsid w:val="00331320"/>
    <w:rsid w:val="0033205E"/>
    <w:rsid w:val="00332BE1"/>
    <w:rsid w:val="00334908"/>
    <w:rsid w:val="00345B81"/>
    <w:rsid w:val="00352B4D"/>
    <w:rsid w:val="00361883"/>
    <w:rsid w:val="00376B37"/>
    <w:rsid w:val="00386BF3"/>
    <w:rsid w:val="0039156E"/>
    <w:rsid w:val="003C5C0E"/>
    <w:rsid w:val="003D370B"/>
    <w:rsid w:val="003D680E"/>
    <w:rsid w:val="003D7543"/>
    <w:rsid w:val="003D7EA0"/>
    <w:rsid w:val="003E1B55"/>
    <w:rsid w:val="003E1DBD"/>
    <w:rsid w:val="003E766B"/>
    <w:rsid w:val="003F0CA1"/>
    <w:rsid w:val="00404524"/>
    <w:rsid w:val="00412F35"/>
    <w:rsid w:val="00421A3A"/>
    <w:rsid w:val="0042482B"/>
    <w:rsid w:val="00427513"/>
    <w:rsid w:val="0042794C"/>
    <w:rsid w:val="00432C68"/>
    <w:rsid w:val="00432D66"/>
    <w:rsid w:val="00447A30"/>
    <w:rsid w:val="00453BB7"/>
    <w:rsid w:val="0045742B"/>
    <w:rsid w:val="00463E1B"/>
    <w:rsid w:val="004824DF"/>
    <w:rsid w:val="00482EE2"/>
    <w:rsid w:val="004C0D26"/>
    <w:rsid w:val="004C2559"/>
    <w:rsid w:val="004D0E4E"/>
    <w:rsid w:val="004D5852"/>
    <w:rsid w:val="004F1902"/>
    <w:rsid w:val="004F27C7"/>
    <w:rsid w:val="004F5D5E"/>
    <w:rsid w:val="00502E94"/>
    <w:rsid w:val="005032C5"/>
    <w:rsid w:val="0050383E"/>
    <w:rsid w:val="00504EB9"/>
    <w:rsid w:val="0050571A"/>
    <w:rsid w:val="00514279"/>
    <w:rsid w:val="00521103"/>
    <w:rsid w:val="005267EC"/>
    <w:rsid w:val="00530780"/>
    <w:rsid w:val="00536887"/>
    <w:rsid w:val="00541D5B"/>
    <w:rsid w:val="00547B9E"/>
    <w:rsid w:val="00556DBF"/>
    <w:rsid w:val="0055746A"/>
    <w:rsid w:val="00565A11"/>
    <w:rsid w:val="005671C0"/>
    <w:rsid w:val="00576E1E"/>
    <w:rsid w:val="00586B3E"/>
    <w:rsid w:val="00591A05"/>
    <w:rsid w:val="00591FB4"/>
    <w:rsid w:val="005D02AA"/>
    <w:rsid w:val="005E0333"/>
    <w:rsid w:val="005F5EEB"/>
    <w:rsid w:val="005F6D6F"/>
    <w:rsid w:val="006159BA"/>
    <w:rsid w:val="00624FC2"/>
    <w:rsid w:val="00626965"/>
    <w:rsid w:val="00660768"/>
    <w:rsid w:val="00660BBA"/>
    <w:rsid w:val="00665ADC"/>
    <w:rsid w:val="00675645"/>
    <w:rsid w:val="006861B1"/>
    <w:rsid w:val="0069013C"/>
    <w:rsid w:val="00695576"/>
    <w:rsid w:val="006B75CC"/>
    <w:rsid w:val="006C1483"/>
    <w:rsid w:val="006D0268"/>
    <w:rsid w:val="006E375E"/>
    <w:rsid w:val="00703611"/>
    <w:rsid w:val="007161EF"/>
    <w:rsid w:val="00721B4E"/>
    <w:rsid w:val="007229C9"/>
    <w:rsid w:val="007244D3"/>
    <w:rsid w:val="00730184"/>
    <w:rsid w:val="00730315"/>
    <w:rsid w:val="00743AF0"/>
    <w:rsid w:val="0076378E"/>
    <w:rsid w:val="007717D2"/>
    <w:rsid w:val="00787117"/>
    <w:rsid w:val="00795A02"/>
    <w:rsid w:val="00795CD7"/>
    <w:rsid w:val="007A02C8"/>
    <w:rsid w:val="007B1311"/>
    <w:rsid w:val="007B5EE8"/>
    <w:rsid w:val="007C15CC"/>
    <w:rsid w:val="007C287F"/>
    <w:rsid w:val="007D5D81"/>
    <w:rsid w:val="007E3C7E"/>
    <w:rsid w:val="007F0242"/>
    <w:rsid w:val="00812045"/>
    <w:rsid w:val="008413D5"/>
    <w:rsid w:val="00852726"/>
    <w:rsid w:val="00855494"/>
    <w:rsid w:val="00855776"/>
    <w:rsid w:val="008716B5"/>
    <w:rsid w:val="0088241F"/>
    <w:rsid w:val="0089628C"/>
    <w:rsid w:val="008A38B4"/>
    <w:rsid w:val="008C1702"/>
    <w:rsid w:val="008C1C76"/>
    <w:rsid w:val="008C1E0C"/>
    <w:rsid w:val="008E7C9A"/>
    <w:rsid w:val="008F6F1C"/>
    <w:rsid w:val="00907F50"/>
    <w:rsid w:val="00907F8A"/>
    <w:rsid w:val="0091164E"/>
    <w:rsid w:val="00922668"/>
    <w:rsid w:val="00924B17"/>
    <w:rsid w:val="009306F9"/>
    <w:rsid w:val="009328C4"/>
    <w:rsid w:val="00971898"/>
    <w:rsid w:val="00980CBA"/>
    <w:rsid w:val="00983E30"/>
    <w:rsid w:val="0098436F"/>
    <w:rsid w:val="009951A4"/>
    <w:rsid w:val="009A0F5C"/>
    <w:rsid w:val="009A5164"/>
    <w:rsid w:val="009A78DE"/>
    <w:rsid w:val="009A7DE5"/>
    <w:rsid w:val="009B4543"/>
    <w:rsid w:val="009B74D6"/>
    <w:rsid w:val="009D1039"/>
    <w:rsid w:val="009D1DD9"/>
    <w:rsid w:val="009D2142"/>
    <w:rsid w:val="009E38B8"/>
    <w:rsid w:val="009E505B"/>
    <w:rsid w:val="009E7146"/>
    <w:rsid w:val="009F098A"/>
    <w:rsid w:val="009F16BE"/>
    <w:rsid w:val="009F7646"/>
    <w:rsid w:val="009F7DFA"/>
    <w:rsid w:val="00A11114"/>
    <w:rsid w:val="00A245F6"/>
    <w:rsid w:val="00A2613F"/>
    <w:rsid w:val="00A2626A"/>
    <w:rsid w:val="00A2673F"/>
    <w:rsid w:val="00A30420"/>
    <w:rsid w:val="00A308C5"/>
    <w:rsid w:val="00A31103"/>
    <w:rsid w:val="00A40A50"/>
    <w:rsid w:val="00A45A6C"/>
    <w:rsid w:val="00A601B2"/>
    <w:rsid w:val="00A62A81"/>
    <w:rsid w:val="00A77540"/>
    <w:rsid w:val="00A81B72"/>
    <w:rsid w:val="00A96A35"/>
    <w:rsid w:val="00AA0A4D"/>
    <w:rsid w:val="00AA195C"/>
    <w:rsid w:val="00AA3AB9"/>
    <w:rsid w:val="00AB0D17"/>
    <w:rsid w:val="00AB578A"/>
    <w:rsid w:val="00AC1D9E"/>
    <w:rsid w:val="00AC319F"/>
    <w:rsid w:val="00AC442D"/>
    <w:rsid w:val="00AD74C1"/>
    <w:rsid w:val="00AE495C"/>
    <w:rsid w:val="00AE6B19"/>
    <w:rsid w:val="00AF291E"/>
    <w:rsid w:val="00AF70E1"/>
    <w:rsid w:val="00B0203C"/>
    <w:rsid w:val="00B109E1"/>
    <w:rsid w:val="00B23468"/>
    <w:rsid w:val="00B37EFA"/>
    <w:rsid w:val="00B517D4"/>
    <w:rsid w:val="00B61D6B"/>
    <w:rsid w:val="00B739A2"/>
    <w:rsid w:val="00B76455"/>
    <w:rsid w:val="00B764E4"/>
    <w:rsid w:val="00B80430"/>
    <w:rsid w:val="00B85A03"/>
    <w:rsid w:val="00B93EF5"/>
    <w:rsid w:val="00BA041B"/>
    <w:rsid w:val="00BA69AB"/>
    <w:rsid w:val="00BB3C60"/>
    <w:rsid w:val="00BB5642"/>
    <w:rsid w:val="00BB63B6"/>
    <w:rsid w:val="00BC1E5C"/>
    <w:rsid w:val="00BC3E85"/>
    <w:rsid w:val="00BE3161"/>
    <w:rsid w:val="00BE5DE7"/>
    <w:rsid w:val="00BE5F22"/>
    <w:rsid w:val="00BE6AEF"/>
    <w:rsid w:val="00BF096D"/>
    <w:rsid w:val="00BF7D31"/>
    <w:rsid w:val="00C05D44"/>
    <w:rsid w:val="00C07D14"/>
    <w:rsid w:val="00C159B5"/>
    <w:rsid w:val="00C17A44"/>
    <w:rsid w:val="00C20B5D"/>
    <w:rsid w:val="00C20DEA"/>
    <w:rsid w:val="00C25EA0"/>
    <w:rsid w:val="00C27D7E"/>
    <w:rsid w:val="00C34228"/>
    <w:rsid w:val="00C429D4"/>
    <w:rsid w:val="00C43D05"/>
    <w:rsid w:val="00C446D5"/>
    <w:rsid w:val="00C70092"/>
    <w:rsid w:val="00C87C47"/>
    <w:rsid w:val="00CA000A"/>
    <w:rsid w:val="00CB1B2C"/>
    <w:rsid w:val="00CB32D0"/>
    <w:rsid w:val="00CC4163"/>
    <w:rsid w:val="00CD0C6B"/>
    <w:rsid w:val="00CD15B8"/>
    <w:rsid w:val="00CD385A"/>
    <w:rsid w:val="00CD6BF8"/>
    <w:rsid w:val="00CF2F87"/>
    <w:rsid w:val="00D07604"/>
    <w:rsid w:val="00D1033A"/>
    <w:rsid w:val="00D11DCF"/>
    <w:rsid w:val="00D12F8A"/>
    <w:rsid w:val="00D134E9"/>
    <w:rsid w:val="00D213B9"/>
    <w:rsid w:val="00D37BBF"/>
    <w:rsid w:val="00D41502"/>
    <w:rsid w:val="00D41D50"/>
    <w:rsid w:val="00D44B26"/>
    <w:rsid w:val="00D46B34"/>
    <w:rsid w:val="00D503E0"/>
    <w:rsid w:val="00D5709D"/>
    <w:rsid w:val="00D615B7"/>
    <w:rsid w:val="00D6446F"/>
    <w:rsid w:val="00D743F9"/>
    <w:rsid w:val="00D806E1"/>
    <w:rsid w:val="00D838F5"/>
    <w:rsid w:val="00D847BC"/>
    <w:rsid w:val="00D8539F"/>
    <w:rsid w:val="00D926DE"/>
    <w:rsid w:val="00D92AA6"/>
    <w:rsid w:val="00DA13EE"/>
    <w:rsid w:val="00DA47D7"/>
    <w:rsid w:val="00DB0131"/>
    <w:rsid w:val="00DB1845"/>
    <w:rsid w:val="00DB5374"/>
    <w:rsid w:val="00DB558E"/>
    <w:rsid w:val="00DB5FB2"/>
    <w:rsid w:val="00DB7C8D"/>
    <w:rsid w:val="00DC0C43"/>
    <w:rsid w:val="00DC19A0"/>
    <w:rsid w:val="00DC42D7"/>
    <w:rsid w:val="00DC448A"/>
    <w:rsid w:val="00DC5810"/>
    <w:rsid w:val="00DD6AB3"/>
    <w:rsid w:val="00DE011B"/>
    <w:rsid w:val="00DE2EAA"/>
    <w:rsid w:val="00DE3835"/>
    <w:rsid w:val="00DE6D5D"/>
    <w:rsid w:val="00DF14E8"/>
    <w:rsid w:val="00DF169E"/>
    <w:rsid w:val="00DF34D2"/>
    <w:rsid w:val="00E00C2F"/>
    <w:rsid w:val="00E04619"/>
    <w:rsid w:val="00E057B2"/>
    <w:rsid w:val="00E06404"/>
    <w:rsid w:val="00E10F49"/>
    <w:rsid w:val="00E131BF"/>
    <w:rsid w:val="00E155C6"/>
    <w:rsid w:val="00E17989"/>
    <w:rsid w:val="00E23496"/>
    <w:rsid w:val="00E251E3"/>
    <w:rsid w:val="00E4239C"/>
    <w:rsid w:val="00E573C4"/>
    <w:rsid w:val="00E7106B"/>
    <w:rsid w:val="00E72916"/>
    <w:rsid w:val="00E750D1"/>
    <w:rsid w:val="00E81590"/>
    <w:rsid w:val="00E97686"/>
    <w:rsid w:val="00EA210B"/>
    <w:rsid w:val="00EA2766"/>
    <w:rsid w:val="00EA5071"/>
    <w:rsid w:val="00EB3E0D"/>
    <w:rsid w:val="00ED722E"/>
    <w:rsid w:val="00EE0CE1"/>
    <w:rsid w:val="00EE1202"/>
    <w:rsid w:val="00EE4936"/>
    <w:rsid w:val="00EF42C8"/>
    <w:rsid w:val="00EF605E"/>
    <w:rsid w:val="00EF73AC"/>
    <w:rsid w:val="00F00778"/>
    <w:rsid w:val="00F43458"/>
    <w:rsid w:val="00F5148B"/>
    <w:rsid w:val="00F617D1"/>
    <w:rsid w:val="00F6243B"/>
    <w:rsid w:val="00F67501"/>
    <w:rsid w:val="00F74D94"/>
    <w:rsid w:val="00F824B1"/>
    <w:rsid w:val="00F84154"/>
    <w:rsid w:val="00F8458F"/>
    <w:rsid w:val="00F937C0"/>
    <w:rsid w:val="00FA2A53"/>
    <w:rsid w:val="00FA70BB"/>
    <w:rsid w:val="00FB018F"/>
    <w:rsid w:val="00FB122B"/>
    <w:rsid w:val="00FB7899"/>
    <w:rsid w:val="00FC612D"/>
    <w:rsid w:val="00FD0666"/>
    <w:rsid w:val="00FD4605"/>
    <w:rsid w:val="00FD511F"/>
    <w:rsid w:val="00FE5A8E"/>
    <w:rsid w:val="00FF185F"/>
    <w:rsid w:val="4A96FC68"/>
    <w:rsid w:val="5547ACB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5468E7"/>
  <w15:chartTrackingRefBased/>
  <w15:docId w15:val="{23107AAF-854D-46E7-85F2-88C934A3CE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F0242"/>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F0242"/>
    <w:rPr>
      <w:rFonts w:asciiTheme="majorHAnsi" w:eastAsiaTheme="majorEastAsia" w:hAnsiTheme="majorHAnsi" w:cstheme="majorBidi"/>
      <w:color w:val="2F5496" w:themeColor="accent1" w:themeShade="BF"/>
      <w:sz w:val="32"/>
      <w:szCs w:val="32"/>
    </w:rPr>
  </w:style>
  <w:style w:type="paragraph" w:styleId="Title">
    <w:name w:val="Title"/>
    <w:basedOn w:val="Normal"/>
    <w:next w:val="Normal"/>
    <w:link w:val="TitleChar"/>
    <w:uiPriority w:val="10"/>
    <w:qFormat/>
    <w:rsid w:val="00DF14E8"/>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F14E8"/>
    <w:rPr>
      <w:rFonts w:asciiTheme="majorHAnsi" w:eastAsiaTheme="majorEastAsia" w:hAnsiTheme="majorHAnsi" w:cstheme="majorBidi"/>
      <w:spacing w:val="-10"/>
      <w:kern w:val="28"/>
      <w:sz w:val="56"/>
      <w:szCs w:val="56"/>
    </w:rPr>
  </w:style>
  <w:style w:type="paragraph" w:styleId="ListParagraph">
    <w:name w:val="List Paragraph"/>
    <w:basedOn w:val="Normal"/>
    <w:uiPriority w:val="34"/>
    <w:qFormat/>
    <w:rsid w:val="00FB122B"/>
    <w:pPr>
      <w:ind w:left="720"/>
      <w:contextualSpacing/>
    </w:pPr>
  </w:style>
  <w:style w:type="character" w:styleId="Hyperlink">
    <w:name w:val="Hyperlink"/>
    <w:basedOn w:val="DefaultParagraphFont"/>
    <w:uiPriority w:val="99"/>
    <w:unhideWhenUsed/>
    <w:rsid w:val="00FB122B"/>
    <w:rPr>
      <w:color w:val="0563C1" w:themeColor="hyperlink"/>
      <w:u w:val="single"/>
    </w:rPr>
  </w:style>
  <w:style w:type="character" w:styleId="UnresolvedMention">
    <w:name w:val="Unresolved Mention"/>
    <w:basedOn w:val="DefaultParagraphFont"/>
    <w:uiPriority w:val="99"/>
    <w:semiHidden/>
    <w:unhideWhenUsed/>
    <w:rsid w:val="00FB122B"/>
    <w:rPr>
      <w:color w:val="605E5C"/>
      <w:shd w:val="clear" w:color="auto" w:fill="E1DFDD"/>
    </w:rPr>
  </w:style>
  <w:style w:type="paragraph" w:styleId="Header">
    <w:name w:val="header"/>
    <w:basedOn w:val="Normal"/>
    <w:link w:val="HeaderChar"/>
    <w:uiPriority w:val="99"/>
    <w:unhideWhenUsed/>
    <w:rsid w:val="000F43BF"/>
    <w:pPr>
      <w:tabs>
        <w:tab w:val="center" w:pos="4513"/>
        <w:tab w:val="right" w:pos="9026"/>
      </w:tabs>
      <w:spacing w:after="0" w:line="240" w:lineRule="auto"/>
    </w:pPr>
  </w:style>
  <w:style w:type="character" w:customStyle="1" w:styleId="HeaderChar">
    <w:name w:val="Header Char"/>
    <w:basedOn w:val="DefaultParagraphFont"/>
    <w:link w:val="Header"/>
    <w:uiPriority w:val="99"/>
    <w:rsid w:val="000F43BF"/>
  </w:style>
  <w:style w:type="paragraph" w:styleId="Footer">
    <w:name w:val="footer"/>
    <w:basedOn w:val="Normal"/>
    <w:link w:val="FooterChar"/>
    <w:uiPriority w:val="99"/>
    <w:unhideWhenUsed/>
    <w:rsid w:val="000F43BF"/>
    <w:pPr>
      <w:tabs>
        <w:tab w:val="center" w:pos="4513"/>
        <w:tab w:val="right" w:pos="9026"/>
      </w:tabs>
      <w:spacing w:after="0" w:line="240" w:lineRule="auto"/>
    </w:pPr>
  </w:style>
  <w:style w:type="character" w:customStyle="1" w:styleId="FooterChar">
    <w:name w:val="Footer Char"/>
    <w:basedOn w:val="DefaultParagraphFont"/>
    <w:link w:val="Footer"/>
    <w:uiPriority w:val="99"/>
    <w:rsid w:val="000F43BF"/>
  </w:style>
  <w:style w:type="character" w:styleId="CommentReference">
    <w:name w:val="annotation reference"/>
    <w:basedOn w:val="DefaultParagraphFont"/>
    <w:uiPriority w:val="99"/>
    <w:semiHidden/>
    <w:unhideWhenUsed/>
    <w:rsid w:val="00071C94"/>
    <w:rPr>
      <w:sz w:val="16"/>
      <w:szCs w:val="16"/>
    </w:rPr>
  </w:style>
  <w:style w:type="paragraph" w:styleId="CommentText">
    <w:name w:val="annotation text"/>
    <w:basedOn w:val="Normal"/>
    <w:link w:val="CommentTextChar"/>
    <w:uiPriority w:val="99"/>
    <w:unhideWhenUsed/>
    <w:rsid w:val="00071C94"/>
    <w:pPr>
      <w:spacing w:line="240" w:lineRule="auto"/>
    </w:pPr>
    <w:rPr>
      <w:sz w:val="20"/>
      <w:szCs w:val="20"/>
    </w:rPr>
  </w:style>
  <w:style w:type="character" w:customStyle="1" w:styleId="CommentTextChar">
    <w:name w:val="Comment Text Char"/>
    <w:basedOn w:val="DefaultParagraphFont"/>
    <w:link w:val="CommentText"/>
    <w:uiPriority w:val="99"/>
    <w:rsid w:val="00071C94"/>
    <w:rPr>
      <w:sz w:val="20"/>
      <w:szCs w:val="20"/>
    </w:rPr>
  </w:style>
  <w:style w:type="paragraph" w:styleId="CommentSubject">
    <w:name w:val="annotation subject"/>
    <w:basedOn w:val="CommentText"/>
    <w:next w:val="CommentText"/>
    <w:link w:val="CommentSubjectChar"/>
    <w:uiPriority w:val="99"/>
    <w:semiHidden/>
    <w:unhideWhenUsed/>
    <w:rsid w:val="00071C94"/>
    <w:rPr>
      <w:b/>
      <w:bCs/>
    </w:rPr>
  </w:style>
  <w:style w:type="character" w:customStyle="1" w:styleId="CommentSubjectChar">
    <w:name w:val="Comment Subject Char"/>
    <w:basedOn w:val="CommentTextChar"/>
    <w:link w:val="CommentSubject"/>
    <w:uiPriority w:val="99"/>
    <w:semiHidden/>
    <w:rsid w:val="00071C94"/>
    <w:rPr>
      <w:b/>
      <w:bCs/>
      <w:sz w:val="20"/>
      <w:szCs w:val="20"/>
    </w:rPr>
  </w:style>
  <w:style w:type="paragraph" w:styleId="Revision">
    <w:name w:val="Revision"/>
    <w:hidden/>
    <w:uiPriority w:val="99"/>
    <w:semiHidden/>
    <w:rsid w:val="00795CD7"/>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51297947">
      <w:bodyDiv w:val="1"/>
      <w:marLeft w:val="0"/>
      <w:marRight w:val="0"/>
      <w:marTop w:val="0"/>
      <w:marBottom w:val="0"/>
      <w:divBdr>
        <w:top w:val="none" w:sz="0" w:space="0" w:color="auto"/>
        <w:left w:val="none" w:sz="0" w:space="0" w:color="auto"/>
        <w:bottom w:val="none" w:sz="0" w:space="0" w:color="auto"/>
        <w:right w:val="none" w:sz="0" w:space="0" w:color="auto"/>
      </w:divBdr>
    </w:div>
    <w:div w:id="20966317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emily.simonoff@kcl.ac.uk"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www.who.int/europe/news/item/12-06-2023-with-the-international-public-health-emergency-ending--who-europe-launches-its-transition-plan-for-covid-1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AF14F3B-F9D3-4DDF-ABF7-2189B54DF4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2019</Words>
  <Characters>12465</Characters>
  <Application>Microsoft Office Word</Application>
  <DocSecurity>0</DocSecurity>
  <Lines>179</Lines>
  <Paragraphs>44</Paragraphs>
  <ScaleCrop>false</ScaleCrop>
  <Company/>
  <LinksUpToDate>false</LinksUpToDate>
  <CharactersWithSpaces>14462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Brian Ching</dc:creator>
  <cp:keywords/>
  <dc:description/>
  <cp:lastModifiedBy>Tom Whalley</cp:lastModifiedBy>
  <cp:revision>2</cp:revision>
  <dcterms:created xsi:type="dcterms:W3CDTF">2026-03-11T15:02:00Z</dcterms:created>
  <dcterms:modified xsi:type="dcterms:W3CDTF">2026-03-11T15:02:00Z</dcterms:modified>
</cp:coreProperties>
</file>