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F80F" w14:textId="77777777" w:rsidR="004A522D" w:rsidRPr="0040028D" w:rsidRDefault="004A522D" w:rsidP="004A522D">
      <w:pPr>
        <w:pStyle w:val="NormalWeb"/>
        <w:spacing w:before="200" w:beforeAutospacing="0" w:after="0" w:afterAutospacing="0" w:line="216" w:lineRule="auto"/>
        <w:jc w:val="center"/>
        <w:rPr>
          <w:rFonts w:ascii="Calibri" w:eastAsiaTheme="minorEastAsia" w:hAnsi="Calibri" w:cs="Calibri"/>
          <w:b/>
          <w:bCs/>
          <w:color w:val="000000" w:themeColor="text1"/>
          <w:kern w:val="24"/>
          <w:sz w:val="36"/>
          <w:szCs w:val="36"/>
        </w:rPr>
      </w:pPr>
      <w:r w:rsidRPr="0040028D">
        <w:rPr>
          <w:rFonts w:ascii="Calibri" w:eastAsiaTheme="minorEastAsia" w:hAnsi="Calibri" w:cs="Calibri"/>
          <w:b/>
          <w:bCs/>
          <w:color w:val="000000" w:themeColor="text1"/>
          <w:kern w:val="24"/>
          <w:sz w:val="36"/>
          <w:szCs w:val="36"/>
        </w:rPr>
        <w:t>A</w:t>
      </w:r>
      <w:r w:rsidRPr="0040028D">
        <w:rPr>
          <w:rFonts w:ascii="Calibri" w:eastAsiaTheme="minorEastAsia" w:hAnsi="Calibri" w:cs="Calibri"/>
          <w:color w:val="000000" w:themeColor="text1"/>
          <w:kern w:val="24"/>
          <w:sz w:val="36"/>
          <w:szCs w:val="36"/>
        </w:rPr>
        <w:t xml:space="preserve">dvanced </w:t>
      </w:r>
      <w:r w:rsidRPr="0040028D">
        <w:rPr>
          <w:rFonts w:ascii="Calibri" w:eastAsiaTheme="minorEastAsia" w:hAnsi="Calibri" w:cs="Calibri"/>
          <w:b/>
          <w:bCs/>
          <w:color w:val="000000" w:themeColor="text1"/>
          <w:kern w:val="24"/>
          <w:sz w:val="36"/>
          <w:szCs w:val="36"/>
        </w:rPr>
        <w:t>C</w:t>
      </w:r>
      <w:r w:rsidRPr="0040028D">
        <w:rPr>
          <w:rFonts w:ascii="Calibri" w:eastAsiaTheme="minorEastAsia" w:hAnsi="Calibri" w:cs="Calibri"/>
          <w:color w:val="000000" w:themeColor="text1"/>
          <w:kern w:val="24"/>
          <w:sz w:val="36"/>
          <w:szCs w:val="36"/>
        </w:rPr>
        <w:t>ardiogenic</w:t>
      </w:r>
      <w:r>
        <w:rPr>
          <w:rFonts w:ascii="Calibri" w:eastAsiaTheme="minorEastAsia" w:hAnsi="Calibri" w:cs="Calibri"/>
          <w:color w:val="000000" w:themeColor="text1"/>
          <w:kern w:val="24"/>
          <w:sz w:val="36"/>
          <w:szCs w:val="36"/>
        </w:rPr>
        <w:t>-</w:t>
      </w:r>
      <w:r w:rsidRPr="0040028D">
        <w:rPr>
          <w:rFonts w:ascii="Calibri" w:eastAsiaTheme="minorEastAsia" w:hAnsi="Calibri" w:cs="Calibri"/>
          <w:color w:val="000000" w:themeColor="text1"/>
          <w:kern w:val="24"/>
          <w:sz w:val="36"/>
          <w:szCs w:val="36"/>
        </w:rPr>
        <w:t xml:space="preserve">shock </w:t>
      </w:r>
      <w:r w:rsidRPr="0040028D">
        <w:rPr>
          <w:rFonts w:ascii="Calibri" w:eastAsiaTheme="minorEastAsia" w:hAnsi="Calibri" w:cs="Calibri"/>
          <w:b/>
          <w:bCs/>
          <w:color w:val="000000" w:themeColor="text1"/>
          <w:kern w:val="24"/>
          <w:sz w:val="36"/>
          <w:szCs w:val="36"/>
        </w:rPr>
        <w:t>T</w:t>
      </w:r>
      <w:r w:rsidRPr="0040028D">
        <w:rPr>
          <w:rFonts w:ascii="Calibri" w:eastAsiaTheme="minorEastAsia" w:hAnsi="Calibri" w:cs="Calibri"/>
          <w:color w:val="000000" w:themeColor="text1"/>
          <w:kern w:val="24"/>
          <w:sz w:val="36"/>
          <w:szCs w:val="36"/>
        </w:rPr>
        <w:t>eam versus standard care in cardiogenic</w:t>
      </w:r>
      <w:r>
        <w:rPr>
          <w:rFonts w:ascii="Calibri" w:eastAsiaTheme="minorEastAsia" w:hAnsi="Calibri" w:cs="Calibri"/>
          <w:color w:val="000000" w:themeColor="text1"/>
          <w:kern w:val="24"/>
          <w:sz w:val="36"/>
          <w:szCs w:val="36"/>
        </w:rPr>
        <w:t xml:space="preserve"> </w:t>
      </w:r>
      <w:r w:rsidRPr="0040028D">
        <w:rPr>
          <w:rFonts w:ascii="Calibri" w:eastAsiaTheme="minorEastAsia" w:hAnsi="Calibri" w:cs="Calibri"/>
          <w:b/>
          <w:bCs/>
          <w:color w:val="000000" w:themeColor="text1"/>
          <w:kern w:val="24"/>
          <w:sz w:val="36"/>
          <w:szCs w:val="36"/>
        </w:rPr>
        <w:t>SHOCK</w:t>
      </w:r>
      <w:r>
        <w:rPr>
          <w:rFonts w:ascii="Calibri" w:eastAsiaTheme="minorEastAsia" w:hAnsi="Calibri" w:cs="Calibri"/>
          <w:b/>
          <w:bCs/>
          <w:color w:val="000000" w:themeColor="text1"/>
          <w:kern w:val="24"/>
          <w:sz w:val="36"/>
          <w:szCs w:val="36"/>
        </w:rPr>
        <w:t xml:space="preserve">: </w:t>
      </w:r>
      <w:r w:rsidRPr="00FD1291">
        <w:rPr>
          <w:rFonts w:ascii="Calibri" w:eastAsiaTheme="minorEastAsia" w:hAnsi="Calibri" w:cs="Calibri"/>
          <w:color w:val="000000" w:themeColor="text1"/>
          <w:kern w:val="24"/>
          <w:sz w:val="36"/>
          <w:szCs w:val="36"/>
        </w:rPr>
        <w:t>A single centre service evaluation project</w:t>
      </w:r>
    </w:p>
    <w:p w14:paraId="72893AF4" w14:textId="77777777" w:rsidR="004A522D" w:rsidRPr="00FD1291" w:rsidRDefault="004A522D" w:rsidP="004A522D">
      <w:pPr>
        <w:pStyle w:val="NormalWeb"/>
        <w:spacing w:before="200" w:beforeAutospacing="0" w:after="0" w:afterAutospacing="0" w:line="216" w:lineRule="auto"/>
        <w:jc w:val="center"/>
        <w:rPr>
          <w:rFonts w:ascii="Calibri" w:hAnsi="Calibri" w:cs="Calibri"/>
          <w:i/>
          <w:iCs/>
          <w:sz w:val="6"/>
          <w:szCs w:val="6"/>
        </w:rPr>
      </w:pPr>
      <w:r w:rsidRPr="00FD1291">
        <w:rPr>
          <w:rFonts w:ascii="Calibri" w:eastAsiaTheme="minorEastAsia" w:hAnsi="Calibri" w:cs="Calibri"/>
          <w:b/>
          <w:bCs/>
          <w:i/>
          <w:iCs/>
          <w:color w:val="000000" w:themeColor="text1"/>
          <w:kern w:val="24"/>
        </w:rPr>
        <w:t xml:space="preserve">ACT-SHOCK </w:t>
      </w:r>
    </w:p>
    <w:p w14:paraId="15A784E0" w14:textId="77777777" w:rsidR="004A522D" w:rsidRPr="0040028D" w:rsidRDefault="004A522D" w:rsidP="004A522D">
      <w:pPr>
        <w:spacing w:line="480" w:lineRule="auto"/>
        <w:rPr>
          <w:rFonts w:ascii="Calibri" w:hAnsi="Calibri" w:cs="Calibri"/>
          <w:color w:val="000000" w:themeColor="text1"/>
          <w:bdr w:val="none" w:sz="0" w:space="0" w:color="auto" w:frame="1"/>
          <w:shd w:val="clear" w:color="auto" w:fill="FFFFFF"/>
        </w:rPr>
      </w:pPr>
    </w:p>
    <w:p w14:paraId="56A13DF2" w14:textId="77777777" w:rsidR="004A522D" w:rsidRPr="0040028D"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p>
    <w:p w14:paraId="02D24C14"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Nitin Chandra Mohan</w:t>
      </w:r>
      <w:r w:rsidRPr="00291373">
        <w:rPr>
          <w:rFonts w:ascii="Calibri" w:hAnsi="Calibri" w:cs="Calibri"/>
          <w:color w:val="000000" w:themeColor="text1"/>
          <w:sz w:val="24"/>
          <w:szCs w:val="24"/>
          <w:bdr w:val="none" w:sz="0" w:space="0" w:color="auto" w:frame="1"/>
          <w:shd w:val="clear" w:color="auto" w:fill="FFFFFF"/>
          <w:vertAlign w:val="superscript"/>
        </w:rPr>
        <w:t>1,2</w:t>
      </w:r>
    </w:p>
    <w:p w14:paraId="58BD429A"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Matthew Govier</w:t>
      </w:r>
      <w:r w:rsidRPr="00291373">
        <w:rPr>
          <w:rFonts w:ascii="Calibri" w:hAnsi="Calibri" w:cs="Calibri"/>
          <w:color w:val="000000" w:themeColor="text1"/>
          <w:sz w:val="24"/>
          <w:szCs w:val="24"/>
          <w:bdr w:val="none" w:sz="0" w:space="0" w:color="auto" w:frame="1"/>
          <w:shd w:val="clear" w:color="auto" w:fill="FFFFFF"/>
          <w:vertAlign w:val="superscript"/>
        </w:rPr>
        <w:t>2</w:t>
      </w:r>
    </w:p>
    <w:p w14:paraId="6FB0F5A5"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Prof. Thomas Johnson</w:t>
      </w:r>
      <w:r w:rsidRPr="00291373">
        <w:rPr>
          <w:rFonts w:ascii="Calibri" w:hAnsi="Calibri" w:cs="Calibri"/>
          <w:color w:val="000000" w:themeColor="text1"/>
          <w:sz w:val="24"/>
          <w:szCs w:val="24"/>
          <w:bdr w:val="none" w:sz="0" w:space="0" w:color="auto" w:frame="1"/>
          <w:shd w:val="clear" w:color="auto" w:fill="FFFFFF"/>
          <w:vertAlign w:val="superscript"/>
        </w:rPr>
        <w:t>1,2</w:t>
      </w:r>
      <w:r w:rsidRPr="00291373">
        <w:rPr>
          <w:rFonts w:ascii="Calibri" w:hAnsi="Calibri" w:cs="Calibri"/>
          <w:color w:val="000000" w:themeColor="text1"/>
          <w:sz w:val="24"/>
          <w:szCs w:val="24"/>
          <w:bdr w:val="none" w:sz="0" w:space="0" w:color="auto" w:frame="1"/>
          <w:shd w:val="clear" w:color="auto" w:fill="FFFFFF"/>
        </w:rPr>
        <w:t xml:space="preserve"> </w:t>
      </w:r>
    </w:p>
    <w:p w14:paraId="72CCBAC4"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Dr. Gavin Richards</w:t>
      </w:r>
      <w:r w:rsidRPr="00291373">
        <w:rPr>
          <w:rFonts w:ascii="Calibri" w:hAnsi="Calibri" w:cs="Calibri"/>
          <w:color w:val="000000" w:themeColor="text1"/>
          <w:sz w:val="24"/>
          <w:szCs w:val="24"/>
          <w:bdr w:val="none" w:sz="0" w:space="0" w:color="auto" w:frame="1"/>
          <w:shd w:val="clear" w:color="auto" w:fill="FFFFFF"/>
          <w:vertAlign w:val="superscript"/>
        </w:rPr>
        <w:t>2</w:t>
      </w:r>
    </w:p>
    <w:p w14:paraId="3325ECE9"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Dr. Julian Strange</w:t>
      </w:r>
      <w:r w:rsidRPr="00291373">
        <w:rPr>
          <w:rFonts w:ascii="Calibri" w:hAnsi="Calibri" w:cs="Calibri"/>
          <w:color w:val="000000" w:themeColor="text1"/>
          <w:sz w:val="24"/>
          <w:szCs w:val="24"/>
          <w:bdr w:val="none" w:sz="0" w:space="0" w:color="auto" w:frame="1"/>
          <w:shd w:val="clear" w:color="auto" w:fill="FFFFFF"/>
          <w:vertAlign w:val="superscript"/>
        </w:rPr>
        <w:t>2</w:t>
      </w:r>
    </w:p>
    <w:p w14:paraId="50FE7C49"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Dr. Nikhil Joshi</w:t>
      </w:r>
      <w:r w:rsidRPr="00291373">
        <w:rPr>
          <w:rFonts w:ascii="Calibri" w:hAnsi="Calibri" w:cs="Calibri"/>
          <w:color w:val="000000" w:themeColor="text1"/>
          <w:sz w:val="24"/>
          <w:szCs w:val="24"/>
          <w:bdr w:val="none" w:sz="0" w:space="0" w:color="auto" w:frame="1"/>
          <w:shd w:val="clear" w:color="auto" w:fill="FFFFFF"/>
          <w:vertAlign w:val="superscript"/>
        </w:rPr>
        <w:t>2</w:t>
      </w:r>
    </w:p>
    <w:p w14:paraId="4DF2EDF6"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Stephen Dorman</w:t>
      </w:r>
      <w:r w:rsidRPr="00291373">
        <w:rPr>
          <w:rFonts w:ascii="Calibri" w:hAnsi="Calibri" w:cs="Calibri"/>
          <w:color w:val="000000" w:themeColor="text1"/>
          <w:sz w:val="24"/>
          <w:szCs w:val="24"/>
          <w:bdr w:val="none" w:sz="0" w:space="0" w:color="auto" w:frame="1"/>
          <w:shd w:val="clear" w:color="auto" w:fill="FFFFFF"/>
          <w:vertAlign w:val="superscript"/>
        </w:rPr>
        <w:t>2</w:t>
      </w:r>
      <w:r w:rsidRPr="00291373">
        <w:rPr>
          <w:rFonts w:ascii="Calibri" w:hAnsi="Calibri" w:cs="Calibri"/>
          <w:color w:val="000000" w:themeColor="text1"/>
          <w:sz w:val="24"/>
          <w:szCs w:val="24"/>
          <w:bdr w:val="none" w:sz="0" w:space="0" w:color="auto" w:frame="1"/>
          <w:shd w:val="clear" w:color="auto" w:fill="FFFFFF"/>
        </w:rPr>
        <w:t xml:space="preserve"> </w:t>
      </w:r>
    </w:p>
    <w:p w14:paraId="7B9FD05A"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Amardeep Dastidar</w:t>
      </w:r>
      <w:r w:rsidRPr="00291373">
        <w:rPr>
          <w:rFonts w:ascii="Calibri" w:hAnsi="Calibri" w:cs="Calibri"/>
          <w:color w:val="000000" w:themeColor="text1"/>
          <w:sz w:val="24"/>
          <w:szCs w:val="24"/>
          <w:bdr w:val="none" w:sz="0" w:space="0" w:color="auto" w:frame="1"/>
          <w:shd w:val="clear" w:color="auto" w:fill="FFFFFF"/>
          <w:vertAlign w:val="superscript"/>
        </w:rPr>
        <w:t>2</w:t>
      </w:r>
    </w:p>
    <w:p w14:paraId="3D0912AB"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Dr. Ioannis Felekos</w:t>
      </w:r>
      <w:r w:rsidRPr="00291373">
        <w:rPr>
          <w:rFonts w:ascii="Calibri" w:hAnsi="Calibri" w:cs="Calibri"/>
          <w:color w:val="000000" w:themeColor="text1"/>
          <w:sz w:val="24"/>
          <w:szCs w:val="24"/>
          <w:bdr w:val="none" w:sz="0" w:space="0" w:color="auto" w:frame="1"/>
          <w:shd w:val="clear" w:color="auto" w:fill="FFFFFF"/>
          <w:vertAlign w:val="superscript"/>
        </w:rPr>
        <w:t>2</w:t>
      </w:r>
    </w:p>
    <w:p w14:paraId="201DFB45"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 xml:space="preserve">Dr. </w:t>
      </w:r>
      <w:proofErr w:type="spellStart"/>
      <w:r w:rsidRPr="00291373">
        <w:rPr>
          <w:rFonts w:ascii="Calibri" w:hAnsi="Calibri" w:cs="Calibri"/>
          <w:color w:val="000000" w:themeColor="text1"/>
          <w:sz w:val="24"/>
          <w:szCs w:val="24"/>
          <w:bdr w:val="none" w:sz="0" w:space="0" w:color="auto" w:frame="1"/>
          <w:shd w:val="clear" w:color="auto" w:fill="FFFFFF"/>
        </w:rPr>
        <w:t>Novalia</w:t>
      </w:r>
      <w:proofErr w:type="spellEnd"/>
      <w:r w:rsidRPr="00291373">
        <w:rPr>
          <w:rFonts w:ascii="Calibri" w:hAnsi="Calibri" w:cs="Calibri"/>
          <w:color w:val="000000" w:themeColor="text1"/>
          <w:sz w:val="24"/>
          <w:szCs w:val="24"/>
          <w:bdr w:val="none" w:sz="0" w:space="0" w:color="auto" w:frame="1"/>
          <w:shd w:val="clear" w:color="auto" w:fill="FFFFFF"/>
        </w:rPr>
        <w:t xml:space="preserve"> Sidik</w:t>
      </w:r>
      <w:r w:rsidRPr="00291373">
        <w:rPr>
          <w:rFonts w:ascii="Calibri" w:hAnsi="Calibri" w:cs="Calibri"/>
          <w:color w:val="000000" w:themeColor="text1"/>
          <w:sz w:val="24"/>
          <w:szCs w:val="24"/>
          <w:bdr w:val="none" w:sz="0" w:space="0" w:color="auto" w:frame="1"/>
          <w:shd w:val="clear" w:color="auto" w:fill="FFFFFF"/>
          <w:vertAlign w:val="superscript"/>
        </w:rPr>
        <w:t>2</w:t>
      </w:r>
    </w:p>
    <w:p w14:paraId="393D550B"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Dr. Stefan Gurney</w:t>
      </w:r>
      <w:r w:rsidRPr="00291373">
        <w:rPr>
          <w:rFonts w:ascii="Calibri" w:hAnsi="Calibri" w:cs="Calibri"/>
          <w:color w:val="000000" w:themeColor="text1"/>
          <w:sz w:val="24"/>
          <w:szCs w:val="24"/>
          <w:bdr w:val="none" w:sz="0" w:space="0" w:color="auto" w:frame="1"/>
          <w:shd w:val="clear" w:color="auto" w:fill="FFFFFF"/>
          <w:vertAlign w:val="superscript"/>
        </w:rPr>
        <w:t>2</w:t>
      </w:r>
    </w:p>
    <w:p w14:paraId="00F44BB6"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lang w:val="fr-FR"/>
        </w:rPr>
      </w:pPr>
      <w:r w:rsidRPr="00291373">
        <w:rPr>
          <w:rFonts w:ascii="Calibri" w:hAnsi="Calibri" w:cs="Calibri"/>
          <w:color w:val="000000" w:themeColor="text1"/>
          <w:sz w:val="24"/>
          <w:szCs w:val="24"/>
          <w:bdr w:val="none" w:sz="0" w:space="0" w:color="auto" w:frame="1"/>
          <w:shd w:val="clear" w:color="auto" w:fill="FFFFFF"/>
          <w:lang w:val="fr-FR"/>
        </w:rPr>
        <w:t>Dr. Christopher Bourdeaux</w:t>
      </w:r>
      <w:r w:rsidRPr="00291373">
        <w:rPr>
          <w:rFonts w:ascii="Calibri" w:hAnsi="Calibri" w:cs="Calibri"/>
          <w:color w:val="000000" w:themeColor="text1"/>
          <w:sz w:val="24"/>
          <w:szCs w:val="24"/>
          <w:bdr w:val="none" w:sz="0" w:space="0" w:color="auto" w:frame="1"/>
          <w:shd w:val="clear" w:color="auto" w:fill="FFFFFF"/>
          <w:vertAlign w:val="superscript"/>
          <w:lang w:val="fr-FR"/>
        </w:rPr>
        <w:t>2</w:t>
      </w:r>
    </w:p>
    <w:p w14:paraId="370927E3"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lang w:val="fr-FR"/>
        </w:rPr>
      </w:pPr>
      <w:r w:rsidRPr="00291373">
        <w:rPr>
          <w:rFonts w:ascii="Calibri" w:hAnsi="Calibri" w:cs="Calibri"/>
          <w:color w:val="000000" w:themeColor="text1"/>
          <w:sz w:val="24"/>
          <w:szCs w:val="24"/>
          <w:bdr w:val="none" w:sz="0" w:space="0" w:color="auto" w:frame="1"/>
          <w:shd w:val="clear" w:color="auto" w:fill="FFFFFF"/>
          <w:lang w:val="fr-FR"/>
        </w:rPr>
        <w:t>Dr. Andrew Grant</w:t>
      </w:r>
      <w:r w:rsidRPr="00291373">
        <w:rPr>
          <w:rFonts w:ascii="Calibri" w:hAnsi="Calibri" w:cs="Calibri"/>
          <w:color w:val="000000" w:themeColor="text1"/>
          <w:sz w:val="24"/>
          <w:szCs w:val="24"/>
          <w:bdr w:val="none" w:sz="0" w:space="0" w:color="auto" w:frame="1"/>
          <w:shd w:val="clear" w:color="auto" w:fill="FFFFFF"/>
          <w:vertAlign w:val="superscript"/>
          <w:lang w:val="fr-FR"/>
        </w:rPr>
        <w:t>2</w:t>
      </w:r>
    </w:p>
    <w:p w14:paraId="754BEDBA"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lang w:val="nb-NO"/>
        </w:rPr>
      </w:pPr>
      <w:r w:rsidRPr="00291373">
        <w:rPr>
          <w:rFonts w:ascii="Calibri" w:hAnsi="Calibri" w:cs="Calibri"/>
          <w:color w:val="000000" w:themeColor="text1"/>
          <w:sz w:val="24"/>
          <w:szCs w:val="24"/>
          <w:bdr w:val="none" w:sz="0" w:space="0" w:color="auto" w:frame="1"/>
          <w:shd w:val="clear" w:color="auto" w:fill="FFFFFF"/>
          <w:lang w:val="nb-NO"/>
        </w:rPr>
        <w:t>Dr. Kieran Oglesby</w:t>
      </w:r>
      <w:r w:rsidRPr="00291373">
        <w:rPr>
          <w:rFonts w:ascii="Calibri" w:hAnsi="Calibri" w:cs="Calibri"/>
          <w:color w:val="000000" w:themeColor="text1"/>
          <w:sz w:val="24"/>
          <w:szCs w:val="24"/>
          <w:bdr w:val="none" w:sz="0" w:space="0" w:color="auto" w:frame="1"/>
          <w:shd w:val="clear" w:color="auto" w:fill="FFFFFF"/>
          <w:vertAlign w:val="superscript"/>
          <w:lang w:val="nb-NO"/>
        </w:rPr>
        <w:t>2</w:t>
      </w:r>
    </w:p>
    <w:p w14:paraId="7CEC020F"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lang w:val="nb-NO"/>
        </w:rPr>
      </w:pPr>
      <w:r w:rsidRPr="00291373">
        <w:rPr>
          <w:rFonts w:ascii="Calibri" w:hAnsi="Calibri" w:cs="Calibri"/>
          <w:color w:val="000000" w:themeColor="text1"/>
          <w:sz w:val="24"/>
          <w:szCs w:val="24"/>
          <w:bdr w:val="none" w:sz="0" w:space="0" w:color="auto" w:frame="1"/>
          <w:shd w:val="clear" w:color="auto" w:fill="FFFFFF"/>
          <w:lang w:val="nb-NO"/>
        </w:rPr>
        <w:t>Dr. George Baker</w:t>
      </w:r>
      <w:r w:rsidRPr="00291373">
        <w:rPr>
          <w:rFonts w:ascii="Calibri" w:hAnsi="Calibri" w:cs="Calibri"/>
          <w:color w:val="000000" w:themeColor="text1"/>
          <w:sz w:val="24"/>
          <w:szCs w:val="24"/>
          <w:bdr w:val="none" w:sz="0" w:space="0" w:color="auto" w:frame="1"/>
          <w:shd w:val="clear" w:color="auto" w:fill="FFFFFF"/>
          <w:vertAlign w:val="superscript"/>
          <w:lang w:val="nb-NO"/>
        </w:rPr>
        <w:t>2</w:t>
      </w:r>
    </w:p>
    <w:p w14:paraId="1DC8B419" w14:textId="77777777" w:rsidR="00BB3C8B" w:rsidRDefault="00BB3C8B" w:rsidP="004A522D">
      <w:pPr>
        <w:spacing w:line="480" w:lineRule="auto"/>
        <w:rPr>
          <w:rFonts w:ascii="Calibri" w:hAnsi="Calibri" w:cs="Calibri"/>
          <w:color w:val="000000" w:themeColor="text1"/>
          <w:sz w:val="24"/>
          <w:szCs w:val="24"/>
          <w:bdr w:val="none" w:sz="0" w:space="0" w:color="auto" w:frame="1"/>
          <w:shd w:val="clear" w:color="auto" w:fill="FFFFFF"/>
          <w:lang w:val="nb-NO"/>
        </w:rPr>
        <w:sectPr w:rsidR="00BB3C8B" w:rsidSect="00840CEF">
          <w:headerReference w:type="even" r:id="rId8"/>
          <w:headerReference w:type="default" r:id="rId9"/>
          <w:pgSz w:w="11906" w:h="16838"/>
          <w:pgMar w:top="1440" w:right="1440" w:bottom="1440" w:left="1440" w:header="708" w:footer="708" w:gutter="0"/>
          <w:cols w:space="708"/>
          <w:docGrid w:linePitch="360"/>
        </w:sectPr>
      </w:pPr>
    </w:p>
    <w:p w14:paraId="051805A5"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lang w:val="nb-NO"/>
        </w:rPr>
      </w:pPr>
      <w:r w:rsidRPr="00291373">
        <w:rPr>
          <w:rFonts w:ascii="Calibri" w:hAnsi="Calibri" w:cs="Calibri"/>
          <w:color w:val="000000" w:themeColor="text1"/>
          <w:sz w:val="24"/>
          <w:szCs w:val="24"/>
          <w:bdr w:val="none" w:sz="0" w:space="0" w:color="auto" w:frame="1"/>
          <w:shd w:val="clear" w:color="auto" w:fill="FFFFFF"/>
          <w:lang w:val="nb-NO"/>
        </w:rPr>
        <w:lastRenderedPageBreak/>
        <w:t>Dr. Sodiq Yaya</w:t>
      </w:r>
      <w:r w:rsidRPr="00291373">
        <w:rPr>
          <w:rFonts w:ascii="Calibri" w:hAnsi="Calibri" w:cs="Calibri"/>
          <w:color w:val="000000" w:themeColor="text1"/>
          <w:sz w:val="24"/>
          <w:szCs w:val="24"/>
          <w:bdr w:val="none" w:sz="0" w:space="0" w:color="auto" w:frame="1"/>
          <w:shd w:val="clear" w:color="auto" w:fill="FFFFFF"/>
          <w:vertAlign w:val="superscript"/>
          <w:lang w:val="nb-NO"/>
        </w:rPr>
        <w:t>2</w:t>
      </w:r>
    </w:p>
    <w:p w14:paraId="059D38BA"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Pr>
          <w:rFonts w:ascii="Calibri" w:hAnsi="Calibri" w:cs="Calibri"/>
          <w:color w:val="000000" w:themeColor="text1"/>
          <w:sz w:val="24"/>
          <w:szCs w:val="24"/>
          <w:bdr w:val="none" w:sz="0" w:space="0" w:color="auto" w:frame="1"/>
          <w:shd w:val="clear" w:color="auto" w:fill="FFFFFF"/>
        </w:rPr>
        <w:t>Prof</w:t>
      </w:r>
      <w:r w:rsidRPr="00291373">
        <w:rPr>
          <w:rFonts w:ascii="Calibri" w:hAnsi="Calibri" w:cs="Calibri"/>
          <w:color w:val="000000" w:themeColor="text1"/>
          <w:sz w:val="24"/>
          <w:szCs w:val="24"/>
          <w:bdr w:val="none" w:sz="0" w:space="0" w:color="auto" w:frame="1"/>
          <w:shd w:val="clear" w:color="auto" w:fill="FFFFFF"/>
        </w:rPr>
        <w:t>. Thomas R Keeble</w:t>
      </w:r>
      <w:r w:rsidRPr="00291373">
        <w:rPr>
          <w:rFonts w:ascii="Calibri" w:hAnsi="Calibri" w:cs="Calibri"/>
          <w:color w:val="000000" w:themeColor="text1"/>
          <w:sz w:val="24"/>
          <w:szCs w:val="24"/>
          <w:bdr w:val="none" w:sz="0" w:space="0" w:color="auto" w:frame="1"/>
          <w:shd w:val="clear" w:color="auto" w:fill="FFFFFF"/>
          <w:vertAlign w:val="superscript"/>
        </w:rPr>
        <w:t>3,4</w:t>
      </w:r>
    </w:p>
    <w:p w14:paraId="7B95EA5E"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Nilesh Pareek</w:t>
      </w:r>
      <w:r>
        <w:rPr>
          <w:rFonts w:ascii="Calibri" w:hAnsi="Calibri" w:cs="Calibri"/>
          <w:color w:val="000000" w:themeColor="text1"/>
          <w:sz w:val="24"/>
          <w:szCs w:val="24"/>
          <w:bdr w:val="none" w:sz="0" w:space="0" w:color="auto" w:frame="1"/>
          <w:shd w:val="clear" w:color="auto" w:fill="FFFFFF"/>
          <w:vertAlign w:val="superscript"/>
        </w:rPr>
        <w:t>5,6</w:t>
      </w:r>
    </w:p>
    <w:p w14:paraId="414D1E32"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Paul Rees</w:t>
      </w:r>
      <w:r>
        <w:rPr>
          <w:rFonts w:ascii="Calibri" w:hAnsi="Calibri" w:cs="Calibri"/>
          <w:color w:val="000000" w:themeColor="text1"/>
          <w:sz w:val="24"/>
          <w:szCs w:val="24"/>
          <w:bdr w:val="none" w:sz="0" w:space="0" w:color="auto" w:frame="1"/>
          <w:shd w:val="clear" w:color="auto" w:fill="FFFFFF"/>
          <w:vertAlign w:val="superscript"/>
        </w:rPr>
        <w:t>7</w:t>
      </w:r>
    </w:p>
    <w:p w14:paraId="468C3C5B"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vertAlign w:val="superscript"/>
        </w:rPr>
      </w:pPr>
      <w:r w:rsidRPr="00291373">
        <w:rPr>
          <w:rFonts w:ascii="Calibri" w:hAnsi="Calibri" w:cs="Calibri"/>
          <w:color w:val="000000" w:themeColor="text1"/>
          <w:sz w:val="24"/>
          <w:szCs w:val="24"/>
          <w:bdr w:val="none" w:sz="0" w:space="0" w:color="auto" w:frame="1"/>
          <w:shd w:val="clear" w:color="auto" w:fill="FFFFFF"/>
        </w:rPr>
        <w:t>Prof. Nick Curzen</w:t>
      </w:r>
      <w:r>
        <w:rPr>
          <w:rFonts w:ascii="Calibri" w:hAnsi="Calibri" w:cs="Calibri"/>
          <w:color w:val="000000" w:themeColor="text1"/>
          <w:sz w:val="24"/>
          <w:szCs w:val="24"/>
          <w:bdr w:val="none" w:sz="0" w:space="0" w:color="auto" w:frame="1"/>
          <w:shd w:val="clear" w:color="auto" w:fill="FFFFFF"/>
          <w:vertAlign w:val="superscript"/>
        </w:rPr>
        <w:t>8</w:t>
      </w:r>
      <w:r w:rsidRPr="00291373">
        <w:rPr>
          <w:rFonts w:ascii="Calibri" w:hAnsi="Calibri" w:cs="Calibri"/>
          <w:color w:val="000000" w:themeColor="text1"/>
          <w:sz w:val="24"/>
          <w:szCs w:val="24"/>
          <w:bdr w:val="none" w:sz="0" w:space="0" w:color="auto" w:frame="1"/>
          <w:shd w:val="clear" w:color="auto" w:fill="FFFFFF"/>
          <w:vertAlign w:val="superscript"/>
        </w:rPr>
        <w:t>,</w:t>
      </w:r>
      <w:r>
        <w:rPr>
          <w:rFonts w:ascii="Calibri" w:hAnsi="Calibri" w:cs="Calibri"/>
          <w:color w:val="000000" w:themeColor="text1"/>
          <w:sz w:val="24"/>
          <w:szCs w:val="24"/>
          <w:bdr w:val="none" w:sz="0" w:space="0" w:color="auto" w:frame="1"/>
          <w:shd w:val="clear" w:color="auto" w:fill="FFFFFF"/>
          <w:vertAlign w:val="superscript"/>
        </w:rPr>
        <w:t>9</w:t>
      </w:r>
    </w:p>
    <w:p w14:paraId="0CF440E2"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Dr. Mark Mariathas</w:t>
      </w:r>
      <w:r w:rsidRPr="00291373">
        <w:rPr>
          <w:rFonts w:ascii="Calibri" w:hAnsi="Calibri" w:cs="Calibri"/>
          <w:color w:val="000000" w:themeColor="text1"/>
          <w:sz w:val="24"/>
          <w:szCs w:val="24"/>
          <w:bdr w:val="none" w:sz="0" w:space="0" w:color="auto" w:frame="1"/>
          <w:shd w:val="clear" w:color="auto" w:fill="FFFFFF"/>
          <w:vertAlign w:val="superscript"/>
        </w:rPr>
        <w:t>2</w:t>
      </w:r>
      <w:r w:rsidRPr="00291373">
        <w:rPr>
          <w:rFonts w:ascii="Calibri" w:hAnsi="Calibri" w:cs="Calibri"/>
          <w:color w:val="000000" w:themeColor="text1"/>
          <w:sz w:val="24"/>
          <w:szCs w:val="24"/>
          <w:bdr w:val="none" w:sz="0" w:space="0" w:color="auto" w:frame="1"/>
          <w:shd w:val="clear" w:color="auto" w:fill="FFFFFF"/>
        </w:rPr>
        <w:t xml:space="preserve"> </w:t>
      </w:r>
    </w:p>
    <w:p w14:paraId="1169DF11" w14:textId="77777777" w:rsidR="004A522D" w:rsidRPr="00291373" w:rsidRDefault="004A522D" w:rsidP="004A522D">
      <w:pPr>
        <w:spacing w:line="480" w:lineRule="auto"/>
        <w:rPr>
          <w:rFonts w:ascii="Calibri" w:hAnsi="Calibri" w:cs="Calibri"/>
          <w:b/>
          <w:bCs/>
          <w:color w:val="000000" w:themeColor="text1"/>
          <w:sz w:val="24"/>
          <w:szCs w:val="24"/>
          <w:bdr w:val="none" w:sz="0" w:space="0" w:color="auto" w:frame="1"/>
          <w:shd w:val="clear" w:color="auto" w:fill="FFFFFF"/>
        </w:rPr>
      </w:pPr>
      <w:r w:rsidRPr="00291373">
        <w:rPr>
          <w:rFonts w:ascii="Calibri" w:hAnsi="Calibri" w:cs="Calibri"/>
          <w:b/>
          <w:bCs/>
          <w:color w:val="000000" w:themeColor="text1"/>
          <w:sz w:val="24"/>
          <w:szCs w:val="24"/>
          <w:bdr w:val="none" w:sz="0" w:space="0" w:color="auto" w:frame="1"/>
          <w:shd w:val="clear" w:color="auto" w:fill="FFFFFF"/>
        </w:rPr>
        <w:t>Affiliations:</w:t>
      </w:r>
    </w:p>
    <w:p w14:paraId="259F5529" w14:textId="77777777" w:rsidR="004A522D" w:rsidRPr="00291373" w:rsidRDefault="004A522D" w:rsidP="004A522D">
      <w:pPr>
        <w:spacing w:line="480" w:lineRule="auto"/>
        <w:rPr>
          <w:rFonts w:ascii="Calibri" w:hAnsi="Calibri" w:cs="Calibri"/>
          <w:color w:val="000000" w:themeColor="text1"/>
          <w:sz w:val="24"/>
          <w:szCs w:val="24"/>
        </w:rPr>
      </w:pPr>
      <w:r w:rsidRPr="00291373">
        <w:rPr>
          <w:rFonts w:ascii="Calibri" w:hAnsi="Calibri" w:cs="Calibri"/>
          <w:color w:val="000000" w:themeColor="text1"/>
          <w:sz w:val="24"/>
          <w:szCs w:val="24"/>
          <w:bdr w:val="none" w:sz="0" w:space="0" w:color="auto" w:frame="1"/>
          <w:shd w:val="clear" w:color="auto" w:fill="FFFFFF"/>
          <w:vertAlign w:val="superscript"/>
        </w:rPr>
        <w:t>1</w:t>
      </w:r>
      <w:r w:rsidRPr="00291373">
        <w:rPr>
          <w:rFonts w:ascii="Calibri" w:hAnsi="Calibri" w:cs="Calibri"/>
          <w:color w:val="000000" w:themeColor="text1"/>
          <w:sz w:val="24"/>
          <w:szCs w:val="24"/>
          <w:bdr w:val="none" w:sz="0" w:space="0" w:color="auto" w:frame="1"/>
          <w:shd w:val="clear" w:color="auto" w:fill="FFFFFF"/>
        </w:rPr>
        <w:t xml:space="preserve"> U</w:t>
      </w:r>
      <w:r w:rsidRPr="00291373">
        <w:rPr>
          <w:rFonts w:ascii="Calibri" w:hAnsi="Calibri" w:cs="Calibri"/>
          <w:sz w:val="24"/>
          <w:szCs w:val="24"/>
        </w:rPr>
        <w:t xml:space="preserve">niversity of Bristol, Translational Health Sciences, Level 7, Queen’s Building, Bristol Royal </w:t>
      </w:r>
      <w:r w:rsidRPr="00291373">
        <w:rPr>
          <w:rFonts w:ascii="Calibri" w:hAnsi="Calibri" w:cs="Calibri"/>
          <w:color w:val="000000" w:themeColor="text1"/>
          <w:sz w:val="24"/>
          <w:szCs w:val="24"/>
        </w:rPr>
        <w:t>Infirmary, BS2 8HW, United Kingdom.</w:t>
      </w:r>
    </w:p>
    <w:p w14:paraId="6C92D265" w14:textId="77777777" w:rsidR="004A522D" w:rsidRPr="00291373" w:rsidRDefault="004A522D" w:rsidP="004A522D">
      <w:pPr>
        <w:spacing w:line="480" w:lineRule="auto"/>
        <w:rPr>
          <w:rFonts w:ascii="Calibri" w:hAnsi="Calibri" w:cs="Calibri"/>
          <w:color w:val="000000" w:themeColor="text1"/>
          <w:sz w:val="24"/>
          <w:szCs w:val="24"/>
        </w:rPr>
      </w:pPr>
      <w:r w:rsidRPr="00291373">
        <w:rPr>
          <w:rFonts w:ascii="Calibri" w:hAnsi="Calibri" w:cs="Calibri"/>
          <w:color w:val="000000" w:themeColor="text1"/>
          <w:sz w:val="24"/>
          <w:szCs w:val="24"/>
          <w:vertAlign w:val="superscript"/>
        </w:rPr>
        <w:t>2</w:t>
      </w:r>
      <w:r w:rsidRPr="00291373">
        <w:rPr>
          <w:rFonts w:ascii="Calibri" w:hAnsi="Calibri" w:cs="Calibri"/>
          <w:sz w:val="24"/>
          <w:szCs w:val="24"/>
        </w:rPr>
        <w:t xml:space="preserve"> </w:t>
      </w:r>
      <w:r w:rsidRPr="00291373">
        <w:rPr>
          <w:rFonts w:ascii="Calibri" w:hAnsi="Calibri" w:cs="Calibri"/>
          <w:color w:val="000000" w:themeColor="text1"/>
          <w:sz w:val="24"/>
          <w:szCs w:val="24"/>
        </w:rPr>
        <w:t>Bristol Heart Institute, University Hospitals Bristol and Weston, Terrell Street, Bristol, BS2 8ED</w:t>
      </w:r>
    </w:p>
    <w:p w14:paraId="579E57FD" w14:textId="77777777" w:rsidR="004A522D" w:rsidRPr="00291373" w:rsidRDefault="004A522D" w:rsidP="004A522D">
      <w:pPr>
        <w:spacing w:line="480" w:lineRule="auto"/>
        <w:rPr>
          <w:rFonts w:ascii="Calibri" w:hAnsi="Calibri" w:cs="Calibri"/>
          <w:color w:val="000000" w:themeColor="text1"/>
          <w:sz w:val="24"/>
          <w:szCs w:val="24"/>
        </w:rPr>
      </w:pPr>
      <w:r w:rsidRPr="00291373">
        <w:rPr>
          <w:rFonts w:ascii="Calibri" w:hAnsi="Calibri" w:cs="Calibri"/>
          <w:color w:val="000000" w:themeColor="text1"/>
          <w:sz w:val="24"/>
          <w:szCs w:val="24"/>
          <w:vertAlign w:val="superscript"/>
        </w:rPr>
        <w:t>3</w:t>
      </w:r>
      <w:r w:rsidRPr="00291373">
        <w:rPr>
          <w:rFonts w:ascii="Calibri" w:hAnsi="Calibri" w:cs="Calibri"/>
          <w:color w:val="000000" w:themeColor="text1"/>
          <w:sz w:val="24"/>
          <w:szCs w:val="24"/>
        </w:rPr>
        <w:t xml:space="preserve"> </w:t>
      </w:r>
      <w:r w:rsidRPr="00681C5A">
        <w:rPr>
          <w:rFonts w:ascii="Calibri" w:hAnsi="Calibri" w:cs="Calibri"/>
          <w:color w:val="000000" w:themeColor="text1"/>
          <w:sz w:val="24"/>
          <w:szCs w:val="24"/>
        </w:rPr>
        <w:t xml:space="preserve">The Essex Cardiothoracic Centre, </w:t>
      </w:r>
      <w:r>
        <w:rPr>
          <w:rFonts w:ascii="Calibri" w:hAnsi="Calibri" w:cs="Calibri"/>
          <w:color w:val="000000" w:themeColor="text1"/>
          <w:sz w:val="24"/>
          <w:szCs w:val="24"/>
        </w:rPr>
        <w:t xml:space="preserve">MSE NHSFT, </w:t>
      </w:r>
      <w:r w:rsidRPr="00681C5A">
        <w:rPr>
          <w:rFonts w:ascii="Calibri" w:hAnsi="Calibri" w:cs="Calibri"/>
          <w:color w:val="000000" w:themeColor="text1"/>
          <w:sz w:val="24"/>
          <w:szCs w:val="24"/>
        </w:rPr>
        <w:t>Basildo</w:t>
      </w:r>
      <w:r>
        <w:rPr>
          <w:rFonts w:ascii="Calibri" w:hAnsi="Calibri" w:cs="Calibri"/>
          <w:color w:val="000000" w:themeColor="text1"/>
          <w:sz w:val="24"/>
          <w:szCs w:val="24"/>
        </w:rPr>
        <w:t>n, UK</w:t>
      </w:r>
    </w:p>
    <w:p w14:paraId="70A262F1" w14:textId="77777777" w:rsidR="004A522D" w:rsidRPr="00291373" w:rsidRDefault="004A522D" w:rsidP="004A522D">
      <w:pPr>
        <w:spacing w:line="480" w:lineRule="auto"/>
        <w:rPr>
          <w:rFonts w:ascii="Calibri" w:hAnsi="Calibri" w:cs="Calibri"/>
          <w:color w:val="000000" w:themeColor="text1"/>
          <w:sz w:val="24"/>
          <w:szCs w:val="24"/>
        </w:rPr>
      </w:pPr>
      <w:r w:rsidRPr="00291373">
        <w:rPr>
          <w:rFonts w:ascii="Calibri" w:hAnsi="Calibri" w:cs="Calibri"/>
          <w:color w:val="000000" w:themeColor="text1"/>
          <w:sz w:val="24"/>
          <w:szCs w:val="24"/>
          <w:vertAlign w:val="superscript"/>
        </w:rPr>
        <w:t>4</w:t>
      </w:r>
      <w:r w:rsidRPr="00291373">
        <w:rPr>
          <w:rFonts w:ascii="Calibri" w:hAnsi="Calibri" w:cs="Calibri"/>
          <w:color w:val="000000" w:themeColor="text1"/>
          <w:sz w:val="24"/>
          <w:szCs w:val="24"/>
        </w:rPr>
        <w:t xml:space="preserve">Anglia Ruskin School of Medicine </w:t>
      </w:r>
      <w:r>
        <w:rPr>
          <w:rFonts w:ascii="Calibri" w:hAnsi="Calibri" w:cs="Calibri"/>
          <w:color w:val="000000" w:themeColor="text1"/>
          <w:sz w:val="24"/>
          <w:szCs w:val="24"/>
        </w:rPr>
        <w:t>&amp;</w:t>
      </w:r>
      <w:r w:rsidRPr="00291373">
        <w:rPr>
          <w:rFonts w:ascii="Calibri" w:hAnsi="Calibri" w:cs="Calibri"/>
          <w:color w:val="000000" w:themeColor="text1"/>
          <w:sz w:val="24"/>
          <w:szCs w:val="24"/>
        </w:rPr>
        <w:t xml:space="preserve"> MTRC, Chelmsford, Essex, UK</w:t>
      </w:r>
    </w:p>
    <w:p w14:paraId="20BAB62F" w14:textId="77777777" w:rsidR="004A522D" w:rsidRDefault="004A522D" w:rsidP="004A522D">
      <w:pPr>
        <w:spacing w:line="480" w:lineRule="auto"/>
        <w:rPr>
          <w:rFonts w:ascii="Calibri" w:hAnsi="Calibri" w:cs="Calibri"/>
          <w:color w:val="000000" w:themeColor="text1"/>
          <w:sz w:val="24"/>
          <w:szCs w:val="24"/>
        </w:rPr>
      </w:pPr>
      <w:r w:rsidRPr="00291373">
        <w:rPr>
          <w:rFonts w:ascii="Calibri" w:hAnsi="Calibri" w:cs="Calibri"/>
          <w:color w:val="000000" w:themeColor="text1"/>
          <w:sz w:val="24"/>
          <w:szCs w:val="24"/>
          <w:vertAlign w:val="superscript"/>
        </w:rPr>
        <w:t>5</w:t>
      </w:r>
      <w:r w:rsidRPr="00291373">
        <w:rPr>
          <w:rFonts w:ascii="Calibri" w:hAnsi="Calibri" w:cs="Calibri"/>
          <w:color w:val="000000" w:themeColor="text1"/>
          <w:sz w:val="24"/>
          <w:szCs w:val="24"/>
        </w:rPr>
        <w:t>King's College Hospital NHS Foundation Trust, Denmark Hill, London, SE5 9RS</w:t>
      </w:r>
    </w:p>
    <w:p w14:paraId="35EBDBA7" w14:textId="77777777" w:rsidR="004A522D" w:rsidRPr="005C3B5C" w:rsidRDefault="004A522D" w:rsidP="004A522D">
      <w:pPr>
        <w:spacing w:line="480" w:lineRule="auto"/>
        <w:rPr>
          <w:rFonts w:ascii="Calibri" w:hAnsi="Calibri" w:cs="Calibri"/>
          <w:color w:val="000000" w:themeColor="text1"/>
          <w:sz w:val="24"/>
          <w:szCs w:val="24"/>
        </w:rPr>
      </w:pPr>
      <w:r>
        <w:rPr>
          <w:rFonts w:ascii="Calibri" w:hAnsi="Calibri" w:cs="Calibri"/>
          <w:color w:val="000000" w:themeColor="text1"/>
          <w:sz w:val="24"/>
          <w:szCs w:val="24"/>
          <w:vertAlign w:val="superscript"/>
        </w:rPr>
        <w:t>6</w:t>
      </w:r>
      <w:r>
        <w:rPr>
          <w:rFonts w:ascii="Calibri" w:hAnsi="Calibri" w:cs="Calibri"/>
          <w:color w:val="000000" w:themeColor="text1"/>
          <w:sz w:val="24"/>
          <w:szCs w:val="24"/>
        </w:rPr>
        <w:t xml:space="preserve"> </w:t>
      </w:r>
      <w:r w:rsidRPr="000E784F">
        <w:rPr>
          <w:rFonts w:ascii="Calibri" w:hAnsi="Calibri" w:cs="Calibri"/>
          <w:color w:val="000000" w:themeColor="text1"/>
          <w:sz w:val="24"/>
          <w:szCs w:val="24"/>
        </w:rPr>
        <w:t>School of Cardiovascular and Metabolic Medicine &amp; Sciences, British Heart Foundation Centre of Excellence, King’s College London</w:t>
      </w:r>
    </w:p>
    <w:p w14:paraId="34566073" w14:textId="77777777" w:rsidR="004A522D" w:rsidRPr="00291373" w:rsidRDefault="004A522D" w:rsidP="004A522D">
      <w:pPr>
        <w:spacing w:line="480" w:lineRule="auto"/>
        <w:rPr>
          <w:rFonts w:ascii="Calibri" w:hAnsi="Calibri" w:cs="Calibri"/>
          <w:color w:val="000000" w:themeColor="text1"/>
          <w:sz w:val="24"/>
          <w:szCs w:val="24"/>
        </w:rPr>
      </w:pPr>
      <w:r>
        <w:rPr>
          <w:rFonts w:ascii="Calibri" w:hAnsi="Calibri" w:cs="Calibri"/>
          <w:color w:val="000000" w:themeColor="text1"/>
          <w:sz w:val="24"/>
          <w:szCs w:val="24"/>
          <w:vertAlign w:val="superscript"/>
        </w:rPr>
        <w:t>7</w:t>
      </w:r>
      <w:r w:rsidRPr="00291373">
        <w:rPr>
          <w:rFonts w:ascii="Calibri" w:hAnsi="Calibri" w:cs="Calibri"/>
          <w:color w:val="000000" w:themeColor="text1"/>
          <w:sz w:val="24"/>
          <w:szCs w:val="24"/>
          <w:vertAlign w:val="superscript"/>
        </w:rPr>
        <w:t xml:space="preserve"> </w:t>
      </w:r>
      <w:r w:rsidRPr="00291373">
        <w:rPr>
          <w:rFonts w:ascii="Calibri" w:hAnsi="Calibri" w:cs="Calibri"/>
          <w:color w:val="000000" w:themeColor="text1"/>
          <w:sz w:val="24"/>
          <w:szCs w:val="24"/>
        </w:rPr>
        <w:t>Barts Heart Centre, St Bartholomew’s Hospital, London EC1A 7BE</w:t>
      </w:r>
    </w:p>
    <w:p w14:paraId="70BED9E4" w14:textId="77777777" w:rsidR="004A522D" w:rsidRPr="00291373" w:rsidRDefault="004A522D" w:rsidP="004A522D">
      <w:pPr>
        <w:spacing w:line="480" w:lineRule="auto"/>
        <w:rPr>
          <w:rFonts w:ascii="Calibri" w:hAnsi="Calibri" w:cs="Calibri"/>
          <w:color w:val="000000" w:themeColor="text1"/>
          <w:sz w:val="24"/>
          <w:szCs w:val="24"/>
        </w:rPr>
      </w:pPr>
      <w:r>
        <w:rPr>
          <w:rFonts w:ascii="Calibri" w:hAnsi="Calibri" w:cs="Calibri"/>
          <w:color w:val="000000" w:themeColor="text1"/>
          <w:sz w:val="24"/>
          <w:szCs w:val="24"/>
          <w:vertAlign w:val="superscript"/>
        </w:rPr>
        <w:t>8</w:t>
      </w:r>
      <w:r w:rsidRPr="00291373">
        <w:rPr>
          <w:rFonts w:ascii="Calibri" w:hAnsi="Calibri" w:cs="Calibri"/>
          <w:color w:val="000000" w:themeColor="text1"/>
          <w:sz w:val="24"/>
          <w:szCs w:val="24"/>
          <w:vertAlign w:val="superscript"/>
        </w:rPr>
        <w:t xml:space="preserve"> </w:t>
      </w:r>
      <w:r w:rsidRPr="00291373">
        <w:rPr>
          <w:rFonts w:ascii="Calibri" w:hAnsi="Calibri" w:cs="Calibri"/>
          <w:color w:val="000000" w:themeColor="text1"/>
          <w:sz w:val="24"/>
          <w:szCs w:val="24"/>
        </w:rPr>
        <w:t>Faculty of Medicine, University of Southampton, Southampton, UK</w:t>
      </w:r>
    </w:p>
    <w:p w14:paraId="64B9EFEB" w14:textId="77777777" w:rsidR="004A522D" w:rsidRPr="00291373" w:rsidRDefault="004A522D" w:rsidP="004A522D">
      <w:pPr>
        <w:spacing w:line="480" w:lineRule="auto"/>
        <w:rPr>
          <w:rFonts w:ascii="Calibri" w:hAnsi="Calibri" w:cs="Calibri"/>
          <w:color w:val="000000" w:themeColor="text1"/>
          <w:sz w:val="24"/>
          <w:szCs w:val="24"/>
        </w:rPr>
      </w:pPr>
      <w:r>
        <w:rPr>
          <w:rFonts w:ascii="Calibri" w:hAnsi="Calibri" w:cs="Calibri"/>
          <w:color w:val="000000" w:themeColor="text1"/>
          <w:sz w:val="24"/>
          <w:szCs w:val="24"/>
          <w:vertAlign w:val="superscript"/>
        </w:rPr>
        <w:t>9</w:t>
      </w:r>
      <w:r w:rsidRPr="00291373">
        <w:rPr>
          <w:rFonts w:ascii="Calibri" w:hAnsi="Calibri" w:cs="Calibri"/>
          <w:color w:val="000000" w:themeColor="text1"/>
          <w:sz w:val="24"/>
          <w:szCs w:val="24"/>
        </w:rPr>
        <w:t xml:space="preserve"> Wessex Cardiothoracic Centre, University Hospital Southampton</w:t>
      </w:r>
    </w:p>
    <w:p w14:paraId="4C360062"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b/>
          <w:bCs/>
          <w:color w:val="000000" w:themeColor="text1"/>
          <w:sz w:val="24"/>
          <w:szCs w:val="24"/>
          <w:bdr w:val="none" w:sz="0" w:space="0" w:color="auto" w:frame="1"/>
          <w:shd w:val="clear" w:color="auto" w:fill="FFFFFF"/>
        </w:rPr>
        <w:lastRenderedPageBreak/>
        <w:t>Corresponding author:</w:t>
      </w:r>
      <w:r w:rsidRPr="00291373">
        <w:rPr>
          <w:rFonts w:ascii="Calibri" w:hAnsi="Calibri" w:cs="Calibri"/>
          <w:color w:val="000000" w:themeColor="text1"/>
          <w:sz w:val="24"/>
          <w:szCs w:val="24"/>
          <w:bdr w:val="none" w:sz="0" w:space="0" w:color="auto" w:frame="1"/>
          <w:shd w:val="clear" w:color="auto" w:fill="FFFFFF"/>
        </w:rPr>
        <w:t xml:space="preserve"> Dr. Mark Mariathas</w:t>
      </w:r>
    </w:p>
    <w:p w14:paraId="4EB98CA9"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color w:val="000000" w:themeColor="text1"/>
          <w:sz w:val="24"/>
          <w:szCs w:val="24"/>
          <w:bdr w:val="none" w:sz="0" w:space="0" w:color="auto" w:frame="1"/>
          <w:shd w:val="clear" w:color="auto" w:fill="FFFFFF"/>
        </w:rPr>
        <w:t>mark.mariathas@uhbw.nhs.uk</w:t>
      </w:r>
    </w:p>
    <w:p w14:paraId="3F562029" w14:textId="77777777" w:rsidR="004A522D" w:rsidRPr="00291373" w:rsidRDefault="004A522D" w:rsidP="004A522D">
      <w:pPr>
        <w:spacing w:line="480" w:lineRule="auto"/>
        <w:rPr>
          <w:rFonts w:ascii="Calibri" w:hAnsi="Calibri" w:cs="Calibri"/>
          <w:sz w:val="24"/>
          <w:szCs w:val="24"/>
        </w:rPr>
      </w:pPr>
      <w:r w:rsidRPr="00291373">
        <w:rPr>
          <w:rFonts w:ascii="Calibri" w:hAnsi="Calibri" w:cs="Calibri"/>
          <w:sz w:val="24"/>
          <w:szCs w:val="24"/>
        </w:rPr>
        <w:t xml:space="preserve">Bristol Heart Institute, </w:t>
      </w:r>
    </w:p>
    <w:p w14:paraId="661CACE5" w14:textId="77777777" w:rsidR="004A522D" w:rsidRPr="00291373" w:rsidRDefault="004A522D" w:rsidP="004A522D">
      <w:pPr>
        <w:spacing w:line="480" w:lineRule="auto"/>
        <w:rPr>
          <w:rFonts w:ascii="Calibri" w:hAnsi="Calibri" w:cs="Calibri"/>
          <w:sz w:val="24"/>
          <w:szCs w:val="24"/>
        </w:rPr>
      </w:pPr>
      <w:r w:rsidRPr="00291373">
        <w:rPr>
          <w:rFonts w:ascii="Calibri" w:hAnsi="Calibri" w:cs="Calibri"/>
          <w:sz w:val="24"/>
          <w:szCs w:val="24"/>
        </w:rPr>
        <w:t xml:space="preserve">Terrell Street, </w:t>
      </w:r>
    </w:p>
    <w:p w14:paraId="7521AB86" w14:textId="77777777" w:rsidR="004A522D" w:rsidRPr="00291373" w:rsidRDefault="004A522D" w:rsidP="004A522D">
      <w:pPr>
        <w:spacing w:line="480" w:lineRule="auto"/>
        <w:rPr>
          <w:rFonts w:ascii="Calibri" w:hAnsi="Calibri" w:cs="Calibri"/>
          <w:sz w:val="24"/>
          <w:szCs w:val="24"/>
        </w:rPr>
      </w:pPr>
      <w:r w:rsidRPr="00291373">
        <w:rPr>
          <w:rFonts w:ascii="Calibri" w:hAnsi="Calibri" w:cs="Calibri"/>
          <w:sz w:val="24"/>
          <w:szCs w:val="24"/>
        </w:rPr>
        <w:t xml:space="preserve">Bristol, </w:t>
      </w:r>
    </w:p>
    <w:p w14:paraId="27BE27D2"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sz w:val="24"/>
          <w:szCs w:val="24"/>
        </w:rPr>
        <w:t>BS2 8ED</w:t>
      </w:r>
    </w:p>
    <w:p w14:paraId="450A6BBF" w14:textId="564FEE9C"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b/>
          <w:bCs/>
          <w:color w:val="000000" w:themeColor="text1"/>
          <w:sz w:val="24"/>
          <w:szCs w:val="24"/>
          <w:bdr w:val="none" w:sz="0" w:space="0" w:color="auto" w:frame="1"/>
          <w:shd w:val="clear" w:color="auto" w:fill="FFFFFF"/>
        </w:rPr>
        <w:t>Word count (excluding abstract and references):</w:t>
      </w:r>
      <w:r w:rsidRPr="00291373">
        <w:rPr>
          <w:rFonts w:ascii="Calibri" w:hAnsi="Calibri" w:cs="Calibri"/>
          <w:color w:val="000000" w:themeColor="text1"/>
          <w:sz w:val="24"/>
          <w:szCs w:val="24"/>
          <w:bdr w:val="none" w:sz="0" w:space="0" w:color="auto" w:frame="1"/>
          <w:shd w:val="clear" w:color="auto" w:fill="FFFFFF"/>
        </w:rPr>
        <w:t xml:space="preserve"> </w:t>
      </w:r>
      <w:r w:rsidR="00E50F1D">
        <w:rPr>
          <w:rFonts w:ascii="Calibri" w:hAnsi="Calibri" w:cs="Calibri"/>
          <w:color w:val="000000" w:themeColor="text1"/>
          <w:sz w:val="24"/>
          <w:szCs w:val="24"/>
          <w:bdr w:val="none" w:sz="0" w:space="0" w:color="auto" w:frame="1"/>
          <w:shd w:val="clear" w:color="auto" w:fill="FFFFFF"/>
        </w:rPr>
        <w:t>3455</w:t>
      </w:r>
    </w:p>
    <w:p w14:paraId="3BD44AAA" w14:textId="77777777" w:rsidR="004A522D"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b/>
          <w:bCs/>
          <w:color w:val="000000" w:themeColor="text1"/>
          <w:sz w:val="24"/>
          <w:szCs w:val="24"/>
          <w:bdr w:val="none" w:sz="0" w:space="0" w:color="auto" w:frame="1"/>
          <w:shd w:val="clear" w:color="auto" w:fill="FFFFFF"/>
        </w:rPr>
        <w:t>Conflicts of interests:</w:t>
      </w:r>
      <w:r w:rsidRPr="00291373">
        <w:rPr>
          <w:rFonts w:ascii="Calibri" w:hAnsi="Calibri" w:cs="Calibri"/>
          <w:color w:val="000000" w:themeColor="text1"/>
          <w:sz w:val="24"/>
          <w:szCs w:val="24"/>
          <w:bdr w:val="none" w:sz="0" w:space="0" w:color="auto" w:frame="1"/>
          <w:shd w:val="clear" w:color="auto" w:fill="FFFFFF"/>
        </w:rPr>
        <w:t xml:space="preserve"> NCM has received institutional research grant from Abbott Vascular. TWJ has received consultancy &amp; speaker fees from Abbott Vascular, Boston Scientific, Cordis, Medtronic, Shockwave and Terumo. TWJ has received institutional research grants from Abbott Vascular.  MG and SG have received speaker fees from Abiomed. TRK advisory board Abiomed / J&amp;J. NPC has received research grants from Boston Scientific, </w:t>
      </w:r>
      <w:proofErr w:type="spellStart"/>
      <w:r w:rsidRPr="00291373">
        <w:rPr>
          <w:rFonts w:ascii="Calibri" w:hAnsi="Calibri" w:cs="Calibri"/>
          <w:color w:val="000000" w:themeColor="text1"/>
          <w:sz w:val="24"/>
          <w:szCs w:val="24"/>
          <w:bdr w:val="none" w:sz="0" w:space="0" w:color="auto" w:frame="1"/>
          <w:shd w:val="clear" w:color="auto" w:fill="FFFFFF"/>
        </w:rPr>
        <w:t>HeartFlow</w:t>
      </w:r>
      <w:proofErr w:type="spellEnd"/>
      <w:r w:rsidRPr="00291373">
        <w:rPr>
          <w:rFonts w:ascii="Calibri" w:hAnsi="Calibri" w:cs="Calibri"/>
          <w:color w:val="000000" w:themeColor="text1"/>
          <w:sz w:val="24"/>
          <w:szCs w:val="24"/>
          <w:bdr w:val="none" w:sz="0" w:space="0" w:color="auto" w:frame="1"/>
          <w:shd w:val="clear" w:color="auto" w:fill="FFFFFF"/>
        </w:rPr>
        <w:t xml:space="preserve">, Haemonetics, Beckman Coulter and speaker fees/consultancy from </w:t>
      </w:r>
      <w:proofErr w:type="spellStart"/>
      <w:r w:rsidRPr="00291373">
        <w:rPr>
          <w:rFonts w:ascii="Calibri" w:hAnsi="Calibri" w:cs="Calibri"/>
          <w:color w:val="000000" w:themeColor="text1"/>
          <w:sz w:val="24"/>
          <w:szCs w:val="24"/>
          <w:bdr w:val="none" w:sz="0" w:space="0" w:color="auto" w:frame="1"/>
          <w:shd w:val="clear" w:color="auto" w:fill="FFFFFF"/>
        </w:rPr>
        <w:t>HeartFlow</w:t>
      </w:r>
      <w:proofErr w:type="spellEnd"/>
      <w:r w:rsidRPr="00291373">
        <w:rPr>
          <w:rFonts w:ascii="Calibri" w:hAnsi="Calibri" w:cs="Calibri"/>
          <w:color w:val="000000" w:themeColor="text1"/>
          <w:sz w:val="24"/>
          <w:szCs w:val="24"/>
          <w:bdr w:val="none" w:sz="0" w:space="0" w:color="auto" w:frame="1"/>
          <w:shd w:val="clear" w:color="auto" w:fill="FFFFFF"/>
        </w:rPr>
        <w:t>, Abbott, Shockwave</w:t>
      </w:r>
      <w:r>
        <w:rPr>
          <w:rFonts w:ascii="Calibri" w:hAnsi="Calibri" w:cs="Calibri"/>
          <w:color w:val="000000" w:themeColor="text1"/>
          <w:sz w:val="24"/>
          <w:szCs w:val="24"/>
          <w:bdr w:val="none" w:sz="0" w:space="0" w:color="auto" w:frame="1"/>
          <w:shd w:val="clear" w:color="auto" w:fill="FFFFFF"/>
        </w:rPr>
        <w:t xml:space="preserve"> and travel sponsorship from Abbott and </w:t>
      </w:r>
      <w:proofErr w:type="spellStart"/>
      <w:r>
        <w:rPr>
          <w:rFonts w:ascii="Calibri" w:hAnsi="Calibri" w:cs="Calibri"/>
          <w:color w:val="000000" w:themeColor="text1"/>
          <w:sz w:val="24"/>
          <w:szCs w:val="24"/>
          <w:bdr w:val="none" w:sz="0" w:space="0" w:color="auto" w:frame="1"/>
          <w:shd w:val="clear" w:color="auto" w:fill="FFFFFF"/>
        </w:rPr>
        <w:t>Heartflow</w:t>
      </w:r>
      <w:proofErr w:type="spellEnd"/>
      <w:r w:rsidRPr="00291373">
        <w:rPr>
          <w:rFonts w:ascii="Calibri" w:hAnsi="Calibri" w:cs="Calibri"/>
          <w:color w:val="000000" w:themeColor="text1"/>
          <w:sz w:val="24"/>
          <w:szCs w:val="24"/>
          <w:bdr w:val="none" w:sz="0" w:space="0" w:color="auto" w:frame="1"/>
          <w:shd w:val="clear" w:color="auto" w:fill="FFFFFF"/>
        </w:rPr>
        <w:t>. MM has received consultancy and speaker fees from Abiomed/J&amp;J, Shockwave medical, Abbott Vascular, Boston Scientific, and Cordis</w:t>
      </w:r>
      <w:r>
        <w:rPr>
          <w:rFonts w:ascii="Calibri" w:hAnsi="Calibri" w:cs="Calibri"/>
          <w:color w:val="000000" w:themeColor="text1"/>
          <w:sz w:val="24"/>
          <w:szCs w:val="24"/>
          <w:bdr w:val="none" w:sz="0" w:space="0" w:color="auto" w:frame="1"/>
          <w:shd w:val="clear" w:color="auto" w:fill="FFFFFF"/>
        </w:rPr>
        <w:t xml:space="preserve">. </w:t>
      </w:r>
      <w:r w:rsidRPr="0038790B">
        <w:rPr>
          <w:rFonts w:ascii="Calibri" w:hAnsi="Calibri" w:cs="Calibri"/>
          <w:color w:val="000000" w:themeColor="text1"/>
          <w:sz w:val="24"/>
          <w:szCs w:val="24"/>
          <w:bdr w:val="none" w:sz="0" w:space="0" w:color="auto" w:frame="1"/>
          <w:shd w:val="clear" w:color="auto" w:fill="FFFFFF"/>
        </w:rPr>
        <w:t>NP has received honoraria and educational grants from Abbott Vascular, and honoraria from NIPRO. NP serves on the Advisory Boards for Boston Scientific and Johnson &amp; Johnson.</w:t>
      </w:r>
      <w:r>
        <w:rPr>
          <w:rFonts w:ascii="Calibri" w:hAnsi="Calibri" w:cs="Calibri"/>
          <w:color w:val="000000" w:themeColor="text1"/>
          <w:sz w:val="24"/>
          <w:szCs w:val="24"/>
          <w:bdr w:val="none" w:sz="0" w:space="0" w:color="auto" w:frame="1"/>
          <w:shd w:val="clear" w:color="auto" w:fill="FFFFFF"/>
        </w:rPr>
        <w:t xml:space="preserve"> NP has also received grants from </w:t>
      </w:r>
      <w:r w:rsidRPr="0038790B">
        <w:rPr>
          <w:rFonts w:ascii="Calibri" w:hAnsi="Calibri" w:cs="Calibri"/>
          <w:color w:val="000000" w:themeColor="text1"/>
          <w:sz w:val="24"/>
          <w:szCs w:val="24"/>
          <w:bdr w:val="none" w:sz="0" w:space="0" w:color="auto" w:frame="1"/>
          <w:shd w:val="clear" w:color="auto" w:fill="FFFFFF"/>
        </w:rPr>
        <w:t>the British Heart Foundation Centre of Research Excellence [Grant no. RE/24/130035]. NP is supported by the Margaret Sail Novel Emerging Technology grant from Heart Research U.K. (RG2693</w:t>
      </w:r>
      <w:r>
        <w:rPr>
          <w:rFonts w:ascii="Calibri" w:hAnsi="Calibri" w:cs="Calibri"/>
          <w:color w:val="000000" w:themeColor="text1"/>
          <w:sz w:val="24"/>
          <w:szCs w:val="24"/>
          <w:bdr w:val="none" w:sz="0" w:space="0" w:color="auto" w:frame="1"/>
          <w:shd w:val="clear" w:color="auto" w:fill="FFFFFF"/>
        </w:rPr>
        <w:t>). GR, JS, NJ, SD, AD, IF, NS, AG, GB, SY, PR have no COI to disclose</w:t>
      </w:r>
    </w:p>
    <w:p w14:paraId="5A413226" w14:textId="77777777" w:rsidR="004A522D" w:rsidRPr="002A52F4" w:rsidRDefault="004A522D" w:rsidP="004A522D">
      <w:pPr>
        <w:spacing w:line="480" w:lineRule="auto"/>
        <w:rPr>
          <w:rFonts w:ascii="Calibri" w:hAnsi="Calibri" w:cs="Calibri"/>
          <w:b/>
          <w:bCs/>
          <w:color w:val="000000" w:themeColor="text1"/>
          <w:sz w:val="24"/>
          <w:szCs w:val="24"/>
          <w:bdr w:val="none" w:sz="0" w:space="0" w:color="auto" w:frame="1"/>
          <w:shd w:val="clear" w:color="auto" w:fill="FFFFFF"/>
        </w:rPr>
      </w:pPr>
      <w:r w:rsidRPr="002A52F4">
        <w:rPr>
          <w:rFonts w:ascii="Calibri" w:hAnsi="Calibri" w:cs="Calibri"/>
          <w:b/>
          <w:bCs/>
          <w:color w:val="000000" w:themeColor="text1"/>
          <w:sz w:val="24"/>
          <w:szCs w:val="24"/>
          <w:bdr w:val="none" w:sz="0" w:space="0" w:color="auto" w:frame="1"/>
          <w:shd w:val="clear" w:color="auto" w:fill="FFFFFF"/>
        </w:rPr>
        <w:lastRenderedPageBreak/>
        <w:t xml:space="preserve">Patient and public involvement: </w:t>
      </w:r>
      <w:r w:rsidRPr="00015D2A">
        <w:rPr>
          <w:rFonts w:ascii="Calibri" w:hAnsi="Calibri" w:cs="Calibri"/>
          <w:color w:val="000000" w:themeColor="text1"/>
          <w:sz w:val="24"/>
          <w:szCs w:val="24"/>
          <w:bdr w:val="none" w:sz="0" w:space="0" w:color="auto" w:frame="1"/>
          <w:shd w:val="clear" w:color="auto" w:fill="FFFFFF"/>
        </w:rPr>
        <w:t>Patients and members of the public were not involved in the design, conduct, reporting, or dissemination plans of this study.</w:t>
      </w:r>
    </w:p>
    <w:p w14:paraId="122DC635" w14:textId="77777777" w:rsidR="004A522D" w:rsidRPr="00291373" w:rsidRDefault="004A522D" w:rsidP="004A522D">
      <w:pPr>
        <w:spacing w:line="480" w:lineRule="auto"/>
        <w:rPr>
          <w:rFonts w:ascii="Calibri" w:hAnsi="Calibri" w:cs="Calibri"/>
          <w:color w:val="000000" w:themeColor="text1"/>
          <w:sz w:val="24"/>
          <w:szCs w:val="24"/>
          <w:bdr w:val="none" w:sz="0" w:space="0" w:color="auto" w:frame="1"/>
          <w:shd w:val="clear" w:color="auto" w:fill="FFFFFF"/>
        </w:rPr>
      </w:pPr>
      <w:r w:rsidRPr="00291373">
        <w:rPr>
          <w:rFonts w:ascii="Calibri" w:hAnsi="Calibri" w:cs="Calibri"/>
          <w:b/>
          <w:bCs/>
          <w:color w:val="000000" w:themeColor="text1"/>
          <w:sz w:val="24"/>
          <w:szCs w:val="24"/>
          <w:bdr w:val="none" w:sz="0" w:space="0" w:color="auto" w:frame="1"/>
          <w:shd w:val="clear" w:color="auto" w:fill="FFFFFF"/>
        </w:rPr>
        <w:t xml:space="preserve">Funding </w:t>
      </w:r>
      <w:r w:rsidRPr="005E62CE">
        <w:rPr>
          <w:rFonts w:ascii="Calibri" w:hAnsi="Calibri" w:cs="Calibri"/>
          <w:b/>
          <w:bCs/>
          <w:color w:val="000000" w:themeColor="text1"/>
          <w:sz w:val="24"/>
          <w:szCs w:val="24"/>
          <w:bdr w:val="none" w:sz="0" w:space="0" w:color="auto" w:frame="1"/>
          <w:shd w:val="clear" w:color="auto" w:fill="FFFFFF"/>
        </w:rPr>
        <w:t>statement</w:t>
      </w:r>
      <w:r w:rsidRPr="005E62CE">
        <w:rPr>
          <w:rFonts w:ascii="Calibri" w:hAnsi="Calibri" w:cs="Calibri"/>
          <w:color w:val="000000" w:themeColor="text1"/>
          <w:sz w:val="24"/>
          <w:szCs w:val="24"/>
          <w:bdr w:val="none" w:sz="0" w:space="0" w:color="auto" w:frame="1"/>
          <w:shd w:val="clear" w:color="auto" w:fill="FFFFFF"/>
        </w:rPr>
        <w:t xml:space="preserve">: </w:t>
      </w:r>
      <w:r w:rsidRPr="005E62CE">
        <w:rPr>
          <w:rFonts w:ascii="Calibri" w:hAnsi="Calibri" w:cs="Calibri"/>
          <w:sz w:val="24"/>
          <w:szCs w:val="24"/>
        </w:rPr>
        <w:t>This research received no specific grant from any funding agency in the public, commercial, or not-for-profit sectors</w:t>
      </w:r>
    </w:p>
    <w:p w14:paraId="01199009" w14:textId="77777777" w:rsidR="004A522D" w:rsidRDefault="004A522D" w:rsidP="004A522D">
      <w:pPr>
        <w:spacing w:line="480" w:lineRule="auto"/>
        <w:rPr>
          <w:rFonts w:ascii="Calibri" w:hAnsi="Calibri" w:cs="Calibri"/>
          <w:color w:val="1C1D1E"/>
          <w:sz w:val="24"/>
          <w:szCs w:val="24"/>
          <w:shd w:val="clear" w:color="auto" w:fill="FFFFFF"/>
        </w:rPr>
      </w:pPr>
      <w:r w:rsidRPr="00291373">
        <w:rPr>
          <w:rFonts w:ascii="Calibri" w:hAnsi="Calibri" w:cs="Calibri"/>
          <w:b/>
          <w:bCs/>
          <w:color w:val="000000" w:themeColor="text1"/>
          <w:sz w:val="24"/>
          <w:szCs w:val="24"/>
          <w:bdr w:val="none" w:sz="0" w:space="0" w:color="auto" w:frame="1"/>
          <w:shd w:val="clear" w:color="auto" w:fill="FFFFFF"/>
        </w:rPr>
        <w:t>Data availability:</w:t>
      </w:r>
      <w:r w:rsidRPr="00291373">
        <w:rPr>
          <w:rFonts w:ascii="Calibri" w:hAnsi="Calibri" w:cs="Calibri"/>
          <w:color w:val="000000" w:themeColor="text1"/>
          <w:sz w:val="24"/>
          <w:szCs w:val="24"/>
          <w:bdr w:val="none" w:sz="0" w:space="0" w:color="auto" w:frame="1"/>
          <w:shd w:val="clear" w:color="auto" w:fill="FFFFFF"/>
        </w:rPr>
        <w:t xml:space="preserve"> </w:t>
      </w:r>
      <w:r w:rsidRPr="00291373">
        <w:rPr>
          <w:rFonts w:ascii="Calibri" w:hAnsi="Calibri" w:cs="Calibri"/>
          <w:color w:val="1C1D1E"/>
          <w:sz w:val="24"/>
          <w:szCs w:val="24"/>
          <w:shd w:val="clear" w:color="auto" w:fill="FFFFFF"/>
        </w:rPr>
        <w:t>Data openly available in a public repository that issues datasets with DOIs</w:t>
      </w:r>
    </w:p>
    <w:p w14:paraId="07DA66D4" w14:textId="77777777" w:rsidR="00BC4AD8" w:rsidRPr="00126562" w:rsidRDefault="00BC4AD8" w:rsidP="00BC4AD8">
      <w:pPr>
        <w:spacing w:line="480" w:lineRule="auto"/>
        <w:rPr>
          <w:rFonts w:ascii="Calibri" w:hAnsi="Calibri" w:cs="Calibri"/>
          <w:b/>
          <w:bCs/>
          <w:color w:val="1C1D1E"/>
          <w:sz w:val="24"/>
          <w:szCs w:val="24"/>
          <w:shd w:val="clear" w:color="auto" w:fill="FFFFFF"/>
        </w:rPr>
      </w:pPr>
      <w:r w:rsidRPr="00126562">
        <w:rPr>
          <w:rFonts w:ascii="Calibri" w:hAnsi="Calibri" w:cs="Calibri"/>
          <w:b/>
          <w:bCs/>
          <w:color w:val="1C1D1E"/>
          <w:sz w:val="24"/>
          <w:szCs w:val="24"/>
          <w:shd w:val="clear" w:color="auto" w:fill="FFFFFF"/>
        </w:rPr>
        <w:t>Ethics statement:</w:t>
      </w:r>
      <w:r w:rsidRPr="00B04F64">
        <w:t xml:space="preserve"> </w:t>
      </w:r>
      <w:r w:rsidRPr="00126562">
        <w:rPr>
          <w:rFonts w:ascii="Calibri" w:hAnsi="Calibri" w:cs="Calibri"/>
          <w:color w:val="1C1D1E"/>
          <w:sz w:val="24"/>
          <w:szCs w:val="24"/>
          <w:shd w:val="clear" w:color="auto" w:fill="FFFFFF"/>
        </w:rPr>
        <w:t>The study was registered as a service evaluation project at the host institution and did not require formal research ethics committee approval. Data were anonymised prior to analysis.</w:t>
      </w:r>
    </w:p>
    <w:p w14:paraId="7429EF9E" w14:textId="77777777" w:rsidR="00BC4AD8" w:rsidRPr="00291373" w:rsidRDefault="00BC4AD8" w:rsidP="004A522D">
      <w:pPr>
        <w:spacing w:line="480" w:lineRule="auto"/>
        <w:rPr>
          <w:rFonts w:ascii="Calibri" w:hAnsi="Calibri" w:cs="Calibri"/>
          <w:color w:val="1C1D1E"/>
          <w:sz w:val="24"/>
          <w:szCs w:val="24"/>
          <w:shd w:val="clear" w:color="auto" w:fill="FFFFFF"/>
        </w:rPr>
      </w:pPr>
    </w:p>
    <w:p w14:paraId="4CB76643"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32DAECA3"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13B4F56C"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2037D94C"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199800C5"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776235F8"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0DBD51F9"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32FE8012"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6883F85F"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29DC3971"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0094713B"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59C89B5B"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7FFCD15D"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20F8EA41" w14:textId="77777777" w:rsidR="004A522D" w:rsidRDefault="004A522D" w:rsidP="004A522D">
      <w:pPr>
        <w:spacing w:line="480" w:lineRule="auto"/>
        <w:jc w:val="both"/>
        <w:rPr>
          <w:rFonts w:ascii="Calibri" w:hAnsi="Calibri" w:cs="Calibri"/>
          <w:b/>
          <w:bCs/>
          <w:color w:val="1C1D1E"/>
          <w:sz w:val="24"/>
          <w:szCs w:val="24"/>
          <w:shd w:val="clear" w:color="auto" w:fill="FFFFFF"/>
        </w:rPr>
      </w:pPr>
    </w:p>
    <w:p w14:paraId="083F70B2" w14:textId="77777777" w:rsidR="004A522D" w:rsidRPr="00291373" w:rsidRDefault="004A522D" w:rsidP="004A522D">
      <w:pPr>
        <w:spacing w:line="480" w:lineRule="auto"/>
        <w:jc w:val="both"/>
        <w:rPr>
          <w:rFonts w:ascii="Calibri" w:hAnsi="Calibri" w:cs="Calibri"/>
          <w:b/>
          <w:bCs/>
          <w:color w:val="1C1D1E"/>
          <w:sz w:val="24"/>
          <w:szCs w:val="24"/>
          <w:shd w:val="clear" w:color="auto" w:fill="FFFFFF"/>
        </w:rPr>
      </w:pPr>
      <w:r w:rsidRPr="00291373">
        <w:rPr>
          <w:rFonts w:ascii="Calibri" w:hAnsi="Calibri" w:cs="Calibri"/>
          <w:b/>
          <w:bCs/>
          <w:color w:val="1C1D1E"/>
          <w:sz w:val="24"/>
          <w:szCs w:val="24"/>
          <w:shd w:val="clear" w:color="auto" w:fill="FFFFFF"/>
        </w:rPr>
        <w:t xml:space="preserve">Abstract: </w:t>
      </w:r>
    </w:p>
    <w:p w14:paraId="04D30F2B" w14:textId="77777777" w:rsidR="004A522D" w:rsidRPr="00490D68" w:rsidRDefault="004A522D" w:rsidP="004A522D">
      <w:pPr>
        <w:spacing w:line="480" w:lineRule="auto"/>
        <w:rPr>
          <w:rFonts w:ascii="Calibri" w:hAnsi="Calibri" w:cs="Calibri"/>
          <w:b/>
          <w:bCs/>
          <w:color w:val="1C1D1E"/>
          <w:sz w:val="24"/>
          <w:szCs w:val="24"/>
          <w:shd w:val="clear" w:color="auto" w:fill="FFFFFF"/>
        </w:rPr>
      </w:pPr>
      <w:r w:rsidRPr="00490D68">
        <w:rPr>
          <w:rFonts w:ascii="Calibri" w:hAnsi="Calibri" w:cs="Calibri"/>
          <w:b/>
          <w:bCs/>
          <w:color w:val="1C1D1E"/>
          <w:sz w:val="24"/>
          <w:szCs w:val="24"/>
          <w:shd w:val="clear" w:color="auto" w:fill="FFFFFF"/>
        </w:rPr>
        <w:t>Background:</w:t>
      </w:r>
      <w:r w:rsidRPr="00490D68">
        <w:rPr>
          <w:rFonts w:ascii="Calibri" w:hAnsi="Calibri" w:cs="Calibri"/>
          <w:b/>
          <w:bCs/>
          <w:color w:val="1C1D1E"/>
          <w:sz w:val="24"/>
          <w:szCs w:val="24"/>
          <w:shd w:val="clear" w:color="auto" w:fill="FFFFFF"/>
        </w:rPr>
        <w:br/>
      </w:r>
      <w:r w:rsidRPr="00490D68">
        <w:rPr>
          <w:rFonts w:ascii="Calibri" w:hAnsi="Calibri" w:cs="Calibri"/>
          <w:color w:val="1C1D1E"/>
          <w:sz w:val="24"/>
          <w:szCs w:val="24"/>
          <w:shd w:val="clear" w:color="auto" w:fill="FFFFFF"/>
        </w:rPr>
        <w:t>Cardiogenic shock (CS) complicating acute myocardial infarction (AMI) carries high mortality. Early revascularisation improves survival, but the effect of structured multidisciplinary care on outcomes remains underexplored.</w:t>
      </w:r>
    </w:p>
    <w:p w14:paraId="2FF9A86F" w14:textId="77777777" w:rsidR="004A522D" w:rsidRPr="00490D68" w:rsidRDefault="004A522D" w:rsidP="004A522D">
      <w:pPr>
        <w:spacing w:line="480" w:lineRule="auto"/>
        <w:rPr>
          <w:rFonts w:ascii="Calibri" w:hAnsi="Calibri" w:cs="Calibri"/>
          <w:color w:val="1C1D1E"/>
          <w:sz w:val="24"/>
          <w:szCs w:val="24"/>
          <w:shd w:val="clear" w:color="auto" w:fill="FFFFFF"/>
        </w:rPr>
      </w:pPr>
      <w:r w:rsidRPr="00490D68">
        <w:rPr>
          <w:rFonts w:ascii="Calibri" w:hAnsi="Calibri" w:cs="Calibri"/>
          <w:b/>
          <w:bCs/>
          <w:color w:val="1C1D1E"/>
          <w:sz w:val="24"/>
          <w:szCs w:val="24"/>
          <w:shd w:val="clear" w:color="auto" w:fill="FFFFFF"/>
        </w:rPr>
        <w:t>Methods and Results:</w:t>
      </w:r>
      <w:r w:rsidRPr="00490D68">
        <w:rPr>
          <w:rFonts w:ascii="Calibri" w:hAnsi="Calibri" w:cs="Calibri"/>
          <w:b/>
          <w:bCs/>
          <w:color w:val="1C1D1E"/>
          <w:sz w:val="24"/>
          <w:szCs w:val="24"/>
          <w:shd w:val="clear" w:color="auto" w:fill="FFFFFF"/>
        </w:rPr>
        <w:br/>
      </w:r>
      <w:r w:rsidRPr="00490D68">
        <w:rPr>
          <w:rFonts w:ascii="Calibri" w:hAnsi="Calibri" w:cs="Calibri"/>
          <w:color w:val="1C1D1E"/>
          <w:sz w:val="24"/>
          <w:szCs w:val="24"/>
          <w:shd w:val="clear" w:color="auto" w:fill="FFFFFF"/>
        </w:rPr>
        <w:t>ACT-SHOCK is a service evaluation at a UK tertiary cardiac centre. Between May 2023 and May 2024, 82 patients with AMI-related CS requiring emergent percutaneous coronary intervention (PCI) were identified using protocolised physiological criteria and managed by an Advanced Cardiogenic-Shock Team (ACT). The ACT comprised interventional cardiologists, intensivists, anaesthetists, critical care staff, and cardiac physiologists, coordinating PCI and ongoing care. Outcomes were compared with 83 historical controls from the year preceding ACT roll-out, who received standard care without ACT activation. Primary endpoints were 30-day and 1-year all-cause mortality; secondary outcomes included predictors of 30-day mortality.</w:t>
      </w:r>
    </w:p>
    <w:p w14:paraId="17BF6C90" w14:textId="2E76033F" w:rsidR="004A522D" w:rsidRPr="00490D68" w:rsidRDefault="004A522D" w:rsidP="004A522D">
      <w:pPr>
        <w:spacing w:line="480" w:lineRule="auto"/>
        <w:rPr>
          <w:rFonts w:ascii="Calibri" w:hAnsi="Calibri" w:cs="Calibri"/>
          <w:color w:val="1C1D1E"/>
          <w:sz w:val="24"/>
          <w:szCs w:val="24"/>
          <w:shd w:val="clear" w:color="auto" w:fill="FFFFFF"/>
        </w:rPr>
      </w:pPr>
      <w:r w:rsidRPr="00490D68">
        <w:rPr>
          <w:rFonts w:ascii="Calibri" w:hAnsi="Calibri" w:cs="Calibri"/>
          <w:color w:val="1C1D1E"/>
          <w:sz w:val="24"/>
          <w:szCs w:val="24"/>
          <w:shd w:val="clear" w:color="auto" w:fill="FFFFFF"/>
        </w:rPr>
        <w:t xml:space="preserve">Within the ACT cohort, elevated lactate, </w:t>
      </w:r>
      <w:r>
        <w:rPr>
          <w:rFonts w:ascii="Calibri" w:hAnsi="Calibri" w:cs="Calibri"/>
          <w:color w:val="1C1D1E"/>
          <w:sz w:val="24"/>
          <w:szCs w:val="24"/>
          <w:shd w:val="clear" w:color="auto" w:fill="FFFFFF"/>
        </w:rPr>
        <w:t xml:space="preserve">critical care </w:t>
      </w:r>
      <w:r w:rsidRPr="00490D68">
        <w:rPr>
          <w:rFonts w:ascii="Calibri" w:hAnsi="Calibri" w:cs="Calibri"/>
          <w:color w:val="1C1D1E"/>
          <w:sz w:val="24"/>
          <w:szCs w:val="24"/>
          <w:shd w:val="clear" w:color="auto" w:fill="FFFFFF"/>
        </w:rPr>
        <w:t>admission, invasive ventilation, out-of-hospital cardiac arrest, and SCAI Shock Stage E</w:t>
      </w:r>
      <w:r>
        <w:rPr>
          <w:rFonts w:ascii="Calibri" w:hAnsi="Calibri" w:cs="Calibri"/>
          <w:color w:val="1C1D1E"/>
          <w:sz w:val="24"/>
          <w:szCs w:val="24"/>
          <w:shd w:val="clear" w:color="auto" w:fill="FFFFFF"/>
        </w:rPr>
        <w:t xml:space="preserve"> at first medical contact</w:t>
      </w:r>
      <w:r w:rsidRPr="00490D68">
        <w:rPr>
          <w:rFonts w:ascii="Calibri" w:hAnsi="Calibri" w:cs="Calibri"/>
          <w:color w:val="1C1D1E"/>
          <w:sz w:val="24"/>
          <w:szCs w:val="24"/>
          <w:shd w:val="clear" w:color="auto" w:fill="FFFFFF"/>
        </w:rPr>
        <w:t xml:space="preserve"> predicted 1-year mortality. Adjusted analyses showed ACT management was associated with lower 1-year mortality compared with standard care</w:t>
      </w:r>
      <w:r w:rsidR="00FB593B">
        <w:rPr>
          <w:rFonts w:ascii="Calibri" w:hAnsi="Calibri" w:cs="Calibri"/>
          <w:color w:val="1C1D1E"/>
          <w:sz w:val="24"/>
          <w:szCs w:val="24"/>
          <w:shd w:val="clear" w:color="auto" w:fill="FFFFFF"/>
        </w:rPr>
        <w:t xml:space="preserve"> </w:t>
      </w:r>
      <w:r w:rsidR="00FB593B" w:rsidRPr="00FF7EC3">
        <w:rPr>
          <w:rFonts w:ascii="Calibri" w:hAnsi="Calibri" w:cs="Calibri"/>
          <w:sz w:val="24"/>
          <w:szCs w:val="24"/>
        </w:rPr>
        <w:t>(</w:t>
      </w:r>
      <w:r w:rsidR="00FB593B">
        <w:rPr>
          <w:rFonts w:ascii="Calibri" w:hAnsi="Calibri" w:cs="Calibri"/>
          <w:sz w:val="24"/>
          <w:szCs w:val="24"/>
        </w:rPr>
        <w:t xml:space="preserve">HR </w:t>
      </w:r>
      <w:r w:rsidR="00FB593B" w:rsidRPr="00FF7EC3">
        <w:rPr>
          <w:rFonts w:ascii="Calibri" w:hAnsi="Calibri" w:cs="Calibri"/>
          <w:sz w:val="24"/>
          <w:szCs w:val="24"/>
        </w:rPr>
        <w:t>0.53, 95% CI 0.30–0.92; p = 0.026)</w:t>
      </w:r>
      <w:r w:rsidR="00FB593B">
        <w:rPr>
          <w:rFonts w:ascii="Calibri" w:hAnsi="Calibri" w:cs="Calibri"/>
          <w:sz w:val="24"/>
          <w:szCs w:val="24"/>
        </w:rPr>
        <w:t xml:space="preserve">. </w:t>
      </w:r>
      <w:r w:rsidRPr="00490D68">
        <w:rPr>
          <w:rFonts w:ascii="Calibri" w:hAnsi="Calibri" w:cs="Calibri"/>
          <w:color w:val="1C1D1E"/>
          <w:sz w:val="24"/>
          <w:szCs w:val="24"/>
          <w:shd w:val="clear" w:color="auto" w:fill="FFFFFF"/>
        </w:rPr>
        <w:t>Although 30-</w:t>
      </w:r>
      <w:r w:rsidRPr="00490D68">
        <w:rPr>
          <w:rFonts w:ascii="Calibri" w:hAnsi="Calibri" w:cs="Calibri"/>
          <w:color w:val="1C1D1E"/>
          <w:sz w:val="24"/>
          <w:szCs w:val="24"/>
          <w:shd w:val="clear" w:color="auto" w:fill="FFFFFF"/>
        </w:rPr>
        <w:lastRenderedPageBreak/>
        <w:t xml:space="preserve">day mortality was lower in the ACT group, this did not reach statistical significance </w:t>
      </w:r>
      <w:r w:rsidR="00FB593B">
        <w:rPr>
          <w:rFonts w:ascii="Calibri" w:hAnsi="Calibri" w:cs="Calibri"/>
          <w:sz w:val="24"/>
          <w:szCs w:val="24"/>
        </w:rPr>
        <w:t>(HR 0.71, 95% CI 0.39-1.29; p=0.26).</w:t>
      </w:r>
      <w:r w:rsidR="00FB593B" w:rsidRPr="009F7C22">
        <w:t xml:space="preserve"> </w:t>
      </w:r>
      <w:r w:rsidR="00FB593B">
        <w:t xml:space="preserve"> </w:t>
      </w:r>
      <w:r>
        <w:t>Escalation from coronary care to critical care during the recovery phase occurred more promptly in the ACT group (9.7% vs 2.4%, p=0.09)</w:t>
      </w:r>
      <w:r w:rsidRPr="00490D68">
        <w:rPr>
          <w:rFonts w:ascii="Calibri" w:hAnsi="Calibri" w:cs="Calibri"/>
          <w:color w:val="1C1D1E"/>
          <w:sz w:val="24"/>
          <w:szCs w:val="24"/>
          <w:shd w:val="clear" w:color="auto" w:fill="FFFFFF"/>
        </w:rPr>
        <w:t>. At 24 hours, a smaller proportion of ACT patients remained in SCAI stages D/E compared with standard care (42% vs 48%; p=0.003).</w:t>
      </w:r>
    </w:p>
    <w:p w14:paraId="25B499AB" w14:textId="77777777" w:rsidR="004A522D" w:rsidRPr="00490D68" w:rsidRDefault="004A522D" w:rsidP="004A522D">
      <w:pPr>
        <w:spacing w:line="480" w:lineRule="auto"/>
        <w:rPr>
          <w:rFonts w:ascii="Calibri" w:hAnsi="Calibri" w:cs="Calibri"/>
          <w:b/>
          <w:bCs/>
          <w:color w:val="1C1D1E"/>
          <w:sz w:val="24"/>
          <w:szCs w:val="24"/>
          <w:shd w:val="clear" w:color="auto" w:fill="FFFFFF"/>
        </w:rPr>
      </w:pPr>
      <w:r w:rsidRPr="00490D68">
        <w:rPr>
          <w:rFonts w:ascii="Calibri" w:hAnsi="Calibri" w:cs="Calibri"/>
          <w:b/>
          <w:bCs/>
          <w:color w:val="1C1D1E"/>
          <w:sz w:val="24"/>
          <w:szCs w:val="24"/>
          <w:shd w:val="clear" w:color="auto" w:fill="FFFFFF"/>
        </w:rPr>
        <w:t>Conclusions:</w:t>
      </w:r>
      <w:r w:rsidRPr="00490D68">
        <w:rPr>
          <w:rFonts w:ascii="Calibri" w:hAnsi="Calibri" w:cs="Calibri"/>
          <w:b/>
          <w:bCs/>
          <w:color w:val="1C1D1E"/>
          <w:sz w:val="24"/>
          <w:szCs w:val="24"/>
          <w:shd w:val="clear" w:color="auto" w:fill="FFFFFF"/>
        </w:rPr>
        <w:br/>
      </w:r>
      <w:r w:rsidRPr="00490D68">
        <w:rPr>
          <w:rFonts w:ascii="Calibri" w:hAnsi="Calibri" w:cs="Calibri"/>
          <w:color w:val="1C1D1E"/>
          <w:sz w:val="24"/>
          <w:szCs w:val="24"/>
          <w:shd w:val="clear" w:color="auto" w:fill="FFFFFF"/>
        </w:rPr>
        <w:t>Implementation of physiological criteria to identify CS and activation of a multidisciplinary ACT in a UK tertiary centre was associated with earlier detection and improved 1-year survival in AMI-related CS. These pilot data support further study across multiple UK centres to inform national policy and standardise care pathways.</w:t>
      </w:r>
    </w:p>
    <w:p w14:paraId="1C78084B" w14:textId="77777777" w:rsidR="004A522D" w:rsidRPr="00291373" w:rsidRDefault="004A522D" w:rsidP="004A522D">
      <w:pPr>
        <w:spacing w:line="480" w:lineRule="auto"/>
        <w:rPr>
          <w:rFonts w:ascii="Calibri" w:hAnsi="Calibri" w:cs="Calibri"/>
          <w:b/>
          <w:bCs/>
          <w:color w:val="1C1D1E"/>
          <w:sz w:val="24"/>
          <w:szCs w:val="24"/>
          <w:shd w:val="clear" w:color="auto" w:fill="FFFFFF"/>
        </w:rPr>
      </w:pPr>
      <w:r w:rsidRPr="00291373">
        <w:rPr>
          <w:rFonts w:ascii="Calibri" w:hAnsi="Calibri" w:cs="Calibri"/>
          <w:b/>
          <w:bCs/>
          <w:color w:val="1C1D1E"/>
          <w:sz w:val="24"/>
          <w:szCs w:val="24"/>
          <w:shd w:val="clear" w:color="auto" w:fill="FFFFFF"/>
        </w:rPr>
        <w:t xml:space="preserve">Keywords: </w:t>
      </w:r>
      <w:r w:rsidRPr="00291373">
        <w:rPr>
          <w:rFonts w:ascii="Calibri" w:hAnsi="Calibri" w:cs="Calibri"/>
          <w:color w:val="1C1D1E"/>
          <w:sz w:val="24"/>
          <w:szCs w:val="24"/>
          <w:shd w:val="clear" w:color="auto" w:fill="FFFFFF"/>
        </w:rPr>
        <w:t>Cardiogenic shock, acute myocardial infarction, shock team, shock pathways</w:t>
      </w:r>
    </w:p>
    <w:p w14:paraId="43E2F08D"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743319C0"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676FD45B"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48329FC5"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592813F1"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7191FA69" w14:textId="77777777" w:rsidR="004A522D" w:rsidRDefault="004A522D" w:rsidP="004A522D">
      <w:pPr>
        <w:spacing w:line="480" w:lineRule="auto"/>
        <w:rPr>
          <w:rFonts w:ascii="Calibri" w:hAnsi="Calibri" w:cs="Calibri"/>
          <w:b/>
          <w:bCs/>
          <w:color w:val="1C1D1E"/>
          <w:sz w:val="24"/>
          <w:szCs w:val="24"/>
          <w:shd w:val="clear" w:color="auto" w:fill="FFFFFF"/>
        </w:rPr>
      </w:pPr>
    </w:p>
    <w:p w14:paraId="084083A3" w14:textId="77777777" w:rsidR="004A522D" w:rsidRDefault="004A522D" w:rsidP="004A522D">
      <w:pPr>
        <w:spacing w:line="480" w:lineRule="auto"/>
        <w:rPr>
          <w:rFonts w:ascii="Calibri" w:hAnsi="Calibri" w:cs="Calibri"/>
          <w:b/>
          <w:bCs/>
          <w:color w:val="1C1D1E"/>
          <w:sz w:val="24"/>
          <w:szCs w:val="24"/>
          <w:shd w:val="clear" w:color="auto" w:fill="FFFFFF"/>
        </w:rPr>
      </w:pPr>
    </w:p>
    <w:p w14:paraId="2E06B080" w14:textId="77777777" w:rsidR="004A522D" w:rsidRDefault="004A522D" w:rsidP="004A522D">
      <w:pPr>
        <w:spacing w:line="480" w:lineRule="auto"/>
        <w:rPr>
          <w:rFonts w:ascii="Calibri" w:hAnsi="Calibri" w:cs="Calibri"/>
          <w:b/>
          <w:bCs/>
          <w:color w:val="1C1D1E"/>
          <w:sz w:val="24"/>
          <w:szCs w:val="24"/>
          <w:shd w:val="clear" w:color="auto" w:fill="FFFFFF"/>
        </w:rPr>
      </w:pPr>
    </w:p>
    <w:p w14:paraId="51ADDF63" w14:textId="77777777" w:rsidR="004A522D" w:rsidRDefault="004A522D" w:rsidP="004A522D">
      <w:pPr>
        <w:spacing w:line="480" w:lineRule="auto"/>
        <w:rPr>
          <w:rFonts w:ascii="Calibri" w:hAnsi="Calibri" w:cs="Calibri"/>
          <w:b/>
          <w:bCs/>
          <w:color w:val="1C1D1E"/>
          <w:sz w:val="24"/>
          <w:szCs w:val="24"/>
          <w:shd w:val="clear" w:color="auto" w:fill="FFFFFF"/>
        </w:rPr>
      </w:pPr>
    </w:p>
    <w:p w14:paraId="165FBE58" w14:textId="77777777" w:rsidR="004A522D" w:rsidRDefault="004A522D" w:rsidP="004A522D">
      <w:pPr>
        <w:spacing w:line="480" w:lineRule="auto"/>
        <w:rPr>
          <w:rFonts w:ascii="Calibri" w:hAnsi="Calibri" w:cs="Calibri"/>
          <w:b/>
          <w:bCs/>
          <w:color w:val="1C1D1E"/>
          <w:sz w:val="24"/>
          <w:szCs w:val="24"/>
          <w:shd w:val="clear" w:color="auto" w:fill="FFFFFF"/>
        </w:rPr>
      </w:pPr>
    </w:p>
    <w:p w14:paraId="72160697" w14:textId="77777777" w:rsidR="004A522D" w:rsidRDefault="004A522D" w:rsidP="004A522D">
      <w:pPr>
        <w:spacing w:line="480" w:lineRule="auto"/>
        <w:rPr>
          <w:rFonts w:ascii="Calibri" w:hAnsi="Calibri" w:cs="Calibri"/>
          <w:b/>
          <w:bCs/>
          <w:color w:val="1C1D1E"/>
          <w:sz w:val="24"/>
          <w:szCs w:val="24"/>
          <w:shd w:val="clear" w:color="auto" w:fill="FFFFFF"/>
        </w:rPr>
      </w:pPr>
    </w:p>
    <w:p w14:paraId="5207B9C7"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0D6EE8EE" w14:textId="77777777" w:rsidR="004A522D" w:rsidRDefault="004A522D" w:rsidP="004A522D">
      <w:pPr>
        <w:spacing w:line="480" w:lineRule="auto"/>
        <w:rPr>
          <w:rFonts w:ascii="Calibri" w:hAnsi="Calibri" w:cs="Calibri"/>
          <w:b/>
          <w:bCs/>
          <w:sz w:val="24"/>
          <w:szCs w:val="24"/>
        </w:rPr>
      </w:pPr>
      <w:r>
        <w:rPr>
          <w:rFonts w:ascii="Calibri" w:hAnsi="Calibri" w:cs="Calibri"/>
          <w:b/>
          <w:bCs/>
          <w:sz w:val="24"/>
          <w:szCs w:val="24"/>
        </w:rPr>
        <w:t>Key messages:</w:t>
      </w:r>
    </w:p>
    <w:p w14:paraId="72EA9992" w14:textId="77777777" w:rsidR="004A522D" w:rsidRPr="007D372B" w:rsidRDefault="004A522D" w:rsidP="004A522D">
      <w:pPr>
        <w:spacing w:line="480" w:lineRule="auto"/>
        <w:rPr>
          <w:rFonts w:ascii="Calibri" w:hAnsi="Calibri" w:cs="Calibri"/>
          <w:b/>
          <w:bCs/>
          <w:sz w:val="24"/>
          <w:szCs w:val="24"/>
        </w:rPr>
      </w:pPr>
      <w:r w:rsidRPr="007D372B">
        <w:rPr>
          <w:rFonts w:ascii="Calibri" w:hAnsi="Calibri" w:cs="Calibri"/>
          <w:b/>
          <w:bCs/>
          <w:sz w:val="24"/>
          <w:szCs w:val="24"/>
        </w:rPr>
        <w:t>What is already known on this topic</w:t>
      </w:r>
      <w:r w:rsidRPr="007D372B">
        <w:rPr>
          <w:rFonts w:ascii="Calibri" w:hAnsi="Calibri" w:cs="Calibri"/>
          <w:b/>
          <w:bCs/>
          <w:sz w:val="24"/>
          <w:szCs w:val="24"/>
        </w:rPr>
        <w:br/>
      </w:r>
      <w:r w:rsidRPr="007D372B">
        <w:rPr>
          <w:rFonts w:ascii="Calibri" w:hAnsi="Calibri" w:cs="Calibri"/>
          <w:sz w:val="24"/>
          <w:szCs w:val="24"/>
        </w:rPr>
        <w:t>Cardiogenic shock remains a leading cause of death following acute myocardial infarction. Multidisciplinary shock teams have shown survival benefits in North America, but most rely on device-based interventions and specialised cardiac ICUs, limiting generalisability in various healthcare systems.</w:t>
      </w:r>
    </w:p>
    <w:p w14:paraId="2D126F33" w14:textId="77777777" w:rsidR="004A522D" w:rsidRPr="007D372B" w:rsidRDefault="004A522D" w:rsidP="004A522D">
      <w:pPr>
        <w:spacing w:line="480" w:lineRule="auto"/>
        <w:rPr>
          <w:rFonts w:ascii="Calibri" w:hAnsi="Calibri" w:cs="Calibri"/>
          <w:b/>
          <w:bCs/>
          <w:sz w:val="24"/>
          <w:szCs w:val="24"/>
        </w:rPr>
      </w:pPr>
      <w:r w:rsidRPr="007D372B">
        <w:rPr>
          <w:rFonts w:ascii="Calibri" w:hAnsi="Calibri" w:cs="Calibri"/>
          <w:b/>
          <w:bCs/>
          <w:sz w:val="24"/>
          <w:szCs w:val="24"/>
        </w:rPr>
        <w:t>What this study adds</w:t>
      </w:r>
      <w:r w:rsidRPr="007D372B">
        <w:rPr>
          <w:rFonts w:ascii="Calibri" w:hAnsi="Calibri" w:cs="Calibri"/>
          <w:b/>
          <w:bCs/>
          <w:sz w:val="24"/>
          <w:szCs w:val="24"/>
        </w:rPr>
        <w:br/>
      </w:r>
      <w:r w:rsidRPr="007D372B">
        <w:rPr>
          <w:rFonts w:ascii="Calibri" w:hAnsi="Calibri" w:cs="Calibri"/>
          <w:sz w:val="24"/>
          <w:szCs w:val="24"/>
        </w:rPr>
        <w:t>A physiologically triggered multidisciplinary shock team (ACT) was associated with improved 1-year survival in AMI-related cardiogenic shock. The model emphasises early recognition and coordinated care rather than device-based escalation and was effective even when delivered by generalist intensivists.</w:t>
      </w:r>
    </w:p>
    <w:p w14:paraId="3740C66D" w14:textId="77777777" w:rsidR="004A522D" w:rsidRPr="007D372B" w:rsidRDefault="004A522D" w:rsidP="004A522D">
      <w:pPr>
        <w:spacing w:line="480" w:lineRule="auto"/>
        <w:rPr>
          <w:rFonts w:ascii="Calibri" w:hAnsi="Calibri" w:cs="Calibri"/>
          <w:sz w:val="24"/>
          <w:szCs w:val="24"/>
        </w:rPr>
      </w:pPr>
      <w:r w:rsidRPr="007D372B">
        <w:rPr>
          <w:rFonts w:ascii="Calibri" w:hAnsi="Calibri" w:cs="Calibri"/>
          <w:b/>
          <w:bCs/>
          <w:sz w:val="24"/>
          <w:szCs w:val="24"/>
        </w:rPr>
        <w:t>How this study might affect research, practice, or policy</w:t>
      </w:r>
      <w:r w:rsidRPr="007D372B">
        <w:rPr>
          <w:rFonts w:ascii="Calibri" w:hAnsi="Calibri" w:cs="Calibri"/>
          <w:b/>
          <w:bCs/>
          <w:sz w:val="24"/>
          <w:szCs w:val="24"/>
        </w:rPr>
        <w:br/>
      </w:r>
      <w:r w:rsidRPr="007D372B">
        <w:rPr>
          <w:rFonts w:ascii="Calibri" w:hAnsi="Calibri" w:cs="Calibri"/>
          <w:sz w:val="24"/>
          <w:szCs w:val="24"/>
        </w:rPr>
        <w:t>This study supports wider adoption of structured, multidisciplinary shock pathways within UK centres with PPCI services and general ICUs. The findings provide a scalable framework to standardise care and improve outcomes in cardiogenic shock.</w:t>
      </w:r>
    </w:p>
    <w:p w14:paraId="4B0927B4"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3944F1A4" w14:textId="77777777" w:rsidR="004A522D" w:rsidRPr="00291373" w:rsidRDefault="004A522D" w:rsidP="004A522D">
      <w:pPr>
        <w:spacing w:line="480" w:lineRule="auto"/>
        <w:rPr>
          <w:rFonts w:ascii="Calibri" w:hAnsi="Calibri" w:cs="Calibri"/>
          <w:b/>
          <w:bCs/>
          <w:color w:val="1C1D1E"/>
          <w:sz w:val="24"/>
          <w:szCs w:val="24"/>
          <w:shd w:val="clear" w:color="auto" w:fill="FFFFFF"/>
        </w:rPr>
      </w:pPr>
    </w:p>
    <w:p w14:paraId="69C047C0" w14:textId="77777777" w:rsidR="004A522D" w:rsidRDefault="004A522D" w:rsidP="0061008F">
      <w:pPr>
        <w:spacing w:line="480" w:lineRule="auto"/>
        <w:rPr>
          <w:rFonts w:ascii="Calibri" w:hAnsi="Calibri" w:cs="Calibri"/>
          <w:b/>
          <w:bCs/>
          <w:color w:val="1C1D1E"/>
          <w:sz w:val="24"/>
          <w:szCs w:val="24"/>
          <w:shd w:val="clear" w:color="auto" w:fill="FFFFFF"/>
        </w:rPr>
      </w:pPr>
    </w:p>
    <w:p w14:paraId="284D2E60" w14:textId="77777777" w:rsidR="004A522D" w:rsidRDefault="004A522D" w:rsidP="0061008F">
      <w:pPr>
        <w:spacing w:line="480" w:lineRule="auto"/>
        <w:rPr>
          <w:rFonts w:ascii="Calibri" w:hAnsi="Calibri" w:cs="Calibri"/>
          <w:b/>
          <w:bCs/>
          <w:color w:val="1C1D1E"/>
          <w:sz w:val="24"/>
          <w:szCs w:val="24"/>
          <w:shd w:val="clear" w:color="auto" w:fill="FFFFFF"/>
        </w:rPr>
      </w:pPr>
    </w:p>
    <w:p w14:paraId="15F0EBA2" w14:textId="77777777" w:rsidR="000A5BEE" w:rsidRDefault="000A5BEE" w:rsidP="0061008F">
      <w:pPr>
        <w:spacing w:line="480" w:lineRule="auto"/>
        <w:rPr>
          <w:rFonts w:ascii="Calibri" w:hAnsi="Calibri" w:cs="Calibri"/>
          <w:b/>
          <w:bCs/>
          <w:color w:val="1C1D1E"/>
          <w:sz w:val="24"/>
          <w:szCs w:val="24"/>
          <w:shd w:val="clear" w:color="auto" w:fill="FFFFFF"/>
        </w:rPr>
      </w:pPr>
    </w:p>
    <w:p w14:paraId="78858B43" w14:textId="77777777" w:rsidR="00CB375E" w:rsidRDefault="00CB375E" w:rsidP="0061008F">
      <w:pPr>
        <w:spacing w:line="480" w:lineRule="auto"/>
        <w:rPr>
          <w:rFonts w:ascii="Calibri" w:hAnsi="Calibri" w:cs="Calibri"/>
          <w:b/>
          <w:bCs/>
          <w:color w:val="1C1D1E"/>
          <w:sz w:val="24"/>
          <w:szCs w:val="24"/>
          <w:shd w:val="clear" w:color="auto" w:fill="FFFFFF"/>
        </w:rPr>
        <w:sectPr w:rsidR="00CB375E" w:rsidSect="00840CEF">
          <w:pgSz w:w="11906" w:h="16838"/>
          <w:pgMar w:top="1440" w:right="1440" w:bottom="1440" w:left="1440" w:header="708" w:footer="708" w:gutter="0"/>
          <w:cols w:space="708"/>
          <w:docGrid w:linePitch="360"/>
        </w:sectPr>
      </w:pPr>
    </w:p>
    <w:p w14:paraId="1B907F1B" w14:textId="1950A026" w:rsidR="0061008F" w:rsidRPr="00291373" w:rsidRDefault="0061008F" w:rsidP="0061008F">
      <w:pPr>
        <w:spacing w:line="480" w:lineRule="auto"/>
        <w:rPr>
          <w:rFonts w:ascii="Calibri" w:hAnsi="Calibri" w:cs="Calibri"/>
          <w:b/>
          <w:bCs/>
          <w:color w:val="1C1D1E"/>
          <w:sz w:val="24"/>
          <w:szCs w:val="24"/>
          <w:shd w:val="clear" w:color="auto" w:fill="FFFFFF"/>
        </w:rPr>
      </w:pPr>
      <w:r w:rsidRPr="00291373">
        <w:rPr>
          <w:rFonts w:ascii="Calibri" w:hAnsi="Calibri" w:cs="Calibri"/>
          <w:b/>
          <w:bCs/>
          <w:color w:val="1C1D1E"/>
          <w:sz w:val="24"/>
          <w:szCs w:val="24"/>
          <w:shd w:val="clear" w:color="auto" w:fill="FFFFFF"/>
        </w:rPr>
        <w:lastRenderedPageBreak/>
        <w:t>Introduction:</w:t>
      </w:r>
    </w:p>
    <w:p w14:paraId="7FBC38CC" w14:textId="04D1076D" w:rsidR="00B76933" w:rsidRPr="00291373" w:rsidRDefault="00B76933" w:rsidP="00BE05B5">
      <w:pPr>
        <w:spacing w:line="480" w:lineRule="auto"/>
        <w:jc w:val="both"/>
        <w:rPr>
          <w:rFonts w:ascii="Calibri" w:hAnsi="Calibri" w:cs="Calibri"/>
          <w:color w:val="1C1D1E"/>
          <w:sz w:val="24"/>
          <w:szCs w:val="24"/>
          <w:shd w:val="clear" w:color="auto" w:fill="FFFFFF"/>
        </w:rPr>
      </w:pPr>
      <w:r w:rsidRPr="00291373">
        <w:rPr>
          <w:rFonts w:ascii="Calibri" w:hAnsi="Calibri" w:cs="Calibri"/>
          <w:color w:val="1C1D1E"/>
          <w:sz w:val="24"/>
          <w:szCs w:val="24"/>
          <w:shd w:val="clear" w:color="auto" w:fill="FFFFFF"/>
        </w:rPr>
        <w:t>Cardiogenic shock (CS) is characterised by reduced cardiac output leading to inadequate end-organ perfusion. The Society for Cardiovascular Angiography and Interventions (SCAI) has developed a widely adopted classification system for stratifying shock severity¹. In this framework, early stages (A and B) are not typically associated with hypoperfusion, although hypotension may be present in stage B. In contrast, stages C to E are defined by overt hypoperfusion necessitating active intervention. Numerous studies have shown that higher SCAI stages are consistently associated with increased mortality, despite heterogeneity in patient populations across validation cohorts².</w:t>
      </w:r>
      <w:r w:rsidR="00085BED" w:rsidRPr="00291373">
        <w:rPr>
          <w:rFonts w:ascii="Calibri" w:hAnsi="Calibri" w:cs="Calibri"/>
          <w:color w:val="1C1D1E"/>
          <w:sz w:val="24"/>
          <w:szCs w:val="24"/>
          <w:shd w:val="clear" w:color="auto" w:fill="FFFFFF"/>
        </w:rPr>
        <w:t xml:space="preserve"> </w:t>
      </w:r>
      <w:r w:rsidRPr="00291373">
        <w:rPr>
          <w:rFonts w:ascii="Calibri" w:hAnsi="Calibri" w:cs="Calibri"/>
          <w:color w:val="1C1D1E"/>
          <w:sz w:val="24"/>
          <w:szCs w:val="24"/>
          <w:shd w:val="clear" w:color="auto" w:fill="FFFFFF"/>
        </w:rPr>
        <w:t>CS remains the leading cause of death among patients presenting with acute myocardial infarction (</w:t>
      </w:r>
      <w:r w:rsidR="00A474EA" w:rsidRPr="00291373">
        <w:rPr>
          <w:rFonts w:ascii="Calibri" w:hAnsi="Calibri" w:cs="Calibri"/>
          <w:color w:val="1C1D1E"/>
          <w:sz w:val="24"/>
          <w:szCs w:val="24"/>
          <w:shd w:val="clear" w:color="auto" w:fill="FFFFFF"/>
        </w:rPr>
        <w:t>A</w:t>
      </w:r>
      <w:r w:rsidRPr="00291373">
        <w:rPr>
          <w:rFonts w:ascii="Calibri" w:hAnsi="Calibri" w:cs="Calibri"/>
          <w:color w:val="1C1D1E"/>
          <w:sz w:val="24"/>
          <w:szCs w:val="24"/>
          <w:shd w:val="clear" w:color="auto" w:fill="FFFFFF"/>
        </w:rPr>
        <w:t>MI)</w:t>
      </w:r>
      <w:r w:rsidR="00AD30BA" w:rsidRPr="00291373">
        <w:rPr>
          <w:rFonts w:ascii="Calibri" w:hAnsi="Calibri" w:cs="Calibri"/>
          <w:color w:val="1C1D1E"/>
          <w:sz w:val="24"/>
          <w:szCs w:val="24"/>
          <w:shd w:val="clear" w:color="auto" w:fill="FFFFFF"/>
          <w:vertAlign w:val="superscript"/>
        </w:rPr>
        <w:t>2,3</w:t>
      </w:r>
      <w:r w:rsidRPr="00291373">
        <w:rPr>
          <w:rFonts w:ascii="Calibri" w:hAnsi="Calibri" w:cs="Calibri"/>
          <w:color w:val="1C1D1E"/>
          <w:sz w:val="24"/>
          <w:szCs w:val="24"/>
          <w:shd w:val="clear" w:color="auto" w:fill="FFFFFF"/>
        </w:rPr>
        <w:t>.</w:t>
      </w:r>
      <w:r w:rsidR="00AE02E4" w:rsidRPr="00AE02E4">
        <w:t xml:space="preserve"> </w:t>
      </w:r>
      <w:r w:rsidR="00A94E03" w:rsidRPr="00A94E03">
        <w:rPr>
          <w:rFonts w:ascii="Calibri" w:hAnsi="Calibri" w:cs="Calibri"/>
          <w:color w:val="1C1D1E"/>
          <w:sz w:val="24"/>
          <w:szCs w:val="24"/>
          <w:shd w:val="clear" w:color="auto" w:fill="FFFFFF"/>
        </w:rPr>
        <w:t xml:space="preserve">In this context, the landmark SHOCK trial showed that, although early invasive management did not significantly reduce 30-day mortality compared with initial medical therapy alone (46.7% vs. 56.0%; </w:t>
      </w:r>
      <w:r w:rsidR="00C65CB8">
        <w:rPr>
          <w:rFonts w:ascii="Calibri" w:hAnsi="Calibri" w:cs="Calibri"/>
          <w:color w:val="1C1D1E"/>
          <w:sz w:val="24"/>
          <w:szCs w:val="24"/>
          <w:shd w:val="clear" w:color="auto" w:fill="FFFFFF"/>
        </w:rPr>
        <w:t>p</w:t>
      </w:r>
      <w:r w:rsidR="00A94E03" w:rsidRPr="00A94E03">
        <w:rPr>
          <w:rFonts w:ascii="Calibri" w:hAnsi="Calibri" w:cs="Calibri"/>
          <w:color w:val="1C1D1E"/>
          <w:sz w:val="24"/>
          <w:szCs w:val="24"/>
          <w:shd w:val="clear" w:color="auto" w:fill="FFFFFF"/>
        </w:rPr>
        <w:t xml:space="preserve">=0.11), it was associated with a significant reduction in 6-month mortality (50.3% vs. 63.1%; </w:t>
      </w:r>
      <w:r w:rsidR="00C65CB8">
        <w:rPr>
          <w:rFonts w:ascii="Calibri" w:hAnsi="Calibri" w:cs="Calibri"/>
          <w:color w:val="1C1D1E"/>
          <w:sz w:val="24"/>
          <w:szCs w:val="24"/>
          <w:shd w:val="clear" w:color="auto" w:fill="FFFFFF"/>
        </w:rPr>
        <w:t>p</w:t>
      </w:r>
      <w:r w:rsidR="00A94E03" w:rsidRPr="00A94E03">
        <w:rPr>
          <w:rFonts w:ascii="Calibri" w:hAnsi="Calibri" w:cs="Calibri"/>
          <w:color w:val="1C1D1E"/>
          <w:sz w:val="24"/>
          <w:szCs w:val="24"/>
          <w:shd w:val="clear" w:color="auto" w:fill="FFFFFF"/>
        </w:rPr>
        <w:t>=0.027</w:t>
      </w:r>
      <w:r w:rsidR="00AE02E4" w:rsidRPr="00AE02E4">
        <w:rPr>
          <w:rFonts w:ascii="Calibri" w:hAnsi="Calibri" w:cs="Calibri"/>
          <w:color w:val="1C1D1E"/>
          <w:sz w:val="24"/>
          <w:szCs w:val="24"/>
          <w:shd w:val="clear" w:color="auto" w:fill="FFFFFF"/>
        </w:rPr>
        <w:t>)³.</w:t>
      </w:r>
      <w:r w:rsidR="00CB7EA3" w:rsidRPr="00291373">
        <w:rPr>
          <w:rFonts w:ascii="Calibri" w:hAnsi="Calibri" w:cs="Calibri"/>
          <w:sz w:val="24"/>
          <w:szCs w:val="24"/>
        </w:rPr>
        <w:t xml:space="preserve">The role of left ventricular (LV) unloading has been tested in the recent </w:t>
      </w:r>
      <w:proofErr w:type="spellStart"/>
      <w:r w:rsidR="00CB7EA3" w:rsidRPr="00291373">
        <w:rPr>
          <w:rFonts w:ascii="Calibri" w:hAnsi="Calibri" w:cs="Calibri"/>
          <w:sz w:val="24"/>
          <w:szCs w:val="24"/>
        </w:rPr>
        <w:t>DanGer</w:t>
      </w:r>
      <w:proofErr w:type="spellEnd"/>
      <w:r w:rsidR="00CB7EA3" w:rsidRPr="00291373">
        <w:rPr>
          <w:rFonts w:ascii="Calibri" w:hAnsi="Calibri" w:cs="Calibri"/>
          <w:sz w:val="24"/>
          <w:szCs w:val="24"/>
        </w:rPr>
        <w:t xml:space="preserve"> Shock trial, which randomised 355 patients with STEMI and cardiogenic shock to LV unloading plus standard care versus standard care alone. Routine use significantly reduced 6-month all-cause mortality (HR 0.74, 95% CI 0.55–0.99, p = 0.04), despite higher rates of device-related complications</w:t>
      </w:r>
      <w:r w:rsidR="007573A1">
        <w:rPr>
          <w:rFonts w:ascii="Calibri" w:hAnsi="Calibri" w:cs="Calibri"/>
          <w:sz w:val="24"/>
          <w:szCs w:val="24"/>
          <w:vertAlign w:val="superscript"/>
        </w:rPr>
        <w:t>4</w:t>
      </w:r>
      <w:r w:rsidR="00405E39" w:rsidRPr="00291373">
        <w:rPr>
          <w:rFonts w:ascii="Calibri" w:hAnsi="Calibri" w:cs="Calibri"/>
          <w:color w:val="1C1D1E"/>
          <w:sz w:val="24"/>
          <w:szCs w:val="24"/>
          <w:shd w:val="clear" w:color="auto" w:fill="FFFFFF"/>
        </w:rPr>
        <w:t>. These results suggest</w:t>
      </w:r>
      <w:r w:rsidR="00CB7EA3" w:rsidRPr="00291373">
        <w:rPr>
          <w:rFonts w:ascii="Calibri" w:hAnsi="Calibri" w:cs="Calibri"/>
          <w:color w:val="1C1D1E"/>
          <w:sz w:val="24"/>
          <w:szCs w:val="24"/>
          <w:shd w:val="clear" w:color="auto" w:fill="FFFFFF"/>
        </w:rPr>
        <w:t xml:space="preserve"> that the principle of LV unloading </w:t>
      </w:r>
      <w:r w:rsidR="00405E39" w:rsidRPr="00291373">
        <w:rPr>
          <w:rFonts w:ascii="Calibri" w:hAnsi="Calibri" w:cs="Calibri"/>
          <w:color w:val="1C1D1E"/>
          <w:sz w:val="24"/>
          <w:szCs w:val="24"/>
          <w:shd w:val="clear" w:color="auto" w:fill="FFFFFF"/>
        </w:rPr>
        <w:t>may offer a survival benefit in this high-risk population, though careful patient selection and risk–benefit consideration remain essential</w:t>
      </w:r>
      <w:r w:rsidR="005F7A68" w:rsidRPr="00291373">
        <w:rPr>
          <w:rFonts w:ascii="Calibri" w:hAnsi="Calibri" w:cs="Calibri"/>
          <w:color w:val="1C1D1E"/>
          <w:sz w:val="24"/>
          <w:szCs w:val="24"/>
          <w:shd w:val="clear" w:color="auto" w:fill="FFFFFF"/>
        </w:rPr>
        <w:t xml:space="preserve">. </w:t>
      </w:r>
    </w:p>
    <w:p w14:paraId="7EE038DB" w14:textId="0EE00416" w:rsidR="00BE05B5" w:rsidRPr="00291373" w:rsidRDefault="00B76933" w:rsidP="00BE05B5">
      <w:pPr>
        <w:spacing w:line="480" w:lineRule="auto"/>
        <w:jc w:val="both"/>
        <w:rPr>
          <w:rFonts w:ascii="Calibri" w:hAnsi="Calibri" w:cs="Calibri"/>
          <w:color w:val="1C1D1E"/>
          <w:sz w:val="24"/>
          <w:szCs w:val="24"/>
          <w:shd w:val="clear" w:color="auto" w:fill="FFFFFF"/>
        </w:rPr>
      </w:pPr>
      <w:r w:rsidRPr="00291373">
        <w:rPr>
          <w:rFonts w:ascii="Calibri" w:hAnsi="Calibri" w:cs="Calibri"/>
          <w:color w:val="1C1D1E"/>
          <w:sz w:val="24"/>
          <w:szCs w:val="24"/>
          <w:shd w:val="clear" w:color="auto" w:fill="FFFFFF"/>
        </w:rPr>
        <w:t xml:space="preserve">Despite advancements in </w:t>
      </w:r>
      <w:r w:rsidR="000825DE" w:rsidRPr="00291373">
        <w:rPr>
          <w:rFonts w:ascii="Calibri" w:hAnsi="Calibri" w:cs="Calibri"/>
          <w:color w:val="1C1D1E"/>
          <w:sz w:val="24"/>
          <w:szCs w:val="24"/>
          <w:shd w:val="clear" w:color="auto" w:fill="FFFFFF"/>
        </w:rPr>
        <w:t>percutaneous coronary intervention (</w:t>
      </w:r>
      <w:r w:rsidRPr="00291373">
        <w:rPr>
          <w:rFonts w:ascii="Calibri" w:hAnsi="Calibri" w:cs="Calibri"/>
          <w:color w:val="1C1D1E"/>
          <w:sz w:val="24"/>
          <w:szCs w:val="24"/>
          <w:shd w:val="clear" w:color="auto" w:fill="FFFFFF"/>
        </w:rPr>
        <w:t>PCI</w:t>
      </w:r>
      <w:r w:rsidR="000825DE" w:rsidRPr="00291373">
        <w:rPr>
          <w:rFonts w:ascii="Calibri" w:hAnsi="Calibri" w:cs="Calibri"/>
          <w:color w:val="1C1D1E"/>
          <w:sz w:val="24"/>
          <w:szCs w:val="24"/>
          <w:shd w:val="clear" w:color="auto" w:fill="FFFFFF"/>
        </w:rPr>
        <w:t>)</w:t>
      </w:r>
      <w:r w:rsidRPr="00291373">
        <w:rPr>
          <w:rFonts w:ascii="Calibri" w:hAnsi="Calibri" w:cs="Calibri"/>
          <w:color w:val="1C1D1E"/>
          <w:sz w:val="24"/>
          <w:szCs w:val="24"/>
          <w:shd w:val="clear" w:color="auto" w:fill="FFFFFF"/>
        </w:rPr>
        <w:t xml:space="preserve"> and surgical revascularisation, CS continues to carry a high mortality rate, approaching 50%⁵</w:t>
      </w:r>
      <w:r w:rsidR="00A17AC9">
        <w:rPr>
          <w:rFonts w:ascii="Calibri" w:hAnsi="Calibri" w:cs="Calibri"/>
          <w:color w:val="1C1D1E"/>
          <w:sz w:val="24"/>
          <w:szCs w:val="24"/>
          <w:shd w:val="clear" w:color="auto" w:fill="FFFFFF"/>
        </w:rPr>
        <w:t>.</w:t>
      </w:r>
      <w:r w:rsidR="0001687C" w:rsidRPr="00291373">
        <w:rPr>
          <w:rFonts w:ascii="Calibri" w:hAnsi="Calibri" w:cs="Calibri"/>
          <w:color w:val="1C1D1E"/>
          <w:sz w:val="24"/>
          <w:szCs w:val="24"/>
          <w:shd w:val="clear" w:color="auto" w:fill="FFFFFF"/>
        </w:rPr>
        <w:t xml:space="preserve"> </w:t>
      </w:r>
      <w:r w:rsidR="001054B4" w:rsidRPr="00291373">
        <w:rPr>
          <w:rFonts w:ascii="Calibri" w:hAnsi="Calibri" w:cs="Calibri"/>
          <w:sz w:val="24"/>
          <w:szCs w:val="24"/>
        </w:rPr>
        <w:t xml:space="preserve">Additionally, 20–30% of CS patients require </w:t>
      </w:r>
      <w:r w:rsidR="00CB7EA3" w:rsidRPr="00291373">
        <w:rPr>
          <w:rFonts w:ascii="Calibri" w:hAnsi="Calibri" w:cs="Calibri"/>
          <w:sz w:val="24"/>
          <w:szCs w:val="24"/>
        </w:rPr>
        <w:t xml:space="preserve">more advanced </w:t>
      </w:r>
      <w:r w:rsidR="001054B4" w:rsidRPr="00291373">
        <w:rPr>
          <w:rFonts w:ascii="Calibri" w:hAnsi="Calibri" w:cs="Calibri"/>
          <w:sz w:val="24"/>
          <w:szCs w:val="24"/>
        </w:rPr>
        <w:t xml:space="preserve">rehabilitation after discharge and nearly 50% </w:t>
      </w:r>
      <w:r w:rsidR="001054B4" w:rsidRPr="00291373">
        <w:rPr>
          <w:rFonts w:ascii="Calibri" w:hAnsi="Calibri" w:cs="Calibri"/>
          <w:sz w:val="24"/>
          <w:szCs w:val="24"/>
        </w:rPr>
        <w:lastRenderedPageBreak/>
        <w:t>are re-hospitalised within a year</w:t>
      </w:r>
      <w:r w:rsidR="003925A9" w:rsidRPr="00291373">
        <w:rPr>
          <w:rFonts w:ascii="Calibri" w:hAnsi="Calibri" w:cs="Calibri"/>
          <w:sz w:val="24"/>
          <w:szCs w:val="24"/>
          <w:vertAlign w:val="superscript"/>
        </w:rPr>
        <w:t>6,7</w:t>
      </w:r>
      <w:r w:rsidRPr="00D663C9">
        <w:rPr>
          <w:rFonts w:ascii="Calibri" w:hAnsi="Calibri" w:cs="Calibri"/>
          <w:color w:val="1C1D1E"/>
          <w:sz w:val="24"/>
          <w:szCs w:val="24"/>
          <w:shd w:val="clear" w:color="auto" w:fill="FFFFFF"/>
        </w:rPr>
        <w:t>.</w:t>
      </w:r>
      <w:r w:rsidR="00127616" w:rsidRPr="007E772E">
        <w:rPr>
          <w:rFonts w:ascii="Calibri" w:hAnsi="Calibri" w:cs="Calibri"/>
          <w:sz w:val="24"/>
          <w:szCs w:val="24"/>
        </w:rPr>
        <w:t xml:space="preserve"> Given the urgency and high morbidity associated with managing these patients, the potential role of a senior multi</w:t>
      </w:r>
      <w:r w:rsidR="006F0339">
        <w:rPr>
          <w:rFonts w:ascii="Calibri" w:hAnsi="Calibri" w:cs="Calibri"/>
          <w:sz w:val="24"/>
          <w:szCs w:val="24"/>
        </w:rPr>
        <w:t>-</w:t>
      </w:r>
      <w:r w:rsidR="00127616" w:rsidRPr="007E772E">
        <w:rPr>
          <w:rFonts w:ascii="Calibri" w:hAnsi="Calibri" w:cs="Calibri"/>
          <w:sz w:val="24"/>
          <w:szCs w:val="24"/>
        </w:rPr>
        <w:t>specialty shock team comprising interventional cardiology, anaesthesia and critical care specialists in improving outcomes warrants investigation, particularly when delivered through a pragmatic model that does not rely on routine invasive haemodynamic monitoring</w:t>
      </w:r>
      <w:r w:rsidR="00FE4912">
        <w:rPr>
          <w:rFonts w:ascii="Calibri" w:hAnsi="Calibri" w:cs="Calibri"/>
          <w:sz w:val="24"/>
          <w:szCs w:val="24"/>
        </w:rPr>
        <w:t xml:space="preserve"> (</w:t>
      </w:r>
      <w:r w:rsidR="009C43E9">
        <w:rPr>
          <w:rFonts w:ascii="Calibri" w:hAnsi="Calibri" w:cs="Calibri"/>
          <w:sz w:val="24"/>
          <w:szCs w:val="24"/>
        </w:rPr>
        <w:t xml:space="preserve">including right heart </w:t>
      </w:r>
      <w:proofErr w:type="spellStart"/>
      <w:r w:rsidR="009C43E9">
        <w:rPr>
          <w:rFonts w:ascii="Calibri" w:hAnsi="Calibri" w:cs="Calibri"/>
          <w:sz w:val="24"/>
          <w:szCs w:val="24"/>
        </w:rPr>
        <w:t>catheteristion</w:t>
      </w:r>
      <w:proofErr w:type="spellEnd"/>
      <w:r w:rsidR="009C43E9">
        <w:rPr>
          <w:rFonts w:ascii="Calibri" w:hAnsi="Calibri" w:cs="Calibri"/>
          <w:sz w:val="24"/>
          <w:szCs w:val="24"/>
        </w:rPr>
        <w:t>)</w:t>
      </w:r>
      <w:r w:rsidR="00127616" w:rsidRPr="007E772E">
        <w:rPr>
          <w:rFonts w:ascii="Calibri" w:hAnsi="Calibri" w:cs="Calibri"/>
          <w:sz w:val="24"/>
          <w:szCs w:val="24"/>
        </w:rPr>
        <w:t xml:space="preserve"> or systematic use of mechanical circulatory support</w:t>
      </w:r>
      <w:r w:rsidR="00D663C9">
        <w:rPr>
          <w:rFonts w:ascii="Calibri" w:hAnsi="Calibri" w:cs="Calibri"/>
          <w:sz w:val="24"/>
          <w:szCs w:val="24"/>
        </w:rPr>
        <w:t xml:space="preserve"> (MCS)</w:t>
      </w:r>
      <w:r w:rsidR="00127616" w:rsidRPr="007E772E">
        <w:rPr>
          <w:rFonts w:ascii="Calibri" w:hAnsi="Calibri" w:cs="Calibri"/>
          <w:sz w:val="24"/>
          <w:szCs w:val="24"/>
        </w:rPr>
        <w:t>, thereby enhancing scalability and real-world applicability.</w:t>
      </w:r>
      <w:r w:rsidR="007518BA" w:rsidRPr="007E772E">
        <w:rPr>
          <w:rFonts w:ascii="Calibri" w:hAnsi="Calibri" w:cs="Calibri"/>
          <w:sz w:val="24"/>
          <w:szCs w:val="24"/>
        </w:rPr>
        <w:t xml:space="preserve"> </w:t>
      </w:r>
      <w:r w:rsidRPr="00291373">
        <w:rPr>
          <w:rFonts w:ascii="Calibri" w:hAnsi="Calibri" w:cs="Calibri"/>
          <w:color w:val="1C1D1E"/>
          <w:sz w:val="24"/>
          <w:szCs w:val="24"/>
          <w:shd w:val="clear" w:color="auto" w:fill="FFFFFF"/>
        </w:rPr>
        <w:t xml:space="preserve">This approach aims </w:t>
      </w:r>
      <w:r w:rsidR="00660609" w:rsidRPr="00291373">
        <w:rPr>
          <w:rFonts w:ascii="Calibri" w:hAnsi="Calibri" w:cs="Calibri"/>
          <w:color w:val="1C1D1E"/>
          <w:sz w:val="24"/>
          <w:szCs w:val="24"/>
          <w:shd w:val="clear" w:color="auto" w:fill="FFFFFF"/>
        </w:rPr>
        <w:t>to facilitate early recognition of CS and offer expert management of haemodynamic instability that leads to hypoperfusion, worsening CS and organ failure.</w:t>
      </w:r>
      <w:r w:rsidR="00C273A0" w:rsidRPr="00291373">
        <w:rPr>
          <w:rFonts w:ascii="Calibri" w:hAnsi="Calibri" w:cs="Calibri"/>
          <w:color w:val="1C1D1E"/>
          <w:sz w:val="24"/>
          <w:szCs w:val="24"/>
          <w:shd w:val="clear" w:color="auto" w:fill="FFFFFF"/>
        </w:rPr>
        <w:t xml:space="preserve"> In line with this approach, the Royal College of Anaesthetists advocates for the establishment of dedicated CS teams within UK catheterisation laboratories</w:t>
      </w:r>
      <w:r w:rsidR="00C273A0" w:rsidRPr="00291373">
        <w:rPr>
          <w:rFonts w:ascii="Calibri" w:hAnsi="Calibri" w:cs="Calibri"/>
          <w:color w:val="1C1D1E"/>
          <w:sz w:val="24"/>
          <w:szCs w:val="24"/>
          <w:shd w:val="clear" w:color="auto" w:fill="FFFFFF"/>
          <w:vertAlign w:val="superscript"/>
        </w:rPr>
        <w:t>8</w:t>
      </w:r>
      <w:r w:rsidR="00C273A0" w:rsidRPr="00291373">
        <w:rPr>
          <w:rFonts w:ascii="Calibri" w:hAnsi="Calibri" w:cs="Calibri"/>
          <w:color w:val="1C1D1E"/>
          <w:sz w:val="24"/>
          <w:szCs w:val="24"/>
          <w:shd w:val="clear" w:color="auto" w:fill="FFFFFF"/>
        </w:rPr>
        <w:t xml:space="preserve">. </w:t>
      </w:r>
      <w:r w:rsidRPr="00291373">
        <w:rPr>
          <w:rFonts w:ascii="Calibri" w:hAnsi="Calibri" w:cs="Calibri"/>
          <w:color w:val="1C1D1E"/>
          <w:sz w:val="24"/>
          <w:szCs w:val="24"/>
          <w:shd w:val="clear" w:color="auto" w:fill="FFFFFF"/>
        </w:rPr>
        <w:t xml:space="preserve"> </w:t>
      </w:r>
    </w:p>
    <w:p w14:paraId="3F5E5F45" w14:textId="43FBB441" w:rsidR="00B76933" w:rsidRPr="00291373" w:rsidRDefault="00B76933" w:rsidP="00BE05B5">
      <w:pPr>
        <w:spacing w:line="480" w:lineRule="auto"/>
        <w:jc w:val="both"/>
        <w:rPr>
          <w:rFonts w:ascii="Calibri" w:hAnsi="Calibri" w:cs="Calibri"/>
          <w:color w:val="1C1D1E"/>
          <w:sz w:val="24"/>
          <w:szCs w:val="24"/>
          <w:shd w:val="clear" w:color="auto" w:fill="FFFFFF"/>
        </w:rPr>
      </w:pPr>
      <w:r w:rsidRPr="00291373">
        <w:rPr>
          <w:rFonts w:ascii="Calibri" w:hAnsi="Calibri" w:cs="Calibri"/>
          <w:color w:val="1C1D1E"/>
          <w:sz w:val="24"/>
          <w:szCs w:val="24"/>
          <w:shd w:val="clear" w:color="auto" w:fill="FFFFFF"/>
        </w:rPr>
        <w:t xml:space="preserve">This </w:t>
      </w:r>
      <w:r w:rsidR="00BE53C4" w:rsidRPr="00291373">
        <w:rPr>
          <w:rFonts w:ascii="Calibri" w:hAnsi="Calibri" w:cs="Calibri"/>
          <w:color w:val="1C1D1E"/>
          <w:sz w:val="24"/>
          <w:szCs w:val="24"/>
          <w:shd w:val="clear" w:color="auto" w:fill="FFFFFF"/>
        </w:rPr>
        <w:t xml:space="preserve">service evaluation project, conducted at </w:t>
      </w:r>
      <w:r w:rsidR="00C273A0" w:rsidRPr="00291373">
        <w:rPr>
          <w:rFonts w:ascii="Calibri" w:hAnsi="Calibri" w:cs="Calibri"/>
          <w:color w:val="1C1D1E"/>
          <w:sz w:val="24"/>
          <w:szCs w:val="24"/>
          <w:shd w:val="clear" w:color="auto" w:fill="FFFFFF"/>
        </w:rPr>
        <w:t>a high-volume tertiary centre</w:t>
      </w:r>
      <w:r w:rsidRPr="00291373">
        <w:rPr>
          <w:rFonts w:ascii="Calibri" w:hAnsi="Calibri" w:cs="Calibri"/>
          <w:color w:val="1C1D1E"/>
          <w:sz w:val="24"/>
          <w:szCs w:val="24"/>
          <w:shd w:val="clear" w:color="auto" w:fill="FFFFFF"/>
        </w:rPr>
        <w:t xml:space="preserve"> in the United Kingdom</w:t>
      </w:r>
      <w:r w:rsidR="00BE53C4" w:rsidRPr="00291373">
        <w:rPr>
          <w:rFonts w:ascii="Calibri" w:hAnsi="Calibri" w:cs="Calibri"/>
          <w:color w:val="1C1D1E"/>
          <w:sz w:val="24"/>
          <w:szCs w:val="24"/>
          <w:shd w:val="clear" w:color="auto" w:fill="FFFFFF"/>
        </w:rPr>
        <w:t>,</w:t>
      </w:r>
      <w:r w:rsidRPr="00291373">
        <w:rPr>
          <w:rFonts w:ascii="Calibri" w:hAnsi="Calibri" w:cs="Calibri"/>
          <w:color w:val="1C1D1E"/>
          <w:sz w:val="24"/>
          <w:szCs w:val="24"/>
          <w:shd w:val="clear" w:color="auto" w:fill="FFFFFF"/>
        </w:rPr>
        <w:t xml:space="preserve"> aim</w:t>
      </w:r>
      <w:r w:rsidR="002349CD">
        <w:rPr>
          <w:rFonts w:ascii="Calibri" w:hAnsi="Calibri" w:cs="Calibri"/>
          <w:color w:val="1C1D1E"/>
          <w:sz w:val="24"/>
          <w:szCs w:val="24"/>
          <w:shd w:val="clear" w:color="auto" w:fill="FFFFFF"/>
        </w:rPr>
        <w:t>ed</w:t>
      </w:r>
      <w:r w:rsidRPr="00291373">
        <w:rPr>
          <w:rFonts w:ascii="Calibri" w:hAnsi="Calibri" w:cs="Calibri"/>
          <w:color w:val="1C1D1E"/>
          <w:sz w:val="24"/>
          <w:szCs w:val="24"/>
          <w:shd w:val="clear" w:color="auto" w:fill="FFFFFF"/>
        </w:rPr>
        <w:t xml:space="preserve"> to evaluate the impact of an advanced shock team on survival in patients with CS secondary to acute MI requiring urgent revascularisation.</w:t>
      </w:r>
    </w:p>
    <w:p w14:paraId="342543DD" w14:textId="77777777" w:rsidR="00B76933" w:rsidRPr="00291373" w:rsidRDefault="00B76933" w:rsidP="00BE05B5">
      <w:pPr>
        <w:spacing w:line="480" w:lineRule="auto"/>
        <w:jc w:val="both"/>
        <w:rPr>
          <w:rFonts w:ascii="Calibri" w:hAnsi="Calibri" w:cs="Calibri"/>
          <w:color w:val="1C1D1E"/>
          <w:sz w:val="24"/>
          <w:szCs w:val="24"/>
          <w:shd w:val="clear" w:color="auto" w:fill="FFFFFF"/>
        </w:rPr>
      </w:pPr>
    </w:p>
    <w:p w14:paraId="198B1CBB" w14:textId="2279C272" w:rsidR="00D60CF0" w:rsidRPr="00291373" w:rsidRDefault="00397429" w:rsidP="00BE05B5">
      <w:pPr>
        <w:spacing w:line="480" w:lineRule="auto"/>
        <w:jc w:val="both"/>
        <w:rPr>
          <w:rFonts w:ascii="Calibri" w:hAnsi="Calibri" w:cs="Calibri"/>
          <w:color w:val="1C1D1E"/>
          <w:sz w:val="24"/>
          <w:szCs w:val="24"/>
          <w:shd w:val="clear" w:color="auto" w:fill="FFFFFF"/>
        </w:rPr>
      </w:pPr>
      <w:r w:rsidRPr="00291373">
        <w:rPr>
          <w:rFonts w:ascii="Calibri" w:hAnsi="Calibri" w:cs="Calibri"/>
          <w:b/>
          <w:bCs/>
          <w:color w:val="1C1D1E"/>
          <w:sz w:val="24"/>
          <w:szCs w:val="24"/>
          <w:shd w:val="clear" w:color="auto" w:fill="FFFFFF"/>
        </w:rPr>
        <w:t xml:space="preserve">Methods: </w:t>
      </w:r>
    </w:p>
    <w:p w14:paraId="58F79D70" w14:textId="00F606B5" w:rsidR="00D60CF0" w:rsidRPr="00291373" w:rsidRDefault="000825DE" w:rsidP="00BE05B5">
      <w:pPr>
        <w:spacing w:line="480" w:lineRule="auto"/>
        <w:jc w:val="both"/>
        <w:rPr>
          <w:rFonts w:ascii="Calibri" w:hAnsi="Calibri" w:cs="Calibri"/>
          <w:color w:val="1C1D1E"/>
          <w:sz w:val="24"/>
          <w:szCs w:val="24"/>
          <w:shd w:val="clear" w:color="auto" w:fill="FFFFFF"/>
        </w:rPr>
      </w:pPr>
      <w:r w:rsidRPr="00291373">
        <w:rPr>
          <w:rFonts w:ascii="Calibri" w:hAnsi="Calibri" w:cs="Calibri"/>
          <w:b/>
          <w:bCs/>
          <w:color w:val="1C1D1E"/>
          <w:sz w:val="24"/>
          <w:szCs w:val="24"/>
          <w:shd w:val="clear" w:color="auto" w:fill="FFFFFF"/>
        </w:rPr>
        <w:t>Project</w:t>
      </w:r>
      <w:r w:rsidR="00397429" w:rsidRPr="00291373">
        <w:rPr>
          <w:rFonts w:ascii="Calibri" w:hAnsi="Calibri" w:cs="Calibri"/>
          <w:b/>
          <w:bCs/>
          <w:color w:val="1C1D1E"/>
          <w:sz w:val="24"/>
          <w:szCs w:val="24"/>
          <w:shd w:val="clear" w:color="auto" w:fill="FFFFFF"/>
        </w:rPr>
        <w:t xml:space="preserve"> </w:t>
      </w:r>
      <w:r w:rsidR="00FB7946" w:rsidRPr="00291373">
        <w:rPr>
          <w:rFonts w:ascii="Calibri" w:hAnsi="Calibri" w:cs="Calibri"/>
          <w:b/>
          <w:bCs/>
          <w:color w:val="1C1D1E"/>
          <w:sz w:val="24"/>
          <w:szCs w:val="24"/>
          <w:shd w:val="clear" w:color="auto" w:fill="FFFFFF"/>
        </w:rPr>
        <w:t>design</w:t>
      </w:r>
      <w:r w:rsidR="00397429" w:rsidRPr="00291373">
        <w:rPr>
          <w:rFonts w:ascii="Calibri" w:hAnsi="Calibri" w:cs="Calibri"/>
          <w:b/>
          <w:bCs/>
          <w:color w:val="1C1D1E"/>
          <w:sz w:val="24"/>
          <w:szCs w:val="24"/>
          <w:shd w:val="clear" w:color="auto" w:fill="FFFFFF"/>
        </w:rPr>
        <w:t xml:space="preserve"> and objective</w:t>
      </w:r>
      <w:r w:rsidR="00836AF2" w:rsidRPr="00291373">
        <w:rPr>
          <w:rFonts w:ascii="Calibri" w:hAnsi="Calibri" w:cs="Calibri"/>
          <w:b/>
          <w:bCs/>
          <w:color w:val="1C1D1E"/>
          <w:sz w:val="24"/>
          <w:szCs w:val="24"/>
          <w:shd w:val="clear" w:color="auto" w:fill="FFFFFF"/>
        </w:rPr>
        <w:t>s</w:t>
      </w:r>
      <w:r w:rsidR="00397429" w:rsidRPr="00291373">
        <w:rPr>
          <w:rFonts w:ascii="Calibri" w:hAnsi="Calibri" w:cs="Calibri"/>
          <w:b/>
          <w:bCs/>
          <w:color w:val="1C1D1E"/>
          <w:sz w:val="24"/>
          <w:szCs w:val="24"/>
          <w:shd w:val="clear" w:color="auto" w:fill="FFFFFF"/>
        </w:rPr>
        <w:t xml:space="preserve">: </w:t>
      </w:r>
    </w:p>
    <w:p w14:paraId="63075FED" w14:textId="036B043C" w:rsidR="00BE05B5" w:rsidRPr="00291373" w:rsidRDefault="00183561" w:rsidP="00BE05B5">
      <w:pPr>
        <w:spacing w:line="480" w:lineRule="auto"/>
        <w:jc w:val="both"/>
        <w:rPr>
          <w:rFonts w:ascii="Calibri" w:hAnsi="Calibri" w:cs="Calibri"/>
          <w:sz w:val="24"/>
          <w:szCs w:val="24"/>
        </w:rPr>
      </w:pPr>
      <w:r w:rsidRPr="00183561">
        <w:rPr>
          <w:rFonts w:ascii="Calibri" w:hAnsi="Calibri" w:cs="Calibri"/>
          <w:sz w:val="24"/>
          <w:szCs w:val="24"/>
        </w:rPr>
        <w:t>ACT-SHOCK is a single-centre service evaluation conducted at a tertiary cardiac centre in the United Kingdom, with an annual primary PCI volume of 500</w:t>
      </w:r>
      <w:r>
        <w:rPr>
          <w:rFonts w:ascii="Calibri" w:hAnsi="Calibri" w:cs="Calibri"/>
          <w:sz w:val="24"/>
          <w:szCs w:val="24"/>
        </w:rPr>
        <w:t>-</w:t>
      </w:r>
      <w:r w:rsidRPr="00183561">
        <w:rPr>
          <w:rFonts w:ascii="Calibri" w:hAnsi="Calibri" w:cs="Calibri"/>
          <w:sz w:val="24"/>
          <w:szCs w:val="24"/>
        </w:rPr>
        <w:t>600 and on-site cardiac surgery availability</w:t>
      </w:r>
      <w:r>
        <w:rPr>
          <w:rFonts w:ascii="Calibri" w:hAnsi="Calibri" w:cs="Calibri"/>
          <w:sz w:val="24"/>
          <w:szCs w:val="24"/>
        </w:rPr>
        <w:t xml:space="preserve">. </w:t>
      </w:r>
      <w:r w:rsidR="00AF31B6" w:rsidRPr="00AF31B6">
        <w:rPr>
          <w:rFonts w:ascii="Calibri" w:hAnsi="Calibri" w:cs="Calibri"/>
          <w:sz w:val="24"/>
          <w:szCs w:val="24"/>
        </w:rPr>
        <w:t xml:space="preserve">Access to advanced MCS was available (Impella, </w:t>
      </w:r>
      <w:r w:rsidR="00AF31B6">
        <w:rPr>
          <w:rFonts w:ascii="Calibri" w:hAnsi="Calibri" w:cs="Calibri"/>
          <w:sz w:val="24"/>
          <w:szCs w:val="24"/>
        </w:rPr>
        <w:t>extracorporeal membrane oxygenation (ECMO)</w:t>
      </w:r>
      <w:r w:rsidR="00AF31B6" w:rsidRPr="00AF31B6">
        <w:rPr>
          <w:rFonts w:ascii="Calibri" w:hAnsi="Calibri" w:cs="Calibri"/>
          <w:sz w:val="24"/>
          <w:szCs w:val="24"/>
        </w:rPr>
        <w:t>), though overall utilisation was low, reflecting real-world practice.</w:t>
      </w:r>
      <w:r w:rsidR="001C1EBD">
        <w:rPr>
          <w:rFonts w:ascii="Calibri" w:hAnsi="Calibri" w:cs="Calibri"/>
          <w:sz w:val="24"/>
          <w:szCs w:val="24"/>
        </w:rPr>
        <w:t xml:space="preserve"> </w:t>
      </w:r>
      <w:r w:rsidR="008C17EB" w:rsidRPr="00291373">
        <w:rPr>
          <w:rFonts w:ascii="Calibri" w:hAnsi="Calibri" w:cs="Calibri"/>
          <w:sz w:val="24"/>
          <w:szCs w:val="24"/>
        </w:rPr>
        <w:t xml:space="preserve">Between May 2023 and May 2024, consecutive patients with CS, as defined by the SCAI classification and secondary to AMI, were identified using protocolised physiological criteria </w:t>
      </w:r>
      <w:r w:rsidR="008C17EB" w:rsidRPr="00291373">
        <w:rPr>
          <w:rFonts w:ascii="Calibri" w:hAnsi="Calibri" w:cs="Calibri"/>
          <w:sz w:val="24"/>
          <w:szCs w:val="24"/>
        </w:rPr>
        <w:lastRenderedPageBreak/>
        <w:t>and managed by the Advanced Cardiogenic Shock Team (ACT) during emergent PCI.</w:t>
      </w:r>
      <w:r w:rsidR="004349EB" w:rsidRPr="00291373">
        <w:rPr>
          <w:rFonts w:ascii="Calibri" w:hAnsi="Calibri" w:cs="Calibri"/>
          <w:sz w:val="24"/>
          <w:szCs w:val="24"/>
        </w:rPr>
        <w:t xml:space="preserve"> This cohort was compared with patients from the preceding 12-month period who underwent emergent PCI for AMI-related cardiogenic shock and received standard care without protocolised physiological assessment or ACT team involvement, identified via the British Cardiovascular Interventional Society (BCIS) audit database</w:t>
      </w:r>
      <w:r w:rsidR="008C17EB" w:rsidRPr="00291373">
        <w:rPr>
          <w:rFonts w:ascii="Calibri" w:hAnsi="Calibri" w:cs="Calibri"/>
          <w:sz w:val="24"/>
          <w:szCs w:val="24"/>
        </w:rPr>
        <w:t>.</w:t>
      </w:r>
      <w:r w:rsidR="00EF7B94" w:rsidRPr="00EF7B94">
        <w:t xml:space="preserve"> </w:t>
      </w:r>
      <w:r w:rsidR="00EF7B94" w:rsidRPr="00EF7B94">
        <w:rPr>
          <w:rFonts w:ascii="Calibri" w:hAnsi="Calibri" w:cs="Calibri"/>
          <w:sz w:val="24"/>
          <w:szCs w:val="24"/>
        </w:rPr>
        <w:t xml:space="preserve">Cardiogenic shock severity was classified using SCAI staging at first medical </w:t>
      </w:r>
      <w:r w:rsidR="00AE2CA4" w:rsidRPr="00EF7B94">
        <w:rPr>
          <w:rFonts w:ascii="Calibri" w:hAnsi="Calibri" w:cs="Calibri"/>
          <w:sz w:val="24"/>
          <w:szCs w:val="24"/>
        </w:rPr>
        <w:t>contact</w:t>
      </w:r>
      <w:r w:rsidR="00AE2CA4">
        <w:rPr>
          <w:rFonts w:ascii="Calibri" w:hAnsi="Calibri" w:cs="Calibri"/>
          <w:sz w:val="24"/>
          <w:szCs w:val="24"/>
        </w:rPr>
        <w:t>.</w:t>
      </w:r>
      <w:r w:rsidR="00AE2CA4" w:rsidRPr="00291373">
        <w:rPr>
          <w:rFonts w:ascii="Calibri" w:hAnsi="Calibri" w:cs="Calibri"/>
          <w:sz w:val="24"/>
          <w:szCs w:val="24"/>
        </w:rPr>
        <w:t xml:space="preserve"> Inclusion</w:t>
      </w:r>
      <w:r w:rsidR="002D6AF7" w:rsidRPr="00291373">
        <w:rPr>
          <w:rFonts w:ascii="Calibri" w:hAnsi="Calibri" w:cs="Calibri"/>
          <w:sz w:val="24"/>
          <w:szCs w:val="24"/>
        </w:rPr>
        <w:t xml:space="preserve"> was limited to patients aged ≥18 years with CS due to AMI necessitating urgent PCI. Exclusion criteria included CS from alternative aetiologies (e.g., myocarditis, non-ischaemic cardiomyopathy, arrhythmias, valvular disease, post-cardiotomy shock), out-of-hospital cardiac arrest without return of spontaneous circulation and end-stage heart failure. T</w:t>
      </w:r>
      <w:r w:rsidR="008C17EB" w:rsidRPr="00291373">
        <w:rPr>
          <w:rFonts w:ascii="Calibri" w:hAnsi="Calibri" w:cs="Calibri"/>
          <w:sz w:val="24"/>
          <w:szCs w:val="24"/>
        </w:rPr>
        <w:t>his analysis</w:t>
      </w:r>
      <w:r w:rsidR="002D6AF7" w:rsidRPr="00291373">
        <w:rPr>
          <w:rFonts w:ascii="Calibri" w:hAnsi="Calibri" w:cs="Calibri"/>
          <w:sz w:val="24"/>
          <w:szCs w:val="24"/>
        </w:rPr>
        <w:t xml:space="preserve"> was registered as a service evaluation </w:t>
      </w:r>
      <w:r w:rsidR="005B3267" w:rsidRPr="00291373">
        <w:rPr>
          <w:rFonts w:ascii="Calibri" w:hAnsi="Calibri" w:cs="Calibri"/>
          <w:sz w:val="24"/>
          <w:szCs w:val="24"/>
        </w:rPr>
        <w:t xml:space="preserve">project </w:t>
      </w:r>
      <w:r w:rsidR="002D6AF7" w:rsidRPr="00291373">
        <w:rPr>
          <w:rFonts w:ascii="Calibri" w:hAnsi="Calibri" w:cs="Calibri"/>
          <w:sz w:val="24"/>
          <w:szCs w:val="24"/>
        </w:rPr>
        <w:t xml:space="preserve">with the </w:t>
      </w:r>
      <w:r w:rsidR="002349CD">
        <w:rPr>
          <w:rFonts w:ascii="Calibri" w:hAnsi="Calibri" w:cs="Calibri"/>
          <w:sz w:val="24"/>
          <w:szCs w:val="24"/>
        </w:rPr>
        <w:t>host</w:t>
      </w:r>
      <w:r w:rsidR="002D6AF7" w:rsidRPr="00291373">
        <w:rPr>
          <w:rFonts w:ascii="Calibri" w:hAnsi="Calibri" w:cs="Calibri"/>
          <w:sz w:val="24"/>
          <w:szCs w:val="24"/>
        </w:rPr>
        <w:t xml:space="preserve"> institution.</w:t>
      </w:r>
      <w:r w:rsidR="0078611E" w:rsidRPr="00291373">
        <w:rPr>
          <w:rFonts w:ascii="Calibri" w:hAnsi="Calibri" w:cs="Calibri"/>
          <w:sz w:val="24"/>
          <w:szCs w:val="24"/>
        </w:rPr>
        <w:t xml:space="preserve"> </w:t>
      </w:r>
    </w:p>
    <w:p w14:paraId="29677EED" w14:textId="7730EA9F" w:rsidR="00ED165C" w:rsidRPr="00291373" w:rsidRDefault="00ED165C" w:rsidP="00BE05B5">
      <w:pPr>
        <w:spacing w:line="480" w:lineRule="auto"/>
        <w:jc w:val="both"/>
        <w:rPr>
          <w:rFonts w:ascii="Calibri" w:hAnsi="Calibri" w:cs="Calibri"/>
          <w:b/>
          <w:bCs/>
          <w:sz w:val="24"/>
          <w:szCs w:val="24"/>
        </w:rPr>
      </w:pPr>
      <w:r w:rsidRPr="00291373">
        <w:rPr>
          <w:rFonts w:ascii="Calibri" w:hAnsi="Calibri" w:cs="Calibri"/>
          <w:b/>
          <w:bCs/>
          <w:sz w:val="24"/>
          <w:szCs w:val="24"/>
        </w:rPr>
        <w:t>Aims:</w:t>
      </w:r>
    </w:p>
    <w:p w14:paraId="3B3DD87C" w14:textId="532F627F" w:rsidR="00D94552" w:rsidRPr="00291373" w:rsidRDefault="002D6AF7" w:rsidP="00BE05B5">
      <w:pPr>
        <w:spacing w:line="480" w:lineRule="auto"/>
        <w:jc w:val="both"/>
        <w:rPr>
          <w:rFonts w:ascii="Calibri" w:hAnsi="Calibri" w:cs="Calibri"/>
          <w:sz w:val="24"/>
          <w:szCs w:val="24"/>
        </w:rPr>
      </w:pPr>
      <w:r w:rsidRPr="00291373">
        <w:rPr>
          <w:rFonts w:ascii="Calibri" w:hAnsi="Calibri" w:cs="Calibri"/>
          <w:sz w:val="24"/>
          <w:szCs w:val="24"/>
        </w:rPr>
        <w:t xml:space="preserve">The primary endpoint was the comparison of 30-day and 1-year all-cause mortality between </w:t>
      </w:r>
      <w:r w:rsidRPr="00AE2CA4">
        <w:rPr>
          <w:rFonts w:ascii="Calibri" w:hAnsi="Calibri" w:cs="Calibri"/>
          <w:sz w:val="24"/>
          <w:szCs w:val="24"/>
        </w:rPr>
        <w:t xml:space="preserve">cohorts. </w:t>
      </w:r>
      <w:r w:rsidR="00575C0C" w:rsidRPr="00575C0C">
        <w:rPr>
          <w:rFonts w:ascii="Calibri" w:hAnsi="Calibri" w:cs="Calibri"/>
          <w:sz w:val="24"/>
          <w:szCs w:val="24"/>
        </w:rPr>
        <w:t>In patients who survived beyond the first 24 hours following PCI, SCAI shock stage was recorded at baseline and again at 24 hours to assess early response to therapy and to explore the potential impact of the ACT pathway on early shock resolution</w:t>
      </w:r>
      <w:r w:rsidR="00E4171F" w:rsidRPr="007E772E">
        <w:rPr>
          <w:rFonts w:ascii="Calibri" w:hAnsi="Calibri" w:cs="Calibri"/>
          <w:sz w:val="24"/>
          <w:szCs w:val="24"/>
        </w:rPr>
        <w:t xml:space="preserve">. </w:t>
      </w:r>
    </w:p>
    <w:p w14:paraId="2A1AA144" w14:textId="4E7A6E9C" w:rsidR="00F27D39" w:rsidRPr="00291373" w:rsidRDefault="001F60C9" w:rsidP="00F27D39">
      <w:pPr>
        <w:spacing w:line="480" w:lineRule="auto"/>
        <w:rPr>
          <w:rFonts w:ascii="Calibri" w:hAnsi="Calibri" w:cs="Calibri"/>
          <w:b/>
          <w:bCs/>
          <w:sz w:val="24"/>
          <w:szCs w:val="24"/>
        </w:rPr>
      </w:pPr>
      <w:r w:rsidRPr="00291373">
        <w:rPr>
          <w:rFonts w:ascii="Calibri" w:hAnsi="Calibri" w:cs="Calibri"/>
          <w:b/>
          <w:bCs/>
          <w:sz w:val="24"/>
          <w:szCs w:val="24"/>
        </w:rPr>
        <w:t>Standard car</w:t>
      </w:r>
      <w:r w:rsidR="00F27D39" w:rsidRPr="00291373">
        <w:rPr>
          <w:rFonts w:ascii="Calibri" w:hAnsi="Calibri" w:cs="Calibri"/>
          <w:b/>
          <w:bCs/>
          <w:sz w:val="24"/>
          <w:szCs w:val="24"/>
        </w:rPr>
        <w:t xml:space="preserve">e: </w:t>
      </w:r>
    </w:p>
    <w:p w14:paraId="31D0930D" w14:textId="3B8E2DED" w:rsidR="00F27D39" w:rsidRPr="00291373" w:rsidRDefault="00F27D39" w:rsidP="00E123F2">
      <w:pPr>
        <w:spacing w:line="480" w:lineRule="auto"/>
        <w:jc w:val="both"/>
        <w:rPr>
          <w:rFonts w:ascii="Calibri" w:hAnsi="Calibri" w:cs="Calibri"/>
          <w:sz w:val="24"/>
          <w:szCs w:val="24"/>
        </w:rPr>
      </w:pPr>
      <w:r w:rsidRPr="00291373">
        <w:rPr>
          <w:rFonts w:ascii="Calibri" w:hAnsi="Calibri" w:cs="Calibri"/>
          <w:sz w:val="24"/>
          <w:szCs w:val="24"/>
        </w:rPr>
        <w:t xml:space="preserve">Patients in the standard care group were managed according to historical institutional practice, prior to the implementation of the ACT pathway. In this cohort, decisions regarding escalation of care during emergency PCI were made solely by the attending interventional cardiologist. If the patient was deemed to be at high risk or exhibiting physiological instability, the interventionalist could request the presence of an anaesthetist to provide support during </w:t>
      </w:r>
      <w:r w:rsidRPr="00291373">
        <w:rPr>
          <w:rFonts w:ascii="Calibri" w:hAnsi="Calibri" w:cs="Calibri"/>
          <w:sz w:val="24"/>
          <w:szCs w:val="24"/>
        </w:rPr>
        <w:lastRenderedPageBreak/>
        <w:t xml:space="preserve">the procedure. This involvement was non-protocolised and typically limited to a single anaesthetist of any training grade, without structured </w:t>
      </w:r>
      <w:r w:rsidR="006F0339" w:rsidRPr="00291373">
        <w:rPr>
          <w:rFonts w:ascii="Calibri" w:hAnsi="Calibri" w:cs="Calibri"/>
          <w:sz w:val="24"/>
          <w:szCs w:val="24"/>
        </w:rPr>
        <w:t>multi</w:t>
      </w:r>
      <w:r w:rsidR="006F0339">
        <w:rPr>
          <w:rFonts w:ascii="Calibri" w:hAnsi="Calibri" w:cs="Calibri"/>
          <w:sz w:val="24"/>
          <w:szCs w:val="24"/>
        </w:rPr>
        <w:t>-specialty</w:t>
      </w:r>
      <w:r w:rsidR="006F0339" w:rsidRPr="00291373">
        <w:rPr>
          <w:rFonts w:ascii="Calibri" w:hAnsi="Calibri" w:cs="Calibri"/>
          <w:sz w:val="24"/>
          <w:szCs w:val="24"/>
        </w:rPr>
        <w:t xml:space="preserve"> </w:t>
      </w:r>
      <w:r w:rsidRPr="00291373">
        <w:rPr>
          <w:rFonts w:ascii="Calibri" w:hAnsi="Calibri" w:cs="Calibri"/>
          <w:sz w:val="24"/>
          <w:szCs w:val="24"/>
        </w:rPr>
        <w:t>input.</w:t>
      </w:r>
    </w:p>
    <w:p w14:paraId="4FEB7D30" w14:textId="77F3452A" w:rsidR="00931716" w:rsidRPr="00291373" w:rsidRDefault="00F27D39" w:rsidP="00E123F2">
      <w:pPr>
        <w:spacing w:line="480" w:lineRule="auto"/>
        <w:jc w:val="both"/>
        <w:rPr>
          <w:rFonts w:ascii="Calibri" w:hAnsi="Calibri" w:cs="Calibri"/>
          <w:sz w:val="24"/>
          <w:szCs w:val="24"/>
        </w:rPr>
      </w:pPr>
      <w:r w:rsidRPr="00291373">
        <w:rPr>
          <w:rFonts w:ascii="Calibri" w:hAnsi="Calibri" w:cs="Calibri"/>
          <w:sz w:val="24"/>
          <w:szCs w:val="24"/>
        </w:rPr>
        <w:t xml:space="preserve">There </w:t>
      </w:r>
      <w:r w:rsidR="00575C0C" w:rsidRPr="00291373">
        <w:rPr>
          <w:rFonts w:ascii="Calibri" w:hAnsi="Calibri" w:cs="Calibri"/>
          <w:sz w:val="24"/>
          <w:szCs w:val="24"/>
        </w:rPr>
        <w:t>were</w:t>
      </w:r>
      <w:r w:rsidRPr="00291373">
        <w:rPr>
          <w:rFonts w:ascii="Calibri" w:hAnsi="Calibri" w:cs="Calibri"/>
          <w:sz w:val="24"/>
          <w:szCs w:val="24"/>
        </w:rPr>
        <w:t xml:space="preserve"> no formal activation protocol or predefined criteria guiding the involvement of anaesthesia, intensive care, additional nursing, or operating department practitioner (ODP). Consequently, the capacity to initiate advanced organ support interventions, such as mechanical ventilation, vasoactive therapy, or circulatory support, was limited and inconsistently applied.</w:t>
      </w:r>
      <w:r w:rsidR="00F814A8" w:rsidRPr="00291373">
        <w:rPr>
          <w:rFonts w:ascii="Calibri" w:hAnsi="Calibri" w:cs="Calibri"/>
          <w:sz w:val="24"/>
          <w:szCs w:val="24"/>
        </w:rPr>
        <w:t xml:space="preserve"> </w:t>
      </w:r>
      <w:r w:rsidR="005F7A68" w:rsidRPr="00291373">
        <w:rPr>
          <w:rFonts w:ascii="Calibri" w:hAnsi="Calibri" w:cs="Calibri"/>
          <w:sz w:val="24"/>
          <w:szCs w:val="24"/>
        </w:rPr>
        <w:t xml:space="preserve">Following the procedure, patients were typically </w:t>
      </w:r>
      <w:r w:rsidR="00A474EA" w:rsidRPr="00291373">
        <w:rPr>
          <w:rFonts w:ascii="Calibri" w:hAnsi="Calibri" w:cs="Calibri"/>
          <w:sz w:val="24"/>
          <w:szCs w:val="24"/>
        </w:rPr>
        <w:t xml:space="preserve">transferred </w:t>
      </w:r>
      <w:r w:rsidR="005F7A68" w:rsidRPr="00291373">
        <w:rPr>
          <w:rFonts w:ascii="Calibri" w:hAnsi="Calibri" w:cs="Calibri"/>
          <w:sz w:val="24"/>
          <w:szCs w:val="24"/>
        </w:rPr>
        <w:t xml:space="preserve">to the </w:t>
      </w:r>
      <w:r w:rsidR="00A474EA" w:rsidRPr="00291373">
        <w:rPr>
          <w:rFonts w:ascii="Calibri" w:hAnsi="Calibri" w:cs="Calibri"/>
          <w:sz w:val="24"/>
          <w:szCs w:val="24"/>
        </w:rPr>
        <w:t>coronary care unit (</w:t>
      </w:r>
      <w:r w:rsidR="005F7A68" w:rsidRPr="00291373">
        <w:rPr>
          <w:rFonts w:ascii="Calibri" w:hAnsi="Calibri" w:cs="Calibri"/>
          <w:sz w:val="24"/>
          <w:szCs w:val="24"/>
        </w:rPr>
        <w:t>CCU</w:t>
      </w:r>
      <w:r w:rsidR="00A474EA" w:rsidRPr="00291373">
        <w:rPr>
          <w:rFonts w:ascii="Calibri" w:hAnsi="Calibri" w:cs="Calibri"/>
          <w:sz w:val="24"/>
          <w:szCs w:val="24"/>
        </w:rPr>
        <w:t>)</w:t>
      </w:r>
      <w:r w:rsidR="005F7A68" w:rsidRPr="00291373">
        <w:rPr>
          <w:rFonts w:ascii="Calibri" w:hAnsi="Calibri" w:cs="Calibri"/>
          <w:sz w:val="24"/>
          <w:szCs w:val="24"/>
        </w:rPr>
        <w:t xml:space="preserve"> and did not receive </w:t>
      </w:r>
      <w:r w:rsidR="00ED165C" w:rsidRPr="00291373">
        <w:rPr>
          <w:rFonts w:ascii="Calibri" w:hAnsi="Calibri" w:cs="Calibri"/>
          <w:sz w:val="24"/>
          <w:szCs w:val="24"/>
        </w:rPr>
        <w:t>protocolised</w:t>
      </w:r>
      <w:r w:rsidR="005F7A68" w:rsidRPr="00291373">
        <w:rPr>
          <w:rFonts w:ascii="Calibri" w:hAnsi="Calibri" w:cs="Calibri"/>
          <w:sz w:val="24"/>
          <w:szCs w:val="24"/>
        </w:rPr>
        <w:t xml:space="preserve"> monitoring of physiology or blood gases. There was no predefined escalation plan or structured approach to interpreting and acting on deranged parameters, which further contributed to variability in the recognition and management of clinical deterioration.</w:t>
      </w:r>
      <w:r w:rsidR="00F814A8" w:rsidRPr="00291373">
        <w:rPr>
          <w:rFonts w:ascii="Calibri" w:hAnsi="Calibri" w:cs="Calibri"/>
          <w:sz w:val="24"/>
          <w:szCs w:val="24"/>
        </w:rPr>
        <w:t xml:space="preserve"> </w:t>
      </w:r>
      <w:r w:rsidRPr="00291373">
        <w:rPr>
          <w:rFonts w:ascii="Calibri" w:hAnsi="Calibri" w:cs="Calibri"/>
          <w:sz w:val="24"/>
          <w:szCs w:val="24"/>
        </w:rPr>
        <w:t xml:space="preserve">Patients in this group served as the control cohort, allowing comparison with those managed under the ACT pathway, where a </w:t>
      </w:r>
      <w:r w:rsidR="006F0339" w:rsidRPr="00291373">
        <w:rPr>
          <w:rFonts w:ascii="Calibri" w:hAnsi="Calibri" w:cs="Calibri"/>
          <w:sz w:val="24"/>
          <w:szCs w:val="24"/>
        </w:rPr>
        <w:t>multi</w:t>
      </w:r>
      <w:r w:rsidR="006F0339">
        <w:rPr>
          <w:rFonts w:ascii="Calibri" w:hAnsi="Calibri" w:cs="Calibri"/>
          <w:sz w:val="24"/>
          <w:szCs w:val="24"/>
        </w:rPr>
        <w:t>-specialty</w:t>
      </w:r>
      <w:r w:rsidR="006F0339" w:rsidRPr="00291373">
        <w:rPr>
          <w:rFonts w:ascii="Calibri" w:hAnsi="Calibri" w:cs="Calibri"/>
          <w:sz w:val="24"/>
          <w:szCs w:val="24"/>
        </w:rPr>
        <w:t xml:space="preserve"> </w:t>
      </w:r>
      <w:r w:rsidRPr="00291373">
        <w:rPr>
          <w:rFonts w:ascii="Calibri" w:hAnsi="Calibri" w:cs="Calibri"/>
          <w:sz w:val="24"/>
          <w:szCs w:val="24"/>
        </w:rPr>
        <w:t>team was mobilised based on explicit physiological criteria (figure 1).</w:t>
      </w:r>
    </w:p>
    <w:p w14:paraId="1E73E0B8" w14:textId="20489458" w:rsidR="00380E91" w:rsidRPr="00291373" w:rsidRDefault="00FB7946" w:rsidP="00380E91">
      <w:pPr>
        <w:spacing w:line="480" w:lineRule="auto"/>
        <w:rPr>
          <w:rFonts w:ascii="Calibri" w:hAnsi="Calibri" w:cs="Calibri"/>
          <w:b/>
          <w:bCs/>
          <w:sz w:val="24"/>
          <w:szCs w:val="24"/>
        </w:rPr>
      </w:pPr>
      <w:r w:rsidRPr="00291373">
        <w:rPr>
          <w:rFonts w:ascii="Calibri" w:hAnsi="Calibri" w:cs="Calibri"/>
          <w:b/>
          <w:bCs/>
          <w:sz w:val="24"/>
          <w:szCs w:val="24"/>
        </w:rPr>
        <w:t xml:space="preserve">Advanced </w:t>
      </w:r>
      <w:r w:rsidR="003C5D8F" w:rsidRPr="00291373">
        <w:rPr>
          <w:rFonts w:ascii="Calibri" w:hAnsi="Calibri" w:cs="Calibri"/>
          <w:b/>
          <w:bCs/>
          <w:sz w:val="24"/>
          <w:szCs w:val="24"/>
        </w:rPr>
        <w:t xml:space="preserve">cardiogenic </w:t>
      </w:r>
      <w:r w:rsidRPr="00291373">
        <w:rPr>
          <w:rFonts w:ascii="Calibri" w:hAnsi="Calibri" w:cs="Calibri"/>
          <w:b/>
          <w:bCs/>
          <w:sz w:val="24"/>
          <w:szCs w:val="24"/>
        </w:rPr>
        <w:t>shock team</w:t>
      </w:r>
      <w:r w:rsidR="004851F0" w:rsidRPr="00291373">
        <w:rPr>
          <w:rFonts w:ascii="Calibri" w:hAnsi="Calibri" w:cs="Calibri"/>
          <w:b/>
          <w:bCs/>
          <w:sz w:val="24"/>
          <w:szCs w:val="24"/>
        </w:rPr>
        <w:t xml:space="preserve"> and pathway:</w:t>
      </w:r>
      <w:r w:rsidRPr="00291373">
        <w:rPr>
          <w:rFonts w:ascii="Calibri" w:hAnsi="Calibri" w:cs="Calibri"/>
          <w:b/>
          <w:bCs/>
          <w:sz w:val="24"/>
          <w:szCs w:val="24"/>
        </w:rPr>
        <w:t xml:space="preserve"> </w:t>
      </w:r>
    </w:p>
    <w:p w14:paraId="0DFD11F0" w14:textId="6767C645" w:rsidR="00380E91" w:rsidRPr="00291373" w:rsidRDefault="00380E91" w:rsidP="00E123F2">
      <w:p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 xml:space="preserve">The </w:t>
      </w:r>
      <w:r w:rsidR="001770C9" w:rsidRPr="00291373">
        <w:rPr>
          <w:rStyle w:val="fadeinm1hgl8"/>
          <w:rFonts w:ascii="Calibri" w:hAnsi="Calibri" w:cs="Calibri"/>
          <w:sz w:val="24"/>
          <w:szCs w:val="24"/>
        </w:rPr>
        <w:t>ACT</w:t>
      </w:r>
      <w:r w:rsidRPr="00291373">
        <w:rPr>
          <w:rStyle w:val="fadeinm1hgl8"/>
          <w:rFonts w:ascii="Calibri" w:hAnsi="Calibri" w:cs="Calibri"/>
          <w:sz w:val="24"/>
          <w:szCs w:val="24"/>
        </w:rPr>
        <w:t xml:space="preserve"> comprises an interventional cardiolog</w:t>
      </w:r>
      <w:r w:rsidR="003F26C3" w:rsidRPr="00291373">
        <w:rPr>
          <w:rStyle w:val="fadeinm1hgl8"/>
          <w:rFonts w:ascii="Calibri" w:hAnsi="Calibri" w:cs="Calibri"/>
          <w:sz w:val="24"/>
          <w:szCs w:val="24"/>
        </w:rPr>
        <w:t>y consultant</w:t>
      </w:r>
      <w:r w:rsidRPr="00291373">
        <w:rPr>
          <w:rStyle w:val="fadeinm1hgl8"/>
          <w:rFonts w:ascii="Calibri" w:hAnsi="Calibri" w:cs="Calibri"/>
          <w:sz w:val="24"/>
          <w:szCs w:val="24"/>
        </w:rPr>
        <w:t>,</w:t>
      </w:r>
      <w:r w:rsidR="003F26C3" w:rsidRPr="00291373">
        <w:rPr>
          <w:rStyle w:val="fadeinm1hgl8"/>
          <w:rFonts w:ascii="Calibri" w:hAnsi="Calibri" w:cs="Calibri"/>
          <w:sz w:val="24"/>
          <w:szCs w:val="24"/>
        </w:rPr>
        <w:t xml:space="preserve"> a cardiology registrar,</w:t>
      </w:r>
      <w:r w:rsidRPr="00291373">
        <w:rPr>
          <w:rStyle w:val="fadeinm1hgl8"/>
          <w:rFonts w:ascii="Calibri" w:hAnsi="Calibri" w:cs="Calibri"/>
          <w:sz w:val="24"/>
          <w:szCs w:val="24"/>
        </w:rPr>
        <w:t xml:space="preserve"> a</w:t>
      </w:r>
      <w:r w:rsidR="003F26C3" w:rsidRPr="00291373">
        <w:rPr>
          <w:rStyle w:val="fadeinm1hgl8"/>
          <w:rFonts w:ascii="Calibri" w:hAnsi="Calibri" w:cs="Calibri"/>
          <w:sz w:val="24"/>
          <w:szCs w:val="24"/>
        </w:rPr>
        <w:t xml:space="preserve"> senior</w:t>
      </w:r>
      <w:r w:rsidRPr="00291373">
        <w:rPr>
          <w:rStyle w:val="fadeinm1hgl8"/>
          <w:rFonts w:ascii="Calibri" w:hAnsi="Calibri" w:cs="Calibri"/>
          <w:sz w:val="24"/>
          <w:szCs w:val="24"/>
        </w:rPr>
        <w:t xml:space="preserve"> </w:t>
      </w:r>
      <w:r w:rsidR="002349CD">
        <w:rPr>
          <w:rStyle w:val="fadeinm1hgl8"/>
          <w:rFonts w:ascii="Calibri" w:hAnsi="Calibri" w:cs="Calibri"/>
          <w:sz w:val="24"/>
          <w:szCs w:val="24"/>
        </w:rPr>
        <w:t>critical care physician</w:t>
      </w:r>
      <w:r w:rsidR="003F26C3" w:rsidRPr="00291373">
        <w:rPr>
          <w:rStyle w:val="fadeinm1hgl8"/>
          <w:rFonts w:ascii="Calibri" w:hAnsi="Calibri" w:cs="Calibri"/>
          <w:sz w:val="24"/>
          <w:szCs w:val="24"/>
        </w:rPr>
        <w:t>, an</w:t>
      </w:r>
      <w:r w:rsidRPr="00291373">
        <w:rPr>
          <w:rStyle w:val="fadeinm1hgl8"/>
          <w:rFonts w:ascii="Calibri" w:hAnsi="Calibri" w:cs="Calibri"/>
          <w:sz w:val="24"/>
          <w:szCs w:val="24"/>
        </w:rPr>
        <w:t xml:space="preserve"> anaesthetist, an </w:t>
      </w:r>
      <w:r w:rsidR="00E635DF">
        <w:rPr>
          <w:rStyle w:val="fadeinm1hgl8"/>
          <w:rFonts w:ascii="Calibri" w:hAnsi="Calibri" w:cs="Calibri"/>
          <w:sz w:val="24"/>
          <w:szCs w:val="24"/>
        </w:rPr>
        <w:t>ODP,</w:t>
      </w:r>
      <w:r w:rsidRPr="00291373">
        <w:rPr>
          <w:rStyle w:val="fadeinm1hgl8"/>
          <w:rFonts w:ascii="Calibri" w:hAnsi="Calibri" w:cs="Calibri"/>
          <w:sz w:val="24"/>
          <w:szCs w:val="24"/>
        </w:rPr>
        <w:t xml:space="preserve"> a scrub nurse, a</w:t>
      </w:r>
      <w:r w:rsidR="003F26C3" w:rsidRPr="00291373">
        <w:rPr>
          <w:rStyle w:val="fadeinm1hgl8"/>
          <w:rFonts w:ascii="Calibri" w:hAnsi="Calibri" w:cs="Calibri"/>
          <w:sz w:val="24"/>
          <w:szCs w:val="24"/>
        </w:rPr>
        <w:t xml:space="preserve"> critical care</w:t>
      </w:r>
      <w:r w:rsidRPr="00291373">
        <w:rPr>
          <w:rStyle w:val="fadeinm1hgl8"/>
          <w:rFonts w:ascii="Calibri" w:hAnsi="Calibri" w:cs="Calibri"/>
          <w:sz w:val="24"/>
          <w:szCs w:val="24"/>
        </w:rPr>
        <w:t xml:space="preserve"> outreach nurse</w:t>
      </w:r>
      <w:r w:rsidR="003F26C3" w:rsidRPr="00291373">
        <w:rPr>
          <w:rStyle w:val="fadeinm1hgl8"/>
          <w:rFonts w:ascii="Calibri" w:hAnsi="Calibri" w:cs="Calibri"/>
          <w:sz w:val="24"/>
          <w:szCs w:val="24"/>
        </w:rPr>
        <w:t xml:space="preserve"> and</w:t>
      </w:r>
      <w:r w:rsidRPr="00291373">
        <w:rPr>
          <w:rStyle w:val="fadeinm1hgl8"/>
          <w:rFonts w:ascii="Calibri" w:hAnsi="Calibri" w:cs="Calibri"/>
          <w:sz w:val="24"/>
          <w:szCs w:val="24"/>
        </w:rPr>
        <w:t xml:space="preserve"> a cardiac physiologist. The pathway is outlined in </w:t>
      </w:r>
      <w:r w:rsidR="00F27D39" w:rsidRPr="00291373">
        <w:rPr>
          <w:rStyle w:val="fadeinm1hgl8"/>
          <w:rFonts w:ascii="Calibri" w:hAnsi="Calibri" w:cs="Calibri"/>
          <w:sz w:val="24"/>
          <w:szCs w:val="24"/>
        </w:rPr>
        <w:t>f</w:t>
      </w:r>
      <w:r w:rsidRPr="00291373">
        <w:rPr>
          <w:rStyle w:val="fadeinm1hgl8"/>
          <w:rFonts w:ascii="Calibri" w:hAnsi="Calibri" w:cs="Calibri"/>
          <w:sz w:val="24"/>
          <w:szCs w:val="24"/>
        </w:rPr>
        <w:t xml:space="preserve">igure 1. As part of the institution’s </w:t>
      </w:r>
      <w:r w:rsidR="001770C9" w:rsidRPr="00291373">
        <w:rPr>
          <w:rStyle w:val="fadeinm1hgl8"/>
          <w:rFonts w:ascii="Calibri" w:hAnsi="Calibri" w:cs="Calibri"/>
          <w:sz w:val="24"/>
          <w:szCs w:val="24"/>
        </w:rPr>
        <w:t>AMI</w:t>
      </w:r>
      <w:r w:rsidRPr="00291373">
        <w:rPr>
          <w:rStyle w:val="fadeinm1hgl8"/>
          <w:rFonts w:ascii="Calibri" w:hAnsi="Calibri" w:cs="Calibri"/>
          <w:sz w:val="24"/>
          <w:szCs w:val="24"/>
        </w:rPr>
        <w:t xml:space="preserve"> protocol, paramedics pre-alert the catheterisation laboratory or CCU when ST-elevation myocardial infarction (STEMI) is suspected in the community.</w:t>
      </w:r>
      <w:r w:rsidR="000A5686" w:rsidRPr="000A5686">
        <w:t xml:space="preserve"> </w:t>
      </w:r>
      <w:r w:rsidR="00D93DFB" w:rsidRPr="00D93DFB">
        <w:rPr>
          <w:rStyle w:val="fadeinm1hgl8"/>
          <w:rFonts w:ascii="Calibri" w:hAnsi="Calibri" w:cs="Calibri"/>
          <w:sz w:val="24"/>
          <w:szCs w:val="24"/>
        </w:rPr>
        <w:t>In the pre-ACT era, there was no formal shock team, and escalation of care was ad</w:t>
      </w:r>
      <w:r w:rsidR="00D93DFB">
        <w:rPr>
          <w:rStyle w:val="fadeinm1hgl8"/>
          <w:rFonts w:ascii="Calibri" w:hAnsi="Calibri" w:cs="Calibri"/>
          <w:sz w:val="24"/>
          <w:szCs w:val="24"/>
        </w:rPr>
        <w:t>-</w:t>
      </w:r>
      <w:r w:rsidR="00D93DFB" w:rsidRPr="00D93DFB">
        <w:rPr>
          <w:rStyle w:val="fadeinm1hgl8"/>
          <w:rFonts w:ascii="Calibri" w:hAnsi="Calibri" w:cs="Calibri"/>
          <w:sz w:val="24"/>
          <w:szCs w:val="24"/>
        </w:rPr>
        <w:t>hoc and operator dependent, with the interventional cardiologist able only to request the presence of an anaesthetist on a case-by-case basis</w:t>
      </w:r>
      <w:r w:rsidR="00D93DFB">
        <w:rPr>
          <w:rStyle w:val="fadeinm1hgl8"/>
          <w:rFonts w:ascii="Calibri" w:hAnsi="Calibri" w:cs="Calibri"/>
          <w:sz w:val="24"/>
          <w:szCs w:val="24"/>
        </w:rPr>
        <w:t xml:space="preserve">. </w:t>
      </w:r>
      <w:r w:rsidR="000A5686" w:rsidRPr="000A5686">
        <w:rPr>
          <w:rStyle w:val="fadeinm1hgl8"/>
          <w:rFonts w:ascii="Calibri" w:hAnsi="Calibri" w:cs="Calibri"/>
          <w:sz w:val="24"/>
          <w:szCs w:val="24"/>
        </w:rPr>
        <w:t xml:space="preserve">During the ACT era, any team member could activate the pathway whenever predefined physiological criteria were met, ensuring that all eligible cases triggered a </w:t>
      </w:r>
      <w:r w:rsidR="000A5686" w:rsidRPr="000A5686">
        <w:rPr>
          <w:rStyle w:val="fadeinm1hgl8"/>
          <w:rFonts w:ascii="Calibri" w:hAnsi="Calibri" w:cs="Calibri"/>
          <w:sz w:val="24"/>
          <w:szCs w:val="24"/>
        </w:rPr>
        <w:lastRenderedPageBreak/>
        <w:t>structured team response</w:t>
      </w:r>
      <w:r w:rsidR="00F63E36">
        <w:rPr>
          <w:rStyle w:val="fadeinm1hgl8"/>
          <w:rFonts w:ascii="Calibri" w:hAnsi="Calibri" w:cs="Calibri"/>
          <w:sz w:val="24"/>
          <w:szCs w:val="24"/>
        </w:rPr>
        <w:t xml:space="preserve"> </w:t>
      </w:r>
      <w:r w:rsidRPr="00291373">
        <w:rPr>
          <w:rStyle w:val="fadeinm1hgl8"/>
          <w:rFonts w:ascii="Calibri" w:hAnsi="Calibri" w:cs="Calibri"/>
          <w:sz w:val="24"/>
          <w:szCs w:val="24"/>
        </w:rPr>
        <w:t>The ACT</w:t>
      </w:r>
      <w:r w:rsidR="00F63E36">
        <w:rPr>
          <w:rStyle w:val="fadeinm1hgl8"/>
          <w:rFonts w:ascii="Calibri" w:hAnsi="Calibri" w:cs="Calibri"/>
          <w:sz w:val="24"/>
          <w:szCs w:val="24"/>
        </w:rPr>
        <w:t xml:space="preserve"> was</w:t>
      </w:r>
      <w:r w:rsidRPr="00291373">
        <w:rPr>
          <w:rStyle w:val="fadeinm1hgl8"/>
          <w:rFonts w:ascii="Calibri" w:hAnsi="Calibri" w:cs="Calibri"/>
          <w:sz w:val="24"/>
          <w:szCs w:val="24"/>
        </w:rPr>
        <w:t xml:space="preserve"> activated prior to hospital arrival if specific </w:t>
      </w:r>
      <w:r w:rsidR="00751073" w:rsidRPr="00291373">
        <w:rPr>
          <w:rStyle w:val="fadeinm1hgl8"/>
          <w:rFonts w:ascii="Calibri" w:hAnsi="Calibri" w:cs="Calibri"/>
          <w:sz w:val="24"/>
          <w:szCs w:val="24"/>
        </w:rPr>
        <w:t>“</w:t>
      </w:r>
      <w:r w:rsidRPr="00291373">
        <w:rPr>
          <w:rStyle w:val="fadeinm1hgl8"/>
          <w:rFonts w:ascii="Calibri" w:hAnsi="Calibri" w:cs="Calibri"/>
          <w:sz w:val="24"/>
          <w:szCs w:val="24"/>
        </w:rPr>
        <w:t>red flag</w:t>
      </w:r>
      <w:r w:rsidR="00751073" w:rsidRPr="00291373">
        <w:rPr>
          <w:rStyle w:val="fadeinm1hgl8"/>
          <w:rFonts w:ascii="Calibri" w:hAnsi="Calibri" w:cs="Calibri"/>
          <w:sz w:val="24"/>
          <w:szCs w:val="24"/>
        </w:rPr>
        <w:t>”</w:t>
      </w:r>
      <w:r w:rsidRPr="00291373">
        <w:rPr>
          <w:rStyle w:val="fadeinm1hgl8"/>
          <w:rFonts w:ascii="Calibri" w:hAnsi="Calibri" w:cs="Calibri"/>
          <w:sz w:val="24"/>
          <w:szCs w:val="24"/>
        </w:rPr>
        <w:t xml:space="preserve"> criteria are met. These include:</w:t>
      </w:r>
    </w:p>
    <w:p w14:paraId="7DC49222" w14:textId="77777777" w:rsidR="00380E91" w:rsidRPr="00291373" w:rsidRDefault="00380E91" w:rsidP="00E123F2">
      <w:pPr>
        <w:pStyle w:val="ListParagraph"/>
        <w:numPr>
          <w:ilvl w:val="0"/>
          <w:numId w:val="6"/>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Systolic blood pressure (SBP) &lt;90 mmHg</w:t>
      </w:r>
    </w:p>
    <w:p w14:paraId="796CD22B" w14:textId="77777777" w:rsidR="00380E91" w:rsidRPr="00291373" w:rsidRDefault="00380E91" w:rsidP="00E123F2">
      <w:pPr>
        <w:pStyle w:val="ListParagraph"/>
        <w:numPr>
          <w:ilvl w:val="0"/>
          <w:numId w:val="6"/>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Heart rate &lt;50 bpm or &gt;150 bpm</w:t>
      </w:r>
    </w:p>
    <w:p w14:paraId="5C6245D5" w14:textId="0D079DBD" w:rsidR="00380E91" w:rsidRPr="00291373" w:rsidRDefault="00380E91" w:rsidP="00E123F2">
      <w:pPr>
        <w:pStyle w:val="ListParagraph"/>
        <w:numPr>
          <w:ilvl w:val="0"/>
          <w:numId w:val="6"/>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Oxygen saturation</w:t>
      </w:r>
      <w:r w:rsidR="00A33FC9">
        <w:rPr>
          <w:rStyle w:val="fadeinm1hgl8"/>
          <w:rFonts w:ascii="Calibri" w:hAnsi="Calibri" w:cs="Calibri"/>
          <w:sz w:val="24"/>
          <w:szCs w:val="24"/>
        </w:rPr>
        <w:t xml:space="preserve"> (SpO</w:t>
      </w:r>
      <w:r w:rsidR="00A33FC9">
        <w:rPr>
          <w:rStyle w:val="fadeinm1hgl8"/>
          <w:rFonts w:ascii="Calibri" w:hAnsi="Calibri" w:cs="Calibri"/>
          <w:sz w:val="24"/>
          <w:szCs w:val="24"/>
          <w:vertAlign w:val="subscript"/>
        </w:rPr>
        <w:t>2</w:t>
      </w:r>
      <w:r w:rsidR="00A33FC9">
        <w:rPr>
          <w:rStyle w:val="fadeinm1hgl8"/>
          <w:rFonts w:ascii="Calibri" w:hAnsi="Calibri" w:cs="Calibri"/>
          <w:sz w:val="24"/>
          <w:szCs w:val="24"/>
        </w:rPr>
        <w:t>)</w:t>
      </w:r>
      <w:r w:rsidRPr="00291373">
        <w:rPr>
          <w:rStyle w:val="fadeinm1hgl8"/>
          <w:rFonts w:ascii="Calibri" w:hAnsi="Calibri" w:cs="Calibri"/>
          <w:sz w:val="24"/>
          <w:szCs w:val="24"/>
        </w:rPr>
        <w:t xml:space="preserve"> &lt;90% despite supplemental oxygen</w:t>
      </w:r>
    </w:p>
    <w:p w14:paraId="5CE52945" w14:textId="1830E945" w:rsidR="00380E91" w:rsidRPr="00291373" w:rsidRDefault="00380E91" w:rsidP="00E123F2">
      <w:pPr>
        <w:spacing w:line="480" w:lineRule="auto"/>
        <w:jc w:val="both"/>
        <w:rPr>
          <w:rStyle w:val="fadeinm1hgl8"/>
          <w:rFonts w:ascii="Calibri" w:eastAsiaTheme="majorEastAsia" w:hAnsi="Calibri" w:cs="Calibri"/>
          <w:sz w:val="24"/>
          <w:szCs w:val="24"/>
        </w:rPr>
      </w:pPr>
      <w:r w:rsidRPr="00291373">
        <w:rPr>
          <w:rStyle w:val="fadeinm1hgl8"/>
          <w:rFonts w:ascii="Calibri" w:eastAsiaTheme="majorEastAsia" w:hAnsi="Calibri" w:cs="Calibri"/>
          <w:sz w:val="24"/>
          <w:szCs w:val="24"/>
        </w:rPr>
        <w:t xml:space="preserve">ACT activation is also </w:t>
      </w:r>
      <w:r w:rsidR="0024711A" w:rsidRPr="00291373">
        <w:rPr>
          <w:rStyle w:val="fadeinm1hgl8"/>
          <w:rFonts w:ascii="Calibri" w:eastAsiaTheme="majorEastAsia" w:hAnsi="Calibri" w:cs="Calibri"/>
          <w:sz w:val="24"/>
          <w:szCs w:val="24"/>
        </w:rPr>
        <w:t>possible</w:t>
      </w:r>
      <w:r w:rsidRPr="00291373">
        <w:rPr>
          <w:rStyle w:val="fadeinm1hgl8"/>
          <w:rFonts w:ascii="Calibri" w:eastAsiaTheme="majorEastAsia" w:hAnsi="Calibri" w:cs="Calibri"/>
          <w:sz w:val="24"/>
          <w:szCs w:val="24"/>
        </w:rPr>
        <w:t xml:space="preserve"> if these criteria develop at any point during</w:t>
      </w:r>
      <w:r w:rsidR="00AA0945" w:rsidRPr="00291373">
        <w:rPr>
          <w:rStyle w:val="fadeinm1hgl8"/>
          <w:rFonts w:ascii="Calibri" w:eastAsiaTheme="majorEastAsia" w:hAnsi="Calibri" w:cs="Calibri"/>
          <w:sz w:val="24"/>
          <w:szCs w:val="24"/>
        </w:rPr>
        <w:t xml:space="preserve"> PCI</w:t>
      </w:r>
      <w:r w:rsidR="2E2934C2" w:rsidRPr="00291373">
        <w:rPr>
          <w:rStyle w:val="fadeinm1hgl8"/>
          <w:rFonts w:ascii="Calibri" w:eastAsiaTheme="majorEastAsia" w:hAnsi="Calibri" w:cs="Calibri"/>
          <w:sz w:val="24"/>
          <w:szCs w:val="24"/>
        </w:rPr>
        <w:t>, or</w:t>
      </w:r>
      <w:r w:rsidR="001770C9" w:rsidRPr="00291373">
        <w:rPr>
          <w:rStyle w:val="fadeinm1hgl8"/>
          <w:rFonts w:ascii="Calibri" w:eastAsiaTheme="majorEastAsia" w:hAnsi="Calibri" w:cs="Calibri"/>
          <w:sz w:val="24"/>
          <w:szCs w:val="24"/>
        </w:rPr>
        <w:t xml:space="preserve"> </w:t>
      </w:r>
      <w:r w:rsidRPr="00291373">
        <w:rPr>
          <w:rStyle w:val="fadeinm1hgl8"/>
          <w:rFonts w:ascii="Calibri" w:eastAsiaTheme="majorEastAsia" w:hAnsi="Calibri" w:cs="Calibri"/>
          <w:sz w:val="24"/>
          <w:szCs w:val="24"/>
        </w:rPr>
        <w:t>if any of the following are observed:</w:t>
      </w:r>
    </w:p>
    <w:p w14:paraId="00443C93" w14:textId="77777777" w:rsidR="00380E91" w:rsidRPr="00291373" w:rsidRDefault="00380E91" w:rsidP="00E123F2">
      <w:pPr>
        <w:pStyle w:val="ListParagraph"/>
        <w:numPr>
          <w:ilvl w:val="0"/>
          <w:numId w:val="7"/>
        </w:numPr>
        <w:spacing w:line="480" w:lineRule="auto"/>
        <w:jc w:val="both"/>
        <w:rPr>
          <w:rFonts w:ascii="Calibri" w:hAnsi="Calibri" w:cs="Calibri"/>
          <w:sz w:val="24"/>
          <w:szCs w:val="24"/>
        </w:rPr>
      </w:pPr>
      <w:r w:rsidRPr="00291373">
        <w:rPr>
          <w:rStyle w:val="fadeinm1hgl8"/>
          <w:rFonts w:ascii="Calibri" w:hAnsi="Calibri" w:cs="Calibri"/>
          <w:sz w:val="24"/>
          <w:szCs w:val="24"/>
        </w:rPr>
        <w:t>Loss of airway</w:t>
      </w:r>
    </w:p>
    <w:p w14:paraId="75559F0A" w14:textId="77777777" w:rsidR="00380E91" w:rsidRPr="00291373" w:rsidRDefault="00380E91" w:rsidP="00E123F2">
      <w:pPr>
        <w:pStyle w:val="ListParagraph"/>
        <w:numPr>
          <w:ilvl w:val="0"/>
          <w:numId w:val="7"/>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Requirement for inotropic support</w:t>
      </w:r>
    </w:p>
    <w:p w14:paraId="002FE71E" w14:textId="77777777" w:rsidR="00380E91" w:rsidRPr="00291373" w:rsidRDefault="00380E91" w:rsidP="00E123F2">
      <w:pPr>
        <w:pStyle w:val="ListParagraph"/>
        <w:numPr>
          <w:ilvl w:val="0"/>
          <w:numId w:val="7"/>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Unmanageable agitation</w:t>
      </w:r>
    </w:p>
    <w:p w14:paraId="7EE96997" w14:textId="4C0B4DC2" w:rsidR="00380E91" w:rsidRPr="00291373" w:rsidRDefault="00380E91" w:rsidP="00E123F2">
      <w:pPr>
        <w:pStyle w:val="ListParagraph"/>
        <w:numPr>
          <w:ilvl w:val="0"/>
          <w:numId w:val="7"/>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Serum lactate &gt;</w:t>
      </w:r>
      <w:r w:rsidR="003F26C3" w:rsidRPr="00291373">
        <w:rPr>
          <w:rStyle w:val="fadeinm1hgl8"/>
          <w:rFonts w:ascii="Calibri" w:hAnsi="Calibri" w:cs="Calibri"/>
          <w:sz w:val="24"/>
          <w:szCs w:val="24"/>
        </w:rPr>
        <w:t>4</w:t>
      </w:r>
      <w:r w:rsidRPr="00291373">
        <w:rPr>
          <w:rStyle w:val="fadeinm1hgl8"/>
          <w:rFonts w:ascii="Calibri" w:hAnsi="Calibri" w:cs="Calibri"/>
          <w:sz w:val="24"/>
          <w:szCs w:val="24"/>
        </w:rPr>
        <w:t xml:space="preserve"> mmol/L or base excess &lt;−5 mmol/L</w:t>
      </w:r>
    </w:p>
    <w:p w14:paraId="180D7B17" w14:textId="77777777" w:rsidR="00380E91" w:rsidRPr="00291373" w:rsidRDefault="00380E91" w:rsidP="00E123F2">
      <w:pPr>
        <w:pStyle w:val="ListParagraph"/>
        <w:numPr>
          <w:ilvl w:val="0"/>
          <w:numId w:val="7"/>
        </w:numPr>
        <w:spacing w:line="480" w:lineRule="auto"/>
        <w:jc w:val="both"/>
        <w:rPr>
          <w:rStyle w:val="fadeinm1hgl8"/>
          <w:rFonts w:ascii="Calibri" w:hAnsi="Calibri" w:cs="Calibri"/>
          <w:sz w:val="24"/>
          <w:szCs w:val="24"/>
        </w:rPr>
      </w:pPr>
      <w:r w:rsidRPr="00291373">
        <w:rPr>
          <w:rStyle w:val="fadeinm1hgl8"/>
          <w:rFonts w:ascii="Calibri" w:hAnsi="Calibri" w:cs="Calibri"/>
          <w:sz w:val="24"/>
          <w:szCs w:val="24"/>
        </w:rPr>
        <w:t>Left ventricular end-diastolic pressure (LVEDP) &gt;25 mmHg</w:t>
      </w:r>
    </w:p>
    <w:p w14:paraId="546BF83C" w14:textId="132E3C21" w:rsidR="006F1BD3" w:rsidRDefault="00967812" w:rsidP="00E123F2">
      <w:pPr>
        <w:spacing w:line="480" w:lineRule="auto"/>
        <w:jc w:val="both"/>
        <w:rPr>
          <w:rStyle w:val="fadeinm1hgl8"/>
          <w:rFonts w:ascii="Calibri" w:eastAsiaTheme="majorEastAsia" w:hAnsi="Calibri" w:cs="Calibri"/>
          <w:sz w:val="24"/>
          <w:szCs w:val="24"/>
        </w:rPr>
      </w:pPr>
      <w:r w:rsidRPr="00291373">
        <w:rPr>
          <w:rStyle w:val="fadeinm1hgl8"/>
          <w:rFonts w:ascii="Calibri" w:eastAsiaTheme="majorEastAsia" w:hAnsi="Calibri" w:cs="Calibri"/>
          <w:sz w:val="24"/>
          <w:szCs w:val="24"/>
        </w:rPr>
        <w:t xml:space="preserve">Patients </w:t>
      </w:r>
      <w:r w:rsidR="003F26C3" w:rsidRPr="00291373">
        <w:rPr>
          <w:rStyle w:val="fadeinm1hgl8"/>
          <w:rFonts w:ascii="Calibri" w:eastAsiaTheme="majorEastAsia" w:hAnsi="Calibri" w:cs="Calibri"/>
          <w:sz w:val="24"/>
          <w:szCs w:val="24"/>
        </w:rPr>
        <w:t>with improving physiology at the end of the</w:t>
      </w:r>
      <w:r w:rsidR="00C67391" w:rsidRPr="00291373">
        <w:rPr>
          <w:rStyle w:val="fadeinm1hgl8"/>
          <w:rFonts w:ascii="Calibri" w:eastAsiaTheme="majorEastAsia" w:hAnsi="Calibri" w:cs="Calibri"/>
          <w:sz w:val="24"/>
          <w:szCs w:val="24"/>
        </w:rPr>
        <w:t xml:space="preserve"> emergency</w:t>
      </w:r>
      <w:r w:rsidR="003F26C3" w:rsidRPr="00291373">
        <w:rPr>
          <w:rStyle w:val="fadeinm1hgl8"/>
          <w:rFonts w:ascii="Calibri" w:eastAsiaTheme="majorEastAsia" w:hAnsi="Calibri" w:cs="Calibri"/>
          <w:sz w:val="24"/>
          <w:szCs w:val="24"/>
        </w:rPr>
        <w:t xml:space="preserve"> PCI case and </w:t>
      </w:r>
      <w:r w:rsidRPr="00291373">
        <w:rPr>
          <w:rStyle w:val="fadeinm1hgl8"/>
          <w:rFonts w:ascii="Calibri" w:eastAsiaTheme="majorEastAsia" w:hAnsi="Calibri" w:cs="Calibri"/>
          <w:sz w:val="24"/>
          <w:szCs w:val="24"/>
        </w:rPr>
        <w:t xml:space="preserve">requiring minimal </w:t>
      </w:r>
      <w:r w:rsidR="003F26C3" w:rsidRPr="00291373">
        <w:rPr>
          <w:rStyle w:val="fadeinm1hgl8"/>
          <w:rFonts w:ascii="Calibri" w:eastAsiaTheme="majorEastAsia" w:hAnsi="Calibri" w:cs="Calibri"/>
          <w:sz w:val="24"/>
          <w:szCs w:val="24"/>
        </w:rPr>
        <w:t xml:space="preserve">organ </w:t>
      </w:r>
      <w:r w:rsidRPr="00291373">
        <w:rPr>
          <w:rStyle w:val="fadeinm1hgl8"/>
          <w:rFonts w:ascii="Calibri" w:eastAsiaTheme="majorEastAsia" w:hAnsi="Calibri" w:cs="Calibri"/>
          <w:sz w:val="24"/>
          <w:szCs w:val="24"/>
        </w:rPr>
        <w:t xml:space="preserve">support (defined as 0 to 1 end-organ support modalities </w:t>
      </w:r>
      <w:r w:rsidR="003F26C3" w:rsidRPr="00291373">
        <w:rPr>
          <w:rStyle w:val="fadeinm1hgl8"/>
          <w:rFonts w:ascii="Calibri" w:eastAsiaTheme="majorEastAsia" w:hAnsi="Calibri" w:cs="Calibri"/>
          <w:sz w:val="24"/>
          <w:szCs w:val="24"/>
        </w:rPr>
        <w:t>of</w:t>
      </w:r>
      <w:r w:rsidRPr="00291373">
        <w:rPr>
          <w:rStyle w:val="fadeinm1hgl8"/>
          <w:rFonts w:ascii="Calibri" w:eastAsiaTheme="majorEastAsia" w:hAnsi="Calibri" w:cs="Calibri"/>
          <w:sz w:val="24"/>
          <w:szCs w:val="24"/>
        </w:rPr>
        <w:t xml:space="preserve"> high-flow nasal cannula (HFNC), continuous positive airway pressure (CPAP), low-dose inotropes, </w:t>
      </w:r>
      <w:r w:rsidR="003F26C3" w:rsidRPr="00291373">
        <w:rPr>
          <w:rStyle w:val="fadeinm1hgl8"/>
          <w:rFonts w:ascii="Calibri" w:eastAsiaTheme="majorEastAsia" w:hAnsi="Calibri" w:cs="Calibri"/>
          <w:sz w:val="24"/>
          <w:szCs w:val="24"/>
        </w:rPr>
        <w:t xml:space="preserve">an arterial line in-situ, </w:t>
      </w:r>
      <w:r w:rsidRPr="00291373">
        <w:rPr>
          <w:rStyle w:val="fadeinm1hgl8"/>
          <w:rFonts w:ascii="Calibri" w:eastAsiaTheme="majorEastAsia" w:hAnsi="Calibri" w:cs="Calibri"/>
          <w:sz w:val="24"/>
          <w:szCs w:val="24"/>
        </w:rPr>
        <w:t xml:space="preserve">or an intra-aortic balloon pump (IABP)) following revascularisation may be managed </w:t>
      </w:r>
      <w:r w:rsidR="00A474EA" w:rsidRPr="00291373">
        <w:rPr>
          <w:rStyle w:val="fadeinm1hgl8"/>
          <w:rFonts w:ascii="Calibri" w:eastAsiaTheme="majorEastAsia" w:hAnsi="Calibri" w:cs="Calibri"/>
          <w:sz w:val="24"/>
          <w:szCs w:val="24"/>
        </w:rPr>
        <w:t xml:space="preserve">on </w:t>
      </w:r>
      <w:r w:rsidRPr="00291373">
        <w:rPr>
          <w:rStyle w:val="fadeinm1hgl8"/>
          <w:rFonts w:ascii="Calibri" w:eastAsiaTheme="majorEastAsia" w:hAnsi="Calibri" w:cs="Calibri"/>
          <w:sz w:val="24"/>
          <w:szCs w:val="24"/>
        </w:rPr>
        <w:t>CCU with close monitoring using a high-risk cardiogenic shock care bundle</w:t>
      </w:r>
      <w:r w:rsidR="00685725" w:rsidRPr="00291373">
        <w:rPr>
          <w:rStyle w:val="fadeinm1hgl8"/>
          <w:rFonts w:ascii="Calibri" w:eastAsiaTheme="majorEastAsia" w:hAnsi="Calibri" w:cs="Calibri"/>
          <w:sz w:val="24"/>
          <w:szCs w:val="24"/>
        </w:rPr>
        <w:t xml:space="preserve"> (</w:t>
      </w:r>
      <w:r w:rsidR="00F814A8" w:rsidRPr="00291373">
        <w:rPr>
          <w:rStyle w:val="fadeinm1hgl8"/>
          <w:rFonts w:ascii="Calibri" w:eastAsiaTheme="majorEastAsia" w:hAnsi="Calibri" w:cs="Calibri"/>
          <w:sz w:val="24"/>
          <w:szCs w:val="24"/>
        </w:rPr>
        <w:t>f</w:t>
      </w:r>
      <w:r w:rsidR="00685725" w:rsidRPr="00291373">
        <w:rPr>
          <w:rStyle w:val="fadeinm1hgl8"/>
          <w:rFonts w:ascii="Calibri" w:eastAsiaTheme="majorEastAsia" w:hAnsi="Calibri" w:cs="Calibri"/>
          <w:sz w:val="24"/>
          <w:szCs w:val="24"/>
        </w:rPr>
        <w:t xml:space="preserve">igure </w:t>
      </w:r>
      <w:r w:rsidR="00931716" w:rsidRPr="00291373">
        <w:rPr>
          <w:rStyle w:val="fadeinm1hgl8"/>
          <w:rFonts w:ascii="Calibri" w:eastAsiaTheme="majorEastAsia" w:hAnsi="Calibri" w:cs="Calibri"/>
          <w:sz w:val="24"/>
          <w:szCs w:val="24"/>
        </w:rPr>
        <w:t>1</w:t>
      </w:r>
      <w:r w:rsidR="00685725" w:rsidRPr="00291373">
        <w:rPr>
          <w:rStyle w:val="fadeinm1hgl8"/>
          <w:rFonts w:ascii="Calibri" w:eastAsiaTheme="majorEastAsia" w:hAnsi="Calibri" w:cs="Calibri"/>
          <w:sz w:val="24"/>
          <w:szCs w:val="24"/>
        </w:rPr>
        <w:t>)</w:t>
      </w:r>
      <w:r w:rsidR="00BF50A5">
        <w:rPr>
          <w:rStyle w:val="fadeinm1hgl8"/>
          <w:rFonts w:ascii="Calibri" w:eastAsiaTheme="majorEastAsia" w:hAnsi="Calibri" w:cs="Calibri"/>
          <w:sz w:val="24"/>
          <w:szCs w:val="24"/>
        </w:rPr>
        <w:t xml:space="preserve"> - </w:t>
      </w:r>
      <w:r w:rsidR="00BF50A5" w:rsidRPr="00BF50A5">
        <w:rPr>
          <w:rStyle w:val="fadeinm1hgl8"/>
          <w:rFonts w:ascii="Calibri" w:eastAsiaTheme="majorEastAsia" w:hAnsi="Calibri" w:cs="Calibri"/>
          <w:sz w:val="24"/>
          <w:szCs w:val="24"/>
        </w:rPr>
        <w:t>hourly urine output for 12 hours, 15-minute observations for 1 hour, hourly observations for 6 hours, and 2-hourly blood gases for 6 hour</w:t>
      </w:r>
      <w:r w:rsidR="00D658DF">
        <w:rPr>
          <w:rStyle w:val="fadeinm1hgl8"/>
          <w:rFonts w:ascii="Calibri" w:eastAsiaTheme="majorEastAsia" w:hAnsi="Calibri" w:cs="Calibri"/>
          <w:sz w:val="24"/>
          <w:szCs w:val="24"/>
        </w:rPr>
        <w:t xml:space="preserve">s. </w:t>
      </w:r>
      <w:r w:rsidR="00D37AA4" w:rsidRPr="00D37AA4">
        <w:rPr>
          <w:rStyle w:val="fadeinm1hgl8"/>
          <w:rFonts w:ascii="Calibri" w:eastAsiaTheme="majorEastAsia" w:hAnsi="Calibri" w:cs="Calibri"/>
          <w:sz w:val="24"/>
          <w:szCs w:val="24"/>
        </w:rPr>
        <w:t>Senior cardiology review was mandated if any of the following occurred: SpO₂</w:t>
      </w:r>
      <w:r w:rsidR="00D37AA4">
        <w:rPr>
          <w:rStyle w:val="fadeinm1hgl8"/>
          <w:rFonts w:ascii="Calibri" w:eastAsiaTheme="majorEastAsia" w:hAnsi="Calibri" w:cs="Calibri"/>
          <w:sz w:val="24"/>
          <w:szCs w:val="24"/>
        </w:rPr>
        <w:t>&lt;90%</w:t>
      </w:r>
      <w:r w:rsidR="00D37AA4" w:rsidRPr="00D37AA4">
        <w:rPr>
          <w:rStyle w:val="fadeinm1hgl8"/>
          <w:rFonts w:ascii="Calibri" w:eastAsiaTheme="majorEastAsia" w:hAnsi="Calibri" w:cs="Calibri"/>
          <w:sz w:val="24"/>
          <w:szCs w:val="24"/>
        </w:rPr>
        <w:t xml:space="preserve"> supplemental oxygen, </w:t>
      </w:r>
      <w:r w:rsidR="00D37AA4">
        <w:rPr>
          <w:rStyle w:val="fadeinm1hgl8"/>
          <w:rFonts w:ascii="Calibri" w:eastAsiaTheme="majorEastAsia" w:hAnsi="Calibri" w:cs="Calibri"/>
          <w:sz w:val="24"/>
          <w:szCs w:val="24"/>
        </w:rPr>
        <w:t>SBP&lt;</w:t>
      </w:r>
      <w:r w:rsidR="00D37AA4" w:rsidRPr="00D37AA4">
        <w:rPr>
          <w:rStyle w:val="fadeinm1hgl8"/>
          <w:rFonts w:ascii="Calibri" w:eastAsiaTheme="majorEastAsia" w:hAnsi="Calibri" w:cs="Calibri"/>
          <w:sz w:val="24"/>
          <w:szCs w:val="24"/>
        </w:rPr>
        <w:t>90 mmHg, lactate</w:t>
      </w:r>
      <w:r w:rsidR="00D37AA4">
        <w:rPr>
          <w:rStyle w:val="fadeinm1hgl8"/>
          <w:rFonts w:ascii="Calibri" w:eastAsiaTheme="majorEastAsia" w:hAnsi="Calibri" w:cs="Calibri"/>
          <w:sz w:val="24"/>
          <w:szCs w:val="24"/>
        </w:rPr>
        <w:t>&gt;</w:t>
      </w:r>
      <w:r w:rsidR="00D37AA4" w:rsidRPr="00D37AA4">
        <w:rPr>
          <w:rStyle w:val="fadeinm1hgl8"/>
          <w:rFonts w:ascii="Calibri" w:eastAsiaTheme="majorEastAsia" w:hAnsi="Calibri" w:cs="Calibri"/>
          <w:sz w:val="24"/>
          <w:szCs w:val="24"/>
        </w:rPr>
        <w:t xml:space="preserve">4 mmol/L, base excess </w:t>
      </w:r>
      <w:r w:rsidR="00D37AA4">
        <w:rPr>
          <w:rStyle w:val="fadeinm1hgl8"/>
          <w:rFonts w:ascii="Calibri" w:eastAsiaTheme="majorEastAsia" w:hAnsi="Calibri" w:cs="Calibri"/>
          <w:sz w:val="24"/>
          <w:szCs w:val="24"/>
        </w:rPr>
        <w:t>&lt; -5</w:t>
      </w:r>
      <w:r w:rsidR="00D37AA4" w:rsidRPr="00D37AA4">
        <w:rPr>
          <w:rStyle w:val="fadeinm1hgl8"/>
          <w:rFonts w:ascii="Calibri" w:eastAsiaTheme="majorEastAsia" w:hAnsi="Calibri" w:cs="Calibri"/>
          <w:sz w:val="24"/>
          <w:szCs w:val="24"/>
        </w:rPr>
        <w:t>mmol/L, urine output</w:t>
      </w:r>
      <w:r w:rsidR="00D37AA4">
        <w:rPr>
          <w:rStyle w:val="fadeinm1hgl8"/>
          <w:rFonts w:ascii="Calibri" w:eastAsiaTheme="majorEastAsia" w:hAnsi="Calibri" w:cs="Calibri"/>
          <w:sz w:val="24"/>
          <w:szCs w:val="24"/>
        </w:rPr>
        <w:t>&lt;</w:t>
      </w:r>
      <w:r w:rsidR="00D37AA4" w:rsidRPr="00D37AA4">
        <w:rPr>
          <w:rStyle w:val="fadeinm1hgl8"/>
          <w:rFonts w:ascii="Calibri" w:eastAsiaTheme="majorEastAsia" w:hAnsi="Calibri" w:cs="Calibri"/>
          <w:sz w:val="24"/>
          <w:szCs w:val="24"/>
        </w:rPr>
        <w:t xml:space="preserve"> 0.3 mL/kg/hr, or new confusion. The CCU is staffed by cardiology consultants, resident doctors, and nursing staff, without continuous intensivist cover. By contrast, patients admitted to the ICU were managed by intensivists </w:t>
      </w:r>
      <w:r w:rsidR="00D37AA4" w:rsidRPr="00D37AA4">
        <w:rPr>
          <w:rStyle w:val="fadeinm1hgl8"/>
          <w:rFonts w:ascii="Calibri" w:eastAsiaTheme="majorEastAsia" w:hAnsi="Calibri" w:cs="Calibri"/>
          <w:sz w:val="24"/>
          <w:szCs w:val="24"/>
        </w:rPr>
        <w:lastRenderedPageBreak/>
        <w:t>within a general ICU environment, with cardiology input as required. This organisational structure remained consistent between the historical standard-care period and the ACT era.</w:t>
      </w:r>
    </w:p>
    <w:p w14:paraId="4B18CDD3" w14:textId="77E19957" w:rsidR="00967812" w:rsidRDefault="00967812" w:rsidP="00E123F2">
      <w:pPr>
        <w:spacing w:line="480" w:lineRule="auto"/>
        <w:jc w:val="both"/>
        <w:rPr>
          <w:rStyle w:val="fadeinm1hgl8"/>
          <w:rFonts w:ascii="Calibri" w:eastAsiaTheme="majorEastAsia" w:hAnsi="Calibri" w:cs="Calibri"/>
          <w:sz w:val="24"/>
          <w:szCs w:val="24"/>
        </w:rPr>
      </w:pPr>
      <w:r w:rsidRPr="00291373">
        <w:rPr>
          <w:rStyle w:val="fadeinm1hgl8"/>
          <w:rFonts w:ascii="Calibri" w:eastAsiaTheme="majorEastAsia" w:hAnsi="Calibri" w:cs="Calibri"/>
          <w:sz w:val="24"/>
          <w:szCs w:val="24"/>
        </w:rPr>
        <w:t xml:space="preserve">In contrast, patients who </w:t>
      </w:r>
      <w:r w:rsidR="003F26C3" w:rsidRPr="00291373">
        <w:rPr>
          <w:rStyle w:val="fadeinm1hgl8"/>
          <w:rFonts w:ascii="Calibri" w:eastAsiaTheme="majorEastAsia" w:hAnsi="Calibri" w:cs="Calibri"/>
          <w:sz w:val="24"/>
          <w:szCs w:val="24"/>
        </w:rPr>
        <w:t>have worsening or non-responding physiology, and/</w:t>
      </w:r>
      <w:r w:rsidRPr="00291373">
        <w:rPr>
          <w:rStyle w:val="fadeinm1hgl8"/>
          <w:rFonts w:ascii="Calibri" w:eastAsiaTheme="majorEastAsia" w:hAnsi="Calibri" w:cs="Calibri"/>
          <w:sz w:val="24"/>
          <w:szCs w:val="24"/>
        </w:rPr>
        <w:t xml:space="preserve">or require support for more than one organ system following </w:t>
      </w:r>
      <w:r w:rsidR="00C67391" w:rsidRPr="00291373">
        <w:rPr>
          <w:rStyle w:val="fadeinm1hgl8"/>
          <w:rFonts w:ascii="Calibri" w:eastAsiaTheme="majorEastAsia" w:hAnsi="Calibri" w:cs="Calibri"/>
          <w:sz w:val="24"/>
          <w:szCs w:val="24"/>
        </w:rPr>
        <w:t xml:space="preserve">emergency PCI </w:t>
      </w:r>
      <w:r w:rsidRPr="00291373">
        <w:rPr>
          <w:rStyle w:val="fadeinm1hgl8"/>
          <w:rFonts w:ascii="Calibri" w:eastAsiaTheme="majorEastAsia" w:hAnsi="Calibri" w:cs="Calibri"/>
          <w:sz w:val="24"/>
          <w:szCs w:val="24"/>
        </w:rPr>
        <w:t>should be transferred to ICU</w:t>
      </w:r>
      <w:r w:rsidR="003F26C3" w:rsidRPr="00291373">
        <w:rPr>
          <w:rStyle w:val="fadeinm1hgl8"/>
          <w:rFonts w:ascii="Calibri" w:eastAsiaTheme="majorEastAsia" w:hAnsi="Calibri" w:cs="Calibri"/>
          <w:sz w:val="24"/>
          <w:szCs w:val="24"/>
        </w:rPr>
        <w:t xml:space="preserve"> for invasive </w:t>
      </w:r>
      <w:r w:rsidR="00C67391" w:rsidRPr="00291373">
        <w:rPr>
          <w:rStyle w:val="fadeinm1hgl8"/>
          <w:rFonts w:ascii="Calibri" w:eastAsiaTheme="majorEastAsia" w:hAnsi="Calibri" w:cs="Calibri"/>
          <w:sz w:val="24"/>
          <w:szCs w:val="24"/>
        </w:rPr>
        <w:t xml:space="preserve">cardiovascular </w:t>
      </w:r>
      <w:r w:rsidR="003F26C3" w:rsidRPr="00291373">
        <w:rPr>
          <w:rStyle w:val="fadeinm1hgl8"/>
          <w:rFonts w:ascii="Calibri" w:eastAsiaTheme="majorEastAsia" w:hAnsi="Calibri" w:cs="Calibri"/>
          <w:sz w:val="24"/>
          <w:szCs w:val="24"/>
        </w:rPr>
        <w:t xml:space="preserve">monitoring and </w:t>
      </w:r>
      <w:r w:rsidR="00C67391" w:rsidRPr="00291373">
        <w:rPr>
          <w:rStyle w:val="fadeinm1hgl8"/>
          <w:rFonts w:ascii="Calibri" w:eastAsiaTheme="majorEastAsia" w:hAnsi="Calibri" w:cs="Calibri"/>
          <w:sz w:val="24"/>
          <w:szCs w:val="24"/>
        </w:rPr>
        <w:t>support of organ systems.  The advanced shock pathway did not protocolise the care once the patient reached ICU, this was left to the discretion of the treating intensivist.  This included use of cardiac output monitoring, pharmacological vasoactive therapy, escalation to mechanical circulatory support, and requirement for other organ support</w:t>
      </w:r>
      <w:r w:rsidR="00B45F19" w:rsidRPr="00291373">
        <w:rPr>
          <w:rStyle w:val="fadeinm1hgl8"/>
          <w:rFonts w:ascii="Calibri" w:eastAsiaTheme="majorEastAsia" w:hAnsi="Calibri" w:cs="Calibri"/>
          <w:sz w:val="24"/>
          <w:szCs w:val="24"/>
        </w:rPr>
        <w:t xml:space="preserve"> modalities including renal replacement therapy and ventilation</w:t>
      </w:r>
      <w:r w:rsidR="00C67391" w:rsidRPr="00291373">
        <w:rPr>
          <w:rStyle w:val="fadeinm1hgl8"/>
          <w:rFonts w:ascii="Calibri" w:eastAsiaTheme="majorEastAsia" w:hAnsi="Calibri" w:cs="Calibri"/>
          <w:sz w:val="24"/>
          <w:szCs w:val="24"/>
        </w:rPr>
        <w:t xml:space="preserve">. </w:t>
      </w:r>
      <w:r w:rsidR="001908DB" w:rsidRPr="001908DB">
        <w:rPr>
          <w:rFonts w:ascii="Calibri" w:eastAsiaTheme="majorEastAsia" w:hAnsi="Calibri" w:cs="Calibri"/>
          <w:sz w:val="24"/>
          <w:szCs w:val="24"/>
        </w:rPr>
        <w:t>Routine invasive haemodynamic assessment using right-heart catheterisation, pulmonary artery catheter</w:t>
      </w:r>
      <w:r w:rsidR="00E11266">
        <w:rPr>
          <w:rFonts w:ascii="Calibri" w:eastAsiaTheme="majorEastAsia" w:hAnsi="Calibri" w:cs="Calibri"/>
          <w:sz w:val="24"/>
          <w:szCs w:val="24"/>
        </w:rPr>
        <w:t xml:space="preserve"> (PAC)</w:t>
      </w:r>
      <w:r w:rsidR="001908DB" w:rsidRPr="001908DB">
        <w:rPr>
          <w:rFonts w:ascii="Calibri" w:eastAsiaTheme="majorEastAsia" w:hAnsi="Calibri" w:cs="Calibri"/>
          <w:sz w:val="24"/>
          <w:szCs w:val="24"/>
        </w:rPr>
        <w:t xml:space="preserve"> monitoring, or transpulmonary thermodilution (</w:t>
      </w:r>
      <w:proofErr w:type="spellStart"/>
      <w:r w:rsidR="001908DB" w:rsidRPr="001908DB">
        <w:rPr>
          <w:rFonts w:ascii="Calibri" w:eastAsiaTheme="majorEastAsia" w:hAnsi="Calibri" w:cs="Calibri"/>
          <w:sz w:val="24"/>
          <w:szCs w:val="24"/>
        </w:rPr>
        <w:t>PiCCO</w:t>
      </w:r>
      <w:proofErr w:type="spellEnd"/>
      <w:r w:rsidR="001908DB" w:rsidRPr="001908DB">
        <w:rPr>
          <w:rFonts w:ascii="Calibri" w:eastAsiaTheme="majorEastAsia" w:hAnsi="Calibri" w:cs="Calibri"/>
          <w:sz w:val="24"/>
          <w:szCs w:val="24"/>
        </w:rPr>
        <w:t xml:space="preserve">) was not performed </w:t>
      </w:r>
      <w:r w:rsidR="001908DB">
        <w:rPr>
          <w:rFonts w:ascii="Calibri" w:eastAsiaTheme="majorEastAsia" w:hAnsi="Calibri" w:cs="Calibri"/>
          <w:sz w:val="24"/>
          <w:szCs w:val="24"/>
        </w:rPr>
        <w:t>routinely</w:t>
      </w:r>
      <w:r w:rsidR="00FB7EFB">
        <w:rPr>
          <w:rFonts w:ascii="Calibri" w:eastAsiaTheme="majorEastAsia" w:hAnsi="Calibri" w:cs="Calibri"/>
          <w:sz w:val="24"/>
          <w:szCs w:val="24"/>
        </w:rPr>
        <w:t>, reflecting real-world practice in UK</w:t>
      </w:r>
      <w:r w:rsidR="00A37A87">
        <w:rPr>
          <w:rFonts w:ascii="Calibri" w:eastAsiaTheme="majorEastAsia" w:hAnsi="Calibri" w:cs="Calibri"/>
          <w:sz w:val="24"/>
          <w:szCs w:val="24"/>
        </w:rPr>
        <w:t xml:space="preserve"> centres</w:t>
      </w:r>
      <w:r w:rsidR="00FB7EFB">
        <w:rPr>
          <w:rFonts w:ascii="Calibri" w:eastAsiaTheme="majorEastAsia" w:hAnsi="Calibri" w:cs="Calibri"/>
          <w:sz w:val="24"/>
          <w:szCs w:val="24"/>
        </w:rPr>
        <w:t xml:space="preserve">. </w:t>
      </w:r>
    </w:p>
    <w:p w14:paraId="31A23987" w14:textId="30EB60A6" w:rsidR="00D23463" w:rsidRPr="009C4A7B" w:rsidRDefault="007A69D8" w:rsidP="00E123F2">
      <w:pPr>
        <w:spacing w:line="480" w:lineRule="auto"/>
        <w:jc w:val="both"/>
        <w:rPr>
          <w:rStyle w:val="fadeinm1hgl8"/>
          <w:rFonts w:ascii="Calibri" w:eastAsiaTheme="majorEastAsia" w:hAnsi="Calibri" w:cs="Calibri"/>
          <w:b/>
          <w:bCs/>
          <w:sz w:val="24"/>
          <w:szCs w:val="24"/>
        </w:rPr>
      </w:pPr>
      <w:r w:rsidRPr="009C4A7B">
        <w:rPr>
          <w:rStyle w:val="fadeinm1hgl8"/>
          <w:rFonts w:ascii="Calibri" w:eastAsiaTheme="majorEastAsia" w:hAnsi="Calibri" w:cs="Calibri"/>
          <w:b/>
          <w:bCs/>
          <w:sz w:val="24"/>
          <w:szCs w:val="24"/>
        </w:rPr>
        <w:t xml:space="preserve">Mechanical circulatory support: </w:t>
      </w:r>
    </w:p>
    <w:p w14:paraId="6E156D29" w14:textId="5673EC33" w:rsidR="007E772E" w:rsidRPr="00291373" w:rsidRDefault="007A69D8" w:rsidP="00E123F2">
      <w:pPr>
        <w:spacing w:line="480" w:lineRule="auto"/>
        <w:jc w:val="both"/>
        <w:rPr>
          <w:rStyle w:val="fadeinm1hgl8"/>
          <w:rFonts w:ascii="Calibri" w:eastAsiaTheme="majorEastAsia" w:hAnsi="Calibri" w:cs="Calibri"/>
          <w:sz w:val="24"/>
          <w:szCs w:val="24"/>
        </w:rPr>
      </w:pPr>
      <w:r w:rsidRPr="007A69D8">
        <w:rPr>
          <w:rStyle w:val="fadeinm1hgl8"/>
          <w:rFonts w:ascii="Calibri" w:eastAsiaTheme="majorEastAsia" w:hAnsi="Calibri" w:cs="Calibri"/>
          <w:sz w:val="24"/>
          <w:szCs w:val="24"/>
        </w:rPr>
        <w:t>No standardised MCS selection or escalation algorithm existed in either the historical or ACT era. The choice between IABP, Impella, or other devices was at the discretion of the treating clinician, guided by haemodynamic instability, access considerations, bleeding risk, and device availability. Overall MCS use was low in both cohorts, and the ACT pathway was not designed as a device-driven strategy. This approach contrasts with other shock-team models that emphasise early routine MCS</w:t>
      </w:r>
      <w:r w:rsidR="003241A9">
        <w:rPr>
          <w:rStyle w:val="fadeinm1hgl8"/>
          <w:rFonts w:ascii="Calibri" w:eastAsiaTheme="majorEastAsia" w:hAnsi="Calibri" w:cs="Calibri"/>
          <w:sz w:val="24"/>
          <w:szCs w:val="24"/>
        </w:rPr>
        <w:t xml:space="preserve">. </w:t>
      </w:r>
    </w:p>
    <w:p w14:paraId="0818D69D" w14:textId="4B6D88F2" w:rsidR="004E5979" w:rsidRPr="00291373" w:rsidRDefault="004E5979" w:rsidP="00D173F3">
      <w:pPr>
        <w:spacing w:line="480" w:lineRule="auto"/>
        <w:rPr>
          <w:rFonts w:ascii="Calibri" w:hAnsi="Calibri" w:cs="Calibri"/>
          <w:b/>
          <w:bCs/>
          <w:sz w:val="24"/>
          <w:szCs w:val="24"/>
        </w:rPr>
      </w:pPr>
      <w:r w:rsidRPr="00291373">
        <w:rPr>
          <w:rFonts w:ascii="Calibri" w:hAnsi="Calibri" w:cs="Calibri"/>
          <w:b/>
          <w:bCs/>
          <w:sz w:val="24"/>
          <w:szCs w:val="24"/>
        </w:rPr>
        <w:t xml:space="preserve">Statistical analysis: </w:t>
      </w:r>
    </w:p>
    <w:p w14:paraId="4025C91F" w14:textId="53203B8B" w:rsidR="000248D8" w:rsidRDefault="0027594F" w:rsidP="0024225F">
      <w:pPr>
        <w:spacing w:line="480" w:lineRule="auto"/>
        <w:jc w:val="both"/>
        <w:rPr>
          <w:rFonts w:ascii="Calibri" w:hAnsi="Calibri" w:cs="Calibri"/>
          <w:sz w:val="24"/>
          <w:szCs w:val="24"/>
        </w:rPr>
      </w:pPr>
      <w:r w:rsidRPr="00291373">
        <w:rPr>
          <w:rFonts w:ascii="Calibri" w:hAnsi="Calibri" w:cs="Calibri"/>
          <w:sz w:val="24"/>
          <w:szCs w:val="24"/>
        </w:rPr>
        <w:t xml:space="preserve">All analyses were performed using R (version 3.6.0 or later). Continuous variables were reported as medians, and categorical variables as percentages. Comparisons between </w:t>
      </w:r>
      <w:r w:rsidRPr="00291373">
        <w:rPr>
          <w:rFonts w:ascii="Calibri" w:hAnsi="Calibri" w:cs="Calibri"/>
          <w:sz w:val="24"/>
          <w:szCs w:val="24"/>
        </w:rPr>
        <w:lastRenderedPageBreak/>
        <w:t xml:space="preserve">unpaired numerical variables were made using the </w:t>
      </w:r>
      <w:r w:rsidR="00FC292A" w:rsidRPr="00291373">
        <w:rPr>
          <w:rFonts w:ascii="Calibri" w:hAnsi="Calibri" w:cs="Calibri"/>
          <w:sz w:val="24"/>
          <w:szCs w:val="24"/>
        </w:rPr>
        <w:t>Wilcoxon</w:t>
      </w:r>
      <w:r w:rsidRPr="00291373">
        <w:rPr>
          <w:rFonts w:ascii="Calibri" w:hAnsi="Calibri" w:cs="Calibri"/>
          <w:sz w:val="24"/>
          <w:szCs w:val="24"/>
        </w:rPr>
        <w:t xml:space="preserve"> test, while categorical variables were compared using the</w:t>
      </w:r>
      <w:r w:rsidR="00752293" w:rsidRPr="00291373">
        <w:rPr>
          <w:rFonts w:ascii="Calibri" w:hAnsi="Calibri" w:cs="Calibri"/>
          <w:sz w:val="24"/>
          <w:szCs w:val="24"/>
        </w:rPr>
        <w:t xml:space="preserve"> Pearson’s</w:t>
      </w:r>
      <w:r w:rsidRPr="00291373">
        <w:rPr>
          <w:rFonts w:ascii="Calibri" w:hAnsi="Calibri" w:cs="Calibri"/>
          <w:sz w:val="24"/>
          <w:szCs w:val="24"/>
        </w:rPr>
        <w:t xml:space="preserve"> </w:t>
      </w:r>
      <w:r w:rsidR="00752293" w:rsidRPr="00291373">
        <w:rPr>
          <w:rFonts w:ascii="Calibri" w:hAnsi="Calibri" w:cs="Calibri"/>
          <w:sz w:val="24"/>
          <w:szCs w:val="24"/>
        </w:rPr>
        <w:t>c</w:t>
      </w:r>
      <w:r w:rsidRPr="00291373">
        <w:rPr>
          <w:rFonts w:ascii="Calibri" w:hAnsi="Calibri" w:cs="Calibri"/>
          <w:sz w:val="24"/>
          <w:szCs w:val="24"/>
        </w:rPr>
        <w:t xml:space="preserve">hi-squared test. All p-values were two-tailed, with statistical </w:t>
      </w:r>
      <w:r w:rsidRPr="003559C1">
        <w:rPr>
          <w:rFonts w:ascii="Calibri" w:hAnsi="Calibri" w:cs="Calibri"/>
          <w:sz w:val="24"/>
          <w:szCs w:val="24"/>
        </w:rPr>
        <w:t>significance defined as p &lt; 0.05.</w:t>
      </w:r>
      <w:r w:rsidR="00F27D39" w:rsidRPr="003559C1">
        <w:rPr>
          <w:rFonts w:ascii="Calibri" w:hAnsi="Calibri" w:cs="Calibri"/>
          <w:sz w:val="24"/>
          <w:szCs w:val="24"/>
        </w:rPr>
        <w:t xml:space="preserve"> Univariate logistic regression was used to identify potential predictors of mortality. </w:t>
      </w:r>
      <w:r w:rsidR="001F267C" w:rsidRPr="007E772E">
        <w:rPr>
          <w:rFonts w:ascii="Calibri" w:hAnsi="Calibri" w:cs="Calibri"/>
          <w:sz w:val="24"/>
          <w:szCs w:val="24"/>
        </w:rPr>
        <w:t>Variables deemed clinically relevant or significant on univariate analysis were incorporated into time-to-event analyses using Cox proportional hazards regression for both 30-day and 1-year all-cause mortality. Adjusted hazard ratios (HRs) with 95% confidence intervals were reported. Post-hoc</w:t>
      </w:r>
      <w:r w:rsidR="00922FF4">
        <w:rPr>
          <w:rFonts w:ascii="Calibri" w:hAnsi="Calibri" w:cs="Calibri"/>
          <w:sz w:val="24"/>
          <w:szCs w:val="24"/>
        </w:rPr>
        <w:t xml:space="preserve"> </w:t>
      </w:r>
      <w:r w:rsidR="001F267C" w:rsidRPr="007E772E">
        <w:rPr>
          <w:rFonts w:ascii="Calibri" w:hAnsi="Calibri" w:cs="Calibri"/>
          <w:sz w:val="24"/>
          <w:szCs w:val="24"/>
        </w:rPr>
        <w:t xml:space="preserve">analyses included: 1) </w:t>
      </w:r>
      <w:r w:rsidR="00B73DB3">
        <w:rPr>
          <w:rFonts w:ascii="Calibri" w:hAnsi="Calibri" w:cs="Calibri"/>
          <w:sz w:val="24"/>
          <w:szCs w:val="24"/>
        </w:rPr>
        <w:t xml:space="preserve">sensitivity </w:t>
      </w:r>
      <w:r w:rsidR="00922FF4">
        <w:rPr>
          <w:rFonts w:ascii="Calibri" w:hAnsi="Calibri" w:cs="Calibri"/>
          <w:sz w:val="24"/>
          <w:szCs w:val="24"/>
        </w:rPr>
        <w:t xml:space="preserve">analysis of patients </w:t>
      </w:r>
      <w:r w:rsidR="001F267C" w:rsidRPr="007E772E">
        <w:rPr>
          <w:rFonts w:ascii="Calibri" w:hAnsi="Calibri" w:cs="Calibri"/>
          <w:sz w:val="24"/>
          <w:szCs w:val="24"/>
        </w:rPr>
        <w:t xml:space="preserve">presenting with advanced cardiogenic shock (SCAI stages D/E) </w:t>
      </w:r>
      <w:r w:rsidR="00B73DB3">
        <w:rPr>
          <w:rFonts w:ascii="Calibri" w:hAnsi="Calibri" w:cs="Calibri"/>
          <w:sz w:val="24"/>
          <w:szCs w:val="24"/>
        </w:rPr>
        <w:t xml:space="preserve">only </w:t>
      </w:r>
      <w:r w:rsidR="001F267C" w:rsidRPr="007E772E">
        <w:rPr>
          <w:rFonts w:ascii="Calibri" w:hAnsi="Calibri" w:cs="Calibri"/>
          <w:sz w:val="24"/>
          <w:szCs w:val="24"/>
        </w:rPr>
        <w:t>and 2) a 24-hour landmark analysis excluding patients who died in extremis, with adjustment for the same covariates included in the primary model.</w:t>
      </w:r>
    </w:p>
    <w:p w14:paraId="245219F8" w14:textId="77777777" w:rsidR="007E772E" w:rsidRPr="00291373" w:rsidRDefault="007E772E" w:rsidP="0024225F">
      <w:pPr>
        <w:spacing w:line="480" w:lineRule="auto"/>
        <w:jc w:val="both"/>
        <w:rPr>
          <w:rFonts w:ascii="Calibri" w:hAnsi="Calibri" w:cs="Calibri"/>
          <w:sz w:val="24"/>
          <w:szCs w:val="24"/>
        </w:rPr>
      </w:pPr>
    </w:p>
    <w:p w14:paraId="5CD270AB" w14:textId="0EED6B11" w:rsidR="00F86024" w:rsidRPr="00291373" w:rsidRDefault="00F86024" w:rsidP="0027594F">
      <w:pPr>
        <w:spacing w:line="480" w:lineRule="auto"/>
        <w:rPr>
          <w:rFonts w:ascii="Calibri" w:hAnsi="Calibri" w:cs="Calibri"/>
          <w:b/>
          <w:bCs/>
          <w:sz w:val="24"/>
          <w:szCs w:val="24"/>
        </w:rPr>
      </w:pPr>
      <w:r w:rsidRPr="00291373">
        <w:rPr>
          <w:rFonts w:ascii="Calibri" w:hAnsi="Calibri" w:cs="Calibri"/>
          <w:b/>
          <w:bCs/>
          <w:sz w:val="24"/>
          <w:szCs w:val="24"/>
        </w:rPr>
        <w:t xml:space="preserve">Results: </w:t>
      </w:r>
    </w:p>
    <w:p w14:paraId="05E5CA37" w14:textId="585EDD3D" w:rsidR="00C70B2F" w:rsidRPr="00291373" w:rsidRDefault="00291424" w:rsidP="00926B0B">
      <w:pPr>
        <w:spacing w:line="480" w:lineRule="auto"/>
        <w:jc w:val="both"/>
        <w:rPr>
          <w:rFonts w:ascii="Calibri" w:hAnsi="Calibri" w:cs="Calibri"/>
          <w:sz w:val="24"/>
          <w:szCs w:val="24"/>
        </w:rPr>
      </w:pPr>
      <w:r w:rsidRPr="00291373">
        <w:rPr>
          <w:rFonts w:ascii="Calibri" w:hAnsi="Calibri" w:cs="Calibri"/>
          <w:sz w:val="24"/>
          <w:szCs w:val="24"/>
        </w:rPr>
        <w:t xml:space="preserve">A total of </w:t>
      </w:r>
      <w:r w:rsidR="00F27D39" w:rsidRPr="00291373">
        <w:rPr>
          <w:rFonts w:ascii="Calibri" w:hAnsi="Calibri" w:cs="Calibri"/>
          <w:sz w:val="24"/>
          <w:szCs w:val="24"/>
        </w:rPr>
        <w:t>165</w:t>
      </w:r>
      <w:r w:rsidRPr="00291373">
        <w:rPr>
          <w:rFonts w:ascii="Calibri" w:hAnsi="Calibri" w:cs="Calibri"/>
          <w:sz w:val="24"/>
          <w:szCs w:val="24"/>
        </w:rPr>
        <w:t xml:space="preserve"> consecutive patients were included in the analysis, with </w:t>
      </w:r>
      <w:r w:rsidR="00F27D39" w:rsidRPr="00291373">
        <w:rPr>
          <w:rFonts w:ascii="Calibri" w:hAnsi="Calibri" w:cs="Calibri"/>
          <w:sz w:val="24"/>
          <w:szCs w:val="24"/>
        </w:rPr>
        <w:t>83</w:t>
      </w:r>
      <w:r w:rsidRPr="00291373">
        <w:rPr>
          <w:rFonts w:ascii="Calibri" w:hAnsi="Calibri" w:cs="Calibri"/>
          <w:sz w:val="24"/>
          <w:szCs w:val="24"/>
        </w:rPr>
        <w:t xml:space="preserve"> receiving standard care and </w:t>
      </w:r>
      <w:r w:rsidR="00F27D39" w:rsidRPr="00291373">
        <w:rPr>
          <w:rFonts w:ascii="Calibri" w:hAnsi="Calibri" w:cs="Calibri"/>
          <w:sz w:val="24"/>
          <w:szCs w:val="24"/>
        </w:rPr>
        <w:t>82</w:t>
      </w:r>
      <w:r w:rsidRPr="00291373">
        <w:rPr>
          <w:rFonts w:ascii="Calibri" w:hAnsi="Calibri" w:cs="Calibri"/>
          <w:sz w:val="24"/>
          <w:szCs w:val="24"/>
        </w:rPr>
        <w:t xml:space="preserve"> managed with the support of </w:t>
      </w:r>
      <w:r w:rsidR="009D7326" w:rsidRPr="00291373">
        <w:rPr>
          <w:rFonts w:ascii="Calibri" w:hAnsi="Calibri" w:cs="Calibri"/>
          <w:sz w:val="24"/>
          <w:szCs w:val="24"/>
        </w:rPr>
        <w:t xml:space="preserve">an </w:t>
      </w:r>
      <w:r w:rsidRPr="00291373">
        <w:rPr>
          <w:rFonts w:ascii="Calibri" w:hAnsi="Calibri" w:cs="Calibri"/>
          <w:sz w:val="24"/>
          <w:szCs w:val="24"/>
        </w:rPr>
        <w:t xml:space="preserve">ACT. </w:t>
      </w:r>
      <w:r w:rsidR="00967812" w:rsidRPr="00291373">
        <w:rPr>
          <w:rFonts w:ascii="Calibri" w:hAnsi="Calibri" w:cs="Calibri"/>
          <w:sz w:val="24"/>
          <w:szCs w:val="24"/>
        </w:rPr>
        <w:t xml:space="preserve"> </w:t>
      </w:r>
      <w:r w:rsidR="0096383C" w:rsidRPr="00291373">
        <w:rPr>
          <w:rFonts w:ascii="Calibri" w:hAnsi="Calibri" w:cs="Calibri"/>
          <w:sz w:val="24"/>
          <w:szCs w:val="24"/>
        </w:rPr>
        <w:t>Median age was 67</w:t>
      </w:r>
      <w:r w:rsidR="007E1718" w:rsidRPr="00291373">
        <w:rPr>
          <w:rFonts w:ascii="Calibri" w:hAnsi="Calibri" w:cs="Calibri"/>
          <w:color w:val="001D35"/>
          <w:sz w:val="24"/>
          <w:szCs w:val="24"/>
          <w:shd w:val="clear" w:color="auto" w:fill="FFFFFF"/>
        </w:rPr>
        <w:t xml:space="preserve"> ±1.3 </w:t>
      </w:r>
      <w:r w:rsidR="00A474EA" w:rsidRPr="00291373">
        <w:rPr>
          <w:rFonts w:ascii="Calibri" w:hAnsi="Calibri" w:cs="Calibri"/>
          <w:sz w:val="24"/>
          <w:szCs w:val="24"/>
        </w:rPr>
        <w:t>years</w:t>
      </w:r>
      <w:r w:rsidR="0096383C" w:rsidRPr="00291373">
        <w:rPr>
          <w:rFonts w:ascii="Calibri" w:hAnsi="Calibri" w:cs="Calibri"/>
          <w:sz w:val="24"/>
          <w:szCs w:val="24"/>
        </w:rPr>
        <w:t xml:space="preserve"> and 71</w:t>
      </w:r>
      <w:r w:rsidR="007E1718" w:rsidRPr="00291373">
        <w:rPr>
          <w:rFonts w:ascii="Calibri" w:hAnsi="Calibri" w:cs="Calibri"/>
          <w:color w:val="001D35"/>
          <w:sz w:val="24"/>
          <w:szCs w:val="24"/>
          <w:shd w:val="clear" w:color="auto" w:fill="FFFFFF"/>
        </w:rPr>
        <w:t xml:space="preserve"> </w:t>
      </w:r>
      <w:r w:rsidR="007E1718" w:rsidRPr="00291373">
        <w:rPr>
          <w:rFonts w:ascii="Calibri" w:hAnsi="Calibri" w:cs="Calibri"/>
          <w:sz w:val="24"/>
          <w:szCs w:val="24"/>
        </w:rPr>
        <w:t xml:space="preserve">±1.3 </w:t>
      </w:r>
      <w:r w:rsidR="00A474EA" w:rsidRPr="00291373">
        <w:rPr>
          <w:rFonts w:ascii="Calibri" w:hAnsi="Calibri" w:cs="Calibri"/>
          <w:sz w:val="24"/>
          <w:szCs w:val="24"/>
        </w:rPr>
        <w:t>years</w:t>
      </w:r>
      <w:r w:rsidR="0096383C" w:rsidRPr="00291373">
        <w:rPr>
          <w:rFonts w:ascii="Calibri" w:hAnsi="Calibri" w:cs="Calibri"/>
          <w:sz w:val="24"/>
          <w:szCs w:val="24"/>
        </w:rPr>
        <w:t xml:space="preserve"> in the standard care</w:t>
      </w:r>
      <w:r w:rsidR="003772F1" w:rsidRPr="00291373">
        <w:rPr>
          <w:rFonts w:ascii="Calibri" w:hAnsi="Calibri" w:cs="Calibri"/>
          <w:sz w:val="24"/>
          <w:szCs w:val="24"/>
        </w:rPr>
        <w:t xml:space="preserve"> </w:t>
      </w:r>
      <w:r w:rsidR="0096383C" w:rsidRPr="00291373">
        <w:rPr>
          <w:rFonts w:ascii="Calibri" w:hAnsi="Calibri" w:cs="Calibri"/>
          <w:sz w:val="24"/>
          <w:szCs w:val="24"/>
        </w:rPr>
        <w:t>and ACT group</w:t>
      </w:r>
      <w:r w:rsidR="00A474EA" w:rsidRPr="00291373">
        <w:rPr>
          <w:rFonts w:ascii="Calibri" w:hAnsi="Calibri" w:cs="Calibri"/>
          <w:sz w:val="24"/>
          <w:szCs w:val="24"/>
        </w:rPr>
        <w:t>,</w:t>
      </w:r>
      <w:r w:rsidR="0096383C" w:rsidRPr="00291373">
        <w:rPr>
          <w:rFonts w:ascii="Calibri" w:hAnsi="Calibri" w:cs="Calibri"/>
          <w:sz w:val="24"/>
          <w:szCs w:val="24"/>
        </w:rPr>
        <w:t xml:space="preserve"> respectively</w:t>
      </w:r>
      <w:r w:rsidR="00F52FD6">
        <w:rPr>
          <w:rFonts w:ascii="Calibri" w:hAnsi="Calibri" w:cs="Calibri"/>
          <w:sz w:val="24"/>
          <w:szCs w:val="24"/>
        </w:rPr>
        <w:t xml:space="preserve">. </w:t>
      </w:r>
      <w:r w:rsidR="00236552" w:rsidRPr="00236552">
        <w:rPr>
          <w:rFonts w:ascii="Calibri" w:hAnsi="Calibri" w:cs="Calibri"/>
          <w:sz w:val="24"/>
          <w:szCs w:val="24"/>
        </w:rPr>
        <w:t>In patients without out-of-hospital cardiac arrest, ACT was activated before hospital arrival in 19.6%, prior to PCI in 17.6%, and during PCI in 64.8% of cases</w:t>
      </w:r>
      <w:r w:rsidR="000715B5">
        <w:rPr>
          <w:rFonts w:ascii="Calibri" w:hAnsi="Calibri" w:cs="Calibri"/>
          <w:sz w:val="24"/>
          <w:szCs w:val="24"/>
        </w:rPr>
        <w:t xml:space="preserve">. </w:t>
      </w:r>
      <w:r w:rsidR="00C70B2F" w:rsidRPr="00291373">
        <w:rPr>
          <w:rFonts w:ascii="Calibri" w:hAnsi="Calibri" w:cs="Calibri"/>
          <w:sz w:val="24"/>
          <w:szCs w:val="24"/>
        </w:rPr>
        <w:t xml:space="preserve">Both groups were </w:t>
      </w:r>
      <w:r w:rsidR="007E1718" w:rsidRPr="00291373">
        <w:rPr>
          <w:rFonts w:ascii="Calibri" w:hAnsi="Calibri" w:cs="Calibri"/>
          <w:sz w:val="24"/>
          <w:szCs w:val="24"/>
        </w:rPr>
        <w:t>balanced</w:t>
      </w:r>
      <w:r w:rsidR="00C70B2F" w:rsidRPr="00291373">
        <w:rPr>
          <w:rFonts w:ascii="Calibri" w:hAnsi="Calibri" w:cs="Calibri"/>
          <w:sz w:val="24"/>
          <w:szCs w:val="24"/>
        </w:rPr>
        <w:t xml:space="preserve"> for sex, baseline demographics</w:t>
      </w:r>
      <w:r w:rsidR="009B7422">
        <w:rPr>
          <w:rFonts w:ascii="Calibri" w:hAnsi="Calibri" w:cs="Calibri"/>
          <w:sz w:val="24"/>
          <w:szCs w:val="24"/>
        </w:rPr>
        <w:t xml:space="preserve">, </w:t>
      </w:r>
      <w:r w:rsidR="00492AFF">
        <w:rPr>
          <w:rFonts w:ascii="Calibri" w:hAnsi="Calibri" w:cs="Calibri"/>
          <w:sz w:val="24"/>
          <w:szCs w:val="24"/>
        </w:rPr>
        <w:t>ventricular function</w:t>
      </w:r>
      <w:r w:rsidR="009B7422">
        <w:rPr>
          <w:rFonts w:ascii="Calibri" w:hAnsi="Calibri" w:cs="Calibri"/>
          <w:sz w:val="24"/>
          <w:szCs w:val="24"/>
        </w:rPr>
        <w:t xml:space="preserve"> </w:t>
      </w:r>
      <w:r w:rsidR="00C70B2F" w:rsidRPr="00291373">
        <w:rPr>
          <w:rFonts w:ascii="Calibri" w:hAnsi="Calibri" w:cs="Calibri"/>
          <w:sz w:val="24"/>
          <w:szCs w:val="24"/>
        </w:rPr>
        <w:t>and clinical presentation</w:t>
      </w:r>
      <w:r w:rsidR="00D609EC" w:rsidRPr="00291373">
        <w:rPr>
          <w:rFonts w:ascii="Calibri" w:hAnsi="Calibri" w:cs="Calibri"/>
          <w:sz w:val="24"/>
          <w:szCs w:val="24"/>
        </w:rPr>
        <w:t xml:space="preserve"> (Table 1</w:t>
      </w:r>
      <w:r w:rsidR="00304C8E">
        <w:rPr>
          <w:rFonts w:ascii="Calibri" w:hAnsi="Calibri" w:cs="Calibri"/>
          <w:sz w:val="24"/>
          <w:szCs w:val="24"/>
        </w:rPr>
        <w:t>&amp;2</w:t>
      </w:r>
      <w:r w:rsidR="00D609EC" w:rsidRPr="00291373">
        <w:rPr>
          <w:rFonts w:ascii="Calibri" w:hAnsi="Calibri" w:cs="Calibri"/>
          <w:sz w:val="24"/>
          <w:szCs w:val="24"/>
        </w:rPr>
        <w:t>)</w:t>
      </w:r>
      <w:r w:rsidR="00C70B2F" w:rsidRPr="00291373">
        <w:rPr>
          <w:rFonts w:ascii="Calibri" w:hAnsi="Calibri" w:cs="Calibri"/>
          <w:sz w:val="24"/>
          <w:szCs w:val="24"/>
        </w:rPr>
        <w:t xml:space="preserve">. </w:t>
      </w:r>
      <w:r w:rsidR="001B298C" w:rsidRPr="00291373">
        <w:rPr>
          <w:rFonts w:ascii="Calibri" w:hAnsi="Calibri" w:cs="Calibri"/>
          <w:sz w:val="24"/>
          <w:szCs w:val="24"/>
        </w:rPr>
        <w:t xml:space="preserve">A higher </w:t>
      </w:r>
      <w:r w:rsidR="004F5038" w:rsidRPr="00291373">
        <w:rPr>
          <w:rFonts w:ascii="Calibri" w:hAnsi="Calibri" w:cs="Calibri"/>
          <w:sz w:val="24"/>
          <w:szCs w:val="24"/>
        </w:rPr>
        <w:t>percentage</w:t>
      </w:r>
      <w:r w:rsidR="001B298C" w:rsidRPr="00291373">
        <w:rPr>
          <w:rFonts w:ascii="Calibri" w:hAnsi="Calibri" w:cs="Calibri"/>
          <w:sz w:val="24"/>
          <w:szCs w:val="24"/>
        </w:rPr>
        <w:t xml:space="preserve"> of the standard care group received in GP2B3A inhibitors peri-procedurally</w:t>
      </w:r>
      <w:r w:rsidR="004F5038" w:rsidRPr="00291373">
        <w:rPr>
          <w:rFonts w:ascii="Calibri" w:hAnsi="Calibri" w:cs="Calibri"/>
          <w:sz w:val="24"/>
          <w:szCs w:val="24"/>
        </w:rPr>
        <w:t xml:space="preserve"> compared to the ACT group</w:t>
      </w:r>
      <w:r w:rsidR="001B298C" w:rsidRPr="00291373">
        <w:rPr>
          <w:rFonts w:ascii="Calibri" w:hAnsi="Calibri" w:cs="Calibri"/>
          <w:sz w:val="24"/>
          <w:szCs w:val="24"/>
        </w:rPr>
        <w:t xml:space="preserve"> (37% vs. 19%; p=0.01)</w:t>
      </w:r>
      <w:r w:rsidR="004F5038" w:rsidRPr="00291373">
        <w:rPr>
          <w:rFonts w:ascii="Calibri" w:hAnsi="Calibri" w:cs="Calibri"/>
          <w:sz w:val="24"/>
          <w:szCs w:val="24"/>
        </w:rPr>
        <w:t xml:space="preserve">. </w:t>
      </w:r>
      <w:r w:rsidR="00C70B2F" w:rsidRPr="00291373">
        <w:rPr>
          <w:rFonts w:ascii="Calibri" w:hAnsi="Calibri" w:cs="Calibri"/>
          <w:sz w:val="24"/>
          <w:szCs w:val="24"/>
        </w:rPr>
        <w:t>Notably, a significantly greater proportion of patients in the control group were classified as SCAI shock stage E</w:t>
      </w:r>
      <w:r w:rsidR="0038764D" w:rsidRPr="00291373">
        <w:rPr>
          <w:rFonts w:ascii="Calibri" w:hAnsi="Calibri" w:cs="Calibri"/>
          <w:sz w:val="24"/>
          <w:szCs w:val="24"/>
        </w:rPr>
        <w:t xml:space="preserve"> </w:t>
      </w:r>
      <w:r w:rsidR="00C70B2F" w:rsidRPr="00291373">
        <w:rPr>
          <w:rFonts w:ascii="Calibri" w:hAnsi="Calibri" w:cs="Calibri"/>
          <w:sz w:val="24"/>
          <w:szCs w:val="24"/>
        </w:rPr>
        <w:t xml:space="preserve">at </w:t>
      </w:r>
      <w:r w:rsidR="007E1718" w:rsidRPr="00291373">
        <w:rPr>
          <w:rFonts w:ascii="Calibri" w:hAnsi="Calibri" w:cs="Calibri"/>
          <w:sz w:val="24"/>
          <w:szCs w:val="24"/>
        </w:rPr>
        <w:t>first medical contact</w:t>
      </w:r>
      <w:r w:rsidR="00C70B2F" w:rsidRPr="00291373">
        <w:rPr>
          <w:rFonts w:ascii="Calibri" w:hAnsi="Calibri" w:cs="Calibri"/>
          <w:sz w:val="24"/>
          <w:szCs w:val="24"/>
        </w:rPr>
        <w:t xml:space="preserve"> (72.3% vs. 54.8%, p = 0.03)</w:t>
      </w:r>
      <w:r w:rsidR="00694369">
        <w:rPr>
          <w:rFonts w:ascii="Calibri" w:hAnsi="Calibri" w:cs="Calibri"/>
          <w:sz w:val="24"/>
          <w:szCs w:val="24"/>
        </w:rPr>
        <w:t xml:space="preserve">, which is accounted for </w:t>
      </w:r>
      <w:r w:rsidR="00CA3A28">
        <w:rPr>
          <w:rFonts w:ascii="Calibri" w:hAnsi="Calibri" w:cs="Calibri"/>
          <w:sz w:val="24"/>
          <w:szCs w:val="24"/>
        </w:rPr>
        <w:t>in adjusted and sensitivity analyses</w:t>
      </w:r>
      <w:r w:rsidR="00C70B2F" w:rsidRPr="00291373">
        <w:rPr>
          <w:rFonts w:ascii="Calibri" w:hAnsi="Calibri" w:cs="Calibri"/>
          <w:sz w:val="24"/>
          <w:szCs w:val="24"/>
        </w:rPr>
        <w:t>.  In terms of organ support, there was a greater number of patients in standard care group who re</w:t>
      </w:r>
      <w:r w:rsidR="002349CD">
        <w:rPr>
          <w:rFonts w:ascii="Calibri" w:hAnsi="Calibri" w:cs="Calibri"/>
          <w:sz w:val="24"/>
          <w:szCs w:val="24"/>
        </w:rPr>
        <w:t>ceived</w:t>
      </w:r>
      <w:r w:rsidR="00C70B2F" w:rsidRPr="00291373">
        <w:rPr>
          <w:rFonts w:ascii="Calibri" w:hAnsi="Calibri" w:cs="Calibri"/>
          <w:sz w:val="24"/>
          <w:szCs w:val="24"/>
        </w:rPr>
        <w:t xml:space="preserve"> invasive </w:t>
      </w:r>
      <w:r w:rsidR="00C70B2F" w:rsidRPr="00291373">
        <w:rPr>
          <w:rFonts w:ascii="Calibri" w:hAnsi="Calibri" w:cs="Calibri"/>
          <w:sz w:val="24"/>
          <w:szCs w:val="24"/>
        </w:rPr>
        <w:lastRenderedPageBreak/>
        <w:t>ventilation in comparison to the ACT group (54.7% vs. 35.2%, p=0.03)</w:t>
      </w:r>
      <w:r w:rsidR="007318A5" w:rsidRPr="00291373">
        <w:rPr>
          <w:rFonts w:ascii="Calibri" w:hAnsi="Calibri" w:cs="Calibri"/>
          <w:sz w:val="24"/>
          <w:szCs w:val="24"/>
        </w:rPr>
        <w:t xml:space="preserve"> (Table 3)</w:t>
      </w:r>
      <w:r w:rsidR="00C70B2F" w:rsidRPr="00291373">
        <w:rPr>
          <w:rFonts w:ascii="Calibri" w:hAnsi="Calibri" w:cs="Calibri"/>
          <w:sz w:val="24"/>
          <w:szCs w:val="24"/>
        </w:rPr>
        <w:t>. MCS was us</w:t>
      </w:r>
      <w:r w:rsidR="003C5D8F" w:rsidRPr="00291373">
        <w:rPr>
          <w:rFonts w:ascii="Calibri" w:hAnsi="Calibri" w:cs="Calibri"/>
          <w:sz w:val="24"/>
          <w:szCs w:val="24"/>
        </w:rPr>
        <w:t>ed</w:t>
      </w:r>
      <w:r w:rsidR="00C70B2F" w:rsidRPr="00291373">
        <w:rPr>
          <w:rFonts w:ascii="Calibri" w:hAnsi="Calibri" w:cs="Calibri"/>
          <w:sz w:val="24"/>
          <w:szCs w:val="24"/>
        </w:rPr>
        <w:t xml:space="preserve"> in 11.9% in the control group vs. 13.8% in the ACT group. </w:t>
      </w:r>
    </w:p>
    <w:p w14:paraId="3CB1F78C" w14:textId="00C52884" w:rsidR="00291424" w:rsidRPr="00291373" w:rsidRDefault="00C70B2F" w:rsidP="00926B0B">
      <w:pPr>
        <w:spacing w:line="480" w:lineRule="auto"/>
        <w:jc w:val="both"/>
        <w:rPr>
          <w:rFonts w:ascii="Calibri" w:hAnsi="Calibri" w:cs="Calibri"/>
          <w:sz w:val="24"/>
          <w:szCs w:val="24"/>
        </w:rPr>
      </w:pPr>
      <w:r w:rsidRPr="00291373">
        <w:rPr>
          <w:rFonts w:ascii="Calibri" w:hAnsi="Calibri" w:cs="Calibri"/>
          <w:sz w:val="24"/>
          <w:szCs w:val="24"/>
        </w:rPr>
        <w:t xml:space="preserve">Following revascularisation, there were no significant differences between groups in rates of death in the catheterisation laboratory or initial admission location (CCU vs. </w:t>
      </w:r>
      <w:r w:rsidR="00B668C2" w:rsidRPr="00291373">
        <w:rPr>
          <w:rFonts w:ascii="Calibri" w:hAnsi="Calibri" w:cs="Calibri"/>
          <w:sz w:val="24"/>
          <w:szCs w:val="24"/>
        </w:rPr>
        <w:t>ICU</w:t>
      </w:r>
      <w:r w:rsidRPr="00291373">
        <w:rPr>
          <w:rFonts w:ascii="Calibri" w:hAnsi="Calibri" w:cs="Calibri"/>
          <w:sz w:val="24"/>
          <w:szCs w:val="24"/>
        </w:rPr>
        <w:t xml:space="preserve">). Although not statistically significant, a higher proportion of patients in the ACT group required subsequent escalation of care from CCU to ICU (9.7% vs. 2.4%, p = 0.09), potentially reflecting the impact of the high-risk cardiogenic shock care bundle in facilitating earlier identification of deterioration and timely escalation of care. </w:t>
      </w:r>
    </w:p>
    <w:p w14:paraId="6727C18C" w14:textId="09771860" w:rsidR="009F7C22" w:rsidRDefault="00D663C9" w:rsidP="00440B88">
      <w:pPr>
        <w:spacing w:line="480" w:lineRule="auto"/>
        <w:jc w:val="both"/>
        <w:rPr>
          <w:rFonts w:ascii="Calibri" w:hAnsi="Calibri" w:cs="Calibri"/>
          <w:sz w:val="24"/>
          <w:szCs w:val="24"/>
        </w:rPr>
      </w:pPr>
      <w:r>
        <w:rPr>
          <w:rFonts w:ascii="Calibri" w:hAnsi="Calibri" w:cs="Calibri"/>
          <w:sz w:val="24"/>
          <w:szCs w:val="24"/>
        </w:rPr>
        <w:t>30-day</w:t>
      </w:r>
      <w:r w:rsidRPr="00291373">
        <w:rPr>
          <w:rFonts w:ascii="Calibri" w:hAnsi="Calibri" w:cs="Calibri"/>
          <w:sz w:val="24"/>
          <w:szCs w:val="24"/>
        </w:rPr>
        <w:t xml:space="preserve"> </w:t>
      </w:r>
      <w:r w:rsidR="00770ACC" w:rsidRPr="00291373">
        <w:rPr>
          <w:rFonts w:ascii="Calibri" w:hAnsi="Calibri" w:cs="Calibri"/>
          <w:sz w:val="24"/>
          <w:szCs w:val="24"/>
        </w:rPr>
        <w:t xml:space="preserve">and </w:t>
      </w:r>
      <w:r>
        <w:rPr>
          <w:rFonts w:ascii="Calibri" w:hAnsi="Calibri" w:cs="Calibri"/>
          <w:sz w:val="24"/>
          <w:szCs w:val="24"/>
        </w:rPr>
        <w:t>1-year</w:t>
      </w:r>
      <w:r w:rsidR="00770ACC" w:rsidRPr="00291373">
        <w:rPr>
          <w:rFonts w:ascii="Calibri" w:hAnsi="Calibri" w:cs="Calibri"/>
          <w:sz w:val="24"/>
          <w:szCs w:val="24"/>
        </w:rPr>
        <w:t xml:space="preserve"> mortality were lower in the ACT group compared to the control arm (30-day – </w:t>
      </w:r>
      <w:r w:rsidR="00F63A19" w:rsidRPr="00291373">
        <w:rPr>
          <w:rFonts w:ascii="Calibri" w:hAnsi="Calibri" w:cs="Calibri"/>
          <w:sz w:val="24"/>
          <w:szCs w:val="24"/>
        </w:rPr>
        <w:t>34</w:t>
      </w:r>
      <w:r w:rsidR="00770ACC" w:rsidRPr="00291373">
        <w:rPr>
          <w:rFonts w:ascii="Calibri" w:hAnsi="Calibri" w:cs="Calibri"/>
          <w:sz w:val="24"/>
          <w:szCs w:val="24"/>
        </w:rPr>
        <w:t xml:space="preserve">% vs. </w:t>
      </w:r>
      <w:r w:rsidR="00F63A19" w:rsidRPr="00291373">
        <w:rPr>
          <w:rFonts w:ascii="Calibri" w:hAnsi="Calibri" w:cs="Calibri"/>
          <w:sz w:val="24"/>
          <w:szCs w:val="24"/>
        </w:rPr>
        <w:t>37</w:t>
      </w:r>
      <w:r w:rsidR="00770ACC" w:rsidRPr="00291373">
        <w:rPr>
          <w:rFonts w:ascii="Calibri" w:hAnsi="Calibri" w:cs="Calibri"/>
          <w:sz w:val="24"/>
          <w:szCs w:val="24"/>
        </w:rPr>
        <w:t>%; 1-year – 3</w:t>
      </w:r>
      <w:r w:rsidR="00F63A19" w:rsidRPr="00291373">
        <w:rPr>
          <w:rFonts w:ascii="Calibri" w:hAnsi="Calibri" w:cs="Calibri"/>
          <w:sz w:val="24"/>
          <w:szCs w:val="24"/>
        </w:rPr>
        <w:t>5</w:t>
      </w:r>
      <w:r w:rsidR="00770ACC" w:rsidRPr="00291373">
        <w:rPr>
          <w:rFonts w:ascii="Calibri" w:hAnsi="Calibri" w:cs="Calibri"/>
          <w:sz w:val="24"/>
          <w:szCs w:val="24"/>
        </w:rPr>
        <w:t>% vs. 4</w:t>
      </w:r>
      <w:r w:rsidR="00F63A19" w:rsidRPr="00291373">
        <w:rPr>
          <w:rFonts w:ascii="Calibri" w:hAnsi="Calibri" w:cs="Calibri"/>
          <w:sz w:val="24"/>
          <w:szCs w:val="24"/>
        </w:rPr>
        <w:t>8.1</w:t>
      </w:r>
      <w:r w:rsidR="00770ACC" w:rsidRPr="00291373">
        <w:rPr>
          <w:rFonts w:ascii="Calibri" w:hAnsi="Calibri" w:cs="Calibri"/>
          <w:sz w:val="24"/>
          <w:szCs w:val="24"/>
        </w:rPr>
        <w:t>%)</w:t>
      </w:r>
      <w:r w:rsidR="00685725" w:rsidRPr="00291373">
        <w:rPr>
          <w:rFonts w:ascii="Calibri" w:hAnsi="Calibri" w:cs="Calibri"/>
          <w:sz w:val="24"/>
          <w:szCs w:val="24"/>
        </w:rPr>
        <w:t xml:space="preserve"> (Figure </w:t>
      </w:r>
      <w:r w:rsidR="00D609EC" w:rsidRPr="00291373">
        <w:rPr>
          <w:rFonts w:ascii="Calibri" w:hAnsi="Calibri" w:cs="Calibri"/>
          <w:sz w:val="24"/>
          <w:szCs w:val="24"/>
        </w:rPr>
        <w:t>2</w:t>
      </w:r>
      <w:r w:rsidR="00685725" w:rsidRPr="00291373">
        <w:rPr>
          <w:rFonts w:ascii="Calibri" w:hAnsi="Calibri" w:cs="Calibri"/>
          <w:sz w:val="24"/>
          <w:szCs w:val="24"/>
        </w:rPr>
        <w:t>)</w:t>
      </w:r>
      <w:r w:rsidR="00770ACC" w:rsidRPr="00291373">
        <w:rPr>
          <w:rFonts w:ascii="Calibri" w:hAnsi="Calibri" w:cs="Calibri"/>
          <w:sz w:val="24"/>
          <w:szCs w:val="24"/>
        </w:rPr>
        <w:t>.</w:t>
      </w:r>
      <w:r w:rsidR="00490D68">
        <w:rPr>
          <w:rFonts w:ascii="Calibri" w:hAnsi="Calibri" w:cs="Calibri"/>
          <w:sz w:val="24"/>
          <w:szCs w:val="24"/>
        </w:rPr>
        <w:t xml:space="preserve"> In hospital mortality between ACT and standard care were comparable (ACT 35.3% vs. standard care 38.5%).</w:t>
      </w:r>
      <w:r w:rsidR="00770ACC" w:rsidRPr="00291373">
        <w:rPr>
          <w:rFonts w:ascii="Calibri" w:hAnsi="Calibri" w:cs="Calibri"/>
          <w:sz w:val="24"/>
          <w:szCs w:val="24"/>
        </w:rPr>
        <w:t xml:space="preserve"> </w:t>
      </w:r>
      <w:r w:rsidR="00F63A19" w:rsidRPr="00291373">
        <w:rPr>
          <w:rFonts w:ascii="Calibri" w:hAnsi="Calibri" w:cs="Calibri"/>
          <w:sz w:val="24"/>
          <w:szCs w:val="24"/>
        </w:rPr>
        <w:t xml:space="preserve">Univariate analysis </w:t>
      </w:r>
      <w:r w:rsidR="00B62CAD" w:rsidRPr="00291373">
        <w:rPr>
          <w:rFonts w:ascii="Calibri" w:hAnsi="Calibri" w:cs="Calibri"/>
          <w:sz w:val="24"/>
          <w:szCs w:val="24"/>
        </w:rPr>
        <w:t>identified</w:t>
      </w:r>
      <w:r w:rsidR="00F63A19" w:rsidRPr="00291373">
        <w:rPr>
          <w:rFonts w:ascii="Calibri" w:hAnsi="Calibri" w:cs="Calibri"/>
          <w:sz w:val="24"/>
          <w:szCs w:val="24"/>
        </w:rPr>
        <w:t xml:space="preserve"> elevated lactate</w:t>
      </w:r>
      <w:r w:rsidR="00E75A04" w:rsidRPr="00291373">
        <w:rPr>
          <w:rFonts w:ascii="Calibri" w:hAnsi="Calibri" w:cs="Calibri"/>
          <w:sz w:val="24"/>
          <w:szCs w:val="24"/>
        </w:rPr>
        <w:t xml:space="preserve"> (OR 2.68, 95% CI 1.31 – 5.49, p=0.006), </w:t>
      </w:r>
      <w:r w:rsidR="00F63A19" w:rsidRPr="00291373">
        <w:rPr>
          <w:rFonts w:ascii="Calibri" w:hAnsi="Calibri" w:cs="Calibri"/>
          <w:sz w:val="24"/>
          <w:szCs w:val="24"/>
        </w:rPr>
        <w:t>need for ICU admission</w:t>
      </w:r>
      <w:r w:rsidR="002C00F2" w:rsidRPr="00291373">
        <w:rPr>
          <w:rFonts w:ascii="Calibri" w:hAnsi="Calibri" w:cs="Calibri"/>
          <w:sz w:val="24"/>
          <w:szCs w:val="24"/>
        </w:rPr>
        <w:t xml:space="preserve"> ( OR 2.36, 95% CI 1.13 – 4.96, p = 0.02)</w:t>
      </w:r>
      <w:r w:rsidR="00F63A19" w:rsidRPr="00291373">
        <w:rPr>
          <w:rFonts w:ascii="Calibri" w:hAnsi="Calibri" w:cs="Calibri"/>
          <w:sz w:val="24"/>
          <w:szCs w:val="24"/>
        </w:rPr>
        <w:t>, invasive ventilation</w:t>
      </w:r>
      <w:r w:rsidR="00E75A04" w:rsidRPr="00291373">
        <w:rPr>
          <w:rFonts w:ascii="Calibri" w:hAnsi="Calibri" w:cs="Calibri"/>
          <w:sz w:val="24"/>
          <w:szCs w:val="24"/>
        </w:rPr>
        <w:t xml:space="preserve"> ( OR 2.32, 95% CI 1.21 – 4.47, p = 0.01)</w:t>
      </w:r>
      <w:r w:rsidR="002C00F2" w:rsidRPr="00291373">
        <w:rPr>
          <w:rFonts w:ascii="Calibri" w:hAnsi="Calibri" w:cs="Calibri"/>
          <w:sz w:val="24"/>
          <w:szCs w:val="24"/>
        </w:rPr>
        <w:t xml:space="preserve"> and index SCAI stage E (OR 1.96, 95% CI 1.00 – 3.81, p = 0.04)</w:t>
      </w:r>
      <w:r w:rsidR="00B62CAD" w:rsidRPr="00291373">
        <w:rPr>
          <w:rFonts w:ascii="Calibri" w:hAnsi="Calibri" w:cs="Calibri"/>
          <w:sz w:val="24"/>
          <w:szCs w:val="24"/>
        </w:rPr>
        <w:t xml:space="preserve"> </w:t>
      </w:r>
      <w:r w:rsidR="00F63A19" w:rsidRPr="00291373">
        <w:rPr>
          <w:rFonts w:ascii="Calibri" w:hAnsi="Calibri" w:cs="Calibri"/>
          <w:sz w:val="24"/>
          <w:szCs w:val="24"/>
        </w:rPr>
        <w:t xml:space="preserve">as predictors of 1 -year mortality. Adjusting for these covariates, </w:t>
      </w:r>
      <w:r w:rsidR="00FF7EC3" w:rsidRPr="00FF7EC3">
        <w:rPr>
          <w:rFonts w:ascii="Calibri" w:hAnsi="Calibri" w:cs="Calibri"/>
          <w:sz w:val="24"/>
          <w:szCs w:val="24"/>
        </w:rPr>
        <w:t>management via the ACT pathway was independently associated with reduced 1-year mortality (</w:t>
      </w:r>
      <w:r w:rsidR="004841B4">
        <w:rPr>
          <w:rFonts w:ascii="Calibri" w:hAnsi="Calibri" w:cs="Calibri"/>
          <w:sz w:val="24"/>
          <w:szCs w:val="24"/>
        </w:rPr>
        <w:t xml:space="preserve">HR </w:t>
      </w:r>
      <w:r w:rsidR="00FF7EC3" w:rsidRPr="00FF7EC3">
        <w:rPr>
          <w:rFonts w:ascii="Calibri" w:hAnsi="Calibri" w:cs="Calibri"/>
          <w:sz w:val="24"/>
          <w:szCs w:val="24"/>
        </w:rPr>
        <w:t>0.53, 95% CI 0.30–0.92; p = 0.026)</w:t>
      </w:r>
      <w:r w:rsidR="004841B4">
        <w:rPr>
          <w:rFonts w:ascii="Calibri" w:hAnsi="Calibri" w:cs="Calibri"/>
          <w:sz w:val="24"/>
          <w:szCs w:val="24"/>
        </w:rPr>
        <w:t xml:space="preserve"> (</w:t>
      </w:r>
      <w:r w:rsidR="00996EAB">
        <w:rPr>
          <w:rFonts w:ascii="Calibri" w:hAnsi="Calibri" w:cs="Calibri"/>
          <w:sz w:val="24"/>
          <w:szCs w:val="24"/>
        </w:rPr>
        <w:t>Supplementary figure 1</w:t>
      </w:r>
      <w:r w:rsidR="004841B4">
        <w:rPr>
          <w:rFonts w:ascii="Calibri" w:hAnsi="Calibri" w:cs="Calibri"/>
          <w:sz w:val="24"/>
          <w:szCs w:val="24"/>
        </w:rPr>
        <w:t>)</w:t>
      </w:r>
      <w:r w:rsidR="00FF7EC3" w:rsidRPr="00FF7EC3">
        <w:rPr>
          <w:rFonts w:ascii="Calibri" w:hAnsi="Calibri" w:cs="Calibri"/>
          <w:sz w:val="24"/>
          <w:szCs w:val="24"/>
        </w:rPr>
        <w:t>.</w:t>
      </w:r>
      <w:r w:rsidR="00277A67" w:rsidRPr="00277A67">
        <w:t xml:space="preserve"> </w:t>
      </w:r>
      <w:r w:rsidR="00277A67" w:rsidRPr="00277A67">
        <w:rPr>
          <w:rFonts w:ascii="Calibri" w:hAnsi="Calibri" w:cs="Calibri"/>
          <w:sz w:val="24"/>
          <w:szCs w:val="24"/>
        </w:rPr>
        <w:t>Elevated index lactate demonstrated a strong association with mortality (HR 1.86, 95% CI 0.95–3.67; p = 0.07), whereas SCAI stage E was not independently predictive once physiological variables were included in the model.</w:t>
      </w:r>
      <w:r w:rsidR="00E84FB0">
        <w:rPr>
          <w:rFonts w:ascii="Calibri" w:hAnsi="Calibri" w:cs="Calibri"/>
          <w:sz w:val="24"/>
          <w:szCs w:val="24"/>
        </w:rPr>
        <w:t xml:space="preserve"> </w:t>
      </w:r>
      <w:r w:rsidR="00317A1E">
        <w:rPr>
          <w:rFonts w:ascii="Calibri" w:hAnsi="Calibri" w:cs="Calibri"/>
          <w:sz w:val="24"/>
          <w:szCs w:val="24"/>
        </w:rPr>
        <w:t>While 30-day mortality was numerically lower in the ACT group, this difference did not reach statistical significance (HR 0.71, 95% CI 0.39-1.29; p=0.26).</w:t>
      </w:r>
      <w:r w:rsidR="009F7C22" w:rsidRPr="009F7C22">
        <w:t xml:space="preserve"> </w:t>
      </w:r>
      <w:r w:rsidR="009F7C22" w:rsidRPr="009F7C22">
        <w:rPr>
          <w:rFonts w:ascii="Calibri" w:hAnsi="Calibri" w:cs="Calibri"/>
          <w:sz w:val="24"/>
          <w:szCs w:val="24"/>
        </w:rPr>
        <w:t>In patients presenting with advanced cardiogenic shock (SCAI stages D or E only; n = 1</w:t>
      </w:r>
      <w:r w:rsidR="00186F75">
        <w:rPr>
          <w:rFonts w:ascii="Calibri" w:hAnsi="Calibri" w:cs="Calibri"/>
          <w:sz w:val="24"/>
          <w:szCs w:val="24"/>
        </w:rPr>
        <w:t>15</w:t>
      </w:r>
      <w:r w:rsidR="009F7C22" w:rsidRPr="009F7C22">
        <w:rPr>
          <w:rFonts w:ascii="Calibri" w:hAnsi="Calibri" w:cs="Calibri"/>
          <w:sz w:val="24"/>
          <w:szCs w:val="24"/>
        </w:rPr>
        <w:t xml:space="preserve">), ACT management remained independently associated with improved 1-year survival (HR 0.52, 95% CI 0.28–0.99; p = </w:t>
      </w:r>
      <w:r w:rsidR="009F7C22" w:rsidRPr="009F7C22">
        <w:rPr>
          <w:rFonts w:ascii="Calibri" w:hAnsi="Calibri" w:cs="Calibri"/>
          <w:sz w:val="24"/>
          <w:szCs w:val="24"/>
        </w:rPr>
        <w:lastRenderedPageBreak/>
        <w:t>0.045).</w:t>
      </w:r>
      <w:r w:rsidR="00F25CF2" w:rsidRPr="00F25CF2">
        <w:t xml:space="preserve"> </w:t>
      </w:r>
      <w:r w:rsidR="00F25CF2" w:rsidRPr="00F25CF2">
        <w:rPr>
          <w:rFonts w:ascii="Calibri" w:hAnsi="Calibri" w:cs="Calibri"/>
          <w:sz w:val="24"/>
          <w:szCs w:val="24"/>
        </w:rPr>
        <w:t>In a 24-hour landmark analysis excluding patients who died early in extremis, ACT involvement was no longer independently associated with subsequent mortality (HR 0.80, 95% CI 0.37–1.72; p = 0.56), although the direction of effect remained favourable.</w:t>
      </w:r>
    </w:p>
    <w:p w14:paraId="61559CAE" w14:textId="6E5068F0" w:rsidR="0080349B" w:rsidRPr="00291373" w:rsidRDefault="00731068" w:rsidP="00440B88">
      <w:pPr>
        <w:spacing w:line="480" w:lineRule="auto"/>
        <w:jc w:val="both"/>
        <w:rPr>
          <w:rFonts w:ascii="Calibri" w:hAnsi="Calibri" w:cs="Calibri"/>
          <w:sz w:val="24"/>
          <w:szCs w:val="24"/>
        </w:rPr>
      </w:pPr>
      <w:r w:rsidRPr="00291373">
        <w:rPr>
          <w:rFonts w:ascii="Calibri" w:hAnsi="Calibri" w:cs="Calibri"/>
          <w:sz w:val="24"/>
          <w:szCs w:val="24"/>
        </w:rPr>
        <w:t>Patients classified as SCAI stage B or C demonstrated a lower 12-month mortality compared to those in stages D or E (SCAI B – 15.3%, SCAI C – 27%, SCAI D – 50%, SCAI E – 47.6%)</w:t>
      </w:r>
      <w:r w:rsidR="00045E81" w:rsidRPr="00291373">
        <w:rPr>
          <w:rFonts w:ascii="Calibri" w:hAnsi="Calibri" w:cs="Calibri"/>
          <w:sz w:val="24"/>
          <w:szCs w:val="24"/>
        </w:rPr>
        <w:t xml:space="preserve"> (</w:t>
      </w:r>
      <w:r w:rsidR="00996EAB">
        <w:rPr>
          <w:rFonts w:ascii="Calibri" w:hAnsi="Calibri" w:cs="Calibri"/>
          <w:sz w:val="24"/>
          <w:szCs w:val="24"/>
        </w:rPr>
        <w:t>Supplementary 2</w:t>
      </w:r>
      <w:r w:rsidR="00045E81" w:rsidRPr="00291373">
        <w:rPr>
          <w:rFonts w:ascii="Calibri" w:hAnsi="Calibri" w:cs="Calibri"/>
          <w:sz w:val="24"/>
          <w:szCs w:val="24"/>
        </w:rPr>
        <w:t>)</w:t>
      </w:r>
      <w:r w:rsidRPr="00291373">
        <w:rPr>
          <w:rFonts w:ascii="Calibri" w:hAnsi="Calibri" w:cs="Calibri"/>
          <w:sz w:val="24"/>
          <w:szCs w:val="24"/>
        </w:rPr>
        <w:t>.</w:t>
      </w:r>
      <w:r w:rsidR="007B701A" w:rsidRPr="00291373">
        <w:rPr>
          <w:rFonts w:ascii="Calibri" w:hAnsi="Calibri" w:cs="Calibri"/>
          <w:sz w:val="24"/>
          <w:szCs w:val="24"/>
        </w:rPr>
        <w:t xml:space="preserve"> </w:t>
      </w:r>
      <w:r w:rsidR="00E619BC" w:rsidRPr="00E619BC">
        <w:rPr>
          <w:rFonts w:ascii="Calibri" w:hAnsi="Calibri" w:cs="Calibri"/>
          <w:sz w:val="24"/>
          <w:szCs w:val="24"/>
        </w:rPr>
        <w:t>Among patients who survived the first 24 hours, a smaller proportion of the ACT cohort remained in SCAI stages D or E compared with the standard care cohort (42% vs 48%; p = 0.003)</w:t>
      </w:r>
      <w:r w:rsidR="00E619BC">
        <w:rPr>
          <w:rFonts w:ascii="Calibri" w:hAnsi="Calibri" w:cs="Calibri"/>
          <w:sz w:val="24"/>
          <w:szCs w:val="24"/>
        </w:rPr>
        <w:t xml:space="preserve">. </w:t>
      </w:r>
    </w:p>
    <w:p w14:paraId="412E7F64" w14:textId="77777777" w:rsidR="0080349B" w:rsidRPr="00291373" w:rsidRDefault="0080349B" w:rsidP="00291424">
      <w:pPr>
        <w:spacing w:line="480" w:lineRule="auto"/>
        <w:rPr>
          <w:rFonts w:ascii="Calibri" w:hAnsi="Calibri" w:cs="Calibri"/>
          <w:sz w:val="24"/>
          <w:szCs w:val="24"/>
        </w:rPr>
      </w:pPr>
    </w:p>
    <w:p w14:paraId="54BFC69C" w14:textId="77777777" w:rsidR="008D7C49" w:rsidRPr="00291373" w:rsidRDefault="008D7C49" w:rsidP="008D7C49">
      <w:pPr>
        <w:spacing w:line="480" w:lineRule="auto"/>
        <w:rPr>
          <w:rFonts w:ascii="Calibri" w:hAnsi="Calibri" w:cs="Calibri"/>
          <w:b/>
          <w:bCs/>
          <w:sz w:val="24"/>
          <w:szCs w:val="24"/>
        </w:rPr>
      </w:pPr>
      <w:r w:rsidRPr="00291373">
        <w:rPr>
          <w:rFonts w:ascii="Calibri" w:hAnsi="Calibri" w:cs="Calibri"/>
          <w:b/>
          <w:bCs/>
          <w:sz w:val="24"/>
          <w:szCs w:val="24"/>
        </w:rPr>
        <w:t>Discussion</w:t>
      </w:r>
    </w:p>
    <w:p w14:paraId="4409A152" w14:textId="5E8359A7" w:rsidR="00397B28" w:rsidRDefault="00397B28" w:rsidP="00397B28">
      <w:pPr>
        <w:spacing w:line="480" w:lineRule="auto"/>
        <w:jc w:val="both"/>
        <w:rPr>
          <w:rFonts w:ascii="Calibri" w:hAnsi="Calibri" w:cs="Calibri"/>
          <w:sz w:val="24"/>
          <w:szCs w:val="24"/>
        </w:rPr>
      </w:pPr>
      <w:r w:rsidRPr="00397B28">
        <w:rPr>
          <w:rFonts w:ascii="Calibri" w:hAnsi="Calibri" w:cs="Calibri"/>
          <w:sz w:val="24"/>
          <w:szCs w:val="24"/>
        </w:rPr>
        <w:t>ACT-SHOCK evaluated the impact of a multi</w:t>
      </w:r>
      <w:r w:rsidR="006F0339">
        <w:rPr>
          <w:rFonts w:ascii="Calibri" w:hAnsi="Calibri" w:cs="Calibri"/>
          <w:sz w:val="24"/>
          <w:szCs w:val="24"/>
        </w:rPr>
        <w:t>-specialty</w:t>
      </w:r>
      <w:r w:rsidRPr="00397B28">
        <w:rPr>
          <w:rFonts w:ascii="Calibri" w:hAnsi="Calibri" w:cs="Calibri"/>
          <w:sz w:val="24"/>
          <w:szCs w:val="24"/>
        </w:rPr>
        <w:t xml:space="preserve"> shock team on outcomes in patients with AMI-related cardiogenic shock. Management via the ACT pathway was associated with improved 1-year survival compared with standard care. Although 30-day mortality was numerically lower, this did not reach statistical significance, likely reflecting limited power to detect differences in a high-risk population.</w:t>
      </w:r>
    </w:p>
    <w:p w14:paraId="69BE3DD5" w14:textId="2EA7A389" w:rsidR="00326265" w:rsidRPr="00326265" w:rsidRDefault="00326265" w:rsidP="00326265">
      <w:pPr>
        <w:spacing w:line="480" w:lineRule="auto"/>
        <w:jc w:val="both"/>
        <w:rPr>
          <w:rFonts w:ascii="Calibri" w:hAnsi="Calibri" w:cs="Calibri"/>
          <w:sz w:val="24"/>
          <w:szCs w:val="24"/>
        </w:rPr>
      </w:pPr>
      <w:r w:rsidRPr="00326265">
        <w:rPr>
          <w:rFonts w:ascii="Calibri" w:hAnsi="Calibri" w:cs="Calibri"/>
          <w:sz w:val="24"/>
          <w:szCs w:val="24"/>
        </w:rPr>
        <w:t xml:space="preserve">Several studies have evaluated structured cardiogenic shock (CS) teams. Tehrani et al. reported outcomes from 204 CS patients managed with a shock team integrating critical care, advanced heart failure, interventional cardiology, and cardiac surgery, using early </w:t>
      </w:r>
      <w:r w:rsidR="00E619BC">
        <w:rPr>
          <w:rFonts w:ascii="Calibri" w:hAnsi="Calibri" w:cs="Calibri"/>
          <w:sz w:val="24"/>
          <w:szCs w:val="24"/>
        </w:rPr>
        <w:t>PAC</w:t>
      </w:r>
      <w:r w:rsidR="00572724">
        <w:rPr>
          <w:rFonts w:ascii="Calibri" w:hAnsi="Calibri" w:cs="Calibri"/>
          <w:sz w:val="24"/>
          <w:szCs w:val="24"/>
        </w:rPr>
        <w:t xml:space="preserve"> </w:t>
      </w:r>
      <w:r w:rsidRPr="00326265">
        <w:rPr>
          <w:rFonts w:ascii="Calibri" w:hAnsi="Calibri" w:cs="Calibri"/>
          <w:sz w:val="24"/>
          <w:szCs w:val="24"/>
        </w:rPr>
        <w:t xml:space="preserve">guided </w:t>
      </w:r>
      <w:proofErr w:type="spellStart"/>
      <w:r w:rsidRPr="00326265">
        <w:rPr>
          <w:rFonts w:ascii="Calibri" w:hAnsi="Calibri" w:cs="Calibri"/>
          <w:sz w:val="24"/>
          <w:szCs w:val="24"/>
        </w:rPr>
        <w:t>h</w:t>
      </w:r>
      <w:r w:rsidR="008F252D">
        <w:rPr>
          <w:rFonts w:ascii="Calibri" w:hAnsi="Calibri" w:cs="Calibri"/>
          <w:sz w:val="24"/>
          <w:szCs w:val="24"/>
        </w:rPr>
        <w:t>a</w:t>
      </w:r>
      <w:r w:rsidRPr="00326265">
        <w:rPr>
          <w:rFonts w:ascii="Calibri" w:hAnsi="Calibri" w:cs="Calibri"/>
          <w:sz w:val="24"/>
          <w:szCs w:val="24"/>
        </w:rPr>
        <w:t>emodynamics</w:t>
      </w:r>
      <w:proofErr w:type="spellEnd"/>
      <w:r w:rsidRPr="00326265">
        <w:rPr>
          <w:rFonts w:ascii="Calibri" w:hAnsi="Calibri" w:cs="Calibri"/>
          <w:sz w:val="24"/>
          <w:szCs w:val="24"/>
        </w:rPr>
        <w:t xml:space="preserve"> and protocoli</w:t>
      </w:r>
      <w:r w:rsidR="00572724">
        <w:rPr>
          <w:rFonts w:ascii="Calibri" w:hAnsi="Calibri" w:cs="Calibri"/>
          <w:sz w:val="24"/>
          <w:szCs w:val="24"/>
        </w:rPr>
        <w:t>s</w:t>
      </w:r>
      <w:r w:rsidRPr="00326265">
        <w:rPr>
          <w:rFonts w:ascii="Calibri" w:hAnsi="Calibri" w:cs="Calibri"/>
          <w:sz w:val="24"/>
          <w:szCs w:val="24"/>
        </w:rPr>
        <w:t>ed MCS escalation</w:t>
      </w:r>
      <w:r w:rsidR="00EE31AC">
        <w:rPr>
          <w:rFonts w:ascii="Calibri" w:hAnsi="Calibri" w:cs="Calibri"/>
          <w:sz w:val="24"/>
          <w:szCs w:val="24"/>
        </w:rPr>
        <w:t xml:space="preserve">. </w:t>
      </w:r>
      <w:r w:rsidR="00E42E48">
        <w:rPr>
          <w:rFonts w:ascii="Calibri" w:hAnsi="Calibri" w:cs="Calibri"/>
          <w:sz w:val="24"/>
          <w:szCs w:val="24"/>
        </w:rPr>
        <w:t xml:space="preserve"> Using this strategy</w:t>
      </w:r>
      <w:r w:rsidR="00A77661">
        <w:rPr>
          <w:rFonts w:ascii="Calibri" w:hAnsi="Calibri" w:cs="Calibri"/>
          <w:sz w:val="24"/>
          <w:szCs w:val="24"/>
        </w:rPr>
        <w:t>, survival</w:t>
      </w:r>
      <w:r w:rsidR="00E42E48">
        <w:rPr>
          <w:rFonts w:ascii="Calibri" w:hAnsi="Calibri" w:cs="Calibri"/>
          <w:sz w:val="24"/>
          <w:szCs w:val="24"/>
        </w:rPr>
        <w:t xml:space="preserve"> </w:t>
      </w:r>
      <w:r w:rsidRPr="00326265">
        <w:rPr>
          <w:rFonts w:ascii="Calibri" w:hAnsi="Calibri" w:cs="Calibri"/>
          <w:sz w:val="24"/>
          <w:szCs w:val="24"/>
        </w:rPr>
        <w:t xml:space="preserve">improved from a historical 47% to 58% in </w:t>
      </w:r>
      <w:r w:rsidR="006E30A7">
        <w:rPr>
          <w:rFonts w:ascii="Calibri" w:hAnsi="Calibri" w:cs="Calibri"/>
          <w:sz w:val="24"/>
          <w:szCs w:val="24"/>
        </w:rPr>
        <w:t>first year</w:t>
      </w:r>
      <w:r w:rsidRPr="00326265">
        <w:rPr>
          <w:rFonts w:ascii="Calibri" w:hAnsi="Calibri" w:cs="Calibri"/>
          <w:sz w:val="24"/>
          <w:szCs w:val="24"/>
        </w:rPr>
        <w:t xml:space="preserve"> and 77% in</w:t>
      </w:r>
      <w:r w:rsidR="006E30A7">
        <w:rPr>
          <w:rFonts w:ascii="Calibri" w:hAnsi="Calibri" w:cs="Calibri"/>
          <w:sz w:val="24"/>
          <w:szCs w:val="24"/>
        </w:rPr>
        <w:t xml:space="preserve"> second year of </w:t>
      </w:r>
      <w:r w:rsidR="002C2E8A">
        <w:rPr>
          <w:rFonts w:ascii="Calibri" w:hAnsi="Calibri" w:cs="Calibri"/>
          <w:sz w:val="24"/>
          <w:szCs w:val="24"/>
        </w:rPr>
        <w:t>follow-up</w:t>
      </w:r>
      <w:r w:rsidR="00572724">
        <w:rPr>
          <w:rFonts w:ascii="Calibri" w:hAnsi="Calibri" w:cs="Calibri"/>
          <w:sz w:val="24"/>
          <w:szCs w:val="24"/>
          <w:vertAlign w:val="superscript"/>
        </w:rPr>
        <w:t>9</w:t>
      </w:r>
      <w:r w:rsidRPr="00326265">
        <w:rPr>
          <w:rFonts w:ascii="Calibri" w:hAnsi="Calibri" w:cs="Calibri"/>
          <w:sz w:val="24"/>
          <w:szCs w:val="24"/>
        </w:rPr>
        <w:t>.</w:t>
      </w:r>
      <w:r w:rsidR="008E3308">
        <w:rPr>
          <w:rFonts w:ascii="Calibri" w:hAnsi="Calibri" w:cs="Calibri"/>
          <w:sz w:val="24"/>
          <w:szCs w:val="24"/>
        </w:rPr>
        <w:t xml:space="preserve"> </w:t>
      </w:r>
      <w:proofErr w:type="spellStart"/>
      <w:r w:rsidRPr="00326265">
        <w:rPr>
          <w:rFonts w:ascii="Calibri" w:hAnsi="Calibri" w:cs="Calibri"/>
          <w:sz w:val="24"/>
          <w:szCs w:val="24"/>
        </w:rPr>
        <w:t>Hérion</w:t>
      </w:r>
      <w:proofErr w:type="spellEnd"/>
      <w:r w:rsidRPr="00326265">
        <w:rPr>
          <w:rFonts w:ascii="Calibri" w:hAnsi="Calibri" w:cs="Calibri"/>
          <w:sz w:val="24"/>
          <w:szCs w:val="24"/>
        </w:rPr>
        <w:t xml:space="preserve"> et al. </w:t>
      </w:r>
      <w:r w:rsidR="00760FC6" w:rsidRPr="00760FC6">
        <w:rPr>
          <w:rFonts w:ascii="Calibri" w:hAnsi="Calibri" w:cs="Calibri"/>
          <w:sz w:val="24"/>
          <w:szCs w:val="24"/>
          <w:vertAlign w:val="superscript"/>
        </w:rPr>
        <w:t>10</w:t>
      </w:r>
      <w:r w:rsidR="00760FC6">
        <w:rPr>
          <w:rFonts w:ascii="Calibri" w:hAnsi="Calibri" w:cs="Calibri"/>
          <w:sz w:val="24"/>
          <w:szCs w:val="24"/>
        </w:rPr>
        <w:t xml:space="preserve"> </w:t>
      </w:r>
      <w:r w:rsidRPr="00760FC6">
        <w:rPr>
          <w:rFonts w:ascii="Calibri" w:hAnsi="Calibri" w:cs="Calibri"/>
          <w:sz w:val="24"/>
          <w:szCs w:val="24"/>
        </w:rPr>
        <w:t>reported</w:t>
      </w:r>
      <w:r w:rsidRPr="00326265">
        <w:rPr>
          <w:rFonts w:ascii="Calibri" w:hAnsi="Calibri" w:cs="Calibri"/>
          <w:sz w:val="24"/>
          <w:szCs w:val="24"/>
        </w:rPr>
        <w:t xml:space="preserve"> </w:t>
      </w:r>
      <w:r w:rsidR="00CA02BD" w:rsidRPr="00CA02BD">
        <w:rPr>
          <w:rFonts w:ascii="Calibri" w:hAnsi="Calibri" w:cs="Calibri"/>
          <w:sz w:val="24"/>
          <w:szCs w:val="24"/>
        </w:rPr>
        <w:t>improved 1-year survival rates (59% vs. 45%)</w:t>
      </w:r>
      <w:r w:rsidR="00CA02BD">
        <w:rPr>
          <w:rFonts w:ascii="Calibri" w:hAnsi="Calibri" w:cs="Calibri"/>
          <w:sz w:val="24"/>
          <w:szCs w:val="24"/>
        </w:rPr>
        <w:t xml:space="preserve"> through a </w:t>
      </w:r>
      <w:r w:rsidR="00CA02BD" w:rsidRPr="00CA02BD">
        <w:rPr>
          <w:rFonts w:ascii="Calibri" w:hAnsi="Calibri" w:cs="Calibri"/>
          <w:sz w:val="24"/>
          <w:szCs w:val="24"/>
        </w:rPr>
        <w:t>mult</w:t>
      </w:r>
      <w:r w:rsidR="006F0339">
        <w:rPr>
          <w:rFonts w:ascii="Calibri" w:hAnsi="Calibri" w:cs="Calibri"/>
          <w:sz w:val="24"/>
          <w:szCs w:val="24"/>
        </w:rPr>
        <w:t>i-specialty</w:t>
      </w:r>
      <w:r w:rsidR="00CA02BD" w:rsidRPr="00CA02BD">
        <w:rPr>
          <w:rFonts w:ascii="Calibri" w:hAnsi="Calibri" w:cs="Calibri"/>
          <w:sz w:val="24"/>
          <w:szCs w:val="24"/>
        </w:rPr>
        <w:t xml:space="preserve"> shock team-based decision for MCS implantation in </w:t>
      </w:r>
      <w:r w:rsidR="00A26AB8">
        <w:rPr>
          <w:rFonts w:ascii="Calibri" w:hAnsi="Calibri" w:cs="Calibri"/>
          <w:sz w:val="24"/>
          <w:szCs w:val="24"/>
        </w:rPr>
        <w:t xml:space="preserve">refractory CS. </w:t>
      </w:r>
      <w:r w:rsidR="001A130D" w:rsidRPr="001A130D">
        <w:rPr>
          <w:rFonts w:ascii="Calibri" w:hAnsi="Calibri" w:cs="Calibri"/>
          <w:sz w:val="24"/>
          <w:szCs w:val="24"/>
        </w:rPr>
        <w:t xml:space="preserve">Furthermore, a multi-centre </w:t>
      </w:r>
      <w:r w:rsidR="001A130D" w:rsidRPr="001A130D">
        <w:rPr>
          <w:rFonts w:ascii="Calibri" w:hAnsi="Calibri" w:cs="Calibri"/>
          <w:sz w:val="24"/>
          <w:szCs w:val="24"/>
        </w:rPr>
        <w:lastRenderedPageBreak/>
        <w:t>observational study involving 1,242 patients across sites in Canada and the United States found that hospitals with dedicated shock teams had significantly lower cardiac ICU mortality rates (23% vs. 29%, p = 0.025) and a reduced need for invasive mechanical ventilation (41% vs. 52%, p &lt; 0.001)</w:t>
      </w:r>
      <w:r w:rsidR="00C702DD">
        <w:rPr>
          <w:rFonts w:ascii="Calibri" w:hAnsi="Calibri" w:cs="Calibri"/>
          <w:sz w:val="24"/>
          <w:szCs w:val="24"/>
          <w:vertAlign w:val="superscript"/>
        </w:rPr>
        <w:t>11</w:t>
      </w:r>
      <w:r w:rsidR="001A130D" w:rsidRPr="001A130D">
        <w:rPr>
          <w:rFonts w:ascii="Calibri" w:hAnsi="Calibri" w:cs="Calibri"/>
          <w:sz w:val="24"/>
          <w:szCs w:val="24"/>
        </w:rPr>
        <w:t xml:space="preserve">. </w:t>
      </w:r>
      <w:r w:rsidR="00C702DD">
        <w:rPr>
          <w:rFonts w:ascii="Calibri" w:hAnsi="Calibri" w:cs="Calibri"/>
          <w:sz w:val="24"/>
          <w:szCs w:val="24"/>
        </w:rPr>
        <w:t xml:space="preserve">Of interest, </w:t>
      </w:r>
      <w:r w:rsidR="008F236F">
        <w:rPr>
          <w:rFonts w:ascii="Calibri" w:hAnsi="Calibri" w:cs="Calibri"/>
          <w:sz w:val="24"/>
          <w:szCs w:val="24"/>
        </w:rPr>
        <w:t xml:space="preserve">centres with shock teams were </w:t>
      </w:r>
      <w:r w:rsidR="00966767" w:rsidRPr="00966767">
        <w:rPr>
          <w:rFonts w:ascii="Calibri" w:hAnsi="Calibri" w:cs="Calibri"/>
          <w:sz w:val="24"/>
          <w:szCs w:val="24"/>
        </w:rPr>
        <w:t xml:space="preserve">more likely to use PAC-guided </w:t>
      </w:r>
      <w:proofErr w:type="spellStart"/>
      <w:r w:rsidR="00966767" w:rsidRPr="00966767">
        <w:rPr>
          <w:rFonts w:ascii="Calibri" w:hAnsi="Calibri" w:cs="Calibri"/>
          <w:sz w:val="24"/>
          <w:szCs w:val="24"/>
        </w:rPr>
        <w:t>h</w:t>
      </w:r>
      <w:r w:rsidR="000D4579">
        <w:rPr>
          <w:rFonts w:ascii="Calibri" w:hAnsi="Calibri" w:cs="Calibri"/>
          <w:sz w:val="24"/>
          <w:szCs w:val="24"/>
        </w:rPr>
        <w:t>a</w:t>
      </w:r>
      <w:r w:rsidR="00966767" w:rsidRPr="00966767">
        <w:rPr>
          <w:rFonts w:ascii="Calibri" w:hAnsi="Calibri" w:cs="Calibri"/>
          <w:sz w:val="24"/>
          <w:szCs w:val="24"/>
        </w:rPr>
        <w:t>emodynamics</w:t>
      </w:r>
      <w:proofErr w:type="spellEnd"/>
      <w:r w:rsidR="00966767" w:rsidRPr="00966767">
        <w:rPr>
          <w:rFonts w:ascii="Calibri" w:hAnsi="Calibri" w:cs="Calibri"/>
          <w:sz w:val="24"/>
          <w:szCs w:val="24"/>
        </w:rPr>
        <w:t xml:space="preserve"> and advanced MCS</w:t>
      </w:r>
      <w:r w:rsidR="00966767">
        <w:rPr>
          <w:rFonts w:ascii="Calibri" w:hAnsi="Calibri" w:cs="Calibri"/>
          <w:sz w:val="24"/>
          <w:szCs w:val="24"/>
        </w:rPr>
        <w:t xml:space="preserve">. </w:t>
      </w:r>
    </w:p>
    <w:p w14:paraId="0B18713E" w14:textId="0BCF67F1" w:rsidR="00105418" w:rsidRPr="00397B28" w:rsidRDefault="007C040A" w:rsidP="00326265">
      <w:pPr>
        <w:spacing w:line="480" w:lineRule="auto"/>
        <w:jc w:val="both"/>
        <w:rPr>
          <w:rFonts w:ascii="Calibri" w:hAnsi="Calibri" w:cs="Calibri"/>
          <w:sz w:val="24"/>
          <w:szCs w:val="24"/>
        </w:rPr>
      </w:pPr>
      <w:r w:rsidRPr="007C040A">
        <w:rPr>
          <w:rFonts w:ascii="Calibri" w:hAnsi="Calibri" w:cs="Calibri"/>
          <w:sz w:val="24"/>
          <w:szCs w:val="24"/>
        </w:rPr>
        <w:t xml:space="preserve">ACT-SHOCK differs from prior shock-team studies in several important respects. Care was delivered in general ICUs rather than dedicated cardiac ICUs, the pathway was physiologically triggered rather than PAC-guided, and overall advanced MCS utilisation was low (Impella 14%, </w:t>
      </w:r>
      <w:r w:rsidR="00185CDF">
        <w:rPr>
          <w:rFonts w:ascii="Calibri" w:hAnsi="Calibri" w:cs="Calibri"/>
          <w:sz w:val="24"/>
          <w:szCs w:val="24"/>
        </w:rPr>
        <w:t xml:space="preserve">ECMO </w:t>
      </w:r>
      <w:r w:rsidRPr="007C040A">
        <w:rPr>
          <w:rFonts w:ascii="Calibri" w:hAnsi="Calibri" w:cs="Calibri"/>
          <w:sz w:val="24"/>
          <w:szCs w:val="24"/>
        </w:rPr>
        <w:t xml:space="preserve">6%). Despite these differences, a substantial proportion of patients presented with severe shock (SCAI stages D or E, 62.1%) </w:t>
      </w:r>
      <w:r w:rsidR="0048033C">
        <w:rPr>
          <w:rFonts w:ascii="Calibri" w:hAnsi="Calibri" w:cs="Calibri"/>
          <w:sz w:val="24"/>
          <w:szCs w:val="24"/>
        </w:rPr>
        <w:t>and out-of-hospital cardiac arrest (</w:t>
      </w:r>
      <w:r w:rsidR="00F85CFF">
        <w:rPr>
          <w:rFonts w:ascii="Calibri" w:hAnsi="Calibri" w:cs="Calibri"/>
          <w:sz w:val="24"/>
          <w:szCs w:val="24"/>
        </w:rPr>
        <w:t>34.1</w:t>
      </w:r>
      <w:r w:rsidR="0048033C">
        <w:rPr>
          <w:rFonts w:ascii="Calibri" w:hAnsi="Calibri" w:cs="Calibri"/>
          <w:sz w:val="24"/>
          <w:szCs w:val="24"/>
        </w:rPr>
        <w:t xml:space="preserve">%) </w:t>
      </w:r>
      <w:r w:rsidRPr="007C040A">
        <w:rPr>
          <w:rFonts w:ascii="Calibri" w:hAnsi="Calibri" w:cs="Calibri"/>
          <w:sz w:val="24"/>
          <w:szCs w:val="24"/>
        </w:rPr>
        <w:t>during the ACT era, indicating that the pathway captured a meaningful high-risk population</w:t>
      </w:r>
      <w:r>
        <w:rPr>
          <w:rFonts w:ascii="Calibri" w:hAnsi="Calibri" w:cs="Calibri"/>
          <w:sz w:val="24"/>
          <w:szCs w:val="24"/>
        </w:rPr>
        <w:t xml:space="preserve">. </w:t>
      </w:r>
      <w:r w:rsidR="00EB5E6C" w:rsidRPr="00EB5E6C">
        <w:rPr>
          <w:rFonts w:ascii="Calibri" w:hAnsi="Calibri" w:cs="Calibri"/>
          <w:sz w:val="24"/>
          <w:szCs w:val="24"/>
        </w:rPr>
        <w:t xml:space="preserve">While prior studies have emphasised early deployment of MCS and invasive </w:t>
      </w:r>
      <w:proofErr w:type="spellStart"/>
      <w:r w:rsidR="00EB5E6C" w:rsidRPr="00EB5E6C">
        <w:rPr>
          <w:rFonts w:ascii="Calibri" w:hAnsi="Calibri" w:cs="Calibri"/>
          <w:sz w:val="24"/>
          <w:szCs w:val="24"/>
        </w:rPr>
        <w:t>haemodynamics</w:t>
      </w:r>
      <w:proofErr w:type="spellEnd"/>
      <w:r w:rsidR="00EB5E6C" w:rsidRPr="00EB5E6C">
        <w:rPr>
          <w:rFonts w:ascii="Calibri" w:hAnsi="Calibri" w:cs="Calibri"/>
          <w:sz w:val="24"/>
          <w:szCs w:val="24"/>
        </w:rPr>
        <w:t>, such strategies may not be feasible or widely accessible in many healthcare systems. In contrast, the ACT pathway adopts a holistic, multi</w:t>
      </w:r>
      <w:r w:rsidR="006F0339">
        <w:rPr>
          <w:rFonts w:ascii="Calibri" w:hAnsi="Calibri" w:cs="Calibri"/>
          <w:sz w:val="24"/>
          <w:szCs w:val="24"/>
        </w:rPr>
        <w:t>-specialty</w:t>
      </w:r>
      <w:r w:rsidR="00EB5E6C" w:rsidRPr="00EB5E6C">
        <w:rPr>
          <w:rFonts w:ascii="Calibri" w:hAnsi="Calibri" w:cs="Calibri"/>
          <w:sz w:val="24"/>
          <w:szCs w:val="24"/>
        </w:rPr>
        <w:t xml:space="preserve"> approach that prioritises systematic triage, timely recognition, and coordinated care rather than device-based escalation. Importantly, although conducted in a tertiary cardiac centre, anaesthesia and intensive care input was provided by generalists without specific cardiac subspecialty training, and patients requiring ICU care were managed in a general ICU.</w:t>
      </w:r>
    </w:p>
    <w:p w14:paraId="1B53FEC7" w14:textId="2D69905C" w:rsidR="00291373" w:rsidRPr="00291373" w:rsidRDefault="00397B28" w:rsidP="00210CF0">
      <w:pPr>
        <w:spacing w:line="480" w:lineRule="auto"/>
        <w:jc w:val="both"/>
        <w:rPr>
          <w:rFonts w:ascii="Calibri" w:hAnsi="Calibri" w:cs="Calibri"/>
          <w:sz w:val="24"/>
          <w:szCs w:val="24"/>
        </w:rPr>
      </w:pPr>
      <w:r w:rsidRPr="00397B28">
        <w:rPr>
          <w:rFonts w:ascii="Calibri" w:hAnsi="Calibri" w:cs="Calibri"/>
          <w:sz w:val="24"/>
          <w:szCs w:val="24"/>
        </w:rPr>
        <w:t xml:space="preserve">The observed benefit appears to relate to the early phase of care, with the ACT pathway facilitating structured recognition of shock, timely escalation, and physiological stabilisation. This is supported by a lower proportion of patients presenting in SCAI stage E, appropriate escalation from CCU to ICU, and a reduced likelihood of remaining in severe shock at 24 hours among ACT-managed survivors. Sensitivity analyses restricted to patients with advanced </w:t>
      </w:r>
      <w:r w:rsidRPr="00397B28">
        <w:rPr>
          <w:rFonts w:ascii="Calibri" w:hAnsi="Calibri" w:cs="Calibri"/>
          <w:sz w:val="24"/>
          <w:szCs w:val="24"/>
        </w:rPr>
        <w:lastRenderedPageBreak/>
        <w:t>shock (SCAI stages D/E) confirmed that the association with improved 1-year survival was not driven by inclusion of less severe cases.</w:t>
      </w:r>
      <w:r>
        <w:rPr>
          <w:rFonts w:ascii="Calibri" w:hAnsi="Calibri" w:cs="Calibri"/>
          <w:sz w:val="24"/>
          <w:szCs w:val="24"/>
        </w:rPr>
        <w:t xml:space="preserve"> </w:t>
      </w:r>
      <w:r w:rsidRPr="00397B28">
        <w:rPr>
          <w:rFonts w:ascii="Calibri" w:hAnsi="Calibri" w:cs="Calibri"/>
          <w:sz w:val="24"/>
          <w:szCs w:val="24"/>
        </w:rPr>
        <w:t xml:space="preserve">The absence of an independent association with 30-day mortality, together with neutral landmark analyses, suggests that the principal effect of ACT occurs early by limiting progression to irreversible shock. </w:t>
      </w:r>
      <w:r w:rsidR="009A2064" w:rsidRPr="009A2064">
        <w:rPr>
          <w:rFonts w:ascii="Calibri" w:hAnsi="Calibri" w:cs="Calibri"/>
          <w:sz w:val="24"/>
          <w:szCs w:val="24"/>
        </w:rPr>
        <w:t>This temporal pattern likely reflects the natural history of AMI-related cardiogenic shock. Early mortality is predominantly driven by irreversible myocardial injury, severe metabolic derangement, and rapid progression to multi-organ failure, which may be insufficiently modifiable at presentation</w:t>
      </w:r>
      <w:r w:rsidR="00D47C78">
        <w:rPr>
          <w:rFonts w:ascii="Calibri" w:hAnsi="Calibri" w:cs="Calibri"/>
          <w:sz w:val="24"/>
          <w:szCs w:val="24"/>
          <w:vertAlign w:val="superscript"/>
        </w:rPr>
        <w:t>12</w:t>
      </w:r>
      <w:r w:rsidR="009A2064" w:rsidRPr="009A2064">
        <w:rPr>
          <w:rFonts w:ascii="Calibri" w:hAnsi="Calibri" w:cs="Calibri"/>
          <w:sz w:val="24"/>
          <w:szCs w:val="24"/>
        </w:rPr>
        <w:t>. Patients who survive the initial high-risk period remain vulnerable to progressive cardiac failure and recurrent decompensation, contributing to late mortality. Similar patterns have been observed in prior cardiogenic shock studies, including the SHOCK trial</w:t>
      </w:r>
      <w:r w:rsidR="0059642C">
        <w:rPr>
          <w:rFonts w:ascii="Calibri" w:hAnsi="Calibri" w:cs="Calibri"/>
          <w:sz w:val="24"/>
          <w:szCs w:val="24"/>
          <w:vertAlign w:val="superscript"/>
        </w:rPr>
        <w:t>3</w:t>
      </w:r>
      <w:r w:rsidR="009A2064" w:rsidRPr="009A2064">
        <w:rPr>
          <w:rFonts w:ascii="Calibri" w:hAnsi="Calibri" w:cs="Calibri"/>
          <w:sz w:val="24"/>
          <w:szCs w:val="24"/>
        </w:rPr>
        <w:t xml:space="preserve">, in which early revascularisation conferred a survival advantage that emerged predominantly at longer-term follow-up, and the </w:t>
      </w:r>
      <w:proofErr w:type="spellStart"/>
      <w:r w:rsidR="009A2064" w:rsidRPr="009A2064">
        <w:rPr>
          <w:rFonts w:ascii="Calibri" w:hAnsi="Calibri" w:cs="Calibri"/>
          <w:sz w:val="24"/>
          <w:szCs w:val="24"/>
        </w:rPr>
        <w:t>DanGer</w:t>
      </w:r>
      <w:proofErr w:type="spellEnd"/>
      <w:r w:rsidR="009A2064" w:rsidRPr="009A2064">
        <w:rPr>
          <w:rFonts w:ascii="Calibri" w:hAnsi="Calibri" w:cs="Calibri"/>
          <w:sz w:val="24"/>
          <w:szCs w:val="24"/>
        </w:rPr>
        <w:t xml:space="preserve"> Shock trial</w:t>
      </w:r>
      <w:r w:rsidR="0059642C">
        <w:rPr>
          <w:rFonts w:ascii="Calibri" w:hAnsi="Calibri" w:cs="Calibri"/>
          <w:sz w:val="24"/>
          <w:szCs w:val="24"/>
          <w:vertAlign w:val="superscript"/>
        </w:rPr>
        <w:t>4</w:t>
      </w:r>
      <w:r w:rsidR="009A2064" w:rsidRPr="009A2064">
        <w:rPr>
          <w:rFonts w:ascii="Calibri" w:hAnsi="Calibri" w:cs="Calibri"/>
          <w:sz w:val="24"/>
          <w:szCs w:val="24"/>
        </w:rPr>
        <w:t>, where left ventricular unloading reduced 6-month mortality despite limited early separation of survival curves.</w:t>
      </w:r>
    </w:p>
    <w:p w14:paraId="2FFAAFA3" w14:textId="3BFBA5C9" w:rsidR="0024225F" w:rsidRDefault="006247E4" w:rsidP="00210CF0">
      <w:pPr>
        <w:spacing w:line="480" w:lineRule="auto"/>
        <w:jc w:val="both"/>
        <w:rPr>
          <w:rFonts w:ascii="Calibri" w:hAnsi="Calibri" w:cs="Calibri"/>
          <w:sz w:val="24"/>
          <w:szCs w:val="24"/>
        </w:rPr>
      </w:pPr>
      <w:r w:rsidRPr="00291373">
        <w:rPr>
          <w:rFonts w:ascii="Calibri" w:hAnsi="Calibri" w:cs="Calibri"/>
          <w:sz w:val="24"/>
          <w:szCs w:val="24"/>
        </w:rPr>
        <w:t xml:space="preserve">Managing CS remains a significant challenge, even within well-resourced healthcare systems. Despite advances in supportive therapies, outcomes remain poor, with high mortality and considerable morbidity, including organ failure and prolonged stays in </w:t>
      </w:r>
      <w:r w:rsidR="00731068" w:rsidRPr="00291373">
        <w:rPr>
          <w:rFonts w:ascii="Calibri" w:hAnsi="Calibri" w:cs="Calibri"/>
          <w:sz w:val="24"/>
          <w:szCs w:val="24"/>
        </w:rPr>
        <w:t>critical</w:t>
      </w:r>
      <w:r w:rsidRPr="00291373">
        <w:rPr>
          <w:rFonts w:ascii="Calibri" w:hAnsi="Calibri" w:cs="Calibri"/>
          <w:sz w:val="24"/>
          <w:szCs w:val="24"/>
        </w:rPr>
        <w:t xml:space="preserve"> care</w:t>
      </w:r>
      <w:r w:rsidR="00CB2BA1">
        <w:rPr>
          <w:rFonts w:ascii="Calibri" w:hAnsi="Calibri" w:cs="Calibri"/>
          <w:sz w:val="24"/>
          <w:szCs w:val="24"/>
          <w:vertAlign w:val="superscript"/>
        </w:rPr>
        <w:t>1</w:t>
      </w:r>
      <w:r w:rsidR="00D47C78">
        <w:rPr>
          <w:rFonts w:ascii="Calibri" w:hAnsi="Calibri" w:cs="Calibri"/>
          <w:sz w:val="24"/>
          <w:szCs w:val="24"/>
          <w:vertAlign w:val="superscript"/>
        </w:rPr>
        <w:t>3</w:t>
      </w:r>
      <w:r w:rsidRPr="00291373">
        <w:rPr>
          <w:rFonts w:ascii="Calibri" w:hAnsi="Calibri" w:cs="Calibri"/>
          <w:sz w:val="24"/>
          <w:szCs w:val="24"/>
        </w:rPr>
        <w:t xml:space="preserve">. </w:t>
      </w:r>
      <w:r w:rsidR="004019EC" w:rsidRPr="00291373">
        <w:rPr>
          <w:rFonts w:ascii="Calibri" w:hAnsi="Calibri" w:cs="Calibri"/>
          <w:color w:val="000000" w:themeColor="text1"/>
          <w:sz w:val="24"/>
          <w:szCs w:val="24"/>
        </w:rPr>
        <w:t xml:space="preserve">The median length of stay </w:t>
      </w:r>
      <w:r w:rsidR="002C3179" w:rsidRPr="00291373">
        <w:rPr>
          <w:rFonts w:ascii="Calibri" w:hAnsi="Calibri" w:cs="Calibri"/>
          <w:color w:val="000000" w:themeColor="text1"/>
          <w:sz w:val="24"/>
          <w:szCs w:val="24"/>
        </w:rPr>
        <w:t>in patients who survived the revascularisation procedure was</w:t>
      </w:r>
      <w:r w:rsidR="00FD6AD8" w:rsidRPr="00291373">
        <w:rPr>
          <w:rFonts w:ascii="Calibri" w:hAnsi="Calibri" w:cs="Calibri"/>
          <w:color w:val="000000" w:themeColor="text1"/>
          <w:sz w:val="24"/>
          <w:szCs w:val="24"/>
        </w:rPr>
        <w:t xml:space="preserve"> 11 days in the ACT group and </w:t>
      </w:r>
      <w:r w:rsidR="00792FF6" w:rsidRPr="00291373">
        <w:rPr>
          <w:rFonts w:ascii="Calibri" w:hAnsi="Calibri" w:cs="Calibri"/>
          <w:color w:val="000000" w:themeColor="text1"/>
          <w:sz w:val="24"/>
          <w:szCs w:val="24"/>
        </w:rPr>
        <w:t>9.5 days in the standard care cohort.</w:t>
      </w:r>
      <w:r w:rsidR="00792FF6" w:rsidRPr="00291373">
        <w:rPr>
          <w:rFonts w:ascii="Calibri" w:hAnsi="Calibri" w:cs="Calibri"/>
          <w:b/>
          <w:bCs/>
          <w:color w:val="000000" w:themeColor="text1"/>
          <w:sz w:val="24"/>
          <w:szCs w:val="24"/>
        </w:rPr>
        <w:t xml:space="preserve"> </w:t>
      </w:r>
      <w:r w:rsidRPr="00291373">
        <w:rPr>
          <w:rFonts w:ascii="Calibri" w:hAnsi="Calibri" w:cs="Calibri"/>
          <w:sz w:val="24"/>
          <w:szCs w:val="24"/>
        </w:rPr>
        <w:t xml:space="preserve">The limited success of </w:t>
      </w:r>
      <w:r w:rsidR="00EF3C21" w:rsidRPr="00291373">
        <w:rPr>
          <w:rFonts w:ascii="Calibri" w:hAnsi="Calibri" w:cs="Calibri"/>
          <w:sz w:val="24"/>
          <w:szCs w:val="24"/>
        </w:rPr>
        <w:t xml:space="preserve">vasoactive drugs and </w:t>
      </w:r>
      <w:r w:rsidRPr="00291373">
        <w:rPr>
          <w:rFonts w:ascii="Calibri" w:hAnsi="Calibri" w:cs="Calibri"/>
          <w:sz w:val="24"/>
          <w:szCs w:val="24"/>
        </w:rPr>
        <w:t xml:space="preserve">novel devices for CS in randomised clinical trials suggests that a </w:t>
      </w:r>
      <w:r w:rsidR="00731068" w:rsidRPr="00291373">
        <w:rPr>
          <w:rFonts w:ascii="Calibri" w:hAnsi="Calibri" w:cs="Calibri"/>
          <w:sz w:val="24"/>
          <w:szCs w:val="24"/>
        </w:rPr>
        <w:t xml:space="preserve">single approach </w:t>
      </w:r>
      <w:r w:rsidRPr="00291373">
        <w:rPr>
          <w:rFonts w:ascii="Calibri" w:hAnsi="Calibri" w:cs="Calibri"/>
          <w:sz w:val="24"/>
          <w:szCs w:val="24"/>
        </w:rPr>
        <w:t>strategy is insufficient</w:t>
      </w:r>
      <w:r w:rsidR="003925A9" w:rsidRPr="00291373">
        <w:rPr>
          <w:rFonts w:ascii="Calibri" w:hAnsi="Calibri" w:cs="Calibri"/>
          <w:sz w:val="24"/>
          <w:szCs w:val="24"/>
          <w:vertAlign w:val="superscript"/>
        </w:rPr>
        <w:t xml:space="preserve"> 1</w:t>
      </w:r>
      <w:r w:rsidR="00D47C78">
        <w:rPr>
          <w:rFonts w:ascii="Calibri" w:hAnsi="Calibri" w:cs="Calibri"/>
          <w:sz w:val="24"/>
          <w:szCs w:val="24"/>
          <w:vertAlign w:val="superscript"/>
        </w:rPr>
        <w:t>4</w:t>
      </w:r>
      <w:r w:rsidR="003925A9" w:rsidRPr="00291373">
        <w:rPr>
          <w:rFonts w:ascii="Calibri" w:hAnsi="Calibri" w:cs="Calibri"/>
          <w:sz w:val="24"/>
          <w:szCs w:val="24"/>
          <w:vertAlign w:val="superscript"/>
        </w:rPr>
        <w:t>,1</w:t>
      </w:r>
      <w:r w:rsidR="00D47C78">
        <w:rPr>
          <w:rFonts w:ascii="Calibri" w:hAnsi="Calibri" w:cs="Calibri"/>
          <w:sz w:val="24"/>
          <w:szCs w:val="24"/>
          <w:vertAlign w:val="superscript"/>
        </w:rPr>
        <w:t>6</w:t>
      </w:r>
      <w:r w:rsidR="003925A9" w:rsidRPr="00291373">
        <w:rPr>
          <w:rFonts w:ascii="Calibri" w:hAnsi="Calibri" w:cs="Calibri"/>
          <w:sz w:val="24"/>
          <w:szCs w:val="24"/>
          <w:vertAlign w:val="superscript"/>
        </w:rPr>
        <w:t>,1</w:t>
      </w:r>
      <w:r w:rsidR="00D47C78">
        <w:rPr>
          <w:rFonts w:ascii="Calibri" w:hAnsi="Calibri" w:cs="Calibri"/>
          <w:sz w:val="24"/>
          <w:szCs w:val="24"/>
          <w:vertAlign w:val="superscript"/>
        </w:rPr>
        <w:t>6</w:t>
      </w:r>
      <w:r w:rsidRPr="00291373">
        <w:rPr>
          <w:rFonts w:ascii="Calibri" w:hAnsi="Calibri" w:cs="Calibri"/>
          <w:sz w:val="24"/>
          <w:szCs w:val="24"/>
        </w:rPr>
        <w:t xml:space="preserve">. </w:t>
      </w:r>
      <w:r w:rsidR="004D0D80" w:rsidRPr="00291373">
        <w:rPr>
          <w:rFonts w:ascii="Calibri" w:hAnsi="Calibri" w:cs="Calibri"/>
          <w:sz w:val="24"/>
          <w:szCs w:val="24"/>
        </w:rPr>
        <w:t xml:space="preserve">Protocolised recognition of shock using key physiological variables to activate a specialist shock team and provide more standardised, patient-centred care offers a promising alternative. </w:t>
      </w:r>
      <w:r w:rsidR="002631B1" w:rsidRPr="00291373">
        <w:rPr>
          <w:rFonts w:ascii="Calibri" w:hAnsi="Calibri" w:cs="Calibri"/>
          <w:sz w:val="24"/>
          <w:szCs w:val="24"/>
        </w:rPr>
        <w:t>As shown in</w:t>
      </w:r>
      <w:r w:rsidR="00996EAB">
        <w:rPr>
          <w:rFonts w:ascii="Calibri" w:hAnsi="Calibri" w:cs="Calibri"/>
          <w:sz w:val="24"/>
          <w:szCs w:val="24"/>
        </w:rPr>
        <w:t xml:space="preserve"> supplementary figure 2</w:t>
      </w:r>
      <w:r w:rsidR="002631B1" w:rsidRPr="00291373">
        <w:rPr>
          <w:rFonts w:ascii="Calibri" w:hAnsi="Calibri" w:cs="Calibri"/>
          <w:sz w:val="24"/>
          <w:szCs w:val="24"/>
        </w:rPr>
        <w:t xml:space="preserve">, survival differs markedly by SCAI stage, with patients in stages B and C experiencing significantly lower mortality compared with those in stages D and E. However, once patients reached stage D or </w:t>
      </w:r>
      <w:r w:rsidR="002631B1" w:rsidRPr="00291373">
        <w:rPr>
          <w:rFonts w:ascii="Calibri" w:hAnsi="Calibri" w:cs="Calibri"/>
          <w:sz w:val="24"/>
          <w:szCs w:val="24"/>
        </w:rPr>
        <w:lastRenderedPageBreak/>
        <w:t xml:space="preserve">E, the benefit from ACT appeared to reduce, which aligns with the notion that early </w:t>
      </w:r>
      <w:r w:rsidR="001B78BB">
        <w:rPr>
          <w:rFonts w:ascii="Calibri" w:hAnsi="Calibri" w:cs="Calibri"/>
          <w:sz w:val="24"/>
          <w:szCs w:val="24"/>
        </w:rPr>
        <w:t xml:space="preserve">identification and </w:t>
      </w:r>
      <w:r w:rsidR="002631B1" w:rsidRPr="00291373">
        <w:rPr>
          <w:rFonts w:ascii="Calibri" w:hAnsi="Calibri" w:cs="Calibri"/>
          <w:sz w:val="24"/>
          <w:szCs w:val="24"/>
        </w:rPr>
        <w:t>intervention is crucial to improving outcomes in cardiogenic shock (</w:t>
      </w:r>
      <w:r w:rsidR="00996EAB">
        <w:rPr>
          <w:rFonts w:ascii="Calibri" w:hAnsi="Calibri" w:cs="Calibri"/>
          <w:sz w:val="24"/>
          <w:szCs w:val="24"/>
        </w:rPr>
        <w:t>Supplementary figure 2</w:t>
      </w:r>
      <w:r w:rsidR="002631B1" w:rsidRPr="00291373">
        <w:rPr>
          <w:rFonts w:ascii="Calibri" w:hAnsi="Calibri" w:cs="Calibri"/>
          <w:sz w:val="24"/>
          <w:szCs w:val="24"/>
        </w:rPr>
        <w:t>).</w:t>
      </w:r>
    </w:p>
    <w:p w14:paraId="0F40B6CB" w14:textId="77777777" w:rsidR="007E772E" w:rsidRDefault="007E772E" w:rsidP="00210CF0">
      <w:pPr>
        <w:spacing w:line="480" w:lineRule="auto"/>
        <w:jc w:val="both"/>
        <w:rPr>
          <w:rFonts w:ascii="Calibri" w:hAnsi="Calibri" w:cs="Calibri"/>
          <w:sz w:val="24"/>
          <w:szCs w:val="24"/>
        </w:rPr>
      </w:pPr>
    </w:p>
    <w:p w14:paraId="78B2F369" w14:textId="77777777" w:rsidR="006B792A" w:rsidRPr="006B792A" w:rsidRDefault="006B792A" w:rsidP="006B792A">
      <w:pPr>
        <w:spacing w:line="480" w:lineRule="auto"/>
        <w:jc w:val="both"/>
        <w:rPr>
          <w:rFonts w:ascii="Calibri" w:hAnsi="Calibri" w:cs="Calibri"/>
          <w:b/>
          <w:bCs/>
          <w:sz w:val="24"/>
          <w:szCs w:val="24"/>
        </w:rPr>
      </w:pPr>
      <w:r w:rsidRPr="006B792A">
        <w:rPr>
          <w:rFonts w:ascii="Calibri" w:hAnsi="Calibri" w:cs="Calibri"/>
          <w:b/>
          <w:bCs/>
          <w:sz w:val="24"/>
          <w:szCs w:val="24"/>
        </w:rPr>
        <w:t>Implementation and generalisability:</w:t>
      </w:r>
    </w:p>
    <w:p w14:paraId="3BCA36D6" w14:textId="63F00F3F" w:rsidR="00FB4AA2" w:rsidRDefault="006B792A" w:rsidP="008D7C49">
      <w:pPr>
        <w:spacing w:line="480" w:lineRule="auto"/>
        <w:rPr>
          <w:rFonts w:ascii="Calibri" w:hAnsi="Calibri" w:cs="Calibri"/>
          <w:sz w:val="24"/>
          <w:szCs w:val="24"/>
        </w:rPr>
      </w:pPr>
      <w:r w:rsidRPr="007E772E">
        <w:rPr>
          <w:rFonts w:ascii="Calibri" w:hAnsi="Calibri" w:cs="Calibri"/>
          <w:sz w:val="24"/>
          <w:szCs w:val="24"/>
        </w:rPr>
        <w:t>While structured cardiogenic shock teams have shown promise, several factors may limit their adoption in some settings, including staffing constraints, variability in local infrastructure, and institutional resistance to multi</w:t>
      </w:r>
      <w:r w:rsidR="006F0339">
        <w:rPr>
          <w:rFonts w:ascii="Calibri" w:hAnsi="Calibri" w:cs="Calibri"/>
          <w:sz w:val="24"/>
          <w:szCs w:val="24"/>
        </w:rPr>
        <w:t>-specialty</w:t>
      </w:r>
      <w:r w:rsidRPr="007E772E">
        <w:rPr>
          <w:rFonts w:ascii="Calibri" w:hAnsi="Calibri" w:cs="Calibri"/>
          <w:sz w:val="24"/>
          <w:szCs w:val="24"/>
        </w:rPr>
        <w:t xml:space="preserve"> collaboration. Importantly, the ACT pathway is designed to be implementable across a broad range of hospitals, including district general hospitals, rather than relying on centralisation in tertiary centres. It uses simple physiological triggers for early recognition, structured multi</w:t>
      </w:r>
      <w:r w:rsidR="00175A13">
        <w:rPr>
          <w:rFonts w:ascii="Calibri" w:hAnsi="Calibri" w:cs="Calibri"/>
          <w:sz w:val="24"/>
          <w:szCs w:val="24"/>
        </w:rPr>
        <w:t>-specialty</w:t>
      </w:r>
      <w:r w:rsidRPr="007E772E">
        <w:rPr>
          <w:rFonts w:ascii="Calibri" w:hAnsi="Calibri" w:cs="Calibri"/>
          <w:sz w:val="24"/>
          <w:szCs w:val="24"/>
        </w:rPr>
        <w:t xml:space="preserve"> input, and timely escalation, without requiring routine invasive haemodynamic monitoring, advanced ICU infrastructure, or default mechanical circulatory support. These core principles can be applied in any PCI-capable centre with access to a general ICU, making the approach highly generalisable. Local adaptation may be needed for staffing and escalation logistics, but the pathway’s focus on early recognition and coordinated care provides a practical and scalable model. Given the single-centre, observational design involving AMI-related shock only, these findings remain hypothesis-generating and warrant validation in multicentre studies across diverse causes of shock.</w:t>
      </w:r>
    </w:p>
    <w:p w14:paraId="2B558B2F" w14:textId="77777777" w:rsidR="007E772E" w:rsidRPr="00291373" w:rsidRDefault="007E772E" w:rsidP="008D7C49">
      <w:pPr>
        <w:spacing w:line="480" w:lineRule="auto"/>
        <w:rPr>
          <w:rFonts w:ascii="Calibri" w:hAnsi="Calibri" w:cs="Calibri"/>
          <w:sz w:val="24"/>
          <w:szCs w:val="24"/>
        </w:rPr>
      </w:pPr>
    </w:p>
    <w:p w14:paraId="32F217A6" w14:textId="77777777" w:rsidR="008D7C49" w:rsidRPr="00291373" w:rsidRDefault="008D7C49" w:rsidP="008D7C49">
      <w:pPr>
        <w:spacing w:line="480" w:lineRule="auto"/>
        <w:rPr>
          <w:rFonts w:ascii="Calibri" w:hAnsi="Calibri" w:cs="Calibri"/>
          <w:b/>
          <w:bCs/>
          <w:sz w:val="24"/>
          <w:szCs w:val="24"/>
        </w:rPr>
      </w:pPr>
      <w:r w:rsidRPr="00291373">
        <w:rPr>
          <w:rFonts w:ascii="Calibri" w:hAnsi="Calibri" w:cs="Calibri"/>
          <w:b/>
          <w:bCs/>
          <w:sz w:val="24"/>
          <w:szCs w:val="24"/>
        </w:rPr>
        <w:t>Limitations</w:t>
      </w:r>
    </w:p>
    <w:p w14:paraId="1FA816E0" w14:textId="5919B74E" w:rsidR="00DD7373" w:rsidRPr="00DD7373" w:rsidRDefault="00DD7373" w:rsidP="00DD7373">
      <w:pPr>
        <w:spacing w:line="480" w:lineRule="auto"/>
        <w:jc w:val="both"/>
        <w:rPr>
          <w:rFonts w:ascii="Calibri" w:hAnsi="Calibri" w:cs="Calibri"/>
          <w:sz w:val="24"/>
          <w:szCs w:val="24"/>
        </w:rPr>
      </w:pPr>
      <w:r w:rsidRPr="00DD7373">
        <w:rPr>
          <w:rFonts w:ascii="Calibri" w:hAnsi="Calibri" w:cs="Calibri"/>
          <w:sz w:val="24"/>
          <w:szCs w:val="24"/>
        </w:rPr>
        <w:lastRenderedPageBreak/>
        <w:t xml:space="preserve">The retrospective observational design and restriction to AMI-related cardiogenic shock limit generalisability, and residual confounding cannot be excluded despite multivariable adjustment. </w:t>
      </w:r>
      <w:r w:rsidR="001842B2" w:rsidRPr="001842B2">
        <w:rPr>
          <w:rFonts w:ascii="Calibri" w:hAnsi="Calibri" w:cs="Calibri"/>
          <w:sz w:val="24"/>
          <w:szCs w:val="24"/>
        </w:rPr>
        <w:t xml:space="preserve">The modest sample size may have limited power to detect differences in 30-day mortality, raising the possibility of a type II error. </w:t>
      </w:r>
      <w:r w:rsidRPr="00DD7373">
        <w:rPr>
          <w:rFonts w:ascii="Calibri" w:hAnsi="Calibri" w:cs="Calibri"/>
          <w:sz w:val="24"/>
          <w:szCs w:val="24"/>
        </w:rPr>
        <w:t>Cohort identification differed between groups, with standard care patients identified from the BCIS audit, in which cardiogenic shock is coded at the discretion of the reporting operator, and ACT patients identified by pathway activation. This may have introduced selection bias, including a higher proportion of SCAI stage E presentations in the standard care cohort. Although analyses were adjusted for SCAI stage at first presentation, differences in case ascertainment remain a limitation.</w:t>
      </w:r>
    </w:p>
    <w:p w14:paraId="573886A8" w14:textId="61750F71" w:rsidR="00237064" w:rsidRDefault="00DD7373" w:rsidP="008D7C49">
      <w:pPr>
        <w:spacing w:line="480" w:lineRule="auto"/>
        <w:rPr>
          <w:rFonts w:ascii="Calibri" w:hAnsi="Calibri" w:cs="Calibri"/>
          <w:sz w:val="24"/>
          <w:szCs w:val="24"/>
        </w:rPr>
      </w:pPr>
      <w:r w:rsidRPr="00DD7373">
        <w:rPr>
          <w:rFonts w:ascii="Calibri" w:hAnsi="Calibri" w:cs="Calibri"/>
          <w:sz w:val="24"/>
          <w:szCs w:val="24"/>
        </w:rPr>
        <w:t>Routine invasive haemodynamic assessment was not performed, limiting physiological characterisation and the precision of shock staging, particularly at the more severe end of the spectrum. Landmark and sensitivity analyses reduce, but cannot fully eliminate, bias related to early deaths in extremis.</w:t>
      </w:r>
      <w:r w:rsidR="00EA6FEE">
        <w:rPr>
          <w:rFonts w:ascii="Calibri" w:hAnsi="Calibri" w:cs="Calibri"/>
          <w:sz w:val="24"/>
          <w:szCs w:val="24"/>
        </w:rPr>
        <w:t xml:space="preserve"> </w:t>
      </w:r>
      <w:r w:rsidRPr="00DD7373">
        <w:rPr>
          <w:rFonts w:ascii="Calibri" w:hAnsi="Calibri" w:cs="Calibri"/>
          <w:sz w:val="24"/>
          <w:szCs w:val="24"/>
        </w:rPr>
        <w:t>Data on cause-specific mortality, rehospitalisation, optimisation of guideline-directed medical therapy, and access to advanced heart failure therapies during follow-up were not available, limiting mechanistic interpretation of the observed 1-year survival difference. Finally, as early physiological recognition and multi</w:t>
      </w:r>
      <w:r w:rsidR="00175A13">
        <w:rPr>
          <w:rFonts w:ascii="Calibri" w:hAnsi="Calibri" w:cs="Calibri"/>
          <w:sz w:val="24"/>
          <w:szCs w:val="24"/>
        </w:rPr>
        <w:t>-specialty</w:t>
      </w:r>
      <w:r w:rsidRPr="00DD7373">
        <w:rPr>
          <w:rFonts w:ascii="Calibri" w:hAnsi="Calibri" w:cs="Calibri"/>
          <w:sz w:val="24"/>
          <w:szCs w:val="24"/>
        </w:rPr>
        <w:t xml:space="preserve"> team activation were implemented as an integrated care bundle, the independent contribution of each component cannot be determined; however, this reflects real-world practice, where these elements are likely to act synergistically.</w:t>
      </w:r>
    </w:p>
    <w:p w14:paraId="1C9DDA4E" w14:textId="77777777" w:rsidR="007D5477" w:rsidRPr="00291373" w:rsidRDefault="007D5477" w:rsidP="008D7C49">
      <w:pPr>
        <w:spacing w:line="480" w:lineRule="auto"/>
        <w:rPr>
          <w:rFonts w:ascii="Calibri" w:hAnsi="Calibri" w:cs="Calibri"/>
          <w:sz w:val="24"/>
          <w:szCs w:val="24"/>
        </w:rPr>
      </w:pPr>
    </w:p>
    <w:p w14:paraId="6C042CE3" w14:textId="7B9D28F0" w:rsidR="00B668C2" w:rsidRPr="00291373" w:rsidRDefault="009429FB" w:rsidP="008D7C49">
      <w:pPr>
        <w:spacing w:line="480" w:lineRule="auto"/>
        <w:rPr>
          <w:rFonts w:ascii="Calibri" w:hAnsi="Calibri" w:cs="Calibri"/>
          <w:sz w:val="24"/>
          <w:szCs w:val="24"/>
        </w:rPr>
      </w:pPr>
      <w:r w:rsidRPr="00291373">
        <w:rPr>
          <w:rFonts w:ascii="Calibri" w:hAnsi="Calibri" w:cs="Calibri"/>
          <w:b/>
          <w:bCs/>
          <w:sz w:val="24"/>
          <w:szCs w:val="24"/>
        </w:rPr>
        <w:t xml:space="preserve">Conclusion: </w:t>
      </w:r>
    </w:p>
    <w:p w14:paraId="3EB34D7C" w14:textId="62DE4089" w:rsidR="00210CF0" w:rsidRPr="00291373" w:rsidRDefault="001054B4" w:rsidP="001B298C">
      <w:pPr>
        <w:spacing w:line="480" w:lineRule="auto"/>
        <w:jc w:val="both"/>
        <w:rPr>
          <w:rFonts w:ascii="Calibri" w:hAnsi="Calibri" w:cs="Calibri"/>
          <w:b/>
          <w:bCs/>
          <w:sz w:val="24"/>
          <w:szCs w:val="24"/>
        </w:rPr>
      </w:pPr>
      <w:r w:rsidRPr="00291373">
        <w:rPr>
          <w:rFonts w:ascii="Calibri" w:hAnsi="Calibri" w:cs="Calibri"/>
          <w:sz w:val="24"/>
          <w:szCs w:val="24"/>
        </w:rPr>
        <w:t>The ACT-SHOCK service evaluation project demonstrate</w:t>
      </w:r>
      <w:r w:rsidR="000920EC" w:rsidRPr="00291373">
        <w:rPr>
          <w:rFonts w:ascii="Calibri" w:hAnsi="Calibri" w:cs="Calibri"/>
          <w:sz w:val="24"/>
          <w:szCs w:val="24"/>
        </w:rPr>
        <w:t>d</w:t>
      </w:r>
      <w:r w:rsidRPr="00291373">
        <w:rPr>
          <w:rFonts w:ascii="Calibri" w:hAnsi="Calibri" w:cs="Calibri"/>
          <w:sz w:val="24"/>
          <w:szCs w:val="24"/>
        </w:rPr>
        <w:t xml:space="preserve"> </w:t>
      </w:r>
      <w:r w:rsidR="000920EC" w:rsidRPr="00291373">
        <w:rPr>
          <w:rFonts w:ascii="Calibri" w:hAnsi="Calibri" w:cs="Calibri"/>
          <w:sz w:val="24"/>
          <w:szCs w:val="24"/>
        </w:rPr>
        <w:t>successful integration</w:t>
      </w:r>
      <w:r w:rsidRPr="00291373">
        <w:rPr>
          <w:rFonts w:ascii="Calibri" w:hAnsi="Calibri" w:cs="Calibri"/>
          <w:sz w:val="24"/>
          <w:szCs w:val="24"/>
        </w:rPr>
        <w:t xml:space="preserve"> of a multi</w:t>
      </w:r>
      <w:r w:rsidR="00175A13">
        <w:rPr>
          <w:rFonts w:ascii="Calibri" w:hAnsi="Calibri" w:cs="Calibri"/>
          <w:sz w:val="24"/>
          <w:szCs w:val="24"/>
        </w:rPr>
        <w:t>-specialty</w:t>
      </w:r>
      <w:r w:rsidRPr="00291373">
        <w:rPr>
          <w:rFonts w:ascii="Calibri" w:hAnsi="Calibri" w:cs="Calibri"/>
          <w:sz w:val="24"/>
          <w:szCs w:val="24"/>
        </w:rPr>
        <w:t xml:space="preserve"> cardiogenic shock team, activated by protocolised physiological criteria, within a UK </w:t>
      </w:r>
      <w:r w:rsidRPr="00291373">
        <w:rPr>
          <w:rFonts w:ascii="Calibri" w:hAnsi="Calibri" w:cs="Calibri"/>
          <w:sz w:val="24"/>
          <w:szCs w:val="24"/>
        </w:rPr>
        <w:lastRenderedPageBreak/>
        <w:t>tertiary cardiac centre. The findings suggest a potential 1-year survival benefit for patients with AMI-related cardiogenic shock undergoing urgent revascularisation, likely mediated through earlier detection of shock, timely escalation of care and coordinated multi</w:t>
      </w:r>
      <w:r w:rsidR="00175A13">
        <w:rPr>
          <w:rFonts w:ascii="Calibri" w:hAnsi="Calibri" w:cs="Calibri"/>
          <w:sz w:val="24"/>
          <w:szCs w:val="24"/>
        </w:rPr>
        <w:t>-</w:t>
      </w:r>
      <w:r w:rsidRPr="00291373">
        <w:rPr>
          <w:rFonts w:ascii="Calibri" w:hAnsi="Calibri" w:cs="Calibri"/>
          <w:sz w:val="24"/>
          <w:szCs w:val="24"/>
        </w:rPr>
        <w:t>specialty senior input.</w:t>
      </w:r>
      <w:r w:rsidR="000920EC" w:rsidRPr="00291373">
        <w:rPr>
          <w:rFonts w:ascii="Calibri" w:hAnsi="Calibri" w:cs="Calibri"/>
          <w:sz w:val="24"/>
          <w:szCs w:val="24"/>
        </w:rPr>
        <w:t xml:space="preserve"> </w:t>
      </w:r>
      <w:r w:rsidR="00136A1F" w:rsidRPr="00291373">
        <w:rPr>
          <w:rFonts w:ascii="Calibri" w:hAnsi="Calibri" w:cs="Calibri"/>
          <w:sz w:val="24"/>
          <w:szCs w:val="24"/>
        </w:rPr>
        <w:t>These encouraging pilot data highlight the need for a larger, multi-centre study involving other UK centres and encompassing a broader range of cardiogenic shock phenotypes, to inform national policy and support the standardisation of care pathways.</w:t>
      </w:r>
    </w:p>
    <w:p w14:paraId="6B8A672E" w14:textId="77777777" w:rsidR="00EB30A3" w:rsidRDefault="00EB30A3" w:rsidP="00EB30A3">
      <w:pPr>
        <w:spacing w:line="480" w:lineRule="auto"/>
        <w:jc w:val="both"/>
        <w:rPr>
          <w:rFonts w:ascii="Calibri" w:hAnsi="Calibri" w:cs="Calibri"/>
          <w:b/>
          <w:bCs/>
          <w:sz w:val="24"/>
          <w:szCs w:val="24"/>
          <w:lang w:val="es-ES"/>
        </w:rPr>
      </w:pPr>
    </w:p>
    <w:p w14:paraId="5C2B2EE5" w14:textId="77777777" w:rsidR="004F5BE5" w:rsidRDefault="004F5BE5" w:rsidP="00EB30A3">
      <w:pPr>
        <w:spacing w:line="480" w:lineRule="auto"/>
        <w:jc w:val="both"/>
        <w:rPr>
          <w:rFonts w:ascii="Calibri" w:hAnsi="Calibri" w:cs="Calibri"/>
          <w:b/>
          <w:bCs/>
          <w:sz w:val="24"/>
          <w:szCs w:val="24"/>
          <w:lang w:val="es-ES"/>
        </w:rPr>
      </w:pPr>
    </w:p>
    <w:p w14:paraId="0CEE3BE4" w14:textId="77777777" w:rsidR="004F5BE5" w:rsidRDefault="004F5BE5" w:rsidP="00EB30A3">
      <w:pPr>
        <w:spacing w:line="480" w:lineRule="auto"/>
        <w:jc w:val="both"/>
        <w:rPr>
          <w:rFonts w:ascii="Calibri" w:hAnsi="Calibri" w:cs="Calibri"/>
          <w:b/>
          <w:bCs/>
          <w:sz w:val="24"/>
          <w:szCs w:val="24"/>
          <w:lang w:val="es-ES"/>
        </w:rPr>
      </w:pPr>
    </w:p>
    <w:p w14:paraId="5EF21448" w14:textId="77777777" w:rsidR="007E772E" w:rsidRDefault="007E772E" w:rsidP="00EB30A3">
      <w:pPr>
        <w:spacing w:line="480" w:lineRule="auto"/>
        <w:jc w:val="both"/>
        <w:rPr>
          <w:rFonts w:ascii="Calibri" w:hAnsi="Calibri" w:cs="Calibri"/>
          <w:b/>
          <w:bCs/>
          <w:sz w:val="24"/>
          <w:szCs w:val="24"/>
          <w:lang w:val="es-ES"/>
        </w:rPr>
      </w:pPr>
    </w:p>
    <w:p w14:paraId="616F54D2" w14:textId="77777777" w:rsidR="007E772E" w:rsidRDefault="007E772E" w:rsidP="00EB30A3">
      <w:pPr>
        <w:spacing w:line="480" w:lineRule="auto"/>
        <w:jc w:val="both"/>
        <w:rPr>
          <w:rFonts w:ascii="Calibri" w:hAnsi="Calibri" w:cs="Calibri"/>
          <w:b/>
          <w:bCs/>
          <w:sz w:val="24"/>
          <w:szCs w:val="24"/>
          <w:lang w:val="es-ES"/>
        </w:rPr>
      </w:pPr>
    </w:p>
    <w:p w14:paraId="3654CB63" w14:textId="77777777" w:rsidR="007E772E" w:rsidRDefault="007E772E" w:rsidP="00EB30A3">
      <w:pPr>
        <w:spacing w:line="480" w:lineRule="auto"/>
        <w:jc w:val="both"/>
        <w:rPr>
          <w:rFonts w:ascii="Calibri" w:hAnsi="Calibri" w:cs="Calibri"/>
          <w:b/>
          <w:bCs/>
          <w:sz w:val="24"/>
          <w:szCs w:val="24"/>
          <w:lang w:val="es-ES"/>
        </w:rPr>
      </w:pPr>
    </w:p>
    <w:p w14:paraId="045D5ED5" w14:textId="77777777" w:rsidR="007E772E" w:rsidRDefault="007E772E" w:rsidP="00EB30A3">
      <w:pPr>
        <w:spacing w:line="480" w:lineRule="auto"/>
        <w:jc w:val="both"/>
        <w:rPr>
          <w:rFonts w:ascii="Calibri" w:hAnsi="Calibri" w:cs="Calibri"/>
          <w:b/>
          <w:bCs/>
          <w:sz w:val="24"/>
          <w:szCs w:val="24"/>
          <w:lang w:val="es-ES"/>
        </w:rPr>
      </w:pPr>
    </w:p>
    <w:p w14:paraId="43BD6344" w14:textId="77777777" w:rsidR="007E772E" w:rsidRDefault="007E772E" w:rsidP="00EB30A3">
      <w:pPr>
        <w:spacing w:line="480" w:lineRule="auto"/>
        <w:jc w:val="both"/>
        <w:rPr>
          <w:rFonts w:ascii="Calibri" w:hAnsi="Calibri" w:cs="Calibri"/>
          <w:b/>
          <w:bCs/>
          <w:sz w:val="24"/>
          <w:szCs w:val="24"/>
          <w:lang w:val="es-ES"/>
        </w:rPr>
      </w:pPr>
    </w:p>
    <w:p w14:paraId="0233BC6C" w14:textId="77777777" w:rsidR="007E772E" w:rsidRDefault="007E772E" w:rsidP="00EB30A3">
      <w:pPr>
        <w:spacing w:line="480" w:lineRule="auto"/>
        <w:jc w:val="both"/>
        <w:rPr>
          <w:rFonts w:ascii="Calibri" w:hAnsi="Calibri" w:cs="Calibri"/>
          <w:b/>
          <w:bCs/>
          <w:sz w:val="24"/>
          <w:szCs w:val="24"/>
          <w:lang w:val="es-ES"/>
        </w:rPr>
      </w:pPr>
    </w:p>
    <w:p w14:paraId="13D2A769" w14:textId="77777777" w:rsidR="007E772E" w:rsidRDefault="007E772E" w:rsidP="00EB30A3">
      <w:pPr>
        <w:spacing w:line="480" w:lineRule="auto"/>
        <w:jc w:val="both"/>
        <w:rPr>
          <w:rFonts w:ascii="Calibri" w:hAnsi="Calibri" w:cs="Calibri"/>
          <w:b/>
          <w:bCs/>
          <w:sz w:val="24"/>
          <w:szCs w:val="24"/>
          <w:lang w:val="es-ES"/>
        </w:rPr>
      </w:pPr>
    </w:p>
    <w:p w14:paraId="7ABEB214" w14:textId="77777777" w:rsidR="007E772E" w:rsidRDefault="007E772E" w:rsidP="00EB30A3">
      <w:pPr>
        <w:spacing w:line="480" w:lineRule="auto"/>
        <w:jc w:val="both"/>
        <w:rPr>
          <w:rFonts w:ascii="Calibri" w:hAnsi="Calibri" w:cs="Calibri"/>
          <w:b/>
          <w:bCs/>
          <w:sz w:val="24"/>
          <w:szCs w:val="24"/>
          <w:lang w:val="es-ES"/>
        </w:rPr>
      </w:pPr>
    </w:p>
    <w:p w14:paraId="2E93F252" w14:textId="77777777" w:rsidR="007E772E" w:rsidRDefault="007E772E" w:rsidP="00EB30A3">
      <w:pPr>
        <w:spacing w:line="480" w:lineRule="auto"/>
        <w:jc w:val="both"/>
        <w:rPr>
          <w:rFonts w:ascii="Calibri" w:hAnsi="Calibri" w:cs="Calibri"/>
          <w:b/>
          <w:bCs/>
          <w:sz w:val="24"/>
          <w:szCs w:val="24"/>
          <w:lang w:val="es-ES"/>
        </w:rPr>
      </w:pPr>
    </w:p>
    <w:p w14:paraId="5C52FD3B" w14:textId="77777777" w:rsidR="007E772E" w:rsidRDefault="007E772E" w:rsidP="00EB30A3">
      <w:pPr>
        <w:spacing w:line="480" w:lineRule="auto"/>
        <w:jc w:val="both"/>
        <w:rPr>
          <w:rFonts w:ascii="Calibri" w:hAnsi="Calibri" w:cs="Calibri"/>
          <w:b/>
          <w:bCs/>
          <w:sz w:val="24"/>
          <w:szCs w:val="24"/>
          <w:lang w:val="es-ES"/>
        </w:rPr>
      </w:pPr>
    </w:p>
    <w:p w14:paraId="1B906F00" w14:textId="77777777" w:rsidR="007E772E" w:rsidRDefault="007E772E" w:rsidP="00EB30A3">
      <w:pPr>
        <w:spacing w:line="480" w:lineRule="auto"/>
        <w:jc w:val="both"/>
        <w:rPr>
          <w:rFonts w:ascii="Calibri" w:hAnsi="Calibri" w:cs="Calibri"/>
          <w:b/>
          <w:bCs/>
          <w:sz w:val="24"/>
          <w:szCs w:val="24"/>
          <w:lang w:val="es-ES"/>
        </w:rPr>
      </w:pPr>
    </w:p>
    <w:p w14:paraId="419284C1" w14:textId="689E6F79" w:rsidR="00085BED" w:rsidRPr="00291373" w:rsidRDefault="00085BED" w:rsidP="0025095E">
      <w:pPr>
        <w:spacing w:line="480" w:lineRule="auto"/>
        <w:jc w:val="both"/>
        <w:rPr>
          <w:rFonts w:ascii="Calibri" w:hAnsi="Calibri" w:cs="Calibri"/>
          <w:b/>
          <w:bCs/>
          <w:sz w:val="24"/>
          <w:szCs w:val="24"/>
          <w:lang w:val="es-ES"/>
        </w:rPr>
      </w:pPr>
      <w:proofErr w:type="spellStart"/>
      <w:r w:rsidRPr="00291373">
        <w:rPr>
          <w:rFonts w:ascii="Calibri" w:hAnsi="Calibri" w:cs="Calibri"/>
          <w:b/>
          <w:bCs/>
          <w:sz w:val="24"/>
          <w:szCs w:val="24"/>
          <w:lang w:val="es-ES"/>
        </w:rPr>
        <w:lastRenderedPageBreak/>
        <w:t>References</w:t>
      </w:r>
      <w:proofErr w:type="spellEnd"/>
      <w:r w:rsidRPr="00291373">
        <w:rPr>
          <w:rFonts w:ascii="Calibri" w:hAnsi="Calibri" w:cs="Calibri"/>
          <w:b/>
          <w:bCs/>
          <w:sz w:val="24"/>
          <w:szCs w:val="24"/>
          <w:lang w:val="es-ES"/>
        </w:rPr>
        <w:t xml:space="preserve">: </w:t>
      </w:r>
    </w:p>
    <w:p w14:paraId="6D09C564"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w:t>
      </w:r>
      <w:r w:rsidRPr="0025095E">
        <w:rPr>
          <w:rFonts w:ascii="Calibri" w:hAnsi="Calibri" w:cs="Calibri"/>
        </w:rPr>
        <w:t xml:space="preserve"> Baran DA, Grines CL, Bailey S, et al. SCAI clinical expert consensus statement on the classification of cardiogenic shock. </w:t>
      </w:r>
      <w:r w:rsidRPr="0025095E">
        <w:rPr>
          <w:rStyle w:val="Emphasis"/>
          <w:rFonts w:ascii="Calibri" w:eastAsiaTheme="majorEastAsia" w:hAnsi="Calibri" w:cs="Calibri"/>
        </w:rPr>
        <w:t xml:space="preserve">Catheter Cardiovasc </w:t>
      </w:r>
      <w:proofErr w:type="spellStart"/>
      <w:r w:rsidRPr="0025095E">
        <w:rPr>
          <w:rStyle w:val="Emphasis"/>
          <w:rFonts w:ascii="Calibri" w:eastAsiaTheme="majorEastAsia" w:hAnsi="Calibri" w:cs="Calibri"/>
        </w:rPr>
        <w:t>Interv</w:t>
      </w:r>
      <w:proofErr w:type="spellEnd"/>
      <w:r w:rsidRPr="0025095E">
        <w:rPr>
          <w:rFonts w:ascii="Calibri" w:hAnsi="Calibri" w:cs="Calibri"/>
        </w:rPr>
        <w:t xml:space="preserve"> </w:t>
      </w:r>
      <w:proofErr w:type="gramStart"/>
      <w:r w:rsidRPr="0025095E">
        <w:rPr>
          <w:rFonts w:ascii="Calibri" w:hAnsi="Calibri" w:cs="Calibri"/>
        </w:rPr>
        <w:t>2019;94:29</w:t>
      </w:r>
      <w:proofErr w:type="gramEnd"/>
      <w:r w:rsidRPr="0025095E">
        <w:rPr>
          <w:rFonts w:ascii="Calibri" w:hAnsi="Calibri" w:cs="Calibri"/>
        </w:rPr>
        <w:t>–37.</w:t>
      </w:r>
    </w:p>
    <w:p w14:paraId="2AE682D1"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2.</w:t>
      </w:r>
      <w:r w:rsidRPr="0025095E">
        <w:rPr>
          <w:rFonts w:ascii="Calibri" w:hAnsi="Calibri" w:cs="Calibri"/>
        </w:rPr>
        <w:t xml:space="preserve"> Basir MB, Schreiber T, Grines CL, et al. Effect of early initiation of mechanical circulatory support on survival in cardiogenic shock. </w:t>
      </w:r>
      <w:r w:rsidRPr="0025095E">
        <w:rPr>
          <w:rStyle w:val="Emphasis"/>
          <w:rFonts w:ascii="Calibri" w:eastAsiaTheme="majorEastAsia" w:hAnsi="Calibri" w:cs="Calibri"/>
        </w:rPr>
        <w:t xml:space="preserve">Am J </w:t>
      </w:r>
      <w:proofErr w:type="spellStart"/>
      <w:r w:rsidRPr="0025095E">
        <w:rPr>
          <w:rStyle w:val="Emphasis"/>
          <w:rFonts w:ascii="Calibri" w:eastAsiaTheme="majorEastAsia" w:hAnsi="Calibri" w:cs="Calibri"/>
        </w:rPr>
        <w:t>Cardiol</w:t>
      </w:r>
      <w:proofErr w:type="spellEnd"/>
      <w:r w:rsidRPr="0025095E">
        <w:rPr>
          <w:rFonts w:ascii="Calibri" w:hAnsi="Calibri" w:cs="Calibri"/>
        </w:rPr>
        <w:t xml:space="preserve"> </w:t>
      </w:r>
      <w:proofErr w:type="gramStart"/>
      <w:r w:rsidRPr="0025095E">
        <w:rPr>
          <w:rFonts w:ascii="Calibri" w:hAnsi="Calibri" w:cs="Calibri"/>
        </w:rPr>
        <w:t>2019;124:676</w:t>
      </w:r>
      <w:proofErr w:type="gramEnd"/>
      <w:r w:rsidRPr="0025095E">
        <w:rPr>
          <w:rFonts w:ascii="Calibri" w:hAnsi="Calibri" w:cs="Calibri"/>
        </w:rPr>
        <w:t>–681.</w:t>
      </w:r>
    </w:p>
    <w:p w14:paraId="68355E92"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3.</w:t>
      </w:r>
      <w:r w:rsidRPr="0025095E">
        <w:rPr>
          <w:rFonts w:ascii="Calibri" w:hAnsi="Calibri" w:cs="Calibri"/>
        </w:rPr>
        <w:t xml:space="preserve"> Hochman JS, Sleeper LA, Webb JG, et al. Early revascularization in acute myocardial infarction complicated by cardiogenic shock. </w:t>
      </w:r>
      <w:r w:rsidRPr="0025095E">
        <w:rPr>
          <w:rStyle w:val="Emphasis"/>
          <w:rFonts w:ascii="Calibri" w:eastAsiaTheme="majorEastAsia" w:hAnsi="Calibri" w:cs="Calibri"/>
        </w:rPr>
        <w:t>N Engl J Med</w:t>
      </w:r>
      <w:r w:rsidRPr="0025095E">
        <w:rPr>
          <w:rFonts w:ascii="Calibri" w:hAnsi="Calibri" w:cs="Calibri"/>
        </w:rPr>
        <w:t xml:space="preserve"> </w:t>
      </w:r>
      <w:proofErr w:type="gramStart"/>
      <w:r w:rsidRPr="0025095E">
        <w:rPr>
          <w:rFonts w:ascii="Calibri" w:hAnsi="Calibri" w:cs="Calibri"/>
        </w:rPr>
        <w:t>1999;341:625</w:t>
      </w:r>
      <w:proofErr w:type="gramEnd"/>
      <w:r w:rsidRPr="0025095E">
        <w:rPr>
          <w:rFonts w:ascii="Calibri" w:hAnsi="Calibri" w:cs="Calibri"/>
        </w:rPr>
        <w:t>–634.</w:t>
      </w:r>
    </w:p>
    <w:p w14:paraId="6279EE4A"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4.</w:t>
      </w:r>
      <w:r w:rsidRPr="0025095E">
        <w:rPr>
          <w:rFonts w:ascii="Calibri" w:hAnsi="Calibri" w:cs="Calibri"/>
        </w:rPr>
        <w:t xml:space="preserve"> Møller JE, Engstrøm T, Jensen LO, et al. </w:t>
      </w:r>
      <w:proofErr w:type="spellStart"/>
      <w:r w:rsidRPr="0025095E">
        <w:rPr>
          <w:rFonts w:ascii="Calibri" w:hAnsi="Calibri" w:cs="Calibri"/>
        </w:rPr>
        <w:t>Microaxial</w:t>
      </w:r>
      <w:proofErr w:type="spellEnd"/>
      <w:r w:rsidRPr="0025095E">
        <w:rPr>
          <w:rFonts w:ascii="Calibri" w:hAnsi="Calibri" w:cs="Calibri"/>
        </w:rPr>
        <w:t xml:space="preserve"> flow pump or standard care in infarct-related cardiogenic shock. </w:t>
      </w:r>
      <w:r w:rsidRPr="0025095E">
        <w:rPr>
          <w:rStyle w:val="Emphasis"/>
          <w:rFonts w:ascii="Calibri" w:eastAsiaTheme="majorEastAsia" w:hAnsi="Calibri" w:cs="Calibri"/>
        </w:rPr>
        <w:t>N Engl J Med</w:t>
      </w:r>
      <w:r w:rsidRPr="0025095E">
        <w:rPr>
          <w:rFonts w:ascii="Calibri" w:hAnsi="Calibri" w:cs="Calibri"/>
        </w:rPr>
        <w:t xml:space="preserve"> </w:t>
      </w:r>
      <w:proofErr w:type="gramStart"/>
      <w:r w:rsidRPr="0025095E">
        <w:rPr>
          <w:rFonts w:ascii="Calibri" w:hAnsi="Calibri" w:cs="Calibri"/>
        </w:rPr>
        <w:t>2024;390:1382</w:t>
      </w:r>
      <w:proofErr w:type="gramEnd"/>
      <w:r w:rsidRPr="0025095E">
        <w:rPr>
          <w:rFonts w:ascii="Calibri" w:hAnsi="Calibri" w:cs="Calibri"/>
        </w:rPr>
        <w:t>–1393.</w:t>
      </w:r>
    </w:p>
    <w:p w14:paraId="7AB77242"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5.</w:t>
      </w:r>
      <w:r w:rsidRPr="0025095E">
        <w:rPr>
          <w:rFonts w:ascii="Calibri" w:hAnsi="Calibri" w:cs="Calibri"/>
        </w:rPr>
        <w:t xml:space="preserve"> Samsky MD, Morrow DA, Proudfoot AG, et al. Cardiogenic shock after acute myocardial infarction: a review. </w:t>
      </w:r>
      <w:r w:rsidRPr="0025095E">
        <w:rPr>
          <w:rStyle w:val="Emphasis"/>
          <w:rFonts w:ascii="Calibri" w:eastAsiaTheme="majorEastAsia" w:hAnsi="Calibri" w:cs="Calibri"/>
        </w:rPr>
        <w:t>JAMA</w:t>
      </w:r>
      <w:r w:rsidRPr="0025095E">
        <w:rPr>
          <w:rFonts w:ascii="Calibri" w:hAnsi="Calibri" w:cs="Calibri"/>
        </w:rPr>
        <w:t xml:space="preserve"> </w:t>
      </w:r>
      <w:proofErr w:type="gramStart"/>
      <w:r w:rsidRPr="0025095E">
        <w:rPr>
          <w:rFonts w:ascii="Calibri" w:hAnsi="Calibri" w:cs="Calibri"/>
        </w:rPr>
        <w:t>2021;326:1840</w:t>
      </w:r>
      <w:proofErr w:type="gramEnd"/>
      <w:r w:rsidRPr="0025095E">
        <w:rPr>
          <w:rFonts w:ascii="Calibri" w:hAnsi="Calibri" w:cs="Calibri"/>
        </w:rPr>
        <w:t>–1850.</w:t>
      </w:r>
    </w:p>
    <w:p w14:paraId="6AA744F6"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6.</w:t>
      </w:r>
      <w:r w:rsidRPr="0025095E">
        <w:rPr>
          <w:rFonts w:ascii="Calibri" w:hAnsi="Calibri" w:cs="Calibri"/>
        </w:rPr>
        <w:t xml:space="preserve"> </w:t>
      </w:r>
      <w:proofErr w:type="spellStart"/>
      <w:r w:rsidRPr="0025095E">
        <w:rPr>
          <w:rFonts w:ascii="Calibri" w:hAnsi="Calibri" w:cs="Calibri"/>
        </w:rPr>
        <w:t>Jäämaa</w:t>
      </w:r>
      <w:proofErr w:type="spellEnd"/>
      <w:r w:rsidRPr="0025095E">
        <w:rPr>
          <w:rFonts w:ascii="Calibri" w:hAnsi="Calibri" w:cs="Calibri"/>
        </w:rPr>
        <w:t xml:space="preserve">-Holmberg S, Salmela B, </w:t>
      </w:r>
      <w:proofErr w:type="spellStart"/>
      <w:r w:rsidRPr="0025095E">
        <w:rPr>
          <w:rFonts w:ascii="Calibri" w:hAnsi="Calibri" w:cs="Calibri"/>
        </w:rPr>
        <w:t>Suojaranta</w:t>
      </w:r>
      <w:proofErr w:type="spellEnd"/>
      <w:r w:rsidRPr="0025095E">
        <w:rPr>
          <w:rFonts w:ascii="Calibri" w:hAnsi="Calibri" w:cs="Calibri"/>
        </w:rPr>
        <w:t xml:space="preserve"> R, et al. Cost-utility of </w:t>
      </w:r>
      <w:proofErr w:type="spellStart"/>
      <w:r w:rsidRPr="0025095E">
        <w:rPr>
          <w:rFonts w:ascii="Calibri" w:hAnsi="Calibri" w:cs="Calibri"/>
        </w:rPr>
        <w:t>venoarterial</w:t>
      </w:r>
      <w:proofErr w:type="spellEnd"/>
      <w:r w:rsidRPr="0025095E">
        <w:rPr>
          <w:rFonts w:ascii="Calibri" w:hAnsi="Calibri" w:cs="Calibri"/>
        </w:rPr>
        <w:t xml:space="preserve"> extracorporeal membrane oxygenation in cardiogenic shock and cardiac arrest. </w:t>
      </w:r>
      <w:proofErr w:type="spellStart"/>
      <w:r w:rsidRPr="0025095E">
        <w:rPr>
          <w:rStyle w:val="Emphasis"/>
          <w:rFonts w:ascii="Calibri" w:eastAsiaTheme="majorEastAsia" w:hAnsi="Calibri" w:cs="Calibri"/>
        </w:rPr>
        <w:t>Eur</w:t>
      </w:r>
      <w:proofErr w:type="spellEnd"/>
      <w:r w:rsidRPr="0025095E">
        <w:rPr>
          <w:rStyle w:val="Emphasis"/>
          <w:rFonts w:ascii="Calibri" w:eastAsiaTheme="majorEastAsia" w:hAnsi="Calibri" w:cs="Calibri"/>
        </w:rPr>
        <w:t xml:space="preserve"> Heart J Acute Cardiovasc Care</w:t>
      </w:r>
      <w:r w:rsidRPr="0025095E">
        <w:rPr>
          <w:rFonts w:ascii="Calibri" w:hAnsi="Calibri" w:cs="Calibri"/>
        </w:rPr>
        <w:t xml:space="preserve"> </w:t>
      </w:r>
      <w:proofErr w:type="gramStart"/>
      <w:r w:rsidRPr="0025095E">
        <w:rPr>
          <w:rFonts w:ascii="Calibri" w:hAnsi="Calibri" w:cs="Calibri"/>
        </w:rPr>
        <w:t>2020;9:333</w:t>
      </w:r>
      <w:proofErr w:type="gramEnd"/>
      <w:r w:rsidRPr="0025095E">
        <w:rPr>
          <w:rFonts w:ascii="Calibri" w:hAnsi="Calibri" w:cs="Calibri"/>
        </w:rPr>
        <w:t>–341.</w:t>
      </w:r>
    </w:p>
    <w:p w14:paraId="2E0D7C4B"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7.</w:t>
      </w:r>
      <w:r w:rsidRPr="0025095E">
        <w:rPr>
          <w:rFonts w:ascii="Calibri" w:hAnsi="Calibri" w:cs="Calibri"/>
        </w:rPr>
        <w:t xml:space="preserve"> Sterling LH, Fernando SM, Talarico R, et al. Long-term outcomes of cardiogenic shock complicating myocardial infarction. </w:t>
      </w:r>
      <w:r w:rsidRPr="0025095E">
        <w:rPr>
          <w:rStyle w:val="Emphasis"/>
          <w:rFonts w:ascii="Calibri" w:eastAsiaTheme="majorEastAsia" w:hAnsi="Calibri" w:cs="Calibri"/>
        </w:rPr>
        <w:t xml:space="preserve">J Am Coll </w:t>
      </w:r>
      <w:proofErr w:type="spellStart"/>
      <w:r w:rsidRPr="0025095E">
        <w:rPr>
          <w:rStyle w:val="Emphasis"/>
          <w:rFonts w:ascii="Calibri" w:eastAsiaTheme="majorEastAsia" w:hAnsi="Calibri" w:cs="Calibri"/>
        </w:rPr>
        <w:t>Cardiol</w:t>
      </w:r>
      <w:proofErr w:type="spellEnd"/>
      <w:r w:rsidRPr="0025095E">
        <w:rPr>
          <w:rFonts w:ascii="Calibri" w:hAnsi="Calibri" w:cs="Calibri"/>
        </w:rPr>
        <w:t xml:space="preserve"> </w:t>
      </w:r>
      <w:proofErr w:type="gramStart"/>
      <w:r w:rsidRPr="0025095E">
        <w:rPr>
          <w:rFonts w:ascii="Calibri" w:hAnsi="Calibri" w:cs="Calibri"/>
        </w:rPr>
        <w:t>2023;82:985</w:t>
      </w:r>
      <w:proofErr w:type="gramEnd"/>
      <w:r w:rsidRPr="0025095E">
        <w:rPr>
          <w:rFonts w:ascii="Calibri" w:hAnsi="Calibri" w:cs="Calibri"/>
        </w:rPr>
        <w:t>–995.</w:t>
      </w:r>
    </w:p>
    <w:p w14:paraId="56660470"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8.</w:t>
      </w:r>
      <w:r w:rsidRPr="0025095E">
        <w:rPr>
          <w:rFonts w:ascii="Calibri" w:hAnsi="Calibri" w:cs="Calibri"/>
        </w:rPr>
        <w:t xml:space="preserve"> Agarwal S, Armstrong R, Finney S, et al. Cardiac arrest during cardiology procedures requiring anaesthesia. In: Royal College of Anaesthetists, ed. </w:t>
      </w:r>
      <w:r w:rsidRPr="0025095E">
        <w:rPr>
          <w:rStyle w:val="Emphasis"/>
          <w:rFonts w:ascii="Calibri" w:eastAsiaTheme="majorEastAsia" w:hAnsi="Calibri" w:cs="Calibri"/>
        </w:rPr>
        <w:t>NAP7: Cardiac Arrest under Anaesthesia</w:t>
      </w:r>
      <w:r w:rsidRPr="0025095E">
        <w:rPr>
          <w:rFonts w:ascii="Calibri" w:hAnsi="Calibri" w:cs="Calibri"/>
        </w:rPr>
        <w:t>. London: Royal College of Anaesthetists; 2023:373–382.</w:t>
      </w:r>
    </w:p>
    <w:p w14:paraId="22C5298F"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lastRenderedPageBreak/>
        <w:t>9.</w:t>
      </w:r>
      <w:r w:rsidRPr="0025095E">
        <w:rPr>
          <w:rFonts w:ascii="Calibri" w:hAnsi="Calibri" w:cs="Calibri"/>
        </w:rPr>
        <w:t xml:space="preserve"> Tehrani BN, Truesdell AG, Sherwood MW, et al. Standardized team-based care for cardiogenic shock. </w:t>
      </w:r>
      <w:r w:rsidRPr="0025095E">
        <w:rPr>
          <w:rStyle w:val="Emphasis"/>
          <w:rFonts w:ascii="Calibri" w:eastAsiaTheme="majorEastAsia" w:hAnsi="Calibri" w:cs="Calibri"/>
        </w:rPr>
        <w:t xml:space="preserve">J Am Coll </w:t>
      </w:r>
      <w:proofErr w:type="spellStart"/>
      <w:r w:rsidRPr="0025095E">
        <w:rPr>
          <w:rStyle w:val="Emphasis"/>
          <w:rFonts w:ascii="Calibri" w:eastAsiaTheme="majorEastAsia" w:hAnsi="Calibri" w:cs="Calibri"/>
        </w:rPr>
        <w:t>Cardiol</w:t>
      </w:r>
      <w:proofErr w:type="spellEnd"/>
      <w:r w:rsidRPr="0025095E">
        <w:rPr>
          <w:rFonts w:ascii="Calibri" w:hAnsi="Calibri" w:cs="Calibri"/>
        </w:rPr>
        <w:t xml:space="preserve"> </w:t>
      </w:r>
      <w:proofErr w:type="gramStart"/>
      <w:r w:rsidRPr="0025095E">
        <w:rPr>
          <w:rFonts w:ascii="Calibri" w:hAnsi="Calibri" w:cs="Calibri"/>
        </w:rPr>
        <w:t>2019;73:1659</w:t>
      </w:r>
      <w:proofErr w:type="gramEnd"/>
      <w:r w:rsidRPr="0025095E">
        <w:rPr>
          <w:rFonts w:ascii="Calibri" w:hAnsi="Calibri" w:cs="Calibri"/>
        </w:rPr>
        <w:t>–1669.</w:t>
      </w:r>
    </w:p>
    <w:p w14:paraId="00D829DF"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10.</w:t>
      </w:r>
      <w:r w:rsidRPr="0025095E">
        <w:rPr>
          <w:rFonts w:ascii="Calibri" w:hAnsi="Calibri" w:cs="Calibri"/>
        </w:rPr>
        <w:t xml:space="preserve"> </w:t>
      </w:r>
      <w:proofErr w:type="spellStart"/>
      <w:r w:rsidRPr="0025095E">
        <w:rPr>
          <w:rFonts w:ascii="Calibri" w:hAnsi="Calibri" w:cs="Calibri"/>
        </w:rPr>
        <w:t>Hérion</w:t>
      </w:r>
      <w:proofErr w:type="spellEnd"/>
      <w:r w:rsidRPr="0025095E">
        <w:rPr>
          <w:rFonts w:ascii="Calibri" w:hAnsi="Calibri" w:cs="Calibri"/>
        </w:rPr>
        <w:t xml:space="preserve"> FX, Beurton A, </w:t>
      </w:r>
      <w:proofErr w:type="spellStart"/>
      <w:r w:rsidRPr="0025095E">
        <w:rPr>
          <w:rFonts w:ascii="Calibri" w:hAnsi="Calibri" w:cs="Calibri"/>
        </w:rPr>
        <w:t>Oddos</w:t>
      </w:r>
      <w:proofErr w:type="spellEnd"/>
      <w:r w:rsidRPr="0025095E">
        <w:rPr>
          <w:rFonts w:ascii="Calibri" w:hAnsi="Calibri" w:cs="Calibri"/>
        </w:rPr>
        <w:t xml:space="preserve"> C, et al. Multidisciplinary cardiogenic shock team approach improves long-term outcomes in refractory cardiogenic shock treated with short-term mechanical circulatory support. </w:t>
      </w:r>
      <w:proofErr w:type="spellStart"/>
      <w:r w:rsidRPr="0025095E">
        <w:rPr>
          <w:rStyle w:val="Emphasis"/>
          <w:rFonts w:ascii="Calibri" w:eastAsiaTheme="majorEastAsia" w:hAnsi="Calibri" w:cs="Calibri"/>
        </w:rPr>
        <w:t>Eur</w:t>
      </w:r>
      <w:proofErr w:type="spellEnd"/>
      <w:r w:rsidRPr="0025095E">
        <w:rPr>
          <w:rStyle w:val="Emphasis"/>
          <w:rFonts w:ascii="Calibri" w:eastAsiaTheme="majorEastAsia" w:hAnsi="Calibri" w:cs="Calibri"/>
        </w:rPr>
        <w:t xml:space="preserve"> Heart J Acute Cardiovasc Care</w:t>
      </w:r>
      <w:r w:rsidRPr="0025095E">
        <w:rPr>
          <w:rFonts w:ascii="Calibri" w:hAnsi="Calibri" w:cs="Calibri"/>
        </w:rPr>
        <w:t xml:space="preserve"> </w:t>
      </w:r>
      <w:proofErr w:type="gramStart"/>
      <w:r w:rsidRPr="0025095E">
        <w:rPr>
          <w:rFonts w:ascii="Calibri" w:hAnsi="Calibri" w:cs="Calibri"/>
        </w:rPr>
        <w:t>2023;12:821</w:t>
      </w:r>
      <w:proofErr w:type="gramEnd"/>
      <w:r w:rsidRPr="0025095E">
        <w:rPr>
          <w:rFonts w:ascii="Calibri" w:hAnsi="Calibri" w:cs="Calibri"/>
        </w:rPr>
        <w:t>–830.</w:t>
      </w:r>
    </w:p>
    <w:p w14:paraId="7FCAF818"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11.</w:t>
      </w:r>
      <w:r w:rsidRPr="0025095E">
        <w:rPr>
          <w:rFonts w:ascii="Calibri" w:hAnsi="Calibri" w:cs="Calibri"/>
        </w:rPr>
        <w:t xml:space="preserve"> </w:t>
      </w:r>
      <w:proofErr w:type="spellStart"/>
      <w:r w:rsidRPr="0025095E">
        <w:rPr>
          <w:rFonts w:ascii="Calibri" w:hAnsi="Calibri" w:cs="Calibri"/>
        </w:rPr>
        <w:t>Papolos</w:t>
      </w:r>
      <w:proofErr w:type="spellEnd"/>
      <w:r w:rsidRPr="0025095E">
        <w:rPr>
          <w:rFonts w:ascii="Calibri" w:hAnsi="Calibri" w:cs="Calibri"/>
        </w:rPr>
        <w:t xml:space="preserve"> AI, Kenigsberg BB, Berg DD, et al. Management and outcomes of cardiogenic shock in cardiac ICUs with versus without shock teams. </w:t>
      </w:r>
      <w:r w:rsidRPr="0025095E">
        <w:rPr>
          <w:rStyle w:val="Emphasis"/>
          <w:rFonts w:ascii="Calibri" w:eastAsiaTheme="majorEastAsia" w:hAnsi="Calibri" w:cs="Calibri"/>
        </w:rPr>
        <w:t xml:space="preserve">J Am Coll </w:t>
      </w:r>
      <w:proofErr w:type="spellStart"/>
      <w:r w:rsidRPr="0025095E">
        <w:rPr>
          <w:rStyle w:val="Emphasis"/>
          <w:rFonts w:ascii="Calibri" w:eastAsiaTheme="majorEastAsia" w:hAnsi="Calibri" w:cs="Calibri"/>
        </w:rPr>
        <w:t>Cardiol</w:t>
      </w:r>
      <w:proofErr w:type="spellEnd"/>
      <w:r w:rsidRPr="0025095E">
        <w:rPr>
          <w:rFonts w:ascii="Calibri" w:hAnsi="Calibri" w:cs="Calibri"/>
        </w:rPr>
        <w:t xml:space="preserve"> </w:t>
      </w:r>
      <w:proofErr w:type="gramStart"/>
      <w:r w:rsidRPr="0025095E">
        <w:rPr>
          <w:rFonts w:ascii="Calibri" w:hAnsi="Calibri" w:cs="Calibri"/>
        </w:rPr>
        <w:t>2021;78:1309</w:t>
      </w:r>
      <w:proofErr w:type="gramEnd"/>
      <w:r w:rsidRPr="0025095E">
        <w:rPr>
          <w:rFonts w:ascii="Calibri" w:hAnsi="Calibri" w:cs="Calibri"/>
        </w:rPr>
        <w:t>–1317.</w:t>
      </w:r>
    </w:p>
    <w:p w14:paraId="289CB7BE"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12.</w:t>
      </w:r>
      <w:r w:rsidRPr="0025095E">
        <w:rPr>
          <w:rFonts w:ascii="Calibri" w:hAnsi="Calibri" w:cs="Calibri"/>
        </w:rPr>
        <w:t xml:space="preserve"> Tehrani BN, Truesdell AG, </w:t>
      </w:r>
      <w:proofErr w:type="spellStart"/>
      <w:r w:rsidRPr="0025095E">
        <w:rPr>
          <w:rFonts w:ascii="Calibri" w:hAnsi="Calibri" w:cs="Calibri"/>
        </w:rPr>
        <w:t>Psotka</w:t>
      </w:r>
      <w:proofErr w:type="spellEnd"/>
      <w:r w:rsidRPr="0025095E">
        <w:rPr>
          <w:rFonts w:ascii="Calibri" w:hAnsi="Calibri" w:cs="Calibri"/>
        </w:rPr>
        <w:t xml:space="preserve"> MA, et al. A standardized and comprehensive approach to the management of cardiogenic shock. </w:t>
      </w:r>
      <w:r w:rsidRPr="0025095E">
        <w:rPr>
          <w:rStyle w:val="Emphasis"/>
          <w:rFonts w:ascii="Calibri" w:eastAsiaTheme="majorEastAsia" w:hAnsi="Calibri" w:cs="Calibri"/>
        </w:rPr>
        <w:t>JACC Heart Fail</w:t>
      </w:r>
      <w:r w:rsidRPr="0025095E">
        <w:rPr>
          <w:rFonts w:ascii="Calibri" w:hAnsi="Calibri" w:cs="Calibri"/>
        </w:rPr>
        <w:t xml:space="preserve"> </w:t>
      </w:r>
      <w:proofErr w:type="gramStart"/>
      <w:r w:rsidRPr="0025095E">
        <w:rPr>
          <w:rFonts w:ascii="Calibri" w:hAnsi="Calibri" w:cs="Calibri"/>
        </w:rPr>
        <w:t>2020;8:879</w:t>
      </w:r>
      <w:proofErr w:type="gramEnd"/>
      <w:r w:rsidRPr="0025095E">
        <w:rPr>
          <w:rFonts w:ascii="Calibri" w:hAnsi="Calibri" w:cs="Calibri"/>
        </w:rPr>
        <w:t>–891.</w:t>
      </w:r>
    </w:p>
    <w:p w14:paraId="0A589F9F" w14:textId="77777777" w:rsidR="002934E7" w:rsidRDefault="002934E7" w:rsidP="0025095E">
      <w:pPr>
        <w:pStyle w:val="NormalWeb"/>
        <w:spacing w:line="480" w:lineRule="auto"/>
        <w:rPr>
          <w:rStyle w:val="Strong"/>
          <w:rFonts w:ascii="Calibri" w:eastAsiaTheme="majorEastAsia" w:hAnsi="Calibri" w:cs="Calibri"/>
        </w:rPr>
      </w:pPr>
      <w:r w:rsidRPr="002934E7">
        <w:rPr>
          <w:rStyle w:val="Strong"/>
          <w:rFonts w:ascii="Calibri" w:eastAsiaTheme="majorEastAsia" w:hAnsi="Calibri" w:cs="Calibri"/>
        </w:rPr>
        <w:t>13.</w:t>
      </w:r>
      <w:r w:rsidRPr="002934E7">
        <w:rPr>
          <w:rStyle w:val="Strong"/>
          <w:rFonts w:ascii="Calibri" w:eastAsiaTheme="majorEastAsia" w:hAnsi="Calibri" w:cs="Calibri"/>
          <w:b w:val="0"/>
          <w:bCs w:val="0"/>
        </w:rPr>
        <w:t xml:space="preserve"> </w:t>
      </w:r>
      <w:proofErr w:type="spellStart"/>
      <w:r w:rsidRPr="002934E7">
        <w:rPr>
          <w:rStyle w:val="Strong"/>
          <w:rFonts w:ascii="Calibri" w:eastAsiaTheme="majorEastAsia" w:hAnsi="Calibri" w:cs="Calibri"/>
          <w:b w:val="0"/>
          <w:bCs w:val="0"/>
        </w:rPr>
        <w:t>Senman</w:t>
      </w:r>
      <w:proofErr w:type="spellEnd"/>
      <w:r w:rsidRPr="002934E7">
        <w:rPr>
          <w:rStyle w:val="Strong"/>
          <w:rFonts w:ascii="Calibri" w:eastAsiaTheme="majorEastAsia" w:hAnsi="Calibri" w:cs="Calibri"/>
          <w:b w:val="0"/>
          <w:bCs w:val="0"/>
        </w:rPr>
        <w:t xml:space="preserve"> B, </w:t>
      </w:r>
      <w:proofErr w:type="spellStart"/>
      <w:r w:rsidRPr="002934E7">
        <w:rPr>
          <w:rStyle w:val="Strong"/>
          <w:rFonts w:ascii="Calibri" w:eastAsiaTheme="majorEastAsia" w:hAnsi="Calibri" w:cs="Calibri"/>
          <w:b w:val="0"/>
          <w:bCs w:val="0"/>
        </w:rPr>
        <w:t>Jentzer</w:t>
      </w:r>
      <w:proofErr w:type="spellEnd"/>
      <w:r w:rsidRPr="002934E7">
        <w:rPr>
          <w:rStyle w:val="Strong"/>
          <w:rFonts w:ascii="Calibri" w:eastAsiaTheme="majorEastAsia" w:hAnsi="Calibri" w:cs="Calibri"/>
          <w:b w:val="0"/>
          <w:bCs w:val="0"/>
        </w:rPr>
        <w:t xml:space="preserve"> JC, Barnett CF, et al. Need for a cardiogenic shock team collaborative—promoting a team-based model of care to improve outcomes and identify best practices. J Am Heart Assoc 2024;</w:t>
      </w:r>
      <w:proofErr w:type="gramStart"/>
      <w:r w:rsidRPr="002934E7">
        <w:rPr>
          <w:rStyle w:val="Strong"/>
          <w:rFonts w:ascii="Calibri" w:eastAsiaTheme="majorEastAsia" w:hAnsi="Calibri" w:cs="Calibri"/>
          <w:b w:val="0"/>
          <w:bCs w:val="0"/>
        </w:rPr>
        <w:t>13:e</w:t>
      </w:r>
      <w:proofErr w:type="gramEnd"/>
      <w:r w:rsidRPr="002934E7">
        <w:rPr>
          <w:rStyle w:val="Strong"/>
          <w:rFonts w:ascii="Calibri" w:eastAsiaTheme="majorEastAsia" w:hAnsi="Calibri" w:cs="Calibri"/>
          <w:b w:val="0"/>
          <w:bCs w:val="0"/>
        </w:rPr>
        <w:t>031979.</w:t>
      </w:r>
    </w:p>
    <w:p w14:paraId="3850024E" w14:textId="6BC1F172"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14.</w:t>
      </w:r>
      <w:r w:rsidRPr="0025095E">
        <w:rPr>
          <w:rFonts w:ascii="Calibri" w:hAnsi="Calibri" w:cs="Calibri"/>
        </w:rPr>
        <w:t xml:space="preserve"> </w:t>
      </w:r>
      <w:proofErr w:type="spellStart"/>
      <w:r w:rsidRPr="0025095E">
        <w:rPr>
          <w:rFonts w:ascii="Calibri" w:hAnsi="Calibri" w:cs="Calibri"/>
        </w:rPr>
        <w:t>Jentzer</w:t>
      </w:r>
      <w:proofErr w:type="spellEnd"/>
      <w:r w:rsidRPr="0025095E">
        <w:rPr>
          <w:rFonts w:ascii="Calibri" w:hAnsi="Calibri" w:cs="Calibri"/>
        </w:rPr>
        <w:t xml:space="preserve"> JC, Ahmed AM, </w:t>
      </w:r>
      <w:proofErr w:type="spellStart"/>
      <w:r w:rsidRPr="0025095E">
        <w:rPr>
          <w:rFonts w:ascii="Calibri" w:hAnsi="Calibri" w:cs="Calibri"/>
        </w:rPr>
        <w:t>Vallabhajosyula</w:t>
      </w:r>
      <w:proofErr w:type="spellEnd"/>
      <w:r w:rsidRPr="0025095E">
        <w:rPr>
          <w:rFonts w:ascii="Calibri" w:hAnsi="Calibri" w:cs="Calibri"/>
        </w:rPr>
        <w:t xml:space="preserve"> S, et al. Shock in the cardiac intensive care unit: changes in epidemiology and prognosis over time. </w:t>
      </w:r>
      <w:r w:rsidRPr="0025095E">
        <w:rPr>
          <w:rStyle w:val="Emphasis"/>
          <w:rFonts w:ascii="Calibri" w:eastAsiaTheme="majorEastAsia" w:hAnsi="Calibri" w:cs="Calibri"/>
        </w:rPr>
        <w:t>Am Heart J</w:t>
      </w:r>
      <w:r w:rsidRPr="0025095E">
        <w:rPr>
          <w:rFonts w:ascii="Calibri" w:hAnsi="Calibri" w:cs="Calibri"/>
        </w:rPr>
        <w:t xml:space="preserve"> </w:t>
      </w:r>
      <w:proofErr w:type="gramStart"/>
      <w:r w:rsidRPr="0025095E">
        <w:rPr>
          <w:rFonts w:ascii="Calibri" w:hAnsi="Calibri" w:cs="Calibri"/>
        </w:rPr>
        <w:t>2021;232:94</w:t>
      </w:r>
      <w:proofErr w:type="gramEnd"/>
      <w:r w:rsidRPr="0025095E">
        <w:rPr>
          <w:rFonts w:ascii="Calibri" w:hAnsi="Calibri" w:cs="Calibri"/>
        </w:rPr>
        <w:t>–104.</w:t>
      </w:r>
    </w:p>
    <w:p w14:paraId="707545D2"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15.</w:t>
      </w:r>
      <w:r w:rsidRPr="0025095E">
        <w:rPr>
          <w:rFonts w:ascii="Calibri" w:hAnsi="Calibri" w:cs="Calibri"/>
        </w:rPr>
        <w:t xml:space="preserve"> Ghajar A, Ordonez CP, Philips B, et al. Cardiogenic shock–related cardiovascular disease mortality trends in the US population. </w:t>
      </w:r>
      <w:r w:rsidRPr="0025095E">
        <w:rPr>
          <w:rStyle w:val="Emphasis"/>
          <w:rFonts w:ascii="Calibri" w:eastAsiaTheme="majorEastAsia" w:hAnsi="Calibri" w:cs="Calibri"/>
        </w:rPr>
        <w:t xml:space="preserve">Int J </w:t>
      </w:r>
      <w:proofErr w:type="spellStart"/>
      <w:r w:rsidRPr="0025095E">
        <w:rPr>
          <w:rStyle w:val="Emphasis"/>
          <w:rFonts w:ascii="Calibri" w:eastAsiaTheme="majorEastAsia" w:hAnsi="Calibri" w:cs="Calibri"/>
        </w:rPr>
        <w:t>Cardiol</w:t>
      </w:r>
      <w:proofErr w:type="spellEnd"/>
      <w:r w:rsidRPr="0025095E">
        <w:rPr>
          <w:rFonts w:ascii="Calibri" w:hAnsi="Calibri" w:cs="Calibri"/>
        </w:rPr>
        <w:t xml:space="preserve"> </w:t>
      </w:r>
      <w:proofErr w:type="gramStart"/>
      <w:r w:rsidRPr="0025095E">
        <w:rPr>
          <w:rFonts w:ascii="Calibri" w:hAnsi="Calibri" w:cs="Calibri"/>
        </w:rPr>
        <w:t>2022;367:45</w:t>
      </w:r>
      <w:proofErr w:type="gramEnd"/>
      <w:r w:rsidRPr="0025095E">
        <w:rPr>
          <w:rFonts w:ascii="Calibri" w:hAnsi="Calibri" w:cs="Calibri"/>
        </w:rPr>
        <w:t>–48.</w:t>
      </w:r>
    </w:p>
    <w:p w14:paraId="5E04812C" w14:textId="77777777" w:rsidR="0025095E" w:rsidRPr="0025095E" w:rsidRDefault="0025095E" w:rsidP="0025095E">
      <w:pPr>
        <w:pStyle w:val="NormalWeb"/>
        <w:spacing w:line="480" w:lineRule="auto"/>
        <w:rPr>
          <w:rFonts w:ascii="Calibri" w:hAnsi="Calibri" w:cs="Calibri"/>
        </w:rPr>
      </w:pPr>
      <w:r w:rsidRPr="0025095E">
        <w:rPr>
          <w:rStyle w:val="Strong"/>
          <w:rFonts w:ascii="Calibri" w:eastAsiaTheme="majorEastAsia" w:hAnsi="Calibri" w:cs="Calibri"/>
        </w:rPr>
        <w:t>16.</w:t>
      </w:r>
      <w:r w:rsidRPr="0025095E">
        <w:rPr>
          <w:rFonts w:ascii="Calibri" w:hAnsi="Calibri" w:cs="Calibri"/>
        </w:rPr>
        <w:t xml:space="preserve"> Morici N, Sacco A, Frea S, et al. Early intra-aortic balloon support for heart failure–related cardiogenic shock: a randomized clinical trial. </w:t>
      </w:r>
      <w:r w:rsidRPr="0025095E">
        <w:rPr>
          <w:rStyle w:val="Emphasis"/>
          <w:rFonts w:ascii="Calibri" w:eastAsiaTheme="majorEastAsia" w:hAnsi="Calibri" w:cs="Calibri"/>
        </w:rPr>
        <w:t xml:space="preserve">J Am Coll </w:t>
      </w:r>
      <w:proofErr w:type="spellStart"/>
      <w:r w:rsidRPr="0025095E">
        <w:rPr>
          <w:rStyle w:val="Emphasis"/>
          <w:rFonts w:ascii="Calibri" w:eastAsiaTheme="majorEastAsia" w:hAnsi="Calibri" w:cs="Calibri"/>
        </w:rPr>
        <w:t>Cardiol</w:t>
      </w:r>
      <w:proofErr w:type="spellEnd"/>
      <w:r w:rsidRPr="0025095E">
        <w:rPr>
          <w:rFonts w:ascii="Calibri" w:hAnsi="Calibri" w:cs="Calibri"/>
        </w:rPr>
        <w:t xml:space="preserve"> </w:t>
      </w:r>
      <w:proofErr w:type="gramStart"/>
      <w:r w:rsidRPr="0025095E">
        <w:rPr>
          <w:rFonts w:ascii="Calibri" w:hAnsi="Calibri" w:cs="Calibri"/>
        </w:rPr>
        <w:t>2025;85:1587</w:t>
      </w:r>
      <w:proofErr w:type="gramEnd"/>
      <w:r w:rsidRPr="0025095E">
        <w:rPr>
          <w:rFonts w:ascii="Calibri" w:hAnsi="Calibri" w:cs="Calibri"/>
        </w:rPr>
        <w:t>–1597.</w:t>
      </w:r>
    </w:p>
    <w:p w14:paraId="0019E65B" w14:textId="0F08516C" w:rsidR="0024225F" w:rsidRPr="00291373" w:rsidRDefault="0024225F" w:rsidP="0025095E">
      <w:pPr>
        <w:spacing w:line="480" w:lineRule="auto"/>
        <w:rPr>
          <w:rFonts w:ascii="Calibri" w:hAnsi="Calibri" w:cs="Calibri"/>
          <w:sz w:val="24"/>
          <w:szCs w:val="24"/>
        </w:rPr>
      </w:pPr>
    </w:p>
    <w:p w14:paraId="1C55139D" w14:textId="77777777" w:rsidR="00F214BD" w:rsidRDefault="00B73C2D" w:rsidP="00085BED">
      <w:pPr>
        <w:spacing w:line="480" w:lineRule="auto"/>
        <w:rPr>
          <w:rFonts w:ascii="Calibri" w:hAnsi="Calibri" w:cs="Calibri"/>
          <w:b/>
          <w:bCs/>
          <w:sz w:val="24"/>
          <w:szCs w:val="24"/>
        </w:rPr>
      </w:pPr>
      <w:r w:rsidRPr="00332A43">
        <w:rPr>
          <w:rFonts w:ascii="Calibri" w:hAnsi="Calibri" w:cs="Calibri"/>
          <w:b/>
          <w:bCs/>
          <w:sz w:val="24"/>
          <w:szCs w:val="24"/>
        </w:rPr>
        <w:lastRenderedPageBreak/>
        <w:t>TABLES</w:t>
      </w:r>
    </w:p>
    <w:p w14:paraId="54526EC2" w14:textId="68756647" w:rsidR="00A66A85" w:rsidRPr="00F214BD" w:rsidRDefault="0042346C" w:rsidP="00085BED">
      <w:pPr>
        <w:spacing w:line="480" w:lineRule="auto"/>
        <w:rPr>
          <w:rFonts w:ascii="Calibri" w:hAnsi="Calibri" w:cs="Calibri"/>
          <w:b/>
          <w:bCs/>
          <w:sz w:val="24"/>
          <w:szCs w:val="24"/>
        </w:rPr>
      </w:pPr>
      <w:r w:rsidRPr="00332A43">
        <w:rPr>
          <w:rFonts w:ascii="Calibri" w:hAnsi="Calibri" w:cs="Calibri"/>
          <w:b/>
          <w:bCs/>
          <w:sz w:val="24"/>
          <w:szCs w:val="24"/>
        </w:rPr>
        <w:t xml:space="preserve">Table 1 </w:t>
      </w:r>
      <w:r>
        <w:rPr>
          <w:rFonts w:ascii="Calibri" w:hAnsi="Calibri" w:cs="Calibri"/>
          <w:b/>
          <w:bCs/>
          <w:sz w:val="24"/>
          <w:szCs w:val="24"/>
        </w:rPr>
        <w:t xml:space="preserve">- </w:t>
      </w:r>
      <w:r w:rsidRPr="00332A43">
        <w:rPr>
          <w:rFonts w:ascii="Calibri" w:hAnsi="Calibri" w:cs="Calibri"/>
          <w:b/>
          <w:bCs/>
          <w:sz w:val="24"/>
          <w:szCs w:val="24"/>
          <w:lang w:val="en-US"/>
        </w:rPr>
        <w:t>Baseline demographics</w:t>
      </w:r>
    </w:p>
    <w:tbl>
      <w:tblPr>
        <w:tblW w:w="8756" w:type="dxa"/>
        <w:tblCellMar>
          <w:left w:w="0" w:type="dxa"/>
          <w:right w:w="0" w:type="dxa"/>
        </w:tblCellMar>
        <w:tblLook w:val="0420" w:firstRow="1" w:lastRow="0" w:firstColumn="0" w:lastColumn="0" w:noHBand="0" w:noVBand="1"/>
      </w:tblPr>
      <w:tblGrid>
        <w:gridCol w:w="4975"/>
        <w:gridCol w:w="1684"/>
        <w:gridCol w:w="1168"/>
        <w:gridCol w:w="929"/>
      </w:tblGrid>
      <w:tr w:rsidR="00523C4D" w:rsidRPr="00523C4D" w14:paraId="0FEE6679" w14:textId="77777777" w:rsidTr="00523C4D">
        <w:trPr>
          <w:trHeight w:val="90"/>
        </w:trPr>
        <w:tc>
          <w:tcPr>
            <w:tcW w:w="0" w:type="auto"/>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5CB7AD4F"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0D80A90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kern w:val="24"/>
                <w:sz w:val="20"/>
                <w:szCs w:val="20"/>
                <w:lang w:eastAsia="en-GB"/>
              </w:rPr>
              <w:t xml:space="preserve">Standard Care </w:t>
            </w:r>
          </w:p>
          <w:p w14:paraId="1BE08E7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kern w:val="24"/>
                <w:sz w:val="20"/>
                <w:szCs w:val="20"/>
                <w:lang w:eastAsia="en-GB"/>
              </w:rPr>
              <w:t>(n=83)</w:t>
            </w:r>
          </w:p>
        </w:tc>
        <w:tc>
          <w:tcPr>
            <w:tcW w:w="0" w:type="auto"/>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10C7264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kern w:val="24"/>
                <w:sz w:val="20"/>
                <w:szCs w:val="20"/>
                <w:lang w:eastAsia="en-GB"/>
              </w:rPr>
              <w:t xml:space="preserve">ACT input </w:t>
            </w:r>
          </w:p>
          <w:p w14:paraId="4315507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kern w:val="24"/>
                <w:sz w:val="20"/>
                <w:szCs w:val="20"/>
                <w:lang w:eastAsia="en-GB"/>
              </w:rPr>
              <w:t>(n=82)</w:t>
            </w:r>
          </w:p>
        </w:tc>
        <w:tc>
          <w:tcPr>
            <w:tcW w:w="0" w:type="auto"/>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23BC755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kern w:val="24"/>
                <w:sz w:val="20"/>
                <w:szCs w:val="20"/>
                <w:lang w:eastAsia="en-GB"/>
              </w:rPr>
              <w:t>p-value</w:t>
            </w:r>
          </w:p>
        </w:tc>
      </w:tr>
      <w:tr w:rsidR="00523C4D" w:rsidRPr="00523C4D" w14:paraId="0917B905" w14:textId="77777777" w:rsidTr="00523C4D">
        <w:trPr>
          <w:trHeight w:val="51"/>
        </w:trPr>
        <w:tc>
          <w:tcPr>
            <w:tcW w:w="0" w:type="auto"/>
            <w:tcBorders>
              <w:top w:val="single" w:sz="18" w:space="0" w:color="000000"/>
              <w:left w:val="nil"/>
              <w:bottom w:val="nil"/>
              <w:right w:val="nil"/>
            </w:tcBorders>
            <w:shd w:val="clear" w:color="auto" w:fill="E7E7E7"/>
            <w:tcMar>
              <w:top w:w="32" w:type="dxa"/>
              <w:left w:w="15" w:type="dxa"/>
              <w:bottom w:w="237" w:type="dxa"/>
              <w:right w:w="79" w:type="dxa"/>
            </w:tcMar>
            <w:hideMark/>
          </w:tcPr>
          <w:p w14:paraId="47DDD798"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 xml:space="preserve">Age (years) </w:t>
            </w:r>
          </w:p>
        </w:tc>
        <w:tc>
          <w:tcPr>
            <w:tcW w:w="0" w:type="auto"/>
            <w:tcBorders>
              <w:top w:val="single" w:sz="18" w:space="0" w:color="000000"/>
              <w:left w:val="nil"/>
              <w:bottom w:val="nil"/>
              <w:right w:val="nil"/>
            </w:tcBorders>
            <w:shd w:val="clear" w:color="auto" w:fill="E7E7E7"/>
            <w:tcMar>
              <w:top w:w="32" w:type="dxa"/>
              <w:left w:w="15" w:type="dxa"/>
              <w:bottom w:w="237" w:type="dxa"/>
              <w:right w:w="79" w:type="dxa"/>
            </w:tcMar>
            <w:hideMark/>
          </w:tcPr>
          <w:p w14:paraId="24A4BF6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67</w:t>
            </w:r>
            <w:r w:rsidRPr="00523C4D">
              <w:rPr>
                <w:rFonts w:ascii="Aptos" w:eastAsia="Times New Roman" w:hAnsi="Arial" w:cs="Arial"/>
                <w:color w:val="000000"/>
                <w:kern w:val="24"/>
                <w:sz w:val="20"/>
                <w:szCs w:val="20"/>
                <w:lang w:eastAsia="en-GB"/>
              </w:rPr>
              <w:t>±</w:t>
            </w:r>
            <w:r w:rsidRPr="00523C4D">
              <w:rPr>
                <w:rFonts w:ascii="Aptos" w:eastAsia="Times New Roman" w:hAnsi="Arial" w:cs="Arial"/>
                <w:color w:val="000000"/>
                <w:kern w:val="24"/>
                <w:sz w:val="20"/>
                <w:szCs w:val="20"/>
                <w:lang w:eastAsia="en-GB"/>
              </w:rPr>
              <w:t>1.3</w:t>
            </w:r>
          </w:p>
        </w:tc>
        <w:tc>
          <w:tcPr>
            <w:tcW w:w="0" w:type="auto"/>
            <w:tcBorders>
              <w:top w:val="single" w:sz="18" w:space="0" w:color="000000"/>
              <w:left w:val="nil"/>
              <w:bottom w:val="nil"/>
              <w:right w:val="nil"/>
            </w:tcBorders>
            <w:shd w:val="clear" w:color="auto" w:fill="E7E7E7"/>
            <w:tcMar>
              <w:top w:w="32" w:type="dxa"/>
              <w:left w:w="15" w:type="dxa"/>
              <w:bottom w:w="237" w:type="dxa"/>
              <w:right w:w="79" w:type="dxa"/>
            </w:tcMar>
            <w:hideMark/>
          </w:tcPr>
          <w:p w14:paraId="5F50B74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71</w:t>
            </w:r>
            <w:r w:rsidRPr="00523C4D">
              <w:rPr>
                <w:rFonts w:ascii="Aptos" w:eastAsia="Times New Roman" w:hAnsi="Arial" w:cs="Arial"/>
                <w:color w:val="000000"/>
                <w:kern w:val="24"/>
                <w:sz w:val="20"/>
                <w:szCs w:val="20"/>
                <w:lang w:eastAsia="en-GB"/>
              </w:rPr>
              <w:t>±</w:t>
            </w:r>
            <w:r w:rsidRPr="00523C4D">
              <w:rPr>
                <w:rFonts w:ascii="Aptos" w:eastAsia="Times New Roman" w:hAnsi="Arial" w:cs="Arial"/>
                <w:color w:val="000000"/>
                <w:kern w:val="24"/>
                <w:sz w:val="20"/>
                <w:szCs w:val="20"/>
                <w:lang w:eastAsia="en-GB"/>
              </w:rPr>
              <w:t>1.3</w:t>
            </w:r>
          </w:p>
        </w:tc>
        <w:tc>
          <w:tcPr>
            <w:tcW w:w="0" w:type="auto"/>
            <w:tcBorders>
              <w:top w:val="single" w:sz="18" w:space="0" w:color="000000"/>
              <w:left w:val="nil"/>
              <w:bottom w:val="nil"/>
              <w:right w:val="nil"/>
            </w:tcBorders>
            <w:shd w:val="clear" w:color="auto" w:fill="E7E7E7"/>
            <w:tcMar>
              <w:top w:w="32" w:type="dxa"/>
              <w:left w:w="15" w:type="dxa"/>
              <w:bottom w:w="237" w:type="dxa"/>
              <w:right w:w="79" w:type="dxa"/>
            </w:tcMar>
            <w:hideMark/>
          </w:tcPr>
          <w:p w14:paraId="3694E4B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0.12</w:t>
            </w:r>
          </w:p>
        </w:tc>
      </w:tr>
      <w:tr w:rsidR="00523C4D" w:rsidRPr="00523C4D" w14:paraId="612380A6"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6E21BB8C"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Sex</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F24D5AF"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63265CBC"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1C0810C"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61AAFC66"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2A0B5199"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Male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0F4626A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59 (71)</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1144FCB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56 (68)</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1E9F55C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0.82</w:t>
            </w:r>
          </w:p>
        </w:tc>
      </w:tr>
      <w:tr w:rsidR="00523C4D" w:rsidRPr="00523C4D" w14:paraId="6CC08553"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77A1C2F9"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Female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3C1B63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24 (29)</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977CA8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26 (32)</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3A1442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0.82</w:t>
            </w:r>
          </w:p>
        </w:tc>
      </w:tr>
      <w:tr w:rsidR="00523C4D" w:rsidRPr="00523C4D" w14:paraId="64BEDB7D"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30C7B657"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Risk factors</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8AB04BD"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3E1BE65"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16520CB9"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0F91DC89"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8F732CA"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Diabetes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E6423D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17 (20.5)</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2BF81E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14 (17.1)</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7E7B82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0.7</w:t>
            </w:r>
          </w:p>
        </w:tc>
      </w:tr>
      <w:tr w:rsidR="00523C4D" w:rsidRPr="00523C4D" w14:paraId="7E45B364"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69C6382D"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Smoking history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466105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37 (44.5)</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0A8D5BA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26 (31.7)</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C0105B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0.12</w:t>
            </w:r>
          </w:p>
        </w:tc>
      </w:tr>
      <w:tr w:rsidR="00523C4D" w:rsidRPr="00523C4D" w14:paraId="54CF28F9"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53000939"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Hypertension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36EC05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41 (49.4)</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AD50A3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31 (37.8)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9F5C68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0.17</w:t>
            </w:r>
          </w:p>
        </w:tc>
      </w:tr>
      <w:tr w:rsidR="00523C4D" w:rsidRPr="00523C4D" w14:paraId="09AE6804" w14:textId="77777777" w:rsidTr="00523C4D">
        <w:trPr>
          <w:trHeight w:val="66"/>
        </w:trPr>
        <w:tc>
          <w:tcPr>
            <w:tcW w:w="0" w:type="auto"/>
            <w:tcBorders>
              <w:top w:val="nil"/>
              <w:left w:val="nil"/>
              <w:bottom w:val="nil"/>
              <w:right w:val="nil"/>
            </w:tcBorders>
            <w:shd w:val="clear" w:color="auto" w:fill="E7E7E7"/>
            <w:tcMar>
              <w:top w:w="32" w:type="dxa"/>
              <w:left w:w="15" w:type="dxa"/>
              <w:bottom w:w="237" w:type="dxa"/>
              <w:right w:w="79" w:type="dxa"/>
            </w:tcMar>
            <w:hideMark/>
          </w:tcPr>
          <w:p w14:paraId="2A63CE2C"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Hypercholesterolaemia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1E92F2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29 (34.9)</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9C385D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22 (26.8)</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CF3A28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0.33</w:t>
            </w:r>
          </w:p>
        </w:tc>
      </w:tr>
      <w:tr w:rsidR="00523C4D" w:rsidRPr="00523C4D" w14:paraId="7FC51D15"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2D90E90"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Renal dysfunction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C106B2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 (4.8)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CEA890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7 (8.3)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C980A0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0.51</w:t>
            </w:r>
          </w:p>
        </w:tc>
      </w:tr>
      <w:tr w:rsidR="00523C4D" w:rsidRPr="00523C4D" w14:paraId="56918E1D" w14:textId="77777777" w:rsidTr="00523C4D">
        <w:trPr>
          <w:trHeight w:val="77"/>
        </w:trPr>
        <w:tc>
          <w:tcPr>
            <w:tcW w:w="0" w:type="auto"/>
            <w:tcBorders>
              <w:top w:val="nil"/>
              <w:left w:val="nil"/>
              <w:bottom w:val="nil"/>
              <w:right w:val="nil"/>
            </w:tcBorders>
            <w:shd w:val="clear" w:color="auto" w:fill="E7E7E7"/>
            <w:tcMar>
              <w:top w:w="32" w:type="dxa"/>
              <w:left w:w="15" w:type="dxa"/>
              <w:bottom w:w="237" w:type="dxa"/>
              <w:right w:w="79" w:type="dxa"/>
            </w:tcMar>
            <w:hideMark/>
          </w:tcPr>
          <w:p w14:paraId="47F9A278"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Family history of coronary artery disease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EDAA88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22 (26.5)</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358092E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11 (13.4)</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090301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0.06</w:t>
            </w:r>
          </w:p>
        </w:tc>
      </w:tr>
      <w:tr w:rsidR="00523C4D" w:rsidRPr="00523C4D" w14:paraId="36CD2BD5" w14:textId="77777777" w:rsidTr="00523C4D">
        <w:trPr>
          <w:trHeight w:val="66"/>
        </w:trPr>
        <w:tc>
          <w:tcPr>
            <w:tcW w:w="0" w:type="auto"/>
            <w:tcBorders>
              <w:top w:val="nil"/>
              <w:left w:val="nil"/>
              <w:bottom w:val="nil"/>
              <w:right w:val="nil"/>
            </w:tcBorders>
            <w:shd w:val="clear" w:color="auto" w:fill="FFFFFF"/>
            <w:tcMar>
              <w:top w:w="32" w:type="dxa"/>
              <w:left w:w="15" w:type="dxa"/>
              <w:bottom w:w="237" w:type="dxa"/>
              <w:right w:w="79" w:type="dxa"/>
            </w:tcMar>
            <w:hideMark/>
          </w:tcPr>
          <w:p w14:paraId="2905CB5F"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Prior myocardial infarction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E57D75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18 (21.6)</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6AEE4BE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17 (20.7)</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2E1AD9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w:t>
            </w:r>
          </w:p>
        </w:tc>
      </w:tr>
      <w:tr w:rsidR="00523C4D" w:rsidRPr="00523C4D" w14:paraId="71A88875"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78176A22"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Prior PCI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354F9FC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12 (14.4)</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AB2424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10 (12.1)</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33A5909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0.84</w:t>
            </w:r>
          </w:p>
        </w:tc>
      </w:tr>
      <w:tr w:rsidR="00523C4D" w:rsidRPr="00523C4D" w14:paraId="07EFEAFC"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6987D2A8"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Prior CABG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AA9757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3 (3.6)</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20B0D9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 (4.8)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D14899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0.98</w:t>
            </w:r>
          </w:p>
        </w:tc>
      </w:tr>
      <w:tr w:rsidR="00523C4D" w:rsidRPr="00523C4D" w14:paraId="66CBD8A8"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1A1679B3"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Presentation</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B478BAF"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32C6B99A"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0CCB1AB2"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499B8D10"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35439580"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STEMI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CCB1BA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69 (83)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6EFB7F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72 (87.8)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5708B4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0.52</w:t>
            </w:r>
          </w:p>
        </w:tc>
      </w:tr>
      <w:tr w:rsidR="00523C4D" w:rsidRPr="00523C4D" w14:paraId="4D9CA74A"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6F7F8516"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NSTEMI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0A219AE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14 (17)</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63F3CD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10 (12.2)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030E108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0.52</w:t>
            </w:r>
          </w:p>
        </w:tc>
      </w:tr>
      <w:tr w:rsidR="00523C4D" w:rsidRPr="00523C4D" w14:paraId="5F772B62" w14:textId="77777777" w:rsidTr="00523C4D">
        <w:trPr>
          <w:trHeight w:val="72"/>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DCAAE16"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Out of hospital cardiac arrest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385313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32 (38.5)</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7BD35A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 xml:space="preserve"> 28 (34.1)</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0BF8C5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0.66</w:t>
            </w:r>
          </w:p>
        </w:tc>
      </w:tr>
      <w:tr w:rsidR="00523C4D" w:rsidRPr="00523C4D" w14:paraId="5A3DE44E"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79C849A1"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 xml:space="preserve">Index SCAI class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13BDAF6F"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EFFF83C"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CE2F780"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168386C1"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136C7974"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B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37C06F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 (4.8)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823476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8.9 (10.9)</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C77444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0.23</w:t>
            </w:r>
          </w:p>
        </w:tc>
      </w:tr>
      <w:tr w:rsidR="00523C4D" w:rsidRPr="00523C4D" w14:paraId="3128C5B3"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4ED5529C"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C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8CF02D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15 (18.1)</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8ADAA1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22 (26.8)</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963B52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0.24</w:t>
            </w:r>
          </w:p>
        </w:tc>
      </w:tr>
      <w:tr w:rsidR="00523C4D" w:rsidRPr="00523C4D" w14:paraId="5A9A6342"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4353088"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D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793965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 (4.8)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3FB65A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6 (7.3)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E771CD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0.72</w:t>
            </w:r>
          </w:p>
        </w:tc>
      </w:tr>
      <w:tr w:rsidR="00523C4D" w:rsidRPr="00523C4D" w14:paraId="5555977E"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6FDEBE2E"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lastRenderedPageBreak/>
              <w:t>E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F32D76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60 (72.3)</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C7F866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45 (54.8)</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35314E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0.03</w:t>
            </w:r>
          </w:p>
        </w:tc>
      </w:tr>
      <w:tr w:rsidR="00523C4D" w:rsidRPr="00523C4D" w14:paraId="58C39842"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4FA191D1"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Mildly reduced LV function*</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463DEF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6 (20)</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66E3E2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13 (18.8)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E52C7B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w:t>
            </w:r>
          </w:p>
        </w:tc>
      </w:tr>
      <w:tr w:rsidR="00523C4D" w:rsidRPr="00523C4D" w14:paraId="6DFDF8FB"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62B4F657"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Reduced LV function*</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35B43B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21 (70)</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F40C03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42 (60.9)</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21A821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0.52</w:t>
            </w:r>
          </w:p>
        </w:tc>
      </w:tr>
      <w:tr w:rsidR="00523C4D" w:rsidRPr="00523C4D" w14:paraId="122AEE5F"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4345B7B5"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Impaired RV function</w:t>
            </w:r>
            <w:r w:rsidRPr="00523C4D">
              <w:rPr>
                <w:rFonts w:ascii="Aptos" w:eastAsia="Times New Roman" w:hAnsi="Aptos" w:cs="Arial"/>
                <w:color w:val="000000"/>
                <w:kern w:val="24"/>
                <w:position w:val="7"/>
                <w:sz w:val="20"/>
                <w:szCs w:val="20"/>
                <w:vertAlign w:val="superscript"/>
                <w:lang w:eastAsia="en-GB"/>
              </w:rPr>
              <w:t>+</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64A584C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10 (47.6)</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CE3A0F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21 (41.2)</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3A2A89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0.81</w:t>
            </w:r>
          </w:p>
        </w:tc>
      </w:tr>
      <w:tr w:rsidR="00523C4D" w:rsidRPr="00523C4D" w14:paraId="53B61C4B" w14:textId="77777777" w:rsidTr="00523C4D">
        <w:trPr>
          <w:trHeight w:val="72"/>
        </w:trPr>
        <w:tc>
          <w:tcPr>
            <w:tcW w:w="0" w:type="auto"/>
            <w:tcBorders>
              <w:top w:val="nil"/>
              <w:left w:val="nil"/>
              <w:bottom w:val="nil"/>
              <w:right w:val="nil"/>
            </w:tcBorders>
            <w:shd w:val="clear" w:color="auto" w:fill="E7E7E7"/>
            <w:tcMar>
              <w:top w:w="32" w:type="dxa"/>
              <w:left w:w="15" w:type="dxa"/>
              <w:bottom w:w="237" w:type="dxa"/>
              <w:right w:w="79" w:type="dxa"/>
            </w:tcMar>
            <w:hideMark/>
          </w:tcPr>
          <w:p w14:paraId="14075E7F"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Admission post revascularisation</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9C0F983"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B310C73"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3B78D58"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50877CBC" w14:textId="77777777" w:rsidTr="00523C4D">
        <w:trPr>
          <w:trHeight w:val="5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C685359"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Death on table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952389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5 (6)</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252396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6 (7.3)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771B70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0.98</w:t>
            </w:r>
          </w:p>
        </w:tc>
      </w:tr>
      <w:tr w:rsidR="00523C4D" w:rsidRPr="00523C4D" w14:paraId="03C729C2"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78C90612"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CCU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2FACF3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30 (36.2)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AEC090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25 (30.6)</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C235D8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0.44</w:t>
            </w:r>
          </w:p>
        </w:tc>
      </w:tr>
      <w:tr w:rsidR="00523C4D" w:rsidRPr="00523C4D" w14:paraId="75A60C25" w14:textId="77777777" w:rsidTr="00523C4D">
        <w:trPr>
          <w:trHeight w:val="66"/>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A99AFAD"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Escalated to ICU from CCU (n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4F53C2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2 (2.4)</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F11F99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8 (9.7)</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F9FEF2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0.09</w:t>
            </w:r>
          </w:p>
        </w:tc>
      </w:tr>
      <w:tr w:rsidR="00523C4D" w:rsidRPr="00523C4D" w14:paraId="40CDB9DC" w14:textId="77777777" w:rsidTr="00523C4D">
        <w:trPr>
          <w:trHeight w:val="51"/>
        </w:trPr>
        <w:tc>
          <w:tcPr>
            <w:tcW w:w="0" w:type="auto"/>
            <w:tcBorders>
              <w:top w:val="nil"/>
              <w:left w:val="nil"/>
              <w:bottom w:val="nil"/>
              <w:right w:val="nil"/>
            </w:tcBorders>
            <w:shd w:val="clear" w:color="auto" w:fill="E7E7E7"/>
            <w:tcMar>
              <w:top w:w="32" w:type="dxa"/>
              <w:left w:w="15" w:type="dxa"/>
              <w:bottom w:w="237" w:type="dxa"/>
              <w:right w:w="79" w:type="dxa"/>
            </w:tcMar>
            <w:hideMark/>
          </w:tcPr>
          <w:p w14:paraId="7E2CDFFF"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Direct to ICU (n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1A9A43E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46 (55.4)</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B2AED8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43 (52.4)</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8E6FEE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0.94</w:t>
            </w:r>
          </w:p>
        </w:tc>
      </w:tr>
      <w:tr w:rsidR="00523C4D" w:rsidRPr="00523C4D" w14:paraId="7A458278" w14:textId="77777777" w:rsidTr="00523C4D">
        <w:trPr>
          <w:trHeight w:val="66"/>
        </w:trPr>
        <w:tc>
          <w:tcPr>
            <w:tcW w:w="0" w:type="auto"/>
            <w:tcBorders>
              <w:top w:val="nil"/>
              <w:left w:val="nil"/>
              <w:bottom w:val="single" w:sz="18" w:space="0" w:color="000000"/>
              <w:right w:val="nil"/>
            </w:tcBorders>
            <w:shd w:val="clear" w:color="auto" w:fill="FFFFFF"/>
            <w:tcMar>
              <w:top w:w="32" w:type="dxa"/>
              <w:left w:w="15" w:type="dxa"/>
              <w:bottom w:w="237" w:type="dxa"/>
              <w:right w:w="79" w:type="dxa"/>
            </w:tcMar>
            <w:hideMark/>
          </w:tcPr>
          <w:p w14:paraId="2F6013E0"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kern w:val="24"/>
                <w:sz w:val="20"/>
                <w:szCs w:val="20"/>
                <w:lang w:eastAsia="en-GB"/>
              </w:rPr>
              <w:t>Total length of stay** (median)</w:t>
            </w:r>
          </w:p>
        </w:tc>
        <w:tc>
          <w:tcPr>
            <w:tcW w:w="0" w:type="auto"/>
            <w:tcBorders>
              <w:top w:val="nil"/>
              <w:left w:val="nil"/>
              <w:bottom w:val="single" w:sz="18" w:space="0" w:color="000000"/>
              <w:right w:val="nil"/>
            </w:tcBorders>
            <w:shd w:val="clear" w:color="auto" w:fill="FFFFFF"/>
            <w:tcMar>
              <w:top w:w="32" w:type="dxa"/>
              <w:left w:w="15" w:type="dxa"/>
              <w:bottom w:w="237" w:type="dxa"/>
              <w:right w:w="79" w:type="dxa"/>
            </w:tcMar>
            <w:hideMark/>
          </w:tcPr>
          <w:p w14:paraId="13E741E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9.5</w:t>
            </w:r>
            <w:r w:rsidRPr="00523C4D">
              <w:rPr>
                <w:rFonts w:ascii="Aptos" w:eastAsia="Times New Roman" w:hAnsi="Arial" w:cs="Arial"/>
                <w:color w:val="000000"/>
                <w:kern w:val="24"/>
                <w:sz w:val="20"/>
                <w:szCs w:val="20"/>
                <w:lang w:eastAsia="en-GB"/>
              </w:rPr>
              <w:t>±</w:t>
            </w:r>
            <w:r w:rsidRPr="00523C4D">
              <w:rPr>
                <w:rFonts w:ascii="Aptos" w:eastAsia="Times New Roman" w:hAnsi="Arial" w:cs="Arial"/>
                <w:color w:val="000000"/>
                <w:kern w:val="24"/>
                <w:sz w:val="20"/>
                <w:szCs w:val="20"/>
                <w:lang w:eastAsia="en-GB"/>
              </w:rPr>
              <w:t>1.7</w:t>
            </w:r>
          </w:p>
        </w:tc>
        <w:tc>
          <w:tcPr>
            <w:tcW w:w="0" w:type="auto"/>
            <w:tcBorders>
              <w:top w:val="nil"/>
              <w:left w:val="nil"/>
              <w:bottom w:val="single" w:sz="18" w:space="0" w:color="000000"/>
              <w:right w:val="nil"/>
            </w:tcBorders>
            <w:shd w:val="clear" w:color="auto" w:fill="FFFFFF"/>
            <w:tcMar>
              <w:top w:w="32" w:type="dxa"/>
              <w:left w:w="15" w:type="dxa"/>
              <w:bottom w:w="237" w:type="dxa"/>
              <w:right w:w="79" w:type="dxa"/>
            </w:tcMar>
            <w:hideMark/>
          </w:tcPr>
          <w:p w14:paraId="29D735D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11</w:t>
            </w:r>
            <w:r w:rsidRPr="00523C4D">
              <w:rPr>
                <w:rFonts w:ascii="Aptos" w:eastAsia="Times New Roman" w:hAnsi="Arial" w:cs="Arial"/>
                <w:color w:val="000000"/>
                <w:kern w:val="24"/>
                <w:sz w:val="20"/>
                <w:szCs w:val="20"/>
                <w:lang w:eastAsia="en-GB"/>
              </w:rPr>
              <w:t>±</w:t>
            </w:r>
            <w:r w:rsidRPr="00523C4D">
              <w:rPr>
                <w:rFonts w:ascii="Aptos" w:eastAsia="Times New Roman" w:hAnsi="Arial" w:cs="Arial"/>
                <w:color w:val="000000"/>
                <w:kern w:val="24"/>
                <w:sz w:val="20"/>
                <w:szCs w:val="20"/>
                <w:lang w:eastAsia="en-GB"/>
              </w:rPr>
              <w:t>2.3</w:t>
            </w:r>
          </w:p>
        </w:tc>
        <w:tc>
          <w:tcPr>
            <w:tcW w:w="0" w:type="auto"/>
            <w:tcBorders>
              <w:top w:val="nil"/>
              <w:left w:val="nil"/>
              <w:bottom w:val="single" w:sz="18" w:space="0" w:color="000000"/>
              <w:right w:val="nil"/>
            </w:tcBorders>
            <w:shd w:val="clear" w:color="auto" w:fill="FFFFFF"/>
            <w:tcMar>
              <w:top w:w="32" w:type="dxa"/>
              <w:left w:w="15" w:type="dxa"/>
              <w:bottom w:w="237" w:type="dxa"/>
              <w:right w:w="79" w:type="dxa"/>
            </w:tcMar>
            <w:hideMark/>
          </w:tcPr>
          <w:p w14:paraId="403988E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kern w:val="24"/>
                <w:sz w:val="20"/>
                <w:szCs w:val="20"/>
                <w:lang w:eastAsia="en-GB"/>
              </w:rPr>
              <w:t>0.31</w:t>
            </w:r>
          </w:p>
        </w:tc>
      </w:tr>
    </w:tbl>
    <w:p w14:paraId="5CEBCC06" w14:textId="77777777" w:rsidR="00523C4D" w:rsidRDefault="00523C4D" w:rsidP="00085BED">
      <w:pPr>
        <w:spacing w:line="480" w:lineRule="auto"/>
        <w:rPr>
          <w:rFonts w:ascii="Calibri" w:hAnsi="Calibri" w:cs="Calibri"/>
          <w:sz w:val="24"/>
          <w:szCs w:val="24"/>
        </w:rPr>
      </w:pPr>
    </w:p>
    <w:p w14:paraId="5DF2AB96" w14:textId="3EE0617C" w:rsidR="00750316" w:rsidRDefault="00332A43" w:rsidP="00085BED">
      <w:pPr>
        <w:spacing w:line="480" w:lineRule="auto"/>
        <w:rPr>
          <w:rFonts w:ascii="Calibri" w:hAnsi="Calibri" w:cs="Calibri"/>
          <w:sz w:val="24"/>
          <w:szCs w:val="24"/>
        </w:rPr>
      </w:pPr>
      <w:r w:rsidRPr="00332A43">
        <w:rPr>
          <w:rFonts w:ascii="Calibri" w:hAnsi="Calibri" w:cs="Calibri"/>
          <w:sz w:val="24"/>
          <w:szCs w:val="24"/>
        </w:rPr>
        <w:t>Values are presented as median</w:t>
      </w:r>
      <w:r w:rsidR="00784BE6">
        <w:rPr>
          <w:rFonts w:ascii="Calibri" w:hAnsi="Calibri" w:cs="Calibri"/>
          <w:sz w:val="24"/>
          <w:szCs w:val="24"/>
        </w:rPr>
        <w:t xml:space="preserve"> </w:t>
      </w:r>
      <w:r w:rsidR="00784BE6" w:rsidRPr="00784BE6">
        <w:rPr>
          <w:rFonts w:ascii="Calibri" w:hAnsi="Calibri" w:cs="Calibri"/>
          <w:sz w:val="24"/>
          <w:szCs w:val="24"/>
        </w:rPr>
        <w:t>±</w:t>
      </w:r>
      <w:r w:rsidR="00784BE6">
        <w:rPr>
          <w:rFonts w:ascii="Calibri" w:hAnsi="Calibri" w:cs="Calibri"/>
          <w:sz w:val="24"/>
          <w:szCs w:val="24"/>
        </w:rPr>
        <w:t xml:space="preserve"> standard error</w:t>
      </w:r>
      <w:r w:rsidRPr="00332A43">
        <w:rPr>
          <w:rFonts w:ascii="Calibri" w:hAnsi="Calibri" w:cs="Calibri"/>
          <w:sz w:val="24"/>
          <w:szCs w:val="24"/>
        </w:rPr>
        <w:t xml:space="preserve"> or </w:t>
      </w:r>
      <w:r w:rsidR="00816909">
        <w:rPr>
          <w:rFonts w:ascii="Calibri" w:hAnsi="Calibri" w:cs="Calibri"/>
          <w:sz w:val="24"/>
          <w:szCs w:val="24"/>
        </w:rPr>
        <w:t xml:space="preserve">n </w:t>
      </w:r>
      <w:r w:rsidRPr="00332A43">
        <w:rPr>
          <w:rFonts w:ascii="Calibri" w:hAnsi="Calibri" w:cs="Calibri"/>
          <w:sz w:val="24"/>
          <w:szCs w:val="24"/>
        </w:rPr>
        <w:t xml:space="preserve">(%). Numerical variables were compared using Wilcoxon rank sum test and categorical variables using the chi-square test. </w:t>
      </w:r>
      <w:r w:rsidR="00B1636F">
        <w:rPr>
          <w:rFonts w:ascii="Calibri" w:hAnsi="Calibri" w:cs="Calibri"/>
          <w:sz w:val="24"/>
          <w:szCs w:val="24"/>
        </w:rPr>
        <w:t>ACT – Advanced cardiogenic shock team</w:t>
      </w:r>
      <w:r w:rsidR="00DB0099">
        <w:rPr>
          <w:rFonts w:ascii="Calibri" w:hAnsi="Calibri" w:cs="Calibri"/>
          <w:sz w:val="24"/>
          <w:szCs w:val="24"/>
        </w:rPr>
        <w:t>, CABG – coronary artery bypass graft, CCU – coronary care unit, ICU – intensive care unit,</w:t>
      </w:r>
      <w:r w:rsidR="00D53955">
        <w:rPr>
          <w:rFonts w:ascii="Calibri" w:hAnsi="Calibri" w:cs="Calibri"/>
          <w:sz w:val="24"/>
          <w:szCs w:val="24"/>
        </w:rPr>
        <w:t xml:space="preserve"> LV – left ventricle,</w:t>
      </w:r>
      <w:r w:rsidR="00DB0099">
        <w:rPr>
          <w:rFonts w:ascii="Calibri" w:hAnsi="Calibri" w:cs="Calibri"/>
          <w:sz w:val="24"/>
          <w:szCs w:val="24"/>
        </w:rPr>
        <w:t xml:space="preserve"> NSTEMI – Non-ST elevation myocardial infarction, PCI – percutaneous coronary intervention,</w:t>
      </w:r>
      <w:r w:rsidR="00D53955">
        <w:rPr>
          <w:rFonts w:ascii="Calibri" w:hAnsi="Calibri" w:cs="Calibri"/>
          <w:sz w:val="24"/>
          <w:szCs w:val="24"/>
        </w:rPr>
        <w:t xml:space="preserve"> RV – right ventricle,</w:t>
      </w:r>
      <w:r w:rsidR="00DB0099">
        <w:rPr>
          <w:rFonts w:ascii="Calibri" w:hAnsi="Calibri" w:cs="Calibri"/>
          <w:sz w:val="24"/>
          <w:szCs w:val="24"/>
        </w:rPr>
        <w:t xml:space="preserve"> STEMI – ST-elevation myocardial infarction</w:t>
      </w:r>
      <w:r w:rsidR="0042346C">
        <w:rPr>
          <w:rFonts w:ascii="Calibri" w:hAnsi="Calibri" w:cs="Calibri"/>
          <w:sz w:val="24"/>
          <w:szCs w:val="24"/>
        </w:rPr>
        <w:t xml:space="preserve">. </w:t>
      </w:r>
      <w:r w:rsidR="00552A1F">
        <w:rPr>
          <w:rFonts w:ascii="Calibri" w:hAnsi="Calibri" w:cs="Calibri"/>
          <w:sz w:val="24"/>
          <w:szCs w:val="24"/>
        </w:rPr>
        <w:t xml:space="preserve">*LV function available </w:t>
      </w:r>
      <w:r w:rsidR="00D53955">
        <w:rPr>
          <w:rFonts w:ascii="Calibri" w:hAnsi="Calibri" w:cs="Calibri"/>
          <w:sz w:val="24"/>
          <w:szCs w:val="24"/>
        </w:rPr>
        <w:t xml:space="preserve">in </w:t>
      </w:r>
      <w:r w:rsidR="00552A1F">
        <w:rPr>
          <w:rFonts w:ascii="Calibri" w:hAnsi="Calibri" w:cs="Calibri"/>
          <w:sz w:val="24"/>
          <w:szCs w:val="24"/>
        </w:rPr>
        <w:t>99 patients</w:t>
      </w:r>
      <w:r w:rsidR="00D53955">
        <w:rPr>
          <w:rFonts w:ascii="Calibri" w:hAnsi="Calibri" w:cs="Calibri"/>
          <w:sz w:val="24"/>
          <w:szCs w:val="24"/>
        </w:rPr>
        <w:t>;</w:t>
      </w:r>
      <w:r w:rsidR="00552A1F">
        <w:rPr>
          <w:rFonts w:ascii="Calibri" w:hAnsi="Calibri" w:cs="Calibri"/>
          <w:sz w:val="24"/>
          <w:szCs w:val="24"/>
        </w:rPr>
        <w:t xml:space="preserve"> </w:t>
      </w:r>
      <w:r w:rsidR="00552A1F" w:rsidRPr="007E772E">
        <w:rPr>
          <w:rFonts w:ascii="Calibri" w:hAnsi="Calibri" w:cs="Calibri"/>
          <w:sz w:val="24"/>
          <w:szCs w:val="24"/>
          <w:vertAlign w:val="superscript"/>
        </w:rPr>
        <w:t>+</w:t>
      </w:r>
      <w:r w:rsidR="00552A1F" w:rsidRPr="007E772E">
        <w:rPr>
          <w:rFonts w:ascii="Calibri" w:hAnsi="Calibri" w:cs="Calibri"/>
          <w:sz w:val="24"/>
          <w:szCs w:val="24"/>
        </w:rPr>
        <w:t>RV</w:t>
      </w:r>
      <w:r w:rsidR="00552A1F">
        <w:rPr>
          <w:rFonts w:ascii="Calibri" w:hAnsi="Calibri" w:cs="Calibri"/>
          <w:sz w:val="24"/>
          <w:szCs w:val="24"/>
        </w:rPr>
        <w:t xml:space="preserve"> function </w:t>
      </w:r>
      <w:r w:rsidR="00D53955">
        <w:rPr>
          <w:rFonts w:ascii="Calibri" w:hAnsi="Calibri" w:cs="Calibri"/>
          <w:sz w:val="24"/>
          <w:szCs w:val="24"/>
        </w:rPr>
        <w:t>available in</w:t>
      </w:r>
      <w:r w:rsidR="00552A1F">
        <w:rPr>
          <w:rFonts w:ascii="Calibri" w:hAnsi="Calibri" w:cs="Calibri"/>
          <w:sz w:val="24"/>
          <w:szCs w:val="24"/>
        </w:rPr>
        <w:t xml:space="preserve"> </w:t>
      </w:r>
      <w:r w:rsidR="00816909">
        <w:rPr>
          <w:rFonts w:ascii="Calibri" w:hAnsi="Calibri" w:cs="Calibri"/>
          <w:sz w:val="24"/>
          <w:szCs w:val="24"/>
        </w:rPr>
        <w:t>72</w:t>
      </w:r>
      <w:r w:rsidR="00523C4D">
        <w:rPr>
          <w:rFonts w:ascii="Calibri" w:hAnsi="Calibri" w:cs="Calibri"/>
          <w:sz w:val="24"/>
          <w:szCs w:val="24"/>
        </w:rPr>
        <w:t xml:space="preserve"> patients</w:t>
      </w:r>
      <w:r w:rsidR="00816909">
        <w:rPr>
          <w:rFonts w:ascii="Calibri" w:hAnsi="Calibri" w:cs="Calibri"/>
          <w:sz w:val="24"/>
          <w:szCs w:val="24"/>
        </w:rPr>
        <w:t>; *</w:t>
      </w:r>
      <w:r w:rsidR="00552A1F">
        <w:rPr>
          <w:rFonts w:ascii="Calibri" w:hAnsi="Calibri" w:cs="Calibri"/>
          <w:sz w:val="24"/>
          <w:szCs w:val="24"/>
        </w:rPr>
        <w:t>*</w:t>
      </w:r>
      <w:r w:rsidR="0073625F">
        <w:rPr>
          <w:rFonts w:ascii="Calibri" w:hAnsi="Calibri" w:cs="Calibri"/>
          <w:sz w:val="24"/>
          <w:szCs w:val="24"/>
        </w:rPr>
        <w:t xml:space="preserve"> total length of stay excluding p</w:t>
      </w:r>
      <w:r w:rsidR="00F52F02">
        <w:rPr>
          <w:rFonts w:ascii="Calibri" w:hAnsi="Calibri" w:cs="Calibri"/>
          <w:sz w:val="24"/>
          <w:szCs w:val="24"/>
        </w:rPr>
        <w:t>eri-procedural mortality</w:t>
      </w:r>
    </w:p>
    <w:p w14:paraId="1C0606A6" w14:textId="77777777" w:rsidR="00523C4D" w:rsidRDefault="00523C4D" w:rsidP="00332A43">
      <w:pPr>
        <w:tabs>
          <w:tab w:val="left" w:pos="2880"/>
        </w:tabs>
        <w:spacing w:line="480" w:lineRule="auto"/>
        <w:rPr>
          <w:rFonts w:ascii="Calibri" w:hAnsi="Calibri" w:cs="Calibri"/>
          <w:b/>
          <w:bCs/>
          <w:sz w:val="24"/>
          <w:szCs w:val="24"/>
        </w:rPr>
      </w:pPr>
    </w:p>
    <w:p w14:paraId="501369AE" w14:textId="77777777" w:rsidR="00523C4D" w:rsidRDefault="00523C4D" w:rsidP="00332A43">
      <w:pPr>
        <w:tabs>
          <w:tab w:val="left" w:pos="2880"/>
        </w:tabs>
        <w:spacing w:line="480" w:lineRule="auto"/>
        <w:rPr>
          <w:rFonts w:ascii="Calibri" w:hAnsi="Calibri" w:cs="Calibri"/>
          <w:b/>
          <w:bCs/>
          <w:sz w:val="24"/>
          <w:szCs w:val="24"/>
        </w:rPr>
      </w:pPr>
    </w:p>
    <w:p w14:paraId="7AD29F6E" w14:textId="77777777" w:rsidR="00523C4D" w:rsidRDefault="00523C4D" w:rsidP="00332A43">
      <w:pPr>
        <w:tabs>
          <w:tab w:val="left" w:pos="2880"/>
        </w:tabs>
        <w:spacing w:line="480" w:lineRule="auto"/>
        <w:rPr>
          <w:rFonts w:ascii="Calibri" w:hAnsi="Calibri" w:cs="Calibri"/>
          <w:b/>
          <w:bCs/>
          <w:sz w:val="24"/>
          <w:szCs w:val="24"/>
        </w:rPr>
      </w:pPr>
    </w:p>
    <w:p w14:paraId="3FB4525F" w14:textId="77777777" w:rsidR="00523C4D" w:rsidRDefault="00523C4D" w:rsidP="00332A43">
      <w:pPr>
        <w:tabs>
          <w:tab w:val="left" w:pos="2880"/>
        </w:tabs>
        <w:spacing w:line="480" w:lineRule="auto"/>
        <w:rPr>
          <w:rFonts w:ascii="Calibri" w:hAnsi="Calibri" w:cs="Calibri"/>
          <w:b/>
          <w:bCs/>
          <w:sz w:val="24"/>
          <w:szCs w:val="24"/>
        </w:rPr>
      </w:pPr>
    </w:p>
    <w:p w14:paraId="16C44785" w14:textId="77777777" w:rsidR="00523C4D" w:rsidRDefault="00523C4D" w:rsidP="00332A43">
      <w:pPr>
        <w:tabs>
          <w:tab w:val="left" w:pos="2880"/>
        </w:tabs>
        <w:spacing w:line="480" w:lineRule="auto"/>
        <w:rPr>
          <w:rFonts w:ascii="Calibri" w:hAnsi="Calibri" w:cs="Calibri"/>
          <w:b/>
          <w:bCs/>
          <w:sz w:val="24"/>
          <w:szCs w:val="24"/>
        </w:rPr>
      </w:pPr>
    </w:p>
    <w:p w14:paraId="1F1F4624" w14:textId="1564866E" w:rsidR="00523C4D" w:rsidRDefault="00B73C2D" w:rsidP="00332A43">
      <w:pPr>
        <w:tabs>
          <w:tab w:val="left" w:pos="2880"/>
        </w:tabs>
        <w:spacing w:line="480" w:lineRule="auto"/>
        <w:rPr>
          <w:rFonts w:ascii="Calibri" w:hAnsi="Calibri" w:cs="Calibri"/>
          <w:b/>
          <w:bCs/>
          <w:sz w:val="24"/>
          <w:szCs w:val="24"/>
        </w:rPr>
      </w:pPr>
      <w:r>
        <w:rPr>
          <w:rFonts w:ascii="Calibri" w:hAnsi="Calibri" w:cs="Calibri"/>
          <w:b/>
          <w:bCs/>
          <w:sz w:val="24"/>
          <w:szCs w:val="24"/>
        </w:rPr>
        <w:lastRenderedPageBreak/>
        <w:t xml:space="preserve">Table 2 </w:t>
      </w:r>
      <w:r w:rsidR="00237064">
        <w:rPr>
          <w:rFonts w:ascii="Calibri" w:hAnsi="Calibri" w:cs="Calibri"/>
          <w:b/>
          <w:bCs/>
          <w:sz w:val="24"/>
          <w:szCs w:val="24"/>
        </w:rPr>
        <w:t>– Lesion characteristics</w:t>
      </w:r>
    </w:p>
    <w:tbl>
      <w:tblPr>
        <w:tblpPr w:leftFromText="180" w:rightFromText="180" w:vertAnchor="text" w:horzAnchor="margin" w:tblpY="115"/>
        <w:tblW w:w="9687" w:type="dxa"/>
        <w:tblCellMar>
          <w:left w:w="0" w:type="dxa"/>
          <w:right w:w="0" w:type="dxa"/>
        </w:tblCellMar>
        <w:tblLook w:val="0420" w:firstRow="1" w:lastRow="0" w:firstColumn="0" w:lastColumn="0" w:noHBand="0" w:noVBand="1"/>
      </w:tblPr>
      <w:tblGrid>
        <w:gridCol w:w="3755"/>
        <w:gridCol w:w="2300"/>
        <w:gridCol w:w="2268"/>
        <w:gridCol w:w="1364"/>
      </w:tblGrid>
      <w:tr w:rsidR="00523C4D" w:rsidRPr="00523C4D" w14:paraId="66076447" w14:textId="77777777" w:rsidTr="00523C4D">
        <w:trPr>
          <w:trHeight w:val="251"/>
        </w:trPr>
        <w:tc>
          <w:tcPr>
            <w:tcW w:w="3755" w:type="dxa"/>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2F87E787"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2300" w:type="dxa"/>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0BC9EDD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Standard care (n=83)</w:t>
            </w:r>
          </w:p>
        </w:tc>
        <w:tc>
          <w:tcPr>
            <w:tcW w:w="2268" w:type="dxa"/>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5CB591F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 xml:space="preserve">ACT input </w:t>
            </w:r>
          </w:p>
          <w:p w14:paraId="3CAC9FA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(n=82)</w:t>
            </w:r>
          </w:p>
        </w:tc>
        <w:tc>
          <w:tcPr>
            <w:tcW w:w="1364" w:type="dxa"/>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45764A26" w14:textId="0131044F"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p-value</w:t>
            </w:r>
          </w:p>
        </w:tc>
      </w:tr>
      <w:tr w:rsidR="00523C4D" w:rsidRPr="00523C4D" w14:paraId="57F8F774" w14:textId="77777777" w:rsidTr="00523C4D">
        <w:trPr>
          <w:trHeight w:val="143"/>
        </w:trPr>
        <w:tc>
          <w:tcPr>
            <w:tcW w:w="3755" w:type="dxa"/>
            <w:tcBorders>
              <w:top w:val="single" w:sz="18" w:space="0" w:color="000000"/>
              <w:left w:val="nil"/>
              <w:bottom w:val="nil"/>
              <w:right w:val="nil"/>
            </w:tcBorders>
            <w:shd w:val="clear" w:color="auto" w:fill="E7E7E7"/>
            <w:tcMar>
              <w:top w:w="32" w:type="dxa"/>
              <w:left w:w="15" w:type="dxa"/>
              <w:bottom w:w="237" w:type="dxa"/>
              <w:right w:w="79" w:type="dxa"/>
            </w:tcMar>
            <w:hideMark/>
          </w:tcPr>
          <w:p w14:paraId="449ED4C7"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Pre-operative DAPT </w:t>
            </w:r>
            <w:r w:rsidRPr="00523C4D">
              <w:rPr>
                <w:rFonts w:ascii="Aptos" w:eastAsia="Times New Roman" w:hAnsi="Aptos" w:cs="Arial"/>
                <w:color w:val="000000" w:themeColor="text1"/>
                <w:kern w:val="24"/>
                <w:sz w:val="20"/>
                <w:szCs w:val="20"/>
                <w:lang w:eastAsia="en-GB"/>
              </w:rPr>
              <w:t>(n (%))</w:t>
            </w:r>
          </w:p>
        </w:tc>
        <w:tc>
          <w:tcPr>
            <w:tcW w:w="2300" w:type="dxa"/>
            <w:tcBorders>
              <w:top w:val="single" w:sz="18" w:space="0" w:color="000000"/>
              <w:left w:val="nil"/>
              <w:bottom w:val="nil"/>
              <w:right w:val="nil"/>
            </w:tcBorders>
            <w:shd w:val="clear" w:color="auto" w:fill="E7E7E7"/>
            <w:tcMar>
              <w:top w:w="32" w:type="dxa"/>
              <w:left w:w="15" w:type="dxa"/>
              <w:bottom w:w="237" w:type="dxa"/>
              <w:right w:w="79" w:type="dxa"/>
            </w:tcMar>
            <w:hideMark/>
          </w:tcPr>
          <w:p w14:paraId="1C55C01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50 (60.2)</w:t>
            </w:r>
          </w:p>
        </w:tc>
        <w:tc>
          <w:tcPr>
            <w:tcW w:w="2268" w:type="dxa"/>
            <w:tcBorders>
              <w:top w:val="single" w:sz="18" w:space="0" w:color="000000"/>
              <w:left w:val="nil"/>
              <w:bottom w:val="nil"/>
              <w:right w:val="nil"/>
            </w:tcBorders>
            <w:shd w:val="clear" w:color="auto" w:fill="E7E7E7"/>
            <w:tcMar>
              <w:top w:w="32" w:type="dxa"/>
              <w:left w:w="15" w:type="dxa"/>
              <w:bottom w:w="237" w:type="dxa"/>
              <w:right w:w="79" w:type="dxa"/>
            </w:tcMar>
            <w:hideMark/>
          </w:tcPr>
          <w:p w14:paraId="20B71E7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52 (63.1)</w:t>
            </w:r>
          </w:p>
        </w:tc>
        <w:tc>
          <w:tcPr>
            <w:tcW w:w="1364" w:type="dxa"/>
            <w:tcBorders>
              <w:top w:val="single" w:sz="18" w:space="0" w:color="000000"/>
              <w:left w:val="nil"/>
              <w:bottom w:val="nil"/>
              <w:right w:val="nil"/>
            </w:tcBorders>
            <w:shd w:val="clear" w:color="auto" w:fill="E7E7E7"/>
            <w:tcMar>
              <w:top w:w="32" w:type="dxa"/>
              <w:left w:w="15" w:type="dxa"/>
              <w:bottom w:w="237" w:type="dxa"/>
              <w:right w:w="79" w:type="dxa"/>
            </w:tcMar>
            <w:hideMark/>
          </w:tcPr>
          <w:p w14:paraId="2C190C48" w14:textId="35429AFE"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0.56</w:t>
            </w:r>
          </w:p>
        </w:tc>
      </w:tr>
      <w:tr w:rsidR="00523C4D" w:rsidRPr="00523C4D" w14:paraId="2BA86CBF" w14:textId="77777777" w:rsidTr="00523C4D">
        <w:trPr>
          <w:trHeight w:val="143"/>
        </w:trPr>
        <w:tc>
          <w:tcPr>
            <w:tcW w:w="3755" w:type="dxa"/>
            <w:tcBorders>
              <w:top w:val="nil"/>
              <w:left w:val="nil"/>
              <w:bottom w:val="nil"/>
              <w:right w:val="nil"/>
            </w:tcBorders>
            <w:shd w:val="clear" w:color="auto" w:fill="FFFFFF"/>
            <w:tcMar>
              <w:top w:w="32" w:type="dxa"/>
              <w:left w:w="15" w:type="dxa"/>
              <w:bottom w:w="237" w:type="dxa"/>
              <w:right w:w="79" w:type="dxa"/>
            </w:tcMar>
            <w:hideMark/>
          </w:tcPr>
          <w:p w14:paraId="0539FA0E"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Access </w:t>
            </w:r>
          </w:p>
        </w:tc>
        <w:tc>
          <w:tcPr>
            <w:tcW w:w="2300" w:type="dxa"/>
            <w:tcBorders>
              <w:top w:val="nil"/>
              <w:left w:val="nil"/>
              <w:bottom w:val="nil"/>
              <w:right w:val="nil"/>
            </w:tcBorders>
            <w:shd w:val="clear" w:color="auto" w:fill="FFFFFF"/>
            <w:tcMar>
              <w:top w:w="32" w:type="dxa"/>
              <w:left w:w="15" w:type="dxa"/>
              <w:bottom w:w="237" w:type="dxa"/>
              <w:right w:w="79" w:type="dxa"/>
            </w:tcMar>
            <w:hideMark/>
          </w:tcPr>
          <w:p w14:paraId="1C3AA78E"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2268" w:type="dxa"/>
            <w:tcBorders>
              <w:top w:val="nil"/>
              <w:left w:val="nil"/>
              <w:bottom w:val="nil"/>
              <w:right w:val="nil"/>
            </w:tcBorders>
            <w:shd w:val="clear" w:color="auto" w:fill="FFFFFF"/>
            <w:tcMar>
              <w:top w:w="32" w:type="dxa"/>
              <w:left w:w="15" w:type="dxa"/>
              <w:bottom w:w="237" w:type="dxa"/>
              <w:right w:w="79" w:type="dxa"/>
            </w:tcMar>
            <w:hideMark/>
          </w:tcPr>
          <w:p w14:paraId="113ABC78"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1364" w:type="dxa"/>
            <w:tcBorders>
              <w:top w:val="nil"/>
              <w:left w:val="nil"/>
              <w:bottom w:val="nil"/>
              <w:right w:val="nil"/>
            </w:tcBorders>
            <w:shd w:val="clear" w:color="auto" w:fill="FFFFFF"/>
            <w:tcMar>
              <w:top w:w="32" w:type="dxa"/>
              <w:left w:w="15" w:type="dxa"/>
              <w:bottom w:w="237" w:type="dxa"/>
              <w:right w:w="79" w:type="dxa"/>
            </w:tcMar>
            <w:hideMark/>
          </w:tcPr>
          <w:p w14:paraId="155CFED2" w14:textId="6D57A111"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7CDA8881" w14:textId="77777777" w:rsidTr="00523C4D">
        <w:trPr>
          <w:trHeight w:val="143"/>
        </w:trPr>
        <w:tc>
          <w:tcPr>
            <w:tcW w:w="3755" w:type="dxa"/>
            <w:tcBorders>
              <w:top w:val="nil"/>
              <w:left w:val="nil"/>
              <w:bottom w:val="nil"/>
              <w:right w:val="nil"/>
            </w:tcBorders>
            <w:shd w:val="clear" w:color="auto" w:fill="E7E7E7"/>
            <w:tcMar>
              <w:top w:w="32" w:type="dxa"/>
              <w:left w:w="15" w:type="dxa"/>
              <w:bottom w:w="237" w:type="dxa"/>
              <w:right w:w="79" w:type="dxa"/>
            </w:tcMar>
            <w:hideMark/>
          </w:tcPr>
          <w:p w14:paraId="7760A689"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Radial artery (n (%))</w:t>
            </w:r>
          </w:p>
        </w:tc>
        <w:tc>
          <w:tcPr>
            <w:tcW w:w="2300" w:type="dxa"/>
            <w:tcBorders>
              <w:top w:val="nil"/>
              <w:left w:val="nil"/>
              <w:bottom w:val="nil"/>
              <w:right w:val="nil"/>
            </w:tcBorders>
            <w:shd w:val="clear" w:color="auto" w:fill="E7E7E7"/>
            <w:tcMar>
              <w:top w:w="32" w:type="dxa"/>
              <w:left w:w="15" w:type="dxa"/>
              <w:bottom w:w="237" w:type="dxa"/>
              <w:right w:w="79" w:type="dxa"/>
            </w:tcMar>
            <w:hideMark/>
          </w:tcPr>
          <w:p w14:paraId="51E1DD1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66 (79.4)</w:t>
            </w:r>
          </w:p>
        </w:tc>
        <w:tc>
          <w:tcPr>
            <w:tcW w:w="2268" w:type="dxa"/>
            <w:tcBorders>
              <w:top w:val="nil"/>
              <w:left w:val="nil"/>
              <w:bottom w:val="nil"/>
              <w:right w:val="nil"/>
            </w:tcBorders>
            <w:shd w:val="clear" w:color="auto" w:fill="E7E7E7"/>
            <w:tcMar>
              <w:top w:w="32" w:type="dxa"/>
              <w:left w:w="15" w:type="dxa"/>
              <w:bottom w:w="237" w:type="dxa"/>
              <w:right w:w="79" w:type="dxa"/>
            </w:tcMar>
            <w:hideMark/>
          </w:tcPr>
          <w:p w14:paraId="60EB96F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57 (69.7)</w:t>
            </w:r>
          </w:p>
        </w:tc>
        <w:tc>
          <w:tcPr>
            <w:tcW w:w="1364" w:type="dxa"/>
            <w:tcBorders>
              <w:top w:val="nil"/>
              <w:left w:val="nil"/>
              <w:bottom w:val="nil"/>
              <w:right w:val="nil"/>
            </w:tcBorders>
            <w:shd w:val="clear" w:color="auto" w:fill="E7E7E7"/>
            <w:tcMar>
              <w:top w:w="32" w:type="dxa"/>
              <w:left w:w="15" w:type="dxa"/>
              <w:bottom w:w="237" w:type="dxa"/>
              <w:right w:w="79" w:type="dxa"/>
            </w:tcMar>
            <w:hideMark/>
          </w:tcPr>
          <w:p w14:paraId="490C6DBB" w14:textId="6944DF35"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0.45</w:t>
            </w:r>
          </w:p>
        </w:tc>
      </w:tr>
      <w:tr w:rsidR="00523C4D" w:rsidRPr="00523C4D" w14:paraId="24C60EBD" w14:textId="77777777" w:rsidTr="00523C4D">
        <w:trPr>
          <w:trHeight w:val="143"/>
        </w:trPr>
        <w:tc>
          <w:tcPr>
            <w:tcW w:w="3755" w:type="dxa"/>
            <w:tcBorders>
              <w:top w:val="nil"/>
              <w:left w:val="nil"/>
              <w:bottom w:val="nil"/>
              <w:right w:val="nil"/>
            </w:tcBorders>
            <w:shd w:val="clear" w:color="auto" w:fill="FFFFFF"/>
            <w:tcMar>
              <w:top w:w="32" w:type="dxa"/>
              <w:left w:w="15" w:type="dxa"/>
              <w:bottom w:w="237" w:type="dxa"/>
              <w:right w:w="79" w:type="dxa"/>
            </w:tcMar>
            <w:hideMark/>
          </w:tcPr>
          <w:p w14:paraId="66B3BA71"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Femoral artery (n (%))</w:t>
            </w:r>
          </w:p>
        </w:tc>
        <w:tc>
          <w:tcPr>
            <w:tcW w:w="2300" w:type="dxa"/>
            <w:tcBorders>
              <w:top w:val="nil"/>
              <w:left w:val="nil"/>
              <w:bottom w:val="nil"/>
              <w:right w:val="nil"/>
            </w:tcBorders>
            <w:shd w:val="clear" w:color="auto" w:fill="FFFFFF"/>
            <w:tcMar>
              <w:top w:w="32" w:type="dxa"/>
              <w:left w:w="15" w:type="dxa"/>
              <w:bottom w:w="237" w:type="dxa"/>
              <w:right w:w="79" w:type="dxa"/>
            </w:tcMar>
            <w:hideMark/>
          </w:tcPr>
          <w:p w14:paraId="18046B6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17 (20.6)</w:t>
            </w:r>
          </w:p>
        </w:tc>
        <w:tc>
          <w:tcPr>
            <w:tcW w:w="2268" w:type="dxa"/>
            <w:tcBorders>
              <w:top w:val="nil"/>
              <w:left w:val="nil"/>
              <w:bottom w:val="nil"/>
              <w:right w:val="nil"/>
            </w:tcBorders>
            <w:shd w:val="clear" w:color="auto" w:fill="FFFFFF"/>
            <w:tcMar>
              <w:top w:w="32" w:type="dxa"/>
              <w:left w:w="15" w:type="dxa"/>
              <w:bottom w:w="237" w:type="dxa"/>
              <w:right w:w="79" w:type="dxa"/>
            </w:tcMar>
            <w:hideMark/>
          </w:tcPr>
          <w:p w14:paraId="7C98120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25 (30.3)</w:t>
            </w:r>
          </w:p>
        </w:tc>
        <w:tc>
          <w:tcPr>
            <w:tcW w:w="1364" w:type="dxa"/>
            <w:tcBorders>
              <w:top w:val="nil"/>
              <w:left w:val="nil"/>
              <w:bottom w:val="nil"/>
              <w:right w:val="nil"/>
            </w:tcBorders>
            <w:shd w:val="clear" w:color="auto" w:fill="FFFFFF"/>
            <w:tcMar>
              <w:top w:w="32" w:type="dxa"/>
              <w:left w:w="15" w:type="dxa"/>
              <w:bottom w:w="237" w:type="dxa"/>
              <w:right w:w="79" w:type="dxa"/>
            </w:tcMar>
            <w:hideMark/>
          </w:tcPr>
          <w:p w14:paraId="70F93DD5" w14:textId="6B7B7D99"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0.45</w:t>
            </w:r>
          </w:p>
        </w:tc>
      </w:tr>
      <w:tr w:rsidR="00523C4D" w:rsidRPr="00523C4D" w14:paraId="2998E39D" w14:textId="77777777" w:rsidTr="00523C4D">
        <w:trPr>
          <w:trHeight w:val="143"/>
        </w:trPr>
        <w:tc>
          <w:tcPr>
            <w:tcW w:w="3755" w:type="dxa"/>
            <w:tcBorders>
              <w:top w:val="nil"/>
              <w:left w:val="nil"/>
              <w:bottom w:val="nil"/>
              <w:right w:val="nil"/>
            </w:tcBorders>
            <w:shd w:val="clear" w:color="auto" w:fill="E7E7E7"/>
            <w:tcMar>
              <w:top w:w="32" w:type="dxa"/>
              <w:left w:w="15" w:type="dxa"/>
              <w:bottom w:w="237" w:type="dxa"/>
              <w:right w:w="79" w:type="dxa"/>
            </w:tcMar>
            <w:hideMark/>
          </w:tcPr>
          <w:p w14:paraId="5D3033F6"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Vessel</w:t>
            </w:r>
          </w:p>
        </w:tc>
        <w:tc>
          <w:tcPr>
            <w:tcW w:w="2300" w:type="dxa"/>
            <w:tcBorders>
              <w:top w:val="nil"/>
              <w:left w:val="nil"/>
              <w:bottom w:val="nil"/>
              <w:right w:val="nil"/>
            </w:tcBorders>
            <w:shd w:val="clear" w:color="auto" w:fill="E7E7E7"/>
            <w:tcMar>
              <w:top w:w="32" w:type="dxa"/>
              <w:left w:w="15" w:type="dxa"/>
              <w:bottom w:w="237" w:type="dxa"/>
              <w:right w:w="79" w:type="dxa"/>
            </w:tcMar>
            <w:hideMark/>
          </w:tcPr>
          <w:p w14:paraId="1D465343"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2268" w:type="dxa"/>
            <w:tcBorders>
              <w:top w:val="nil"/>
              <w:left w:val="nil"/>
              <w:bottom w:val="nil"/>
              <w:right w:val="nil"/>
            </w:tcBorders>
            <w:shd w:val="clear" w:color="auto" w:fill="E7E7E7"/>
            <w:tcMar>
              <w:top w:w="32" w:type="dxa"/>
              <w:left w:w="15" w:type="dxa"/>
              <w:bottom w:w="237" w:type="dxa"/>
              <w:right w:w="79" w:type="dxa"/>
            </w:tcMar>
            <w:hideMark/>
          </w:tcPr>
          <w:p w14:paraId="2DF50496"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1364" w:type="dxa"/>
            <w:tcBorders>
              <w:top w:val="nil"/>
              <w:left w:val="nil"/>
              <w:bottom w:val="nil"/>
              <w:right w:val="nil"/>
            </w:tcBorders>
            <w:shd w:val="clear" w:color="auto" w:fill="E7E7E7"/>
            <w:tcMar>
              <w:top w:w="32" w:type="dxa"/>
              <w:left w:w="15" w:type="dxa"/>
              <w:bottom w:w="237" w:type="dxa"/>
              <w:right w:w="79" w:type="dxa"/>
            </w:tcMar>
            <w:hideMark/>
          </w:tcPr>
          <w:p w14:paraId="2BBDC0C4" w14:textId="1F2B48C4" w:rsidR="00523C4D" w:rsidRPr="00523C4D" w:rsidRDefault="00523C4D" w:rsidP="00523C4D">
            <w:pPr>
              <w:spacing w:after="0" w:line="240" w:lineRule="auto"/>
              <w:rPr>
                <w:rFonts w:ascii="Times New Roman" w:eastAsia="Times New Roman" w:hAnsi="Times New Roman" w:cs="Times New Roman"/>
                <w:sz w:val="20"/>
                <w:szCs w:val="20"/>
                <w:lang w:eastAsia="en-GB"/>
              </w:rPr>
            </w:pPr>
          </w:p>
        </w:tc>
      </w:tr>
      <w:tr w:rsidR="00523C4D" w:rsidRPr="00523C4D" w14:paraId="6519D8F2" w14:textId="77777777" w:rsidTr="00523C4D">
        <w:trPr>
          <w:trHeight w:val="143"/>
        </w:trPr>
        <w:tc>
          <w:tcPr>
            <w:tcW w:w="3755" w:type="dxa"/>
            <w:tcBorders>
              <w:top w:val="nil"/>
              <w:left w:val="nil"/>
              <w:bottom w:val="nil"/>
              <w:right w:val="nil"/>
            </w:tcBorders>
            <w:shd w:val="clear" w:color="auto" w:fill="FFFFFF"/>
            <w:tcMar>
              <w:top w:w="32" w:type="dxa"/>
              <w:left w:w="15" w:type="dxa"/>
              <w:bottom w:w="237" w:type="dxa"/>
              <w:right w:w="79" w:type="dxa"/>
            </w:tcMar>
            <w:hideMark/>
          </w:tcPr>
          <w:p w14:paraId="6960D1A7"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RCA (n (%))</w:t>
            </w:r>
          </w:p>
        </w:tc>
        <w:tc>
          <w:tcPr>
            <w:tcW w:w="2300" w:type="dxa"/>
            <w:tcBorders>
              <w:top w:val="nil"/>
              <w:left w:val="nil"/>
              <w:bottom w:val="nil"/>
              <w:right w:val="nil"/>
            </w:tcBorders>
            <w:shd w:val="clear" w:color="auto" w:fill="FFFFFF"/>
            <w:tcMar>
              <w:top w:w="32" w:type="dxa"/>
              <w:left w:w="15" w:type="dxa"/>
              <w:bottom w:w="237" w:type="dxa"/>
              <w:right w:w="79" w:type="dxa"/>
            </w:tcMar>
            <w:hideMark/>
          </w:tcPr>
          <w:p w14:paraId="4257E8C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32 (38.4)</w:t>
            </w:r>
          </w:p>
        </w:tc>
        <w:tc>
          <w:tcPr>
            <w:tcW w:w="2268" w:type="dxa"/>
            <w:tcBorders>
              <w:top w:val="nil"/>
              <w:left w:val="nil"/>
              <w:bottom w:val="nil"/>
              <w:right w:val="nil"/>
            </w:tcBorders>
            <w:shd w:val="clear" w:color="auto" w:fill="FFFFFF"/>
            <w:tcMar>
              <w:top w:w="32" w:type="dxa"/>
              <w:left w:w="15" w:type="dxa"/>
              <w:bottom w:w="237" w:type="dxa"/>
              <w:right w:w="79" w:type="dxa"/>
            </w:tcMar>
            <w:hideMark/>
          </w:tcPr>
          <w:p w14:paraId="418A16D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37 (44.7)</w:t>
            </w:r>
          </w:p>
        </w:tc>
        <w:tc>
          <w:tcPr>
            <w:tcW w:w="1364" w:type="dxa"/>
            <w:tcBorders>
              <w:top w:val="nil"/>
              <w:left w:val="nil"/>
              <w:bottom w:val="nil"/>
              <w:right w:val="nil"/>
            </w:tcBorders>
            <w:shd w:val="clear" w:color="auto" w:fill="FFFFFF"/>
            <w:tcMar>
              <w:top w:w="32" w:type="dxa"/>
              <w:left w:w="15" w:type="dxa"/>
              <w:bottom w:w="237" w:type="dxa"/>
              <w:right w:w="79" w:type="dxa"/>
            </w:tcMar>
            <w:hideMark/>
          </w:tcPr>
          <w:p w14:paraId="699A7225" w14:textId="5EFF62B5"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0.70</w:t>
            </w:r>
          </w:p>
        </w:tc>
      </w:tr>
      <w:tr w:rsidR="00523C4D" w:rsidRPr="00523C4D" w14:paraId="10F17198" w14:textId="77777777" w:rsidTr="00523C4D">
        <w:trPr>
          <w:trHeight w:val="143"/>
        </w:trPr>
        <w:tc>
          <w:tcPr>
            <w:tcW w:w="3755" w:type="dxa"/>
            <w:tcBorders>
              <w:top w:val="nil"/>
              <w:left w:val="nil"/>
              <w:bottom w:val="nil"/>
              <w:right w:val="nil"/>
            </w:tcBorders>
            <w:shd w:val="clear" w:color="auto" w:fill="E7E7E7"/>
            <w:tcMar>
              <w:top w:w="32" w:type="dxa"/>
              <w:left w:w="15" w:type="dxa"/>
              <w:bottom w:w="237" w:type="dxa"/>
              <w:right w:w="79" w:type="dxa"/>
            </w:tcMar>
            <w:hideMark/>
          </w:tcPr>
          <w:p w14:paraId="2BA49E26"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LCX (n (%))</w:t>
            </w:r>
          </w:p>
        </w:tc>
        <w:tc>
          <w:tcPr>
            <w:tcW w:w="2300" w:type="dxa"/>
            <w:tcBorders>
              <w:top w:val="nil"/>
              <w:left w:val="nil"/>
              <w:bottom w:val="nil"/>
              <w:right w:val="nil"/>
            </w:tcBorders>
            <w:shd w:val="clear" w:color="auto" w:fill="E7E7E7"/>
            <w:tcMar>
              <w:top w:w="32" w:type="dxa"/>
              <w:left w:w="15" w:type="dxa"/>
              <w:bottom w:w="237" w:type="dxa"/>
              <w:right w:w="79" w:type="dxa"/>
            </w:tcMar>
            <w:hideMark/>
          </w:tcPr>
          <w:p w14:paraId="6553D04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22 (26.9)</w:t>
            </w:r>
          </w:p>
        </w:tc>
        <w:tc>
          <w:tcPr>
            <w:tcW w:w="2268" w:type="dxa"/>
            <w:tcBorders>
              <w:top w:val="nil"/>
              <w:left w:val="nil"/>
              <w:bottom w:val="nil"/>
              <w:right w:val="nil"/>
            </w:tcBorders>
            <w:shd w:val="clear" w:color="auto" w:fill="E7E7E7"/>
            <w:tcMar>
              <w:top w:w="32" w:type="dxa"/>
              <w:left w:w="15" w:type="dxa"/>
              <w:bottom w:w="237" w:type="dxa"/>
              <w:right w:w="79" w:type="dxa"/>
            </w:tcMar>
            <w:hideMark/>
          </w:tcPr>
          <w:p w14:paraId="5B6AF22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24 (28.9)</w:t>
            </w:r>
          </w:p>
        </w:tc>
        <w:tc>
          <w:tcPr>
            <w:tcW w:w="1364" w:type="dxa"/>
            <w:tcBorders>
              <w:top w:val="nil"/>
              <w:left w:val="nil"/>
              <w:bottom w:val="nil"/>
              <w:right w:val="nil"/>
            </w:tcBorders>
            <w:shd w:val="clear" w:color="auto" w:fill="E7E7E7"/>
            <w:tcMar>
              <w:top w:w="32" w:type="dxa"/>
              <w:left w:w="15" w:type="dxa"/>
              <w:bottom w:w="237" w:type="dxa"/>
              <w:right w:w="79" w:type="dxa"/>
            </w:tcMar>
            <w:hideMark/>
          </w:tcPr>
          <w:p w14:paraId="30D90715" w14:textId="28D030A2"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0.57</w:t>
            </w:r>
          </w:p>
        </w:tc>
      </w:tr>
      <w:tr w:rsidR="00523C4D" w:rsidRPr="00523C4D" w14:paraId="1F9A812A" w14:textId="77777777" w:rsidTr="00523C4D">
        <w:trPr>
          <w:trHeight w:val="143"/>
        </w:trPr>
        <w:tc>
          <w:tcPr>
            <w:tcW w:w="3755" w:type="dxa"/>
            <w:tcBorders>
              <w:top w:val="nil"/>
              <w:left w:val="nil"/>
              <w:bottom w:val="nil"/>
              <w:right w:val="nil"/>
            </w:tcBorders>
            <w:shd w:val="clear" w:color="auto" w:fill="FFFFFF"/>
            <w:tcMar>
              <w:top w:w="32" w:type="dxa"/>
              <w:left w:w="15" w:type="dxa"/>
              <w:bottom w:w="237" w:type="dxa"/>
              <w:right w:w="79" w:type="dxa"/>
            </w:tcMar>
            <w:hideMark/>
          </w:tcPr>
          <w:p w14:paraId="199F9A34"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LAD (n (%))</w:t>
            </w:r>
          </w:p>
        </w:tc>
        <w:tc>
          <w:tcPr>
            <w:tcW w:w="2300" w:type="dxa"/>
            <w:tcBorders>
              <w:top w:val="nil"/>
              <w:left w:val="nil"/>
              <w:bottom w:val="nil"/>
              <w:right w:val="nil"/>
            </w:tcBorders>
            <w:shd w:val="clear" w:color="auto" w:fill="FFFFFF"/>
            <w:tcMar>
              <w:top w:w="32" w:type="dxa"/>
              <w:left w:w="15" w:type="dxa"/>
              <w:bottom w:w="237" w:type="dxa"/>
              <w:right w:w="79" w:type="dxa"/>
            </w:tcMar>
            <w:hideMark/>
          </w:tcPr>
          <w:p w14:paraId="1AEB896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38 (46.1)</w:t>
            </w:r>
          </w:p>
        </w:tc>
        <w:tc>
          <w:tcPr>
            <w:tcW w:w="2268" w:type="dxa"/>
            <w:tcBorders>
              <w:top w:val="nil"/>
              <w:left w:val="nil"/>
              <w:bottom w:val="nil"/>
              <w:right w:val="nil"/>
            </w:tcBorders>
            <w:shd w:val="clear" w:color="auto" w:fill="FFFFFF"/>
            <w:tcMar>
              <w:top w:w="32" w:type="dxa"/>
              <w:left w:w="15" w:type="dxa"/>
              <w:bottom w:w="237" w:type="dxa"/>
              <w:right w:w="79" w:type="dxa"/>
            </w:tcMar>
            <w:hideMark/>
          </w:tcPr>
          <w:p w14:paraId="5902ACA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35 (42.1)</w:t>
            </w:r>
          </w:p>
        </w:tc>
        <w:tc>
          <w:tcPr>
            <w:tcW w:w="1364" w:type="dxa"/>
            <w:tcBorders>
              <w:top w:val="nil"/>
              <w:left w:val="nil"/>
              <w:bottom w:val="nil"/>
              <w:right w:val="nil"/>
            </w:tcBorders>
            <w:shd w:val="clear" w:color="auto" w:fill="FFFFFF"/>
            <w:tcMar>
              <w:top w:w="32" w:type="dxa"/>
              <w:left w:w="15" w:type="dxa"/>
              <w:bottom w:w="237" w:type="dxa"/>
              <w:right w:w="79" w:type="dxa"/>
            </w:tcMar>
            <w:hideMark/>
          </w:tcPr>
          <w:p w14:paraId="56A55429" w14:textId="0555D580"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0.80</w:t>
            </w:r>
          </w:p>
        </w:tc>
      </w:tr>
      <w:tr w:rsidR="00523C4D" w:rsidRPr="00523C4D" w14:paraId="3ECD902B" w14:textId="77777777" w:rsidTr="00523C4D">
        <w:trPr>
          <w:trHeight w:val="143"/>
        </w:trPr>
        <w:tc>
          <w:tcPr>
            <w:tcW w:w="3755" w:type="dxa"/>
            <w:tcBorders>
              <w:top w:val="nil"/>
              <w:left w:val="nil"/>
              <w:bottom w:val="nil"/>
              <w:right w:val="nil"/>
            </w:tcBorders>
            <w:shd w:val="clear" w:color="auto" w:fill="E7E7E7"/>
            <w:tcMar>
              <w:top w:w="32" w:type="dxa"/>
              <w:left w:w="15" w:type="dxa"/>
              <w:bottom w:w="237" w:type="dxa"/>
              <w:right w:w="79" w:type="dxa"/>
            </w:tcMar>
            <w:hideMark/>
          </w:tcPr>
          <w:p w14:paraId="0559DAB0"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LM (n (%))</w:t>
            </w:r>
          </w:p>
        </w:tc>
        <w:tc>
          <w:tcPr>
            <w:tcW w:w="2300" w:type="dxa"/>
            <w:tcBorders>
              <w:top w:val="nil"/>
              <w:left w:val="nil"/>
              <w:bottom w:val="nil"/>
              <w:right w:val="nil"/>
            </w:tcBorders>
            <w:shd w:val="clear" w:color="auto" w:fill="E7E7E7"/>
            <w:tcMar>
              <w:top w:w="32" w:type="dxa"/>
              <w:left w:w="15" w:type="dxa"/>
              <w:bottom w:w="237" w:type="dxa"/>
              <w:right w:w="79" w:type="dxa"/>
            </w:tcMar>
            <w:hideMark/>
          </w:tcPr>
          <w:p w14:paraId="63274EC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11 (12.8)</w:t>
            </w:r>
          </w:p>
        </w:tc>
        <w:tc>
          <w:tcPr>
            <w:tcW w:w="2268" w:type="dxa"/>
            <w:tcBorders>
              <w:top w:val="nil"/>
              <w:left w:val="nil"/>
              <w:bottom w:val="nil"/>
              <w:right w:val="nil"/>
            </w:tcBorders>
            <w:shd w:val="clear" w:color="auto" w:fill="E7E7E7"/>
            <w:tcMar>
              <w:top w:w="32" w:type="dxa"/>
              <w:left w:w="15" w:type="dxa"/>
              <w:bottom w:w="237" w:type="dxa"/>
              <w:right w:w="79" w:type="dxa"/>
            </w:tcMar>
            <w:hideMark/>
          </w:tcPr>
          <w:p w14:paraId="7606150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8 (9.2)</w:t>
            </w:r>
          </w:p>
        </w:tc>
        <w:tc>
          <w:tcPr>
            <w:tcW w:w="1364" w:type="dxa"/>
            <w:tcBorders>
              <w:top w:val="nil"/>
              <w:left w:val="nil"/>
              <w:bottom w:val="nil"/>
              <w:right w:val="nil"/>
            </w:tcBorders>
            <w:shd w:val="clear" w:color="auto" w:fill="E7E7E7"/>
            <w:tcMar>
              <w:top w:w="32" w:type="dxa"/>
              <w:left w:w="15" w:type="dxa"/>
              <w:bottom w:w="237" w:type="dxa"/>
              <w:right w:w="79" w:type="dxa"/>
            </w:tcMar>
            <w:hideMark/>
          </w:tcPr>
          <w:p w14:paraId="6261036E" w14:textId="29AD0FAF"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0.82</w:t>
            </w:r>
          </w:p>
        </w:tc>
      </w:tr>
      <w:tr w:rsidR="00523C4D" w:rsidRPr="00523C4D" w14:paraId="48980085" w14:textId="77777777" w:rsidTr="00523C4D">
        <w:trPr>
          <w:trHeight w:val="139"/>
        </w:trPr>
        <w:tc>
          <w:tcPr>
            <w:tcW w:w="3755" w:type="dxa"/>
            <w:tcBorders>
              <w:top w:val="nil"/>
              <w:left w:val="nil"/>
              <w:bottom w:val="nil"/>
              <w:right w:val="nil"/>
            </w:tcBorders>
            <w:shd w:val="clear" w:color="auto" w:fill="FFFFFF"/>
            <w:tcMar>
              <w:top w:w="32" w:type="dxa"/>
              <w:left w:w="15" w:type="dxa"/>
              <w:bottom w:w="237" w:type="dxa"/>
              <w:right w:w="79" w:type="dxa"/>
            </w:tcMar>
            <w:hideMark/>
          </w:tcPr>
          <w:p w14:paraId="6F20891A"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No. target lesions </w:t>
            </w:r>
            <w:r w:rsidRPr="00523C4D">
              <w:rPr>
                <w:rFonts w:ascii="Aptos" w:eastAsia="Times New Roman" w:hAnsi="Aptos" w:cs="Arial"/>
                <w:color w:val="000000" w:themeColor="text1"/>
                <w:kern w:val="24"/>
                <w:sz w:val="20"/>
                <w:szCs w:val="20"/>
                <w:lang w:eastAsia="en-GB"/>
              </w:rPr>
              <w:t>(n)</w:t>
            </w:r>
          </w:p>
        </w:tc>
        <w:tc>
          <w:tcPr>
            <w:tcW w:w="2300" w:type="dxa"/>
            <w:tcBorders>
              <w:top w:val="nil"/>
              <w:left w:val="nil"/>
              <w:bottom w:val="nil"/>
              <w:right w:val="nil"/>
            </w:tcBorders>
            <w:shd w:val="clear" w:color="auto" w:fill="FFFFFF"/>
            <w:tcMar>
              <w:top w:w="32" w:type="dxa"/>
              <w:left w:w="15" w:type="dxa"/>
              <w:bottom w:w="237" w:type="dxa"/>
              <w:right w:w="79" w:type="dxa"/>
            </w:tcMar>
            <w:hideMark/>
          </w:tcPr>
          <w:p w14:paraId="4E388F3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1.5</w:t>
            </w:r>
            <w:r w:rsidRPr="00523C4D">
              <w:rPr>
                <w:rFonts w:ascii="Aptos" w:eastAsia="Times New Roman" w:hAnsi="Arial" w:cs="Arial"/>
                <w:color w:val="000000" w:themeColor="dark1"/>
                <w:kern w:val="24"/>
                <w:sz w:val="20"/>
                <w:szCs w:val="20"/>
                <w:lang w:eastAsia="en-GB"/>
              </w:rPr>
              <w:t>±</w:t>
            </w:r>
            <w:r w:rsidRPr="00523C4D">
              <w:rPr>
                <w:rFonts w:ascii="Aptos" w:eastAsia="Times New Roman" w:hAnsi="Arial" w:cs="Arial"/>
                <w:color w:val="000000" w:themeColor="dark1"/>
                <w:kern w:val="24"/>
                <w:sz w:val="20"/>
                <w:szCs w:val="20"/>
                <w:lang w:eastAsia="en-GB"/>
              </w:rPr>
              <w:t>0.08</w:t>
            </w:r>
          </w:p>
        </w:tc>
        <w:tc>
          <w:tcPr>
            <w:tcW w:w="2268" w:type="dxa"/>
            <w:tcBorders>
              <w:top w:val="nil"/>
              <w:left w:val="nil"/>
              <w:bottom w:val="nil"/>
              <w:right w:val="nil"/>
            </w:tcBorders>
            <w:shd w:val="clear" w:color="auto" w:fill="FFFFFF"/>
            <w:tcMar>
              <w:top w:w="32" w:type="dxa"/>
              <w:left w:w="15" w:type="dxa"/>
              <w:bottom w:w="237" w:type="dxa"/>
              <w:right w:w="79" w:type="dxa"/>
            </w:tcMar>
            <w:hideMark/>
          </w:tcPr>
          <w:p w14:paraId="6ADB636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1.6</w:t>
            </w:r>
            <w:r w:rsidRPr="00523C4D">
              <w:rPr>
                <w:rFonts w:ascii="Aptos" w:eastAsia="Times New Roman" w:hAnsi="Arial" w:cs="Arial"/>
                <w:color w:val="000000" w:themeColor="dark1"/>
                <w:kern w:val="24"/>
                <w:sz w:val="20"/>
                <w:szCs w:val="20"/>
                <w:lang w:eastAsia="en-GB"/>
              </w:rPr>
              <w:t>±</w:t>
            </w:r>
            <w:r w:rsidRPr="00523C4D">
              <w:rPr>
                <w:rFonts w:ascii="Aptos" w:eastAsia="Times New Roman" w:hAnsi="Arial" w:cs="Arial"/>
                <w:color w:val="000000" w:themeColor="dark1"/>
                <w:kern w:val="24"/>
                <w:sz w:val="20"/>
                <w:szCs w:val="20"/>
                <w:lang w:eastAsia="en-GB"/>
              </w:rPr>
              <w:t>0.13</w:t>
            </w:r>
          </w:p>
        </w:tc>
        <w:tc>
          <w:tcPr>
            <w:tcW w:w="1364" w:type="dxa"/>
            <w:tcBorders>
              <w:top w:val="nil"/>
              <w:left w:val="nil"/>
              <w:bottom w:val="nil"/>
              <w:right w:val="nil"/>
            </w:tcBorders>
            <w:shd w:val="clear" w:color="auto" w:fill="FFFFFF"/>
            <w:tcMar>
              <w:top w:w="32" w:type="dxa"/>
              <w:left w:w="15" w:type="dxa"/>
              <w:bottom w:w="237" w:type="dxa"/>
              <w:right w:w="79" w:type="dxa"/>
            </w:tcMar>
            <w:hideMark/>
          </w:tcPr>
          <w:p w14:paraId="7D809318" w14:textId="72C3E5CC" w:rsidR="00523C4D" w:rsidRPr="00523C4D" w:rsidRDefault="00523C4D" w:rsidP="00523C4D">
            <w:pPr>
              <w:spacing w:after="0" w:line="240" w:lineRule="auto"/>
              <w:rPr>
                <w:rFonts w:ascii="Arial" w:eastAsia="Times New Roman" w:hAnsi="Arial" w:cs="Arial"/>
                <w:sz w:val="20"/>
                <w:szCs w:val="20"/>
                <w:lang w:eastAsia="en-GB"/>
              </w:rPr>
            </w:pPr>
          </w:p>
        </w:tc>
      </w:tr>
      <w:tr w:rsidR="00523C4D" w:rsidRPr="00523C4D" w14:paraId="5A40211C" w14:textId="77777777" w:rsidTr="00523C4D">
        <w:trPr>
          <w:trHeight w:val="143"/>
        </w:trPr>
        <w:tc>
          <w:tcPr>
            <w:tcW w:w="3755" w:type="dxa"/>
            <w:tcBorders>
              <w:top w:val="nil"/>
              <w:left w:val="nil"/>
              <w:bottom w:val="nil"/>
              <w:right w:val="nil"/>
            </w:tcBorders>
            <w:shd w:val="clear" w:color="auto" w:fill="E7E7E7"/>
            <w:tcMar>
              <w:top w:w="32" w:type="dxa"/>
              <w:left w:w="15" w:type="dxa"/>
              <w:bottom w:w="237" w:type="dxa"/>
              <w:right w:w="79" w:type="dxa"/>
            </w:tcMar>
            <w:hideMark/>
          </w:tcPr>
          <w:p w14:paraId="0A58D173"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Use of complex procedural adjuncts * </w:t>
            </w:r>
            <w:r w:rsidRPr="00523C4D">
              <w:rPr>
                <w:rFonts w:ascii="Aptos" w:eastAsia="Times New Roman" w:hAnsi="Aptos" w:cs="Arial"/>
                <w:color w:val="000000" w:themeColor="text1"/>
                <w:kern w:val="24"/>
                <w:sz w:val="20"/>
                <w:szCs w:val="20"/>
                <w:lang w:eastAsia="en-GB"/>
              </w:rPr>
              <w:t>(n (%))</w:t>
            </w:r>
          </w:p>
        </w:tc>
        <w:tc>
          <w:tcPr>
            <w:tcW w:w="2300" w:type="dxa"/>
            <w:tcBorders>
              <w:top w:val="nil"/>
              <w:left w:val="nil"/>
              <w:bottom w:val="nil"/>
              <w:right w:val="nil"/>
            </w:tcBorders>
            <w:shd w:val="clear" w:color="auto" w:fill="E7E7E7"/>
            <w:tcMar>
              <w:top w:w="32" w:type="dxa"/>
              <w:left w:w="15" w:type="dxa"/>
              <w:bottom w:w="237" w:type="dxa"/>
              <w:right w:w="79" w:type="dxa"/>
            </w:tcMar>
            <w:hideMark/>
          </w:tcPr>
          <w:p w14:paraId="0C67E82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14 (16.6)</w:t>
            </w:r>
          </w:p>
        </w:tc>
        <w:tc>
          <w:tcPr>
            <w:tcW w:w="2268" w:type="dxa"/>
            <w:tcBorders>
              <w:top w:val="nil"/>
              <w:left w:val="nil"/>
              <w:bottom w:val="nil"/>
              <w:right w:val="nil"/>
            </w:tcBorders>
            <w:shd w:val="clear" w:color="auto" w:fill="E7E7E7"/>
            <w:tcMar>
              <w:top w:w="32" w:type="dxa"/>
              <w:left w:w="15" w:type="dxa"/>
              <w:bottom w:w="237" w:type="dxa"/>
              <w:right w:w="79" w:type="dxa"/>
            </w:tcMar>
            <w:hideMark/>
          </w:tcPr>
          <w:p w14:paraId="094286B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13 (15.7)</w:t>
            </w:r>
          </w:p>
        </w:tc>
        <w:tc>
          <w:tcPr>
            <w:tcW w:w="1364" w:type="dxa"/>
            <w:tcBorders>
              <w:top w:val="nil"/>
              <w:left w:val="nil"/>
              <w:bottom w:val="nil"/>
              <w:right w:val="nil"/>
            </w:tcBorders>
            <w:shd w:val="clear" w:color="auto" w:fill="E7E7E7"/>
            <w:tcMar>
              <w:top w:w="32" w:type="dxa"/>
              <w:left w:w="15" w:type="dxa"/>
              <w:bottom w:w="237" w:type="dxa"/>
              <w:right w:w="79" w:type="dxa"/>
            </w:tcMar>
            <w:hideMark/>
          </w:tcPr>
          <w:p w14:paraId="58373D86" w14:textId="0878A5D0"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w:t>
            </w:r>
          </w:p>
        </w:tc>
      </w:tr>
      <w:tr w:rsidR="00523C4D" w:rsidRPr="00523C4D" w14:paraId="707EDB3B" w14:textId="77777777" w:rsidTr="00523C4D">
        <w:trPr>
          <w:trHeight w:val="143"/>
        </w:trPr>
        <w:tc>
          <w:tcPr>
            <w:tcW w:w="3755" w:type="dxa"/>
            <w:tcBorders>
              <w:top w:val="nil"/>
              <w:left w:val="nil"/>
              <w:bottom w:val="nil"/>
              <w:right w:val="nil"/>
            </w:tcBorders>
            <w:shd w:val="clear" w:color="auto" w:fill="FFFFFF"/>
            <w:tcMar>
              <w:top w:w="32" w:type="dxa"/>
              <w:left w:w="15" w:type="dxa"/>
              <w:bottom w:w="237" w:type="dxa"/>
              <w:right w:w="79" w:type="dxa"/>
            </w:tcMar>
            <w:hideMark/>
          </w:tcPr>
          <w:p w14:paraId="69430A6F"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Post-PCI TIMI &lt;3 </w:t>
            </w:r>
            <w:r w:rsidRPr="00523C4D">
              <w:rPr>
                <w:rFonts w:ascii="Aptos" w:eastAsia="Times New Roman" w:hAnsi="Aptos" w:cs="Arial"/>
                <w:color w:val="000000" w:themeColor="text1"/>
                <w:kern w:val="24"/>
                <w:sz w:val="20"/>
                <w:szCs w:val="20"/>
                <w:lang w:eastAsia="en-GB"/>
              </w:rPr>
              <w:t>(n (%))</w:t>
            </w:r>
          </w:p>
        </w:tc>
        <w:tc>
          <w:tcPr>
            <w:tcW w:w="2300" w:type="dxa"/>
            <w:tcBorders>
              <w:top w:val="nil"/>
              <w:left w:val="nil"/>
              <w:bottom w:val="nil"/>
              <w:right w:val="nil"/>
            </w:tcBorders>
            <w:shd w:val="clear" w:color="auto" w:fill="FFFFFF"/>
            <w:tcMar>
              <w:top w:w="32" w:type="dxa"/>
              <w:left w:w="15" w:type="dxa"/>
              <w:bottom w:w="237" w:type="dxa"/>
              <w:right w:w="79" w:type="dxa"/>
            </w:tcMar>
            <w:hideMark/>
          </w:tcPr>
          <w:p w14:paraId="4BF4274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10 (11.5)</w:t>
            </w:r>
          </w:p>
        </w:tc>
        <w:tc>
          <w:tcPr>
            <w:tcW w:w="2268" w:type="dxa"/>
            <w:tcBorders>
              <w:top w:val="nil"/>
              <w:left w:val="nil"/>
              <w:bottom w:val="nil"/>
              <w:right w:val="nil"/>
            </w:tcBorders>
            <w:shd w:val="clear" w:color="auto" w:fill="FFFFFF"/>
            <w:tcMar>
              <w:top w:w="32" w:type="dxa"/>
              <w:left w:w="15" w:type="dxa"/>
              <w:bottom w:w="237" w:type="dxa"/>
              <w:right w:w="79" w:type="dxa"/>
            </w:tcMar>
            <w:hideMark/>
          </w:tcPr>
          <w:p w14:paraId="7094B32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 (5.2)</w:t>
            </w:r>
          </w:p>
        </w:tc>
        <w:tc>
          <w:tcPr>
            <w:tcW w:w="1364" w:type="dxa"/>
            <w:tcBorders>
              <w:top w:val="nil"/>
              <w:left w:val="nil"/>
              <w:bottom w:val="nil"/>
              <w:right w:val="nil"/>
            </w:tcBorders>
            <w:shd w:val="clear" w:color="auto" w:fill="FFFFFF"/>
            <w:tcMar>
              <w:top w:w="32" w:type="dxa"/>
              <w:left w:w="15" w:type="dxa"/>
              <w:bottom w:w="237" w:type="dxa"/>
              <w:right w:w="79" w:type="dxa"/>
            </w:tcMar>
            <w:hideMark/>
          </w:tcPr>
          <w:p w14:paraId="13A9B484" w14:textId="519CF60D"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0.28</w:t>
            </w:r>
          </w:p>
        </w:tc>
      </w:tr>
      <w:tr w:rsidR="00523C4D" w:rsidRPr="00523C4D" w14:paraId="29E3937D" w14:textId="77777777" w:rsidTr="00523C4D">
        <w:trPr>
          <w:trHeight w:val="143"/>
        </w:trPr>
        <w:tc>
          <w:tcPr>
            <w:tcW w:w="3755" w:type="dxa"/>
            <w:tcBorders>
              <w:top w:val="nil"/>
              <w:left w:val="nil"/>
              <w:bottom w:val="single" w:sz="18" w:space="0" w:color="000000"/>
              <w:right w:val="nil"/>
            </w:tcBorders>
            <w:shd w:val="clear" w:color="auto" w:fill="E7E7E7"/>
            <w:tcMar>
              <w:top w:w="32" w:type="dxa"/>
              <w:left w:w="15" w:type="dxa"/>
              <w:bottom w:w="237" w:type="dxa"/>
              <w:right w:w="79" w:type="dxa"/>
            </w:tcMar>
            <w:hideMark/>
          </w:tcPr>
          <w:p w14:paraId="4DAD57E0"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GP2B3A inhibitor use </w:t>
            </w:r>
            <w:r w:rsidRPr="00523C4D">
              <w:rPr>
                <w:rFonts w:ascii="Aptos" w:eastAsia="Times New Roman" w:hAnsi="Aptos" w:cs="Arial"/>
                <w:color w:val="000000" w:themeColor="text1"/>
                <w:kern w:val="24"/>
                <w:sz w:val="20"/>
                <w:szCs w:val="20"/>
                <w:lang w:eastAsia="en-GB"/>
              </w:rPr>
              <w:t>(n (%))</w:t>
            </w:r>
          </w:p>
        </w:tc>
        <w:tc>
          <w:tcPr>
            <w:tcW w:w="2300" w:type="dxa"/>
            <w:tcBorders>
              <w:top w:val="nil"/>
              <w:left w:val="nil"/>
              <w:bottom w:val="single" w:sz="18" w:space="0" w:color="000000"/>
              <w:right w:val="nil"/>
            </w:tcBorders>
            <w:shd w:val="clear" w:color="auto" w:fill="E7E7E7"/>
            <w:tcMar>
              <w:top w:w="32" w:type="dxa"/>
              <w:left w:w="15" w:type="dxa"/>
              <w:bottom w:w="237" w:type="dxa"/>
              <w:right w:w="79" w:type="dxa"/>
            </w:tcMar>
            <w:hideMark/>
          </w:tcPr>
          <w:p w14:paraId="0E11068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37 (44.8)</w:t>
            </w:r>
          </w:p>
        </w:tc>
        <w:tc>
          <w:tcPr>
            <w:tcW w:w="2268" w:type="dxa"/>
            <w:tcBorders>
              <w:top w:val="nil"/>
              <w:left w:val="nil"/>
              <w:bottom w:val="single" w:sz="18" w:space="0" w:color="000000"/>
              <w:right w:val="nil"/>
            </w:tcBorders>
            <w:shd w:val="clear" w:color="auto" w:fill="E7E7E7"/>
            <w:tcMar>
              <w:top w:w="32" w:type="dxa"/>
              <w:left w:w="15" w:type="dxa"/>
              <w:bottom w:w="237" w:type="dxa"/>
              <w:right w:w="79" w:type="dxa"/>
            </w:tcMar>
            <w:hideMark/>
          </w:tcPr>
          <w:p w14:paraId="3E33BD2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19 (23.6)</w:t>
            </w:r>
          </w:p>
        </w:tc>
        <w:tc>
          <w:tcPr>
            <w:tcW w:w="1364" w:type="dxa"/>
            <w:tcBorders>
              <w:top w:val="nil"/>
              <w:left w:val="nil"/>
              <w:bottom w:val="single" w:sz="18" w:space="0" w:color="000000"/>
              <w:right w:val="nil"/>
            </w:tcBorders>
            <w:shd w:val="clear" w:color="auto" w:fill="E7E7E7"/>
            <w:tcMar>
              <w:top w:w="32" w:type="dxa"/>
              <w:left w:w="15" w:type="dxa"/>
              <w:bottom w:w="237" w:type="dxa"/>
              <w:right w:w="79" w:type="dxa"/>
            </w:tcMar>
            <w:hideMark/>
          </w:tcPr>
          <w:p w14:paraId="61EBB09E" w14:textId="25575D70"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0.010</w:t>
            </w:r>
          </w:p>
        </w:tc>
      </w:tr>
    </w:tbl>
    <w:p w14:paraId="7F782A06" w14:textId="77777777" w:rsidR="00291373" w:rsidRDefault="00332A43" w:rsidP="00085BED">
      <w:pPr>
        <w:spacing w:line="480" w:lineRule="auto"/>
        <w:rPr>
          <w:rFonts w:ascii="Calibri" w:hAnsi="Calibri" w:cs="Calibri"/>
        </w:rPr>
      </w:pPr>
      <w:r w:rsidRPr="00332A43">
        <w:rPr>
          <w:rFonts w:ascii="Calibri" w:hAnsi="Calibri" w:cs="Calibri"/>
          <w:sz w:val="24"/>
          <w:szCs w:val="24"/>
        </w:rPr>
        <w:t>Numerical variables were compared using Wilcoxon rank sum test and categorical variables using the chi-square test.</w:t>
      </w:r>
      <w:r w:rsidR="00B1636F" w:rsidRPr="00B1636F">
        <w:rPr>
          <w:rFonts w:ascii="Calibri" w:hAnsi="Calibri" w:cs="Calibri"/>
          <w:sz w:val="24"/>
          <w:szCs w:val="24"/>
        </w:rPr>
        <w:t xml:space="preserve"> </w:t>
      </w:r>
      <w:r w:rsidR="00B1636F">
        <w:rPr>
          <w:rFonts w:ascii="Calibri" w:hAnsi="Calibri" w:cs="Calibri"/>
          <w:sz w:val="24"/>
          <w:szCs w:val="24"/>
        </w:rPr>
        <w:t>ACT – Advanced cardiogenic shock team</w:t>
      </w:r>
      <w:r w:rsidR="00CE16D4">
        <w:rPr>
          <w:rFonts w:ascii="Calibri" w:hAnsi="Calibri" w:cs="Calibri"/>
          <w:sz w:val="24"/>
          <w:szCs w:val="24"/>
        </w:rPr>
        <w:t xml:space="preserve">, DAPT – dual antiplatelet therapy, LAD – left anterior descending, LCX – left circumflex, </w:t>
      </w:r>
      <w:r w:rsidR="00C01CA9">
        <w:rPr>
          <w:rFonts w:ascii="Calibri" w:hAnsi="Calibri" w:cs="Calibri"/>
          <w:sz w:val="24"/>
          <w:szCs w:val="24"/>
        </w:rPr>
        <w:t>LM – left main, RCA – right coronary artery, PCI – percutaneous coronary intervention, TIMI – thrombolysis in myocardial infarction</w:t>
      </w:r>
      <w:r w:rsidR="00677AEC">
        <w:rPr>
          <w:rFonts w:ascii="Calibri" w:hAnsi="Calibri" w:cs="Calibri"/>
          <w:sz w:val="24"/>
          <w:szCs w:val="24"/>
        </w:rPr>
        <w:t xml:space="preserve">. </w:t>
      </w:r>
      <w:r w:rsidR="00237064">
        <w:rPr>
          <w:rFonts w:ascii="Calibri" w:hAnsi="Calibri" w:cs="Calibri"/>
          <w:sz w:val="24"/>
          <w:szCs w:val="24"/>
        </w:rPr>
        <w:t>*</w:t>
      </w:r>
      <w:proofErr w:type="gramStart"/>
      <w:r w:rsidR="00237064">
        <w:rPr>
          <w:rFonts w:eastAsiaTheme="minorEastAsia" w:hAnsi="Aptos"/>
          <w:color w:val="000000" w:themeColor="text1"/>
          <w:kern w:val="24"/>
          <w:sz w:val="24"/>
          <w:szCs w:val="24"/>
          <w:lang w:eastAsia="en-GB"/>
        </w:rPr>
        <w:t>use</w:t>
      </w:r>
      <w:proofErr w:type="gramEnd"/>
      <w:r w:rsidR="00237064">
        <w:rPr>
          <w:rFonts w:eastAsiaTheme="minorEastAsia" w:hAnsi="Aptos"/>
          <w:color w:val="000000" w:themeColor="text1"/>
          <w:kern w:val="24"/>
          <w:sz w:val="24"/>
          <w:szCs w:val="24"/>
          <w:lang w:eastAsia="en-GB"/>
        </w:rPr>
        <w:t xml:space="preserve"> of </w:t>
      </w:r>
      <w:r w:rsidR="00237064" w:rsidRPr="00237064">
        <w:rPr>
          <w:rFonts w:ascii="Calibri" w:hAnsi="Calibri" w:cs="Calibri"/>
          <w:sz w:val="24"/>
          <w:szCs w:val="24"/>
        </w:rPr>
        <w:t>cutting</w:t>
      </w:r>
      <w:r w:rsidR="00237064">
        <w:rPr>
          <w:rFonts w:ascii="Calibri" w:hAnsi="Calibri" w:cs="Calibri"/>
          <w:sz w:val="24"/>
          <w:szCs w:val="24"/>
        </w:rPr>
        <w:t xml:space="preserve"> balloon</w:t>
      </w:r>
      <w:r w:rsidR="00237064" w:rsidRPr="00237064">
        <w:rPr>
          <w:rFonts w:ascii="Calibri" w:hAnsi="Calibri" w:cs="Calibri"/>
          <w:sz w:val="24"/>
          <w:szCs w:val="24"/>
        </w:rPr>
        <w:t xml:space="preserve">, </w:t>
      </w:r>
      <w:r w:rsidR="00237064">
        <w:rPr>
          <w:rFonts w:ascii="Calibri" w:hAnsi="Calibri" w:cs="Calibri"/>
          <w:sz w:val="24"/>
          <w:szCs w:val="24"/>
        </w:rPr>
        <w:t>intravascular lithotripsy</w:t>
      </w:r>
      <w:r w:rsidR="00237064" w:rsidRPr="00237064">
        <w:rPr>
          <w:rFonts w:ascii="Calibri" w:hAnsi="Calibri" w:cs="Calibri"/>
          <w:sz w:val="24"/>
          <w:szCs w:val="24"/>
        </w:rPr>
        <w:t>, rota</w:t>
      </w:r>
      <w:r w:rsidR="00237064">
        <w:rPr>
          <w:rFonts w:ascii="Calibri" w:hAnsi="Calibri" w:cs="Calibri"/>
          <w:sz w:val="24"/>
          <w:szCs w:val="24"/>
        </w:rPr>
        <w:t>tional atherectomy</w:t>
      </w:r>
      <w:r w:rsidR="00237064" w:rsidRPr="00237064">
        <w:rPr>
          <w:rFonts w:ascii="Calibri" w:hAnsi="Calibri" w:cs="Calibri"/>
          <w:sz w:val="24"/>
          <w:szCs w:val="24"/>
        </w:rPr>
        <w:t>, microcatheter</w:t>
      </w:r>
      <w:r w:rsidR="00237064">
        <w:rPr>
          <w:rFonts w:ascii="Calibri" w:hAnsi="Calibri" w:cs="Calibri"/>
          <w:sz w:val="24"/>
          <w:szCs w:val="24"/>
        </w:rPr>
        <w:t xml:space="preserve"> support</w:t>
      </w:r>
      <w:r w:rsidR="00237064" w:rsidRPr="00237064">
        <w:rPr>
          <w:rFonts w:ascii="Calibri" w:hAnsi="Calibri" w:cs="Calibri"/>
          <w:sz w:val="24"/>
          <w:szCs w:val="24"/>
        </w:rPr>
        <w:t xml:space="preserve"> </w:t>
      </w:r>
    </w:p>
    <w:p w14:paraId="10B184AA" w14:textId="77777777" w:rsidR="00523C4D" w:rsidRDefault="00523C4D" w:rsidP="00085BED">
      <w:pPr>
        <w:spacing w:line="480" w:lineRule="auto"/>
        <w:rPr>
          <w:rFonts w:ascii="Calibri" w:hAnsi="Calibri" w:cs="Calibri"/>
          <w:b/>
          <w:bCs/>
          <w:noProof/>
          <w:sz w:val="24"/>
          <w:szCs w:val="24"/>
        </w:rPr>
      </w:pPr>
    </w:p>
    <w:p w14:paraId="6303D5FD" w14:textId="77777777" w:rsidR="00523C4D" w:rsidRDefault="00523C4D" w:rsidP="00085BED">
      <w:pPr>
        <w:spacing w:line="480" w:lineRule="auto"/>
        <w:rPr>
          <w:rFonts w:ascii="Calibri" w:hAnsi="Calibri" w:cs="Calibri"/>
          <w:b/>
          <w:bCs/>
          <w:noProof/>
          <w:sz w:val="24"/>
          <w:szCs w:val="24"/>
        </w:rPr>
      </w:pPr>
    </w:p>
    <w:p w14:paraId="30C829F1" w14:textId="50DF79A7" w:rsidR="00523C4D" w:rsidRPr="00523C4D" w:rsidRDefault="00B73C2D" w:rsidP="00B1636F">
      <w:pPr>
        <w:spacing w:line="480" w:lineRule="auto"/>
        <w:rPr>
          <w:rFonts w:ascii="Calibri" w:hAnsi="Calibri" w:cs="Calibri"/>
        </w:rPr>
      </w:pPr>
      <w:r>
        <w:rPr>
          <w:rFonts w:ascii="Calibri" w:hAnsi="Calibri" w:cs="Calibri"/>
          <w:b/>
          <w:bCs/>
          <w:sz w:val="24"/>
          <w:szCs w:val="24"/>
        </w:rPr>
        <w:lastRenderedPageBreak/>
        <w:t>Table 3</w:t>
      </w:r>
      <w:r w:rsidR="00237064">
        <w:rPr>
          <w:rFonts w:ascii="Calibri" w:hAnsi="Calibri" w:cs="Calibri"/>
          <w:b/>
          <w:bCs/>
          <w:sz w:val="24"/>
          <w:szCs w:val="24"/>
        </w:rPr>
        <w:t xml:space="preserve"> – </w:t>
      </w:r>
      <w:proofErr w:type="spellStart"/>
      <w:r w:rsidR="00237064">
        <w:rPr>
          <w:rFonts w:ascii="Calibri" w:hAnsi="Calibri" w:cs="Calibri"/>
          <w:b/>
          <w:bCs/>
          <w:sz w:val="24"/>
          <w:szCs w:val="24"/>
        </w:rPr>
        <w:t>Haemodynamics</w:t>
      </w:r>
      <w:proofErr w:type="spellEnd"/>
      <w:r w:rsidR="00237064">
        <w:rPr>
          <w:rFonts w:ascii="Calibri" w:hAnsi="Calibri" w:cs="Calibri"/>
          <w:b/>
          <w:bCs/>
          <w:sz w:val="24"/>
          <w:szCs w:val="24"/>
        </w:rPr>
        <w:t xml:space="preserve"> and organ support</w:t>
      </w:r>
    </w:p>
    <w:tbl>
      <w:tblPr>
        <w:tblW w:w="11526" w:type="dxa"/>
        <w:tblInd w:w="-1237" w:type="dxa"/>
        <w:tblCellMar>
          <w:left w:w="0" w:type="dxa"/>
          <w:right w:w="0" w:type="dxa"/>
        </w:tblCellMar>
        <w:tblLook w:val="0420" w:firstRow="1" w:lastRow="0" w:firstColumn="0" w:lastColumn="0" w:noHBand="0" w:noVBand="1"/>
      </w:tblPr>
      <w:tblGrid>
        <w:gridCol w:w="2565"/>
        <w:gridCol w:w="2035"/>
        <w:gridCol w:w="1622"/>
        <w:gridCol w:w="802"/>
        <w:gridCol w:w="2078"/>
        <w:gridCol w:w="1622"/>
        <w:gridCol w:w="802"/>
      </w:tblGrid>
      <w:tr w:rsidR="00523C4D" w:rsidRPr="00523C4D" w14:paraId="2C9817F9" w14:textId="77777777" w:rsidTr="00523C4D">
        <w:trPr>
          <w:trHeight w:val="393"/>
        </w:trPr>
        <w:tc>
          <w:tcPr>
            <w:tcW w:w="0" w:type="auto"/>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04FD8B78" w14:textId="77777777" w:rsidR="00523C4D" w:rsidRPr="00523C4D" w:rsidRDefault="00523C4D" w:rsidP="00523C4D">
            <w:pPr>
              <w:spacing w:after="0" w:line="240" w:lineRule="auto"/>
              <w:rPr>
                <w:rFonts w:ascii="Times New Roman" w:eastAsia="Times New Roman" w:hAnsi="Times New Roman" w:cs="Times New Roman"/>
                <w:sz w:val="20"/>
                <w:szCs w:val="20"/>
                <w:lang w:eastAsia="en-GB"/>
              </w:rPr>
            </w:pPr>
          </w:p>
        </w:tc>
        <w:tc>
          <w:tcPr>
            <w:tcW w:w="0" w:type="auto"/>
            <w:gridSpan w:val="3"/>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0DDC27E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Index</w:t>
            </w:r>
          </w:p>
        </w:tc>
        <w:tc>
          <w:tcPr>
            <w:tcW w:w="0" w:type="auto"/>
            <w:gridSpan w:val="3"/>
            <w:tcBorders>
              <w:top w:val="single" w:sz="18" w:space="0" w:color="000000"/>
              <w:left w:val="nil"/>
              <w:bottom w:val="single" w:sz="18" w:space="0" w:color="000000"/>
              <w:right w:val="nil"/>
            </w:tcBorders>
            <w:shd w:val="clear" w:color="auto" w:fill="000000"/>
            <w:tcMar>
              <w:top w:w="32" w:type="dxa"/>
              <w:left w:w="15" w:type="dxa"/>
              <w:bottom w:w="237" w:type="dxa"/>
              <w:right w:w="79" w:type="dxa"/>
            </w:tcMar>
            <w:hideMark/>
          </w:tcPr>
          <w:p w14:paraId="51F484D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 xml:space="preserve">24 hours </w:t>
            </w:r>
          </w:p>
        </w:tc>
      </w:tr>
      <w:tr w:rsidR="00523C4D" w:rsidRPr="00523C4D" w14:paraId="35EAC3B7" w14:textId="77777777" w:rsidTr="00523C4D">
        <w:trPr>
          <w:trHeight w:val="510"/>
        </w:trPr>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61DC8153" w14:textId="77777777" w:rsidR="00523C4D" w:rsidRPr="00523C4D" w:rsidRDefault="00523C4D" w:rsidP="00523C4D">
            <w:pPr>
              <w:spacing w:after="0" w:line="240" w:lineRule="auto"/>
              <w:rPr>
                <w:rFonts w:ascii="Arial" w:eastAsia="Times New Roman" w:hAnsi="Arial" w:cs="Arial"/>
                <w:sz w:val="20"/>
                <w:szCs w:val="20"/>
                <w:lang w:eastAsia="en-GB"/>
              </w:rPr>
            </w:pPr>
          </w:p>
        </w:tc>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635A2D2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Standard care (n=83)</w:t>
            </w:r>
          </w:p>
        </w:tc>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1582655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ACT input (n=82)</w:t>
            </w:r>
          </w:p>
        </w:tc>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46769B5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p-value</w:t>
            </w:r>
          </w:p>
        </w:tc>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4F321F3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 xml:space="preserve">Standard </w:t>
            </w:r>
            <w:proofErr w:type="gramStart"/>
            <w:r w:rsidRPr="00523C4D">
              <w:rPr>
                <w:rFonts w:ascii="Aptos" w:eastAsia="Times New Roman" w:hAnsi="Aptos" w:cs="Arial"/>
                <w:b/>
                <w:bCs/>
                <w:color w:val="FFFFFF" w:themeColor="background1"/>
                <w:kern w:val="24"/>
                <w:sz w:val="20"/>
                <w:szCs w:val="20"/>
                <w:lang w:eastAsia="en-GB"/>
              </w:rPr>
              <w:t>care  (</w:t>
            </w:r>
            <w:proofErr w:type="gramEnd"/>
            <w:r w:rsidRPr="00523C4D">
              <w:rPr>
                <w:rFonts w:ascii="Aptos" w:eastAsia="Times New Roman" w:hAnsi="Aptos" w:cs="Arial"/>
                <w:b/>
                <w:bCs/>
                <w:color w:val="FFFFFF" w:themeColor="background1"/>
                <w:kern w:val="24"/>
                <w:sz w:val="20"/>
                <w:szCs w:val="20"/>
                <w:lang w:eastAsia="en-GB"/>
              </w:rPr>
              <w:t>n=78)</w:t>
            </w:r>
          </w:p>
        </w:tc>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50E3525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ACT input (n=76)</w:t>
            </w:r>
          </w:p>
        </w:tc>
        <w:tc>
          <w:tcPr>
            <w:tcW w:w="0" w:type="auto"/>
            <w:tcBorders>
              <w:top w:val="single" w:sz="18" w:space="0" w:color="000000"/>
              <w:left w:val="nil"/>
              <w:bottom w:val="nil"/>
              <w:right w:val="nil"/>
            </w:tcBorders>
            <w:shd w:val="clear" w:color="auto" w:fill="000000"/>
            <w:tcMar>
              <w:top w:w="32" w:type="dxa"/>
              <w:left w:w="15" w:type="dxa"/>
              <w:bottom w:w="237" w:type="dxa"/>
              <w:right w:w="79" w:type="dxa"/>
            </w:tcMar>
            <w:hideMark/>
          </w:tcPr>
          <w:p w14:paraId="3BDA047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b/>
                <w:bCs/>
                <w:color w:val="FFFFFF" w:themeColor="background1"/>
                <w:kern w:val="24"/>
                <w:sz w:val="20"/>
                <w:szCs w:val="20"/>
                <w:lang w:eastAsia="en-GB"/>
              </w:rPr>
              <w:t>p-value</w:t>
            </w:r>
          </w:p>
        </w:tc>
      </w:tr>
      <w:tr w:rsidR="00523C4D" w:rsidRPr="00523C4D" w14:paraId="29B844F1" w14:textId="77777777" w:rsidTr="00523C4D">
        <w:trPr>
          <w:trHeight w:val="371"/>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A6325F1"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SBP &lt;=90mmHg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8B3359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41 (48.8)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E1BADA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36 (44)</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6E2E58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0.58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98BFC1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27 (34.1)</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A52605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29 (38.1)</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54596D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0.81</w:t>
            </w:r>
          </w:p>
        </w:tc>
      </w:tr>
      <w:tr w:rsidR="00523C4D" w:rsidRPr="00523C4D" w14:paraId="010D9067" w14:textId="77777777" w:rsidTr="00523C4D">
        <w:trPr>
          <w:trHeight w:val="349"/>
        </w:trPr>
        <w:tc>
          <w:tcPr>
            <w:tcW w:w="0" w:type="auto"/>
            <w:tcBorders>
              <w:top w:val="nil"/>
              <w:left w:val="nil"/>
              <w:bottom w:val="nil"/>
              <w:right w:val="nil"/>
            </w:tcBorders>
            <w:shd w:val="clear" w:color="auto" w:fill="E7E7E7"/>
            <w:tcMar>
              <w:top w:w="32" w:type="dxa"/>
              <w:left w:w="15" w:type="dxa"/>
              <w:bottom w:w="237" w:type="dxa"/>
              <w:right w:w="79" w:type="dxa"/>
            </w:tcMar>
            <w:hideMark/>
          </w:tcPr>
          <w:p w14:paraId="1D39AA0B"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Lactate &gt;=2 mmol/L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83D2F5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54 (65.4)</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E4D805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57 (69.5)</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E4210E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0.77</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378F52D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45 (58.2)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106A1C0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42 (55.2)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1C1560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0.81</w:t>
            </w:r>
          </w:p>
        </w:tc>
      </w:tr>
      <w:tr w:rsidR="00523C4D" w:rsidRPr="00523C4D" w14:paraId="682F8AB0" w14:textId="77777777" w:rsidTr="00523C4D">
        <w:trPr>
          <w:trHeight w:val="349"/>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06974B2"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pH&lt;=7.2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68AE89C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49 (59)</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AE7CC8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9 (10.9)</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99F0EF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&lt;0.001</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660E2073"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7 (8.8)</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6FFCC6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 (5.2)</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5E5118C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0.54</w:t>
            </w:r>
          </w:p>
        </w:tc>
      </w:tr>
      <w:tr w:rsidR="00523C4D" w:rsidRPr="00523C4D" w14:paraId="7C95BAC9" w14:textId="77777777" w:rsidTr="00523C4D">
        <w:trPr>
          <w:trHeight w:val="335"/>
        </w:trPr>
        <w:tc>
          <w:tcPr>
            <w:tcW w:w="0" w:type="auto"/>
            <w:tcBorders>
              <w:top w:val="nil"/>
              <w:left w:val="nil"/>
              <w:bottom w:val="nil"/>
              <w:right w:val="nil"/>
            </w:tcBorders>
            <w:shd w:val="clear" w:color="auto" w:fill="E7E7E7"/>
            <w:tcMar>
              <w:top w:w="32" w:type="dxa"/>
              <w:left w:w="15" w:type="dxa"/>
              <w:bottom w:w="237" w:type="dxa"/>
              <w:right w:w="79" w:type="dxa"/>
            </w:tcMar>
            <w:hideMark/>
          </w:tcPr>
          <w:p w14:paraId="02E87555"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Need for inotropes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AE9E6D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58 (70.2)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A4A93D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52 (63.4)</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A166AA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0.37</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905A64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41 (53.1)</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8C92BC4"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42 (55.2)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8A0D19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0.27</w:t>
            </w:r>
          </w:p>
        </w:tc>
      </w:tr>
      <w:tr w:rsidR="00523C4D" w:rsidRPr="00523C4D" w14:paraId="77E56950" w14:textId="77777777" w:rsidTr="00523C4D">
        <w:trPr>
          <w:trHeight w:val="335"/>
        </w:trPr>
        <w:tc>
          <w:tcPr>
            <w:tcW w:w="0" w:type="auto"/>
            <w:tcBorders>
              <w:top w:val="nil"/>
              <w:left w:val="nil"/>
              <w:bottom w:val="nil"/>
              <w:right w:val="nil"/>
            </w:tcBorders>
            <w:shd w:val="clear" w:color="auto" w:fill="FFFFFF"/>
            <w:tcMar>
              <w:top w:w="32" w:type="dxa"/>
              <w:left w:w="15" w:type="dxa"/>
              <w:bottom w:w="237" w:type="dxa"/>
              <w:right w:w="79" w:type="dxa"/>
            </w:tcMar>
            <w:hideMark/>
          </w:tcPr>
          <w:p w14:paraId="172BB9EB"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IABP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3881A7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9 (10.7)</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76BA2D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6 (7.3)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751FB2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0.60</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F1BD43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9 (11.4)</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9AA0B4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 (6.5)</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7B7FFBA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w:t>
            </w:r>
          </w:p>
        </w:tc>
      </w:tr>
      <w:tr w:rsidR="00523C4D" w:rsidRPr="00523C4D" w14:paraId="37ACF2BF" w14:textId="77777777" w:rsidTr="00523C4D">
        <w:trPr>
          <w:trHeight w:val="335"/>
        </w:trPr>
        <w:tc>
          <w:tcPr>
            <w:tcW w:w="0" w:type="auto"/>
            <w:tcBorders>
              <w:top w:val="nil"/>
              <w:left w:val="nil"/>
              <w:bottom w:val="nil"/>
              <w:right w:val="nil"/>
            </w:tcBorders>
            <w:shd w:val="clear" w:color="auto" w:fill="E7E7E7"/>
            <w:tcMar>
              <w:top w:w="32" w:type="dxa"/>
              <w:left w:w="15" w:type="dxa"/>
              <w:bottom w:w="237" w:type="dxa"/>
              <w:right w:w="79" w:type="dxa"/>
            </w:tcMar>
            <w:hideMark/>
          </w:tcPr>
          <w:p w14:paraId="37061ED2"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Impella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00D9226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 (1.2)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509812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5 (6.5)</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8AD077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0.20</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21054CF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 (0)</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365ABD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 (3.9)</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E7D4AD7"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r>
      <w:tr w:rsidR="00523C4D" w:rsidRPr="00523C4D" w14:paraId="320F4E19" w14:textId="77777777" w:rsidTr="00523C4D">
        <w:trPr>
          <w:trHeight w:val="335"/>
        </w:trPr>
        <w:tc>
          <w:tcPr>
            <w:tcW w:w="0" w:type="auto"/>
            <w:tcBorders>
              <w:top w:val="nil"/>
              <w:left w:val="nil"/>
              <w:bottom w:val="nil"/>
              <w:right w:val="nil"/>
            </w:tcBorders>
            <w:shd w:val="clear" w:color="auto" w:fill="FFFFFF"/>
            <w:tcMar>
              <w:top w:w="32" w:type="dxa"/>
              <w:left w:w="15" w:type="dxa"/>
              <w:bottom w:w="237" w:type="dxa"/>
              <w:right w:w="79" w:type="dxa"/>
            </w:tcMar>
            <w:hideMark/>
          </w:tcPr>
          <w:p w14:paraId="00E95EA9"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Invasive ventilation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3E121A2"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45 (54.7)</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ED40C1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29 (35.3)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67E06AD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0.03</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77091BA"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39 (50.6)</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493669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36 (47.2)</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5D25B8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0.12</w:t>
            </w:r>
          </w:p>
        </w:tc>
      </w:tr>
      <w:tr w:rsidR="00523C4D" w:rsidRPr="00523C4D" w14:paraId="730F88C8" w14:textId="77777777" w:rsidTr="00523C4D">
        <w:trPr>
          <w:trHeight w:val="335"/>
        </w:trPr>
        <w:tc>
          <w:tcPr>
            <w:tcW w:w="0" w:type="auto"/>
            <w:tcBorders>
              <w:top w:val="nil"/>
              <w:left w:val="nil"/>
              <w:bottom w:val="nil"/>
              <w:right w:val="nil"/>
            </w:tcBorders>
            <w:shd w:val="clear" w:color="auto" w:fill="E7E7E7"/>
            <w:tcMar>
              <w:top w:w="32" w:type="dxa"/>
              <w:left w:w="15" w:type="dxa"/>
              <w:bottom w:w="237" w:type="dxa"/>
              <w:right w:w="79" w:type="dxa"/>
            </w:tcMar>
            <w:hideMark/>
          </w:tcPr>
          <w:p w14:paraId="1033E40F"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GCS &lt; 15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31C0D829"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46 (55.9)</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E316606"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33 (40.2)</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5823D8CF"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&lt;0.001</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724154D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43 (55.7)</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4F61900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36 (47.3)</w:t>
            </w:r>
          </w:p>
        </w:tc>
        <w:tc>
          <w:tcPr>
            <w:tcW w:w="0" w:type="auto"/>
            <w:tcBorders>
              <w:top w:val="nil"/>
              <w:left w:val="nil"/>
              <w:bottom w:val="nil"/>
              <w:right w:val="nil"/>
            </w:tcBorders>
            <w:shd w:val="clear" w:color="auto" w:fill="E7E7E7"/>
            <w:tcMar>
              <w:top w:w="32" w:type="dxa"/>
              <w:left w:w="15" w:type="dxa"/>
              <w:bottom w:w="237" w:type="dxa"/>
              <w:right w:w="79" w:type="dxa"/>
            </w:tcMar>
            <w:hideMark/>
          </w:tcPr>
          <w:p w14:paraId="6CE046F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0.31</w:t>
            </w:r>
          </w:p>
        </w:tc>
      </w:tr>
      <w:tr w:rsidR="00523C4D" w:rsidRPr="00523C4D" w14:paraId="61BC9C39" w14:textId="77777777" w:rsidTr="00523C4D">
        <w:trPr>
          <w:trHeight w:val="335"/>
        </w:trPr>
        <w:tc>
          <w:tcPr>
            <w:tcW w:w="0" w:type="auto"/>
            <w:tcBorders>
              <w:top w:val="nil"/>
              <w:left w:val="nil"/>
              <w:bottom w:val="nil"/>
              <w:right w:val="nil"/>
            </w:tcBorders>
            <w:shd w:val="clear" w:color="auto" w:fill="FFFFFF"/>
            <w:tcMar>
              <w:top w:w="32" w:type="dxa"/>
              <w:left w:w="15" w:type="dxa"/>
              <w:bottom w:w="237" w:type="dxa"/>
              <w:right w:w="79" w:type="dxa"/>
            </w:tcMar>
            <w:hideMark/>
          </w:tcPr>
          <w:p w14:paraId="35FF680D"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ALT&gt;200 </w:t>
            </w:r>
            <w:r w:rsidRPr="00523C4D">
              <w:rPr>
                <w:rFonts w:ascii="Aptos" w:eastAsia="Times New Roman" w:hAnsi="Aptos" w:cs="Arial"/>
                <w:color w:val="000000" w:themeColor="text1"/>
                <w:kern w:val="24"/>
                <w:sz w:val="20"/>
                <w:szCs w:val="20"/>
                <w:lang w:eastAsia="en-GB"/>
              </w:rPr>
              <w:t>(n (%))</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22479D4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0689AF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380E7D41"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1EE7F9F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14 (17.7)</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446C1F1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19 (25)</w:t>
            </w:r>
          </w:p>
        </w:tc>
        <w:tc>
          <w:tcPr>
            <w:tcW w:w="0" w:type="auto"/>
            <w:tcBorders>
              <w:top w:val="nil"/>
              <w:left w:val="nil"/>
              <w:bottom w:val="nil"/>
              <w:right w:val="nil"/>
            </w:tcBorders>
            <w:shd w:val="clear" w:color="auto" w:fill="FFFFFF"/>
            <w:tcMar>
              <w:top w:w="32" w:type="dxa"/>
              <w:left w:w="15" w:type="dxa"/>
              <w:bottom w:w="237" w:type="dxa"/>
              <w:right w:w="79" w:type="dxa"/>
            </w:tcMar>
            <w:hideMark/>
          </w:tcPr>
          <w:p w14:paraId="02F08F78"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0.31</w:t>
            </w:r>
          </w:p>
        </w:tc>
      </w:tr>
      <w:tr w:rsidR="00523C4D" w:rsidRPr="00523C4D" w14:paraId="665D4D37" w14:textId="77777777" w:rsidTr="00523C4D">
        <w:trPr>
          <w:trHeight w:val="335"/>
        </w:trPr>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1BC2284E" w14:textId="77777777" w:rsidR="00523C4D" w:rsidRPr="00523C4D" w:rsidRDefault="00523C4D" w:rsidP="00523C4D">
            <w:pPr>
              <w:spacing w:after="0" w:line="240" w:lineRule="auto"/>
              <w:rPr>
                <w:rFonts w:ascii="Arial" w:eastAsia="Times New Roman" w:hAnsi="Arial" w:cs="Arial"/>
                <w:sz w:val="20"/>
                <w:szCs w:val="20"/>
                <w:lang w:eastAsia="en-GB"/>
              </w:rPr>
            </w:pPr>
            <w:r w:rsidRPr="00523C4D">
              <w:rPr>
                <w:rFonts w:ascii="Aptos" w:eastAsia="Times New Roman" w:hAnsi="Aptos" w:cs="Arial"/>
                <w:b/>
                <w:bCs/>
                <w:color w:val="000000" w:themeColor="text1"/>
                <w:kern w:val="24"/>
                <w:sz w:val="20"/>
                <w:szCs w:val="20"/>
                <w:lang w:eastAsia="en-GB"/>
              </w:rPr>
              <w:t xml:space="preserve">Highest creatinine </w:t>
            </w:r>
          </w:p>
        </w:tc>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0290EA8B"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0C827E70"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05393B0D"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n/a</w:t>
            </w:r>
          </w:p>
        </w:tc>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7F9B1A35"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106</w:t>
            </w:r>
          </w:p>
        </w:tc>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7C49528C"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96</w:t>
            </w:r>
          </w:p>
        </w:tc>
        <w:tc>
          <w:tcPr>
            <w:tcW w:w="0" w:type="auto"/>
            <w:tcBorders>
              <w:top w:val="nil"/>
              <w:left w:val="nil"/>
              <w:bottom w:val="single" w:sz="18" w:space="0" w:color="000000"/>
              <w:right w:val="nil"/>
            </w:tcBorders>
            <w:shd w:val="clear" w:color="auto" w:fill="E7E7E7"/>
            <w:tcMar>
              <w:top w:w="32" w:type="dxa"/>
              <w:left w:w="15" w:type="dxa"/>
              <w:bottom w:w="237" w:type="dxa"/>
              <w:right w:w="79" w:type="dxa"/>
            </w:tcMar>
            <w:hideMark/>
          </w:tcPr>
          <w:p w14:paraId="23F0C25E" w14:textId="77777777" w:rsidR="00523C4D" w:rsidRPr="00523C4D" w:rsidRDefault="00523C4D" w:rsidP="00523C4D">
            <w:pPr>
              <w:spacing w:after="0" w:line="240" w:lineRule="auto"/>
              <w:jc w:val="center"/>
              <w:rPr>
                <w:rFonts w:ascii="Arial" w:eastAsia="Times New Roman" w:hAnsi="Arial" w:cs="Arial"/>
                <w:sz w:val="20"/>
                <w:szCs w:val="20"/>
                <w:lang w:eastAsia="en-GB"/>
              </w:rPr>
            </w:pPr>
            <w:r w:rsidRPr="00523C4D">
              <w:rPr>
                <w:rFonts w:ascii="Aptos" w:eastAsia="Times New Roman" w:hAnsi="Aptos" w:cs="Arial"/>
                <w:color w:val="000000" w:themeColor="text1"/>
                <w:kern w:val="24"/>
                <w:sz w:val="20"/>
                <w:szCs w:val="20"/>
                <w:lang w:eastAsia="en-GB"/>
              </w:rPr>
              <w:t>0.93</w:t>
            </w:r>
          </w:p>
        </w:tc>
      </w:tr>
    </w:tbl>
    <w:p w14:paraId="201FD063" w14:textId="41538631" w:rsidR="00B1636F" w:rsidRDefault="00B1636F" w:rsidP="00B1636F">
      <w:pPr>
        <w:spacing w:line="480" w:lineRule="auto"/>
        <w:rPr>
          <w:rFonts w:ascii="Calibri" w:hAnsi="Calibri" w:cs="Calibri"/>
          <w:sz w:val="24"/>
          <w:szCs w:val="24"/>
        </w:rPr>
      </w:pPr>
      <w:r w:rsidRPr="00332A43">
        <w:rPr>
          <w:rFonts w:ascii="Calibri" w:hAnsi="Calibri" w:cs="Calibri"/>
          <w:sz w:val="24"/>
          <w:szCs w:val="24"/>
        </w:rPr>
        <w:t>Numerical variables were compared using Wilcoxon rank sum test and categorical variables using the chi-square test.</w:t>
      </w:r>
      <w:r w:rsidRPr="00B1636F">
        <w:rPr>
          <w:rFonts w:ascii="Calibri" w:hAnsi="Calibri" w:cs="Calibri"/>
          <w:sz w:val="24"/>
          <w:szCs w:val="24"/>
        </w:rPr>
        <w:t xml:space="preserve"> </w:t>
      </w:r>
      <w:r>
        <w:rPr>
          <w:rFonts w:ascii="Calibri" w:hAnsi="Calibri" w:cs="Calibri"/>
          <w:sz w:val="24"/>
          <w:szCs w:val="24"/>
        </w:rPr>
        <w:t>ACT – Advanced cardiogenic shock team</w:t>
      </w:r>
      <w:r w:rsidR="00FA6CA3">
        <w:rPr>
          <w:rFonts w:ascii="Calibri" w:hAnsi="Calibri" w:cs="Calibri"/>
          <w:sz w:val="24"/>
          <w:szCs w:val="24"/>
        </w:rPr>
        <w:t xml:space="preserve">, GCS – Glasgow Coma Score, </w:t>
      </w:r>
      <w:r w:rsidR="00DB0099">
        <w:rPr>
          <w:rFonts w:ascii="Calibri" w:hAnsi="Calibri" w:cs="Calibri"/>
          <w:sz w:val="24"/>
          <w:szCs w:val="24"/>
        </w:rPr>
        <w:t xml:space="preserve">IABP – intra-aortic balloon pump, </w:t>
      </w:r>
      <w:r w:rsidR="00441C45">
        <w:rPr>
          <w:rFonts w:ascii="Calibri" w:hAnsi="Calibri" w:cs="Calibri"/>
          <w:sz w:val="24"/>
          <w:szCs w:val="24"/>
        </w:rPr>
        <w:t>SBP – systolic blood pressure</w:t>
      </w:r>
    </w:p>
    <w:p w14:paraId="1D9A20D2" w14:textId="77777777" w:rsidR="005653F2" w:rsidRDefault="005653F2" w:rsidP="00B1636F">
      <w:pPr>
        <w:spacing w:line="480" w:lineRule="auto"/>
        <w:rPr>
          <w:rFonts w:ascii="Calibri" w:hAnsi="Calibri" w:cs="Calibri"/>
          <w:sz w:val="24"/>
          <w:szCs w:val="24"/>
        </w:rPr>
      </w:pPr>
    </w:p>
    <w:p w14:paraId="7A750D1F" w14:textId="77777777" w:rsidR="00523C4D" w:rsidRDefault="00523C4D" w:rsidP="00B1636F">
      <w:pPr>
        <w:spacing w:line="480" w:lineRule="auto"/>
        <w:rPr>
          <w:rFonts w:ascii="Calibri" w:hAnsi="Calibri" w:cs="Calibri"/>
          <w:sz w:val="24"/>
          <w:szCs w:val="24"/>
        </w:rPr>
      </w:pPr>
    </w:p>
    <w:p w14:paraId="36EE7BBD" w14:textId="77777777" w:rsidR="00523C4D" w:rsidRDefault="00523C4D" w:rsidP="00B1636F">
      <w:pPr>
        <w:spacing w:line="480" w:lineRule="auto"/>
        <w:rPr>
          <w:rFonts w:ascii="Calibri" w:hAnsi="Calibri" w:cs="Calibri"/>
          <w:sz w:val="24"/>
          <w:szCs w:val="24"/>
        </w:rPr>
      </w:pPr>
    </w:p>
    <w:p w14:paraId="719BBF4C" w14:textId="77777777" w:rsidR="00523C4D" w:rsidRDefault="00523C4D" w:rsidP="00B1636F">
      <w:pPr>
        <w:spacing w:line="480" w:lineRule="auto"/>
        <w:rPr>
          <w:rFonts w:ascii="Calibri" w:hAnsi="Calibri" w:cs="Calibri"/>
          <w:sz w:val="24"/>
          <w:szCs w:val="24"/>
        </w:rPr>
      </w:pPr>
    </w:p>
    <w:p w14:paraId="4F109F65" w14:textId="77777777" w:rsidR="00523C4D" w:rsidRDefault="00523C4D" w:rsidP="00B1636F">
      <w:pPr>
        <w:spacing w:line="480" w:lineRule="auto"/>
        <w:rPr>
          <w:rFonts w:ascii="Calibri" w:hAnsi="Calibri" w:cs="Calibri"/>
          <w:sz w:val="24"/>
          <w:szCs w:val="24"/>
        </w:rPr>
      </w:pPr>
    </w:p>
    <w:p w14:paraId="28E92C60" w14:textId="5E211F8C" w:rsidR="005653F2" w:rsidRPr="005653F2" w:rsidRDefault="005653F2" w:rsidP="00B1636F">
      <w:pPr>
        <w:spacing w:line="480" w:lineRule="auto"/>
        <w:rPr>
          <w:rFonts w:ascii="Calibri" w:hAnsi="Calibri" w:cs="Calibri"/>
          <w:b/>
          <w:bCs/>
          <w:sz w:val="24"/>
          <w:szCs w:val="24"/>
        </w:rPr>
      </w:pPr>
      <w:r w:rsidRPr="005653F2">
        <w:rPr>
          <w:rFonts w:ascii="Calibri" w:hAnsi="Calibri" w:cs="Calibri"/>
          <w:b/>
          <w:bCs/>
          <w:sz w:val="24"/>
          <w:szCs w:val="24"/>
        </w:rPr>
        <w:lastRenderedPageBreak/>
        <w:t xml:space="preserve">Figure legends </w:t>
      </w:r>
    </w:p>
    <w:p w14:paraId="4C0E3DCE" w14:textId="77777777" w:rsidR="00C368CE" w:rsidRDefault="00C368CE" w:rsidP="00C368CE">
      <w:pPr>
        <w:spacing w:line="480" w:lineRule="auto"/>
        <w:rPr>
          <w:rFonts w:ascii="Calibri" w:hAnsi="Calibri" w:cs="Calibri"/>
          <w:sz w:val="24"/>
          <w:szCs w:val="24"/>
        </w:rPr>
      </w:pPr>
      <w:r w:rsidRPr="00A40DCE">
        <w:rPr>
          <w:rFonts w:ascii="Calibri" w:hAnsi="Calibri" w:cs="Calibri"/>
          <w:b/>
          <w:bCs/>
          <w:sz w:val="24"/>
          <w:szCs w:val="24"/>
        </w:rPr>
        <w:t>Figure 1</w:t>
      </w:r>
      <w:r>
        <w:rPr>
          <w:rFonts w:ascii="Calibri" w:hAnsi="Calibri" w:cs="Calibri"/>
          <w:b/>
          <w:bCs/>
          <w:sz w:val="24"/>
          <w:szCs w:val="24"/>
        </w:rPr>
        <w:t xml:space="preserve"> - </w:t>
      </w:r>
      <w:r>
        <w:rPr>
          <w:rFonts w:ascii="Calibri" w:hAnsi="Calibri" w:cs="Calibri"/>
          <w:sz w:val="24"/>
          <w:szCs w:val="24"/>
        </w:rPr>
        <w:t>Advanced cardiogenic shock team (ACT)</w:t>
      </w:r>
      <w:r w:rsidRPr="00D36DC6">
        <w:rPr>
          <w:rFonts w:ascii="Calibri" w:hAnsi="Calibri" w:cs="Calibri"/>
          <w:sz w:val="24"/>
          <w:szCs w:val="24"/>
        </w:rPr>
        <w:t xml:space="preserve"> can be activated pre-hospital and during percutaneous coronary intervention (PCI) as above criteria. It also outlines the patient pathway following revascularisation, including transfer to CCU or ICU. BE – base excess;</w:t>
      </w:r>
      <w:r>
        <w:rPr>
          <w:rFonts w:ascii="Calibri" w:hAnsi="Calibri" w:cs="Calibri"/>
          <w:sz w:val="24"/>
          <w:szCs w:val="24"/>
        </w:rPr>
        <w:t xml:space="preserve"> BPM – beats per minute; </w:t>
      </w:r>
      <w:r w:rsidRPr="00D36DC6">
        <w:rPr>
          <w:rFonts w:ascii="Calibri" w:hAnsi="Calibri" w:cs="Calibri"/>
          <w:sz w:val="24"/>
          <w:szCs w:val="24"/>
        </w:rPr>
        <w:t xml:space="preserve"> HR – heart rate; LVEDP – left ventricular end diastolic pressure; SBP – systolic blood pressure; SpO₂ – oxygen saturation; CCU – Coronary Care Unit; CPAP – continuous positive airway pressure; </w:t>
      </w:r>
      <w:bookmarkStart w:id="0" w:name="_Hlk207868250"/>
      <w:r w:rsidRPr="00D36DC6">
        <w:rPr>
          <w:rFonts w:ascii="Calibri" w:hAnsi="Calibri" w:cs="Calibri"/>
          <w:sz w:val="24"/>
          <w:szCs w:val="24"/>
        </w:rPr>
        <w:t>ECMO – extracorporeal membrane oxygenation</w:t>
      </w:r>
      <w:bookmarkEnd w:id="0"/>
      <w:r w:rsidRPr="00D36DC6">
        <w:rPr>
          <w:rFonts w:ascii="Calibri" w:hAnsi="Calibri" w:cs="Calibri"/>
          <w:sz w:val="24"/>
          <w:szCs w:val="24"/>
        </w:rPr>
        <w:t>; HFNC – high-flow nasal cannula; IABP – intra-aortic balloon pump; ICU – Intensive Care Unit; MCS – mechanical circulatory support; U/O – urine output</w:t>
      </w:r>
    </w:p>
    <w:p w14:paraId="4B122236" w14:textId="77777777" w:rsidR="006C7041" w:rsidRPr="005842AF" w:rsidRDefault="006C7041" w:rsidP="006C7041">
      <w:pPr>
        <w:spacing w:line="480" w:lineRule="auto"/>
        <w:rPr>
          <w:rFonts w:ascii="Calibri" w:hAnsi="Calibri" w:cs="Calibri"/>
          <w:sz w:val="24"/>
          <w:szCs w:val="24"/>
        </w:rPr>
      </w:pPr>
      <w:r w:rsidRPr="00EC5D98">
        <w:rPr>
          <w:rFonts w:ascii="Calibri" w:hAnsi="Calibri" w:cs="Calibri"/>
          <w:b/>
          <w:bCs/>
          <w:sz w:val="24"/>
          <w:szCs w:val="24"/>
        </w:rPr>
        <w:t xml:space="preserve">Figure </w:t>
      </w:r>
      <w:r>
        <w:rPr>
          <w:rFonts w:ascii="Calibri" w:hAnsi="Calibri" w:cs="Calibri"/>
          <w:b/>
          <w:bCs/>
          <w:sz w:val="24"/>
          <w:szCs w:val="24"/>
        </w:rPr>
        <w:t>2</w:t>
      </w:r>
      <w:r w:rsidRPr="00EC5D98">
        <w:rPr>
          <w:rFonts w:ascii="Calibri" w:hAnsi="Calibri" w:cs="Calibri"/>
          <w:b/>
          <w:bCs/>
          <w:sz w:val="24"/>
          <w:szCs w:val="24"/>
        </w:rPr>
        <w:t xml:space="preserve"> </w:t>
      </w:r>
      <w:r w:rsidRPr="00EC5D98">
        <w:rPr>
          <w:rFonts w:ascii="Calibri" w:hAnsi="Calibri" w:cs="Calibri"/>
          <w:sz w:val="24"/>
          <w:szCs w:val="24"/>
        </w:rPr>
        <w:t xml:space="preserve">The Kaplan-Meier plot </w:t>
      </w:r>
      <w:r>
        <w:rPr>
          <w:rFonts w:ascii="Calibri" w:hAnsi="Calibri" w:cs="Calibri"/>
          <w:sz w:val="24"/>
          <w:szCs w:val="24"/>
        </w:rPr>
        <w:t>demonstrating</w:t>
      </w:r>
      <w:r w:rsidRPr="00EC5D98">
        <w:rPr>
          <w:rFonts w:ascii="Calibri" w:hAnsi="Calibri" w:cs="Calibri"/>
          <w:sz w:val="24"/>
          <w:szCs w:val="24"/>
        </w:rPr>
        <w:t xml:space="preserve"> lower event rates with shock team support for both 30-day and 1-year mortality compared to the standard care only.</w:t>
      </w:r>
      <w:r>
        <w:rPr>
          <w:rFonts w:ascii="Calibri" w:hAnsi="Calibri" w:cs="Calibri"/>
          <w:sz w:val="24"/>
          <w:szCs w:val="24"/>
        </w:rPr>
        <w:t xml:space="preserve"> ACT – advanced cardiogenic shock team</w:t>
      </w:r>
    </w:p>
    <w:p w14:paraId="08C054D3" w14:textId="77777777" w:rsidR="006C7041" w:rsidRDefault="006C7041" w:rsidP="00C368CE">
      <w:pPr>
        <w:spacing w:line="480" w:lineRule="auto"/>
        <w:rPr>
          <w:rFonts w:ascii="Calibri" w:hAnsi="Calibri" w:cs="Calibri"/>
          <w:sz w:val="24"/>
          <w:szCs w:val="24"/>
        </w:rPr>
      </w:pPr>
    </w:p>
    <w:p w14:paraId="412AF125" w14:textId="6A65C774" w:rsidR="00441C45" w:rsidRDefault="00441C45" w:rsidP="00B1636F">
      <w:pPr>
        <w:spacing w:line="480" w:lineRule="auto"/>
        <w:rPr>
          <w:rFonts w:ascii="Calibri" w:hAnsi="Calibri" w:cs="Calibri"/>
          <w:sz w:val="24"/>
          <w:szCs w:val="24"/>
        </w:rPr>
      </w:pPr>
    </w:p>
    <w:p w14:paraId="5B14D28F" w14:textId="77777777" w:rsidR="00441C45" w:rsidRDefault="00441C45" w:rsidP="00B1636F">
      <w:pPr>
        <w:spacing w:line="480" w:lineRule="auto"/>
        <w:rPr>
          <w:rFonts w:ascii="Calibri" w:hAnsi="Calibri" w:cs="Calibri"/>
          <w:sz w:val="24"/>
          <w:szCs w:val="24"/>
        </w:rPr>
      </w:pPr>
    </w:p>
    <w:p w14:paraId="1D71E539" w14:textId="77777777" w:rsidR="00441C45" w:rsidRDefault="00441C45" w:rsidP="00B1636F">
      <w:pPr>
        <w:spacing w:line="480" w:lineRule="auto"/>
        <w:rPr>
          <w:rFonts w:ascii="Calibri" w:hAnsi="Calibri" w:cs="Calibri"/>
          <w:sz w:val="24"/>
          <w:szCs w:val="24"/>
        </w:rPr>
      </w:pPr>
    </w:p>
    <w:p w14:paraId="283B12B9" w14:textId="77777777" w:rsidR="00441C45" w:rsidRDefault="00441C45" w:rsidP="00B1636F">
      <w:pPr>
        <w:spacing w:line="480" w:lineRule="auto"/>
        <w:rPr>
          <w:rFonts w:ascii="Calibri" w:hAnsi="Calibri" w:cs="Calibri"/>
          <w:sz w:val="24"/>
          <w:szCs w:val="24"/>
        </w:rPr>
      </w:pPr>
    </w:p>
    <w:p w14:paraId="1C2CEADB" w14:textId="77777777" w:rsidR="00441C45" w:rsidRDefault="00441C45" w:rsidP="00B1636F">
      <w:pPr>
        <w:spacing w:line="480" w:lineRule="auto"/>
        <w:rPr>
          <w:rFonts w:ascii="Calibri" w:hAnsi="Calibri" w:cs="Calibri"/>
          <w:sz w:val="24"/>
          <w:szCs w:val="24"/>
        </w:rPr>
      </w:pPr>
    </w:p>
    <w:p w14:paraId="1EA5448B" w14:textId="77777777" w:rsidR="00441C45" w:rsidRDefault="00441C45" w:rsidP="00B1636F">
      <w:pPr>
        <w:spacing w:line="480" w:lineRule="auto"/>
        <w:rPr>
          <w:rFonts w:ascii="Calibri" w:hAnsi="Calibri" w:cs="Calibri"/>
          <w:sz w:val="24"/>
          <w:szCs w:val="24"/>
        </w:rPr>
      </w:pPr>
    </w:p>
    <w:p w14:paraId="53CD5682" w14:textId="77777777" w:rsidR="007D372B" w:rsidRPr="00C75DE1" w:rsidRDefault="007D372B" w:rsidP="00085BED">
      <w:pPr>
        <w:spacing w:line="480" w:lineRule="auto"/>
        <w:rPr>
          <w:rFonts w:ascii="Calibri" w:hAnsi="Calibri" w:cs="Calibri"/>
          <w:b/>
          <w:bCs/>
          <w:sz w:val="24"/>
          <w:szCs w:val="24"/>
        </w:rPr>
      </w:pPr>
    </w:p>
    <w:sectPr w:rsidR="007D372B" w:rsidRPr="00C75DE1" w:rsidSect="009C3549">
      <w:headerReference w:type="default" r:id="rId10"/>
      <w:pgSz w:w="11906" w:h="16838"/>
      <w:pgMar w:top="1440" w:right="1440" w:bottom="1440" w:left="1440" w:header="708" w:footer="708" w:gutter="0"/>
      <w:lnNumType w:countBy="1" w:restart="newSection"/>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EB3D" w14:textId="77777777" w:rsidR="005471E4" w:rsidRDefault="005471E4" w:rsidP="00C74EAD">
      <w:pPr>
        <w:spacing w:after="0" w:line="240" w:lineRule="auto"/>
      </w:pPr>
      <w:r>
        <w:separator/>
      </w:r>
    </w:p>
  </w:endnote>
  <w:endnote w:type="continuationSeparator" w:id="0">
    <w:p w14:paraId="2C28D7E2" w14:textId="77777777" w:rsidR="005471E4" w:rsidRDefault="005471E4" w:rsidP="00C7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3E46" w14:textId="77777777" w:rsidR="005471E4" w:rsidRDefault="005471E4" w:rsidP="00C74EAD">
      <w:pPr>
        <w:spacing w:after="0" w:line="240" w:lineRule="auto"/>
      </w:pPr>
      <w:r>
        <w:separator/>
      </w:r>
    </w:p>
  </w:footnote>
  <w:footnote w:type="continuationSeparator" w:id="0">
    <w:p w14:paraId="7EEEB0D9" w14:textId="77777777" w:rsidR="005471E4" w:rsidRDefault="005471E4" w:rsidP="00C74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692207"/>
      <w:docPartObj>
        <w:docPartGallery w:val="Page Numbers (Top of Page)"/>
        <w:docPartUnique/>
      </w:docPartObj>
    </w:sdtPr>
    <w:sdtEndPr>
      <w:rPr>
        <w:rStyle w:val="PageNumber"/>
      </w:rPr>
    </w:sdtEndPr>
    <w:sdtContent>
      <w:p w14:paraId="2E1D4A1D" w14:textId="07FFFD35" w:rsidR="005A672C" w:rsidRDefault="005A672C" w:rsidP="005A67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7A68D" w14:textId="77777777" w:rsidR="005A672C" w:rsidRDefault="005A672C" w:rsidP="00C74E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7B76" w14:textId="77777777" w:rsidR="005A672C" w:rsidRDefault="005A672C" w:rsidP="00C74EA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329307"/>
      <w:docPartObj>
        <w:docPartGallery w:val="Page Numbers (Top of Page)"/>
        <w:docPartUnique/>
      </w:docPartObj>
    </w:sdtPr>
    <w:sdtEndPr>
      <w:rPr>
        <w:rStyle w:val="PageNumber"/>
      </w:rPr>
    </w:sdtEndPr>
    <w:sdtContent>
      <w:p w14:paraId="68A1A199" w14:textId="77777777" w:rsidR="00CB375E" w:rsidRDefault="00CB375E" w:rsidP="005A67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C14DCA" w14:textId="77777777" w:rsidR="00CB375E" w:rsidRDefault="00CB375E" w:rsidP="00C74E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F3E"/>
    <w:multiLevelType w:val="multilevel"/>
    <w:tmpl w:val="82F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518C"/>
    <w:multiLevelType w:val="multilevel"/>
    <w:tmpl w:val="7F8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26015"/>
    <w:multiLevelType w:val="hybridMultilevel"/>
    <w:tmpl w:val="B060FF26"/>
    <w:lvl w:ilvl="0" w:tplc="0C405364">
      <w:start w:val="1"/>
      <w:numFmt w:val="bullet"/>
      <w:lvlText w:val="•"/>
      <w:lvlJc w:val="left"/>
      <w:pPr>
        <w:tabs>
          <w:tab w:val="num" w:pos="720"/>
        </w:tabs>
        <w:ind w:left="720" w:hanging="360"/>
      </w:pPr>
      <w:rPr>
        <w:rFonts w:ascii="Arial" w:hAnsi="Arial" w:hint="default"/>
      </w:rPr>
    </w:lvl>
    <w:lvl w:ilvl="1" w:tplc="A35A52D4" w:tentative="1">
      <w:start w:val="1"/>
      <w:numFmt w:val="bullet"/>
      <w:lvlText w:val="•"/>
      <w:lvlJc w:val="left"/>
      <w:pPr>
        <w:tabs>
          <w:tab w:val="num" w:pos="1440"/>
        </w:tabs>
        <w:ind w:left="1440" w:hanging="360"/>
      </w:pPr>
      <w:rPr>
        <w:rFonts w:ascii="Arial" w:hAnsi="Arial" w:hint="default"/>
      </w:rPr>
    </w:lvl>
    <w:lvl w:ilvl="2" w:tplc="EC0ACE44" w:tentative="1">
      <w:start w:val="1"/>
      <w:numFmt w:val="bullet"/>
      <w:lvlText w:val="•"/>
      <w:lvlJc w:val="left"/>
      <w:pPr>
        <w:tabs>
          <w:tab w:val="num" w:pos="2160"/>
        </w:tabs>
        <w:ind w:left="2160" w:hanging="360"/>
      </w:pPr>
      <w:rPr>
        <w:rFonts w:ascii="Arial" w:hAnsi="Arial" w:hint="default"/>
      </w:rPr>
    </w:lvl>
    <w:lvl w:ilvl="3" w:tplc="89561446" w:tentative="1">
      <w:start w:val="1"/>
      <w:numFmt w:val="bullet"/>
      <w:lvlText w:val="•"/>
      <w:lvlJc w:val="left"/>
      <w:pPr>
        <w:tabs>
          <w:tab w:val="num" w:pos="2880"/>
        </w:tabs>
        <w:ind w:left="2880" w:hanging="360"/>
      </w:pPr>
      <w:rPr>
        <w:rFonts w:ascii="Arial" w:hAnsi="Arial" w:hint="default"/>
      </w:rPr>
    </w:lvl>
    <w:lvl w:ilvl="4" w:tplc="21B0CC18" w:tentative="1">
      <w:start w:val="1"/>
      <w:numFmt w:val="bullet"/>
      <w:lvlText w:val="•"/>
      <w:lvlJc w:val="left"/>
      <w:pPr>
        <w:tabs>
          <w:tab w:val="num" w:pos="3600"/>
        </w:tabs>
        <w:ind w:left="3600" w:hanging="360"/>
      </w:pPr>
      <w:rPr>
        <w:rFonts w:ascii="Arial" w:hAnsi="Arial" w:hint="default"/>
      </w:rPr>
    </w:lvl>
    <w:lvl w:ilvl="5" w:tplc="663809BA" w:tentative="1">
      <w:start w:val="1"/>
      <w:numFmt w:val="bullet"/>
      <w:lvlText w:val="•"/>
      <w:lvlJc w:val="left"/>
      <w:pPr>
        <w:tabs>
          <w:tab w:val="num" w:pos="4320"/>
        </w:tabs>
        <w:ind w:left="4320" w:hanging="360"/>
      </w:pPr>
      <w:rPr>
        <w:rFonts w:ascii="Arial" w:hAnsi="Arial" w:hint="default"/>
      </w:rPr>
    </w:lvl>
    <w:lvl w:ilvl="6" w:tplc="9A38E99E" w:tentative="1">
      <w:start w:val="1"/>
      <w:numFmt w:val="bullet"/>
      <w:lvlText w:val="•"/>
      <w:lvlJc w:val="left"/>
      <w:pPr>
        <w:tabs>
          <w:tab w:val="num" w:pos="5040"/>
        </w:tabs>
        <w:ind w:left="5040" w:hanging="360"/>
      </w:pPr>
      <w:rPr>
        <w:rFonts w:ascii="Arial" w:hAnsi="Arial" w:hint="default"/>
      </w:rPr>
    </w:lvl>
    <w:lvl w:ilvl="7" w:tplc="FD2C3522" w:tentative="1">
      <w:start w:val="1"/>
      <w:numFmt w:val="bullet"/>
      <w:lvlText w:val="•"/>
      <w:lvlJc w:val="left"/>
      <w:pPr>
        <w:tabs>
          <w:tab w:val="num" w:pos="5760"/>
        </w:tabs>
        <w:ind w:left="5760" w:hanging="360"/>
      </w:pPr>
      <w:rPr>
        <w:rFonts w:ascii="Arial" w:hAnsi="Arial" w:hint="default"/>
      </w:rPr>
    </w:lvl>
    <w:lvl w:ilvl="8" w:tplc="CA06F8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0B0810"/>
    <w:multiLevelType w:val="multilevel"/>
    <w:tmpl w:val="01B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C6480"/>
    <w:multiLevelType w:val="hybridMultilevel"/>
    <w:tmpl w:val="A5E4BE62"/>
    <w:lvl w:ilvl="0" w:tplc="E38E3F5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D7BE6"/>
    <w:multiLevelType w:val="hybridMultilevel"/>
    <w:tmpl w:val="D370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605C3"/>
    <w:multiLevelType w:val="hybridMultilevel"/>
    <w:tmpl w:val="917E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D3B8D"/>
    <w:multiLevelType w:val="multilevel"/>
    <w:tmpl w:val="BEB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232819">
    <w:abstractNumId w:val="2"/>
  </w:num>
  <w:num w:numId="2" w16cid:durableId="820928157">
    <w:abstractNumId w:val="7"/>
  </w:num>
  <w:num w:numId="3" w16cid:durableId="536702763">
    <w:abstractNumId w:val="0"/>
  </w:num>
  <w:num w:numId="4" w16cid:durableId="1105926899">
    <w:abstractNumId w:val="1"/>
  </w:num>
  <w:num w:numId="5" w16cid:durableId="386075169">
    <w:abstractNumId w:val="3"/>
  </w:num>
  <w:num w:numId="6" w16cid:durableId="1514567738">
    <w:abstractNumId w:val="6"/>
  </w:num>
  <w:num w:numId="7" w16cid:durableId="1943295007">
    <w:abstractNumId w:val="5"/>
  </w:num>
  <w:num w:numId="8" w16cid:durableId="108163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8F"/>
    <w:rsid w:val="00003DB4"/>
    <w:rsid w:val="0001460F"/>
    <w:rsid w:val="00015D2A"/>
    <w:rsid w:val="0001687C"/>
    <w:rsid w:val="000174DE"/>
    <w:rsid w:val="00023A67"/>
    <w:rsid w:val="000248D8"/>
    <w:rsid w:val="00026AD1"/>
    <w:rsid w:val="00035A92"/>
    <w:rsid w:val="000439FC"/>
    <w:rsid w:val="00044A81"/>
    <w:rsid w:val="000458B6"/>
    <w:rsid w:val="00045E81"/>
    <w:rsid w:val="000471C1"/>
    <w:rsid w:val="0004758B"/>
    <w:rsid w:val="000542A6"/>
    <w:rsid w:val="0006714F"/>
    <w:rsid w:val="00071500"/>
    <w:rsid w:val="000715B5"/>
    <w:rsid w:val="000728EB"/>
    <w:rsid w:val="00074F2E"/>
    <w:rsid w:val="000825DE"/>
    <w:rsid w:val="00085BED"/>
    <w:rsid w:val="00086D14"/>
    <w:rsid w:val="00086D8E"/>
    <w:rsid w:val="00087CE4"/>
    <w:rsid w:val="000920EC"/>
    <w:rsid w:val="00092D6D"/>
    <w:rsid w:val="00092DB9"/>
    <w:rsid w:val="00094339"/>
    <w:rsid w:val="0009583D"/>
    <w:rsid w:val="00096B72"/>
    <w:rsid w:val="000A26AA"/>
    <w:rsid w:val="000A5686"/>
    <w:rsid w:val="000A5BEE"/>
    <w:rsid w:val="000A6ED7"/>
    <w:rsid w:val="000B2D6D"/>
    <w:rsid w:val="000B3FC2"/>
    <w:rsid w:val="000B7F3F"/>
    <w:rsid w:val="000C4164"/>
    <w:rsid w:val="000C72EC"/>
    <w:rsid w:val="000D2431"/>
    <w:rsid w:val="000D43BC"/>
    <w:rsid w:val="000D4579"/>
    <w:rsid w:val="000D66E5"/>
    <w:rsid w:val="000E4199"/>
    <w:rsid w:val="000F4B1D"/>
    <w:rsid w:val="000F6D59"/>
    <w:rsid w:val="00105418"/>
    <w:rsid w:val="001054B4"/>
    <w:rsid w:val="00107A94"/>
    <w:rsid w:val="00111298"/>
    <w:rsid w:val="001122FD"/>
    <w:rsid w:val="00113F2E"/>
    <w:rsid w:val="00115B67"/>
    <w:rsid w:val="00117948"/>
    <w:rsid w:val="00127616"/>
    <w:rsid w:val="00127E54"/>
    <w:rsid w:val="001301F5"/>
    <w:rsid w:val="00133406"/>
    <w:rsid w:val="00133A10"/>
    <w:rsid w:val="00136269"/>
    <w:rsid w:val="00136A1F"/>
    <w:rsid w:val="001429BF"/>
    <w:rsid w:val="00175A13"/>
    <w:rsid w:val="00176DE4"/>
    <w:rsid w:val="001770C9"/>
    <w:rsid w:val="00180202"/>
    <w:rsid w:val="00183561"/>
    <w:rsid w:val="001842B2"/>
    <w:rsid w:val="00185CDF"/>
    <w:rsid w:val="00186F75"/>
    <w:rsid w:val="001908DB"/>
    <w:rsid w:val="001A130D"/>
    <w:rsid w:val="001A22F3"/>
    <w:rsid w:val="001A3B0C"/>
    <w:rsid w:val="001B245D"/>
    <w:rsid w:val="001B298C"/>
    <w:rsid w:val="001B305B"/>
    <w:rsid w:val="001B78BB"/>
    <w:rsid w:val="001B7F17"/>
    <w:rsid w:val="001C1EBD"/>
    <w:rsid w:val="001C674F"/>
    <w:rsid w:val="001C7E3D"/>
    <w:rsid w:val="001D0A3E"/>
    <w:rsid w:val="001D10EE"/>
    <w:rsid w:val="001D5185"/>
    <w:rsid w:val="001E58FA"/>
    <w:rsid w:val="001E6094"/>
    <w:rsid w:val="001F267C"/>
    <w:rsid w:val="001F4466"/>
    <w:rsid w:val="001F5439"/>
    <w:rsid w:val="001F60C9"/>
    <w:rsid w:val="002004F3"/>
    <w:rsid w:val="00202A1C"/>
    <w:rsid w:val="00210CF0"/>
    <w:rsid w:val="0021286D"/>
    <w:rsid w:val="00212CCF"/>
    <w:rsid w:val="00215859"/>
    <w:rsid w:val="002162B3"/>
    <w:rsid w:val="0022544F"/>
    <w:rsid w:val="00231197"/>
    <w:rsid w:val="002349CD"/>
    <w:rsid w:val="00236552"/>
    <w:rsid w:val="00237064"/>
    <w:rsid w:val="0024225F"/>
    <w:rsid w:val="00245EBE"/>
    <w:rsid w:val="002461C3"/>
    <w:rsid w:val="0024711A"/>
    <w:rsid w:val="00247441"/>
    <w:rsid w:val="002500F9"/>
    <w:rsid w:val="0025095E"/>
    <w:rsid w:val="00262F3A"/>
    <w:rsid w:val="002631B1"/>
    <w:rsid w:val="0027158B"/>
    <w:rsid w:val="0027594F"/>
    <w:rsid w:val="00277A67"/>
    <w:rsid w:val="002870C0"/>
    <w:rsid w:val="00287E94"/>
    <w:rsid w:val="00290755"/>
    <w:rsid w:val="00291373"/>
    <w:rsid w:val="00291424"/>
    <w:rsid w:val="002934E7"/>
    <w:rsid w:val="002A4F1A"/>
    <w:rsid w:val="002A52F4"/>
    <w:rsid w:val="002A61C3"/>
    <w:rsid w:val="002C00F2"/>
    <w:rsid w:val="002C2E8A"/>
    <w:rsid w:val="002C3179"/>
    <w:rsid w:val="002D6AF7"/>
    <w:rsid w:val="002E41E4"/>
    <w:rsid w:val="002E4A63"/>
    <w:rsid w:val="002E5927"/>
    <w:rsid w:val="0030189E"/>
    <w:rsid w:val="00304C8E"/>
    <w:rsid w:val="00312979"/>
    <w:rsid w:val="003151CE"/>
    <w:rsid w:val="00316121"/>
    <w:rsid w:val="00317A1E"/>
    <w:rsid w:val="003241A9"/>
    <w:rsid w:val="00325929"/>
    <w:rsid w:val="00326265"/>
    <w:rsid w:val="00332A43"/>
    <w:rsid w:val="003371BE"/>
    <w:rsid w:val="003375FE"/>
    <w:rsid w:val="00341A30"/>
    <w:rsid w:val="00345017"/>
    <w:rsid w:val="003520BD"/>
    <w:rsid w:val="003559C1"/>
    <w:rsid w:val="00356479"/>
    <w:rsid w:val="003648A0"/>
    <w:rsid w:val="00373E8C"/>
    <w:rsid w:val="003772F1"/>
    <w:rsid w:val="00380E91"/>
    <w:rsid w:val="003857F1"/>
    <w:rsid w:val="0038764D"/>
    <w:rsid w:val="003925A9"/>
    <w:rsid w:val="00395001"/>
    <w:rsid w:val="00397429"/>
    <w:rsid w:val="00397B28"/>
    <w:rsid w:val="003A67F5"/>
    <w:rsid w:val="003A7253"/>
    <w:rsid w:val="003B3D9D"/>
    <w:rsid w:val="003B52D6"/>
    <w:rsid w:val="003B7F03"/>
    <w:rsid w:val="003C2895"/>
    <w:rsid w:val="003C3F7D"/>
    <w:rsid w:val="003C5D8F"/>
    <w:rsid w:val="003D1BAD"/>
    <w:rsid w:val="003D700F"/>
    <w:rsid w:val="003E0090"/>
    <w:rsid w:val="003E19AB"/>
    <w:rsid w:val="003E42CC"/>
    <w:rsid w:val="003E5950"/>
    <w:rsid w:val="003F26C3"/>
    <w:rsid w:val="003F45C8"/>
    <w:rsid w:val="003F4AA7"/>
    <w:rsid w:val="0040028D"/>
    <w:rsid w:val="004019EC"/>
    <w:rsid w:val="004028CC"/>
    <w:rsid w:val="00402D3D"/>
    <w:rsid w:val="00405E39"/>
    <w:rsid w:val="00406252"/>
    <w:rsid w:val="00406BA6"/>
    <w:rsid w:val="0041648F"/>
    <w:rsid w:val="0042346C"/>
    <w:rsid w:val="004244D7"/>
    <w:rsid w:val="0043121E"/>
    <w:rsid w:val="00433333"/>
    <w:rsid w:val="004338E1"/>
    <w:rsid w:val="004349EB"/>
    <w:rsid w:val="00435AFC"/>
    <w:rsid w:val="00440B88"/>
    <w:rsid w:val="00441C45"/>
    <w:rsid w:val="00445610"/>
    <w:rsid w:val="00457E0D"/>
    <w:rsid w:val="00464A78"/>
    <w:rsid w:val="0046601A"/>
    <w:rsid w:val="0047388D"/>
    <w:rsid w:val="00474884"/>
    <w:rsid w:val="004767D2"/>
    <w:rsid w:val="0048033C"/>
    <w:rsid w:val="0048395F"/>
    <w:rsid w:val="004841B4"/>
    <w:rsid w:val="0048425F"/>
    <w:rsid w:val="004851F0"/>
    <w:rsid w:val="0048638E"/>
    <w:rsid w:val="00490D68"/>
    <w:rsid w:val="00492899"/>
    <w:rsid w:val="00492AFF"/>
    <w:rsid w:val="00492F87"/>
    <w:rsid w:val="004A08AA"/>
    <w:rsid w:val="004A23C8"/>
    <w:rsid w:val="004A522D"/>
    <w:rsid w:val="004B1E64"/>
    <w:rsid w:val="004C0664"/>
    <w:rsid w:val="004D0D80"/>
    <w:rsid w:val="004E52F7"/>
    <w:rsid w:val="004E5979"/>
    <w:rsid w:val="004F4FEE"/>
    <w:rsid w:val="004F5038"/>
    <w:rsid w:val="004F5BE5"/>
    <w:rsid w:val="004F606F"/>
    <w:rsid w:val="004F787A"/>
    <w:rsid w:val="005119E6"/>
    <w:rsid w:val="00521B99"/>
    <w:rsid w:val="00523C4D"/>
    <w:rsid w:val="00524B88"/>
    <w:rsid w:val="00526DD6"/>
    <w:rsid w:val="00534013"/>
    <w:rsid w:val="005407C2"/>
    <w:rsid w:val="0054197E"/>
    <w:rsid w:val="00542B28"/>
    <w:rsid w:val="00545B60"/>
    <w:rsid w:val="005471E4"/>
    <w:rsid w:val="00552A1F"/>
    <w:rsid w:val="00556A8B"/>
    <w:rsid w:val="00563132"/>
    <w:rsid w:val="0056408E"/>
    <w:rsid w:val="005653F2"/>
    <w:rsid w:val="005670CC"/>
    <w:rsid w:val="0057063D"/>
    <w:rsid w:val="005718CA"/>
    <w:rsid w:val="00572724"/>
    <w:rsid w:val="00575079"/>
    <w:rsid w:val="00575B66"/>
    <w:rsid w:val="00575C0C"/>
    <w:rsid w:val="00580A23"/>
    <w:rsid w:val="0059188A"/>
    <w:rsid w:val="00593FB4"/>
    <w:rsid w:val="0059642C"/>
    <w:rsid w:val="005A46F8"/>
    <w:rsid w:val="005A672C"/>
    <w:rsid w:val="005B0E80"/>
    <w:rsid w:val="005B3267"/>
    <w:rsid w:val="005C6D62"/>
    <w:rsid w:val="005D1301"/>
    <w:rsid w:val="005E52F7"/>
    <w:rsid w:val="005E62CE"/>
    <w:rsid w:val="005E6F56"/>
    <w:rsid w:val="005F4785"/>
    <w:rsid w:val="005F55CB"/>
    <w:rsid w:val="005F7247"/>
    <w:rsid w:val="005F7A68"/>
    <w:rsid w:val="00600734"/>
    <w:rsid w:val="00602259"/>
    <w:rsid w:val="0060590B"/>
    <w:rsid w:val="0061008F"/>
    <w:rsid w:val="00622AFC"/>
    <w:rsid w:val="006247E4"/>
    <w:rsid w:val="0063227C"/>
    <w:rsid w:val="00632CAB"/>
    <w:rsid w:val="0063483B"/>
    <w:rsid w:val="00635119"/>
    <w:rsid w:val="006359E9"/>
    <w:rsid w:val="006468EF"/>
    <w:rsid w:val="00650BC7"/>
    <w:rsid w:val="006526D7"/>
    <w:rsid w:val="00660609"/>
    <w:rsid w:val="00671365"/>
    <w:rsid w:val="006748D7"/>
    <w:rsid w:val="0067633C"/>
    <w:rsid w:val="00677AEC"/>
    <w:rsid w:val="00681C5A"/>
    <w:rsid w:val="006824F7"/>
    <w:rsid w:val="00682F5E"/>
    <w:rsid w:val="00684E08"/>
    <w:rsid w:val="00685725"/>
    <w:rsid w:val="006874FC"/>
    <w:rsid w:val="00694369"/>
    <w:rsid w:val="006A539B"/>
    <w:rsid w:val="006A5D4A"/>
    <w:rsid w:val="006B6AED"/>
    <w:rsid w:val="006B792A"/>
    <w:rsid w:val="006B7BC5"/>
    <w:rsid w:val="006C0894"/>
    <w:rsid w:val="006C26ED"/>
    <w:rsid w:val="006C7041"/>
    <w:rsid w:val="006C77BB"/>
    <w:rsid w:val="006E30A7"/>
    <w:rsid w:val="006F0339"/>
    <w:rsid w:val="006F1BD3"/>
    <w:rsid w:val="006F27C8"/>
    <w:rsid w:val="006F3765"/>
    <w:rsid w:val="006F3E20"/>
    <w:rsid w:val="006F45F3"/>
    <w:rsid w:val="006F597F"/>
    <w:rsid w:val="006F6305"/>
    <w:rsid w:val="0070554F"/>
    <w:rsid w:val="00705863"/>
    <w:rsid w:val="00714D66"/>
    <w:rsid w:val="00720BDE"/>
    <w:rsid w:val="00721EBE"/>
    <w:rsid w:val="00721F5F"/>
    <w:rsid w:val="00723F9D"/>
    <w:rsid w:val="0072739C"/>
    <w:rsid w:val="007276BD"/>
    <w:rsid w:val="00730658"/>
    <w:rsid w:val="00731068"/>
    <w:rsid w:val="007318A5"/>
    <w:rsid w:val="00732287"/>
    <w:rsid w:val="007351DB"/>
    <w:rsid w:val="0073625F"/>
    <w:rsid w:val="00750316"/>
    <w:rsid w:val="00751073"/>
    <w:rsid w:val="007518BA"/>
    <w:rsid w:val="00752293"/>
    <w:rsid w:val="00753AFF"/>
    <w:rsid w:val="007573A1"/>
    <w:rsid w:val="00760FC6"/>
    <w:rsid w:val="00764898"/>
    <w:rsid w:val="00770ACC"/>
    <w:rsid w:val="007815AE"/>
    <w:rsid w:val="00784BE6"/>
    <w:rsid w:val="0078611E"/>
    <w:rsid w:val="00786A16"/>
    <w:rsid w:val="00792FF6"/>
    <w:rsid w:val="007A69D8"/>
    <w:rsid w:val="007A7E0C"/>
    <w:rsid w:val="007B701A"/>
    <w:rsid w:val="007C040A"/>
    <w:rsid w:val="007C0561"/>
    <w:rsid w:val="007C05BE"/>
    <w:rsid w:val="007C06B7"/>
    <w:rsid w:val="007C1762"/>
    <w:rsid w:val="007C22A2"/>
    <w:rsid w:val="007C597B"/>
    <w:rsid w:val="007D372B"/>
    <w:rsid w:val="007D5477"/>
    <w:rsid w:val="007E1718"/>
    <w:rsid w:val="007E1CBA"/>
    <w:rsid w:val="007E486D"/>
    <w:rsid w:val="007E5DB0"/>
    <w:rsid w:val="007E772E"/>
    <w:rsid w:val="007E7B47"/>
    <w:rsid w:val="007F017F"/>
    <w:rsid w:val="007F10E5"/>
    <w:rsid w:val="007F1463"/>
    <w:rsid w:val="0080349B"/>
    <w:rsid w:val="00806989"/>
    <w:rsid w:val="0081130B"/>
    <w:rsid w:val="0081144D"/>
    <w:rsid w:val="0081294E"/>
    <w:rsid w:val="00816909"/>
    <w:rsid w:val="0082175B"/>
    <w:rsid w:val="00830546"/>
    <w:rsid w:val="00835BD6"/>
    <w:rsid w:val="00836AF2"/>
    <w:rsid w:val="0084059A"/>
    <w:rsid w:val="00840CEF"/>
    <w:rsid w:val="0084697B"/>
    <w:rsid w:val="008547F3"/>
    <w:rsid w:val="0087447D"/>
    <w:rsid w:val="00884479"/>
    <w:rsid w:val="00885D78"/>
    <w:rsid w:val="0088609F"/>
    <w:rsid w:val="008879F5"/>
    <w:rsid w:val="00890BF0"/>
    <w:rsid w:val="0089108C"/>
    <w:rsid w:val="008A1163"/>
    <w:rsid w:val="008A26C5"/>
    <w:rsid w:val="008B1A15"/>
    <w:rsid w:val="008B36A1"/>
    <w:rsid w:val="008C17EB"/>
    <w:rsid w:val="008C5615"/>
    <w:rsid w:val="008D331A"/>
    <w:rsid w:val="008D7C49"/>
    <w:rsid w:val="008E215D"/>
    <w:rsid w:val="008E3308"/>
    <w:rsid w:val="008F0A35"/>
    <w:rsid w:val="008F236F"/>
    <w:rsid w:val="008F252D"/>
    <w:rsid w:val="008F66E5"/>
    <w:rsid w:val="008F7389"/>
    <w:rsid w:val="008F77ED"/>
    <w:rsid w:val="00922006"/>
    <w:rsid w:val="00922FF4"/>
    <w:rsid w:val="00926B0B"/>
    <w:rsid w:val="009277CF"/>
    <w:rsid w:val="00927C3F"/>
    <w:rsid w:val="00931716"/>
    <w:rsid w:val="009326C7"/>
    <w:rsid w:val="009366A3"/>
    <w:rsid w:val="009429FB"/>
    <w:rsid w:val="00950A93"/>
    <w:rsid w:val="0096364E"/>
    <w:rsid w:val="0096383C"/>
    <w:rsid w:val="00966767"/>
    <w:rsid w:val="00967812"/>
    <w:rsid w:val="009729C9"/>
    <w:rsid w:val="009759E7"/>
    <w:rsid w:val="00980911"/>
    <w:rsid w:val="0098176E"/>
    <w:rsid w:val="00983B71"/>
    <w:rsid w:val="00984A6D"/>
    <w:rsid w:val="00984EAA"/>
    <w:rsid w:val="00986AC3"/>
    <w:rsid w:val="009921EE"/>
    <w:rsid w:val="009944FB"/>
    <w:rsid w:val="00996EAB"/>
    <w:rsid w:val="009A0E08"/>
    <w:rsid w:val="009A2064"/>
    <w:rsid w:val="009A2093"/>
    <w:rsid w:val="009A2B23"/>
    <w:rsid w:val="009A744B"/>
    <w:rsid w:val="009B3891"/>
    <w:rsid w:val="009B7422"/>
    <w:rsid w:val="009B7A31"/>
    <w:rsid w:val="009C3549"/>
    <w:rsid w:val="009C40ED"/>
    <w:rsid w:val="009C43E9"/>
    <w:rsid w:val="009C4A7B"/>
    <w:rsid w:val="009D7326"/>
    <w:rsid w:val="009F4E89"/>
    <w:rsid w:val="009F7AE0"/>
    <w:rsid w:val="009F7C22"/>
    <w:rsid w:val="00A03545"/>
    <w:rsid w:val="00A11D09"/>
    <w:rsid w:val="00A17AC9"/>
    <w:rsid w:val="00A26AB8"/>
    <w:rsid w:val="00A30C80"/>
    <w:rsid w:val="00A31D02"/>
    <w:rsid w:val="00A33FC9"/>
    <w:rsid w:val="00A34DD4"/>
    <w:rsid w:val="00A37A87"/>
    <w:rsid w:val="00A40DCE"/>
    <w:rsid w:val="00A4286E"/>
    <w:rsid w:val="00A43372"/>
    <w:rsid w:val="00A4345E"/>
    <w:rsid w:val="00A44625"/>
    <w:rsid w:val="00A474EA"/>
    <w:rsid w:val="00A540A5"/>
    <w:rsid w:val="00A56492"/>
    <w:rsid w:val="00A56532"/>
    <w:rsid w:val="00A64A2D"/>
    <w:rsid w:val="00A66A85"/>
    <w:rsid w:val="00A71C4F"/>
    <w:rsid w:val="00A75172"/>
    <w:rsid w:val="00A77661"/>
    <w:rsid w:val="00A77942"/>
    <w:rsid w:val="00A815F9"/>
    <w:rsid w:val="00A8465F"/>
    <w:rsid w:val="00A87241"/>
    <w:rsid w:val="00A94E03"/>
    <w:rsid w:val="00A97CE8"/>
    <w:rsid w:val="00AA0945"/>
    <w:rsid w:val="00AC6BCD"/>
    <w:rsid w:val="00AC7659"/>
    <w:rsid w:val="00AC771C"/>
    <w:rsid w:val="00AD0974"/>
    <w:rsid w:val="00AD30BA"/>
    <w:rsid w:val="00AE02E4"/>
    <w:rsid w:val="00AE22D2"/>
    <w:rsid w:val="00AE2CA4"/>
    <w:rsid w:val="00AE5592"/>
    <w:rsid w:val="00AE7BDC"/>
    <w:rsid w:val="00AF1659"/>
    <w:rsid w:val="00AF2ECF"/>
    <w:rsid w:val="00AF31B6"/>
    <w:rsid w:val="00B02C63"/>
    <w:rsid w:val="00B03408"/>
    <w:rsid w:val="00B05E4E"/>
    <w:rsid w:val="00B1070E"/>
    <w:rsid w:val="00B1636F"/>
    <w:rsid w:val="00B351B0"/>
    <w:rsid w:val="00B42F8F"/>
    <w:rsid w:val="00B43006"/>
    <w:rsid w:val="00B45F19"/>
    <w:rsid w:val="00B503C4"/>
    <w:rsid w:val="00B5065B"/>
    <w:rsid w:val="00B524CD"/>
    <w:rsid w:val="00B52D18"/>
    <w:rsid w:val="00B55DFE"/>
    <w:rsid w:val="00B56FC0"/>
    <w:rsid w:val="00B57CD3"/>
    <w:rsid w:val="00B6011A"/>
    <w:rsid w:val="00B61905"/>
    <w:rsid w:val="00B62C8A"/>
    <w:rsid w:val="00B62CAD"/>
    <w:rsid w:val="00B63991"/>
    <w:rsid w:val="00B652FF"/>
    <w:rsid w:val="00B65B4F"/>
    <w:rsid w:val="00B668C2"/>
    <w:rsid w:val="00B70AED"/>
    <w:rsid w:val="00B725FF"/>
    <w:rsid w:val="00B73C2D"/>
    <w:rsid w:val="00B73DB3"/>
    <w:rsid w:val="00B76933"/>
    <w:rsid w:val="00B81743"/>
    <w:rsid w:val="00B85E22"/>
    <w:rsid w:val="00B9514E"/>
    <w:rsid w:val="00BB3C8B"/>
    <w:rsid w:val="00BB5570"/>
    <w:rsid w:val="00BB6CDF"/>
    <w:rsid w:val="00BC06DD"/>
    <w:rsid w:val="00BC4AD8"/>
    <w:rsid w:val="00BE0169"/>
    <w:rsid w:val="00BE0419"/>
    <w:rsid w:val="00BE05B5"/>
    <w:rsid w:val="00BE2D14"/>
    <w:rsid w:val="00BE3DB1"/>
    <w:rsid w:val="00BE53C4"/>
    <w:rsid w:val="00BE7040"/>
    <w:rsid w:val="00BF0A41"/>
    <w:rsid w:val="00BF50A5"/>
    <w:rsid w:val="00C01CA9"/>
    <w:rsid w:val="00C11EE9"/>
    <w:rsid w:val="00C12289"/>
    <w:rsid w:val="00C215B1"/>
    <w:rsid w:val="00C22CC4"/>
    <w:rsid w:val="00C22EB1"/>
    <w:rsid w:val="00C249EA"/>
    <w:rsid w:val="00C273A0"/>
    <w:rsid w:val="00C368CE"/>
    <w:rsid w:val="00C45604"/>
    <w:rsid w:val="00C53941"/>
    <w:rsid w:val="00C546B9"/>
    <w:rsid w:val="00C646C9"/>
    <w:rsid w:val="00C65CB8"/>
    <w:rsid w:val="00C66C16"/>
    <w:rsid w:val="00C67391"/>
    <w:rsid w:val="00C6743A"/>
    <w:rsid w:val="00C702DD"/>
    <w:rsid w:val="00C70B2F"/>
    <w:rsid w:val="00C71C88"/>
    <w:rsid w:val="00C72270"/>
    <w:rsid w:val="00C73E00"/>
    <w:rsid w:val="00C74EAD"/>
    <w:rsid w:val="00C75DE1"/>
    <w:rsid w:val="00C76785"/>
    <w:rsid w:val="00C76B9F"/>
    <w:rsid w:val="00C86772"/>
    <w:rsid w:val="00C90D4F"/>
    <w:rsid w:val="00C95A40"/>
    <w:rsid w:val="00CA02BD"/>
    <w:rsid w:val="00CA3A28"/>
    <w:rsid w:val="00CA4293"/>
    <w:rsid w:val="00CA497B"/>
    <w:rsid w:val="00CB20FC"/>
    <w:rsid w:val="00CB2BA1"/>
    <w:rsid w:val="00CB375E"/>
    <w:rsid w:val="00CB7EA3"/>
    <w:rsid w:val="00CC100A"/>
    <w:rsid w:val="00CC4A91"/>
    <w:rsid w:val="00CC561F"/>
    <w:rsid w:val="00CC6E52"/>
    <w:rsid w:val="00CC70B0"/>
    <w:rsid w:val="00CD1841"/>
    <w:rsid w:val="00CE0076"/>
    <w:rsid w:val="00CE1082"/>
    <w:rsid w:val="00CE16D4"/>
    <w:rsid w:val="00D053FE"/>
    <w:rsid w:val="00D06C96"/>
    <w:rsid w:val="00D1356C"/>
    <w:rsid w:val="00D13C01"/>
    <w:rsid w:val="00D173F3"/>
    <w:rsid w:val="00D173F7"/>
    <w:rsid w:val="00D2101C"/>
    <w:rsid w:val="00D22561"/>
    <w:rsid w:val="00D23463"/>
    <w:rsid w:val="00D23CB1"/>
    <w:rsid w:val="00D254A6"/>
    <w:rsid w:val="00D355D6"/>
    <w:rsid w:val="00D37AA4"/>
    <w:rsid w:val="00D4050F"/>
    <w:rsid w:val="00D41158"/>
    <w:rsid w:val="00D45278"/>
    <w:rsid w:val="00D47C78"/>
    <w:rsid w:val="00D53655"/>
    <w:rsid w:val="00D53955"/>
    <w:rsid w:val="00D609EC"/>
    <w:rsid w:val="00D60CF0"/>
    <w:rsid w:val="00D64332"/>
    <w:rsid w:val="00D658DF"/>
    <w:rsid w:val="00D663C9"/>
    <w:rsid w:val="00D83CF3"/>
    <w:rsid w:val="00D83E76"/>
    <w:rsid w:val="00D848D8"/>
    <w:rsid w:val="00D865C7"/>
    <w:rsid w:val="00D91535"/>
    <w:rsid w:val="00D93DFB"/>
    <w:rsid w:val="00D94552"/>
    <w:rsid w:val="00D95C8C"/>
    <w:rsid w:val="00DA6778"/>
    <w:rsid w:val="00DB0099"/>
    <w:rsid w:val="00DB2330"/>
    <w:rsid w:val="00DB66EF"/>
    <w:rsid w:val="00DC5834"/>
    <w:rsid w:val="00DC6B1A"/>
    <w:rsid w:val="00DD08BE"/>
    <w:rsid w:val="00DD3031"/>
    <w:rsid w:val="00DD382B"/>
    <w:rsid w:val="00DD7373"/>
    <w:rsid w:val="00DE5D1B"/>
    <w:rsid w:val="00DF189F"/>
    <w:rsid w:val="00DF347E"/>
    <w:rsid w:val="00DF41C5"/>
    <w:rsid w:val="00DF45FE"/>
    <w:rsid w:val="00DF6BBF"/>
    <w:rsid w:val="00E063C7"/>
    <w:rsid w:val="00E11266"/>
    <w:rsid w:val="00E123F2"/>
    <w:rsid w:val="00E1600D"/>
    <w:rsid w:val="00E20994"/>
    <w:rsid w:val="00E210C1"/>
    <w:rsid w:val="00E261C9"/>
    <w:rsid w:val="00E27949"/>
    <w:rsid w:val="00E3229A"/>
    <w:rsid w:val="00E33371"/>
    <w:rsid w:val="00E334D5"/>
    <w:rsid w:val="00E34C01"/>
    <w:rsid w:val="00E3733E"/>
    <w:rsid w:val="00E4171F"/>
    <w:rsid w:val="00E42E48"/>
    <w:rsid w:val="00E50F1D"/>
    <w:rsid w:val="00E566EF"/>
    <w:rsid w:val="00E619BC"/>
    <w:rsid w:val="00E635DF"/>
    <w:rsid w:val="00E641B5"/>
    <w:rsid w:val="00E75A04"/>
    <w:rsid w:val="00E818CD"/>
    <w:rsid w:val="00E84FB0"/>
    <w:rsid w:val="00E86959"/>
    <w:rsid w:val="00E86CA9"/>
    <w:rsid w:val="00E907D6"/>
    <w:rsid w:val="00E91A4D"/>
    <w:rsid w:val="00E91D6E"/>
    <w:rsid w:val="00EA4965"/>
    <w:rsid w:val="00EA6FEE"/>
    <w:rsid w:val="00EB30A3"/>
    <w:rsid w:val="00EB5E6C"/>
    <w:rsid w:val="00EB7D16"/>
    <w:rsid w:val="00EC20CC"/>
    <w:rsid w:val="00EC5D98"/>
    <w:rsid w:val="00ED165C"/>
    <w:rsid w:val="00ED18F2"/>
    <w:rsid w:val="00ED3887"/>
    <w:rsid w:val="00ED38B5"/>
    <w:rsid w:val="00EE043D"/>
    <w:rsid w:val="00EE31AC"/>
    <w:rsid w:val="00EE32F4"/>
    <w:rsid w:val="00EE344C"/>
    <w:rsid w:val="00EE455E"/>
    <w:rsid w:val="00EE4E23"/>
    <w:rsid w:val="00EF11C2"/>
    <w:rsid w:val="00EF3C21"/>
    <w:rsid w:val="00EF7B94"/>
    <w:rsid w:val="00F03D3D"/>
    <w:rsid w:val="00F214BD"/>
    <w:rsid w:val="00F2182A"/>
    <w:rsid w:val="00F21A00"/>
    <w:rsid w:val="00F25CF2"/>
    <w:rsid w:val="00F27D39"/>
    <w:rsid w:val="00F30D4F"/>
    <w:rsid w:val="00F341C3"/>
    <w:rsid w:val="00F502D5"/>
    <w:rsid w:val="00F50922"/>
    <w:rsid w:val="00F52F02"/>
    <w:rsid w:val="00F52FD6"/>
    <w:rsid w:val="00F55910"/>
    <w:rsid w:val="00F63A19"/>
    <w:rsid w:val="00F63E36"/>
    <w:rsid w:val="00F7101F"/>
    <w:rsid w:val="00F814A8"/>
    <w:rsid w:val="00F817C8"/>
    <w:rsid w:val="00F81B64"/>
    <w:rsid w:val="00F82714"/>
    <w:rsid w:val="00F830C8"/>
    <w:rsid w:val="00F85CFF"/>
    <w:rsid w:val="00F86024"/>
    <w:rsid w:val="00F94A1C"/>
    <w:rsid w:val="00FA519A"/>
    <w:rsid w:val="00FA6CA3"/>
    <w:rsid w:val="00FB4AA2"/>
    <w:rsid w:val="00FB593B"/>
    <w:rsid w:val="00FB5DE6"/>
    <w:rsid w:val="00FB6B84"/>
    <w:rsid w:val="00FB7946"/>
    <w:rsid w:val="00FB7EFB"/>
    <w:rsid w:val="00FC292A"/>
    <w:rsid w:val="00FC3779"/>
    <w:rsid w:val="00FD1083"/>
    <w:rsid w:val="00FD1291"/>
    <w:rsid w:val="00FD4847"/>
    <w:rsid w:val="00FD6AD8"/>
    <w:rsid w:val="00FE27B3"/>
    <w:rsid w:val="00FE4912"/>
    <w:rsid w:val="00FE68B7"/>
    <w:rsid w:val="00FE7267"/>
    <w:rsid w:val="00FF419A"/>
    <w:rsid w:val="00FF5EF5"/>
    <w:rsid w:val="00FF7EC3"/>
    <w:rsid w:val="02F3E79A"/>
    <w:rsid w:val="0B5D3583"/>
    <w:rsid w:val="0BDE7517"/>
    <w:rsid w:val="1273911A"/>
    <w:rsid w:val="13511129"/>
    <w:rsid w:val="1E9205D6"/>
    <w:rsid w:val="2BF410C8"/>
    <w:rsid w:val="2E2934C2"/>
    <w:rsid w:val="3A356270"/>
    <w:rsid w:val="3C496706"/>
    <w:rsid w:val="3C5D07A4"/>
    <w:rsid w:val="41DD8467"/>
    <w:rsid w:val="4452AC4A"/>
    <w:rsid w:val="44C5F98E"/>
    <w:rsid w:val="477D4DFA"/>
    <w:rsid w:val="5237AF64"/>
    <w:rsid w:val="60C9D158"/>
    <w:rsid w:val="64260D24"/>
    <w:rsid w:val="652E5C5E"/>
    <w:rsid w:val="6B831C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B3E0"/>
  <w15:chartTrackingRefBased/>
  <w15:docId w15:val="{1FB77F70-C614-47EB-994D-B9C66B8D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0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0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0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0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08F"/>
    <w:rPr>
      <w:rFonts w:eastAsiaTheme="majorEastAsia" w:cstheme="majorBidi"/>
      <w:color w:val="272727" w:themeColor="text1" w:themeTint="D8"/>
    </w:rPr>
  </w:style>
  <w:style w:type="paragraph" w:styleId="Title">
    <w:name w:val="Title"/>
    <w:basedOn w:val="Normal"/>
    <w:next w:val="Normal"/>
    <w:link w:val="TitleChar"/>
    <w:uiPriority w:val="10"/>
    <w:qFormat/>
    <w:rsid w:val="00610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08F"/>
    <w:pPr>
      <w:spacing w:before="160"/>
      <w:jc w:val="center"/>
    </w:pPr>
    <w:rPr>
      <w:i/>
      <w:iCs/>
      <w:color w:val="404040" w:themeColor="text1" w:themeTint="BF"/>
    </w:rPr>
  </w:style>
  <w:style w:type="character" w:customStyle="1" w:styleId="QuoteChar">
    <w:name w:val="Quote Char"/>
    <w:basedOn w:val="DefaultParagraphFont"/>
    <w:link w:val="Quote"/>
    <w:uiPriority w:val="29"/>
    <w:rsid w:val="0061008F"/>
    <w:rPr>
      <w:i/>
      <w:iCs/>
      <w:color w:val="404040" w:themeColor="text1" w:themeTint="BF"/>
    </w:rPr>
  </w:style>
  <w:style w:type="paragraph" w:styleId="ListParagraph">
    <w:name w:val="List Paragraph"/>
    <w:basedOn w:val="Normal"/>
    <w:uiPriority w:val="34"/>
    <w:qFormat/>
    <w:rsid w:val="0061008F"/>
    <w:pPr>
      <w:ind w:left="720"/>
      <w:contextualSpacing/>
    </w:pPr>
  </w:style>
  <w:style w:type="character" w:styleId="IntenseEmphasis">
    <w:name w:val="Intense Emphasis"/>
    <w:basedOn w:val="DefaultParagraphFont"/>
    <w:uiPriority w:val="21"/>
    <w:qFormat/>
    <w:rsid w:val="0061008F"/>
    <w:rPr>
      <w:i/>
      <w:iCs/>
      <w:color w:val="0F4761" w:themeColor="accent1" w:themeShade="BF"/>
    </w:rPr>
  </w:style>
  <w:style w:type="paragraph" w:styleId="IntenseQuote">
    <w:name w:val="Intense Quote"/>
    <w:basedOn w:val="Normal"/>
    <w:next w:val="Normal"/>
    <w:link w:val="IntenseQuoteChar"/>
    <w:uiPriority w:val="30"/>
    <w:qFormat/>
    <w:rsid w:val="00610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08F"/>
    <w:rPr>
      <w:i/>
      <w:iCs/>
      <w:color w:val="0F4761" w:themeColor="accent1" w:themeShade="BF"/>
    </w:rPr>
  </w:style>
  <w:style w:type="character" w:styleId="IntenseReference">
    <w:name w:val="Intense Reference"/>
    <w:basedOn w:val="DefaultParagraphFont"/>
    <w:uiPriority w:val="32"/>
    <w:qFormat/>
    <w:rsid w:val="0061008F"/>
    <w:rPr>
      <w:b/>
      <w:bCs/>
      <w:smallCaps/>
      <w:color w:val="0F4761" w:themeColor="accent1" w:themeShade="BF"/>
      <w:spacing w:val="5"/>
    </w:rPr>
  </w:style>
  <w:style w:type="paragraph" w:styleId="NormalWeb">
    <w:name w:val="Normal (Web)"/>
    <w:basedOn w:val="Normal"/>
    <w:uiPriority w:val="99"/>
    <w:semiHidden/>
    <w:unhideWhenUsed/>
    <w:rsid w:val="006100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deinm1hgl8">
    <w:name w:val="_fadein_m1hgl_8"/>
    <w:basedOn w:val="DefaultParagraphFont"/>
    <w:rsid w:val="00380E91"/>
  </w:style>
  <w:style w:type="paragraph" w:styleId="Header">
    <w:name w:val="header"/>
    <w:basedOn w:val="Normal"/>
    <w:link w:val="HeaderChar"/>
    <w:uiPriority w:val="99"/>
    <w:unhideWhenUsed/>
    <w:rsid w:val="00C74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EAD"/>
  </w:style>
  <w:style w:type="character" w:styleId="PageNumber">
    <w:name w:val="page number"/>
    <w:basedOn w:val="DefaultParagraphFont"/>
    <w:uiPriority w:val="99"/>
    <w:semiHidden/>
    <w:unhideWhenUsed/>
    <w:rsid w:val="00C74EAD"/>
  </w:style>
  <w:style w:type="character" w:styleId="Hyperlink">
    <w:name w:val="Hyperlink"/>
    <w:basedOn w:val="DefaultParagraphFont"/>
    <w:uiPriority w:val="99"/>
    <w:unhideWhenUsed/>
    <w:rsid w:val="006F3E20"/>
    <w:rPr>
      <w:color w:val="467886" w:themeColor="hyperlink"/>
      <w:u w:val="single"/>
    </w:rPr>
  </w:style>
  <w:style w:type="character" w:styleId="UnresolvedMention">
    <w:name w:val="Unresolved Mention"/>
    <w:basedOn w:val="DefaultParagraphFont"/>
    <w:uiPriority w:val="99"/>
    <w:semiHidden/>
    <w:unhideWhenUsed/>
    <w:rsid w:val="006F3E20"/>
    <w:rPr>
      <w:color w:val="605E5C"/>
      <w:shd w:val="clear" w:color="auto" w:fill="E1DFDD"/>
    </w:rPr>
  </w:style>
  <w:style w:type="character" w:customStyle="1" w:styleId="referencesauthors">
    <w:name w:val="references__authors"/>
    <w:basedOn w:val="DefaultParagraphFont"/>
    <w:rsid w:val="0040028D"/>
  </w:style>
  <w:style w:type="character" w:customStyle="1" w:styleId="referencesauthorsothers">
    <w:name w:val="references__authors__others"/>
    <w:basedOn w:val="DefaultParagraphFont"/>
    <w:rsid w:val="0040028D"/>
  </w:style>
  <w:style w:type="character" w:customStyle="1" w:styleId="referencesarticle-title">
    <w:name w:val="references__article-title"/>
    <w:basedOn w:val="DefaultParagraphFont"/>
    <w:rsid w:val="0040028D"/>
  </w:style>
  <w:style w:type="character" w:customStyle="1" w:styleId="referencessource">
    <w:name w:val="references__source"/>
    <w:basedOn w:val="DefaultParagraphFont"/>
    <w:rsid w:val="0040028D"/>
  </w:style>
  <w:style w:type="character" w:customStyle="1" w:styleId="referencesyear">
    <w:name w:val="references__year"/>
    <w:basedOn w:val="DefaultParagraphFont"/>
    <w:rsid w:val="0040028D"/>
  </w:style>
  <w:style w:type="character" w:styleId="Strong">
    <w:name w:val="Strong"/>
    <w:basedOn w:val="DefaultParagraphFont"/>
    <w:uiPriority w:val="22"/>
    <w:qFormat/>
    <w:rsid w:val="00332A43"/>
    <w:rPr>
      <w:b/>
      <w:bCs/>
    </w:rPr>
  </w:style>
  <w:style w:type="paragraph" w:styleId="Revision">
    <w:name w:val="Revision"/>
    <w:hidden/>
    <w:uiPriority w:val="99"/>
    <w:semiHidden/>
    <w:rsid w:val="00A540A5"/>
    <w:pPr>
      <w:spacing w:after="0" w:line="240" w:lineRule="auto"/>
    </w:pPr>
  </w:style>
  <w:style w:type="character" w:styleId="CommentReference">
    <w:name w:val="annotation reference"/>
    <w:basedOn w:val="DefaultParagraphFont"/>
    <w:uiPriority w:val="99"/>
    <w:semiHidden/>
    <w:unhideWhenUsed/>
    <w:rsid w:val="00A540A5"/>
    <w:rPr>
      <w:sz w:val="16"/>
      <w:szCs w:val="16"/>
    </w:rPr>
  </w:style>
  <w:style w:type="paragraph" w:styleId="CommentText">
    <w:name w:val="annotation text"/>
    <w:basedOn w:val="Normal"/>
    <w:link w:val="CommentTextChar"/>
    <w:uiPriority w:val="99"/>
    <w:unhideWhenUsed/>
    <w:rsid w:val="00A540A5"/>
    <w:pPr>
      <w:spacing w:line="240" w:lineRule="auto"/>
    </w:pPr>
    <w:rPr>
      <w:sz w:val="20"/>
      <w:szCs w:val="20"/>
    </w:rPr>
  </w:style>
  <w:style w:type="character" w:customStyle="1" w:styleId="CommentTextChar">
    <w:name w:val="Comment Text Char"/>
    <w:basedOn w:val="DefaultParagraphFont"/>
    <w:link w:val="CommentText"/>
    <w:uiPriority w:val="99"/>
    <w:rsid w:val="00A540A5"/>
    <w:rPr>
      <w:sz w:val="20"/>
      <w:szCs w:val="20"/>
    </w:rPr>
  </w:style>
  <w:style w:type="paragraph" w:styleId="CommentSubject">
    <w:name w:val="annotation subject"/>
    <w:basedOn w:val="CommentText"/>
    <w:next w:val="CommentText"/>
    <w:link w:val="CommentSubjectChar"/>
    <w:uiPriority w:val="99"/>
    <w:semiHidden/>
    <w:unhideWhenUsed/>
    <w:rsid w:val="00A540A5"/>
    <w:rPr>
      <w:b/>
      <w:bCs/>
    </w:rPr>
  </w:style>
  <w:style w:type="character" w:customStyle="1" w:styleId="CommentSubjectChar">
    <w:name w:val="Comment Subject Char"/>
    <w:basedOn w:val="CommentTextChar"/>
    <w:link w:val="CommentSubject"/>
    <w:uiPriority w:val="99"/>
    <w:semiHidden/>
    <w:rsid w:val="00A540A5"/>
    <w:rPr>
      <w:b/>
      <w:bCs/>
      <w:sz w:val="20"/>
      <w:szCs w:val="20"/>
    </w:rPr>
  </w:style>
  <w:style w:type="paragraph" w:styleId="BalloonText">
    <w:name w:val="Balloon Text"/>
    <w:basedOn w:val="Normal"/>
    <w:link w:val="BalloonTextChar"/>
    <w:uiPriority w:val="99"/>
    <w:semiHidden/>
    <w:unhideWhenUsed/>
    <w:rsid w:val="007815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15AE"/>
    <w:rPr>
      <w:rFonts w:ascii="Times New Roman" w:hAnsi="Times New Roman" w:cs="Times New Roman"/>
      <w:sz w:val="18"/>
      <w:szCs w:val="18"/>
    </w:rPr>
  </w:style>
  <w:style w:type="character" w:styleId="Emphasis">
    <w:name w:val="Emphasis"/>
    <w:basedOn w:val="DefaultParagraphFont"/>
    <w:uiPriority w:val="20"/>
    <w:qFormat/>
    <w:rsid w:val="0024225F"/>
    <w:rPr>
      <w:i/>
      <w:iCs/>
    </w:rPr>
  </w:style>
  <w:style w:type="character" w:styleId="LineNumber">
    <w:name w:val="line number"/>
    <w:basedOn w:val="DefaultParagraphFont"/>
    <w:uiPriority w:val="99"/>
    <w:semiHidden/>
    <w:unhideWhenUsed/>
    <w:rsid w:val="00180202"/>
  </w:style>
  <w:style w:type="paragraph" w:styleId="Footer">
    <w:name w:val="footer"/>
    <w:basedOn w:val="Normal"/>
    <w:link w:val="FooterChar"/>
    <w:uiPriority w:val="99"/>
    <w:unhideWhenUsed/>
    <w:rsid w:val="0046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8492">
      <w:bodyDiv w:val="1"/>
      <w:marLeft w:val="0"/>
      <w:marRight w:val="0"/>
      <w:marTop w:val="0"/>
      <w:marBottom w:val="0"/>
      <w:divBdr>
        <w:top w:val="none" w:sz="0" w:space="0" w:color="auto"/>
        <w:left w:val="none" w:sz="0" w:space="0" w:color="auto"/>
        <w:bottom w:val="none" w:sz="0" w:space="0" w:color="auto"/>
        <w:right w:val="none" w:sz="0" w:space="0" w:color="auto"/>
      </w:divBdr>
    </w:div>
    <w:div w:id="239943665">
      <w:bodyDiv w:val="1"/>
      <w:marLeft w:val="0"/>
      <w:marRight w:val="0"/>
      <w:marTop w:val="0"/>
      <w:marBottom w:val="0"/>
      <w:divBdr>
        <w:top w:val="none" w:sz="0" w:space="0" w:color="auto"/>
        <w:left w:val="none" w:sz="0" w:space="0" w:color="auto"/>
        <w:bottom w:val="none" w:sz="0" w:space="0" w:color="auto"/>
        <w:right w:val="none" w:sz="0" w:space="0" w:color="auto"/>
      </w:divBdr>
    </w:div>
    <w:div w:id="260459007">
      <w:bodyDiv w:val="1"/>
      <w:marLeft w:val="0"/>
      <w:marRight w:val="0"/>
      <w:marTop w:val="0"/>
      <w:marBottom w:val="0"/>
      <w:divBdr>
        <w:top w:val="none" w:sz="0" w:space="0" w:color="auto"/>
        <w:left w:val="none" w:sz="0" w:space="0" w:color="auto"/>
        <w:bottom w:val="none" w:sz="0" w:space="0" w:color="auto"/>
        <w:right w:val="none" w:sz="0" w:space="0" w:color="auto"/>
      </w:divBdr>
    </w:div>
    <w:div w:id="277832310">
      <w:bodyDiv w:val="1"/>
      <w:marLeft w:val="0"/>
      <w:marRight w:val="0"/>
      <w:marTop w:val="0"/>
      <w:marBottom w:val="0"/>
      <w:divBdr>
        <w:top w:val="none" w:sz="0" w:space="0" w:color="auto"/>
        <w:left w:val="none" w:sz="0" w:space="0" w:color="auto"/>
        <w:bottom w:val="none" w:sz="0" w:space="0" w:color="auto"/>
        <w:right w:val="none" w:sz="0" w:space="0" w:color="auto"/>
      </w:divBdr>
    </w:div>
    <w:div w:id="303513472">
      <w:bodyDiv w:val="1"/>
      <w:marLeft w:val="0"/>
      <w:marRight w:val="0"/>
      <w:marTop w:val="0"/>
      <w:marBottom w:val="0"/>
      <w:divBdr>
        <w:top w:val="none" w:sz="0" w:space="0" w:color="auto"/>
        <w:left w:val="none" w:sz="0" w:space="0" w:color="auto"/>
        <w:bottom w:val="none" w:sz="0" w:space="0" w:color="auto"/>
        <w:right w:val="none" w:sz="0" w:space="0" w:color="auto"/>
      </w:divBdr>
    </w:div>
    <w:div w:id="385877376">
      <w:bodyDiv w:val="1"/>
      <w:marLeft w:val="0"/>
      <w:marRight w:val="0"/>
      <w:marTop w:val="0"/>
      <w:marBottom w:val="0"/>
      <w:divBdr>
        <w:top w:val="none" w:sz="0" w:space="0" w:color="auto"/>
        <w:left w:val="none" w:sz="0" w:space="0" w:color="auto"/>
        <w:bottom w:val="none" w:sz="0" w:space="0" w:color="auto"/>
        <w:right w:val="none" w:sz="0" w:space="0" w:color="auto"/>
      </w:divBdr>
      <w:divsChild>
        <w:div w:id="1448423761">
          <w:marLeft w:val="360"/>
          <w:marRight w:val="0"/>
          <w:marTop w:val="200"/>
          <w:marBottom w:val="0"/>
          <w:divBdr>
            <w:top w:val="none" w:sz="0" w:space="0" w:color="auto"/>
            <w:left w:val="none" w:sz="0" w:space="0" w:color="auto"/>
            <w:bottom w:val="none" w:sz="0" w:space="0" w:color="auto"/>
            <w:right w:val="none" w:sz="0" w:space="0" w:color="auto"/>
          </w:divBdr>
        </w:div>
        <w:div w:id="1723213051">
          <w:marLeft w:val="360"/>
          <w:marRight w:val="0"/>
          <w:marTop w:val="200"/>
          <w:marBottom w:val="0"/>
          <w:divBdr>
            <w:top w:val="none" w:sz="0" w:space="0" w:color="auto"/>
            <w:left w:val="none" w:sz="0" w:space="0" w:color="auto"/>
            <w:bottom w:val="none" w:sz="0" w:space="0" w:color="auto"/>
            <w:right w:val="none" w:sz="0" w:space="0" w:color="auto"/>
          </w:divBdr>
        </w:div>
        <w:div w:id="1633633689">
          <w:marLeft w:val="360"/>
          <w:marRight w:val="0"/>
          <w:marTop w:val="200"/>
          <w:marBottom w:val="0"/>
          <w:divBdr>
            <w:top w:val="none" w:sz="0" w:space="0" w:color="auto"/>
            <w:left w:val="none" w:sz="0" w:space="0" w:color="auto"/>
            <w:bottom w:val="none" w:sz="0" w:space="0" w:color="auto"/>
            <w:right w:val="none" w:sz="0" w:space="0" w:color="auto"/>
          </w:divBdr>
        </w:div>
        <w:div w:id="1677607434">
          <w:marLeft w:val="360"/>
          <w:marRight w:val="0"/>
          <w:marTop w:val="200"/>
          <w:marBottom w:val="0"/>
          <w:divBdr>
            <w:top w:val="none" w:sz="0" w:space="0" w:color="auto"/>
            <w:left w:val="none" w:sz="0" w:space="0" w:color="auto"/>
            <w:bottom w:val="none" w:sz="0" w:space="0" w:color="auto"/>
            <w:right w:val="none" w:sz="0" w:space="0" w:color="auto"/>
          </w:divBdr>
        </w:div>
      </w:divsChild>
    </w:div>
    <w:div w:id="388576142">
      <w:bodyDiv w:val="1"/>
      <w:marLeft w:val="0"/>
      <w:marRight w:val="0"/>
      <w:marTop w:val="0"/>
      <w:marBottom w:val="0"/>
      <w:divBdr>
        <w:top w:val="none" w:sz="0" w:space="0" w:color="auto"/>
        <w:left w:val="none" w:sz="0" w:space="0" w:color="auto"/>
        <w:bottom w:val="none" w:sz="0" w:space="0" w:color="auto"/>
        <w:right w:val="none" w:sz="0" w:space="0" w:color="auto"/>
      </w:divBdr>
    </w:div>
    <w:div w:id="390345154">
      <w:bodyDiv w:val="1"/>
      <w:marLeft w:val="0"/>
      <w:marRight w:val="0"/>
      <w:marTop w:val="0"/>
      <w:marBottom w:val="0"/>
      <w:divBdr>
        <w:top w:val="none" w:sz="0" w:space="0" w:color="auto"/>
        <w:left w:val="none" w:sz="0" w:space="0" w:color="auto"/>
        <w:bottom w:val="none" w:sz="0" w:space="0" w:color="auto"/>
        <w:right w:val="none" w:sz="0" w:space="0" w:color="auto"/>
      </w:divBdr>
    </w:div>
    <w:div w:id="524103390">
      <w:bodyDiv w:val="1"/>
      <w:marLeft w:val="0"/>
      <w:marRight w:val="0"/>
      <w:marTop w:val="0"/>
      <w:marBottom w:val="0"/>
      <w:divBdr>
        <w:top w:val="none" w:sz="0" w:space="0" w:color="auto"/>
        <w:left w:val="none" w:sz="0" w:space="0" w:color="auto"/>
        <w:bottom w:val="none" w:sz="0" w:space="0" w:color="auto"/>
        <w:right w:val="none" w:sz="0" w:space="0" w:color="auto"/>
      </w:divBdr>
    </w:div>
    <w:div w:id="524707562">
      <w:bodyDiv w:val="1"/>
      <w:marLeft w:val="0"/>
      <w:marRight w:val="0"/>
      <w:marTop w:val="0"/>
      <w:marBottom w:val="0"/>
      <w:divBdr>
        <w:top w:val="none" w:sz="0" w:space="0" w:color="auto"/>
        <w:left w:val="none" w:sz="0" w:space="0" w:color="auto"/>
        <w:bottom w:val="none" w:sz="0" w:space="0" w:color="auto"/>
        <w:right w:val="none" w:sz="0" w:space="0" w:color="auto"/>
      </w:divBdr>
    </w:div>
    <w:div w:id="525145219">
      <w:bodyDiv w:val="1"/>
      <w:marLeft w:val="0"/>
      <w:marRight w:val="0"/>
      <w:marTop w:val="0"/>
      <w:marBottom w:val="0"/>
      <w:divBdr>
        <w:top w:val="none" w:sz="0" w:space="0" w:color="auto"/>
        <w:left w:val="none" w:sz="0" w:space="0" w:color="auto"/>
        <w:bottom w:val="none" w:sz="0" w:space="0" w:color="auto"/>
        <w:right w:val="none" w:sz="0" w:space="0" w:color="auto"/>
      </w:divBdr>
    </w:div>
    <w:div w:id="569267089">
      <w:bodyDiv w:val="1"/>
      <w:marLeft w:val="0"/>
      <w:marRight w:val="0"/>
      <w:marTop w:val="0"/>
      <w:marBottom w:val="0"/>
      <w:divBdr>
        <w:top w:val="none" w:sz="0" w:space="0" w:color="auto"/>
        <w:left w:val="none" w:sz="0" w:space="0" w:color="auto"/>
        <w:bottom w:val="none" w:sz="0" w:space="0" w:color="auto"/>
        <w:right w:val="none" w:sz="0" w:space="0" w:color="auto"/>
      </w:divBdr>
    </w:div>
    <w:div w:id="602568257">
      <w:bodyDiv w:val="1"/>
      <w:marLeft w:val="0"/>
      <w:marRight w:val="0"/>
      <w:marTop w:val="0"/>
      <w:marBottom w:val="0"/>
      <w:divBdr>
        <w:top w:val="none" w:sz="0" w:space="0" w:color="auto"/>
        <w:left w:val="none" w:sz="0" w:space="0" w:color="auto"/>
        <w:bottom w:val="none" w:sz="0" w:space="0" w:color="auto"/>
        <w:right w:val="none" w:sz="0" w:space="0" w:color="auto"/>
      </w:divBdr>
    </w:div>
    <w:div w:id="691153036">
      <w:bodyDiv w:val="1"/>
      <w:marLeft w:val="0"/>
      <w:marRight w:val="0"/>
      <w:marTop w:val="0"/>
      <w:marBottom w:val="0"/>
      <w:divBdr>
        <w:top w:val="none" w:sz="0" w:space="0" w:color="auto"/>
        <w:left w:val="none" w:sz="0" w:space="0" w:color="auto"/>
        <w:bottom w:val="none" w:sz="0" w:space="0" w:color="auto"/>
        <w:right w:val="none" w:sz="0" w:space="0" w:color="auto"/>
      </w:divBdr>
    </w:div>
    <w:div w:id="745610026">
      <w:bodyDiv w:val="1"/>
      <w:marLeft w:val="0"/>
      <w:marRight w:val="0"/>
      <w:marTop w:val="0"/>
      <w:marBottom w:val="0"/>
      <w:divBdr>
        <w:top w:val="none" w:sz="0" w:space="0" w:color="auto"/>
        <w:left w:val="none" w:sz="0" w:space="0" w:color="auto"/>
        <w:bottom w:val="none" w:sz="0" w:space="0" w:color="auto"/>
        <w:right w:val="none" w:sz="0" w:space="0" w:color="auto"/>
      </w:divBdr>
    </w:div>
    <w:div w:id="789665309">
      <w:bodyDiv w:val="1"/>
      <w:marLeft w:val="0"/>
      <w:marRight w:val="0"/>
      <w:marTop w:val="0"/>
      <w:marBottom w:val="0"/>
      <w:divBdr>
        <w:top w:val="none" w:sz="0" w:space="0" w:color="auto"/>
        <w:left w:val="none" w:sz="0" w:space="0" w:color="auto"/>
        <w:bottom w:val="none" w:sz="0" w:space="0" w:color="auto"/>
        <w:right w:val="none" w:sz="0" w:space="0" w:color="auto"/>
      </w:divBdr>
    </w:div>
    <w:div w:id="869073674">
      <w:bodyDiv w:val="1"/>
      <w:marLeft w:val="0"/>
      <w:marRight w:val="0"/>
      <w:marTop w:val="0"/>
      <w:marBottom w:val="0"/>
      <w:divBdr>
        <w:top w:val="none" w:sz="0" w:space="0" w:color="auto"/>
        <w:left w:val="none" w:sz="0" w:space="0" w:color="auto"/>
        <w:bottom w:val="none" w:sz="0" w:space="0" w:color="auto"/>
        <w:right w:val="none" w:sz="0" w:space="0" w:color="auto"/>
      </w:divBdr>
    </w:div>
    <w:div w:id="1157189468">
      <w:bodyDiv w:val="1"/>
      <w:marLeft w:val="0"/>
      <w:marRight w:val="0"/>
      <w:marTop w:val="0"/>
      <w:marBottom w:val="0"/>
      <w:divBdr>
        <w:top w:val="none" w:sz="0" w:space="0" w:color="auto"/>
        <w:left w:val="none" w:sz="0" w:space="0" w:color="auto"/>
        <w:bottom w:val="none" w:sz="0" w:space="0" w:color="auto"/>
        <w:right w:val="none" w:sz="0" w:space="0" w:color="auto"/>
      </w:divBdr>
    </w:div>
    <w:div w:id="1165587728">
      <w:bodyDiv w:val="1"/>
      <w:marLeft w:val="0"/>
      <w:marRight w:val="0"/>
      <w:marTop w:val="0"/>
      <w:marBottom w:val="0"/>
      <w:divBdr>
        <w:top w:val="none" w:sz="0" w:space="0" w:color="auto"/>
        <w:left w:val="none" w:sz="0" w:space="0" w:color="auto"/>
        <w:bottom w:val="none" w:sz="0" w:space="0" w:color="auto"/>
        <w:right w:val="none" w:sz="0" w:space="0" w:color="auto"/>
      </w:divBdr>
    </w:div>
    <w:div w:id="1182667747">
      <w:bodyDiv w:val="1"/>
      <w:marLeft w:val="0"/>
      <w:marRight w:val="0"/>
      <w:marTop w:val="0"/>
      <w:marBottom w:val="0"/>
      <w:divBdr>
        <w:top w:val="none" w:sz="0" w:space="0" w:color="auto"/>
        <w:left w:val="none" w:sz="0" w:space="0" w:color="auto"/>
        <w:bottom w:val="none" w:sz="0" w:space="0" w:color="auto"/>
        <w:right w:val="none" w:sz="0" w:space="0" w:color="auto"/>
      </w:divBdr>
    </w:div>
    <w:div w:id="1280647628">
      <w:bodyDiv w:val="1"/>
      <w:marLeft w:val="0"/>
      <w:marRight w:val="0"/>
      <w:marTop w:val="0"/>
      <w:marBottom w:val="0"/>
      <w:divBdr>
        <w:top w:val="none" w:sz="0" w:space="0" w:color="auto"/>
        <w:left w:val="none" w:sz="0" w:space="0" w:color="auto"/>
        <w:bottom w:val="none" w:sz="0" w:space="0" w:color="auto"/>
        <w:right w:val="none" w:sz="0" w:space="0" w:color="auto"/>
      </w:divBdr>
    </w:div>
    <w:div w:id="1523787421">
      <w:bodyDiv w:val="1"/>
      <w:marLeft w:val="0"/>
      <w:marRight w:val="0"/>
      <w:marTop w:val="0"/>
      <w:marBottom w:val="0"/>
      <w:divBdr>
        <w:top w:val="none" w:sz="0" w:space="0" w:color="auto"/>
        <w:left w:val="none" w:sz="0" w:space="0" w:color="auto"/>
        <w:bottom w:val="none" w:sz="0" w:space="0" w:color="auto"/>
        <w:right w:val="none" w:sz="0" w:space="0" w:color="auto"/>
      </w:divBdr>
    </w:div>
    <w:div w:id="1895464350">
      <w:bodyDiv w:val="1"/>
      <w:marLeft w:val="0"/>
      <w:marRight w:val="0"/>
      <w:marTop w:val="0"/>
      <w:marBottom w:val="0"/>
      <w:divBdr>
        <w:top w:val="none" w:sz="0" w:space="0" w:color="auto"/>
        <w:left w:val="none" w:sz="0" w:space="0" w:color="auto"/>
        <w:bottom w:val="none" w:sz="0" w:space="0" w:color="auto"/>
        <w:right w:val="none" w:sz="0" w:space="0" w:color="auto"/>
      </w:divBdr>
    </w:div>
    <w:div w:id="2099934569">
      <w:bodyDiv w:val="1"/>
      <w:marLeft w:val="0"/>
      <w:marRight w:val="0"/>
      <w:marTop w:val="0"/>
      <w:marBottom w:val="0"/>
      <w:divBdr>
        <w:top w:val="none" w:sz="0" w:space="0" w:color="auto"/>
        <w:left w:val="none" w:sz="0" w:space="0" w:color="auto"/>
        <w:bottom w:val="none" w:sz="0" w:space="0" w:color="auto"/>
        <w:right w:val="none" w:sz="0" w:space="0" w:color="auto"/>
      </w:divBdr>
    </w:div>
    <w:div w:id="21373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B0FF-5150-C74C-8797-0BFCC5E0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5510</Words>
  <Characters>33336</Characters>
  <Application>Microsoft Office Word</Application>
  <DocSecurity>0</DocSecurity>
  <Lines>595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Chandra Mohan</dc:creator>
  <cp:keywords/>
  <dc:description/>
  <cp:lastModifiedBy>Nitin Chandra Mohan</cp:lastModifiedBy>
  <cp:revision>2</cp:revision>
  <dcterms:created xsi:type="dcterms:W3CDTF">2026-01-11T18:21:00Z</dcterms:created>
  <dcterms:modified xsi:type="dcterms:W3CDTF">2026-01-11T18:21:00Z</dcterms:modified>
</cp:coreProperties>
</file>