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CB70D" w14:textId="65FDD242" w:rsidR="0040308A" w:rsidRDefault="00DC5844" w:rsidP="003E4C57">
      <w:pPr>
        <w:spacing w:after="120" w:line="360" w:lineRule="auto"/>
        <w:jc w:val="center"/>
        <w:rPr>
          <w:b/>
          <w:bCs/>
          <w:color w:val="000000" w:themeColor="text1"/>
          <w:sz w:val="32"/>
          <w:szCs w:val="32"/>
          <w:lang w:eastAsia="en-GB"/>
        </w:rPr>
      </w:pPr>
      <w:r w:rsidRPr="00A90CCE">
        <w:rPr>
          <w:b/>
          <w:bCs/>
          <w:color w:val="000000" w:themeColor="text1"/>
          <w:sz w:val="32"/>
          <w:szCs w:val="32"/>
          <w:lang w:eastAsia="en-GB"/>
        </w:rPr>
        <w:t xml:space="preserve">   </w:t>
      </w:r>
      <w:r w:rsidR="00CD073D" w:rsidRPr="00A90CCE">
        <w:rPr>
          <w:b/>
          <w:bCs/>
          <w:color w:val="000000" w:themeColor="text1"/>
          <w:sz w:val="32"/>
          <w:szCs w:val="32"/>
          <w:lang w:eastAsia="en-GB"/>
        </w:rPr>
        <w:t>Urbani</w:t>
      </w:r>
      <w:r w:rsidR="002B5C14" w:rsidRPr="00A90CCE">
        <w:rPr>
          <w:b/>
          <w:bCs/>
          <w:color w:val="000000" w:themeColor="text1"/>
          <w:sz w:val="32"/>
          <w:szCs w:val="32"/>
          <w:lang w:eastAsia="en-GB"/>
        </w:rPr>
        <w:t>s</w:t>
      </w:r>
      <w:r w:rsidR="00CD073D" w:rsidRPr="00A90CCE">
        <w:rPr>
          <w:b/>
          <w:bCs/>
          <w:color w:val="000000" w:themeColor="text1"/>
          <w:sz w:val="32"/>
          <w:szCs w:val="32"/>
          <w:lang w:eastAsia="en-GB"/>
        </w:rPr>
        <w:t xml:space="preserve">ation </w:t>
      </w:r>
      <w:r w:rsidR="00E02791" w:rsidRPr="00A90CCE">
        <w:rPr>
          <w:b/>
          <w:bCs/>
          <w:color w:val="000000" w:themeColor="text1"/>
          <w:sz w:val="32"/>
          <w:szCs w:val="32"/>
          <w:lang w:eastAsia="en-GB"/>
        </w:rPr>
        <w:t xml:space="preserve">and the </w:t>
      </w:r>
      <w:r w:rsidR="00DB18DC" w:rsidRPr="00A90CCE">
        <w:rPr>
          <w:b/>
          <w:bCs/>
          <w:color w:val="000000" w:themeColor="text1"/>
          <w:sz w:val="32"/>
          <w:szCs w:val="32"/>
          <w:lang w:eastAsia="en-GB"/>
        </w:rPr>
        <w:t xml:space="preserve">Political </w:t>
      </w:r>
      <w:r w:rsidR="00FB4D33" w:rsidRPr="00A90CCE">
        <w:rPr>
          <w:b/>
          <w:bCs/>
          <w:color w:val="000000" w:themeColor="text1"/>
          <w:sz w:val="32"/>
          <w:szCs w:val="32"/>
          <w:lang w:eastAsia="en-GB"/>
        </w:rPr>
        <w:t xml:space="preserve">Demography </w:t>
      </w:r>
      <w:r w:rsidR="00E02791" w:rsidRPr="00A90CCE">
        <w:rPr>
          <w:b/>
          <w:bCs/>
          <w:color w:val="000000" w:themeColor="text1"/>
          <w:sz w:val="32"/>
          <w:szCs w:val="32"/>
          <w:lang w:eastAsia="en-GB"/>
        </w:rPr>
        <w:t xml:space="preserve">of </w:t>
      </w:r>
      <w:r w:rsidR="00FB4D33" w:rsidRPr="00A90CCE">
        <w:rPr>
          <w:b/>
          <w:bCs/>
          <w:color w:val="000000" w:themeColor="text1"/>
          <w:sz w:val="32"/>
          <w:szCs w:val="32"/>
          <w:lang w:eastAsia="en-GB"/>
        </w:rPr>
        <w:t>African Cities</w:t>
      </w:r>
    </w:p>
    <w:p w14:paraId="7804EAB5" w14:textId="77777777" w:rsidR="003E4C57" w:rsidRPr="00A90CCE" w:rsidRDefault="003E4C57" w:rsidP="003E4C57">
      <w:pPr>
        <w:spacing w:after="120" w:line="360" w:lineRule="auto"/>
        <w:jc w:val="center"/>
        <w:rPr>
          <w:color w:val="000000" w:themeColor="text1"/>
          <w:sz w:val="32"/>
          <w:szCs w:val="32"/>
          <w:lang w:eastAsia="en-GB"/>
        </w:rPr>
      </w:pPr>
    </w:p>
    <w:p w14:paraId="365616F0" w14:textId="77777777" w:rsidR="003E4C57" w:rsidRDefault="003E4C57" w:rsidP="003E4C57">
      <w:pPr>
        <w:spacing w:after="120" w:line="360" w:lineRule="auto"/>
        <w:jc w:val="center"/>
        <w:rPr>
          <w:b/>
          <w:bCs/>
          <w:color w:val="000000" w:themeColor="text1"/>
          <w:lang w:eastAsia="en-GB"/>
        </w:rPr>
      </w:pPr>
      <w:r w:rsidRPr="00CD073D">
        <w:rPr>
          <w:b/>
          <w:bCs/>
          <w:color w:val="000000" w:themeColor="text1"/>
          <w:lang w:eastAsia="en-GB"/>
        </w:rPr>
        <w:t> Nick Dorward</w:t>
      </w:r>
      <w:r>
        <w:rPr>
          <w:rStyle w:val="FootnoteReference"/>
          <w:b/>
          <w:bCs/>
          <w:color w:val="000000" w:themeColor="text1"/>
          <w:lang w:eastAsia="en-GB"/>
        </w:rPr>
        <w:footnoteReference w:id="1"/>
      </w:r>
      <w:r w:rsidRPr="00CD073D">
        <w:rPr>
          <w:b/>
          <w:bCs/>
          <w:color w:val="000000" w:themeColor="text1"/>
          <w:lang w:eastAsia="en-GB"/>
        </w:rPr>
        <w:t xml:space="preserve"> </w:t>
      </w:r>
      <w:r>
        <w:rPr>
          <w:b/>
          <w:bCs/>
          <w:color w:val="000000" w:themeColor="text1"/>
          <w:lang w:eastAsia="en-GB"/>
        </w:rPr>
        <w:t xml:space="preserve">&amp; </w:t>
      </w:r>
      <w:r w:rsidRPr="00CD073D">
        <w:rPr>
          <w:b/>
          <w:bCs/>
          <w:color w:val="000000" w:themeColor="text1"/>
          <w:lang w:eastAsia="en-GB"/>
        </w:rPr>
        <w:t>Kristian Hoelscher</w:t>
      </w:r>
      <w:r>
        <w:rPr>
          <w:rStyle w:val="FootnoteReference"/>
          <w:b/>
          <w:bCs/>
          <w:color w:val="000000" w:themeColor="text1"/>
          <w:lang w:eastAsia="en-GB"/>
        </w:rPr>
        <w:footnoteReference w:id="2"/>
      </w:r>
    </w:p>
    <w:p w14:paraId="5F6CCC37" w14:textId="77777777" w:rsidR="003E4C57" w:rsidRPr="00CD073D" w:rsidRDefault="003E4C57" w:rsidP="003E4C57">
      <w:pPr>
        <w:spacing w:after="120" w:line="360" w:lineRule="auto"/>
        <w:jc w:val="center"/>
        <w:rPr>
          <w:b/>
          <w:bCs/>
          <w:color w:val="000000" w:themeColor="text1"/>
          <w:lang w:eastAsia="en-GB"/>
        </w:rPr>
      </w:pPr>
    </w:p>
    <w:p w14:paraId="1A909FCE" w14:textId="523DE86F" w:rsidR="0040308A" w:rsidRPr="00A90CCE" w:rsidRDefault="009D4D90" w:rsidP="003E4C57">
      <w:pPr>
        <w:spacing w:after="120" w:line="360" w:lineRule="auto"/>
        <w:jc w:val="center"/>
        <w:rPr>
          <w:b/>
          <w:bCs/>
          <w:color w:val="000000" w:themeColor="text1"/>
          <w:lang w:eastAsia="en-GB"/>
        </w:rPr>
      </w:pPr>
      <w:r w:rsidRPr="00A90CCE">
        <w:rPr>
          <w:b/>
          <w:bCs/>
          <w:color w:val="000000" w:themeColor="text1"/>
          <w:lang w:eastAsia="en-GB"/>
        </w:rPr>
        <w:t>Abstract</w:t>
      </w:r>
    </w:p>
    <w:p w14:paraId="38EF66A4" w14:textId="49D0AC6F" w:rsidR="0065409D" w:rsidRPr="00A90CCE" w:rsidRDefault="00DB18DC" w:rsidP="003E4C57">
      <w:pPr>
        <w:spacing w:after="120" w:line="360" w:lineRule="auto"/>
        <w:jc w:val="both"/>
        <w:rPr>
          <w:color w:val="000000" w:themeColor="text1"/>
        </w:rPr>
      </w:pPr>
      <w:r w:rsidRPr="00A90CCE">
        <w:rPr>
          <w:color w:val="000000" w:themeColor="text1"/>
          <w:lang w:eastAsia="en-GB"/>
        </w:rPr>
        <w:t xml:space="preserve">Africa is undergoing a rapid process of </w:t>
      </w:r>
      <w:r w:rsidR="00605753" w:rsidRPr="00A90CCE">
        <w:rPr>
          <w:color w:val="000000" w:themeColor="text1"/>
          <w:lang w:eastAsia="en-GB"/>
        </w:rPr>
        <w:t xml:space="preserve">urban </w:t>
      </w:r>
      <w:r w:rsidRPr="00A90CCE">
        <w:rPr>
          <w:color w:val="000000" w:themeColor="text1"/>
          <w:lang w:eastAsia="en-GB"/>
        </w:rPr>
        <w:t>demographic change</w:t>
      </w:r>
      <w:r w:rsidR="001B1000" w:rsidRPr="00A90CCE">
        <w:rPr>
          <w:color w:val="000000" w:themeColor="text1"/>
          <w:lang w:eastAsia="en-GB"/>
        </w:rPr>
        <w:t>. In</w:t>
      </w:r>
      <w:r w:rsidR="00605753" w:rsidRPr="00A90CCE">
        <w:rPr>
          <w:color w:val="000000" w:themeColor="text1"/>
        </w:rPr>
        <w:t>creasingly youthful</w:t>
      </w:r>
      <w:r w:rsidR="00DB0A22" w:rsidRPr="00A90CCE">
        <w:rPr>
          <w:color w:val="000000" w:themeColor="text1"/>
        </w:rPr>
        <w:t xml:space="preserve"> population structures</w:t>
      </w:r>
      <w:r w:rsidR="00605753" w:rsidRPr="00A90CCE">
        <w:rPr>
          <w:color w:val="000000" w:themeColor="text1"/>
        </w:rPr>
        <w:t xml:space="preserve"> </w:t>
      </w:r>
      <w:r w:rsidR="001B1000" w:rsidRPr="00A90CCE">
        <w:rPr>
          <w:color w:val="000000" w:themeColor="text1"/>
        </w:rPr>
        <w:t xml:space="preserve">are </w:t>
      </w:r>
      <w:r w:rsidR="00605753" w:rsidRPr="00A90CCE">
        <w:rPr>
          <w:color w:val="000000" w:themeColor="text1"/>
        </w:rPr>
        <w:t>defining</w:t>
      </w:r>
      <w:r w:rsidR="00DB0A22" w:rsidRPr="00A90CCE">
        <w:rPr>
          <w:color w:val="000000" w:themeColor="text1"/>
        </w:rPr>
        <w:t xml:space="preserve"> </w:t>
      </w:r>
      <w:r w:rsidR="00605753" w:rsidRPr="00A90CCE">
        <w:rPr>
          <w:color w:val="000000" w:themeColor="text1"/>
        </w:rPr>
        <w:t xml:space="preserve">the continent’s towns and cities. </w:t>
      </w:r>
      <w:r w:rsidR="0065409D" w:rsidRPr="00A90CCE">
        <w:rPr>
          <w:color w:val="000000" w:themeColor="text1"/>
        </w:rPr>
        <w:t>S</w:t>
      </w:r>
      <w:r w:rsidR="00605753" w:rsidRPr="00A90CCE">
        <w:rPr>
          <w:color w:val="000000" w:themeColor="text1"/>
        </w:rPr>
        <w:t xml:space="preserve">cholarship </w:t>
      </w:r>
      <w:r w:rsidR="009D4D90" w:rsidRPr="00A90CCE">
        <w:rPr>
          <w:color w:val="000000" w:themeColor="text1"/>
        </w:rPr>
        <w:t>suggest</w:t>
      </w:r>
      <w:r w:rsidR="00E60D95" w:rsidRPr="00A90CCE">
        <w:rPr>
          <w:color w:val="000000" w:themeColor="text1"/>
        </w:rPr>
        <w:t>s</w:t>
      </w:r>
      <w:r w:rsidR="009D4D90" w:rsidRPr="00A90CCE">
        <w:rPr>
          <w:color w:val="000000" w:themeColor="text1"/>
        </w:rPr>
        <w:t xml:space="preserve"> </w:t>
      </w:r>
      <w:r w:rsidR="00E60D95" w:rsidRPr="00A90CCE">
        <w:rPr>
          <w:color w:val="000000" w:themeColor="text1"/>
        </w:rPr>
        <w:t xml:space="preserve">this </w:t>
      </w:r>
      <w:r w:rsidR="009D4D90" w:rsidRPr="00A90CCE">
        <w:rPr>
          <w:color w:val="000000" w:themeColor="text1"/>
        </w:rPr>
        <w:t>will be associated with greater protest incidence and lower levels of voting and electoral participation.</w:t>
      </w:r>
      <w:r w:rsidR="00E4322A" w:rsidRPr="00A90CCE">
        <w:rPr>
          <w:color w:val="000000" w:themeColor="text1"/>
        </w:rPr>
        <w:t xml:space="preserve"> </w:t>
      </w:r>
      <w:r w:rsidR="001B1000" w:rsidRPr="00A90CCE">
        <w:rPr>
          <w:color w:val="000000" w:themeColor="text1"/>
        </w:rPr>
        <w:t>However,</w:t>
      </w:r>
      <w:r w:rsidR="0065409D" w:rsidRPr="00A90CCE">
        <w:rPr>
          <w:color w:val="000000" w:themeColor="text1"/>
        </w:rPr>
        <w:t xml:space="preserve"> these findings often rely on national-level data, despite </w:t>
      </w:r>
      <w:r w:rsidR="001B1000" w:rsidRPr="00A90CCE">
        <w:rPr>
          <w:color w:val="000000" w:themeColor="text1"/>
        </w:rPr>
        <w:t xml:space="preserve">there being </w:t>
      </w:r>
      <w:r w:rsidR="00DB0A22" w:rsidRPr="00A90CCE">
        <w:rPr>
          <w:color w:val="000000" w:themeColor="text1"/>
        </w:rPr>
        <w:t xml:space="preserve">considerable subnational variation in population structures between </w:t>
      </w:r>
      <w:r w:rsidR="00925429" w:rsidRPr="00A90CCE">
        <w:rPr>
          <w:color w:val="000000" w:themeColor="text1"/>
        </w:rPr>
        <w:t xml:space="preserve">African </w:t>
      </w:r>
      <w:r w:rsidR="00DB0A22" w:rsidRPr="00A90CCE">
        <w:rPr>
          <w:color w:val="000000" w:themeColor="text1"/>
        </w:rPr>
        <w:t>cities</w:t>
      </w:r>
      <w:r w:rsidR="0074613D" w:rsidRPr="00A90CCE">
        <w:rPr>
          <w:color w:val="000000" w:themeColor="text1"/>
        </w:rPr>
        <w:t>.</w:t>
      </w:r>
      <w:r w:rsidR="00F23EAD" w:rsidRPr="00A90CCE">
        <w:rPr>
          <w:color w:val="000000" w:themeColor="text1"/>
        </w:rPr>
        <w:t xml:space="preserve"> Building on existing theory</w:t>
      </w:r>
      <w:r w:rsidR="00DB51EC" w:rsidRPr="00A90CCE">
        <w:rPr>
          <w:color w:val="000000" w:themeColor="text1"/>
        </w:rPr>
        <w:t>,</w:t>
      </w:r>
      <w:r w:rsidR="00F23EAD" w:rsidRPr="00A90CCE">
        <w:rPr>
          <w:color w:val="000000" w:themeColor="text1"/>
        </w:rPr>
        <w:t xml:space="preserve"> we </w:t>
      </w:r>
      <w:r w:rsidR="002455C5" w:rsidRPr="00A90CCE">
        <w:rPr>
          <w:color w:val="000000" w:themeColor="text1"/>
        </w:rPr>
        <w:t>argue</w:t>
      </w:r>
      <w:r w:rsidR="00F23EAD" w:rsidRPr="00A90CCE">
        <w:rPr>
          <w:color w:val="000000" w:themeColor="text1"/>
        </w:rPr>
        <w:t xml:space="preserve"> that </w:t>
      </w:r>
      <w:r w:rsidR="00E60D95" w:rsidRPr="00A90CCE">
        <w:rPr>
          <w:color w:val="000000" w:themeColor="text1"/>
        </w:rPr>
        <w:t>local demographic contexts matter for political behaviour</w:t>
      </w:r>
      <w:r w:rsidR="001B1000" w:rsidRPr="00A90CCE">
        <w:rPr>
          <w:color w:val="000000" w:themeColor="text1"/>
        </w:rPr>
        <w:t xml:space="preserve">. Specifically, we hypothesise that </w:t>
      </w:r>
      <w:r w:rsidR="00F23EAD" w:rsidRPr="00A90CCE">
        <w:rPr>
          <w:color w:val="000000" w:themeColor="text1"/>
        </w:rPr>
        <w:t xml:space="preserve">youthful urban demographic structures will </w:t>
      </w:r>
      <w:r w:rsidR="002455C5" w:rsidRPr="00A90CCE">
        <w:rPr>
          <w:color w:val="000000" w:themeColor="text1"/>
        </w:rPr>
        <w:t>be associate</w:t>
      </w:r>
      <w:r w:rsidR="007764B6" w:rsidRPr="00A90CCE">
        <w:rPr>
          <w:color w:val="000000" w:themeColor="text1"/>
        </w:rPr>
        <w:t>d</w:t>
      </w:r>
      <w:r w:rsidR="002455C5" w:rsidRPr="00A90CCE">
        <w:rPr>
          <w:color w:val="000000" w:themeColor="text1"/>
        </w:rPr>
        <w:t xml:space="preserve"> with lower levels of formal political participation </w:t>
      </w:r>
      <w:r w:rsidR="001B1000" w:rsidRPr="00A90CCE">
        <w:rPr>
          <w:color w:val="000000" w:themeColor="text1"/>
        </w:rPr>
        <w:t xml:space="preserve">(voting) </w:t>
      </w:r>
      <w:r w:rsidR="002455C5" w:rsidRPr="00A90CCE">
        <w:rPr>
          <w:color w:val="000000" w:themeColor="text1"/>
        </w:rPr>
        <w:t>and greater levels of informal contentious mobili</w:t>
      </w:r>
      <w:r w:rsidR="00641AEF" w:rsidRPr="00A90CCE">
        <w:rPr>
          <w:color w:val="000000" w:themeColor="text1"/>
        </w:rPr>
        <w:t>s</w:t>
      </w:r>
      <w:r w:rsidR="002455C5" w:rsidRPr="00A90CCE">
        <w:rPr>
          <w:color w:val="000000" w:themeColor="text1"/>
        </w:rPr>
        <w:t>ation</w:t>
      </w:r>
      <w:r w:rsidR="009D4D90" w:rsidRPr="00A90CCE">
        <w:rPr>
          <w:color w:val="000000" w:themeColor="text1"/>
        </w:rPr>
        <w:t xml:space="preserve"> </w:t>
      </w:r>
      <w:r w:rsidR="001B1000" w:rsidRPr="00A90CCE">
        <w:rPr>
          <w:color w:val="000000" w:themeColor="text1"/>
        </w:rPr>
        <w:t xml:space="preserve">(protest) </w:t>
      </w:r>
      <w:r w:rsidR="009D4D90" w:rsidRPr="00A90CCE">
        <w:rPr>
          <w:color w:val="000000" w:themeColor="text1"/>
        </w:rPr>
        <w:t xml:space="preserve">for all individuals, and that </w:t>
      </w:r>
      <w:r w:rsidR="007764B6" w:rsidRPr="00A90CCE">
        <w:rPr>
          <w:color w:val="000000" w:themeColor="text1"/>
        </w:rPr>
        <w:t>the magnitude of this effect will be greater for younger people</w:t>
      </w:r>
      <w:r w:rsidR="002455C5" w:rsidRPr="00A90CCE">
        <w:rPr>
          <w:color w:val="000000" w:themeColor="text1"/>
        </w:rPr>
        <w:t>. W</w:t>
      </w:r>
      <w:r w:rsidR="00306CCE" w:rsidRPr="00A90CCE">
        <w:rPr>
          <w:color w:val="000000" w:themeColor="text1"/>
        </w:rPr>
        <w:t xml:space="preserve">e </w:t>
      </w:r>
      <w:r w:rsidR="00426611" w:rsidRPr="00A90CCE">
        <w:rPr>
          <w:color w:val="000000" w:themeColor="text1"/>
        </w:rPr>
        <w:t xml:space="preserve">test these expectations </w:t>
      </w:r>
      <w:r w:rsidR="00E60D95" w:rsidRPr="00A90CCE">
        <w:rPr>
          <w:color w:val="000000" w:themeColor="text1"/>
        </w:rPr>
        <w:t>using novel</w:t>
      </w:r>
      <w:r w:rsidR="00426611" w:rsidRPr="00A90CCE">
        <w:rPr>
          <w:color w:val="000000" w:themeColor="text1"/>
        </w:rPr>
        <w:t xml:space="preserve"> geospatial data on the spatial extent of unique urban settlements</w:t>
      </w:r>
      <w:r w:rsidR="00E60D95" w:rsidRPr="00A90CCE">
        <w:rPr>
          <w:color w:val="000000" w:themeColor="text1"/>
        </w:rPr>
        <w:t xml:space="preserve">, </w:t>
      </w:r>
      <w:r w:rsidR="00426611" w:rsidRPr="00A90CCE">
        <w:rPr>
          <w:color w:val="000000" w:themeColor="text1"/>
        </w:rPr>
        <w:t>urban</w:t>
      </w:r>
      <w:r w:rsidR="00E60D95" w:rsidRPr="00A90CCE">
        <w:rPr>
          <w:color w:val="000000" w:themeColor="text1"/>
        </w:rPr>
        <w:t>-level</w:t>
      </w:r>
      <w:r w:rsidR="00426611" w:rsidRPr="00A90CCE">
        <w:rPr>
          <w:color w:val="000000" w:themeColor="text1"/>
        </w:rPr>
        <w:t xml:space="preserve"> age and sex structures</w:t>
      </w:r>
      <w:r w:rsidR="00DB51EC" w:rsidRPr="00A90CCE">
        <w:rPr>
          <w:color w:val="000000" w:themeColor="text1"/>
        </w:rPr>
        <w:t>,</w:t>
      </w:r>
      <w:r w:rsidR="00426611" w:rsidRPr="00A90CCE">
        <w:rPr>
          <w:color w:val="000000" w:themeColor="text1"/>
        </w:rPr>
        <w:t xml:space="preserve"> </w:t>
      </w:r>
      <w:r w:rsidR="00E60D95" w:rsidRPr="00A90CCE">
        <w:rPr>
          <w:color w:val="000000" w:themeColor="text1"/>
        </w:rPr>
        <w:t xml:space="preserve">and geolocated </w:t>
      </w:r>
      <w:r w:rsidR="00426611" w:rsidRPr="00A90CCE">
        <w:rPr>
          <w:color w:val="000000" w:themeColor="text1"/>
        </w:rPr>
        <w:t>individual-level survey data</w:t>
      </w:r>
      <w:r w:rsidR="00E60D95" w:rsidRPr="00A90CCE">
        <w:rPr>
          <w:color w:val="000000" w:themeColor="text1"/>
        </w:rPr>
        <w:t xml:space="preserve"> from </w:t>
      </w:r>
      <w:r w:rsidR="00641AEF" w:rsidRPr="00A90CCE">
        <w:rPr>
          <w:color w:val="000000" w:themeColor="text1"/>
        </w:rPr>
        <w:t xml:space="preserve">399 </w:t>
      </w:r>
      <w:r w:rsidR="00E60D95" w:rsidRPr="00A90CCE">
        <w:rPr>
          <w:color w:val="000000" w:themeColor="text1"/>
        </w:rPr>
        <w:t>cities in 3</w:t>
      </w:r>
      <w:r w:rsidR="00641AEF" w:rsidRPr="00A90CCE">
        <w:rPr>
          <w:color w:val="000000" w:themeColor="text1"/>
        </w:rPr>
        <w:t>6</w:t>
      </w:r>
      <w:r w:rsidR="00E60D95" w:rsidRPr="00A90CCE">
        <w:rPr>
          <w:color w:val="000000" w:themeColor="text1"/>
        </w:rPr>
        <w:t xml:space="preserve"> countries across Africa</w:t>
      </w:r>
      <w:r w:rsidR="00426611" w:rsidRPr="00A90CCE">
        <w:rPr>
          <w:color w:val="000000" w:themeColor="text1"/>
        </w:rPr>
        <w:t xml:space="preserve">. </w:t>
      </w:r>
      <w:r w:rsidR="00306CCE" w:rsidRPr="00A90CCE">
        <w:rPr>
          <w:color w:val="000000" w:themeColor="text1"/>
        </w:rPr>
        <w:t>Using multilevel regression,</w:t>
      </w:r>
      <w:r w:rsidR="00E60D95" w:rsidRPr="00A90CCE">
        <w:rPr>
          <w:color w:val="000000" w:themeColor="text1"/>
        </w:rPr>
        <w:t xml:space="preserve"> w</w:t>
      </w:r>
      <w:r w:rsidR="002455C5" w:rsidRPr="00A90CCE">
        <w:rPr>
          <w:color w:val="000000" w:themeColor="text1"/>
        </w:rPr>
        <w:t>e find that</w:t>
      </w:r>
      <w:r w:rsidR="001A20A8" w:rsidRPr="00A90CCE">
        <w:rPr>
          <w:color w:val="000000" w:themeColor="text1"/>
        </w:rPr>
        <w:t xml:space="preserve"> individual</w:t>
      </w:r>
      <w:r w:rsidR="00CE19D9" w:rsidRPr="00A90CCE">
        <w:rPr>
          <w:color w:val="000000" w:themeColor="text1"/>
        </w:rPr>
        <w:t>s are</w:t>
      </w:r>
      <w:r w:rsidR="001B1000" w:rsidRPr="00A90CCE">
        <w:rPr>
          <w:color w:val="000000" w:themeColor="text1"/>
        </w:rPr>
        <w:t xml:space="preserve"> </w:t>
      </w:r>
      <w:r w:rsidR="00641AEF" w:rsidRPr="00A90CCE">
        <w:rPr>
          <w:color w:val="000000" w:themeColor="text1"/>
        </w:rPr>
        <w:t>more</w:t>
      </w:r>
      <w:r w:rsidR="001A20A8" w:rsidRPr="00A90CCE">
        <w:rPr>
          <w:color w:val="000000" w:themeColor="text1"/>
        </w:rPr>
        <w:t xml:space="preserve"> likely to </w:t>
      </w:r>
      <w:r w:rsidR="001B1000" w:rsidRPr="00A90CCE">
        <w:rPr>
          <w:color w:val="000000" w:themeColor="text1"/>
        </w:rPr>
        <w:t>vote</w:t>
      </w:r>
      <w:r w:rsidR="001A20A8" w:rsidRPr="00A90CCE">
        <w:rPr>
          <w:color w:val="000000" w:themeColor="text1"/>
        </w:rPr>
        <w:t xml:space="preserve"> in </w:t>
      </w:r>
      <w:r w:rsidR="001B1000" w:rsidRPr="00A90CCE">
        <w:rPr>
          <w:color w:val="000000" w:themeColor="text1"/>
        </w:rPr>
        <w:t xml:space="preserve">more youthful </w:t>
      </w:r>
      <w:r w:rsidR="001A20A8" w:rsidRPr="00A90CCE">
        <w:rPr>
          <w:color w:val="000000" w:themeColor="text1"/>
        </w:rPr>
        <w:t>urban contexts</w:t>
      </w:r>
      <w:r w:rsidR="001B1000" w:rsidRPr="00A90CCE">
        <w:rPr>
          <w:color w:val="000000" w:themeColor="text1"/>
        </w:rPr>
        <w:t xml:space="preserve">, with </w:t>
      </w:r>
      <w:r w:rsidR="00E60D95" w:rsidRPr="00A90CCE">
        <w:rPr>
          <w:color w:val="000000" w:themeColor="text1"/>
        </w:rPr>
        <w:t>young p</w:t>
      </w:r>
      <w:r w:rsidR="001A20A8" w:rsidRPr="00A90CCE">
        <w:rPr>
          <w:color w:val="000000" w:themeColor="text1"/>
        </w:rPr>
        <w:t xml:space="preserve">eople no more or less likely to </w:t>
      </w:r>
      <w:r w:rsidR="001B1000" w:rsidRPr="00A90CCE">
        <w:rPr>
          <w:color w:val="000000" w:themeColor="text1"/>
        </w:rPr>
        <w:t>vote</w:t>
      </w:r>
      <w:r w:rsidR="001A20A8" w:rsidRPr="00A90CCE">
        <w:rPr>
          <w:color w:val="000000" w:themeColor="text1"/>
        </w:rPr>
        <w:t xml:space="preserve"> than their older counterparts. Conversely, we find no significant relationship between individual protest participation and city youth shares</w:t>
      </w:r>
      <w:r w:rsidR="00140038" w:rsidRPr="00A90CCE">
        <w:rPr>
          <w:color w:val="000000" w:themeColor="text1"/>
        </w:rPr>
        <w:t xml:space="preserve"> overall</w:t>
      </w:r>
      <w:r w:rsidR="00E53574" w:rsidRPr="00A90CCE">
        <w:rPr>
          <w:color w:val="000000" w:themeColor="text1"/>
        </w:rPr>
        <w:t>.</w:t>
      </w:r>
      <w:r w:rsidR="00140038" w:rsidRPr="00A90CCE">
        <w:rPr>
          <w:color w:val="000000" w:themeColor="text1"/>
        </w:rPr>
        <w:t xml:space="preserve"> </w:t>
      </w:r>
      <w:r w:rsidR="00E53574" w:rsidRPr="00A90CCE">
        <w:rPr>
          <w:color w:val="000000" w:themeColor="text1"/>
        </w:rPr>
        <w:t>H</w:t>
      </w:r>
      <w:r w:rsidR="00140038" w:rsidRPr="00A90CCE">
        <w:rPr>
          <w:color w:val="000000" w:themeColor="text1"/>
        </w:rPr>
        <w:t>owever</w:t>
      </w:r>
      <w:r w:rsidR="00E53574" w:rsidRPr="00A90CCE">
        <w:rPr>
          <w:color w:val="000000" w:themeColor="text1"/>
        </w:rPr>
        <w:t xml:space="preserve">, </w:t>
      </w:r>
      <w:r w:rsidR="001A20A8" w:rsidRPr="00A90CCE">
        <w:rPr>
          <w:color w:val="000000" w:themeColor="text1"/>
        </w:rPr>
        <w:t xml:space="preserve">young people in more youthful cities are significantly more likely to protest than older people. </w:t>
      </w:r>
      <w:proofErr w:type="gramStart"/>
      <w:r w:rsidR="00140038" w:rsidRPr="00A90CCE">
        <w:rPr>
          <w:color w:val="000000" w:themeColor="text1"/>
        </w:rPr>
        <w:t>In light of</w:t>
      </w:r>
      <w:proofErr w:type="gramEnd"/>
      <w:r w:rsidR="00140038" w:rsidRPr="00A90CCE">
        <w:rPr>
          <w:color w:val="000000" w:themeColor="text1"/>
        </w:rPr>
        <w:t xml:space="preserve"> </w:t>
      </w:r>
      <w:r w:rsidR="003E4C57">
        <w:rPr>
          <w:color w:val="000000" w:themeColor="text1"/>
        </w:rPr>
        <w:t>these findings</w:t>
      </w:r>
      <w:r w:rsidR="002C48E8" w:rsidRPr="00A90CCE">
        <w:rPr>
          <w:color w:val="000000" w:themeColor="text1"/>
        </w:rPr>
        <w:t>,</w:t>
      </w:r>
      <w:r w:rsidR="00140038" w:rsidRPr="00A90CCE">
        <w:rPr>
          <w:color w:val="000000" w:themeColor="text1"/>
        </w:rPr>
        <w:t xml:space="preserve"> we discuss how </w:t>
      </w:r>
      <w:r w:rsidR="0065409D" w:rsidRPr="00A90CCE">
        <w:rPr>
          <w:color w:val="000000" w:themeColor="text1"/>
        </w:rPr>
        <w:t xml:space="preserve">the </w:t>
      </w:r>
      <w:r w:rsidR="00426611" w:rsidRPr="00A90CCE">
        <w:rPr>
          <w:color w:val="000000" w:themeColor="text1"/>
        </w:rPr>
        <w:t xml:space="preserve">demographic composition of individual cities in Africa </w:t>
      </w:r>
      <w:r w:rsidR="00140038" w:rsidRPr="00A90CCE">
        <w:rPr>
          <w:color w:val="000000" w:themeColor="text1"/>
        </w:rPr>
        <w:t>nuances our understanding of</w:t>
      </w:r>
      <w:r w:rsidR="00426611" w:rsidRPr="00A90CCE">
        <w:rPr>
          <w:color w:val="000000" w:themeColor="text1"/>
        </w:rPr>
        <w:t xml:space="preserve"> political </w:t>
      </w:r>
      <w:r w:rsidR="00306CCE" w:rsidRPr="00A90CCE">
        <w:rPr>
          <w:color w:val="000000" w:themeColor="text1"/>
        </w:rPr>
        <w:t>behaviour</w:t>
      </w:r>
      <w:r w:rsidR="00426611" w:rsidRPr="00A90CCE">
        <w:rPr>
          <w:color w:val="000000" w:themeColor="text1"/>
        </w:rPr>
        <w:t xml:space="preserve"> and contentious mobili</w:t>
      </w:r>
      <w:r w:rsidR="00E53574" w:rsidRPr="00A90CCE">
        <w:rPr>
          <w:color w:val="000000" w:themeColor="text1"/>
        </w:rPr>
        <w:t>s</w:t>
      </w:r>
      <w:r w:rsidR="00426611" w:rsidRPr="00A90CCE">
        <w:rPr>
          <w:color w:val="000000" w:themeColor="text1"/>
        </w:rPr>
        <w:t>ation.</w:t>
      </w:r>
    </w:p>
    <w:p w14:paraId="0966ED03" w14:textId="77777777" w:rsidR="003E4C57" w:rsidRDefault="003E4C57" w:rsidP="003E4C57">
      <w:pPr>
        <w:spacing w:after="120" w:line="360" w:lineRule="auto"/>
        <w:jc w:val="both"/>
        <w:rPr>
          <w:b/>
          <w:bCs/>
          <w:color w:val="000000" w:themeColor="text1"/>
          <w:lang w:eastAsia="en-GB"/>
        </w:rPr>
      </w:pPr>
    </w:p>
    <w:p w14:paraId="059614BC" w14:textId="6BE348A6" w:rsidR="003E4C57" w:rsidRDefault="00FB4D33" w:rsidP="003E4C57">
      <w:pPr>
        <w:spacing w:after="120" w:line="360" w:lineRule="auto"/>
        <w:jc w:val="both"/>
        <w:rPr>
          <w:color w:val="000000" w:themeColor="text1"/>
          <w:lang w:eastAsia="en-GB"/>
        </w:rPr>
      </w:pPr>
      <w:r w:rsidRPr="00A90CCE">
        <w:rPr>
          <w:b/>
          <w:bCs/>
          <w:color w:val="000000" w:themeColor="text1"/>
          <w:lang w:eastAsia="en-GB"/>
        </w:rPr>
        <w:t>Key words</w:t>
      </w:r>
      <w:r w:rsidRPr="00A90CCE">
        <w:rPr>
          <w:color w:val="000000" w:themeColor="text1"/>
          <w:lang w:eastAsia="en-GB"/>
        </w:rPr>
        <w:t xml:space="preserve">: Demography; Age Structure; Youth Bulges; </w:t>
      </w:r>
      <w:r w:rsidR="001621D7" w:rsidRPr="00A90CCE">
        <w:rPr>
          <w:color w:val="000000" w:themeColor="text1"/>
          <w:lang w:eastAsia="en-GB"/>
        </w:rPr>
        <w:t>Urbani</w:t>
      </w:r>
      <w:r w:rsidR="001B1000" w:rsidRPr="00A90CCE">
        <w:rPr>
          <w:color w:val="000000" w:themeColor="text1"/>
          <w:lang w:eastAsia="en-GB"/>
        </w:rPr>
        <w:t>z</w:t>
      </w:r>
      <w:r w:rsidR="001621D7" w:rsidRPr="00A90CCE">
        <w:rPr>
          <w:color w:val="000000" w:themeColor="text1"/>
          <w:lang w:eastAsia="en-GB"/>
        </w:rPr>
        <w:t>ation</w:t>
      </w:r>
      <w:r w:rsidRPr="00A90CCE">
        <w:rPr>
          <w:color w:val="000000" w:themeColor="text1"/>
          <w:lang w:eastAsia="en-GB"/>
        </w:rPr>
        <w:t xml:space="preserve">; Mobilization; Political Behaviour; Cities; </w:t>
      </w:r>
      <w:r w:rsidR="001B1000" w:rsidRPr="00A90CCE">
        <w:rPr>
          <w:color w:val="000000" w:themeColor="text1"/>
          <w:lang w:eastAsia="en-GB"/>
        </w:rPr>
        <w:t xml:space="preserve">Voting; </w:t>
      </w:r>
      <w:r w:rsidRPr="00A90CCE">
        <w:rPr>
          <w:color w:val="000000" w:themeColor="text1"/>
          <w:lang w:eastAsia="en-GB"/>
        </w:rPr>
        <w:t>Protest</w:t>
      </w:r>
      <w:r w:rsidR="00925429" w:rsidRPr="00A90CCE">
        <w:rPr>
          <w:color w:val="000000" w:themeColor="text1"/>
          <w:lang w:eastAsia="en-GB"/>
        </w:rPr>
        <w:t>; Africa</w:t>
      </w:r>
    </w:p>
    <w:p w14:paraId="21EEA7A5" w14:textId="77777777" w:rsidR="003E4C57" w:rsidRDefault="003E4C57">
      <w:pPr>
        <w:spacing w:after="160" w:line="259" w:lineRule="auto"/>
        <w:rPr>
          <w:color w:val="000000" w:themeColor="text1"/>
          <w:lang w:eastAsia="en-GB"/>
        </w:rPr>
      </w:pPr>
      <w:r>
        <w:rPr>
          <w:color w:val="000000" w:themeColor="text1"/>
          <w:lang w:eastAsia="en-GB"/>
        </w:rPr>
        <w:br w:type="page"/>
      </w:r>
    </w:p>
    <w:p w14:paraId="38F82F7B" w14:textId="77777777" w:rsidR="00FB0D92" w:rsidRDefault="00FB0D92" w:rsidP="003E4C57">
      <w:pPr>
        <w:spacing w:after="120" w:line="360" w:lineRule="auto"/>
        <w:jc w:val="both"/>
        <w:rPr>
          <w:color w:val="000000" w:themeColor="text1"/>
          <w:lang w:eastAsia="en-GB"/>
        </w:rPr>
      </w:pPr>
    </w:p>
    <w:p w14:paraId="36B2BC03" w14:textId="77777777" w:rsidR="003E4C57" w:rsidRDefault="003E4C57" w:rsidP="004858DB">
      <w:pPr>
        <w:spacing w:after="120" w:line="480" w:lineRule="auto"/>
        <w:jc w:val="both"/>
        <w:rPr>
          <w:color w:val="000000" w:themeColor="text1"/>
          <w:lang w:eastAsia="en-GB"/>
        </w:rPr>
      </w:pPr>
    </w:p>
    <w:p w14:paraId="07C61AE4" w14:textId="6EE04F4E" w:rsidR="009471F7" w:rsidRPr="00A90CCE" w:rsidRDefault="002836BD" w:rsidP="009471F7">
      <w:pPr>
        <w:pStyle w:val="ListParagraph"/>
        <w:numPr>
          <w:ilvl w:val="0"/>
          <w:numId w:val="1"/>
        </w:numPr>
        <w:spacing w:after="120" w:line="480" w:lineRule="auto"/>
        <w:jc w:val="both"/>
        <w:rPr>
          <w:color w:val="000000" w:themeColor="text1"/>
          <w:lang w:val="en-GB" w:eastAsia="en-GB"/>
        </w:rPr>
      </w:pPr>
      <w:r w:rsidRPr="00A90CCE">
        <w:rPr>
          <w:b/>
          <w:bCs/>
          <w:color w:val="000000" w:themeColor="text1"/>
          <w:lang w:val="en-GB" w:eastAsia="en-GB"/>
        </w:rPr>
        <w:t>Introduction</w:t>
      </w:r>
    </w:p>
    <w:p w14:paraId="5B0C90C6" w14:textId="236D9BF9" w:rsidR="00140038" w:rsidRPr="00A90CCE" w:rsidRDefault="009471F7" w:rsidP="00140038">
      <w:pPr>
        <w:spacing w:after="120" w:line="480" w:lineRule="auto"/>
        <w:jc w:val="both"/>
        <w:rPr>
          <w:color w:val="000000" w:themeColor="text1"/>
          <w:lang w:eastAsia="en-GB"/>
        </w:rPr>
      </w:pPr>
      <w:r w:rsidRPr="00A90CCE">
        <w:rPr>
          <w:color w:val="000000" w:themeColor="text1"/>
          <w:lang w:eastAsia="en-GB"/>
        </w:rPr>
        <w:t>Africa is undergoing a rapid demographic transformation characterised by urbanisation</w:t>
      </w:r>
      <w:r w:rsidR="00500D63" w:rsidRPr="00A90CCE">
        <w:rPr>
          <w:color w:val="000000" w:themeColor="text1"/>
          <w:lang w:eastAsia="en-GB"/>
        </w:rPr>
        <w:t>,</w:t>
      </w:r>
      <w:r w:rsidR="001B1000" w:rsidRPr="00A90CCE">
        <w:rPr>
          <w:color w:val="000000" w:themeColor="text1"/>
          <w:lang w:eastAsia="en-GB"/>
        </w:rPr>
        <w:t xml:space="preserve"> </w:t>
      </w:r>
      <w:r w:rsidR="00140038" w:rsidRPr="00A90CCE">
        <w:rPr>
          <w:color w:val="000000" w:themeColor="text1"/>
          <w:lang w:eastAsia="en-GB"/>
        </w:rPr>
        <w:t>an</w:t>
      </w:r>
      <w:r w:rsidRPr="00A90CCE">
        <w:rPr>
          <w:color w:val="000000" w:themeColor="text1"/>
          <w:lang w:eastAsia="en-GB"/>
        </w:rPr>
        <w:t xml:space="preserve"> increase in the share of people living in urban vs rural areas. </w:t>
      </w:r>
      <w:r w:rsidR="00140038" w:rsidRPr="00A90CCE">
        <w:rPr>
          <w:color w:val="000000" w:themeColor="text1"/>
          <w:lang w:eastAsia="en-GB"/>
        </w:rPr>
        <w:t>Yet in</w:t>
      </w:r>
      <w:r w:rsidRPr="00A90CCE">
        <w:rPr>
          <w:color w:val="000000" w:themeColor="text1"/>
          <w:lang w:eastAsia="en-GB"/>
        </w:rPr>
        <w:t xml:space="preserve"> contrast to the experiences of Europe and North America, African urbanisation has been largely driven by the natural increase </w:t>
      </w:r>
      <w:r w:rsidR="00500D63" w:rsidRPr="00A90CCE">
        <w:rPr>
          <w:color w:val="000000" w:themeColor="text1"/>
          <w:lang w:eastAsia="en-GB"/>
        </w:rPr>
        <w:t>(</w:t>
      </w:r>
      <w:r w:rsidRPr="00A90CCE">
        <w:rPr>
          <w:color w:val="000000" w:themeColor="text1"/>
          <w:lang w:eastAsia="en-GB"/>
        </w:rPr>
        <w:t>higher annual rates of births than deaths</w:t>
      </w:r>
      <w:r w:rsidR="00500D63" w:rsidRPr="00A90CCE">
        <w:rPr>
          <w:color w:val="000000" w:themeColor="text1"/>
          <w:lang w:eastAsia="en-GB"/>
        </w:rPr>
        <w:t>)</w:t>
      </w:r>
      <w:r w:rsidRPr="00A90CCE">
        <w:rPr>
          <w:color w:val="000000" w:themeColor="text1"/>
          <w:lang w:eastAsia="en-GB"/>
        </w:rPr>
        <w:t xml:space="preserve"> of urban populations </w:t>
      </w:r>
      <w:r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{"citationID":"3c4CZHDa","properties":{"formattedCitation":"(Bocquier et al., 2023; Menashe\\uc0\\u8208{}Oren &amp; Bocquier, 2021)","plainCitation":"(Bocquier et al., 2023; Menashe‐Oren &amp; Bocquier, 2021)","noteIndex":0},"citationItems":[{"id":450,"uris":["http://zotero.org/users/11001446/items/QX28DT9L"],"itemData":{"id":450,"type":"article-journal","container-title":"Demographic Research","ISSN":"1435-9871","journalAbbreviation":"Demographic Research","note":"publisher: JSTOR","page":"681-732","title":"Migration’s contribution to the urban transition","volume":"48","author":[{"family":"Bocquier","given":"Philippe"},{"family":"Menashe-Oren","given":"Ashira"},{"family":"Nie","given":"Wanli"}],"issued":{"date-parts":[["2023"]]}}},{"id":451,"uris":["http://zotero.org/users/11001446/items/QN5QCB77"],"itemData":{"id":451,"type":"article-journal","container-title":"Population and Development Review","ISSN":"0098-7921","issue":"3","journalAbbreviation":"Population and Development Review","note":"publisher: Wiley Online Library","page":"639-663","title":"Urbanization is no longer driven by migration in low‐and middle‐income countries (1985–2015)","volume":"47","author":[{"family":"Menashe‐Oren","given":"Ashira"},{"family":"Bocquier","given":"Philippe"}],"issued":{"date-parts":[["2021"]]}}}],"schema":"https://github.com/citation-style-language/schema/raw/master/csl-citation.json"} </w:instrText>
      </w:r>
      <w:r w:rsidRPr="00A90CCE">
        <w:rPr>
          <w:color w:val="000000" w:themeColor="text1"/>
          <w:lang w:eastAsia="en-GB"/>
        </w:rPr>
        <w:fldChar w:fldCharType="separate"/>
      </w:r>
      <w:r w:rsidRPr="00A90CCE">
        <w:rPr>
          <w:color w:val="000000" w:themeColor="text1"/>
        </w:rPr>
        <w:t>(Bocquier et al., 2023; Menashe‐Oren &amp; Bocquier, 2021)</w:t>
      </w:r>
      <w:r w:rsidRPr="00A90CCE">
        <w:rPr>
          <w:color w:val="000000" w:themeColor="text1"/>
          <w:lang w:eastAsia="en-GB"/>
        </w:rPr>
        <w:fldChar w:fldCharType="end"/>
      </w:r>
      <w:r w:rsidRPr="00A90CCE">
        <w:rPr>
          <w:color w:val="000000" w:themeColor="text1"/>
          <w:lang w:eastAsia="en-GB"/>
        </w:rPr>
        <w:t xml:space="preserve">. Rather than growing because of rural-urban migration, Africa’s cities and emerging urban regions are growing from the in-situ growth and densification of populations </w:t>
      </w:r>
      <w:r w:rsidR="00C04FDD"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{"citationID":"Q02R3gxF","properties":{"formattedCitation":"(Dorward et al., 2023; Fox &amp; Goodfellow, 2022; Randolph &amp; Storper, 2023)","plainCitation":"(Dorward et al., 2023; Fox &amp; Goodfellow, 2022; Randolph &amp; Storper, 2023)","noteIndex":0},"citationItems":[{"id":165,"uris":["http://zotero.org/users/11001446/items/8M4E6N9P"],"itemData":{"id":165,"type":"article-journal","container-title":"Environment &amp; Urbanization","ISSN":"0956-2478","issue":"2","journalAbbreviation":"Environment &amp; Urbanization","note":"publisher: SAGE Publications Sage UK: London, England","page":"310-327","title":"A spatial-demographic analysis of Africa’s emerging urban geography","volume":"35","author":[{"family":"Dorward","given":"Nick"},{"family":"Fox","given":"Sean"},{"family":"Statham","given":"Thomas"},{"family":"Wolf","given":"Levi John"}],"issued":{"date-parts":[["2023"]]}}},{"id":492,"uris":["http://zotero.org/users/11001446/items/SPYB9VHX"],"itemData":{"id":492,"type":"article-journal","container-title":"Urban Studies","ISSN":"0042-0980","issue":"10","journalAbbreviation":"Urban Studies","note":"publisher: SAGE Publications Sage UK: London, England","page":"1959-1980","title":"On the conditions of ‘late urbanisation’","volume":"59","author":[{"family":"Fox","given":"Sean"},{"family":"Goodfellow","given":"Tom"}],"issued":{"date-parts":[["2022"]]}}},{"id":16087,"uris":["http://zotero.org/users/11001446/items/45K3C72C"],"itemData":{"id":16087,"type":"article-journal","container-title":"Urban Studies","ISSN":"0042-0980","issue":"1","journalAbbreviation":"Urban Studies","note":"publisher: SAGE Publications Sage UK: London, England","page":"3-25","title":"Is urbanisation in the Global South fundamentally different? Comparative global urban analysis for the 21st century","volume":"60","author":[{"family":"Randolph","given":"Gregory F"},{"family":"Storper","given":"Michael"}],"issued":{"date-parts":[["2023"]]}}}],"schema":"https://github.com/citation-style-language/schema/raw/master/csl-citation.json"} </w:instrText>
      </w:r>
      <w:r w:rsidR="00C04FDD" w:rsidRPr="00A90CCE">
        <w:rPr>
          <w:color w:val="000000" w:themeColor="text1"/>
          <w:lang w:eastAsia="en-GB"/>
        </w:rPr>
        <w:fldChar w:fldCharType="separate"/>
      </w:r>
      <w:r w:rsidR="00C04FDD" w:rsidRPr="00A90CCE">
        <w:t>(Fox &amp; Goodfellow, 2022; Randolph &amp; Storper, 2023</w:t>
      </w:r>
      <w:r w:rsidR="00E53574" w:rsidRPr="00A90CCE">
        <w:t>; Dorward et al., 2023</w:t>
      </w:r>
      <w:r w:rsidR="00C04FDD" w:rsidRPr="00A90CCE">
        <w:t>)</w:t>
      </w:r>
      <w:r w:rsidR="00C04FDD" w:rsidRPr="00A90CCE">
        <w:rPr>
          <w:color w:val="000000" w:themeColor="text1"/>
          <w:lang w:eastAsia="en-GB"/>
        </w:rPr>
        <w:fldChar w:fldCharType="end"/>
      </w:r>
      <w:r w:rsidR="007B7CF0" w:rsidRPr="00A90CCE">
        <w:rPr>
          <w:color w:val="000000" w:themeColor="text1"/>
          <w:lang w:eastAsia="en-GB"/>
        </w:rPr>
        <w:t xml:space="preserve">, leading to </w:t>
      </w:r>
      <w:r w:rsidRPr="00A90CCE">
        <w:rPr>
          <w:color w:val="000000" w:themeColor="text1"/>
          <w:lang w:eastAsia="en-GB"/>
        </w:rPr>
        <w:t>urban and national population structures that are increasingly defined by large youth cohorts</w:t>
      </w:r>
      <w:r w:rsidR="00140038" w:rsidRPr="00A90CCE">
        <w:rPr>
          <w:color w:val="000000" w:themeColor="text1"/>
          <w:lang w:eastAsia="en-GB"/>
        </w:rPr>
        <w:t>, both in absolute and relative terms.</w:t>
      </w:r>
      <w:r w:rsidRPr="00A90CCE">
        <w:rPr>
          <w:color w:val="000000" w:themeColor="text1"/>
          <w:lang w:eastAsia="en-GB"/>
        </w:rPr>
        <w:t xml:space="preserve"> </w:t>
      </w:r>
    </w:p>
    <w:p w14:paraId="214F5FE6" w14:textId="5E090FD1" w:rsidR="009471F7" w:rsidRPr="00A90CCE" w:rsidRDefault="009471F7" w:rsidP="00140038">
      <w:pPr>
        <w:spacing w:after="120" w:line="480" w:lineRule="auto"/>
        <w:ind w:firstLine="720"/>
        <w:jc w:val="both"/>
        <w:rPr>
          <w:color w:val="000000" w:themeColor="text1"/>
          <w:lang w:eastAsia="en-GB"/>
        </w:rPr>
      </w:pPr>
      <w:r w:rsidRPr="00A90CCE">
        <w:rPr>
          <w:color w:val="000000" w:themeColor="text1"/>
          <w:lang w:eastAsia="en-GB"/>
        </w:rPr>
        <w:t>This broad demographic shift that encompasses larger numbers of people residing in urban areas across the continent</w:t>
      </w:r>
      <w:r w:rsidR="007B7CF0" w:rsidRPr="00A90CCE">
        <w:rPr>
          <w:color w:val="000000" w:themeColor="text1"/>
          <w:lang w:eastAsia="en-GB"/>
        </w:rPr>
        <w:t xml:space="preserve"> is having important yet often poorly understood political effects on the continent </w:t>
      </w:r>
      <w:r w:rsidR="007B7CF0" w:rsidRPr="00A90CCE">
        <w:rPr>
          <w:color w:val="000000" w:themeColor="text1"/>
          <w:lang w:eastAsia="en-GB"/>
        </w:rPr>
        <w:fldChar w:fldCharType="begin"/>
      </w:r>
      <w:r w:rsidR="007B7CF0" w:rsidRPr="00A90CCE">
        <w:rPr>
          <w:color w:val="000000" w:themeColor="text1"/>
          <w:lang w:eastAsia="en-GB"/>
        </w:rPr>
        <w:instrText xml:space="preserve"> ADDIN ZOTERO_ITEM CSL_CITATION {"citationID":"FpK4ahEc","properties":{"formattedCitation":"(Cheeseman, 2022; Gutheil, 2022; Hoelscher et al., 2023, forthcoming)","plainCitation":"(Cheeseman, 2022; Gutheil, 2022; Hoelscher et al., 2023, forthcoming)","noteIndex":0},"citationItems":[{"id":754,"uris":["http://zotero.org/users/11001446/items/KL4WYCLT"],"itemData":{"id":754,"type":"article-journal","container-title":"African Studies Review","ISSN":"0002-0206","journalAbbreviation":"African Studies Review","note":"publisher: Cambridge University Press","page":"1-21","title":"(Mis) Understanding Urban Africa: Toward A Research Agenda on the Political Impact of Urbanization","author":[{"family":"Cheeseman","given":"Nic"}],"issued":{"date-parts":[["2022"]]}}},{"id":741,"uris":["http://zotero.org/users/11001446/items/BB98WGBI","http://zotero.org/users/11001446/items/4HL8NT8Z"],"itemData":{"id":741,"type":"report","number":"Megatrends Working Paper 3","publisher":"Stiftung Wissenschaft und Politik","title":"The Impact of Urbanisation on Political Regimes in Africa: A Literature Review","author":[{"family":"Gutheil","given":"Lene"}],"issued":{"date-parts":[["2022"]]}}},{"id":737,"uris":["http://zotero.org/users/11001446/items/T2MPEGM8","http://zotero.org/users/11001446/items/BCLLCRKW"],"itemData":{"id":737,"type":"article-journal","container-title":"African Affairs","ISSN":"0001-9909","issue":"488","journalAbbreviation":"African Affairs","note":"publisher: Oxford University Press UK","page":"353-376","title":"Urbanization and political change in Africa","volume":"122","author":[{"family":"Hoelscher","given":"Kristian"},{"family":"Dorward","given":"Nick"},{"family":"Fox","given":"Sean"},{"family":"Lawanson","given":"Taibat"},{"family":"Paller","given":"Jeffrey W"},{"family":"Phillips","given":"Melanie L"}],"issued":{"date-parts":[["2023"]]}}},{"id":989,"uris":["http://zotero.org/users/11001446/items/P63E4GUP"],"itemData":{"id":989,"type":"article-journal","container-title":"World Development","title":"Political Change in African Cities: Transforming State-Society Relations","author":[{"family":"Hoelscher","given":"Kristian"},{"family":"Lawanson","given":"Taibat"},{"family":"Paller","given":"Jeffrey W"}],"issued":{"literal":"forthcoming"}}}],"schema":"https://github.com/citation-style-language/schema/raw/master/csl-citation.json"} </w:instrText>
      </w:r>
      <w:r w:rsidR="007B7CF0" w:rsidRPr="00A90CCE">
        <w:rPr>
          <w:color w:val="000000" w:themeColor="text1"/>
          <w:lang w:eastAsia="en-GB"/>
        </w:rPr>
        <w:fldChar w:fldCharType="separate"/>
      </w:r>
      <w:r w:rsidR="007B7CF0" w:rsidRPr="00A90CCE">
        <w:t>(Cheeseman, 2022; Gutheil, 2022; Hoelscher et al., 2023)</w:t>
      </w:r>
      <w:r w:rsidR="007B7CF0" w:rsidRPr="00A90CCE">
        <w:rPr>
          <w:color w:val="000000" w:themeColor="text1"/>
          <w:lang w:eastAsia="en-GB"/>
        </w:rPr>
        <w:fldChar w:fldCharType="end"/>
      </w:r>
      <w:r w:rsidR="007B7CF0" w:rsidRPr="00A90CCE">
        <w:rPr>
          <w:color w:val="000000" w:themeColor="text1"/>
          <w:lang w:eastAsia="en-GB"/>
        </w:rPr>
        <w:t>.</w:t>
      </w:r>
      <w:r w:rsidRPr="00A90CCE">
        <w:rPr>
          <w:color w:val="000000" w:themeColor="text1"/>
          <w:lang w:eastAsia="en-GB"/>
        </w:rPr>
        <w:t xml:space="preserve"> </w:t>
      </w:r>
      <w:r w:rsidR="007B7CF0" w:rsidRPr="00A90CCE">
        <w:rPr>
          <w:color w:val="000000" w:themeColor="text1"/>
          <w:lang w:eastAsia="en-GB"/>
        </w:rPr>
        <w:t xml:space="preserve">It has also </w:t>
      </w:r>
      <w:r w:rsidRPr="00A90CCE">
        <w:rPr>
          <w:color w:val="000000" w:themeColor="text1"/>
          <w:lang w:eastAsia="en-GB"/>
        </w:rPr>
        <w:t xml:space="preserve">been of keen interest to political demographers for decades, with particular emphasis placed on the developmental and security implications of large urban youth cohorts </w:t>
      </w:r>
      <w:r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{"citationID":"cNM7V472","properties":{"formattedCitation":"(Goldstone, 2002; Urdal, 2006)","plainCitation":"(Goldstone, 2002; Urdal, 2006)","noteIndex":0},"citationItems":[{"id":448,"uris":["http://zotero.org/users/11001446/items/TAKWEDUB"],"itemData":{"id":448,"type":"article-journal","container-title":"Journal of international affairs","ISSN":"0022-197X","journalAbbreviation":"Journal of international affairs","note":"publisher: JSTOR","page":"3-21","title":"Population and security: How demographic change can lead to violent conflict","author":[{"family":"Goldstone","given":"Jack A"}],"issued":{"date-parts":[["2002"]]}}},{"id":710,"uris":["http://zotero.org/users/11001446/items/TCXHZPSQ"],"itemData":{"id":710,"type":"article-journal","abstract":"[It has frequently been suggested that exceptionally large youth cohorts, the so-called \"youth bulges,\" make countries more susceptible to political violence. Within two prominent theoretical frameworks in the study of civil war, youth bulges are argued to potentially increase both opportunities and motives for political violence. This claim is empirically tested in a time-series cross-national statistical model for internal armed conflict for the period 1950-2000, and for event data for terrorism and rioting for the years 1984-1995. The expectation that youth bulges should increase the risk of political violence receives robust support for all three forms of violence. The results are consistent both with an expectation that youth bulges provide greater opportunities for violence through the abundant supply of youths with low opportunity costs, and with an expectation that stronger motives for violence may arise as youth bulges are more likely to experience institutional crowding, in particular unemployment. Some contextual factors have been suggested to potentially enhance the effect of youth bulges. In an empirical test of these propositions, the study suggests that youth bulges are particularly associated with an increasing risk of internal armed conflict in starkly autocratic regimes, but a similar effect is also found for highly democratic countries. The interaction of youth bulges with economic decline and expansion in higher education appear to increase the risk of terrorism but not of rioting. Recent studies in economic demography find that when fertility is sharply decreasing, causing lower dependency ratios, large youth cohorts entering the labor market may lead to economic boosts. This study finds some empirical evidence complementing these results, indicating that the effect of youth bulges on political violence may decline along with reduced dependency ratios.]","archive":"JSTOR","container-title":"International Studies Quarterly","ISSN":"00208833, 14682478","issue":"3","note":"publisher: [International Studies Association, Wiley]","page":"607-629","title":"A Clash of Generations? Youth Bulges and Political Violence","volume":"50","author":[{"family":"Urdal","given":"Henrik"}],"issued":{"date-parts":[["2006"]]}}}],"schema":"https://github.com/citation-style-language/schema/raw/master/csl-citation.json"} </w:instrText>
      </w:r>
      <w:r w:rsidRPr="00A90CCE">
        <w:rPr>
          <w:color w:val="000000" w:themeColor="text1"/>
          <w:lang w:eastAsia="en-GB"/>
        </w:rPr>
        <w:fldChar w:fldCharType="separate"/>
      </w:r>
      <w:r w:rsidRPr="00A90CCE">
        <w:t>(Goldstone, 2002; Urdal, 2006)</w:t>
      </w:r>
      <w:r w:rsidRPr="00A90CCE">
        <w:rPr>
          <w:color w:val="000000" w:themeColor="text1"/>
          <w:lang w:eastAsia="en-GB"/>
        </w:rPr>
        <w:fldChar w:fldCharType="end"/>
      </w:r>
      <w:r w:rsidRPr="00A90CCE">
        <w:rPr>
          <w:color w:val="000000" w:themeColor="text1"/>
          <w:lang w:eastAsia="en-GB"/>
        </w:rPr>
        <w:t>.</w:t>
      </w:r>
      <w:r w:rsidR="00140038" w:rsidRPr="00A90CCE">
        <w:rPr>
          <w:color w:val="000000" w:themeColor="text1"/>
          <w:lang w:eastAsia="en-GB"/>
        </w:rPr>
        <w:t xml:space="preserve"> </w:t>
      </w:r>
      <w:r w:rsidRPr="00A90CCE">
        <w:rPr>
          <w:color w:val="000000" w:themeColor="text1"/>
          <w:lang w:eastAsia="en-GB"/>
        </w:rPr>
        <w:t xml:space="preserve">Yet youthful urban populations also have implications for broader political participation, particularly in relation to how </w:t>
      </w:r>
      <w:r w:rsidR="00140038" w:rsidRPr="00A90CCE">
        <w:rPr>
          <w:color w:val="000000" w:themeColor="text1"/>
          <w:lang w:eastAsia="en-GB"/>
        </w:rPr>
        <w:t>young people</w:t>
      </w:r>
      <w:r w:rsidRPr="00A90CCE">
        <w:rPr>
          <w:color w:val="000000" w:themeColor="text1"/>
          <w:lang w:eastAsia="en-GB"/>
        </w:rPr>
        <w:t xml:space="preserve"> will be appealed to by political actors, or how they will engage with formal modes of politics </w:t>
      </w:r>
      <w:r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{"citationID":"o0ZPC79I","properties":{"formattedCitation":"(Gutheil, 2022; Hoelscher et al., 2023)","plainCitation":"(Gutheil, 2022; Hoelscher et al., 2023)","noteIndex":0},"citationItems":[{"id":741,"uris":["http://zotero.org/users/11001446/items/BB98WGBI","http://zotero.org/users/11001446/items/4HL8NT8Z"],"itemData":{"id":741,"type":"report","number":"Megatrends Working Paper 3","publisher":"Stiftung Wissenschaft und Politik","title":"The Impact of Urbanisation on Political Regimes in Africa: A Literature Review","author":[{"family":"Gutheil","given":"Lene"}],"issued":{"date-parts":[["2022"]]}}},{"id":737,"uris":["http://zotero.org/users/11001446/items/T2MPEGM8","http://zotero.org/users/11001446/items/BCLLCRKW"],"itemData":{"id":737,"type":"article-journal","container-title":"African Affairs","ISSN":"0001-9909","issue":"488","journalAbbreviation":"African Affairs","note":"publisher: Oxford University Press UK","page":"353-376","title":"Urbanization and political change in Africa","volume":"122","author":[{"family":"Hoelscher","given":"Kristian"},{"family":"Dorward","given":"Nick"},{"family":"Fox","given":"Sean"},{"family":"Lawanson","given":"Taibat"},{"family":"Paller","given":"Jeffrey W"},{"family":"Phillips","given":"Melanie L"}],"issued":{"date-parts":[["2023"]]}}}],"schema":"https://github.com/citation-style-language/schema/raw/master/csl-citation.json"} </w:instrText>
      </w:r>
      <w:r w:rsidRPr="00A90CCE">
        <w:rPr>
          <w:color w:val="000000" w:themeColor="text1"/>
          <w:lang w:eastAsia="en-GB"/>
        </w:rPr>
        <w:fldChar w:fldCharType="separate"/>
      </w:r>
      <w:r w:rsidR="00C04FDD" w:rsidRPr="00A90CCE">
        <w:t>(Gutheil, 2022; Hoelscher et al., 2023)</w:t>
      </w:r>
      <w:r w:rsidRPr="00A90CCE">
        <w:rPr>
          <w:color w:val="000000" w:themeColor="text1"/>
          <w:lang w:eastAsia="en-GB"/>
        </w:rPr>
        <w:fldChar w:fldCharType="end"/>
      </w:r>
      <w:r w:rsidRPr="00A90CCE">
        <w:rPr>
          <w:color w:val="000000" w:themeColor="text1"/>
          <w:lang w:eastAsia="en-GB"/>
        </w:rPr>
        <w:t xml:space="preserve">. </w:t>
      </w:r>
    </w:p>
    <w:p w14:paraId="7D1EC28F" w14:textId="4F5BD22B" w:rsidR="009471F7" w:rsidRPr="00A90CCE" w:rsidRDefault="009471F7" w:rsidP="009471F7">
      <w:pPr>
        <w:spacing w:after="120" w:line="480" w:lineRule="auto"/>
        <w:ind w:firstLine="720"/>
        <w:jc w:val="both"/>
        <w:rPr>
          <w:color w:val="000000" w:themeColor="text1"/>
          <w:lang w:eastAsia="en-GB"/>
        </w:rPr>
      </w:pPr>
      <w:r w:rsidRPr="00A90CCE">
        <w:rPr>
          <w:color w:val="000000" w:themeColor="text1"/>
          <w:lang w:eastAsia="en-GB"/>
        </w:rPr>
        <w:t xml:space="preserve">An extensive literature has since examined the nexus between youth and political participation and mobilisation in Africa, offering a relatively consistent theorisation of why age and demographic structure may matter for formal and informal modes of political behaviour. </w:t>
      </w:r>
      <w:r w:rsidRPr="00A90CCE">
        <w:rPr>
          <w:color w:val="000000" w:themeColor="text1"/>
          <w:lang w:eastAsia="en-GB"/>
        </w:rPr>
        <w:lastRenderedPageBreak/>
        <w:t xml:space="preserve">Broadly, large youth cohorts in urban areas </w:t>
      </w:r>
      <w:r w:rsidR="00E53574" w:rsidRPr="00A90CCE">
        <w:rPr>
          <w:color w:val="000000" w:themeColor="text1"/>
          <w:lang w:eastAsia="en-GB"/>
        </w:rPr>
        <w:t xml:space="preserve">are thought to </w:t>
      </w:r>
      <w:r w:rsidRPr="00A90CCE">
        <w:rPr>
          <w:color w:val="000000" w:themeColor="text1"/>
          <w:lang w:eastAsia="en-GB"/>
        </w:rPr>
        <w:t>face crowded labour markets and limited economic opportunities, shap</w:t>
      </w:r>
      <w:r w:rsidR="0023569D" w:rsidRPr="00A90CCE">
        <w:rPr>
          <w:color w:val="000000" w:themeColor="text1"/>
          <w:lang w:eastAsia="en-GB"/>
        </w:rPr>
        <w:t>ing</w:t>
      </w:r>
      <w:r w:rsidRPr="00A90CCE">
        <w:rPr>
          <w:color w:val="000000" w:themeColor="text1"/>
          <w:lang w:eastAsia="en-GB"/>
        </w:rPr>
        <w:t xml:space="preserve"> grievances toward formal political institutions that will</w:t>
      </w:r>
      <w:r w:rsidR="0023569D" w:rsidRPr="00A90CCE">
        <w:rPr>
          <w:color w:val="000000" w:themeColor="text1"/>
          <w:lang w:eastAsia="en-GB"/>
        </w:rPr>
        <w:t>:</w:t>
      </w:r>
      <w:r w:rsidRPr="00A90CCE">
        <w:rPr>
          <w:color w:val="000000" w:themeColor="text1"/>
          <w:lang w:eastAsia="en-GB"/>
        </w:rPr>
        <w:t xml:space="preserve"> (</w:t>
      </w:r>
      <w:proofErr w:type="spellStart"/>
      <w:r w:rsidRPr="00A90CCE">
        <w:rPr>
          <w:color w:val="000000" w:themeColor="text1"/>
          <w:lang w:eastAsia="en-GB"/>
        </w:rPr>
        <w:t>i</w:t>
      </w:r>
      <w:proofErr w:type="spellEnd"/>
      <w:r w:rsidRPr="00A90CCE">
        <w:rPr>
          <w:color w:val="000000" w:themeColor="text1"/>
          <w:lang w:eastAsia="en-GB"/>
        </w:rPr>
        <w:t xml:space="preserve">) decrease the likelihood of formal political participation through voting </w:t>
      </w:r>
      <w:r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{"citationID":"zMEquSiO","properties":{"formattedCitation":"(Resnick &amp; Casale, 2014)","plainCitation":"(Resnick &amp; Casale, 2014)","noteIndex":0},"citationItems":[{"id":714,"uris":["http://zotero.org/users/11001446/items/S2S2K76V"],"itemData":{"id":714,"type":"article-journal","abstract":"Why do young Africans participate less in elections than their older counterparts? Given Africa's growing youth bulge, this constituency represents a numerically important voting bloc, and their lower participation in elections could undermine the legitimacy of the region's democratic trajectory. We address this question through a multi-level model that relies on individual-level data from the Afrobarometer surveys and country-level data for 19 of the region's more democratic countries. We classify Africa's youth as belonging to two categories, those aged 18–24 and those aged 25–35. We find that key determinants of the youth's voting behaviour include their access to political knowledge and information as well as their perceptions of the electoral context and party system. In the latter regard, the efficacy and fairness of elections and the degree of partisanship increase the youth's decision to vote, while the length of party incumbency is a deterrent to turnout. These findings hold important implication...","container-title":"Democratization","DOI":"10.1080/13510347.2013.793673","issue":"6","note":"DOI: 10.1080/13510347.2013.793673\nMAG ID: 2035517204","page":"1172-1194","title":"Young populations in young democracies: generational voting behaviour in sub-Saharan Africa","volume":"21","author":[{"family":"Resnick","given":"Danielle"},{"family":"Casale","given":"Daniela"}],"issued":{"date-parts":[["2014",11,11]]}}}],"schema":"https://github.com/citation-style-language/schema/raw/master/csl-citation.json"} </w:instrText>
      </w:r>
      <w:r w:rsidRPr="00A90CCE">
        <w:rPr>
          <w:color w:val="000000" w:themeColor="text1"/>
          <w:lang w:eastAsia="en-GB"/>
        </w:rPr>
        <w:fldChar w:fldCharType="separate"/>
      </w:r>
      <w:r w:rsidR="00C04FDD" w:rsidRPr="00A90CCE">
        <w:t>(Resnick &amp; Casale, 2014)</w:t>
      </w:r>
      <w:r w:rsidRPr="00A90CCE">
        <w:rPr>
          <w:color w:val="000000" w:themeColor="text1"/>
          <w:lang w:eastAsia="en-GB"/>
        </w:rPr>
        <w:fldChar w:fldCharType="end"/>
      </w:r>
      <w:r w:rsidRPr="00A90CCE">
        <w:rPr>
          <w:color w:val="000000" w:themeColor="text1"/>
          <w:lang w:eastAsia="en-GB"/>
        </w:rPr>
        <w:t xml:space="preserve">, and (ii) increase the likelihood of informal political participation through protest mobilisation </w:t>
      </w:r>
      <w:r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{"citationID":"BMA3Q0KD","properties":{"formattedCitation":"(Branch &amp; Mampilly, 2015; Resnick &amp; Casale, 2011)","plainCitation":"(Branch &amp; Mampilly, 2015; Resnick &amp; Casale, 2011)","noteIndex":0},"citationItems":[{"id":759,"uris":["http://zotero.org/users/11001446/items/2LXB5G2Y"],"itemData":{"id":759,"type":"book","ISBN":"1-78360-000-4","publisher":"Bloomsbury Publishing","title":"Africa uprising: Popular protest and political change","author":[{"family":"Branch","given":"Adam"},{"family":"Mampilly","given":"Zachariah"}],"issued":{"date-parts":[["2015"]]}}},{"id":537,"uris":["http://zotero.org/users/11001446/items/TEUUI625"],"itemData":{"id":537,"type":"article-journal","abstract":"The youth have long represented an important constituency for electoral mobilization in Africa. Today, as the region faces a growing 'youth bulge' that is disproportionately burdened by un- and underemployment, capturing the votes of this demographic is becoming more important than ever before. Yet, despite their numerical importance and the historical relevance of generational identities within the region, very little is really known about the political participation of Africa's youth.","note":"MAG ID: 759050973","title":"The political participation of Africa's youth: Turnout, partisanship, and protest","author":[{"family":"Resnick","given":"Danielle"},{"family":"Casale","given":"Daniela"}],"issued":{"date-parts":[["2011",9,1]]}}}],"schema":"https://github.com/citation-style-language/schema/raw/master/csl-citation.json"} </w:instrText>
      </w:r>
      <w:r w:rsidRPr="00A90CCE">
        <w:rPr>
          <w:color w:val="000000" w:themeColor="text1"/>
          <w:lang w:eastAsia="en-GB"/>
        </w:rPr>
        <w:fldChar w:fldCharType="separate"/>
      </w:r>
      <w:r w:rsidR="00C04FDD" w:rsidRPr="00A90CCE">
        <w:t>(Branch &amp; Mampilly, 2015; Resnick &amp; Casale, 2011)</w:t>
      </w:r>
      <w:r w:rsidRPr="00A90CCE">
        <w:rPr>
          <w:color w:val="000000" w:themeColor="text1"/>
          <w:lang w:eastAsia="en-GB"/>
        </w:rPr>
        <w:fldChar w:fldCharType="end"/>
      </w:r>
      <w:r w:rsidRPr="00A90CCE">
        <w:rPr>
          <w:color w:val="000000" w:themeColor="text1"/>
          <w:lang w:eastAsia="en-GB"/>
        </w:rPr>
        <w:t xml:space="preserve">.  The implication is that as Africa urbanises and population structures become </w:t>
      </w:r>
      <w:r w:rsidR="00500D63" w:rsidRPr="00A90CCE">
        <w:rPr>
          <w:color w:val="000000" w:themeColor="text1"/>
          <w:lang w:eastAsia="en-GB"/>
        </w:rPr>
        <w:t>younger;</w:t>
      </w:r>
      <w:r w:rsidRPr="00A90CCE">
        <w:rPr>
          <w:color w:val="000000" w:themeColor="text1"/>
          <w:lang w:eastAsia="en-GB"/>
        </w:rPr>
        <w:t xml:space="preserve"> protest will increase while voting intention will wane</w:t>
      </w:r>
      <w:r w:rsidR="007B7CF0" w:rsidRPr="00A90CCE">
        <w:rPr>
          <w:color w:val="000000" w:themeColor="text1"/>
          <w:lang w:eastAsia="en-GB"/>
        </w:rPr>
        <w:t xml:space="preserve">. </w:t>
      </w:r>
    </w:p>
    <w:p w14:paraId="201AD725" w14:textId="1880DDB8" w:rsidR="009471F7" w:rsidRPr="00A90CCE" w:rsidRDefault="00500D63" w:rsidP="007B7CF0">
      <w:pPr>
        <w:spacing w:after="120" w:line="480" w:lineRule="auto"/>
        <w:ind w:firstLine="720"/>
        <w:jc w:val="both"/>
        <w:rPr>
          <w:color w:val="000000" w:themeColor="text1"/>
          <w:lang w:eastAsia="en-GB"/>
        </w:rPr>
      </w:pPr>
      <w:r w:rsidRPr="00A90CCE">
        <w:rPr>
          <w:color w:val="000000" w:themeColor="text1"/>
          <w:lang w:eastAsia="en-GB"/>
        </w:rPr>
        <w:t>Many of</w:t>
      </w:r>
      <w:r w:rsidR="009471F7" w:rsidRPr="00A90CCE">
        <w:rPr>
          <w:color w:val="000000" w:themeColor="text1"/>
          <w:lang w:eastAsia="en-GB"/>
        </w:rPr>
        <w:t xml:space="preserve"> </w:t>
      </w:r>
      <w:r w:rsidR="006C077E" w:rsidRPr="00A90CCE">
        <w:rPr>
          <w:color w:val="000000" w:themeColor="text1"/>
          <w:lang w:eastAsia="en-GB"/>
        </w:rPr>
        <w:t xml:space="preserve">these </w:t>
      </w:r>
      <w:r w:rsidR="009471F7" w:rsidRPr="00A90CCE">
        <w:rPr>
          <w:color w:val="000000" w:themeColor="text1"/>
          <w:lang w:eastAsia="en-GB"/>
        </w:rPr>
        <w:t xml:space="preserve">studies examining the relationship between urbanisation, demographic structure, and political mobilisation and participation do so in one of two ways. One strand of literature has </w:t>
      </w:r>
      <w:r w:rsidR="00B557F0" w:rsidRPr="00A90CCE">
        <w:rPr>
          <w:color w:val="000000" w:themeColor="text1"/>
          <w:lang w:eastAsia="en-GB"/>
        </w:rPr>
        <w:t>examined youthful demographic composition and in/formal political behaviour (e.g. voting</w:t>
      </w:r>
      <w:r w:rsidR="00E53574" w:rsidRPr="00A90CCE">
        <w:rPr>
          <w:color w:val="000000" w:themeColor="text1"/>
          <w:lang w:eastAsia="en-GB"/>
        </w:rPr>
        <w:t>/</w:t>
      </w:r>
      <w:r w:rsidR="00B557F0" w:rsidRPr="00A90CCE">
        <w:rPr>
          <w:color w:val="000000" w:themeColor="text1"/>
          <w:lang w:eastAsia="en-GB"/>
        </w:rPr>
        <w:t xml:space="preserve">protest) </w:t>
      </w:r>
      <w:r w:rsidR="009471F7" w:rsidRPr="00A90CCE">
        <w:rPr>
          <w:color w:val="000000" w:themeColor="text1"/>
          <w:lang w:eastAsia="en-GB"/>
        </w:rPr>
        <w:t>primarily us</w:t>
      </w:r>
      <w:r w:rsidR="00B557F0" w:rsidRPr="00A90CCE">
        <w:rPr>
          <w:color w:val="000000" w:themeColor="text1"/>
          <w:lang w:eastAsia="en-GB"/>
        </w:rPr>
        <w:t>ing</w:t>
      </w:r>
      <w:r w:rsidR="009471F7" w:rsidRPr="00A90CCE">
        <w:rPr>
          <w:color w:val="000000" w:themeColor="text1"/>
          <w:lang w:eastAsia="en-GB"/>
        </w:rPr>
        <w:t xml:space="preserve"> national level data </w:t>
      </w:r>
      <w:r w:rsidR="009471F7" w:rsidRPr="00A90CCE">
        <w:rPr>
          <w:color w:val="000000" w:themeColor="text1"/>
          <w:lang w:eastAsia="en-GB"/>
        </w:rPr>
        <w:fldChar w:fldCharType="begin"/>
      </w:r>
      <w:r w:rsidR="00B557F0" w:rsidRPr="00A90CCE">
        <w:rPr>
          <w:color w:val="000000" w:themeColor="text1"/>
          <w:lang w:eastAsia="en-GB"/>
        </w:rPr>
        <w:instrText xml:space="preserve"> ADDIN ZOTERO_ITEM CSL_CITATION {"citationID":"m1UuuJwc","properties":{"formattedCitation":"(Resnick &amp; Casale, 2011, 2014; Thomson et al., 2021; Urdal &amp; Hoelscher, 2012)","plainCitation":"(Resnick &amp; Casale, 2011, 2014; Thomson et al., 2021; Urdal &amp; Hoelscher, 2012)","noteIndex":0},"citationItems":[{"id":537,"uris":["http://zotero.org/users/11001446/items/TEUUI625"],"itemData":{"id":537,"type":"article-journal","abstract":"The youth have long represented an important constituency for electoral mobilization in Africa. Today, as the region faces a growing 'youth bulge' that is disproportionately burdened by un- and underemployment, capturing the votes of this demographic is becoming more important than ever before. Yet, despite their numerical importance and the historical relevance of generational identities within the region, very little is really known about the political participation of Africa's youth.","note":"MAG ID: 759050973","title":"The political participation of Africa's youth: Turnout, partisanship, and protest","author":[{"family":"Resnick","given":"Danielle"},{"family":"Casale","given":"Daniela"}],"issued":{"date-parts":[["2011",9,1]]}}},{"id":714,"uris":["http://zotero.org/users/11001446/items/S2S2K76V"],"itemData":{"id":714,"type":"article-journal","abstract":"Why do young Africans participate less in elections than their older counterparts? Given Africa's growing youth bulge, this constituency represents a numerically important voting bloc, and their lower participation in elections could undermine the legitimacy of the region's democratic trajectory. We address this question through a multi-level model that relies on individual-level data from the Afrobarometer surveys and country-level data for 19 of the region's more democratic countries. We classify Africa's youth as belonging to two categories, those aged 18–24 and those aged 25–35. We find that key determinants of the youth's voting behaviour include their access to political knowledge and information as well as their perceptions of the electoral context and party system. In the latter regard, the efficacy and fairness of elections and the degree of partisanship increase the youth's decision to vote, while the length of party incumbency is a deterrent to turnout. These findings hold important implication...","container-title":"Democratization","DOI":"10.1080/13510347.2013.793673","issue":"6","note":"DOI: 10.1080/13510347.2013.793673\nMAG ID: 2035517204","page":"1172-1194","title":"Young populations in young democracies: generational voting behaviour in sub-Saharan Africa","volume":"21","author":[{"family":"Resnick","given":"Danielle"},{"family":"Casale","given":"Daniela"}],"issued":{"date-parts":[["2014",11,11]]}}},{"id":435,"uris":["http://zotero.org/users/11001446/items/J5Y5HKZ9"],"itemData":{"id":435,"type":"article-journal","container-title":"Democratization","DOI":"10.1080/13510347.2021.1944117","ISSN":"1351-0347","issue":"8","journalAbbreviation":"Democratization","note":"publisher: Routledge","page":"1525-1544","title":"Group organization, elections and urban political mobilization in the developing world","volume":"28","author":[{"family":"Thomson","given":"Henry"},{"family":"Buhaug","given":"Halvard"},{"family":"Urdal","given":"Henrik"},{"family":"Rosvold","given":"Elisabeth"}],"issued":{"date-parts":[["2021",11,17]]}}},{"id":709,"uris":["http://zotero.org/users/11001446/items/QTKVARDX"],"itemData":{"id":709,"type":"article-journal","abstract":"By 2050, two thirds of the world's population will live in cities, and the greatest growth in urban populations will take place in the least developed countries. This presents many governments with considerable challenges related to urban governance and the provision of services and opportunities to a burgeoning urban population. In the current article, we use a new event dataset on city-level urban social disorder, drawing upon prominent theories in the conflict literature. The dataset spans the 1960–2009 period, covering 55 major cities in Asia and Sub-Saharan Africa and includes data on nonviolent actions such as demonstrations and strikes and violent political actions like riots, terrorism, and armed conflict. We find that urban social disorder is associated in particular with low economic growth rates and hybrid democratic regimes, while level of development, economic inequality, large youth bulges, and economic globalization do not seem to affect levels of urban social disorder.","container-title":"International Interactions","DOI":"10.1080/03050629.2012.697427","issue":"4","note":"DOI: 10.1080/03050629.2012.697427\nMAG ID: 2118526648\nS2ID: ac63fcf808779b6b536f8d8b00c565d7c3f382c5","page":"512-528","title":"Explaining Urban Social Disorder and Violence: An Empirical Study of Event Data from Asian and Sub-Saharan African Cities","volume":"38","author":[{"family":"Urdal","given":"Henrik"},{"family":"Hoelscher","given":"Kristian"}],"issued":{"date-parts":[["2012",6,4]]}}}],"schema":"https://github.com/citation-style-language/schema/raw/master/csl-citation.json"} </w:instrText>
      </w:r>
      <w:r w:rsidR="009471F7" w:rsidRPr="00A90CCE">
        <w:rPr>
          <w:color w:val="000000" w:themeColor="text1"/>
          <w:lang w:eastAsia="en-GB"/>
        </w:rPr>
        <w:fldChar w:fldCharType="separate"/>
      </w:r>
      <w:r w:rsidR="00B557F0" w:rsidRPr="00A90CCE">
        <w:t>(Resnick &amp; Casale, 2011, 2014; Thomson et al., 2021; Urdal &amp; Hoelscher, 2012)</w:t>
      </w:r>
      <w:r w:rsidR="009471F7" w:rsidRPr="00A90CCE">
        <w:rPr>
          <w:color w:val="000000" w:themeColor="text1"/>
          <w:lang w:eastAsia="en-GB"/>
        </w:rPr>
        <w:fldChar w:fldCharType="end"/>
      </w:r>
      <w:r w:rsidR="00B557F0" w:rsidRPr="00A90CCE">
        <w:rPr>
          <w:color w:val="000000" w:themeColor="text1"/>
          <w:lang w:eastAsia="en-GB"/>
        </w:rPr>
        <w:t>.</w:t>
      </w:r>
      <w:r w:rsidR="009471F7" w:rsidRPr="00A90CCE">
        <w:rPr>
          <w:color w:val="000000" w:themeColor="text1"/>
          <w:lang w:eastAsia="en-GB"/>
        </w:rPr>
        <w:t xml:space="preserve"> A second body of literature has used individual level survey data to focus more exclusively upon the behaviours of individual respondents </w:t>
      </w:r>
      <w:r w:rsidR="009471F7"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{"citationID":"qNN3xKWK","properties":{"formattedCitation":"(Reichenberg &amp; Tambe, 2022; Schmiedl &amp; Lioy, 2024; Tambe &amp; Kopacheva, 2023)","plainCitation":"(Reichenberg &amp; Tambe, 2022; Schmiedl &amp; Lioy, 2024; Tambe &amp; Kopacheva, 2023)","noteIndex":0},"citationItems":[{"id":183,"uris":["http://zotero.org/users/11001446/items/LEBCIMNM"],"itemData":{"id":183,"type":"article-journal","container-title":"International Journal of Sociology","ISSN":"0020-7659","issue":"2","journalAbbreviation":"International Journal of Sociology","note":"publisher: Taylor &amp; Francis","page":"156-177","title":"The political sociology of voting participation in Southern Africa: A multilevel study of regional and social class predictors in 11 countries","volume":"52","author":[{"family":"Reichenberg","given":"Olof"},{"family":"Tambe","given":"Elvis Bisong"}],"issued":{"date-parts":[["2022"]]}}},{"id":182,"uris":["http://zotero.org/users/11001446/items/N6STPM4I"],"itemData":{"id":182,"type":"article-journal","container-title":"Political Studies Review","ISSN":"1478-9299","journalAbbreviation":"Political Studies Review","note":"publisher: SAGE Publications Sage UK: London, England","page":"14789299241239913","title":"Patterns of Protest in Contemporary Africa: An Empirical Investigation of Regional Trends Employing Multiple Imputation","author":[{"family":"Schmiedl","given":"Martin"},{"family":"Lioy","given":"Alberto"}],"issued":{"date-parts":[["2024"]]}}},{"id":441,"uris":["http://zotero.org/users/11001446/items/EY3GADXR"],"itemData":{"id":441,"type":"article-journal","container-title":"Representation","DOI":"10.1080/00344893.2023.2173281","ISSN":"0034-4893","journalAbbreviation":"Representation","note":"publisher: Routledge","page":"1-19","title":"Age and Political Participation in Africa’s Electoral Regimes","author":[{"family":"Tambe","given":"Elvis Bisong"},{"family":"Kopacheva","given":"Elizaveta"}],"issued":{"date-parts":[["2023"]]}}}],"schema":"https://github.com/citation-style-language/schema/raw/master/csl-citation.json"} </w:instrText>
      </w:r>
      <w:r w:rsidR="009471F7" w:rsidRPr="00A90CCE">
        <w:rPr>
          <w:color w:val="000000" w:themeColor="text1"/>
          <w:lang w:eastAsia="en-GB"/>
        </w:rPr>
        <w:fldChar w:fldCharType="separate"/>
      </w:r>
      <w:r w:rsidR="009471F7" w:rsidRPr="00A90CCE">
        <w:t>(Reichenberg &amp; Tambe, 2022; Schmiedl &amp; Lioy, 2024; Tambe &amp; Kopacheva, 2023)</w:t>
      </w:r>
      <w:r w:rsidR="009471F7" w:rsidRPr="00A90CCE">
        <w:rPr>
          <w:color w:val="000000" w:themeColor="text1"/>
          <w:lang w:eastAsia="en-GB"/>
        </w:rPr>
        <w:fldChar w:fldCharType="end"/>
      </w:r>
      <w:r w:rsidR="009471F7" w:rsidRPr="00A90CCE">
        <w:rPr>
          <w:color w:val="000000" w:themeColor="text1"/>
          <w:lang w:eastAsia="en-GB"/>
        </w:rPr>
        <w:t xml:space="preserve">, often using country level data to explore variation in individual behaviour across national contexts. Very few studies have explicitly </w:t>
      </w:r>
      <w:r w:rsidR="007B7CF0" w:rsidRPr="00A90CCE">
        <w:rPr>
          <w:color w:val="000000" w:themeColor="text1"/>
          <w:lang w:eastAsia="en-GB"/>
        </w:rPr>
        <w:t xml:space="preserve">pursued a meso-level approach as we do, </w:t>
      </w:r>
      <w:r w:rsidR="009471F7" w:rsidRPr="00A90CCE">
        <w:rPr>
          <w:color w:val="000000" w:themeColor="text1"/>
          <w:lang w:eastAsia="en-GB"/>
        </w:rPr>
        <w:t>examin</w:t>
      </w:r>
      <w:r w:rsidR="007B7CF0" w:rsidRPr="00A90CCE">
        <w:rPr>
          <w:color w:val="000000" w:themeColor="text1"/>
          <w:lang w:eastAsia="en-GB"/>
        </w:rPr>
        <w:t>ing</w:t>
      </w:r>
      <w:r w:rsidR="009471F7" w:rsidRPr="00A90CCE">
        <w:rPr>
          <w:color w:val="000000" w:themeColor="text1"/>
          <w:lang w:eastAsia="en-GB"/>
        </w:rPr>
        <w:t xml:space="preserve"> how the local demographic context of heterogenous African cities is associated with individual political participation. </w:t>
      </w:r>
    </w:p>
    <w:p w14:paraId="511AB817" w14:textId="2CC573EB" w:rsidR="006C077E" w:rsidRPr="00A90CCE" w:rsidRDefault="009471F7" w:rsidP="006C077E">
      <w:pPr>
        <w:spacing w:after="120" w:line="480" w:lineRule="auto"/>
        <w:jc w:val="both"/>
        <w:rPr>
          <w:color w:val="000000" w:themeColor="text1"/>
          <w:lang w:eastAsia="en-GB"/>
        </w:rPr>
      </w:pPr>
      <w:r w:rsidRPr="00A90CCE">
        <w:rPr>
          <w:color w:val="000000" w:themeColor="text1"/>
          <w:lang w:eastAsia="en-GB"/>
        </w:rPr>
        <w:tab/>
        <w:t xml:space="preserve"> However, situating these studies at the city level is important for two key reasons. First, the theoretical mechanisms that link demographic structure and different forms of political participation generally relate to how individuals experience </w:t>
      </w:r>
      <w:r w:rsidRPr="00A90CCE">
        <w:rPr>
          <w:i/>
          <w:iCs/>
          <w:color w:val="000000" w:themeColor="text1"/>
          <w:lang w:eastAsia="en-GB"/>
        </w:rPr>
        <w:t>local</w:t>
      </w:r>
      <w:r w:rsidRPr="00A90CCE">
        <w:rPr>
          <w:color w:val="000000" w:themeColor="text1"/>
          <w:lang w:eastAsia="en-GB"/>
        </w:rPr>
        <w:t xml:space="preserve"> </w:t>
      </w:r>
      <w:r w:rsidR="006C077E" w:rsidRPr="00A90CCE">
        <w:rPr>
          <w:color w:val="000000" w:themeColor="text1"/>
          <w:lang w:eastAsia="en-GB"/>
        </w:rPr>
        <w:t>– not national</w:t>
      </w:r>
      <w:r w:rsidR="00E53574" w:rsidRPr="00A90CCE">
        <w:rPr>
          <w:color w:val="000000" w:themeColor="text1"/>
          <w:lang w:eastAsia="en-GB"/>
        </w:rPr>
        <w:t xml:space="preserve"> </w:t>
      </w:r>
      <w:r w:rsidR="006C077E" w:rsidRPr="00A90CCE">
        <w:rPr>
          <w:color w:val="000000" w:themeColor="text1"/>
          <w:lang w:eastAsia="en-GB"/>
        </w:rPr>
        <w:t xml:space="preserve">– </w:t>
      </w:r>
      <w:r w:rsidRPr="00A90CCE">
        <w:rPr>
          <w:color w:val="000000" w:themeColor="text1"/>
          <w:lang w:eastAsia="en-GB"/>
        </w:rPr>
        <w:t>economic opportunities, service delivery, and political responsiveness. Secondly, as we show in this paper, there is considerable subnational variation in the demographic structure of individual African cities, both within and between countries. As such, treating African cit</w:t>
      </w:r>
      <w:r w:rsidR="006C077E" w:rsidRPr="00A90CCE">
        <w:rPr>
          <w:color w:val="000000" w:themeColor="text1"/>
          <w:lang w:eastAsia="en-GB"/>
        </w:rPr>
        <w:t>i</w:t>
      </w:r>
      <w:r w:rsidRPr="00A90CCE">
        <w:rPr>
          <w:color w:val="000000" w:themeColor="text1"/>
          <w:lang w:eastAsia="en-GB"/>
        </w:rPr>
        <w:t>es as homogenous entities, even within the same country, is imprudent</w:t>
      </w:r>
      <w:r w:rsidR="006C077E" w:rsidRPr="00A90CCE">
        <w:rPr>
          <w:color w:val="000000" w:themeColor="text1"/>
          <w:lang w:eastAsia="en-GB"/>
        </w:rPr>
        <w:t xml:space="preserve">. </w:t>
      </w:r>
      <w:r w:rsidRPr="00A90CCE">
        <w:rPr>
          <w:color w:val="000000" w:themeColor="text1"/>
          <w:lang w:eastAsia="en-GB"/>
        </w:rPr>
        <w:t xml:space="preserve">In </w:t>
      </w:r>
      <w:r w:rsidR="006C077E" w:rsidRPr="00A90CCE">
        <w:rPr>
          <w:color w:val="000000" w:themeColor="text1"/>
          <w:lang w:eastAsia="en-GB"/>
        </w:rPr>
        <w:t xml:space="preserve">aiming </w:t>
      </w:r>
      <w:r w:rsidRPr="00A90CCE">
        <w:rPr>
          <w:color w:val="000000" w:themeColor="text1"/>
          <w:lang w:eastAsia="en-GB"/>
        </w:rPr>
        <w:t xml:space="preserve">to bring further </w:t>
      </w:r>
      <w:r w:rsidRPr="00A90CCE">
        <w:rPr>
          <w:color w:val="000000" w:themeColor="text1"/>
          <w:lang w:eastAsia="en-GB"/>
        </w:rPr>
        <w:lastRenderedPageBreak/>
        <w:t xml:space="preserve">nuance to the literature on the </w:t>
      </w:r>
      <w:r w:rsidR="006C077E" w:rsidRPr="00A90CCE">
        <w:rPr>
          <w:color w:val="000000" w:themeColor="text1"/>
          <w:lang w:eastAsia="en-GB"/>
        </w:rPr>
        <w:t>political demography</w:t>
      </w:r>
      <w:r w:rsidRPr="00A90CCE">
        <w:rPr>
          <w:color w:val="000000" w:themeColor="text1"/>
          <w:lang w:eastAsia="en-GB"/>
        </w:rPr>
        <w:t xml:space="preserve"> of Africa’s rapid urbani</w:t>
      </w:r>
      <w:r w:rsidR="00E53574" w:rsidRPr="00A90CCE">
        <w:rPr>
          <w:color w:val="000000" w:themeColor="text1"/>
          <w:lang w:eastAsia="en-GB"/>
        </w:rPr>
        <w:t>s</w:t>
      </w:r>
      <w:r w:rsidRPr="00A90CCE">
        <w:rPr>
          <w:color w:val="000000" w:themeColor="text1"/>
          <w:lang w:eastAsia="en-GB"/>
        </w:rPr>
        <w:t xml:space="preserve">ation, this paper offers two key empirical and theoretical innovations. </w:t>
      </w:r>
    </w:p>
    <w:p w14:paraId="09748EC8" w14:textId="6282C1F6" w:rsidR="009471F7" w:rsidRPr="00A90CCE" w:rsidRDefault="009471F7" w:rsidP="006C077E">
      <w:pPr>
        <w:spacing w:after="120" w:line="480" w:lineRule="auto"/>
        <w:ind w:firstLine="720"/>
        <w:jc w:val="both"/>
        <w:rPr>
          <w:color w:val="000000" w:themeColor="text1"/>
          <w:lang w:eastAsia="en-GB"/>
        </w:rPr>
      </w:pPr>
      <w:r w:rsidRPr="00A90CCE">
        <w:rPr>
          <w:color w:val="000000" w:themeColor="text1"/>
          <w:lang w:eastAsia="en-GB"/>
        </w:rPr>
        <w:t xml:space="preserve">First, we develop what to our knowledge is the first set of urban population structures at the city level across Africa. Spanning 2000-2020 for </w:t>
      </w:r>
      <w:r w:rsidR="00E53574" w:rsidRPr="00A90CCE">
        <w:rPr>
          <w:color w:val="000000" w:themeColor="text1"/>
          <w:lang w:eastAsia="en-GB"/>
        </w:rPr>
        <w:t>399</w:t>
      </w:r>
      <w:r w:rsidRPr="00A90CCE">
        <w:rPr>
          <w:color w:val="000000" w:themeColor="text1"/>
          <w:lang w:eastAsia="en-GB"/>
        </w:rPr>
        <w:t xml:space="preserve"> African cities in 3</w:t>
      </w:r>
      <w:r w:rsidR="00E53574" w:rsidRPr="00A90CCE">
        <w:rPr>
          <w:color w:val="000000" w:themeColor="text1"/>
          <w:lang w:eastAsia="en-GB"/>
        </w:rPr>
        <w:t>6</w:t>
      </w:r>
      <w:r w:rsidRPr="00A90CCE">
        <w:rPr>
          <w:color w:val="000000" w:themeColor="text1"/>
          <w:lang w:eastAsia="en-GB"/>
        </w:rPr>
        <w:t xml:space="preserve"> countries, we </w:t>
      </w:r>
      <w:r w:rsidR="00E53574" w:rsidRPr="00A90CCE">
        <w:rPr>
          <w:color w:val="000000" w:themeColor="text1"/>
          <w:lang w:eastAsia="en-GB"/>
        </w:rPr>
        <w:t>demonstrate</w:t>
      </w:r>
      <w:r w:rsidRPr="00A90CCE">
        <w:rPr>
          <w:color w:val="000000" w:themeColor="text1"/>
          <w:lang w:eastAsia="en-GB"/>
        </w:rPr>
        <w:t xml:space="preserve"> that cities in Africa are not demographically homogenous </w:t>
      </w:r>
      <w:r w:rsidR="00E53574" w:rsidRPr="00A90CCE">
        <w:rPr>
          <w:color w:val="000000" w:themeColor="text1"/>
          <w:lang w:eastAsia="en-GB"/>
        </w:rPr>
        <w:t>places but</w:t>
      </w:r>
      <w:r w:rsidRPr="00A90CCE">
        <w:rPr>
          <w:color w:val="000000" w:themeColor="text1"/>
          <w:lang w:eastAsia="en-GB"/>
        </w:rPr>
        <w:t xml:space="preserve"> are characterised by diverse population structures. Simply, to understand the political implications of Africa’s urban transition, we </w:t>
      </w:r>
      <w:r w:rsidR="00AC18C7" w:rsidRPr="00A90CCE">
        <w:rPr>
          <w:color w:val="000000" w:themeColor="text1"/>
          <w:lang w:eastAsia="en-GB"/>
        </w:rPr>
        <w:t>must</w:t>
      </w:r>
      <w:r w:rsidRPr="00A90CCE">
        <w:rPr>
          <w:color w:val="000000" w:themeColor="text1"/>
          <w:lang w:eastAsia="en-GB"/>
        </w:rPr>
        <w:t xml:space="preserve"> account for heterogen</w:t>
      </w:r>
      <w:r w:rsidR="00AC18C7" w:rsidRPr="00A90CCE">
        <w:rPr>
          <w:color w:val="000000" w:themeColor="text1"/>
          <w:lang w:eastAsia="en-GB"/>
        </w:rPr>
        <w:t xml:space="preserve">eous urban </w:t>
      </w:r>
      <w:r w:rsidRPr="00A90CCE">
        <w:rPr>
          <w:color w:val="000000" w:themeColor="text1"/>
          <w:lang w:eastAsia="en-GB"/>
        </w:rPr>
        <w:t xml:space="preserve">population structures and how they </w:t>
      </w:r>
      <w:r w:rsidR="00A339A6" w:rsidRPr="00A90CCE">
        <w:rPr>
          <w:color w:val="000000" w:themeColor="text1"/>
          <w:lang w:eastAsia="en-GB"/>
        </w:rPr>
        <w:t xml:space="preserve">may </w:t>
      </w:r>
      <w:r w:rsidRPr="00A90CCE">
        <w:rPr>
          <w:color w:val="000000" w:themeColor="text1"/>
          <w:lang w:eastAsia="en-GB"/>
        </w:rPr>
        <w:t xml:space="preserve">shape individuals’ political participation in specific urban places. </w:t>
      </w:r>
    </w:p>
    <w:p w14:paraId="6AFB8E2B" w14:textId="5E648BE4" w:rsidR="00A339A6" w:rsidRPr="00A90CCE" w:rsidRDefault="009471F7" w:rsidP="009471F7">
      <w:pPr>
        <w:spacing w:after="120" w:line="480" w:lineRule="auto"/>
        <w:ind w:firstLine="720"/>
        <w:jc w:val="both"/>
        <w:rPr>
          <w:color w:val="000000" w:themeColor="text1"/>
          <w:lang w:eastAsia="en-GB"/>
        </w:rPr>
      </w:pPr>
      <w:r w:rsidRPr="00A90CCE">
        <w:rPr>
          <w:color w:val="000000" w:themeColor="text1"/>
          <w:lang w:eastAsia="en-GB"/>
        </w:rPr>
        <w:t xml:space="preserve">Second, </w:t>
      </w:r>
      <w:r w:rsidR="00AC18C7" w:rsidRPr="00A90CCE">
        <w:rPr>
          <w:color w:val="000000" w:themeColor="text1"/>
          <w:lang w:eastAsia="en-GB"/>
        </w:rPr>
        <w:t xml:space="preserve">in taking a place-based </w:t>
      </w:r>
      <w:r w:rsidR="00E53574" w:rsidRPr="00A90CCE">
        <w:rPr>
          <w:color w:val="000000" w:themeColor="text1"/>
          <w:lang w:eastAsia="en-GB"/>
        </w:rPr>
        <w:t>perspective on</w:t>
      </w:r>
      <w:r w:rsidR="00AC18C7" w:rsidRPr="00A90CCE">
        <w:rPr>
          <w:color w:val="000000" w:themeColor="text1"/>
          <w:lang w:eastAsia="en-GB"/>
        </w:rPr>
        <w:t xml:space="preserve"> the politics of African urbani</w:t>
      </w:r>
      <w:r w:rsidR="00E53574" w:rsidRPr="00A90CCE">
        <w:rPr>
          <w:color w:val="000000" w:themeColor="text1"/>
          <w:lang w:eastAsia="en-GB"/>
        </w:rPr>
        <w:t>s</w:t>
      </w:r>
      <w:r w:rsidR="00AC18C7" w:rsidRPr="00A90CCE">
        <w:rPr>
          <w:color w:val="000000" w:themeColor="text1"/>
          <w:lang w:eastAsia="en-GB"/>
        </w:rPr>
        <w:t xml:space="preserve">ation </w:t>
      </w:r>
      <w:r w:rsidR="00AC18C7" w:rsidRPr="00A90CCE">
        <w:rPr>
          <w:color w:val="000000" w:themeColor="text1"/>
          <w:lang w:eastAsia="en-GB"/>
        </w:rPr>
        <w:fldChar w:fldCharType="begin"/>
      </w:r>
      <w:r w:rsidR="00AC18C7" w:rsidRPr="00A90CCE">
        <w:rPr>
          <w:color w:val="000000" w:themeColor="text1"/>
          <w:lang w:eastAsia="en-GB"/>
        </w:rPr>
        <w:instrText xml:space="preserve"> ADDIN ZOTERO_ITEM CSL_CITATION {"citationID":"w03q0SQO","properties":{"formattedCitation":"(Hoelscher et al., 2023, forthcoming)","plainCitation":"(Hoelscher et al., 2023, forthcoming)","noteIndex":0},"citationItems":[{"id":737,"uris":["http://zotero.org/users/11001446/items/T2MPEGM8","http://zotero.org/users/11001446/items/BCLLCRKW"],"itemData":{"id":737,"type":"article-journal","container-title":"African Affairs","ISSN":"0001-9909","issue":"488","journalAbbreviation":"African Affairs","note":"publisher: Oxford University Press UK","page":"353-376","title":"Urbanization and political change in Africa","volume":"122","author":[{"family":"Hoelscher","given":"Kristian"},{"family":"Dorward","given":"Nick"},{"family":"Fox","given":"Sean"},{"family":"Lawanson","given":"Taibat"},{"family":"Paller","given":"Jeffrey W"},{"family":"Phillips","given":"Melanie L"}],"issued":{"date-parts":[["2023"]]}}},{"id":989,"uris":["http://zotero.org/users/11001446/items/P63E4GUP"],"itemData":{"id":989,"type":"article-journal","container-title":"World Development","title":"Political Change in African Cities: Transforming State-Society Relations","author":[{"family":"Hoelscher","given":"Kristian"},{"family":"Lawanson","given":"Taibat"},{"family":"Paller","given":"Jeffrey W"}],"issued":{"literal":"forthcoming"}}}],"schema":"https://github.com/citation-style-language/schema/raw/master/csl-citation.json"} </w:instrText>
      </w:r>
      <w:r w:rsidR="00AC18C7" w:rsidRPr="00A90CCE">
        <w:rPr>
          <w:color w:val="000000" w:themeColor="text1"/>
          <w:lang w:eastAsia="en-GB"/>
        </w:rPr>
        <w:fldChar w:fldCharType="separate"/>
      </w:r>
      <w:r w:rsidR="00AC18C7" w:rsidRPr="00A90CCE">
        <w:t>(Hoelscher et al., 2023)</w:t>
      </w:r>
      <w:r w:rsidR="00AC18C7" w:rsidRPr="00A90CCE">
        <w:rPr>
          <w:color w:val="000000" w:themeColor="text1"/>
          <w:lang w:eastAsia="en-GB"/>
        </w:rPr>
        <w:fldChar w:fldCharType="end"/>
      </w:r>
      <w:r w:rsidR="00AC18C7" w:rsidRPr="00A90CCE">
        <w:rPr>
          <w:color w:val="000000" w:themeColor="text1"/>
          <w:lang w:eastAsia="en-GB"/>
        </w:rPr>
        <w:t xml:space="preserve">, </w:t>
      </w:r>
      <w:r w:rsidRPr="00A90CCE">
        <w:rPr>
          <w:color w:val="000000" w:themeColor="text1"/>
          <w:lang w:eastAsia="en-GB"/>
        </w:rPr>
        <w:t xml:space="preserve">we examine how specific demographic characteristics in cities across Africa are associated with political participation and mobilisation </w:t>
      </w:r>
      <w:r w:rsidRPr="00A90CCE">
        <w:rPr>
          <w:i/>
          <w:iCs/>
          <w:color w:val="000000" w:themeColor="text1"/>
          <w:lang w:eastAsia="en-GB"/>
        </w:rPr>
        <w:t>in the places in which this change is occurring</w:t>
      </w:r>
      <w:r w:rsidRPr="00A90CCE">
        <w:rPr>
          <w:color w:val="000000" w:themeColor="text1"/>
          <w:lang w:eastAsia="en-GB"/>
        </w:rPr>
        <w:t xml:space="preserve">. Building upon recent advances in geospatial data analysis </w:t>
      </w:r>
      <w:r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{"citationID":"JBEt4qwP","properties":{"formattedCitation":"(Dorward &amp; Fox, 2022)","plainCitation":"(Dorward &amp; Fox, 2022)","noteIndex":0},"citationItems":[{"id":452,"uris":["http://zotero.org/users/11001446/items/5JU4TPAH"],"itemData":{"id":452,"type":"article-journal","container-title":"Political Geography","ISSN":"0962-6298","journalAbbreviation":"Political Geography","note":"publisher: Elsevier","page":"102762","title":"Population pressure, political institutions, and protests: A multilevel analysis of protest events in African cities","volume":"99","author":[{"family":"Dorward","given":"Nick"},{"family":"Fox","given":"Sean"}],"issued":{"date-parts":[["2022"]]}}}],"schema":"https://github.com/citation-style-language/schema/raw/master/csl-citation.json"} </w:instrText>
      </w:r>
      <w:r w:rsidRPr="00A90CCE">
        <w:rPr>
          <w:color w:val="000000" w:themeColor="text1"/>
          <w:lang w:eastAsia="en-GB"/>
        </w:rPr>
        <w:fldChar w:fldCharType="separate"/>
      </w:r>
      <w:r w:rsidRPr="00A90CCE">
        <w:rPr>
          <w:color w:val="000000" w:themeColor="text1"/>
        </w:rPr>
        <w:t>(Dorward &amp; Fox, 2022)</w:t>
      </w:r>
      <w:r w:rsidRPr="00A90CCE">
        <w:rPr>
          <w:color w:val="000000" w:themeColor="text1"/>
          <w:lang w:eastAsia="en-GB"/>
        </w:rPr>
        <w:fldChar w:fldCharType="end"/>
      </w:r>
      <w:r w:rsidRPr="00A90CCE">
        <w:rPr>
          <w:color w:val="000000" w:themeColor="text1"/>
          <w:lang w:eastAsia="en-GB"/>
        </w:rPr>
        <w:t xml:space="preserve">, we combine fine-grained geospatial data on the spatial extent of unique urban settlements with estimates of urban age structures from WorldPop and geocoded individual-level survey data from </w:t>
      </w:r>
      <w:r w:rsidR="00E53574" w:rsidRPr="00A90CCE">
        <w:rPr>
          <w:color w:val="000000" w:themeColor="text1"/>
          <w:lang w:eastAsia="en-GB"/>
        </w:rPr>
        <w:t>three</w:t>
      </w:r>
      <w:r w:rsidRPr="00A90CCE">
        <w:rPr>
          <w:color w:val="000000" w:themeColor="text1"/>
          <w:lang w:eastAsia="en-GB"/>
        </w:rPr>
        <w:t xml:space="preserve"> rounds of the Afrobarometer survey. This cross-sectional dataset allows us to measure </w:t>
      </w:r>
      <w:r w:rsidR="00A339A6" w:rsidRPr="00A90CCE">
        <w:rPr>
          <w:color w:val="000000" w:themeColor="text1"/>
          <w:lang w:eastAsia="en-GB"/>
        </w:rPr>
        <w:t>both</w:t>
      </w:r>
      <w:r w:rsidRPr="00A90CCE">
        <w:rPr>
          <w:color w:val="000000" w:themeColor="text1"/>
          <w:lang w:eastAsia="en-GB"/>
        </w:rPr>
        <w:t xml:space="preserve"> formal (voting) and informal (protests) political participation of 1</w:t>
      </w:r>
      <w:r w:rsidR="00E53574" w:rsidRPr="00A90CCE">
        <w:rPr>
          <w:color w:val="000000" w:themeColor="text1"/>
          <w:lang w:eastAsia="en-GB"/>
        </w:rPr>
        <w:t>8</w:t>
      </w:r>
      <w:r w:rsidRPr="00A90CCE">
        <w:rPr>
          <w:color w:val="000000" w:themeColor="text1"/>
          <w:lang w:eastAsia="en-GB"/>
        </w:rPr>
        <w:t>,43</w:t>
      </w:r>
      <w:r w:rsidR="00E53574" w:rsidRPr="00A90CCE">
        <w:rPr>
          <w:color w:val="000000" w:themeColor="text1"/>
          <w:lang w:eastAsia="en-GB"/>
        </w:rPr>
        <w:t>3</w:t>
      </w:r>
      <w:r w:rsidRPr="00A90CCE">
        <w:rPr>
          <w:color w:val="000000" w:themeColor="text1"/>
          <w:lang w:eastAsia="en-GB"/>
        </w:rPr>
        <w:t xml:space="preserve"> individuals in 3</w:t>
      </w:r>
      <w:r w:rsidR="00E53574" w:rsidRPr="00A90CCE">
        <w:rPr>
          <w:color w:val="000000" w:themeColor="text1"/>
          <w:lang w:eastAsia="en-GB"/>
        </w:rPr>
        <w:t>99</w:t>
      </w:r>
      <w:r w:rsidRPr="00A90CCE">
        <w:rPr>
          <w:color w:val="000000" w:themeColor="text1"/>
          <w:lang w:eastAsia="en-GB"/>
        </w:rPr>
        <w:t xml:space="preserve"> cities in 3</w:t>
      </w:r>
      <w:r w:rsidR="00E53574" w:rsidRPr="00A90CCE">
        <w:rPr>
          <w:color w:val="000000" w:themeColor="text1"/>
          <w:lang w:eastAsia="en-GB"/>
        </w:rPr>
        <w:t>6</w:t>
      </w:r>
      <w:r w:rsidRPr="00A90CCE">
        <w:rPr>
          <w:color w:val="000000" w:themeColor="text1"/>
          <w:lang w:eastAsia="en-GB"/>
        </w:rPr>
        <w:t xml:space="preserve"> African countries. </w:t>
      </w:r>
    </w:p>
    <w:p w14:paraId="00B61AE9" w14:textId="3207C96E" w:rsidR="00AC18C7" w:rsidRPr="00A90CCE" w:rsidRDefault="00A339A6" w:rsidP="009471F7">
      <w:pPr>
        <w:spacing w:after="120" w:line="480" w:lineRule="auto"/>
        <w:ind w:firstLine="720"/>
        <w:jc w:val="both"/>
        <w:rPr>
          <w:color w:val="000000" w:themeColor="text1"/>
          <w:lang w:eastAsia="en-GB"/>
        </w:rPr>
      </w:pPr>
      <w:r w:rsidRPr="00A90CCE">
        <w:rPr>
          <w:color w:val="000000" w:themeColor="text1"/>
          <w:lang w:eastAsia="en-GB"/>
        </w:rPr>
        <w:t xml:space="preserve">Our analysis </w:t>
      </w:r>
      <w:r w:rsidR="009471F7" w:rsidRPr="00A90CCE">
        <w:rPr>
          <w:color w:val="000000" w:themeColor="text1"/>
          <w:lang w:eastAsia="en-GB"/>
        </w:rPr>
        <w:t>fit</w:t>
      </w:r>
      <w:r w:rsidRPr="00A90CCE">
        <w:rPr>
          <w:color w:val="000000" w:themeColor="text1"/>
          <w:lang w:eastAsia="en-GB"/>
        </w:rPr>
        <w:t>s</w:t>
      </w:r>
      <w:r w:rsidR="009471F7" w:rsidRPr="00A90CCE">
        <w:rPr>
          <w:color w:val="000000" w:themeColor="text1"/>
          <w:lang w:eastAsia="en-GB"/>
        </w:rPr>
        <w:t xml:space="preserve"> a series of multilevel regression models with cross-level effects nesting individuals within cities within countries to estimate how the demographic contexts of unique urban settlements are associated with indicators of individual political attitudes and behaviour (voting and protest participation) at the city level. </w:t>
      </w:r>
      <w:r w:rsidR="009471F7" w:rsidRPr="00A90CCE">
        <w:rPr>
          <w:color w:val="000000" w:themeColor="text1"/>
        </w:rPr>
        <w:t xml:space="preserve">We find that individuals are more likely to participate formally in urban contexts characterised by higher youth shares. Furthermore, young people in more youthful cities are no more or less likely to participate formally than their older counter parts. Conversely, we find no significant relationship between individual protest participation and city youth shares. However, young people in more youthful cities are </w:t>
      </w:r>
      <w:r w:rsidR="009471F7" w:rsidRPr="00A90CCE">
        <w:rPr>
          <w:color w:val="000000" w:themeColor="text1"/>
        </w:rPr>
        <w:lastRenderedPageBreak/>
        <w:t>significantly more likely to protest than older people.</w:t>
      </w:r>
      <w:r w:rsidR="009471F7" w:rsidRPr="00A90CCE">
        <w:rPr>
          <w:color w:val="000000" w:themeColor="text1"/>
          <w:lang w:eastAsia="en-GB"/>
        </w:rPr>
        <w:t xml:space="preserve"> Together, this offers a nuanced understanding of how demographic factors underpinning Africa’s urban transformation are shaping political behaviour</w:t>
      </w:r>
      <w:r w:rsidR="00AC18C7" w:rsidRPr="00A90CCE">
        <w:rPr>
          <w:color w:val="000000" w:themeColor="text1"/>
          <w:lang w:eastAsia="en-GB"/>
        </w:rPr>
        <w:t xml:space="preserve">. </w:t>
      </w:r>
    </w:p>
    <w:p w14:paraId="57963159" w14:textId="4B6DC610" w:rsidR="009471F7" w:rsidRPr="00A90CCE" w:rsidRDefault="009471F7" w:rsidP="009471F7">
      <w:pPr>
        <w:spacing w:after="120" w:line="480" w:lineRule="auto"/>
        <w:ind w:firstLine="720"/>
        <w:jc w:val="both"/>
        <w:rPr>
          <w:color w:val="000000" w:themeColor="text1"/>
          <w:lang w:eastAsia="en-GB"/>
        </w:rPr>
      </w:pPr>
      <w:r w:rsidRPr="00A90CCE">
        <w:rPr>
          <w:color w:val="000000" w:themeColor="text1"/>
          <w:lang w:eastAsia="en-GB"/>
        </w:rPr>
        <w:t xml:space="preserve"> </w:t>
      </w:r>
    </w:p>
    <w:p w14:paraId="54B3D6DD" w14:textId="157860E4" w:rsidR="009471F7" w:rsidRPr="00A90CCE" w:rsidRDefault="002B2115" w:rsidP="009471F7">
      <w:pPr>
        <w:pStyle w:val="ListParagraph"/>
        <w:numPr>
          <w:ilvl w:val="0"/>
          <w:numId w:val="1"/>
        </w:numPr>
        <w:spacing w:after="120" w:line="480" w:lineRule="auto"/>
        <w:jc w:val="both"/>
        <w:rPr>
          <w:b/>
          <w:bCs/>
          <w:color w:val="000000" w:themeColor="text1"/>
          <w:lang w:val="en-GB" w:eastAsia="en-GB"/>
        </w:rPr>
      </w:pPr>
      <w:r w:rsidRPr="00A90CCE">
        <w:rPr>
          <w:b/>
          <w:bCs/>
          <w:color w:val="000000" w:themeColor="text1"/>
          <w:lang w:val="en-GB" w:eastAsia="en-GB"/>
        </w:rPr>
        <w:t xml:space="preserve">Political </w:t>
      </w:r>
      <w:r w:rsidR="00D81405" w:rsidRPr="00A90CCE">
        <w:rPr>
          <w:b/>
          <w:bCs/>
          <w:color w:val="000000" w:themeColor="text1"/>
          <w:lang w:val="en-GB" w:eastAsia="en-GB"/>
        </w:rPr>
        <w:t xml:space="preserve">Demography </w:t>
      </w:r>
      <w:r w:rsidR="00BD42D7" w:rsidRPr="00A90CCE">
        <w:rPr>
          <w:b/>
          <w:bCs/>
          <w:color w:val="000000" w:themeColor="text1"/>
          <w:lang w:val="en-GB" w:eastAsia="en-GB"/>
        </w:rPr>
        <w:t xml:space="preserve">in </w:t>
      </w:r>
      <w:r w:rsidR="006669ED" w:rsidRPr="00A90CCE">
        <w:rPr>
          <w:b/>
          <w:bCs/>
          <w:color w:val="000000" w:themeColor="text1"/>
          <w:lang w:val="en-GB" w:eastAsia="en-GB"/>
        </w:rPr>
        <w:t>Africa</w:t>
      </w:r>
      <w:r w:rsidR="00495E61" w:rsidRPr="00A90CCE">
        <w:rPr>
          <w:b/>
          <w:bCs/>
          <w:color w:val="000000" w:themeColor="text1"/>
          <w:lang w:val="en-GB" w:eastAsia="en-GB"/>
        </w:rPr>
        <w:t>n Cities</w:t>
      </w:r>
    </w:p>
    <w:p w14:paraId="6F458F01" w14:textId="49296714" w:rsidR="004C337E" w:rsidRPr="00A90CCE" w:rsidRDefault="004C337E" w:rsidP="004C337E">
      <w:pPr>
        <w:spacing w:after="120" w:line="480" w:lineRule="auto"/>
        <w:jc w:val="both"/>
        <w:rPr>
          <w:color w:val="000000" w:themeColor="text1"/>
          <w:lang w:eastAsia="en-GB"/>
        </w:rPr>
      </w:pPr>
      <w:r w:rsidRPr="00A90CCE">
        <w:rPr>
          <w:color w:val="000000" w:themeColor="text1"/>
          <w:lang w:eastAsia="en-GB"/>
        </w:rPr>
        <w:t>Previous research on the political impacts of large youth cohorts has largely focused upon the macro, primarily national, level</w:t>
      </w:r>
      <w:r w:rsidR="004917B6" w:rsidRPr="00A90CCE">
        <w:rPr>
          <w:color w:val="000000" w:themeColor="text1"/>
          <w:lang w:eastAsia="en-GB"/>
        </w:rPr>
        <w:t>, emphasising the potential for so call</w:t>
      </w:r>
      <w:r w:rsidR="0001053F" w:rsidRPr="00A90CCE">
        <w:rPr>
          <w:color w:val="000000" w:themeColor="text1"/>
          <w:lang w:eastAsia="en-GB"/>
        </w:rPr>
        <w:t>ed</w:t>
      </w:r>
      <w:r w:rsidR="004917B6" w:rsidRPr="00A90CCE">
        <w:rPr>
          <w:color w:val="000000" w:themeColor="text1"/>
          <w:lang w:eastAsia="en-GB"/>
        </w:rPr>
        <w:t xml:space="preserve"> ‘youth bulges’ to fuel violence and insecurity </w:t>
      </w:r>
      <w:r w:rsidR="00C04FDD"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{"citationID":"Mwv603rR","properties":{"formattedCitation":"(Goldstone, 2002, 2010; Urdal, 2006, 2008)","plainCitation":"(Goldstone, 2002, 2010; Urdal, 2006, 2008)","noteIndex":0},"citationItems":[{"id":448,"uris":["http://zotero.org/users/11001446/items/TAKWEDUB"],"itemData":{"id":448,"type":"article-journal","container-title":"Journal of international affairs","ISSN":"0022-197X","journalAbbreviation":"Journal of international affairs","note":"publisher: JSTOR","page":"3-21","title":"Population and security: How demographic change can lead to violent conflict","author":[{"family":"Goldstone","given":"Jack A"}],"issued":{"date-parts":[["2002"]]}}},{"id":747,"uris":["http://zotero.org/users/11001446/items/8P93L628"],"itemData":{"id":747,"type":"article-journal","container-title":"Foreign Aff.","journalAbbreviation":"Foreign Aff.","note":"publisher: HeinOnline","page":"31","title":"The new population bomb: the four megatrends that will change the world","volume":"89","author":[{"family":"Goldstone","given":"Jack A"}],"issued":{"date-parts":[["2010"]]}}},{"id":710,"uris":["http://zotero.org/users/11001446/items/TCXHZPSQ"],"itemData":{"id":710,"type":"article-journal","abstract":"[It has frequently been suggested that exceptionally large youth cohorts, the so-called \"youth bulges,\" make countries more susceptible to political violence. Within two prominent theoretical frameworks in the study of civil war, youth bulges are argued to potentially increase both opportunities and motives for political violence. This claim is empirically tested in a time-series cross-national statistical model for internal armed conflict for the period 1950-2000, and for event data for terrorism and rioting for the years 1984-1995. The expectation that youth bulges should increase the risk of political violence receives robust support for all three forms of violence. The results are consistent both with an expectation that youth bulges provide greater opportunities for violence through the abundant supply of youths with low opportunity costs, and with an expectation that stronger motives for violence may arise as youth bulges are more likely to experience institutional crowding, in particular unemployment. Some contextual factors have been suggested to potentially enhance the effect of youth bulges. In an empirical test of these propositions, the study suggests that youth bulges are particularly associated with an increasing risk of internal armed conflict in starkly autocratic regimes, but a similar effect is also found for highly democratic countries. The interaction of youth bulges with economic decline and expansion in higher education appear to increase the risk of terrorism but not of rioting. Recent studies in economic demography find that when fertility is sharply decreasing, causing lower dependency ratios, large youth cohorts entering the labor market may lead to economic boosts. This study finds some empirical evidence complementing these results, indicating that the effect of youth bulges on political violence may decline along with reduced dependency ratios.]","archive":"JSTOR","container-title":"International Studies Quarterly","ISSN":"00208833, 14682478","issue":"3","note":"publisher: [International Studies Association, Wiley]","page":"607-629","title":"A Clash of Generations? Youth Bulges and Political Violence","volume":"50","author":[{"family":"Urdal","given":"Henrik"}],"issued":{"date-parts":[["2006"]]}}},{"id":443,"uris":["http://zotero.org/users/11001446/items/MZE32TMK"],"itemData":{"id":443,"type":"article-journal","abstract":"[Recent cross-national studies have found only moderate support for the idea that population pressure and resource scarcity may lead to political violence, contrary to much of the case study literature in the field. This article suggests that the level of analysis may be at the heart of this discrepancy. In a time-series study of political violence in 27 Indian states for the 1956—2002 period, it is tested whether high population pressure on renewable natural resources, youth bulges, and differential growth rates between religious groups are associated with higher levels of armed conflict, political violent events, and Hindu-Muslim riots. The results are generally more supportive of the resource scarcity and conflict scenario than recent global studies. The article further suggests that youth bulges affect all three forms of violence and that differential growth rates are positively related to armed conflict.]","archive":"JSTOR","container-title":"The Journal of Conflict Resolution","ISSN":"00220027, 15528766","issue":"4","note":"publisher: Sage Publications, Inc.","page":"590-617","title":"Population, Resources, and Political Violence: A Subnational Study of India, 1956-2002","volume":"52","author":[{"family":"Urdal","given":"Henrik"}],"issued":{"date-parts":[["2008"]]}}}],"schema":"https://github.com/citation-style-language/schema/raw/master/csl-citation.json"} </w:instrText>
      </w:r>
      <w:r w:rsidR="00C04FDD" w:rsidRPr="00A90CCE">
        <w:rPr>
          <w:color w:val="000000" w:themeColor="text1"/>
          <w:lang w:eastAsia="en-GB"/>
        </w:rPr>
        <w:fldChar w:fldCharType="separate"/>
      </w:r>
      <w:r w:rsidR="00C04FDD" w:rsidRPr="00A90CCE">
        <w:t>(Goldstone, 2002, 2010; Urdal, 2006, 2008)</w:t>
      </w:r>
      <w:r w:rsidR="00C04FDD" w:rsidRPr="00A90CCE">
        <w:rPr>
          <w:color w:val="000000" w:themeColor="text1"/>
          <w:lang w:eastAsia="en-GB"/>
        </w:rPr>
        <w:fldChar w:fldCharType="end"/>
      </w:r>
      <w:r w:rsidR="00C04FDD" w:rsidRPr="00A90CCE">
        <w:rPr>
          <w:color w:val="000000" w:themeColor="text1"/>
          <w:lang w:eastAsia="en-GB"/>
        </w:rPr>
        <w:t>.</w:t>
      </w:r>
      <w:r w:rsidR="004917B6" w:rsidRPr="00A90CCE">
        <w:rPr>
          <w:color w:val="000000" w:themeColor="text1"/>
          <w:lang w:eastAsia="en-GB"/>
        </w:rPr>
        <w:t xml:space="preserve"> </w:t>
      </w:r>
      <w:r w:rsidR="0001053F" w:rsidRPr="00A90CCE">
        <w:rPr>
          <w:color w:val="000000" w:themeColor="text1"/>
          <w:lang w:eastAsia="en-GB"/>
        </w:rPr>
        <w:t>Here,</w:t>
      </w:r>
      <w:r w:rsidR="004917B6" w:rsidRPr="00A90CCE">
        <w:rPr>
          <w:color w:val="000000" w:themeColor="text1"/>
          <w:lang w:eastAsia="en-GB"/>
        </w:rPr>
        <w:t xml:space="preserve"> </w:t>
      </w:r>
      <w:r w:rsidR="00D37883" w:rsidRPr="00A90CCE">
        <w:rPr>
          <w:color w:val="000000" w:themeColor="text1"/>
          <w:lang w:eastAsia="en-GB"/>
        </w:rPr>
        <w:t xml:space="preserve">high youth shares create </w:t>
      </w:r>
      <w:r w:rsidR="004917B6" w:rsidRPr="00A90CCE">
        <w:rPr>
          <w:color w:val="000000" w:themeColor="text1"/>
          <w:lang w:eastAsia="en-GB"/>
        </w:rPr>
        <w:t>crow</w:t>
      </w:r>
      <w:r w:rsidR="0001053F" w:rsidRPr="00A90CCE">
        <w:rPr>
          <w:color w:val="000000" w:themeColor="text1"/>
          <w:lang w:eastAsia="en-GB"/>
        </w:rPr>
        <w:t>d</w:t>
      </w:r>
      <w:r w:rsidR="004917B6" w:rsidRPr="00A90CCE">
        <w:rPr>
          <w:color w:val="000000" w:themeColor="text1"/>
          <w:lang w:eastAsia="en-GB"/>
        </w:rPr>
        <w:t xml:space="preserve">ed labour markets and constrain socioeconomic opportunities </w:t>
      </w:r>
      <w:r w:rsidR="00D37883" w:rsidRPr="00A90CCE">
        <w:rPr>
          <w:color w:val="000000" w:themeColor="text1"/>
          <w:lang w:eastAsia="en-GB"/>
        </w:rPr>
        <w:t xml:space="preserve">leading </w:t>
      </w:r>
      <w:r w:rsidR="00E53574" w:rsidRPr="00A90CCE">
        <w:rPr>
          <w:color w:val="000000" w:themeColor="text1"/>
          <w:lang w:eastAsia="en-GB"/>
        </w:rPr>
        <w:t>to grievances</w:t>
      </w:r>
      <w:r w:rsidR="004917B6" w:rsidRPr="00A90CCE">
        <w:rPr>
          <w:color w:val="000000" w:themeColor="text1"/>
          <w:lang w:eastAsia="en-GB"/>
        </w:rPr>
        <w:t xml:space="preserve"> against, and disaffection with, formal politics</w:t>
      </w:r>
      <w:r w:rsidR="001471C7" w:rsidRPr="00A90CCE">
        <w:rPr>
          <w:color w:val="000000" w:themeColor="text1"/>
          <w:lang w:eastAsia="en-GB"/>
        </w:rPr>
        <w:t xml:space="preserve">. This </w:t>
      </w:r>
      <w:r w:rsidR="00D37883" w:rsidRPr="00A90CCE">
        <w:rPr>
          <w:color w:val="000000" w:themeColor="text1"/>
          <w:lang w:eastAsia="en-GB"/>
        </w:rPr>
        <w:t>result</w:t>
      </w:r>
      <w:r w:rsidR="001471C7" w:rsidRPr="00A90CCE">
        <w:rPr>
          <w:color w:val="000000" w:themeColor="text1"/>
          <w:lang w:eastAsia="en-GB"/>
        </w:rPr>
        <w:t>s</w:t>
      </w:r>
      <w:r w:rsidR="009471F7" w:rsidRPr="00A90CCE">
        <w:rPr>
          <w:color w:val="000000" w:themeColor="text1"/>
          <w:lang w:eastAsia="en-GB"/>
        </w:rPr>
        <w:t xml:space="preserve"> in </w:t>
      </w:r>
      <w:r w:rsidR="004917B6" w:rsidRPr="00A90CCE">
        <w:rPr>
          <w:color w:val="000000" w:themeColor="text1"/>
          <w:lang w:eastAsia="en-GB"/>
        </w:rPr>
        <w:t>disengagement from associated institutions and processes (i.e., elections) and a predisposition towards contentious and even violent forms of mobilisation</w:t>
      </w:r>
      <w:r w:rsidR="0001053F" w:rsidRPr="00A90CCE">
        <w:rPr>
          <w:color w:val="000000" w:themeColor="text1"/>
          <w:lang w:eastAsia="en-GB"/>
        </w:rPr>
        <w:t xml:space="preserve"> </w:t>
      </w:r>
      <w:r w:rsidR="009471F7" w:rsidRPr="00A90CCE">
        <w:rPr>
          <w:color w:val="000000" w:themeColor="text1"/>
          <w:lang w:eastAsia="en-GB"/>
        </w:rPr>
        <w:t>(e.g.,</w:t>
      </w:r>
      <w:r w:rsidR="004917B6" w:rsidRPr="00A90CCE">
        <w:rPr>
          <w:color w:val="000000" w:themeColor="text1"/>
          <w:lang w:eastAsia="en-GB"/>
        </w:rPr>
        <w:t xml:space="preserve"> protests, riots, and, in extremis, armed conflict</w:t>
      </w:r>
      <w:r w:rsidR="009471F7" w:rsidRPr="00A90CCE">
        <w:rPr>
          <w:color w:val="000000" w:themeColor="text1"/>
          <w:lang w:eastAsia="en-GB"/>
        </w:rPr>
        <w:t>)</w:t>
      </w:r>
      <w:r w:rsidR="004917B6" w:rsidRPr="00A90CCE">
        <w:rPr>
          <w:color w:val="000000" w:themeColor="text1"/>
          <w:lang w:eastAsia="en-GB"/>
        </w:rPr>
        <w:t xml:space="preserve">. This is thought to be especially salient </w:t>
      </w:r>
      <w:r w:rsidRPr="00A90CCE">
        <w:rPr>
          <w:color w:val="000000" w:themeColor="text1"/>
          <w:lang w:eastAsia="en-GB"/>
        </w:rPr>
        <w:t xml:space="preserve">in urban areas characterised by rapid population growth and upward pressures </w:t>
      </w:r>
      <w:r w:rsidR="0001053F" w:rsidRPr="00A90CCE">
        <w:rPr>
          <w:color w:val="000000" w:themeColor="text1"/>
          <w:lang w:eastAsia="en-GB"/>
        </w:rPr>
        <w:t xml:space="preserve">on </w:t>
      </w:r>
      <w:r w:rsidRPr="00A90CCE">
        <w:rPr>
          <w:color w:val="000000" w:themeColor="text1"/>
          <w:lang w:eastAsia="en-GB"/>
        </w:rPr>
        <w:t>labour marke</w:t>
      </w:r>
      <w:r w:rsidR="0001053F" w:rsidRPr="00A90CCE">
        <w:rPr>
          <w:color w:val="000000" w:themeColor="text1"/>
          <w:lang w:eastAsia="en-GB"/>
        </w:rPr>
        <w:t>t</w:t>
      </w:r>
      <w:r w:rsidRPr="00A90CCE">
        <w:rPr>
          <w:color w:val="000000" w:themeColor="text1"/>
          <w:lang w:eastAsia="en-GB"/>
        </w:rPr>
        <w:t xml:space="preserve">s and key urban services </w:t>
      </w:r>
      <w:r w:rsidR="00E80601" w:rsidRPr="00A90CCE">
        <w:rPr>
          <w:color w:val="000000" w:themeColor="text1"/>
          <w:lang w:eastAsia="en-GB"/>
        </w:rPr>
        <w:t xml:space="preserve">including </w:t>
      </w:r>
      <w:r w:rsidRPr="00A90CCE">
        <w:rPr>
          <w:color w:val="000000" w:themeColor="text1"/>
          <w:lang w:eastAsia="en-GB"/>
        </w:rPr>
        <w:t xml:space="preserve">healthcare, education, and infrastructure </w:t>
      </w:r>
      <w:r w:rsidR="00C04FDD"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{"citationID":"1F4X5204","properties":{"formattedCitation":"(Buhaug &amp; Urdal, 2013; Menashe-Oren, 2020; Urdal &amp; Hoelscher, 2012)","plainCitation":"(Buhaug &amp; Urdal, 2013; Menashe-Oren, 2020; Urdal &amp; Hoelscher, 2012)","noteIndex":0},"citationItems":[{"id":757,"uris":["http://zotero.org/users/11001446/items/GJAXJR7F"],"itemData":{"id":757,"type":"article-journal","container-title":"Global environmental change","ISSN":"0959-3780","issue":"1","journalAbbreviation":"Global environmental change","note":"publisher: Elsevier","page":"1-10","title":"An urbanization bomb? Population growth and social disorder in cities","volume":"23","author":[{"family":"Buhaug","given":"Halvard"},{"family":"Urdal","given":"Henrik"}],"issued":{"date-parts":[["2013"]]}}},{"id":730,"uris":["http://zotero.org/users/11001446/items/WC79SN23"],"itemData":{"id":730,"type":"article-journal","container-title":"Demographic Research","ISSN":"1435-9871","journalAbbreviation":"Demographic Research","note":"publisher: JSTOR","page":"57-98","title":"Migrant-based youth bulges and social conflict in urban sub-Saharan Africa","volume":"42","author":[{"family":"Menashe-Oren","given":"Ashira"}],"issued":{"date-parts":[["2020"]]}}},{"id":709,"uris":["http://zotero.org/users/11001446/items/QTKVARDX"],"itemData":{"id":709,"type":"article-journal","abstract":"By 2050, two thirds of the world's population will live in cities, and the greatest growth in urban populations will take place in the least developed countries. This presents many governments with considerable challenges related to urban governance and the provision of services and opportunities to a burgeoning urban population. In the current article, we use a new event dataset on city-level urban social disorder, drawing upon prominent theories in the conflict literature. The dataset spans the 1960–2009 period, covering 55 major cities in Asia and Sub-Saharan Africa and includes data on nonviolent actions such as demonstrations and strikes and violent political actions like riots, terrorism, and armed conflict. We find that urban social disorder is associated in particular with low economic growth rates and hybrid democratic regimes, while level of development, economic inequality, large youth bulges, and economic globalization do not seem to affect levels of urban social disorder.","container-title":"International Interactions","DOI":"10.1080/03050629.2012.697427","issue":"4","note":"DOI: 10.1080/03050629.2012.697427\nMAG ID: 2118526648\nS2ID: ac63fcf808779b6b536f8d8b00c565d7c3f382c5","page":"512-528","title":"Explaining Urban Social Disorder and Violence: An Empirical Study of Event Data from Asian and Sub-Saharan African Cities","volume":"38","author":[{"family":"Urdal","given":"Henrik"},{"family":"Hoelscher","given":"Kristian"}],"issued":{"date-parts":[["2012",6,4]]}}}],"schema":"https://github.com/citation-style-language/schema/raw/master/csl-citation.json"} </w:instrText>
      </w:r>
      <w:r w:rsidR="00C04FDD" w:rsidRPr="00A90CCE">
        <w:rPr>
          <w:color w:val="000000" w:themeColor="text1"/>
          <w:lang w:eastAsia="en-GB"/>
        </w:rPr>
        <w:fldChar w:fldCharType="separate"/>
      </w:r>
      <w:r w:rsidR="00C04FDD" w:rsidRPr="00A90CCE">
        <w:t>(Buhaug &amp; Urdal, 2013; Menashe-Oren, 2020; Urdal &amp; Hoelscher, 2012)</w:t>
      </w:r>
      <w:r w:rsidR="00C04FDD" w:rsidRPr="00A90CCE">
        <w:rPr>
          <w:color w:val="000000" w:themeColor="text1"/>
          <w:lang w:eastAsia="en-GB"/>
        </w:rPr>
        <w:fldChar w:fldCharType="end"/>
      </w:r>
      <w:r w:rsidR="00C04FDD" w:rsidRPr="00A90CCE">
        <w:rPr>
          <w:color w:val="000000" w:themeColor="text1"/>
          <w:lang w:eastAsia="en-GB"/>
        </w:rPr>
        <w:t>.</w:t>
      </w:r>
      <w:r w:rsidRPr="00A90CCE">
        <w:rPr>
          <w:color w:val="000000" w:themeColor="text1"/>
          <w:lang w:eastAsia="en-GB"/>
        </w:rPr>
        <w:t xml:space="preserve"> </w:t>
      </w:r>
    </w:p>
    <w:p w14:paraId="541E2FC3" w14:textId="3019B0B2" w:rsidR="004C337E" w:rsidRPr="00A90CCE" w:rsidRDefault="00D37883" w:rsidP="004917B6">
      <w:pPr>
        <w:spacing w:after="120" w:line="480" w:lineRule="auto"/>
        <w:ind w:firstLine="720"/>
        <w:jc w:val="both"/>
        <w:rPr>
          <w:color w:val="000000" w:themeColor="text1"/>
          <w:lang w:eastAsia="en-GB"/>
        </w:rPr>
      </w:pPr>
      <w:r w:rsidRPr="00A90CCE">
        <w:rPr>
          <w:color w:val="000000" w:themeColor="text1"/>
          <w:lang w:eastAsia="en-GB"/>
        </w:rPr>
        <w:t>Common to this literature is</w:t>
      </w:r>
      <w:r w:rsidR="004C337E" w:rsidRPr="00A90CCE">
        <w:rPr>
          <w:color w:val="000000" w:themeColor="text1"/>
          <w:lang w:eastAsia="en-GB"/>
        </w:rPr>
        <w:t xml:space="preserve"> the assumption that in contexts characterised by high youth shares, young people are more likely to disengage from formal politics and consequently become more predisposed to </w:t>
      </w:r>
      <w:r w:rsidR="004917B6" w:rsidRPr="00A90CCE">
        <w:rPr>
          <w:color w:val="000000" w:themeColor="text1"/>
          <w:lang w:eastAsia="en-GB"/>
        </w:rPr>
        <w:t xml:space="preserve">informal modes of </w:t>
      </w:r>
      <w:r w:rsidR="004C337E" w:rsidRPr="00A90CCE">
        <w:rPr>
          <w:color w:val="000000" w:themeColor="text1"/>
          <w:lang w:eastAsia="en-GB"/>
        </w:rPr>
        <w:t xml:space="preserve">participation. </w:t>
      </w:r>
      <w:r w:rsidR="004C337E" w:rsidRPr="00A90CCE">
        <w:t xml:space="preserve">However, </w:t>
      </w:r>
      <w:r w:rsidR="001471C7" w:rsidRPr="00A90CCE">
        <w:t xml:space="preserve">such approaches use </w:t>
      </w:r>
      <w:r w:rsidR="001471C7" w:rsidRPr="00A90CCE">
        <w:rPr>
          <w:i/>
          <w:iCs/>
        </w:rPr>
        <w:t>national</w:t>
      </w:r>
      <w:r w:rsidR="001471C7" w:rsidRPr="00A90CCE">
        <w:t xml:space="preserve"> level demographic data to infer how youth may experience </w:t>
      </w:r>
      <w:r w:rsidR="001471C7" w:rsidRPr="00A90CCE">
        <w:rPr>
          <w:i/>
          <w:iCs/>
        </w:rPr>
        <w:t>local</w:t>
      </w:r>
      <w:r w:rsidR="001471C7" w:rsidRPr="00A90CCE">
        <w:t xml:space="preserve"> demographic conditions. Essentially, national level studies assume homogeneous demographic structures and labour markets across an entire country, when this is unlikely to be true. Moreover, </w:t>
      </w:r>
      <w:r w:rsidR="004C337E" w:rsidRPr="00A90CCE">
        <w:t xml:space="preserve">this assumption risks an ecological fallacy: that large youth cohorts translate to youth disengagement and mobilisation because the demographic context to which they are exposed </w:t>
      </w:r>
      <w:r w:rsidR="004C337E" w:rsidRPr="00A90CCE">
        <w:lastRenderedPageBreak/>
        <w:t xml:space="preserve">drives </w:t>
      </w:r>
      <w:r w:rsidR="001471C7" w:rsidRPr="00A90CCE">
        <w:t xml:space="preserve">individuals </w:t>
      </w:r>
      <w:r w:rsidR="004C337E" w:rsidRPr="00A90CCE">
        <w:t xml:space="preserve">to do so. </w:t>
      </w:r>
      <w:r w:rsidR="001471C7" w:rsidRPr="00A90CCE">
        <w:t>However, t</w:t>
      </w:r>
      <w:r w:rsidR="004C337E" w:rsidRPr="00A90CCE">
        <w:t>o our knowledge, this assumption has not been tested. While young people are generally more inclined to protest</w:t>
      </w:r>
      <w:r w:rsidR="00C04FDD" w:rsidRPr="00A90CCE">
        <w:t xml:space="preserve"> </w:t>
      </w:r>
      <w:r w:rsidR="00C04FDD" w:rsidRPr="00A90CCE">
        <w:fldChar w:fldCharType="begin"/>
      </w:r>
      <w:r w:rsidR="00C04FDD" w:rsidRPr="00A90CCE">
        <w:instrText xml:space="preserve"> ADDIN ZOTERO_ITEM CSL_CITATION {"citationID":"xNvOp1jc","properties":{"formattedCitation":"(Branch &amp; Mampilly, 2015; Honwana, 2015; Resnick, 2015; Resnick &amp; Casale, 2014)","plainCitation":"(Branch &amp; Mampilly, 2015; Honwana, 2015; Resnick, 2015; Resnick &amp; Casale, 2014)","noteIndex":0},"citationItems":[{"id":759,"uris":["http://zotero.org/users/11001446/items/2LXB5G2Y"],"itemData":{"id":759,"type":"book","ISBN":"1-78360-000-4","publisher":"Bloomsbury Publishing","title":"Africa uprising: Popular protest and political change","author":[{"family":"Branch","given":"Adam"},{"family":"Mampilly","given":"Zachariah"}],"issued":{"date-parts":[["2015"]]}}},{"id":430,"uris":["http://zotero.org/users/11001446/items/3SPZEL3U"],"itemData":{"id":430,"type":"chapter","container-title":"Collective Mobilisations in Africa / Mobilisations collectives en Afrique","event-place":"Leiden","page":"43–66","publisher":"Brill","publisher-place":"Leiden","title":"“Enough is enough!”: Youth Protests and Political Change in Africa","author":[{"family":"Honwana","given":"Alcinda"}],"editor":[{"family":"Tall","given":"Kadya"},{"family":"Pommerolle","given":"Marie-Emmanuelle"},{"family":"Cahen","given":"Michel"}],"issued":{"date-parts":[["2015"]]}}},{"id":769,"uris":["http://zotero.org/users/11001446/items/X8FEMGIF"],"itemData":{"id":769,"type":"article-journal","container-title":"The promise and perils of populism: Global perspectives","journalAbbreviation":"The promise and perils of populism: Global perspectives","note":"publisher: University Press of Kentucky","page":"348","title":"Varieties of African populism in comparative perspective","volume":"317","author":[{"family":"Resnick","given":"Danielle"}],"issued":{"date-parts":[["2015"]]}}},{"id":714,"uris":["http://zotero.org/users/11001446/items/S2S2K76V"],"itemData":{"id":714,"type":"article-journal","abstract":"Why do young Africans participate less in elections than their older counterparts? Given Africa's growing youth bulge, this constituency represents a numerically important voting bloc, and their lower participation in elections could undermine the legitimacy of the region's democratic trajectory. We address this question through a multi-level model that relies on individual-level data from the Afrobarometer surveys and country-level data for 19 of the region's more democratic countries. We classify Africa's youth as belonging to two categories, those aged 18–24 and those aged 25–35. We find that key determinants of the youth's voting behaviour include their access to political knowledge and information as well as their perceptions of the electoral context and party system. In the latter regard, the efficacy and fairness of elections and the degree of partisanship increase the youth's decision to vote, while the length of party incumbency is a deterrent to turnout. These findings hold important implication...","container-title":"Democratization","DOI":"10.1080/13510347.2013.793673","issue":"6","note":"DOI: 10.1080/13510347.2013.793673\nMAG ID: 2035517204","page":"1172-1194","title":"Young populations in young democracies: generational voting behaviour in sub-Saharan Africa","volume":"21","author":[{"family":"Resnick","given":"Danielle"},{"family":"Casale","given":"Daniela"}],"issued":{"date-parts":[["2014",11,11]]}}}],"schema":"https://github.com/citation-style-language/schema/raw/master/csl-citation.json"} </w:instrText>
      </w:r>
      <w:r w:rsidR="00C04FDD" w:rsidRPr="00A90CCE">
        <w:fldChar w:fldCharType="separate"/>
      </w:r>
      <w:r w:rsidR="00C04FDD" w:rsidRPr="00A90CCE">
        <w:t>(Branch &amp; Mampilly, 2015; Honwana, 2015; Resnick, 2015; Resnick &amp; Casale, 2014)</w:t>
      </w:r>
      <w:r w:rsidR="00C04FDD" w:rsidRPr="00A90CCE">
        <w:fldChar w:fldCharType="end"/>
      </w:r>
      <w:r w:rsidR="004C337E" w:rsidRPr="00A90CCE">
        <w:t xml:space="preserve">, it remains an open question whether their propensity to disengage from formal politics and engage in protest and violence is further amplified within the demographic context of cities characterised by large youth cohorts. </w:t>
      </w:r>
    </w:p>
    <w:p w14:paraId="521C91C9" w14:textId="574DF58E" w:rsidR="00D37883" w:rsidRPr="00A90CCE" w:rsidRDefault="009E5600" w:rsidP="004C337E">
      <w:pPr>
        <w:spacing w:after="120" w:line="480" w:lineRule="auto"/>
        <w:ind w:firstLine="720"/>
        <w:jc w:val="both"/>
        <w:rPr>
          <w:color w:val="000000" w:themeColor="text1"/>
          <w:lang w:eastAsia="en-GB"/>
        </w:rPr>
      </w:pPr>
      <w:r w:rsidRPr="00A90CCE">
        <w:rPr>
          <w:color w:val="000000" w:themeColor="text1"/>
          <w:lang w:eastAsia="en-GB"/>
        </w:rPr>
        <w:t xml:space="preserve">We argue that local demographic contexts, specifically large urban youth shares, will influence the political behaviour of individuals residing within </w:t>
      </w:r>
      <w:proofErr w:type="gramStart"/>
      <w:r w:rsidR="00D37883" w:rsidRPr="00A90CCE">
        <w:rPr>
          <w:color w:val="000000" w:themeColor="text1"/>
          <w:lang w:eastAsia="en-GB"/>
        </w:rPr>
        <w:t>particular cities</w:t>
      </w:r>
      <w:proofErr w:type="gramEnd"/>
      <w:r w:rsidRPr="00A90CCE">
        <w:rPr>
          <w:color w:val="000000" w:themeColor="text1"/>
          <w:lang w:eastAsia="en-GB"/>
        </w:rPr>
        <w:t xml:space="preserve">. This is because the mechanisms linking demographic structure and political </w:t>
      </w:r>
      <w:r w:rsidR="004C337E" w:rsidRPr="00A90CCE">
        <w:rPr>
          <w:color w:val="000000" w:themeColor="text1"/>
          <w:lang w:eastAsia="en-GB"/>
        </w:rPr>
        <w:t>participation</w:t>
      </w:r>
      <w:r w:rsidRPr="00A90CCE">
        <w:rPr>
          <w:color w:val="000000" w:themeColor="text1"/>
          <w:lang w:eastAsia="en-GB"/>
        </w:rPr>
        <w:t xml:space="preserve"> are fundamentally subnational, operating at the local job market and service delivery context of individual cities and urban regions. Furthermore, as we demonstrate below, there is significant subnational variation in urban youth shares across African cities, which national-level analyses frequently overlook. Central to our argument</w:t>
      </w:r>
      <w:r w:rsidR="004C337E" w:rsidRPr="00A90CCE">
        <w:rPr>
          <w:color w:val="000000" w:themeColor="text1"/>
          <w:lang w:eastAsia="en-GB"/>
        </w:rPr>
        <w:t>,</w:t>
      </w:r>
      <w:r w:rsidRPr="00A90CCE">
        <w:rPr>
          <w:color w:val="000000" w:themeColor="text1"/>
          <w:lang w:eastAsia="en-GB"/>
        </w:rPr>
        <w:t xml:space="preserve"> and </w:t>
      </w:r>
      <w:r w:rsidR="00D37883" w:rsidRPr="00A90CCE">
        <w:rPr>
          <w:color w:val="000000" w:themeColor="text1"/>
          <w:lang w:eastAsia="en-GB"/>
        </w:rPr>
        <w:t>for</w:t>
      </w:r>
      <w:r w:rsidRPr="00A90CCE">
        <w:rPr>
          <w:color w:val="000000" w:themeColor="text1"/>
          <w:lang w:eastAsia="en-GB"/>
        </w:rPr>
        <w:t xml:space="preserve"> understanding of how the demographic structure of a city </w:t>
      </w:r>
      <w:r w:rsidR="00D37883" w:rsidRPr="00A90CCE">
        <w:rPr>
          <w:color w:val="000000" w:themeColor="text1"/>
          <w:lang w:eastAsia="en-GB"/>
        </w:rPr>
        <w:t xml:space="preserve">may </w:t>
      </w:r>
      <w:r w:rsidRPr="00A90CCE">
        <w:rPr>
          <w:color w:val="000000" w:themeColor="text1"/>
          <w:lang w:eastAsia="en-GB"/>
        </w:rPr>
        <w:t>influence individual behaviour</w:t>
      </w:r>
      <w:r w:rsidR="004C337E" w:rsidRPr="00A90CCE">
        <w:rPr>
          <w:color w:val="000000" w:themeColor="text1"/>
          <w:lang w:eastAsia="en-GB"/>
        </w:rPr>
        <w:t>,</w:t>
      </w:r>
      <w:r w:rsidRPr="00A90CCE">
        <w:rPr>
          <w:color w:val="000000" w:themeColor="text1"/>
          <w:lang w:eastAsia="en-GB"/>
        </w:rPr>
        <w:t xml:space="preserve"> is the distinction between compositional and contextual effects</w:t>
      </w:r>
      <w:r w:rsidR="004C337E" w:rsidRPr="00A90CCE">
        <w:rPr>
          <w:color w:val="000000" w:themeColor="text1"/>
          <w:lang w:eastAsia="en-GB"/>
        </w:rPr>
        <w:t xml:space="preserve"> </w:t>
      </w:r>
      <w:r w:rsidR="009471F7" w:rsidRPr="00A90CCE">
        <w:rPr>
          <w:color w:val="000000" w:themeColor="text1"/>
          <w:lang w:eastAsia="en-GB"/>
        </w:rPr>
        <w:t>in the study of politics</w:t>
      </w:r>
      <w:r w:rsidR="004C337E" w:rsidRPr="00A90CCE">
        <w:rPr>
          <w:color w:val="000000" w:themeColor="text1"/>
          <w:lang w:eastAsia="en-GB"/>
        </w:rPr>
        <w:t xml:space="preserve"> </w:t>
      </w:r>
      <w:r w:rsidR="00C04FDD"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{"citationID":"OEDQJMIR","properties":{"formattedCitation":"(Johnston &amp; Pattie, 1998, 2006)","plainCitation":"(Johnston &amp; Pattie, 1998, 2006)","noteIndex":0},"citationItems":[{"id":16092,"uris":["http://zotero.org/users/11001446/items/P5XKDGRG"],"itemData":{"id":16092,"type":"article-journal","container-title":"Geoforum","ISSN":"0016-7185","issue":"3","journalAbbreviation":"Geoforum","note":"publisher: Elsevier","page":"309-329","title":"Composition and context: region and voting in Britain revisited during Labour's 1990s' revival","volume":"29","author":[{"family":"Johnston","given":"Ron"},{"family":"Pattie","given":"Charles"}],"issued":{"date-parts":[["1998"]]}}},{"id":16093,"uris":["http://zotero.org/users/11001446/items/UPIAP52H"],"itemData":{"id":16093,"type":"book","ISBN":"0-19-151493-4","publisher":"OUP Oxford","title":"Putting voters in their place: Geography and elections in Great Britain","author":[{"family":"Johnston","given":"Ron"},{"family":"Pattie","given":"Charles"}],"issued":{"date-parts":[["2006"]]}}}],"schema":"https://github.com/citation-style-language/schema/raw/master/csl-citation.json"} </w:instrText>
      </w:r>
      <w:r w:rsidR="00C04FDD" w:rsidRPr="00A90CCE">
        <w:rPr>
          <w:color w:val="000000" w:themeColor="text1"/>
          <w:lang w:eastAsia="en-GB"/>
        </w:rPr>
        <w:fldChar w:fldCharType="separate"/>
      </w:r>
      <w:r w:rsidR="00C04FDD" w:rsidRPr="00A90CCE">
        <w:t>(Johnston &amp; Pattie, 1998, 2006)</w:t>
      </w:r>
      <w:r w:rsidR="00C04FDD" w:rsidRPr="00A90CCE">
        <w:rPr>
          <w:color w:val="000000" w:themeColor="text1"/>
          <w:lang w:eastAsia="en-GB"/>
        </w:rPr>
        <w:fldChar w:fldCharType="end"/>
      </w:r>
      <w:r w:rsidRPr="00A90CCE">
        <w:rPr>
          <w:color w:val="000000" w:themeColor="text1"/>
          <w:lang w:eastAsia="en-GB"/>
        </w:rPr>
        <w:t>.</w:t>
      </w:r>
      <w:r w:rsidR="004C337E" w:rsidRPr="00A90CCE">
        <w:rPr>
          <w:color w:val="000000" w:themeColor="text1"/>
          <w:lang w:eastAsia="en-GB"/>
        </w:rPr>
        <w:t xml:space="preserve"> </w:t>
      </w:r>
    </w:p>
    <w:p w14:paraId="0044B129" w14:textId="06A8EF1E" w:rsidR="004C337E" w:rsidRPr="00A90CCE" w:rsidRDefault="004C337E" w:rsidP="004C337E">
      <w:pPr>
        <w:spacing w:after="120" w:line="480" w:lineRule="auto"/>
        <w:ind w:firstLine="720"/>
        <w:jc w:val="both"/>
        <w:rPr>
          <w:color w:val="000000" w:themeColor="text1"/>
          <w:lang w:eastAsia="en-GB"/>
        </w:rPr>
      </w:pPr>
      <w:r w:rsidRPr="00A90CCE">
        <w:rPr>
          <w:i/>
          <w:iCs/>
          <w:color w:val="000000" w:themeColor="text1"/>
          <w:lang w:eastAsia="en-GB"/>
        </w:rPr>
        <w:t>Composition effects</w:t>
      </w:r>
      <w:r w:rsidRPr="00A90CCE">
        <w:rPr>
          <w:color w:val="000000" w:themeColor="text1"/>
          <w:lang w:eastAsia="en-GB"/>
        </w:rPr>
        <w:t xml:space="preserve"> arise when observed geographical differences in political behaviour can be explained by the individual characteristics of the people living within a given area. </w:t>
      </w:r>
      <w:r w:rsidR="009E5600" w:rsidRPr="00A90CCE">
        <w:rPr>
          <w:color w:val="000000" w:themeColor="text1"/>
          <w:lang w:eastAsia="en-GB"/>
        </w:rPr>
        <w:t xml:space="preserve"> </w:t>
      </w:r>
      <w:r w:rsidRPr="00A90CCE">
        <w:rPr>
          <w:color w:val="000000" w:themeColor="text1"/>
          <w:lang w:eastAsia="en-GB"/>
        </w:rPr>
        <w:t xml:space="preserve">For example, longstanding evidence demonstrates that young people are significantly less inclined to vote and display greater levels of dissatisfaction with formal political institutions than their older counterparts </w:t>
      </w:r>
      <w:r w:rsidR="00C04FDD"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{"citationID":"DAO66e39","properties":{"formattedCitation":"(Franklin, 2004; Henn &amp; Foard, 2012; Lekalake &amp; Gyimah-Boadi, 2016; Nie et al., 1974; Nkansah, 2022; Nkansah &amp; Bartha, 2023; Nkansah &amp; Papp, 2023; Norris, 2002; Resnick &amp; Casale, 2011, 2014; Tambe &amp; Kopacheva, 2023)","plainCitation":"(Franklin, 2004; Henn &amp; Foard, 2012; Lekalake &amp; Gyimah-Boadi, 2016; Nie et al., 1974; Nkansah, 2022; Nkansah &amp; Bartha, 2023; Nkansah &amp; Papp, 2023; Norris, 2002; Resnick &amp; Casale, 2011, 2014; Tambe &amp; Kopacheva, 2023)","noteIndex":0},"citationItems":[{"id":449,"uris":["http://zotero.org/users/11001446/items/NN2PEUW5"],"itemData":{"id":449,"type":"book","ISBN":"0-521-54147-6","publisher":"Cambridge University Press","title":"Voter turnout and the dynamics of electoral competition in established democracies since 1945","author":[{"family":"Franklin","given":"Mark N"}],"issued":{"date-parts":[["2004"]]}}},{"id":738,"uris":["http://zotero.org/users/11001446/items/M2QVG98M"],"itemData":{"id":738,"type":"article-journal","container-title":"Parliamentary affairs","ISSN":"1460-2482","issue":"1","journalAbbreviation":"Parliamentary affairs","note":"publisher: Oxford University Press","page":"47-67","title":"Young people, political participation and trust in Britain","volume":"65","author":[{"family":"Henn","given":"Matt"},{"family":"Foard","given":"Nick"}],"issued":{"date-parts":[["2012"]]}}},{"id":447,"uris":["http://zotero.org/users/11001446/items/5YIZZLGY"],"itemData":{"id":447,"type":"article-journal","note":"publisher: Afrobarometer","title":"Does less engaged mean less empowered? Political participation lags among African youth, especially women","author":[{"family":"Lekalake","given":"Rorisang"},{"family":"Gyimah-Boadi","given":"Emmanuel"}],"issued":{"date-parts":[["2016"]]}}},{"id":446,"uris":["http://zotero.org/users/11001446/items/QSKVVJ7N"],"itemData":{"id":446,"type":"article-journal","container-title":"Comparative Politics","ISSN":"0010-4159","issue":"3","journalAbbreviation":"Comparative Politics","note":"publisher: JSTOR","page":"319-340","title":"Political participation and the life cycle","volume":"6","author":[{"family":"Nie","given":"Norman H"},{"family":"Verba","given":"Sidney"},{"family":"Kim","given":"Jae-on"}],"issued":{"date-parts":[["1974"]]}}},{"id":174,"uris":["http://zotero.org/users/11001446/items/EGQWYMQT"],"itemData":{"id":174,"type":"article-journal","container-title":"SAGE Open","ISSN":"2158-2440","issue":"2","journalAbbreviation":"SAGE Open","note":"publisher: SAGE Publications Sage CA: Los Angeles, CA","page":"21582440221096146","title":"Youth cohort size, structural socioeconomic conditions, and youth protest behavior in democratic societies (1995–2014)","volume":"12","author":[{"family":"Nkansah","given":"Godfred Bonnah"}],"issued":{"date-parts":[["2022"]]}}},{"id":193,"uris":["http://zotero.org/users/11001446/items/AG76FZK6"],"itemData":{"id":193,"type":"article-journal","container-title":"Contemporary Politics","ISSN":"1356-9775","issue":"5","journalAbbreviation":"Contemporary Politics","note":"publisher: Taylor &amp; Francis","page":"553-575","title":"Anti-democratic youth? The influence of youth cohort size and quality of democracy on young people’s support for democracy","volume":"29","author":[{"family":"Nkansah","given":"Godfred Bonnah"},{"family":"Bartha","given":"Attila"}],"issued":{"date-parts":[["2023"]]}}},{"id":194,"uris":["http://zotero.org/users/11001446/items/WHJ5Y2MH"],"itemData":{"id":194,"type":"article-journal","container-title":"Journal of Youth Studies","ISSN":"1367-6261","issue":"7","journalAbbreviation":"Journal of Youth Studies","note":"publisher: Taylor &amp; Francis","page":"859-877","title":"Does cohort size matter? Assessing the effect of youth cohort size and peer influence on young people’s electoral participation","volume":"26","author":[{"family":"Nkansah","given":"Godfred Bonnah"},{"family":"Papp","given":"Zsófia"}],"issued":{"date-parts":[["2023"]]}}},{"id":445,"uris":["http://zotero.org/users/11001446/items/643FXDU8"],"itemData":{"id":445,"type":"book","ISBN":"0-521-01053-5","publisher":"Cambridge University Press","title":"Democratic phoenix: Reinventing political activism","author":[{"family":"Norris","given":"Pippa"}],"issued":{"date-parts":[["2002"]]}}},{"id":537,"uris":["http://zotero.org/users/11001446/items/TEUUI625"],"itemData":{"id":537,"type":"article-journal","abstract":"The youth have long represented an important constituency for electoral mobilization in Africa. Today, as the region faces a growing 'youth bulge' that is disproportionately burdened by un- and underemployment, capturing the votes of this demographic is becoming more important than ever before. Yet, despite their numerical importance and the historical relevance of generational identities within the region, very little is really known about the political participation of Africa's youth.","note":"MAG ID: 759050973","title":"The political participation of Africa's youth: Turnout, partisanship, and protest","author":[{"family":"Resnick","given":"Danielle"},{"family":"Casale","given":"Daniela"}],"issued":{"date-parts":[["2011",9,1]]}}},{"id":714,"uris":["http://zotero.org/users/11001446/items/S2S2K76V"],"itemData":{"id":714,"type":"article-journal","abstract":"Why do young Africans participate less in elections than their older counterparts? Given Africa's growing youth bulge, this constituency represents a numerically important voting bloc, and their lower participation in elections could undermine the legitimacy of the region's democratic trajectory. We address this question through a multi-level model that relies on individual-level data from the Afrobarometer surveys and country-level data for 19 of the region's more democratic countries. We classify Africa's youth as belonging to two categories, those aged 18–24 and those aged 25–35. We find that key determinants of the youth's voting behaviour include their access to political knowledge and information as well as their perceptions of the electoral context and party system. In the latter regard, the efficacy and fairness of elections and the degree of partisanship increase the youth's decision to vote, while the length of party incumbency is a deterrent to turnout. These findings hold important implication...","container-title":"Democratization","DOI":"10.1080/13510347.2013.793673","issue":"6","note":"DOI: 10.1080/13510347.2013.793673\nMAG ID: 2035517204","page":"1172-1194","title":"Young populations in young democracies: generational voting behaviour in sub-Saharan Africa","volume":"21","author":[{"family":"Resnick","given":"Danielle"},{"family":"Casale","given":"Daniela"}],"issued":{"date-parts":[["2014",11,11]]}}},{"id":441,"uris":["http://zotero.org/users/11001446/items/EY3GADXR"],"itemData":{"id":441,"type":"article-journal","container-title":"Representation","DOI":"10.1080/00344893.2023.2173281","ISSN":"0034-4893","journalAbbreviation":"Representation","note":"publisher: Routledge","page":"1-19","title":"Age and Political Participation in Africa’s Electoral Regimes","author":[{"family":"Tambe","given":"Elvis Bisong"},{"family":"Kopacheva","given":"Elizaveta"}],"issued":{"date-parts":[["2023"]]}}}],"schema":"https://github.com/citation-style-language/schema/raw/master/csl-citation.json"} </w:instrText>
      </w:r>
      <w:r w:rsidR="00C04FDD" w:rsidRPr="00A90CCE">
        <w:rPr>
          <w:color w:val="000000" w:themeColor="text1"/>
          <w:lang w:eastAsia="en-GB"/>
        </w:rPr>
        <w:fldChar w:fldCharType="separate"/>
      </w:r>
      <w:r w:rsidR="00C04FDD" w:rsidRPr="00A90CCE">
        <w:t>(Franklin, 2004; Henn &amp; Foard, 2012; Lekalake &amp; Gyimah-Boadi, 2016; Nie et al., 1974; Nkansah, 2022; Nkansah &amp; Bartha, 2023; Nkansah &amp; Papp, 2023; Norris, 2002; Resnick &amp; Casale, 2011, 2014; Tambe &amp; Kopacheva, 2023)</w:t>
      </w:r>
      <w:r w:rsidR="00C04FDD" w:rsidRPr="00A90CCE">
        <w:rPr>
          <w:color w:val="000000" w:themeColor="text1"/>
          <w:lang w:eastAsia="en-GB"/>
        </w:rPr>
        <w:fldChar w:fldCharType="end"/>
      </w:r>
      <w:r w:rsidR="00C04FDD" w:rsidRPr="00A90CCE">
        <w:rPr>
          <w:color w:val="000000" w:themeColor="text1"/>
          <w:lang w:eastAsia="en-GB"/>
        </w:rPr>
        <w:t>.</w:t>
      </w:r>
      <w:r w:rsidRPr="00A90CCE">
        <w:rPr>
          <w:color w:val="000000" w:themeColor="text1"/>
          <w:lang w:eastAsia="en-GB"/>
        </w:rPr>
        <w:t xml:space="preserve"> We would, therefore, expect a city with a higher proportion of young people to exhibit lower overall voting rates and more informal participation, simply because of its demographic composition. Compositional effects imply that similar people will behave similarly regardless of their </w:t>
      </w:r>
      <w:r w:rsidRPr="00A90CCE">
        <w:rPr>
          <w:color w:val="000000" w:themeColor="text1"/>
          <w:lang w:eastAsia="en-GB"/>
        </w:rPr>
        <w:lastRenderedPageBreak/>
        <w:t xml:space="preserve">geographical setting and that </w:t>
      </w:r>
      <w:r w:rsidR="00433664" w:rsidRPr="00A90CCE">
        <w:rPr>
          <w:color w:val="000000" w:themeColor="text1"/>
          <w:lang w:eastAsia="en-GB"/>
        </w:rPr>
        <w:t>all</w:t>
      </w:r>
      <w:r w:rsidRPr="00A90CCE">
        <w:rPr>
          <w:color w:val="000000" w:themeColor="text1"/>
          <w:lang w:eastAsia="en-GB"/>
        </w:rPr>
        <w:t xml:space="preserve"> geographical differences in behaviour are driven by the clustering of particular types of people in specific places </w:t>
      </w:r>
      <w:r w:rsidR="00C04FDD"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{"citationID":"Odpf8wRg","properties":{"formattedCitation":"(Johnston &amp; Pattie, 2006)","plainCitation":"(Johnston &amp; Pattie, 2006)","noteIndex":0},"citationItems":[{"id":16093,"uris":["http://zotero.org/users/11001446/items/UPIAP52H"],"itemData":{"id":16093,"type":"book","ISBN":"0-19-151493-4","publisher":"OUP Oxford","title":"Putting voters in their place: Geography and elections in Great Britain","author":[{"family":"Johnston","given":"Ron"},{"family":"Pattie","given":"Charles"}],"issued":{"date-parts":[["2006"]]}}}],"schema":"https://github.com/citation-style-language/schema/raw/master/csl-citation.json"} </w:instrText>
      </w:r>
      <w:r w:rsidR="00C04FDD" w:rsidRPr="00A90CCE">
        <w:rPr>
          <w:color w:val="000000" w:themeColor="text1"/>
          <w:lang w:eastAsia="en-GB"/>
        </w:rPr>
        <w:fldChar w:fldCharType="separate"/>
      </w:r>
      <w:r w:rsidR="00C04FDD" w:rsidRPr="00A90CCE">
        <w:t>(Johnston &amp; Pattie, 2006)</w:t>
      </w:r>
      <w:r w:rsidR="00C04FDD" w:rsidRPr="00A90CCE">
        <w:rPr>
          <w:color w:val="000000" w:themeColor="text1"/>
          <w:lang w:eastAsia="en-GB"/>
        </w:rPr>
        <w:fldChar w:fldCharType="end"/>
      </w:r>
      <w:r w:rsidR="00C04FDD" w:rsidRPr="00A90CCE">
        <w:rPr>
          <w:color w:val="000000" w:themeColor="text1"/>
          <w:lang w:eastAsia="en-GB"/>
        </w:rPr>
        <w:t>.</w:t>
      </w:r>
    </w:p>
    <w:p w14:paraId="3102B17C" w14:textId="7C0381A0" w:rsidR="009E5600" w:rsidRPr="00A90CCE" w:rsidRDefault="004C337E" w:rsidP="004C337E">
      <w:pPr>
        <w:spacing w:after="120" w:line="480" w:lineRule="auto"/>
        <w:ind w:firstLine="720"/>
        <w:jc w:val="both"/>
        <w:rPr>
          <w:color w:val="000000" w:themeColor="text1"/>
          <w:lang w:eastAsia="en-GB"/>
        </w:rPr>
      </w:pPr>
      <w:r w:rsidRPr="00A90CCE">
        <w:rPr>
          <w:i/>
          <w:iCs/>
          <w:color w:val="000000" w:themeColor="text1"/>
          <w:lang w:eastAsia="en-GB"/>
        </w:rPr>
        <w:t>Contextual effects</w:t>
      </w:r>
      <w:r w:rsidRPr="00A90CCE">
        <w:rPr>
          <w:color w:val="000000" w:themeColor="text1"/>
          <w:lang w:eastAsia="en-GB"/>
        </w:rPr>
        <w:t>, on the other hand, operate when the characteristics of an individual</w:t>
      </w:r>
      <w:r w:rsidR="00433664" w:rsidRPr="00A90CCE">
        <w:rPr>
          <w:color w:val="000000" w:themeColor="text1"/>
          <w:lang w:eastAsia="en-GB"/>
        </w:rPr>
        <w:t>’</w:t>
      </w:r>
      <w:r w:rsidRPr="00A90CCE">
        <w:rPr>
          <w:color w:val="000000" w:themeColor="text1"/>
          <w:lang w:eastAsia="en-GB"/>
        </w:rPr>
        <w:t>s local environment itself influences their behaviour</w:t>
      </w:r>
      <w:r w:rsidR="009471F7" w:rsidRPr="00A90CCE">
        <w:rPr>
          <w:color w:val="000000" w:themeColor="text1"/>
          <w:lang w:eastAsia="en-GB"/>
        </w:rPr>
        <w:t>,</w:t>
      </w:r>
      <w:r w:rsidRPr="00A90CCE">
        <w:rPr>
          <w:color w:val="000000" w:themeColor="text1"/>
          <w:lang w:eastAsia="en-GB"/>
        </w:rPr>
        <w:t xml:space="preserve"> independent of individual attributes. Geographical differences in political behaviour are not solely attributable to aggregate social or demographic characteristics o</w:t>
      </w:r>
      <w:r w:rsidR="009471F7" w:rsidRPr="00A90CCE">
        <w:rPr>
          <w:color w:val="000000" w:themeColor="text1"/>
          <w:lang w:eastAsia="en-GB"/>
        </w:rPr>
        <w:t>f people within</w:t>
      </w:r>
      <w:r w:rsidRPr="00A90CCE">
        <w:rPr>
          <w:color w:val="000000" w:themeColor="text1"/>
          <w:lang w:eastAsia="en-GB"/>
        </w:rPr>
        <w:t xml:space="preserve"> an area, but the</w:t>
      </w:r>
      <w:r w:rsidR="009471F7" w:rsidRPr="00A90CCE">
        <w:rPr>
          <w:color w:val="000000" w:themeColor="text1"/>
          <w:lang w:eastAsia="en-GB"/>
        </w:rPr>
        <w:t xml:space="preserve"> characteristics of an</w:t>
      </w:r>
      <w:r w:rsidRPr="00A90CCE">
        <w:rPr>
          <w:color w:val="000000" w:themeColor="text1"/>
          <w:lang w:eastAsia="en-GB"/>
        </w:rPr>
        <w:t xml:space="preserve"> area itself </w:t>
      </w:r>
      <w:r w:rsidR="00C04FDD"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{"citationID":"VCujbzr8","properties":{"formattedCitation":"(Johnston &amp; Pattie, 1998, 2006)","plainCitation":"(Johnston &amp; Pattie, 1998, 2006)","noteIndex":0},"citationItems":[{"id":16092,"uris":["http://zotero.org/users/11001446/items/P5XKDGRG"],"itemData":{"id":16092,"type":"article-journal","container-title":"Geoforum","ISSN":"0016-7185","issue":"3","journalAbbreviation":"Geoforum","note":"publisher: Elsevier","page":"309-329","title":"Composition and context: region and voting in Britain revisited during Labour's 1990s' revival","volume":"29","author":[{"family":"Johnston","given":"Ron"},{"family":"Pattie","given":"Charles"}],"issued":{"date-parts":[["1998"]]}}},{"id":16093,"uris":["http://zotero.org/users/11001446/items/UPIAP52H"],"itemData":{"id":16093,"type":"book","ISBN":"0-19-151493-4","publisher":"OUP Oxford","title":"Putting voters in their place: Geography and elections in Great Britain","author":[{"family":"Johnston","given":"Ron"},{"family":"Pattie","given":"Charles"}],"issued":{"date-parts":[["2006"]]}}}],"schema":"https://github.com/citation-style-language/schema/raw/master/csl-citation.json"} </w:instrText>
      </w:r>
      <w:r w:rsidR="00C04FDD" w:rsidRPr="00A90CCE">
        <w:rPr>
          <w:color w:val="000000" w:themeColor="text1"/>
          <w:lang w:eastAsia="en-GB"/>
        </w:rPr>
        <w:fldChar w:fldCharType="separate"/>
      </w:r>
      <w:r w:rsidR="00C04FDD" w:rsidRPr="00A90CCE">
        <w:t>(Johnston &amp; Pattie, 1998, 2006)</w:t>
      </w:r>
      <w:r w:rsidR="00C04FDD" w:rsidRPr="00A90CCE">
        <w:rPr>
          <w:color w:val="000000" w:themeColor="text1"/>
          <w:lang w:eastAsia="en-GB"/>
        </w:rPr>
        <w:fldChar w:fldCharType="end"/>
      </w:r>
      <w:r w:rsidRPr="00A90CCE">
        <w:rPr>
          <w:color w:val="000000" w:themeColor="text1"/>
          <w:lang w:eastAsia="en-GB"/>
        </w:rPr>
        <w:t xml:space="preserve">. This implies that individuals with similar demographic profiles are likely to behave </w:t>
      </w:r>
      <w:r w:rsidR="00433664" w:rsidRPr="00A90CCE">
        <w:rPr>
          <w:color w:val="000000" w:themeColor="text1"/>
          <w:lang w:eastAsia="en-GB"/>
        </w:rPr>
        <w:t xml:space="preserve">quite </w:t>
      </w:r>
      <w:r w:rsidRPr="00A90CCE">
        <w:rPr>
          <w:color w:val="000000" w:themeColor="text1"/>
          <w:lang w:eastAsia="en-GB"/>
        </w:rPr>
        <w:t>differently depending upon their geographical setting. The key mechanism</w:t>
      </w:r>
      <w:r w:rsidR="009471F7" w:rsidRPr="00A90CCE">
        <w:rPr>
          <w:color w:val="000000" w:themeColor="text1"/>
          <w:lang w:eastAsia="en-GB"/>
        </w:rPr>
        <w:t>s</w:t>
      </w:r>
      <w:r w:rsidRPr="00A90CCE">
        <w:rPr>
          <w:color w:val="000000" w:themeColor="text1"/>
          <w:lang w:eastAsia="en-GB"/>
        </w:rPr>
        <w:t xml:space="preserve"> linking local context to political behaviour are social interaction and contact </w:t>
      </w:r>
      <w:r w:rsidR="00C04FDD"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{"citationID":"ghn1gQ5g","properties":{"formattedCitation":"(Johnston &amp; Pattie, 2006; Nathan &amp; Sands, 2023)","plainCitation":"(Johnston &amp; Pattie, 2006; Nathan &amp; Sands, 2023)","noteIndex":0},"citationItems":[{"id":16093,"uris":["http://zotero.org/users/11001446/items/UPIAP52H"],"itemData":{"id":16093,"type":"book","ISBN":"0-19-151493-4","publisher":"OUP Oxford","title":"Putting voters in their place: Geography and elections in Great Britain","author":[{"family":"Johnston","given":"Ron"},{"family":"Pattie","given":"Charles"}],"issued":{"date-parts":[["2006"]]}}},{"id":724,"uris":["http://zotero.org/users/11001446/items/KDSPLLC5","http://zotero.org/users/11001446/items/PI2KCIRH"],"itemData":{"id":724,"type":"article-journal","container-title":"Annual Review of Political Science","ISSN":"1094-2939","journalAbbreviation":"Annual Review of Political Science","note":"publisher: Annual Reviews","title":"Context and contact: Unifying the study of environmental effects on politics","volume":"26","author":[{"family":"Nathan","given":"Noah L"},{"family":"Sands","given":"Melissa L"}],"issued":{"date-parts":[["2023"]]}}}],"schema":"https://github.com/citation-style-language/schema/raw/master/csl-citation.json"} </w:instrText>
      </w:r>
      <w:r w:rsidR="00C04FDD" w:rsidRPr="00A90CCE">
        <w:rPr>
          <w:color w:val="000000" w:themeColor="text1"/>
          <w:lang w:eastAsia="en-GB"/>
        </w:rPr>
        <w:fldChar w:fldCharType="separate"/>
      </w:r>
      <w:r w:rsidR="00C04FDD" w:rsidRPr="00A90CCE">
        <w:t>(Johnston &amp; Pattie, 2006; Nathan &amp; Sands, 2023)</w:t>
      </w:r>
      <w:r w:rsidR="00C04FDD" w:rsidRPr="00A90CCE">
        <w:rPr>
          <w:color w:val="000000" w:themeColor="text1"/>
          <w:lang w:eastAsia="en-GB"/>
        </w:rPr>
        <w:fldChar w:fldCharType="end"/>
      </w:r>
      <w:r w:rsidRPr="00A90CCE">
        <w:rPr>
          <w:color w:val="000000" w:themeColor="text1"/>
          <w:lang w:eastAsia="en-GB"/>
        </w:rPr>
        <w:t xml:space="preserve">. Local urban environments and the arrangement of individuals within them </w:t>
      </w:r>
      <w:r w:rsidR="009471F7" w:rsidRPr="00A90CCE">
        <w:rPr>
          <w:color w:val="000000" w:themeColor="text1"/>
          <w:lang w:eastAsia="en-GB"/>
        </w:rPr>
        <w:t xml:space="preserve">affect the types of interactions people have, </w:t>
      </w:r>
      <w:r w:rsidRPr="00A90CCE">
        <w:rPr>
          <w:color w:val="000000" w:themeColor="text1"/>
          <w:lang w:eastAsia="en-GB"/>
        </w:rPr>
        <w:t>condition</w:t>
      </w:r>
      <w:r w:rsidR="009471F7" w:rsidRPr="00A90CCE">
        <w:rPr>
          <w:color w:val="000000" w:themeColor="text1"/>
          <w:lang w:eastAsia="en-GB"/>
        </w:rPr>
        <w:t>ing</w:t>
      </w:r>
      <w:r w:rsidRPr="00A90CCE">
        <w:rPr>
          <w:color w:val="000000" w:themeColor="text1"/>
          <w:lang w:eastAsia="en-GB"/>
        </w:rPr>
        <w:t xml:space="preserve"> </w:t>
      </w:r>
      <w:r w:rsidR="009471F7" w:rsidRPr="00A90CCE">
        <w:rPr>
          <w:color w:val="000000" w:themeColor="text1"/>
          <w:lang w:eastAsia="en-GB"/>
        </w:rPr>
        <w:t>both</w:t>
      </w:r>
      <w:r w:rsidRPr="00A90CCE">
        <w:rPr>
          <w:color w:val="000000" w:themeColor="text1"/>
          <w:lang w:eastAsia="en-GB"/>
        </w:rPr>
        <w:t xml:space="preserve"> the breadth and depth of social contact</w:t>
      </w:r>
      <w:r w:rsidR="009471F7" w:rsidRPr="00A90CCE">
        <w:rPr>
          <w:color w:val="000000" w:themeColor="text1"/>
          <w:lang w:eastAsia="en-GB"/>
        </w:rPr>
        <w:t xml:space="preserve"> </w:t>
      </w:r>
      <w:r w:rsidR="00433664" w:rsidRPr="00A90CCE">
        <w:rPr>
          <w:color w:val="000000" w:themeColor="text1"/>
          <w:lang w:eastAsia="en-GB"/>
        </w:rPr>
        <w:t>and</w:t>
      </w:r>
      <w:r w:rsidRPr="00A90CCE">
        <w:rPr>
          <w:color w:val="000000" w:themeColor="text1"/>
          <w:lang w:eastAsia="en-GB"/>
        </w:rPr>
        <w:t xml:space="preserve"> fundamentally shap</w:t>
      </w:r>
      <w:r w:rsidR="00433664" w:rsidRPr="00A90CCE">
        <w:rPr>
          <w:color w:val="000000" w:themeColor="text1"/>
          <w:lang w:eastAsia="en-GB"/>
        </w:rPr>
        <w:t>ing</w:t>
      </w:r>
      <w:r w:rsidRPr="00A90CCE">
        <w:rPr>
          <w:color w:val="000000" w:themeColor="text1"/>
          <w:lang w:eastAsia="en-GB"/>
        </w:rPr>
        <w:t xml:space="preserve"> the political beliefs and behaviours of individuals </w:t>
      </w:r>
      <w:r w:rsidR="00C04FDD"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{"citationID":"v9RSn9W3","properties":{"formattedCitation":"(Enos, 2017; Nathan, 2019; Nathan &amp; Sands, 2023)","plainCitation":"(Enos, 2017; Nathan, 2019; Nathan &amp; Sands, 2023)","noteIndex":0},"citationItems":[{"id":103,"uris":["http://zotero.org/users/11001446/items/BCA3V6TP"],"itemData":{"id":103,"type":"book","event-place":"Cambridge","language":"en","publisher":"Cambridge University Press","publisher-place":"Cambridge","title":"The Space Between Us: Social Geography and Politics","author":[{"family":"Enos","given":"R."}],"issued":{"date-parts":[["2017"]]}}},{"id":524,"uris":["http://zotero.org/users/11001446/items/UNF3U5AH"],"itemData":{"id":524,"type":"book","ISBN":"1-108-47495-0","publisher":"Cambridge University Press","title":"Electoral politics and Africa's Urban transition: class and ethnicity in Ghana","author":[{"family":"Nathan","given":"Noah L"}],"issued":{"date-parts":[["2019"]]}}},{"id":724,"uris":["http://zotero.org/users/11001446/items/KDSPLLC5","http://zotero.org/users/11001446/items/PI2KCIRH"],"itemData":{"id":724,"type":"article-journal","container-title":"Annual Review of Political Science","ISSN":"1094-2939","journalAbbreviation":"Annual Review of Political Science","note":"publisher: Annual Reviews","title":"Context and contact: Unifying the study of environmental effects on politics","volume":"26","author":[{"family":"Nathan","given":"Noah L"},{"family":"Sands","given":"Melissa L"}],"issued":{"date-parts":[["2023"]]}}}],"schema":"https://github.com/citation-style-language/schema/raw/master/csl-citation.json"} </w:instrText>
      </w:r>
      <w:r w:rsidR="00C04FDD" w:rsidRPr="00A90CCE">
        <w:rPr>
          <w:color w:val="000000" w:themeColor="text1"/>
          <w:lang w:eastAsia="en-GB"/>
        </w:rPr>
        <w:fldChar w:fldCharType="separate"/>
      </w:r>
      <w:r w:rsidR="00C04FDD" w:rsidRPr="00A90CCE">
        <w:t>(Enos, 2017; Nathan, 2019; Nathan &amp; Sands, 2023)</w:t>
      </w:r>
      <w:r w:rsidR="00C04FDD" w:rsidRPr="00A90CCE">
        <w:rPr>
          <w:color w:val="000000" w:themeColor="text1"/>
          <w:lang w:eastAsia="en-GB"/>
        </w:rPr>
        <w:fldChar w:fldCharType="end"/>
      </w:r>
      <w:r w:rsidRPr="00A90CCE">
        <w:rPr>
          <w:color w:val="000000" w:themeColor="text1"/>
          <w:lang w:eastAsia="en-GB"/>
        </w:rPr>
        <w:t>. Our aim is to understand how living in a city with high youth shares will influence individual political behaviour</w:t>
      </w:r>
      <w:r w:rsidR="004B0609" w:rsidRPr="00A90CCE">
        <w:rPr>
          <w:color w:val="000000" w:themeColor="text1"/>
          <w:lang w:eastAsia="en-GB"/>
        </w:rPr>
        <w:t xml:space="preserve"> (context)</w:t>
      </w:r>
      <w:r w:rsidRPr="00A90CCE">
        <w:rPr>
          <w:color w:val="000000" w:themeColor="text1"/>
          <w:lang w:eastAsia="en-GB"/>
        </w:rPr>
        <w:t xml:space="preserve">, in addition </w:t>
      </w:r>
      <w:r w:rsidR="004B0609" w:rsidRPr="00A90CCE">
        <w:rPr>
          <w:color w:val="000000" w:themeColor="text1"/>
          <w:lang w:eastAsia="en-GB"/>
        </w:rPr>
        <w:t>t</w:t>
      </w:r>
      <w:r w:rsidRPr="00A90CCE">
        <w:rPr>
          <w:color w:val="000000" w:themeColor="text1"/>
          <w:lang w:eastAsia="en-GB"/>
        </w:rPr>
        <w:t xml:space="preserve">o </w:t>
      </w:r>
      <w:r w:rsidR="004B0609" w:rsidRPr="00A90CCE">
        <w:rPr>
          <w:color w:val="000000" w:themeColor="text1"/>
          <w:lang w:eastAsia="en-GB"/>
        </w:rPr>
        <w:t xml:space="preserve">how political behaviour is shaped by </w:t>
      </w:r>
      <w:proofErr w:type="gramStart"/>
      <w:r w:rsidR="004B0609" w:rsidRPr="00A90CCE">
        <w:rPr>
          <w:color w:val="000000" w:themeColor="text1"/>
          <w:lang w:eastAsia="en-GB"/>
        </w:rPr>
        <w:t xml:space="preserve">an </w:t>
      </w:r>
      <w:r w:rsidRPr="00A90CCE">
        <w:rPr>
          <w:color w:val="000000" w:themeColor="text1"/>
          <w:lang w:eastAsia="en-GB"/>
        </w:rPr>
        <w:t xml:space="preserve"> individual’s</w:t>
      </w:r>
      <w:proofErr w:type="gramEnd"/>
      <w:r w:rsidRPr="00A90CCE">
        <w:rPr>
          <w:color w:val="000000" w:themeColor="text1"/>
          <w:lang w:eastAsia="en-GB"/>
        </w:rPr>
        <w:t xml:space="preserve"> own age</w:t>
      </w:r>
      <w:r w:rsidR="004B0609" w:rsidRPr="00A90CCE">
        <w:rPr>
          <w:color w:val="000000" w:themeColor="text1"/>
          <w:lang w:eastAsia="en-GB"/>
        </w:rPr>
        <w:t xml:space="preserve"> (composition)</w:t>
      </w:r>
      <w:r w:rsidRPr="00A90CCE">
        <w:rPr>
          <w:color w:val="000000" w:themeColor="text1"/>
          <w:lang w:eastAsia="en-GB"/>
        </w:rPr>
        <w:t xml:space="preserve">. </w:t>
      </w:r>
    </w:p>
    <w:p w14:paraId="70D7A299" w14:textId="77777777" w:rsidR="004C337E" w:rsidRPr="00A90CCE" w:rsidRDefault="004C337E" w:rsidP="00804002">
      <w:pPr>
        <w:spacing w:after="120" w:line="480" w:lineRule="auto"/>
        <w:jc w:val="both"/>
        <w:rPr>
          <w:color w:val="000000" w:themeColor="text1"/>
          <w:lang w:eastAsia="en-GB"/>
        </w:rPr>
      </w:pPr>
    </w:p>
    <w:p w14:paraId="1CAC92FD" w14:textId="38979036" w:rsidR="00AC7F49" w:rsidRPr="00A90CCE" w:rsidRDefault="00751954" w:rsidP="004858DB">
      <w:pPr>
        <w:spacing w:after="120" w:line="480" w:lineRule="auto"/>
        <w:jc w:val="both"/>
        <w:rPr>
          <w:b/>
          <w:bCs/>
          <w:i/>
          <w:iCs/>
          <w:color w:val="000000" w:themeColor="text1"/>
          <w:lang w:eastAsia="en-GB"/>
        </w:rPr>
      </w:pPr>
      <w:r w:rsidRPr="00A90CCE">
        <w:rPr>
          <w:b/>
          <w:bCs/>
          <w:i/>
          <w:iCs/>
          <w:color w:val="000000" w:themeColor="text1"/>
          <w:lang w:eastAsia="en-GB"/>
        </w:rPr>
        <w:t xml:space="preserve">2.1 </w:t>
      </w:r>
      <w:r w:rsidR="00804002" w:rsidRPr="00A90CCE">
        <w:rPr>
          <w:b/>
          <w:bCs/>
          <w:i/>
          <w:iCs/>
          <w:color w:val="000000" w:themeColor="text1"/>
          <w:lang w:eastAsia="en-GB"/>
        </w:rPr>
        <w:t xml:space="preserve">Individual level effects of city youth shares </w:t>
      </w:r>
    </w:p>
    <w:p w14:paraId="76317D0E" w14:textId="49F06397" w:rsidR="004C337E" w:rsidRDefault="004C337E" w:rsidP="004858DB">
      <w:pPr>
        <w:spacing w:after="120" w:line="480" w:lineRule="auto"/>
        <w:jc w:val="both"/>
        <w:rPr>
          <w:color w:val="000000" w:themeColor="text1"/>
          <w:lang w:eastAsia="en-GB"/>
        </w:rPr>
      </w:pPr>
      <w:r w:rsidRPr="00A90CCE">
        <w:rPr>
          <w:color w:val="000000" w:themeColor="text1"/>
          <w:lang w:eastAsia="en-GB"/>
        </w:rPr>
        <w:t xml:space="preserve">The mechanisms linking both </w:t>
      </w:r>
      <w:r w:rsidRPr="00A90CCE">
        <w:rPr>
          <w:i/>
          <w:iCs/>
          <w:color w:val="000000" w:themeColor="text1"/>
          <w:lang w:eastAsia="en-GB"/>
        </w:rPr>
        <w:t>compositional</w:t>
      </w:r>
      <w:r w:rsidRPr="00A90CCE">
        <w:rPr>
          <w:color w:val="000000" w:themeColor="text1"/>
          <w:lang w:eastAsia="en-GB"/>
        </w:rPr>
        <w:t xml:space="preserve"> and </w:t>
      </w:r>
      <w:r w:rsidRPr="00A90CCE">
        <w:rPr>
          <w:i/>
          <w:iCs/>
          <w:color w:val="000000" w:themeColor="text1"/>
          <w:lang w:eastAsia="en-GB"/>
        </w:rPr>
        <w:t>contextual</w:t>
      </w:r>
      <w:r w:rsidRPr="00A90CCE">
        <w:rPr>
          <w:color w:val="000000" w:themeColor="text1"/>
          <w:lang w:eastAsia="en-GB"/>
        </w:rPr>
        <w:t xml:space="preserve"> effects to individual political behaviour are t</w:t>
      </w:r>
      <w:r w:rsidR="009E5600" w:rsidRPr="00A90CCE">
        <w:rPr>
          <w:color w:val="000000" w:themeColor="text1"/>
          <w:lang w:eastAsia="en-GB"/>
        </w:rPr>
        <w:t xml:space="preserve">ypically framed </w:t>
      </w:r>
      <w:r w:rsidRPr="00A90CCE">
        <w:rPr>
          <w:color w:val="000000" w:themeColor="text1"/>
          <w:lang w:eastAsia="en-GB"/>
        </w:rPr>
        <w:t xml:space="preserve">in terms of the </w:t>
      </w:r>
      <w:r w:rsidR="009E5600" w:rsidRPr="00A90CCE">
        <w:rPr>
          <w:color w:val="000000" w:themeColor="text1"/>
          <w:lang w:eastAsia="en-GB"/>
        </w:rPr>
        <w:t>motive</w:t>
      </w:r>
      <w:r w:rsidRPr="00A90CCE">
        <w:rPr>
          <w:color w:val="000000" w:themeColor="text1"/>
          <w:lang w:eastAsia="en-GB"/>
        </w:rPr>
        <w:t>s</w:t>
      </w:r>
      <w:r w:rsidR="009E5600" w:rsidRPr="00A90CCE">
        <w:rPr>
          <w:color w:val="000000" w:themeColor="text1"/>
          <w:lang w:eastAsia="en-GB"/>
        </w:rPr>
        <w:t>, means, and opportunity</w:t>
      </w:r>
      <w:r w:rsidRPr="00A90CCE">
        <w:rPr>
          <w:color w:val="000000" w:themeColor="text1"/>
          <w:lang w:eastAsia="en-GB"/>
        </w:rPr>
        <w:t xml:space="preserve"> for distinct types of political action</w:t>
      </w:r>
      <w:r w:rsidR="009E5600" w:rsidRPr="00A90CCE">
        <w:rPr>
          <w:color w:val="000000" w:themeColor="text1"/>
          <w:lang w:eastAsia="en-GB"/>
        </w:rPr>
        <w:t>. We take these in turn, discussing the specific mechanisms with</w:t>
      </w:r>
      <w:r w:rsidRPr="00A90CCE">
        <w:rPr>
          <w:color w:val="000000" w:themeColor="text1"/>
          <w:lang w:eastAsia="en-GB"/>
        </w:rPr>
        <w:t>in</w:t>
      </w:r>
      <w:r w:rsidR="009E5600" w:rsidRPr="00A90CCE">
        <w:rPr>
          <w:color w:val="000000" w:themeColor="text1"/>
          <w:lang w:eastAsia="en-GB"/>
        </w:rPr>
        <w:t xml:space="preserve"> each general category and the links to </w:t>
      </w:r>
      <w:r w:rsidRPr="00A90CCE">
        <w:rPr>
          <w:color w:val="000000" w:themeColor="text1"/>
          <w:lang w:eastAsia="en-GB"/>
        </w:rPr>
        <w:t xml:space="preserve">distinct modes </w:t>
      </w:r>
      <w:r w:rsidR="00433664" w:rsidRPr="00A90CCE">
        <w:rPr>
          <w:color w:val="000000" w:themeColor="text1"/>
          <w:lang w:eastAsia="en-GB"/>
        </w:rPr>
        <w:t xml:space="preserve">of </w:t>
      </w:r>
      <w:r w:rsidR="009E5600" w:rsidRPr="00A90CCE">
        <w:rPr>
          <w:color w:val="000000" w:themeColor="text1"/>
          <w:lang w:eastAsia="en-GB"/>
        </w:rPr>
        <w:t>political behaviour – both formal and informal.</w:t>
      </w:r>
    </w:p>
    <w:p w14:paraId="2BAA0744" w14:textId="77777777" w:rsidR="001A2FC7" w:rsidRDefault="001A2FC7" w:rsidP="004858DB">
      <w:pPr>
        <w:spacing w:after="120" w:line="480" w:lineRule="auto"/>
        <w:jc w:val="both"/>
        <w:rPr>
          <w:color w:val="000000" w:themeColor="text1"/>
          <w:lang w:eastAsia="en-GB"/>
        </w:rPr>
      </w:pPr>
    </w:p>
    <w:p w14:paraId="4246B15E" w14:textId="6DD6A968" w:rsidR="00804002" w:rsidRPr="00A90CCE" w:rsidRDefault="00804002" w:rsidP="004858DB">
      <w:pPr>
        <w:spacing w:after="120" w:line="480" w:lineRule="auto"/>
        <w:jc w:val="both"/>
        <w:rPr>
          <w:b/>
          <w:bCs/>
          <w:i/>
          <w:iCs/>
          <w:color w:val="000000" w:themeColor="text1"/>
          <w:lang w:eastAsia="en-GB"/>
        </w:rPr>
      </w:pPr>
      <w:r w:rsidRPr="00A90CCE">
        <w:rPr>
          <w:b/>
          <w:bCs/>
          <w:i/>
          <w:iCs/>
          <w:color w:val="000000" w:themeColor="text1"/>
          <w:lang w:eastAsia="en-GB"/>
        </w:rPr>
        <w:lastRenderedPageBreak/>
        <w:t xml:space="preserve">2.1.1 </w:t>
      </w:r>
      <w:r w:rsidR="009E5600" w:rsidRPr="00A90CCE">
        <w:rPr>
          <w:b/>
          <w:bCs/>
          <w:i/>
          <w:iCs/>
          <w:color w:val="000000" w:themeColor="text1"/>
          <w:lang w:eastAsia="en-GB"/>
        </w:rPr>
        <w:t>M</w:t>
      </w:r>
      <w:r w:rsidRPr="00A90CCE">
        <w:rPr>
          <w:b/>
          <w:bCs/>
          <w:i/>
          <w:iCs/>
          <w:color w:val="000000" w:themeColor="text1"/>
          <w:lang w:eastAsia="en-GB"/>
        </w:rPr>
        <w:t>otive</w:t>
      </w:r>
      <w:r w:rsidR="009E5600" w:rsidRPr="00A90CCE">
        <w:rPr>
          <w:b/>
          <w:bCs/>
          <w:i/>
          <w:iCs/>
          <w:color w:val="000000" w:themeColor="text1"/>
          <w:lang w:eastAsia="en-GB"/>
        </w:rPr>
        <w:t xml:space="preserve"> </w:t>
      </w:r>
      <w:r w:rsidRPr="00A90CCE">
        <w:rPr>
          <w:b/>
          <w:bCs/>
          <w:i/>
          <w:iCs/>
          <w:color w:val="000000" w:themeColor="text1"/>
          <w:lang w:eastAsia="en-GB"/>
        </w:rPr>
        <w:t>– local economic opportunities, grievances</w:t>
      </w:r>
      <w:r w:rsidR="009E5600" w:rsidRPr="00A90CCE">
        <w:rPr>
          <w:b/>
          <w:bCs/>
          <w:i/>
          <w:iCs/>
          <w:color w:val="000000" w:themeColor="text1"/>
          <w:lang w:eastAsia="en-GB"/>
        </w:rPr>
        <w:t>,</w:t>
      </w:r>
      <w:r w:rsidRPr="00A90CCE">
        <w:rPr>
          <w:b/>
          <w:bCs/>
          <w:i/>
          <w:iCs/>
          <w:color w:val="000000" w:themeColor="text1"/>
          <w:lang w:eastAsia="en-GB"/>
        </w:rPr>
        <w:t xml:space="preserve"> and dissatisfaction </w:t>
      </w:r>
    </w:p>
    <w:p w14:paraId="1A918609" w14:textId="6BF28174" w:rsidR="00804002" w:rsidRPr="00A90CCE" w:rsidRDefault="00804002" w:rsidP="004858DB">
      <w:pPr>
        <w:spacing w:after="120" w:line="480" w:lineRule="auto"/>
        <w:jc w:val="both"/>
        <w:rPr>
          <w:color w:val="000000" w:themeColor="text1"/>
          <w:lang w:eastAsia="en-GB"/>
        </w:rPr>
      </w:pPr>
      <w:r w:rsidRPr="00A90CCE">
        <w:rPr>
          <w:color w:val="000000" w:themeColor="text1"/>
          <w:lang w:eastAsia="en-GB"/>
        </w:rPr>
        <w:t>Large youth cohorts in urban contexts can shape the social and economic environment in which individual political motivations are formed. In cities characterised by high youth shares, individuals, especially</w:t>
      </w:r>
      <w:r w:rsidR="00433664" w:rsidRPr="00A90CCE">
        <w:rPr>
          <w:color w:val="000000" w:themeColor="text1"/>
          <w:lang w:eastAsia="en-GB"/>
        </w:rPr>
        <w:t xml:space="preserve"> youths</w:t>
      </w:r>
      <w:r w:rsidRPr="00A90CCE">
        <w:rPr>
          <w:color w:val="000000" w:themeColor="text1"/>
          <w:lang w:eastAsia="en-GB"/>
        </w:rPr>
        <w:t>, are more likely to encounter competitive, overcrowded labour markets leading to higher rates of unemployment, underemployment, or employment in marginal, informal jobs with poor pay and working conditions</w:t>
      </w:r>
      <w:r w:rsidR="00A22D37" w:rsidRPr="00A90CCE">
        <w:rPr>
          <w:color w:val="000000" w:themeColor="text1"/>
          <w:lang w:eastAsia="en-GB"/>
        </w:rPr>
        <w:t xml:space="preserve"> </w:t>
      </w:r>
      <w:r w:rsidR="00A22D37" w:rsidRPr="00A90CCE">
        <w:rPr>
          <w:color w:val="000000" w:themeColor="text1"/>
          <w:lang w:eastAsia="en-GB"/>
        </w:rPr>
        <w:fldChar w:fldCharType="begin"/>
      </w:r>
      <w:r w:rsidR="00A22D37" w:rsidRPr="00A90CCE">
        <w:rPr>
          <w:color w:val="000000" w:themeColor="text1"/>
          <w:lang w:eastAsia="en-GB"/>
        </w:rPr>
        <w:instrText xml:space="preserve"> ADDIN ZOTERO_ITEM CSL_CITATION {"citationID":"n4Th84xc","properties":{"formattedCitation":"(Apolte &amp; Gerling, 2018; Bricker &amp; Foley, 2013; Resnick &amp; Casale, 2014)","plainCitation":"(Apolte &amp; Gerling, 2018; Bricker &amp; Foley, 2013; Resnick &amp; Casale, 2014)","noteIndex":0},"citationItems":[{"id":178,"uris":["http://zotero.org/users/11001446/items/K3QRPFK3"],"itemData":{"id":178,"type":"article-journal","container-title":"Public Choice","ISSN":"0048-5829","issue":"1","journalAbbreviation":"Public Choice","note":"publisher: Springer","page":"63-93","title":"Youth bulges, insurrections and labor-market restrictions","volume":"175","author":[{"family":"Apolte","given":"Thomas"},{"family":"Gerling","given":"Lena"}],"issued":{"date-parts":[["2018"]]}}},{"id":179,"uris":["http://zotero.org/users/11001446/items/8IDPXQGS"],"itemData":{"id":179,"type":"article-journal","container-title":"International Journal of Conflict and Violence (IJCV)","ISSN":"1864-1385","issue":"1","journalAbbreviation":"International Journal of Conflict and Violence (IJCV)","page":"179-194","title":"The effect of youth demographics on violence: the importance of the labor market","volume":"7","author":[{"family":"Bricker","given":"Noah Q"},{"family":"Foley","given":"Mark C"}],"issued":{"date-parts":[["2013"]]}}},{"id":714,"uris":["http://zotero.org/users/11001446/items/S2S2K76V"],"itemData":{"id":714,"type":"article-journal","abstract":"Why do young Africans participate less in elections than their older counterparts? Given Africa's growing youth bulge, this constituency represents a numerically important voting bloc, and their lower participation in elections could undermine the legitimacy of the region's democratic trajectory. We address this question through a multi-level model that relies on individual-level data from the Afrobarometer surveys and country-level data for 19 of the region's more democratic countries. We classify Africa's youth as belonging to two categories, those aged 18–24 and those aged 25–35. We find that key determinants of the youth's voting behaviour include their access to political knowledge and information as well as their perceptions of the electoral context and party system. In the latter regard, the efficacy and fairness of elections and the degree of partisanship increase the youth's decision to vote, while the length of party incumbency is a deterrent to turnout. These findings hold important implication...","container-title":"Democratization","DOI":"10.1080/13510347.2013.793673","issue":"6","note":"DOI: 10.1080/13510347.2013.793673\nMAG ID: 2035517204","page":"1172-1194","title":"Young populations in young democracies: generational voting behaviour in sub-Saharan Africa","volume":"21","author":[{"family":"Resnick","given":"Danielle"},{"family":"Casale","given":"Daniela"}],"issued":{"date-parts":[["2014",11,11]]}}}],"schema":"https://github.com/citation-style-language/schema/raw/master/csl-citation.json"} </w:instrText>
      </w:r>
      <w:r w:rsidR="00A22D37" w:rsidRPr="00A90CCE">
        <w:rPr>
          <w:color w:val="000000" w:themeColor="text1"/>
          <w:lang w:eastAsia="en-GB"/>
        </w:rPr>
        <w:fldChar w:fldCharType="separate"/>
      </w:r>
      <w:r w:rsidR="00A22D37" w:rsidRPr="00A90CCE">
        <w:t>(Apolte &amp; Gerling, 2018; Bricker &amp; Foley, 2013; Resnick &amp; Casale, 2014)</w:t>
      </w:r>
      <w:r w:rsidR="00A22D37" w:rsidRPr="00A90CCE">
        <w:rPr>
          <w:color w:val="000000" w:themeColor="text1"/>
          <w:lang w:eastAsia="en-GB"/>
        </w:rPr>
        <w:fldChar w:fldCharType="end"/>
      </w:r>
      <w:r w:rsidRPr="00A90CCE">
        <w:rPr>
          <w:color w:val="000000" w:themeColor="text1"/>
          <w:lang w:eastAsia="en-GB"/>
        </w:rPr>
        <w:t>. Large youth shares are also likely to result in upward pressures on key urban services including healthcare, education, and other infrastructure</w:t>
      </w:r>
      <w:r w:rsidR="00F909EB" w:rsidRPr="00A90CCE">
        <w:rPr>
          <w:color w:val="000000" w:themeColor="text1"/>
          <w:lang w:eastAsia="en-GB"/>
        </w:rPr>
        <w:t xml:space="preserve"> </w:t>
      </w:r>
      <w:r w:rsidR="00F909EB" w:rsidRPr="00A90CCE">
        <w:rPr>
          <w:color w:val="000000" w:themeColor="text1"/>
          <w:lang w:eastAsia="en-GB"/>
        </w:rPr>
        <w:fldChar w:fldCharType="begin"/>
      </w:r>
      <w:r w:rsidR="00F909EB" w:rsidRPr="00A90CCE">
        <w:rPr>
          <w:color w:val="000000" w:themeColor="text1"/>
          <w:lang w:eastAsia="en-GB"/>
        </w:rPr>
        <w:instrText xml:space="preserve"> ADDIN ZOTERO_ITEM CSL_CITATION {"citationID":"UGDYPq0V","properties":{"formattedCitation":"(Fetzek &amp; Vivekananda, 2015; Menashe-Oren, 2020; Urdal &amp; Hoelscher, 2009)","plainCitation":"(Fetzek &amp; Vivekananda, 2015; Menashe-Oren, 2020; Urdal &amp; Hoelscher, 2009)","noteIndex":0},"citationItems":[{"id":16094,"uris":["http://zotero.org/users/11001446/items/8BX3XMFZ"],"itemData":{"id":16094,"type":"report","event-place":"London","publisher":"IISS","publisher-place":"London","title":"Climate change, violence  and young people: Report for Unicef UK","author":[{"family":"Fetzek","given":"Shiloh"},{"family":"Vivekananda","given":"Janani"}],"issued":{"date-parts":[["2015"]]}}},{"id":730,"uris":["http://zotero.org/users/11001446/items/WC79SN23"],"itemData":{"id":730,"type":"article-journal","container-title":"Demographic Research","ISSN":"1435-9871","journalAbbreviation":"Demographic Research","note":"publisher: JSTOR","page":"57-98","title":"Migrant-based youth bulges and social conflict in urban sub-Saharan Africa","volume":"42","author":[{"family":"Menashe-Oren","given":"Ashira"}],"issued":{"date-parts":[["2020"]]}}},{"id":16095,"uris":["http://zotero.org/users/11001446/items/CMPU74N5"],"itemData":{"id":16095,"type":"article-journal","container-title":"World Bank Policy Research Working Paper","issue":"5110","journalAbbreviation":"World Bank Policy Research Working Paper","title":"Urban youth bulges and social disorder: An empirical study of Asian and sub-Saharan African cities","author":[{"family":"Urdal","given":"Henrik"},{"family":"Hoelscher","given":"Kristian"}],"issued":{"date-parts":[["2009"]]}}}],"schema":"https://github.com/citation-style-language/schema/raw/master/csl-citation.json"} </w:instrText>
      </w:r>
      <w:r w:rsidR="00F909EB" w:rsidRPr="00A90CCE">
        <w:rPr>
          <w:color w:val="000000" w:themeColor="text1"/>
          <w:lang w:eastAsia="en-GB"/>
        </w:rPr>
        <w:fldChar w:fldCharType="separate"/>
      </w:r>
      <w:r w:rsidR="00F909EB" w:rsidRPr="00A90CCE">
        <w:t>(Fetzek &amp; Vivekananda, 2015; Menashe-Oren, 2020; Urdal &amp; Hoelscher, 2009)</w:t>
      </w:r>
      <w:r w:rsidR="00F909EB" w:rsidRPr="00A90CCE">
        <w:rPr>
          <w:color w:val="000000" w:themeColor="text1"/>
          <w:lang w:eastAsia="en-GB"/>
        </w:rPr>
        <w:fldChar w:fldCharType="end"/>
      </w:r>
      <w:r w:rsidRPr="00A90CCE">
        <w:rPr>
          <w:color w:val="000000" w:themeColor="text1"/>
          <w:lang w:eastAsia="en-GB"/>
        </w:rPr>
        <w:t>. This environment is likely to amplify dissatisfaction, fostering grievances directed towards formal political institutions or other social groups</w:t>
      </w:r>
      <w:r w:rsidR="00F909EB" w:rsidRPr="00A90CCE">
        <w:rPr>
          <w:color w:val="000000" w:themeColor="text1"/>
          <w:lang w:eastAsia="en-GB"/>
        </w:rPr>
        <w:t xml:space="preserve"> </w:t>
      </w:r>
      <w:r w:rsidR="00F909EB" w:rsidRPr="00A90CCE">
        <w:rPr>
          <w:color w:val="000000" w:themeColor="text1"/>
          <w:lang w:eastAsia="en-GB"/>
        </w:rPr>
        <w:fldChar w:fldCharType="begin"/>
      </w:r>
      <w:r w:rsidR="00F909EB" w:rsidRPr="00A90CCE">
        <w:rPr>
          <w:color w:val="000000" w:themeColor="text1"/>
          <w:lang w:eastAsia="en-GB"/>
        </w:rPr>
        <w:instrText xml:space="preserve"> ADDIN ZOTERO_ITEM CSL_CITATION {"citationID":"kocIvKZi","properties":{"formattedCitation":"(Weber, 2019)","plainCitation":"(Weber, 2019)","noteIndex":0},"citationItems":[{"id":177,"uris":["http://zotero.org/users/11001446/items/2BIR8L2Z"],"itemData":{"id":177,"type":"article-journal","container-title":"International interactions","ISSN":"0305-0629","issue":"1","journalAbbreviation":"International interactions","note":"publisher: Taylor &amp; Francis","page":"80-112","title":"Age structure and political violence: A re-assessment of the “youth bulge” hypothesis","volume":"45","author":[{"family":"Weber","given":"Hannes"}],"issued":{"date-parts":[["2019"]]}}}],"schema":"https://github.com/citation-style-language/schema/raw/master/csl-citation.json"} </w:instrText>
      </w:r>
      <w:r w:rsidR="00F909EB" w:rsidRPr="00A90CCE">
        <w:rPr>
          <w:color w:val="000000" w:themeColor="text1"/>
          <w:lang w:eastAsia="en-GB"/>
        </w:rPr>
        <w:fldChar w:fldCharType="separate"/>
      </w:r>
      <w:r w:rsidR="00F909EB" w:rsidRPr="00A90CCE">
        <w:t>(Weber, 2019)</w:t>
      </w:r>
      <w:r w:rsidR="00F909EB" w:rsidRPr="00A90CCE">
        <w:rPr>
          <w:color w:val="000000" w:themeColor="text1"/>
          <w:lang w:eastAsia="en-GB"/>
        </w:rPr>
        <w:fldChar w:fldCharType="end"/>
      </w:r>
      <w:r w:rsidRPr="00A90CCE">
        <w:rPr>
          <w:color w:val="000000" w:themeColor="text1"/>
          <w:lang w:eastAsia="en-GB"/>
        </w:rPr>
        <w:t>. Such contexts are likely to suppress formal forms of political participation such as voting in national and local elections, while creating an environment conducive to informal modes of expression including participation in protests or violent demonstrations</w:t>
      </w:r>
      <w:r w:rsidR="004B0609" w:rsidRPr="00A90CCE">
        <w:rPr>
          <w:color w:val="000000" w:themeColor="text1"/>
          <w:lang w:eastAsia="en-GB"/>
        </w:rPr>
        <w:t xml:space="preserve"> </w:t>
      </w:r>
      <w:r w:rsidR="004B0609" w:rsidRPr="00A90CCE">
        <w:rPr>
          <w:color w:val="000000" w:themeColor="text1"/>
          <w:lang w:eastAsia="en-GB"/>
        </w:rPr>
        <w:fldChar w:fldCharType="begin"/>
      </w:r>
      <w:r w:rsidR="004B0609" w:rsidRPr="00A90CCE">
        <w:rPr>
          <w:color w:val="000000" w:themeColor="text1"/>
          <w:lang w:eastAsia="en-GB"/>
        </w:rPr>
        <w:instrText xml:space="preserve"> ADDIN ZOTERO_ITEM CSL_CITATION {"citationID":"HuVQICNU","properties":{"formattedCitation":"(Akinyetun, 2023; Resnick &amp; Casale, 2014)","plainCitation":"(Akinyetun, 2023; Resnick &amp; Casale, 2014)","noteIndex":0},"citationItems":[{"id":176,"uris":["http://zotero.org/users/11001446/items/64ASE84S"],"itemData":{"id":176,"type":"article-journal","container-title":"African Security Review","ISSN":"1024-6029","issue":"2","journalAbbreviation":"African Security Review","note":"publisher: Taylor &amp; Francis","page":"184-199","title":"Demography and insecurity: Youth bulge and the Lake Chad Basin security quandary","volume":"32","author":[{"family":"Akinyetun","given":"Tope Shola"}],"issued":{"date-parts":[["2023"]]}}},{"id":714,"uris":["http://zotero.org/users/11001446/items/S2S2K76V"],"itemData":{"id":714,"type":"article-journal","abstract":"Why do young Africans participate less in elections than their older counterparts? Given Africa's growing youth bulge, this constituency represents a numerically important voting bloc, and their lower participation in elections could undermine the legitimacy of the region's democratic trajectory. We address this question through a multi-level model that relies on individual-level data from the Afrobarometer surveys and country-level data for 19 of the region's more democratic countries. We classify Africa's youth as belonging to two categories, those aged 18–24 and those aged 25–35. We find that key determinants of the youth's voting behaviour include their access to political knowledge and information as well as their perceptions of the electoral context and party system. In the latter regard, the efficacy and fairness of elections and the degree of partisanship increase the youth's decision to vote, while the length of party incumbency is a deterrent to turnout. These findings hold important implication...","container-title":"Democratization","DOI":"10.1080/13510347.2013.793673","issue":"6","note":"DOI: 10.1080/13510347.2013.793673\nMAG ID: 2035517204","page":"1172-1194","title":"Young populations in young democracies: generational voting behaviour in sub-Saharan Africa","volume":"21","author":[{"family":"Resnick","given":"Danielle"},{"family":"Casale","given":"Daniela"}],"issued":{"date-parts":[["2014",11,11]]}}}],"schema":"https://github.com/citation-style-language/schema/raw/master/csl-citation.json"} </w:instrText>
      </w:r>
      <w:r w:rsidR="004B0609" w:rsidRPr="00A90CCE">
        <w:rPr>
          <w:color w:val="000000" w:themeColor="text1"/>
          <w:lang w:eastAsia="en-GB"/>
        </w:rPr>
        <w:fldChar w:fldCharType="separate"/>
      </w:r>
      <w:r w:rsidR="004B0609" w:rsidRPr="00A90CCE">
        <w:t>(Akinyetun, 2023; Resnick &amp; Casale, 2014)</w:t>
      </w:r>
      <w:r w:rsidR="004B0609" w:rsidRPr="00A90CCE">
        <w:rPr>
          <w:color w:val="000000" w:themeColor="text1"/>
          <w:lang w:eastAsia="en-GB"/>
        </w:rPr>
        <w:fldChar w:fldCharType="end"/>
      </w:r>
      <w:r w:rsidR="004B0609" w:rsidRPr="00A90CCE">
        <w:rPr>
          <w:color w:val="000000" w:themeColor="text1"/>
          <w:lang w:eastAsia="en-GB"/>
        </w:rPr>
        <w:t>.</w:t>
      </w:r>
      <w:r w:rsidRPr="00A90CCE">
        <w:rPr>
          <w:color w:val="000000" w:themeColor="text1"/>
          <w:lang w:eastAsia="en-GB"/>
        </w:rPr>
        <w:t xml:space="preserve"> </w:t>
      </w:r>
    </w:p>
    <w:p w14:paraId="41C35D14" w14:textId="56372387" w:rsidR="00804002" w:rsidRPr="00A90CCE" w:rsidRDefault="00804002" w:rsidP="004C337E">
      <w:pPr>
        <w:spacing w:after="120" w:line="480" w:lineRule="auto"/>
        <w:ind w:firstLine="720"/>
        <w:jc w:val="both"/>
        <w:rPr>
          <w:color w:val="000000" w:themeColor="text1"/>
          <w:lang w:eastAsia="en-GB"/>
        </w:rPr>
      </w:pPr>
      <w:r w:rsidRPr="00A90CCE">
        <w:rPr>
          <w:color w:val="000000" w:themeColor="text1"/>
          <w:lang w:eastAsia="en-GB"/>
        </w:rPr>
        <w:t xml:space="preserve">Furthermore, the literature suggests that a combination of expanding youth cohorts and increased access to post-primary education can contribute to heightened political violence, even in context of low youth unemployment </w:t>
      </w:r>
      <w:r w:rsidR="00C23802" w:rsidRPr="00A90CCE">
        <w:rPr>
          <w:color w:val="000000" w:themeColor="text1"/>
          <w:lang w:eastAsia="en-GB"/>
        </w:rPr>
        <w:fldChar w:fldCharType="begin"/>
      </w:r>
      <w:r w:rsidR="00C23802" w:rsidRPr="00A90CCE">
        <w:rPr>
          <w:color w:val="000000" w:themeColor="text1"/>
          <w:lang w:eastAsia="en-GB"/>
        </w:rPr>
        <w:instrText xml:space="preserve"> ADDIN ZOTERO_ITEM CSL_CITATION {"citationID":"o8eHYyhh","properties":{"formattedCitation":"(Weber, 2019)","plainCitation":"(Weber, 2019)","noteIndex":0},"citationItems":[{"id":177,"uris":["http://zotero.org/users/11001446/items/2BIR8L2Z"],"itemData":{"id":177,"type":"article-journal","container-title":"International interactions","ISSN":"0305-0629","issue":"1","journalAbbreviation":"International interactions","note":"publisher: Taylor &amp; Francis","page":"80-112","title":"Age structure and political violence: A re-assessment of the “youth bulge” hypothesis","volume":"45","author":[{"family":"Weber","given":"Hannes"}],"issued":{"date-parts":[["2019"]]}}}],"schema":"https://github.com/citation-style-language/schema/raw/master/csl-citation.json"} </w:instrText>
      </w:r>
      <w:r w:rsidR="00C23802" w:rsidRPr="00A90CCE">
        <w:rPr>
          <w:color w:val="000000" w:themeColor="text1"/>
          <w:lang w:eastAsia="en-GB"/>
        </w:rPr>
        <w:fldChar w:fldCharType="separate"/>
      </w:r>
      <w:r w:rsidR="00C23802" w:rsidRPr="00A90CCE">
        <w:t>(Weber, 2019)</w:t>
      </w:r>
      <w:r w:rsidR="00C23802" w:rsidRPr="00A90CCE">
        <w:rPr>
          <w:color w:val="000000" w:themeColor="text1"/>
          <w:lang w:eastAsia="en-GB"/>
        </w:rPr>
        <w:fldChar w:fldCharType="end"/>
      </w:r>
      <w:r w:rsidRPr="00A90CCE">
        <w:rPr>
          <w:color w:val="000000" w:themeColor="text1"/>
          <w:lang w:eastAsia="en-GB"/>
        </w:rPr>
        <w:t xml:space="preserve">. The resulting </w:t>
      </w:r>
      <w:r w:rsidR="006552D8" w:rsidRPr="00A90CCE">
        <w:rPr>
          <w:color w:val="000000" w:themeColor="text1"/>
          <w:lang w:eastAsia="en-GB"/>
        </w:rPr>
        <w:t>gap</w:t>
      </w:r>
      <w:r w:rsidRPr="00A90CCE">
        <w:rPr>
          <w:color w:val="000000" w:themeColor="text1"/>
          <w:lang w:eastAsia="en-GB"/>
        </w:rPr>
        <w:t xml:space="preserve"> between educational attainment and available economic opportunities can generate significant frustrations among the youth, serving as a potential motivation for political apathy, disconnection, and disengagement</w:t>
      </w:r>
      <w:r w:rsidR="009471F7" w:rsidRPr="00A90CCE">
        <w:rPr>
          <w:color w:val="000000" w:themeColor="text1"/>
          <w:lang w:eastAsia="en-GB"/>
        </w:rPr>
        <w:t xml:space="preserve"> </w:t>
      </w:r>
      <w:r w:rsidR="00C23802" w:rsidRPr="00A90CCE">
        <w:rPr>
          <w:color w:val="000000" w:themeColor="text1"/>
          <w:lang w:eastAsia="en-GB"/>
        </w:rPr>
        <w:fldChar w:fldCharType="begin"/>
      </w:r>
      <w:r w:rsidR="00C23802" w:rsidRPr="00A90CCE">
        <w:rPr>
          <w:color w:val="000000" w:themeColor="text1"/>
          <w:lang w:eastAsia="en-GB"/>
        </w:rPr>
        <w:instrText xml:space="preserve"> ADDIN ZOTERO_ITEM CSL_CITATION {"citationID":"hgGMt70X","properties":{"formattedCitation":"(Nkansah, 2025; Nkansah &amp; Papp, 2023)","plainCitation":"(Nkansah, 2025; Nkansah &amp; Papp, 2023)","noteIndex":0},"citationItems":[{"id":16096,"uris":["http://zotero.org/users/11001446/items/ALVMH8QF"],"itemData":{"id":16096,"type":"paper-conference","event-place":"Bonn, Germany","event-title":"Megatrends Afrika Working Paper 15","publisher-place":"Bonn, Germany","title":"The “Demo-conomics” in  African Youth Politics: Youth Bulge and Unemployment Meet Political  Attitude and Participation","author":[{"family":"Nkansah","given":"Godfred Bonnah"}],"issued":{"date-parts":[["2025"]]}}},{"id":194,"uris":["http://zotero.org/users/11001446/items/WHJ5Y2MH"],"itemData":{"id":194,"type":"article-journal","container-title":"Journal of Youth Studies","ISSN":"1367-6261","issue":"7","journalAbbreviation":"Journal of Youth Studies","note":"publisher: Taylor &amp; Francis","page":"859-877","title":"Does cohort size matter? Assessing the effect of youth cohort size and peer influence on young people’s electoral participation","volume":"26","author":[{"family":"Nkansah","given":"Godfred Bonnah"},{"family":"Papp","given":"Zsófia"}],"issued":{"date-parts":[["2023"]]}}}],"schema":"https://github.com/citation-style-language/schema/raw/master/csl-citation.json"} </w:instrText>
      </w:r>
      <w:r w:rsidR="00C23802" w:rsidRPr="00A90CCE">
        <w:rPr>
          <w:color w:val="000000" w:themeColor="text1"/>
          <w:lang w:eastAsia="en-GB"/>
        </w:rPr>
        <w:fldChar w:fldCharType="separate"/>
      </w:r>
      <w:r w:rsidR="00C23802" w:rsidRPr="00A90CCE">
        <w:t>(Nkansah, 2025; Nkansah &amp; Papp, 2023)</w:t>
      </w:r>
      <w:r w:rsidR="00C23802" w:rsidRPr="00A90CCE">
        <w:rPr>
          <w:color w:val="000000" w:themeColor="text1"/>
          <w:lang w:eastAsia="en-GB"/>
        </w:rPr>
        <w:fldChar w:fldCharType="end"/>
      </w:r>
      <w:r w:rsidRPr="00A90CCE">
        <w:rPr>
          <w:color w:val="000000" w:themeColor="text1"/>
          <w:lang w:eastAsia="en-GB"/>
        </w:rPr>
        <w:t>. This is not merely a point about the educational composition of urban youths in African cities but the broader economic climate to which they are exposed. Economic opportunities, or lack thereof are fundamentally local, operating at the city level rather than nationally. The economic productivity of a city and its capacity to provide employment for a growing young population, are</w:t>
      </w:r>
      <w:r w:rsidR="009471F7" w:rsidRPr="00A90CCE">
        <w:rPr>
          <w:color w:val="000000" w:themeColor="text1"/>
          <w:lang w:eastAsia="en-GB"/>
        </w:rPr>
        <w:t>, therefore,</w:t>
      </w:r>
      <w:r w:rsidRPr="00A90CCE">
        <w:rPr>
          <w:color w:val="000000" w:themeColor="text1"/>
          <w:lang w:eastAsia="en-GB"/>
        </w:rPr>
        <w:t xml:space="preserve"> crucial contextual factors influencing individual grievances. </w:t>
      </w:r>
    </w:p>
    <w:p w14:paraId="5B11DE06" w14:textId="77777777" w:rsidR="001A2FC7" w:rsidRDefault="001A2FC7" w:rsidP="004858DB">
      <w:pPr>
        <w:spacing w:after="120" w:line="480" w:lineRule="auto"/>
        <w:jc w:val="both"/>
        <w:rPr>
          <w:b/>
          <w:bCs/>
          <w:i/>
          <w:iCs/>
          <w:color w:val="000000" w:themeColor="text1"/>
          <w:lang w:eastAsia="en-GB"/>
        </w:rPr>
      </w:pPr>
    </w:p>
    <w:p w14:paraId="404CF685" w14:textId="72A26537" w:rsidR="00804002" w:rsidRPr="00A90CCE" w:rsidRDefault="00804002" w:rsidP="004858DB">
      <w:pPr>
        <w:spacing w:after="120" w:line="480" w:lineRule="auto"/>
        <w:jc w:val="both"/>
        <w:rPr>
          <w:b/>
          <w:bCs/>
          <w:i/>
          <w:iCs/>
          <w:color w:val="000000" w:themeColor="text1"/>
          <w:lang w:eastAsia="en-GB"/>
        </w:rPr>
      </w:pPr>
      <w:r w:rsidRPr="00A90CCE">
        <w:rPr>
          <w:b/>
          <w:bCs/>
          <w:i/>
          <w:iCs/>
          <w:color w:val="000000" w:themeColor="text1"/>
          <w:lang w:eastAsia="en-GB"/>
        </w:rPr>
        <w:t xml:space="preserve">2.2.2 </w:t>
      </w:r>
      <w:r w:rsidR="009E5600" w:rsidRPr="00A90CCE">
        <w:rPr>
          <w:b/>
          <w:bCs/>
          <w:i/>
          <w:iCs/>
          <w:color w:val="000000" w:themeColor="text1"/>
          <w:lang w:eastAsia="en-GB"/>
        </w:rPr>
        <w:t>M</w:t>
      </w:r>
      <w:r w:rsidRPr="00A90CCE">
        <w:rPr>
          <w:b/>
          <w:bCs/>
          <w:i/>
          <w:iCs/>
          <w:color w:val="000000" w:themeColor="text1"/>
          <w:lang w:eastAsia="en-GB"/>
        </w:rPr>
        <w:t>eans</w:t>
      </w:r>
      <w:r w:rsidR="009E5600" w:rsidRPr="00A90CCE">
        <w:rPr>
          <w:b/>
          <w:bCs/>
          <w:i/>
          <w:iCs/>
          <w:color w:val="000000" w:themeColor="text1"/>
          <w:lang w:eastAsia="en-GB"/>
        </w:rPr>
        <w:t xml:space="preserve"> </w:t>
      </w:r>
      <w:r w:rsidRPr="00A90CCE">
        <w:rPr>
          <w:b/>
          <w:bCs/>
          <w:i/>
          <w:iCs/>
          <w:color w:val="000000" w:themeColor="text1"/>
          <w:lang w:eastAsia="en-GB"/>
        </w:rPr>
        <w:t xml:space="preserve">– participation costs and resource constraints </w:t>
      </w:r>
    </w:p>
    <w:p w14:paraId="059C7100" w14:textId="308C7EFD" w:rsidR="00804002" w:rsidRPr="00A90CCE" w:rsidRDefault="00804002" w:rsidP="004858DB">
      <w:pPr>
        <w:spacing w:after="120" w:line="480" w:lineRule="auto"/>
        <w:jc w:val="both"/>
        <w:rPr>
          <w:color w:val="000000" w:themeColor="text1"/>
          <w:lang w:eastAsia="en-GB"/>
        </w:rPr>
      </w:pPr>
      <w:r w:rsidRPr="00A90CCE">
        <w:rPr>
          <w:color w:val="000000" w:themeColor="text1"/>
          <w:lang w:eastAsia="en-GB"/>
        </w:rPr>
        <w:t>The demographic composition of a city can also influence the resources available to individuals and perceived costs associated with political participation. Large youth cohorts are typically comprised by individuals with comparatively limited social or economic responsibilities</w:t>
      </w:r>
      <w:r w:rsidR="004B0609" w:rsidRPr="00A90CCE">
        <w:rPr>
          <w:color w:val="000000" w:themeColor="text1"/>
          <w:lang w:eastAsia="en-GB"/>
        </w:rPr>
        <w:t>,</w:t>
      </w:r>
      <w:r w:rsidRPr="00A90CCE">
        <w:rPr>
          <w:color w:val="000000" w:themeColor="text1"/>
          <w:lang w:eastAsia="en-GB"/>
        </w:rPr>
        <w:t xml:space="preserve"> i.e., unmarried, non-primary carers who are for aforementioned reasons </w:t>
      </w:r>
      <w:r w:rsidR="009E5600" w:rsidRPr="00A90CCE">
        <w:rPr>
          <w:color w:val="000000" w:themeColor="text1"/>
          <w:lang w:eastAsia="en-GB"/>
        </w:rPr>
        <w:t>more</w:t>
      </w:r>
      <w:r w:rsidRPr="00A90CCE">
        <w:rPr>
          <w:color w:val="000000" w:themeColor="text1"/>
          <w:lang w:eastAsia="en-GB"/>
        </w:rPr>
        <w:t xml:space="preserve"> likely to be </w:t>
      </w:r>
      <w:r w:rsidR="004B0609" w:rsidRPr="00A90CCE">
        <w:rPr>
          <w:color w:val="000000" w:themeColor="text1"/>
          <w:lang w:eastAsia="en-GB"/>
        </w:rPr>
        <w:t xml:space="preserve">informally </w:t>
      </w:r>
      <w:r w:rsidRPr="00A90CCE">
        <w:rPr>
          <w:color w:val="000000" w:themeColor="text1"/>
          <w:lang w:eastAsia="en-GB"/>
        </w:rPr>
        <w:t xml:space="preserve">employed </w:t>
      </w:r>
      <w:r w:rsidR="009E5600" w:rsidRPr="00A90CCE">
        <w:rPr>
          <w:color w:val="000000" w:themeColor="text1"/>
          <w:lang w:eastAsia="en-GB"/>
        </w:rPr>
        <w:t xml:space="preserve">if at all </w:t>
      </w:r>
      <w:r w:rsidR="00C23802" w:rsidRPr="00A90CCE">
        <w:rPr>
          <w:color w:val="000000" w:themeColor="text1"/>
          <w:lang w:eastAsia="en-GB"/>
        </w:rPr>
        <w:fldChar w:fldCharType="begin"/>
      </w:r>
      <w:r w:rsidR="00C23802" w:rsidRPr="00A90CCE">
        <w:rPr>
          <w:color w:val="000000" w:themeColor="text1"/>
          <w:lang w:eastAsia="en-GB"/>
        </w:rPr>
        <w:instrText xml:space="preserve"> ADDIN ZOTERO_ITEM CSL_CITATION {"citationID":"44PdZRB8","properties":{"formattedCitation":"(Nkansah, 2022)","plainCitation":"(Nkansah, 2022)","noteIndex":0},"citationItems":[{"id":174,"uris":["http://zotero.org/users/11001446/items/EGQWYMQT"],"itemData":{"id":174,"type":"article-journal","container-title":"SAGE Open","ISSN":"2158-2440","issue":"2","journalAbbreviation":"SAGE Open","note":"publisher: SAGE Publications Sage CA: Los Angeles, CA","page":"21582440221096146","title":"Youth cohort size, structural socioeconomic conditions, and youth protest behavior in democratic societies (1995–2014)","volume":"12","author":[{"family":"Nkansah","given":"Godfred Bonnah"}],"issued":{"date-parts":[["2022"]]}}}],"schema":"https://github.com/citation-style-language/schema/raw/master/csl-citation.json"} </w:instrText>
      </w:r>
      <w:r w:rsidR="00C23802" w:rsidRPr="00A90CCE">
        <w:rPr>
          <w:color w:val="000000" w:themeColor="text1"/>
          <w:lang w:eastAsia="en-GB"/>
        </w:rPr>
        <w:fldChar w:fldCharType="separate"/>
      </w:r>
      <w:r w:rsidR="00C23802" w:rsidRPr="00A90CCE">
        <w:t>(Nkansah, 2022)</w:t>
      </w:r>
      <w:r w:rsidR="00C23802" w:rsidRPr="00A90CCE">
        <w:rPr>
          <w:color w:val="000000" w:themeColor="text1"/>
          <w:lang w:eastAsia="en-GB"/>
        </w:rPr>
        <w:fldChar w:fldCharType="end"/>
      </w:r>
      <w:r w:rsidRPr="00A90CCE">
        <w:rPr>
          <w:color w:val="000000" w:themeColor="text1"/>
          <w:lang w:eastAsia="en-GB"/>
        </w:rPr>
        <w:t xml:space="preserve">. These individuals have lower opportunity costs </w:t>
      </w:r>
      <w:r w:rsidR="000D311B" w:rsidRPr="00A90CCE">
        <w:rPr>
          <w:color w:val="000000" w:themeColor="text1"/>
          <w:lang w:eastAsia="en-GB"/>
        </w:rPr>
        <w:t>vis-a-vis</w:t>
      </w:r>
      <w:r w:rsidRPr="00A90CCE">
        <w:rPr>
          <w:color w:val="000000" w:themeColor="text1"/>
          <w:lang w:eastAsia="en-GB"/>
        </w:rPr>
        <w:t xml:space="preserve"> engaging in informal political activities that carry greater risk, such as protests and violent demonstrations</w:t>
      </w:r>
      <w:r w:rsidR="009471F7" w:rsidRPr="00A90CCE">
        <w:rPr>
          <w:color w:val="000000" w:themeColor="text1"/>
          <w:lang w:eastAsia="en-GB"/>
        </w:rPr>
        <w:t xml:space="preserve"> </w:t>
      </w:r>
      <w:r w:rsidR="00573975" w:rsidRPr="00A90CCE">
        <w:rPr>
          <w:color w:val="000000" w:themeColor="text1"/>
          <w:lang w:eastAsia="en-GB"/>
        </w:rPr>
        <w:fldChar w:fldCharType="begin"/>
      </w:r>
      <w:r w:rsidR="00573975" w:rsidRPr="00A90CCE">
        <w:rPr>
          <w:color w:val="000000" w:themeColor="text1"/>
          <w:lang w:eastAsia="en-GB"/>
        </w:rPr>
        <w:instrText xml:space="preserve"> ADDIN ZOTERO_ITEM CSL_CITATION {"citationID":"0lfcPoz6","properties":{"formattedCitation":"(Urdal, 2006)","plainCitation":"(Urdal, 2006)","noteIndex":0},"citationItems":[{"id":710,"uris":["http://zotero.org/users/11001446/items/TCXHZPSQ"],"itemData":{"id":710,"type":"article-journal","abstract":"[It has frequently been suggested that exceptionally large youth cohorts, the so-called \"youth bulges,\" make countries more susceptible to political violence. Within two prominent theoretical frameworks in the study of civil war, youth bulges are argued to potentially increase both opportunities and motives for political violence. This claim is empirically tested in a time-series cross-national statistical model for internal armed conflict for the period 1950-2000, and for event data for terrorism and rioting for the years 1984-1995. The expectation that youth bulges should increase the risk of political violence receives robust support for all three forms of violence. The results are consistent both with an expectation that youth bulges provide greater opportunities for violence through the abundant supply of youths with low opportunity costs, and with an expectation that stronger motives for violence may arise as youth bulges are more likely to experience institutional crowding, in particular unemployment. Some contextual factors have been suggested to potentially enhance the effect of youth bulges. In an empirical test of these propositions, the study suggests that youth bulges are particularly associated with an increasing risk of internal armed conflict in starkly autocratic regimes, but a similar effect is also found for highly democratic countries. The interaction of youth bulges with economic decline and expansion in higher education appear to increase the risk of terrorism but not of rioting. Recent studies in economic demography find that when fertility is sharply decreasing, causing lower dependency ratios, large youth cohorts entering the labor market may lead to economic boosts. This study finds some empirical evidence complementing these results, indicating that the effect of youth bulges on political violence may decline along with reduced dependency ratios.]","archive":"JSTOR","container-title":"International Studies Quarterly","ISSN":"00208833, 14682478","issue":"3","note":"publisher: [International Studies Association, Wiley]","page":"607-629","title":"A Clash of Generations? Youth Bulges and Political Violence","volume":"50","author":[{"family":"Urdal","given":"Henrik"}],"issued":{"date-parts":[["2006"]]}}}],"schema":"https://github.com/citation-style-language/schema/raw/master/csl-citation.json"} </w:instrText>
      </w:r>
      <w:r w:rsidR="00573975" w:rsidRPr="00A90CCE">
        <w:rPr>
          <w:color w:val="000000" w:themeColor="text1"/>
          <w:lang w:eastAsia="en-GB"/>
        </w:rPr>
        <w:fldChar w:fldCharType="separate"/>
      </w:r>
      <w:r w:rsidR="00573975" w:rsidRPr="00A90CCE">
        <w:t>(Urdal, 2006)</w:t>
      </w:r>
      <w:r w:rsidR="00573975" w:rsidRPr="00A90CCE">
        <w:rPr>
          <w:color w:val="000000" w:themeColor="text1"/>
          <w:lang w:eastAsia="en-GB"/>
        </w:rPr>
        <w:fldChar w:fldCharType="end"/>
      </w:r>
      <w:r w:rsidRPr="00A90CCE">
        <w:rPr>
          <w:color w:val="000000" w:themeColor="text1"/>
          <w:lang w:eastAsia="en-GB"/>
        </w:rPr>
        <w:t xml:space="preserve">. </w:t>
      </w:r>
      <w:r w:rsidR="000D311B" w:rsidRPr="00A90CCE">
        <w:rPr>
          <w:color w:val="000000" w:themeColor="text1"/>
          <w:lang w:eastAsia="en-GB"/>
        </w:rPr>
        <w:t>Moreover, y</w:t>
      </w:r>
      <w:r w:rsidRPr="00A90CCE">
        <w:rPr>
          <w:color w:val="000000" w:themeColor="text1"/>
          <w:lang w:eastAsia="en-GB"/>
        </w:rPr>
        <w:t>ounger people without good jobs, familial obligations, or caring responsibilities will also have less stake in, and therefore fewer incentives to participate in, formal politics.  The net result of these reduced costs is to make participation in informal collective action more appealing in cities where there are high concentrations of young people</w:t>
      </w:r>
      <w:r w:rsidR="00573975" w:rsidRPr="00A90CCE">
        <w:rPr>
          <w:color w:val="000000" w:themeColor="text1"/>
          <w:lang w:eastAsia="en-GB"/>
        </w:rPr>
        <w:t xml:space="preserve"> </w:t>
      </w:r>
      <w:r w:rsidR="00573975" w:rsidRPr="00A90CCE">
        <w:rPr>
          <w:color w:val="000000" w:themeColor="text1"/>
          <w:lang w:eastAsia="en-GB"/>
        </w:rPr>
        <w:fldChar w:fldCharType="begin"/>
      </w:r>
      <w:r w:rsidR="00573975" w:rsidRPr="00A90CCE">
        <w:rPr>
          <w:color w:val="000000" w:themeColor="text1"/>
          <w:lang w:eastAsia="en-GB"/>
        </w:rPr>
        <w:instrText xml:space="preserve"> ADDIN ZOTERO_ITEM CSL_CITATION {"citationID":"7MNaxiRJ","properties":{"formattedCitation":"(Hartmann &amp; Biira, 2021; Mueller, 2018; Tambe &amp; Kopacheva, 2023)","plainCitation":"(Hartmann &amp; Biira, 2021; Mueller, 2018; Tambe &amp; Kopacheva, 2023)","noteIndex":0},"citationItems":[{"id":440,"uris":["http://zotero.org/users/11001446/items/VFNTHEU5"],"itemData":{"id":440,"type":"chapter","abstract":"The analysis of demographic trends in Uganda and Côte d’Ivoire reveals a number of interesting results. The population of both countries is still growing steadily and becoming more youthful, in line with developments in most other sub-Saharan African states. This represents a major challenge for policymaking, especially with regard to the provision of jobs and quality education. At the same time, both Côte d’Ivoire and Uganda have been and continue to be net importers of immigrants, albeit for different reasons (economic or conflict-induced). The growing number of young people without economic opportunities and the consequent precarious prospects of leading a decent (family) life has led neither to a massive eruption of political violence, nor to the questioning of the legitimacy of the existing political order and established modes of political regulation. The trajectory of youth political engagement and mobilization is thus quite different from the countries of the Arab Spring. Incidents of youth becoming violent in Uganda and Côte d’Ivoire seem to occur in a context of elite-instigated and elite-controlled mobilization, with violence being one instrument among others in political competition. Economic exclusion makes it easier for politicians of all parties to manipulate youth when small amounts of money suffice to make young people attend election rallies or intimidate political opponents. In both Côte d’Ivoire and Uganda, the dominant, and ultimately successful, strategy of state elites remained their capacity to manage access to the official police and military apparatus, and to other private benefits for youth leaders.","container-title":"Global Political Demography: The Politics of Population Change","event-place":"Cham","ISBN":"978-3-030-73065-9","note":"DOI: 10.1007/978-3-030-73065-9_9","page":"219-246","publisher":"Springer International Publishing","publisher-place":"Cham","title":"Demographic Change and Political Order in Sub-Saharan Africa: How Côte d’Ivoire and Uganda Deal with Youth Bulge and Politicized Migration","URL":"https://doi.org/10.1007/978-3-030-73065-9_9","author":[{"family":"Hartmann","given":"Christof"},{"family":"Biira","given":"Catherine Promise"}],"editor":[{"family":"Goerres","given":"Achim"},{"family":"Vanhuysse","given":"Pieter"}],"issued":{"date-parts":[["2021"]]}}},{"id":726,"uris":["http://zotero.org/users/11001446/items/NPV43XU5"],"itemData":{"id":726,"type":"book","event-place":"Cambridge","publisher":"Cambridge University Press","publisher-place":"Cambridge","title":"Political protest in contemporary Africa","author":[{"family":"Mueller","given":"Lisa"}],"issued":{"date-parts":[["2018"]]}}},{"id":441,"uris":["http://zotero.org/users/11001446/items/EY3GADXR"],"itemData":{"id":441,"type":"article-journal","container-title":"Representation","DOI":"10.1080/00344893.2023.2173281","ISSN":"0034-4893","journalAbbreviation":"Representation","note":"publisher: Routledge","page":"1-19","title":"Age and Political Participation in Africa’s Electoral Regimes","author":[{"family":"Tambe","given":"Elvis Bisong"},{"family":"Kopacheva","given":"Elizaveta"}],"issued":{"date-parts":[["2023"]]}}}],"schema":"https://github.com/citation-style-language/schema/raw/master/csl-citation.json"} </w:instrText>
      </w:r>
      <w:r w:rsidR="00573975" w:rsidRPr="00A90CCE">
        <w:rPr>
          <w:color w:val="000000" w:themeColor="text1"/>
          <w:lang w:eastAsia="en-GB"/>
        </w:rPr>
        <w:fldChar w:fldCharType="separate"/>
      </w:r>
      <w:r w:rsidR="00573975" w:rsidRPr="00A90CCE">
        <w:t>(Hartmann &amp; Biira, 2021; Mueller, 2018; Tambe &amp; Kopacheva, 2023)</w:t>
      </w:r>
      <w:r w:rsidR="00573975" w:rsidRPr="00A90CCE">
        <w:rPr>
          <w:color w:val="000000" w:themeColor="text1"/>
          <w:lang w:eastAsia="en-GB"/>
        </w:rPr>
        <w:fldChar w:fldCharType="end"/>
      </w:r>
      <w:r w:rsidRPr="00A90CCE">
        <w:rPr>
          <w:color w:val="000000" w:themeColor="text1"/>
          <w:lang w:eastAsia="en-GB"/>
        </w:rPr>
        <w:t xml:space="preserve">. </w:t>
      </w:r>
    </w:p>
    <w:p w14:paraId="07AE90FF" w14:textId="3E8A78AE" w:rsidR="00804002" w:rsidRPr="00A90CCE" w:rsidRDefault="00804002" w:rsidP="004C337E">
      <w:pPr>
        <w:spacing w:after="120" w:line="480" w:lineRule="auto"/>
        <w:ind w:firstLine="720"/>
        <w:jc w:val="both"/>
        <w:rPr>
          <w:color w:val="000000" w:themeColor="text1"/>
          <w:lang w:eastAsia="en-GB"/>
        </w:rPr>
      </w:pPr>
      <w:r w:rsidRPr="00A90CCE">
        <w:rPr>
          <w:color w:val="000000" w:themeColor="text1"/>
          <w:lang w:eastAsia="en-GB"/>
        </w:rPr>
        <w:t xml:space="preserve">Conversely, resource-based theories of political participation present a counterargument. Participation in political processes is costly to individuals in terms of time, </w:t>
      </w:r>
      <w:r w:rsidR="009E5600" w:rsidRPr="00A90CCE">
        <w:rPr>
          <w:color w:val="000000" w:themeColor="text1"/>
          <w:lang w:eastAsia="en-GB"/>
        </w:rPr>
        <w:t>financial resources</w:t>
      </w:r>
      <w:r w:rsidRPr="00A90CCE">
        <w:rPr>
          <w:color w:val="000000" w:themeColor="text1"/>
          <w:lang w:eastAsia="en-GB"/>
        </w:rPr>
        <w:t>, and the accumulation of political knowledge</w:t>
      </w:r>
      <w:r w:rsidR="00573975" w:rsidRPr="00A90CCE">
        <w:rPr>
          <w:color w:val="000000" w:themeColor="text1"/>
          <w:lang w:eastAsia="en-GB"/>
        </w:rPr>
        <w:t xml:space="preserve"> </w:t>
      </w:r>
      <w:r w:rsidR="00573975" w:rsidRPr="00A90CCE">
        <w:rPr>
          <w:color w:val="000000" w:themeColor="text1"/>
          <w:lang w:eastAsia="en-GB"/>
        </w:rPr>
        <w:fldChar w:fldCharType="begin"/>
      </w:r>
      <w:r w:rsidR="00573975" w:rsidRPr="00A90CCE">
        <w:rPr>
          <w:color w:val="000000" w:themeColor="text1"/>
          <w:lang w:eastAsia="en-GB"/>
        </w:rPr>
        <w:instrText xml:space="preserve"> ADDIN ZOTERO_ITEM CSL_CITATION {"citationID":"7JqWAfQx","properties":{"formattedCitation":"(Brady et al., 1995; Nkansah, 2022)","plainCitation":"(Brady et al., 1995; Nkansah, 2022)","noteIndex":0},"citationItems":[{"id":760,"uris":["http://zotero.org/users/11001446/items/3JTJL9DX"],"itemData":{"id":760,"type":"article-journal","container-title":"American political science review","ISSN":"0003-0554","issue":"2","journalAbbreviation":"American political science review","note":"publisher: Cambridge University Press","page":"271-294","title":"Beyond SES: A resource model of political participation","volume":"89","author":[{"family":"Brady","given":"Henry E"},{"family":"Verba","given":"Sidney"},{"family":"Schlozman","given":"Kay Lehman"}],"issued":{"date-parts":[["1995"]]}}},{"id":174,"uris":["http://zotero.org/users/11001446/items/EGQWYMQT"],"itemData":{"id":174,"type":"article-journal","container-title":"SAGE Open","ISSN":"2158-2440","issue":"2","journalAbbreviation":"SAGE Open","note":"publisher: SAGE Publications Sage CA: Los Angeles, CA","page":"21582440221096146","title":"Youth cohort size, structural socioeconomic conditions, and youth protest behavior in democratic societies (1995–2014)","volume":"12","author":[{"family":"Nkansah","given":"Godfred Bonnah"}],"issued":{"date-parts":[["2022"]]}}}],"schema":"https://github.com/citation-style-language/schema/raw/master/csl-citation.json"} </w:instrText>
      </w:r>
      <w:r w:rsidR="00573975" w:rsidRPr="00A90CCE">
        <w:rPr>
          <w:color w:val="000000" w:themeColor="text1"/>
          <w:lang w:eastAsia="en-GB"/>
        </w:rPr>
        <w:fldChar w:fldCharType="separate"/>
      </w:r>
      <w:r w:rsidR="00573975" w:rsidRPr="00A90CCE">
        <w:t>(Brady et al., 1995; Nkansah, 2022)</w:t>
      </w:r>
      <w:r w:rsidR="00573975" w:rsidRPr="00A90CCE">
        <w:rPr>
          <w:color w:val="000000" w:themeColor="text1"/>
          <w:lang w:eastAsia="en-GB"/>
        </w:rPr>
        <w:fldChar w:fldCharType="end"/>
      </w:r>
      <w:r w:rsidR="00573975" w:rsidRPr="00A90CCE">
        <w:rPr>
          <w:color w:val="000000" w:themeColor="text1"/>
          <w:lang w:eastAsia="en-GB"/>
        </w:rPr>
        <w:t xml:space="preserve">. </w:t>
      </w:r>
      <w:r w:rsidR="009471F7" w:rsidRPr="00A90CCE">
        <w:rPr>
          <w:color w:val="000000" w:themeColor="text1"/>
          <w:lang w:eastAsia="en-GB"/>
        </w:rPr>
        <w:t>Y</w:t>
      </w:r>
      <w:r w:rsidRPr="00A90CCE">
        <w:rPr>
          <w:color w:val="000000" w:themeColor="text1"/>
          <w:lang w:eastAsia="en-GB"/>
        </w:rPr>
        <w:t xml:space="preserve">oung people, </w:t>
      </w:r>
      <w:r w:rsidR="009471F7" w:rsidRPr="00A90CCE">
        <w:rPr>
          <w:color w:val="000000" w:themeColor="text1"/>
          <w:lang w:eastAsia="en-GB"/>
        </w:rPr>
        <w:t xml:space="preserve">therefore, </w:t>
      </w:r>
      <w:r w:rsidRPr="00A90CCE">
        <w:rPr>
          <w:color w:val="000000" w:themeColor="text1"/>
          <w:lang w:eastAsia="en-GB"/>
        </w:rPr>
        <w:t>lacking employment opportunities, reliable incomes, and facing significant economic challenges, might prioritise addressing their immediate material needs over political participatio</w:t>
      </w:r>
      <w:r w:rsidR="00573975" w:rsidRPr="00A90CCE">
        <w:rPr>
          <w:color w:val="000000" w:themeColor="text1"/>
          <w:lang w:eastAsia="en-GB"/>
        </w:rPr>
        <w:t>n</w:t>
      </w:r>
      <w:r w:rsidR="000D311B" w:rsidRPr="00A90CCE">
        <w:rPr>
          <w:color w:val="000000" w:themeColor="text1"/>
          <w:lang w:eastAsia="en-GB"/>
        </w:rPr>
        <w:t>, particularly in soc</w:t>
      </w:r>
      <w:r w:rsidRPr="00A90CCE">
        <w:rPr>
          <w:color w:val="000000" w:themeColor="text1"/>
          <w:lang w:eastAsia="en-GB"/>
        </w:rPr>
        <w:t xml:space="preserve">ioeconomic </w:t>
      </w:r>
      <w:r w:rsidR="000D311B" w:rsidRPr="00A90CCE">
        <w:rPr>
          <w:color w:val="000000" w:themeColor="text1"/>
          <w:lang w:eastAsia="en-GB"/>
        </w:rPr>
        <w:t>contexts defined by</w:t>
      </w:r>
      <w:r w:rsidRPr="00A90CCE">
        <w:rPr>
          <w:color w:val="000000" w:themeColor="text1"/>
          <w:lang w:eastAsia="en-GB"/>
        </w:rPr>
        <w:t xml:space="preserve"> large urban youth cohorts</w:t>
      </w:r>
      <w:r w:rsidR="009471F7" w:rsidRPr="00A90CCE">
        <w:rPr>
          <w:color w:val="000000" w:themeColor="text1"/>
          <w:lang w:eastAsia="en-GB"/>
        </w:rPr>
        <w:t xml:space="preserve"> </w:t>
      </w:r>
      <w:r w:rsidR="00573975" w:rsidRPr="00A90CCE">
        <w:rPr>
          <w:color w:val="000000" w:themeColor="text1"/>
          <w:lang w:eastAsia="en-GB"/>
        </w:rPr>
        <w:fldChar w:fldCharType="begin"/>
      </w:r>
      <w:r w:rsidR="00573975" w:rsidRPr="00A90CCE">
        <w:rPr>
          <w:color w:val="000000" w:themeColor="text1"/>
          <w:lang w:eastAsia="en-GB"/>
        </w:rPr>
        <w:instrText xml:space="preserve"> ADDIN ZOTERO_ITEM CSL_CITATION {"citationID":"4tfC1cgW","properties":{"formattedCitation":"(Nkansah &amp; Papp, 2023)","plainCitation":"(Nkansah &amp; Papp, 2023)","noteIndex":0},"citationItems":[{"id":194,"uris":["http://zotero.org/users/11001446/items/WHJ5Y2MH"],"itemData":{"id":194,"type":"article-journal","container-title":"Journal of Youth Studies","ISSN":"1367-6261","issue":"7","journalAbbreviation":"Journal of Youth Studies","note":"publisher: Taylor &amp; Francis","page":"859-877","title":"Does cohort size matter? Assessing the effect of youth cohort size and peer influence on young people’s electoral participation","volume":"26","author":[{"family":"Nkansah","given":"Godfred Bonnah"},{"family":"Papp","given":"Zsófia"}],"issued":{"date-parts":[["2023"]]}}}],"schema":"https://github.com/citation-style-language/schema/raw/master/csl-citation.json"} </w:instrText>
      </w:r>
      <w:r w:rsidR="00573975" w:rsidRPr="00A90CCE">
        <w:rPr>
          <w:color w:val="000000" w:themeColor="text1"/>
          <w:lang w:eastAsia="en-GB"/>
        </w:rPr>
        <w:fldChar w:fldCharType="separate"/>
      </w:r>
      <w:r w:rsidR="00573975" w:rsidRPr="00A90CCE">
        <w:t>(Nkansah &amp; Papp, 2023)</w:t>
      </w:r>
      <w:r w:rsidR="00573975" w:rsidRPr="00A90CCE">
        <w:rPr>
          <w:color w:val="000000" w:themeColor="text1"/>
          <w:lang w:eastAsia="en-GB"/>
        </w:rPr>
        <w:fldChar w:fldCharType="end"/>
      </w:r>
      <w:r w:rsidRPr="00A90CCE">
        <w:rPr>
          <w:color w:val="000000" w:themeColor="text1"/>
          <w:lang w:eastAsia="en-GB"/>
        </w:rPr>
        <w:t xml:space="preserve">. This could lead to disengagement from political processes altogether, </w:t>
      </w:r>
      <w:r w:rsidR="000D311B" w:rsidRPr="00A90CCE">
        <w:rPr>
          <w:color w:val="000000" w:themeColor="text1"/>
          <w:lang w:eastAsia="en-GB"/>
        </w:rPr>
        <w:t>yet less</w:t>
      </w:r>
      <w:r w:rsidRPr="00A90CCE">
        <w:rPr>
          <w:color w:val="000000" w:themeColor="text1"/>
          <w:lang w:eastAsia="en-GB"/>
        </w:rPr>
        <w:t xml:space="preserve"> pronounced for informal participation which requires less time, fewer financial resources, and</w:t>
      </w:r>
      <w:r w:rsidR="000D311B" w:rsidRPr="00A90CCE">
        <w:rPr>
          <w:color w:val="000000" w:themeColor="text1"/>
          <w:lang w:eastAsia="en-GB"/>
        </w:rPr>
        <w:t xml:space="preserve"> relatively</w:t>
      </w:r>
      <w:r w:rsidRPr="00A90CCE">
        <w:rPr>
          <w:color w:val="000000" w:themeColor="text1"/>
          <w:lang w:eastAsia="en-GB"/>
        </w:rPr>
        <w:t xml:space="preserve"> little political knowledge. </w:t>
      </w:r>
    </w:p>
    <w:p w14:paraId="3FB741B9" w14:textId="77777777" w:rsidR="009471F7" w:rsidRDefault="009471F7" w:rsidP="004C337E">
      <w:pPr>
        <w:spacing w:after="120" w:line="480" w:lineRule="auto"/>
        <w:ind w:firstLine="720"/>
        <w:jc w:val="both"/>
        <w:rPr>
          <w:color w:val="000000" w:themeColor="text1"/>
          <w:lang w:eastAsia="en-GB"/>
        </w:rPr>
      </w:pPr>
    </w:p>
    <w:p w14:paraId="4E99128E" w14:textId="77777777" w:rsidR="001A2FC7" w:rsidRPr="00A90CCE" w:rsidRDefault="001A2FC7" w:rsidP="004C337E">
      <w:pPr>
        <w:spacing w:after="120" w:line="480" w:lineRule="auto"/>
        <w:ind w:firstLine="720"/>
        <w:jc w:val="both"/>
        <w:rPr>
          <w:color w:val="000000" w:themeColor="text1"/>
          <w:lang w:eastAsia="en-GB"/>
        </w:rPr>
      </w:pPr>
    </w:p>
    <w:p w14:paraId="06C705B8" w14:textId="00CA961C" w:rsidR="00804002" w:rsidRPr="00A90CCE" w:rsidRDefault="00804002" w:rsidP="004858DB">
      <w:pPr>
        <w:spacing w:after="120" w:line="480" w:lineRule="auto"/>
        <w:jc w:val="both"/>
        <w:rPr>
          <w:b/>
          <w:bCs/>
          <w:i/>
          <w:iCs/>
          <w:color w:val="000000" w:themeColor="text1"/>
          <w:lang w:eastAsia="en-GB"/>
        </w:rPr>
      </w:pPr>
      <w:r w:rsidRPr="00A90CCE">
        <w:rPr>
          <w:b/>
          <w:bCs/>
          <w:i/>
          <w:iCs/>
          <w:color w:val="000000" w:themeColor="text1"/>
          <w:lang w:eastAsia="en-GB"/>
        </w:rPr>
        <w:lastRenderedPageBreak/>
        <w:t>2.2.3 The opportunity mechanism – peer effects, social networks, and anonymity</w:t>
      </w:r>
    </w:p>
    <w:p w14:paraId="25B1CD14" w14:textId="31F798BB" w:rsidR="00804002" w:rsidRPr="00A90CCE" w:rsidRDefault="00804002" w:rsidP="004858DB">
      <w:pPr>
        <w:spacing w:after="120" w:line="480" w:lineRule="auto"/>
        <w:jc w:val="both"/>
        <w:rPr>
          <w:color w:val="000000" w:themeColor="text1"/>
          <w:lang w:eastAsia="en-GB"/>
        </w:rPr>
      </w:pPr>
      <w:r w:rsidRPr="00A90CCE">
        <w:rPr>
          <w:color w:val="000000" w:themeColor="text1"/>
          <w:lang w:eastAsia="en-GB"/>
        </w:rPr>
        <w:t>Cities are uniquely conducive to political mobilisation and collective action</w:t>
      </w:r>
      <w:r w:rsidR="009471F7" w:rsidRPr="00A90CCE">
        <w:rPr>
          <w:color w:val="000000" w:themeColor="text1"/>
          <w:lang w:eastAsia="en-GB"/>
        </w:rPr>
        <w:t xml:space="preserve"> </w:t>
      </w:r>
      <w:r w:rsidR="00573975" w:rsidRPr="00A90CCE">
        <w:rPr>
          <w:color w:val="000000" w:themeColor="text1"/>
          <w:lang w:eastAsia="en-GB"/>
        </w:rPr>
        <w:fldChar w:fldCharType="begin"/>
      </w:r>
      <w:r w:rsidR="00573975" w:rsidRPr="00A90CCE">
        <w:rPr>
          <w:color w:val="000000" w:themeColor="text1"/>
          <w:lang w:eastAsia="en-GB"/>
        </w:rPr>
        <w:instrText xml:space="preserve"> ADDIN ZOTERO_ITEM CSL_CITATION {"citationID":"kTIuGxJd","properties":{"formattedCitation":"(Dorward &amp; Fox, 2022; Fox &amp; Bell, 2016)","plainCitation":"(Dorward &amp; Fox, 2022; Fox &amp; Bell, 2016)","noteIndex":0},"citationItems":[{"id":452,"uris":["http://zotero.org/users/11001446/items/5JU4TPAH"],"itemData":{"id":452,"type":"article-journal","container-title":"Political Geography","ISSN":"0962-6298","journalAbbreviation":"Political Geography","note":"publisher: Elsevier","page":"102762","title":"Population pressure, political institutions, and protests: A multilevel analysis of protest events in African cities","volume":"99","author":[{"family":"Dorward","given":"Nick"},{"family":"Fox","given":"Sean"}],"issued":{"date-parts":[["2022"]]}}},{"id":887,"uris":["http://zotero.org/users/11001446/items/Z2WTN6YQ"],"itemData":{"id":887,"type":"article-journal","container-title":"Political Geography","language":"en","page":"54–64","title":"Urban geography and protest mobilization in Africa","volume":"53","author":[{"family":"Fox","given":"S."},{"family":"Bell","given":"A."}],"issued":{"date-parts":[["2016"]]}}}],"schema":"https://github.com/citation-style-language/schema/raw/master/csl-citation.json"} </w:instrText>
      </w:r>
      <w:r w:rsidR="00573975" w:rsidRPr="00A90CCE">
        <w:rPr>
          <w:color w:val="000000" w:themeColor="text1"/>
          <w:lang w:eastAsia="en-GB"/>
        </w:rPr>
        <w:fldChar w:fldCharType="separate"/>
      </w:r>
      <w:r w:rsidR="00573975" w:rsidRPr="00A90CCE">
        <w:t>(Dorward &amp; Fox, 2022; Fox &amp; Bell, 2016)</w:t>
      </w:r>
      <w:r w:rsidR="00573975" w:rsidRPr="00A90CCE">
        <w:rPr>
          <w:color w:val="000000" w:themeColor="text1"/>
          <w:lang w:eastAsia="en-GB"/>
        </w:rPr>
        <w:fldChar w:fldCharType="end"/>
      </w:r>
      <w:r w:rsidRPr="00A90CCE">
        <w:rPr>
          <w:color w:val="000000" w:themeColor="text1"/>
          <w:lang w:eastAsia="en-GB"/>
        </w:rPr>
        <w:t>. The urban environment, especially when characterised by large youth cohorts, offer unique opportunities for individual engagement</w:t>
      </w:r>
      <w:r w:rsidR="009E5600" w:rsidRPr="00A90CCE">
        <w:rPr>
          <w:color w:val="000000" w:themeColor="text1"/>
          <w:lang w:eastAsia="en-GB"/>
        </w:rPr>
        <w:t xml:space="preserve"> and mobilisation</w:t>
      </w:r>
      <w:r w:rsidRPr="00A90CCE">
        <w:rPr>
          <w:color w:val="000000" w:themeColor="text1"/>
          <w:lang w:eastAsia="en-GB"/>
        </w:rPr>
        <w:t xml:space="preserve">. Young people, in general, </w:t>
      </w:r>
      <w:r w:rsidR="00573975" w:rsidRPr="00A90CCE">
        <w:rPr>
          <w:color w:val="000000" w:themeColor="text1"/>
          <w:lang w:eastAsia="en-GB"/>
        </w:rPr>
        <w:t xml:space="preserve">are </w:t>
      </w:r>
      <w:r w:rsidRPr="00A90CCE">
        <w:rPr>
          <w:color w:val="000000" w:themeColor="text1"/>
          <w:lang w:eastAsia="en-GB"/>
        </w:rPr>
        <w:t xml:space="preserve">more idealistic, </w:t>
      </w:r>
      <w:r w:rsidR="000D311B" w:rsidRPr="00A90CCE">
        <w:rPr>
          <w:color w:val="000000" w:themeColor="text1"/>
          <w:lang w:eastAsia="en-GB"/>
        </w:rPr>
        <w:t>are less likely to</w:t>
      </w:r>
      <w:r w:rsidRPr="00A90CCE">
        <w:rPr>
          <w:color w:val="000000" w:themeColor="text1"/>
          <w:lang w:eastAsia="en-GB"/>
        </w:rPr>
        <w:t xml:space="preserve"> have significant responsibilities, </w:t>
      </w:r>
      <w:r w:rsidR="000D311B" w:rsidRPr="00A90CCE">
        <w:rPr>
          <w:color w:val="000000" w:themeColor="text1"/>
          <w:lang w:eastAsia="en-GB"/>
        </w:rPr>
        <w:t xml:space="preserve">and </w:t>
      </w:r>
      <w:r w:rsidRPr="00A90CCE">
        <w:rPr>
          <w:color w:val="000000" w:themeColor="text1"/>
          <w:lang w:eastAsia="en-GB"/>
        </w:rPr>
        <w:t xml:space="preserve">typically engage in riskier behaviour than older groups </w:t>
      </w:r>
      <w:r w:rsidR="004E4003" w:rsidRPr="00A90CCE">
        <w:rPr>
          <w:color w:val="000000" w:themeColor="text1"/>
          <w:lang w:eastAsia="en-GB"/>
        </w:rPr>
        <w:fldChar w:fldCharType="begin"/>
      </w:r>
      <w:r w:rsidR="004E4003" w:rsidRPr="00A90CCE">
        <w:rPr>
          <w:color w:val="000000" w:themeColor="text1"/>
          <w:lang w:eastAsia="en-GB"/>
        </w:rPr>
        <w:instrText xml:space="preserve"> ADDIN ZOTERO_ITEM CSL_CITATION {"citationID":"RWxnNn9o","properties":{"formattedCitation":"(Goldstone, 2002; Steinberg, 2004; Weber, 2013)","plainCitation":"(Goldstone, 2002; Steinberg, 2004; Weber, 2013)","noteIndex":0},"citationItems":[{"id":448,"uris":["http://zotero.org/users/11001446/items/TAKWEDUB"],"itemData":{"id":448,"type":"article-journal","container-title":"Journal of international affairs","ISSN":"0022-197X","journalAbbreviation":"Journal of international affairs","note":"publisher: JSTOR","page":"3-21","title":"Population and security: How demographic change can lead to violent conflict","author":[{"family":"Goldstone","given":"Jack A"}],"issued":{"date-parts":[["2002"]]}}},{"id":16097,"uris":["http://zotero.org/users/11001446/items/VUUB8W9K"],"itemData":{"id":16097,"type":"article-journal","container-title":"Annals of the New York Academy of Sciences","ISSN":"0077-8923","issue":"1","journalAbbreviation":"Annals of the New York Academy of Sciences","note":"publisher: Wiley Online Library","page":"51-58","title":"Risk taking in adolescence: what changes, and why?","volume":"1021","author":[{"family":"Steinberg","given":"Laurence"}],"issued":{"date-parts":[["2004"]]}}},{"id":175,"uris":["http://zotero.org/users/11001446/items/93HWPZPY"],"itemData":{"id":175,"type":"article-journal","container-title":"Democratization","ISSN":"1351-0347","issue":"2","journalAbbreviation":"Democratization","note":"publisher: Taylor &amp; Francis","page":"335-357","title":"Demography and democracy: the impact of youth cohort size on democratic stability in the world","volume":"20","author":[{"family":"Weber","given":"Hannes"}],"issued":{"date-parts":[["2013"]]}}}],"schema":"https://github.com/citation-style-language/schema/raw/master/csl-citation.json"} </w:instrText>
      </w:r>
      <w:r w:rsidR="004E4003" w:rsidRPr="00A90CCE">
        <w:rPr>
          <w:color w:val="000000" w:themeColor="text1"/>
          <w:lang w:eastAsia="en-GB"/>
        </w:rPr>
        <w:fldChar w:fldCharType="separate"/>
      </w:r>
      <w:r w:rsidR="004E4003" w:rsidRPr="00A90CCE">
        <w:t>(Goldstone, 2002; Steinberg, 2004; Weber, 2013)</w:t>
      </w:r>
      <w:r w:rsidR="004E4003" w:rsidRPr="00A90CCE">
        <w:rPr>
          <w:color w:val="000000" w:themeColor="text1"/>
          <w:lang w:eastAsia="en-GB"/>
        </w:rPr>
        <w:fldChar w:fldCharType="end"/>
      </w:r>
      <w:r w:rsidR="004E4003" w:rsidRPr="00A90CCE">
        <w:rPr>
          <w:color w:val="000000" w:themeColor="text1"/>
          <w:lang w:eastAsia="en-GB"/>
        </w:rPr>
        <w:t xml:space="preserve">. </w:t>
      </w:r>
      <w:r w:rsidRPr="00A90CCE">
        <w:rPr>
          <w:color w:val="000000" w:themeColor="text1"/>
          <w:lang w:eastAsia="en-GB"/>
        </w:rPr>
        <w:t xml:space="preserve">Large youth cohorts thus provide a plentiful pool of potential recruits for political actors and entrepreneurs to mobilise in pursuit of their political aims </w:t>
      </w:r>
      <w:r w:rsidR="004E4003" w:rsidRPr="00A90CCE">
        <w:rPr>
          <w:color w:val="000000" w:themeColor="text1"/>
          <w:lang w:eastAsia="en-GB"/>
        </w:rPr>
        <w:fldChar w:fldCharType="begin"/>
      </w:r>
      <w:r w:rsidR="004E4003" w:rsidRPr="00A90CCE">
        <w:rPr>
          <w:color w:val="000000" w:themeColor="text1"/>
          <w:lang w:eastAsia="en-GB"/>
        </w:rPr>
        <w:instrText xml:space="preserve"> ADDIN ZOTERO_ITEM CSL_CITATION {"citationID":"XkHnRUu5","properties":{"formattedCitation":"(Urdal, 2006, 2012)","plainCitation":"(Urdal, 2006, 2012)","noteIndex":0},"citationItems":[{"id":710,"uris":["http://zotero.org/users/11001446/items/TCXHZPSQ"],"itemData":{"id":710,"type":"article-journal","abstract":"[It has frequently been suggested that exceptionally large youth cohorts, the so-called \"youth bulges,\" make countries more susceptible to political violence. Within two prominent theoretical frameworks in the study of civil war, youth bulges are argued to potentially increase both opportunities and motives for political violence. This claim is empirically tested in a time-series cross-national statistical model for internal armed conflict for the period 1950-2000, and for event data for terrorism and rioting for the years 1984-1995. The expectation that youth bulges should increase the risk of political violence receives robust support for all three forms of violence. The results are consistent both with an expectation that youth bulges provide greater opportunities for violence through the abundant supply of youths with low opportunity costs, and with an expectation that stronger motives for violence may arise as youth bulges are more likely to experience institutional crowding, in particular unemployment. Some contextual factors have been suggested to potentially enhance the effect of youth bulges. In an empirical test of these propositions, the study suggests that youth bulges are particularly associated with an increasing risk of internal armed conflict in starkly autocratic regimes, but a similar effect is also found for highly democratic countries. The interaction of youth bulges with economic decline and expansion in higher education appear to increase the risk of terrorism but not of rioting. Recent studies in economic demography find that when fertility is sharply decreasing, causing lower dependency ratios, large youth cohorts entering the labor market may lead to economic boosts. This study finds some empirical evidence complementing these results, indicating that the effect of youth bulges on political violence may decline along with reduced dependency ratios.]","archive":"JSTOR","container-title":"International Studies Quarterly","ISSN":"00208833, 14682478","issue":"3","note":"publisher: [International Studies Association, Wiley]","page":"607-629","title":"A Clash of Generations? Youth Bulges and Political Violence","volume":"50","author":[{"family":"Urdal","given":"Henrik"}],"issued":{"date-parts":[["2006"]]}}},{"id":180,"uris":["http://zotero.org/users/11001446/items/DJPTERYG"],"itemData":{"id":180,"type":"article-journal","container-title":"Political demography: How population changes are reshaping international security and national politics","journalAbbreviation":"Political demography: How population changes are reshaping international security and national politics","note":"publisher: Oxford University Press","page":"117-132","title":"Youth bulges and violence","author":[{"family":"Urdal","given":"Henrik"}],"issued":{"date-parts":[["2012"]]}}}],"schema":"https://github.com/citation-style-language/schema/raw/master/csl-citation.json"} </w:instrText>
      </w:r>
      <w:r w:rsidR="004E4003" w:rsidRPr="00A90CCE">
        <w:rPr>
          <w:color w:val="000000" w:themeColor="text1"/>
          <w:lang w:eastAsia="en-GB"/>
        </w:rPr>
        <w:fldChar w:fldCharType="separate"/>
      </w:r>
      <w:r w:rsidR="004E4003" w:rsidRPr="00A90CCE">
        <w:t>(Urdal, 2006, 2012)</w:t>
      </w:r>
      <w:r w:rsidR="004E4003" w:rsidRPr="00A90CCE">
        <w:rPr>
          <w:color w:val="000000" w:themeColor="text1"/>
          <w:lang w:eastAsia="en-GB"/>
        </w:rPr>
        <w:fldChar w:fldCharType="end"/>
      </w:r>
      <w:r w:rsidRPr="00A90CCE">
        <w:rPr>
          <w:color w:val="000000" w:themeColor="text1"/>
          <w:lang w:eastAsia="en-GB"/>
        </w:rPr>
        <w:t xml:space="preserve">. However, </w:t>
      </w:r>
      <w:r w:rsidR="000D311B" w:rsidRPr="00A90CCE">
        <w:rPr>
          <w:color w:val="000000" w:themeColor="text1"/>
          <w:lang w:eastAsia="en-GB"/>
        </w:rPr>
        <w:t>urban youth can</w:t>
      </w:r>
      <w:r w:rsidRPr="00A90CCE">
        <w:rPr>
          <w:color w:val="000000" w:themeColor="text1"/>
          <w:lang w:eastAsia="en-GB"/>
        </w:rPr>
        <w:t xml:space="preserve"> represent a considerable pool of peers, which can significantly amplify peer influence</w:t>
      </w:r>
      <w:r w:rsidR="004E4003" w:rsidRPr="00A90CCE">
        <w:rPr>
          <w:color w:val="000000" w:themeColor="text1"/>
          <w:lang w:eastAsia="en-GB"/>
        </w:rPr>
        <w:t xml:space="preserve">. </w:t>
      </w:r>
      <w:r w:rsidRPr="00A90CCE">
        <w:rPr>
          <w:color w:val="000000" w:themeColor="text1"/>
          <w:lang w:eastAsia="en-GB"/>
        </w:rPr>
        <w:t xml:space="preserve">Young people in communities with a high concentration of their age group tend to interact more frequently, shaping political identities, facilitating information sharing, and mobilising for participation </w:t>
      </w:r>
      <w:r w:rsidR="004E4003" w:rsidRPr="00A90CCE">
        <w:rPr>
          <w:color w:val="000000" w:themeColor="text1"/>
          <w:lang w:eastAsia="en-GB"/>
        </w:rPr>
        <w:fldChar w:fldCharType="begin"/>
      </w:r>
      <w:r w:rsidR="00852AAE" w:rsidRPr="00A90CCE">
        <w:rPr>
          <w:color w:val="000000" w:themeColor="text1"/>
          <w:lang w:eastAsia="en-GB"/>
        </w:rPr>
        <w:instrText xml:space="preserve"> ADDIN ZOTERO_ITEM CSL_CITATION {"citationID":"EvxhfHSH","properties":{"formattedCitation":"(Nkansah &amp; Papp, 2023; Weber, 2013)","plainCitation":"(Nkansah &amp; Papp, 2023; Weber, 2013)","noteIndex":0},"citationItems":[{"id":194,"uris":["http://zotero.org/users/11001446/items/WHJ5Y2MH"],"itemData":{"id":194,"type":"article-journal","container-title":"Journal of Youth Studies","ISSN":"1367-6261","issue":"7","journalAbbreviation":"Journal of Youth Studies","note":"publisher: Taylor &amp; Francis","page":"859-877","title":"Does cohort size matter? Assessing the effect of youth cohort size and peer influence on young people’s electoral participation","volume":"26","author":[{"family":"Nkansah","given":"Godfred Bonnah"},{"family":"Papp","given":"Zsófia"}],"issued":{"date-parts":[["2023"]]}}},{"id":175,"uris":["http://zotero.org/users/11001446/items/93HWPZPY"],"itemData":{"id":175,"type":"article-journal","container-title":"Democratization","ISSN":"1351-0347","issue":"2","journalAbbreviation":"Democratization","note":"publisher: Taylor &amp; Francis","page":"335-357","title":"Demography and democracy: the impact of youth cohort size on democratic stability in the world","volume":"20","author":[{"family":"Weber","given":"Hannes"}],"issued":{"date-parts":[["2013"]]}}}],"schema":"https://github.com/citation-style-language/schema/raw/master/csl-citation.json"} </w:instrText>
      </w:r>
      <w:r w:rsidR="004E4003" w:rsidRPr="00A90CCE">
        <w:rPr>
          <w:color w:val="000000" w:themeColor="text1"/>
          <w:lang w:eastAsia="en-GB"/>
        </w:rPr>
        <w:fldChar w:fldCharType="separate"/>
      </w:r>
      <w:r w:rsidR="00852AAE" w:rsidRPr="00A90CCE">
        <w:t>(Nkansah &amp; Papp, 2023; Weber, 2013)</w:t>
      </w:r>
      <w:r w:rsidR="004E4003" w:rsidRPr="00A90CCE">
        <w:rPr>
          <w:color w:val="000000" w:themeColor="text1"/>
          <w:lang w:eastAsia="en-GB"/>
        </w:rPr>
        <w:fldChar w:fldCharType="end"/>
      </w:r>
      <w:r w:rsidRPr="00A90CCE">
        <w:rPr>
          <w:color w:val="000000" w:themeColor="text1"/>
          <w:lang w:eastAsia="en-GB"/>
        </w:rPr>
        <w:t xml:space="preserve">. On the one hand, these peer effects can motivate political interest and participation. On the other, they </w:t>
      </w:r>
      <w:r w:rsidR="009E5600" w:rsidRPr="00A90CCE">
        <w:rPr>
          <w:color w:val="000000" w:themeColor="text1"/>
          <w:lang w:eastAsia="en-GB"/>
        </w:rPr>
        <w:t>may</w:t>
      </w:r>
      <w:r w:rsidRPr="00A90CCE">
        <w:rPr>
          <w:color w:val="000000" w:themeColor="text1"/>
          <w:lang w:eastAsia="en-GB"/>
        </w:rPr>
        <w:t xml:space="preserve"> also make individuals more susceptible to anti-establishment or anti-democratic ideologies, giv</w:t>
      </w:r>
      <w:r w:rsidR="009471F7" w:rsidRPr="00A90CCE">
        <w:rPr>
          <w:color w:val="000000" w:themeColor="text1"/>
          <w:lang w:eastAsia="en-GB"/>
        </w:rPr>
        <w:t>ing</w:t>
      </w:r>
      <w:r w:rsidRPr="00A90CCE">
        <w:rPr>
          <w:color w:val="000000" w:themeColor="text1"/>
          <w:lang w:eastAsia="en-GB"/>
        </w:rPr>
        <w:t xml:space="preserve"> them a predisposition</w:t>
      </w:r>
      <w:r w:rsidR="000D311B" w:rsidRPr="00A90CCE">
        <w:rPr>
          <w:color w:val="000000" w:themeColor="text1"/>
          <w:lang w:eastAsia="en-GB"/>
        </w:rPr>
        <w:t xml:space="preserve"> for</w:t>
      </w:r>
      <w:r w:rsidRPr="00A90CCE">
        <w:rPr>
          <w:color w:val="000000" w:themeColor="text1"/>
          <w:lang w:eastAsia="en-GB"/>
        </w:rPr>
        <w:t xml:space="preserve"> informal and contentious modes of political expression</w:t>
      </w:r>
      <w:r w:rsidR="00852AAE" w:rsidRPr="00A90CCE">
        <w:rPr>
          <w:color w:val="000000" w:themeColor="text1"/>
          <w:lang w:eastAsia="en-GB"/>
        </w:rPr>
        <w:t xml:space="preserve"> </w:t>
      </w:r>
      <w:r w:rsidR="00852AAE" w:rsidRPr="00A90CCE">
        <w:rPr>
          <w:color w:val="000000" w:themeColor="text1"/>
          <w:lang w:eastAsia="en-GB"/>
        </w:rPr>
        <w:fldChar w:fldCharType="begin"/>
      </w:r>
      <w:r w:rsidR="00852AAE" w:rsidRPr="00A90CCE">
        <w:rPr>
          <w:color w:val="000000" w:themeColor="text1"/>
          <w:lang w:eastAsia="en-GB"/>
        </w:rPr>
        <w:instrText xml:space="preserve"> ADDIN ZOTERO_ITEM CSL_CITATION {"citationID":"AOSJY0sS","properties":{"formattedCitation":"(Cincotta &amp; Weber, 2021; Nkansah &amp; Papp, 2023)","plainCitation":"(Cincotta &amp; Weber, 2021; Nkansah &amp; Papp, 2023)","noteIndex":0},"citationItems":[{"id":437,"uris":["http://zotero.org/users/11001446/items/AI8XRXMA"],"itemData":{"id":437,"type":"chapter","container-title":"Global Political Demography: The Politics of Population Change","event-place":"Cham, Switzerland","page":"57-92","publisher":"Palgrave Macmillan","publisher-place":"Cham, Switzerland","title":"Youthful Age Structures and the Risks of Revolutionary and Separatist Conflicts","author":[{"family":"Cincotta","given":"Richard"},{"family":"Weber","given":"Hannes"}],"editor":[{"family":"Goerres","given":"Achim"},{"family":"Vanhuysse","given":"Pieter"}],"issued":{"date-parts":[["2021"]]}}},{"id":194,"uris":["http://zotero.org/users/11001446/items/WHJ5Y2MH"],"itemData":{"id":194,"type":"article-journal","container-title":"Journal of Youth Studies","ISSN":"1367-6261","issue":"7","journalAbbreviation":"Journal of Youth Studies","note":"publisher: Taylor &amp; Francis","page":"859-877","title":"Does cohort size matter? Assessing the effect of youth cohort size and peer influence on young people’s electoral participation","volume":"26","author":[{"family":"Nkansah","given":"Godfred Bonnah"},{"family":"Papp","given":"Zsófia"}],"issued":{"date-parts":[["2023"]]}}}],"schema":"https://github.com/citation-style-language/schema/raw/master/csl-citation.json"} </w:instrText>
      </w:r>
      <w:r w:rsidR="00852AAE" w:rsidRPr="00A90CCE">
        <w:rPr>
          <w:color w:val="000000" w:themeColor="text1"/>
          <w:lang w:eastAsia="en-GB"/>
        </w:rPr>
        <w:fldChar w:fldCharType="separate"/>
      </w:r>
      <w:r w:rsidR="00852AAE" w:rsidRPr="00A90CCE">
        <w:t>(Cincotta &amp; Weber, 2021; Nkansah &amp; Papp, 2023)</w:t>
      </w:r>
      <w:r w:rsidR="00852AAE" w:rsidRPr="00A90CCE">
        <w:rPr>
          <w:color w:val="000000" w:themeColor="text1"/>
          <w:lang w:eastAsia="en-GB"/>
        </w:rPr>
        <w:fldChar w:fldCharType="end"/>
      </w:r>
      <w:r w:rsidR="00852AAE" w:rsidRPr="00A90CCE">
        <w:rPr>
          <w:color w:val="000000" w:themeColor="text1"/>
          <w:lang w:eastAsia="en-GB"/>
        </w:rPr>
        <w:t>.</w:t>
      </w:r>
    </w:p>
    <w:p w14:paraId="314EDFDE" w14:textId="78D173F0" w:rsidR="009471F7" w:rsidRPr="00A90CCE" w:rsidRDefault="000D311B" w:rsidP="009471F7">
      <w:pPr>
        <w:spacing w:after="120" w:line="480" w:lineRule="auto"/>
        <w:ind w:firstLine="720"/>
        <w:jc w:val="both"/>
        <w:rPr>
          <w:color w:val="000000" w:themeColor="text1"/>
          <w:lang w:eastAsia="en-GB"/>
        </w:rPr>
      </w:pPr>
      <w:r w:rsidRPr="00A90CCE">
        <w:rPr>
          <w:color w:val="000000" w:themeColor="text1"/>
          <w:lang w:eastAsia="en-GB"/>
        </w:rPr>
        <w:t>Importantly, c</w:t>
      </w:r>
      <w:r w:rsidR="009471F7" w:rsidRPr="00A90CCE">
        <w:rPr>
          <w:color w:val="000000" w:themeColor="text1"/>
          <w:lang w:eastAsia="en-GB"/>
        </w:rPr>
        <w:t xml:space="preserve">ities make collective action easier. </w:t>
      </w:r>
      <w:r w:rsidRPr="00A90CCE">
        <w:rPr>
          <w:color w:val="000000" w:themeColor="text1"/>
          <w:lang w:eastAsia="en-GB"/>
        </w:rPr>
        <w:t>Higher</w:t>
      </w:r>
      <w:r w:rsidR="009E5600" w:rsidRPr="00A90CCE">
        <w:rPr>
          <w:color w:val="000000" w:themeColor="text1"/>
          <w:lang w:eastAsia="en-GB"/>
        </w:rPr>
        <w:t xml:space="preserve"> population</w:t>
      </w:r>
      <w:r w:rsidR="009471F7" w:rsidRPr="00A90CCE">
        <w:rPr>
          <w:color w:val="000000" w:themeColor="text1"/>
          <w:lang w:eastAsia="en-GB"/>
        </w:rPr>
        <w:t xml:space="preserve"> densities </w:t>
      </w:r>
      <w:r w:rsidRPr="00A90CCE">
        <w:rPr>
          <w:color w:val="000000" w:themeColor="text1"/>
          <w:lang w:eastAsia="en-GB"/>
        </w:rPr>
        <w:t>in</w:t>
      </w:r>
      <w:r w:rsidR="009E5600" w:rsidRPr="00A90CCE">
        <w:rPr>
          <w:color w:val="000000" w:themeColor="text1"/>
          <w:lang w:eastAsia="en-GB"/>
        </w:rPr>
        <w:t xml:space="preserve"> urban areas facilitate connectivity between people and foster the formation of dense social networks. </w:t>
      </w:r>
      <w:r w:rsidR="009471F7" w:rsidRPr="00A90CCE">
        <w:rPr>
          <w:color w:val="000000" w:themeColor="text1"/>
          <w:lang w:eastAsia="en-GB"/>
        </w:rPr>
        <w:t xml:space="preserve">These networks are crucial for the exchange of information vital to coordinating protest activities </w:t>
      </w:r>
      <w:r w:rsidR="00207A9F" w:rsidRPr="00A90CCE">
        <w:rPr>
          <w:color w:val="000000" w:themeColor="text1"/>
          <w:lang w:eastAsia="en-GB"/>
        </w:rPr>
        <w:t xml:space="preserve">(e.g. </w:t>
      </w:r>
      <w:r w:rsidR="009471F7" w:rsidRPr="00A90CCE">
        <w:rPr>
          <w:color w:val="000000" w:themeColor="text1"/>
          <w:lang w:eastAsia="en-GB"/>
        </w:rPr>
        <w:t>transportation, turnout, police presence, and legal access</w:t>
      </w:r>
      <w:r w:rsidR="00207A9F" w:rsidRPr="00A90CCE">
        <w:rPr>
          <w:color w:val="000000" w:themeColor="text1"/>
          <w:lang w:eastAsia="en-GB"/>
        </w:rPr>
        <w:t>)</w:t>
      </w:r>
      <w:r w:rsidR="009471F7" w:rsidRPr="00A90CCE">
        <w:rPr>
          <w:color w:val="000000" w:themeColor="text1"/>
          <w:lang w:eastAsia="en-GB"/>
        </w:rPr>
        <w:t xml:space="preserve"> </w:t>
      </w:r>
      <w:r w:rsidR="00852AAE" w:rsidRPr="00A90CCE">
        <w:rPr>
          <w:color w:val="000000" w:themeColor="text1"/>
          <w:lang w:eastAsia="en-GB"/>
        </w:rPr>
        <w:fldChar w:fldCharType="begin"/>
      </w:r>
      <w:r w:rsidR="00852AAE" w:rsidRPr="00A90CCE">
        <w:rPr>
          <w:color w:val="000000" w:themeColor="text1"/>
          <w:lang w:eastAsia="en-GB"/>
        </w:rPr>
        <w:instrText xml:space="preserve"> ADDIN ZOTERO_ITEM CSL_CITATION {"citationID":"NxTQpHLr","properties":{"formattedCitation":"(Jost et al., 2018)","plainCitation":"(Jost et al., 2018)","noteIndex":0},"citationItems":[{"id":16098,"uris":["http://zotero.org/users/11001446/items/PTTB9K8Q"],"itemData":{"id":16098,"type":"article-journal","container-title":"Political psychology","ISSN":"0162-895X","journalAbbreviation":"Political psychology","note":"publisher: Wiley Online Library","page":"85-118","title":"How social media facilitates political protest: Information, motivation, and social networks","volume":"39","author":[{"family":"Jost","given":"John T"},{"family":"Barberá","given":"Pablo"},{"family":"Bonneau","given":"Richard"},{"family":"Langer","given":"Melanie"},{"family":"Metzger","given":"Megan"},{"family":"Nagler","given":"Jonathan"},{"family":"Sterling","given":"Joanna"},{"family":"Tucker","given":"Joshua A"}],"issued":{"date-parts":[["2018"]]}}}],"schema":"https://github.com/citation-style-language/schema/raw/master/csl-citation.json"} </w:instrText>
      </w:r>
      <w:r w:rsidR="00852AAE" w:rsidRPr="00A90CCE">
        <w:rPr>
          <w:color w:val="000000" w:themeColor="text1"/>
          <w:lang w:eastAsia="en-GB"/>
        </w:rPr>
        <w:fldChar w:fldCharType="separate"/>
      </w:r>
      <w:r w:rsidR="00852AAE" w:rsidRPr="00A90CCE">
        <w:t>(Jost et al., 2018)</w:t>
      </w:r>
      <w:r w:rsidR="00852AAE" w:rsidRPr="00A90CCE">
        <w:rPr>
          <w:color w:val="000000" w:themeColor="text1"/>
          <w:lang w:eastAsia="en-GB"/>
        </w:rPr>
        <w:fldChar w:fldCharType="end"/>
      </w:r>
      <w:r w:rsidR="00852AAE" w:rsidRPr="00A90CCE">
        <w:rPr>
          <w:color w:val="000000" w:themeColor="text1"/>
          <w:lang w:eastAsia="en-GB"/>
        </w:rPr>
        <w:t xml:space="preserve">. </w:t>
      </w:r>
      <w:r w:rsidR="009471F7" w:rsidRPr="00A90CCE">
        <w:rPr>
          <w:color w:val="000000" w:themeColor="text1"/>
          <w:lang w:eastAsia="en-GB"/>
        </w:rPr>
        <w:t>There is also growing evidence that social media platforms, which have higher user rates in urban areas and among youths</w:t>
      </w:r>
      <w:r w:rsidR="00207A9F" w:rsidRPr="00A90CCE">
        <w:rPr>
          <w:color w:val="000000" w:themeColor="text1"/>
          <w:lang w:eastAsia="en-GB"/>
        </w:rPr>
        <w:t xml:space="preserve"> </w:t>
      </w:r>
      <w:r w:rsidR="00207A9F" w:rsidRPr="00A90CCE">
        <w:rPr>
          <w:color w:val="000000" w:themeColor="text1"/>
          <w:lang w:eastAsia="en-GB"/>
        </w:rPr>
        <w:fldChar w:fldCharType="begin"/>
      </w:r>
      <w:r w:rsidR="00207A9F" w:rsidRPr="00A90CCE">
        <w:rPr>
          <w:color w:val="000000" w:themeColor="text1"/>
          <w:lang w:eastAsia="en-GB"/>
        </w:rPr>
        <w:instrText xml:space="preserve"> ADDIN ZOTERO_ITEM CSL_CITATION {"citationID":"QeJplPBY","properties":{"formattedCitation":"(Conroy-Krutz et al., 2024; Mast et al., 2025)","plainCitation":"(Conroy-Krutz et al., 2024; Mast et al., 2025)","noteIndex":0},"citationItems":[{"id":16099,"uris":["http://zotero.org/users/11001446/items/QYZ9LAGM"],"itemData":{"id":16099,"type":"report","collection-title":"Afrobarometer Dispatch 800","publisher":"Afrobarometer","title":"Africa’s shifting media landscapes: Digital media use grows, but so do demographic divides","author":[{"family":"Conroy-Krutz","given":"Jeffrey"},{"family":"Amakoh","given":"Kelechi"},{"family":"Amewunou","given":"Komi"}],"issued":{"date-parts":[["2024"]]}}},{"id":16100,"uris":["http://zotero.org/users/11001446/items/4RVQAFV8"],"itemData":{"id":16100,"type":"article-journal","container-title":"Applied Geography","ISSN":"0143-6228","journalAbbreviation":"Applied Geography","note":"publisher: Elsevier","page":"103687","title":"The digital urban frontier: Disparities in social media activity between consolidated and newly urbanized areas in Africa","volume":"181","author":[{"family":"Mast","given":"Johannes"},{"family":"Sapena","given":"Marta"},{"family":"Debray","given":"Henri"},{"family":"Inkoom","given":"Justice Nana"},{"family":"Lemoine-Rodríguez","given":"Richard"},{"family":"Geiß","given":"Christian"},{"family":"Taubenböck","given":"Hannes"}],"issued":{"date-parts":[["2025"]]}}}],"schema":"https://github.com/citation-style-language/schema/raw/master/csl-citation.json"} </w:instrText>
      </w:r>
      <w:r w:rsidR="00207A9F" w:rsidRPr="00A90CCE">
        <w:rPr>
          <w:color w:val="000000" w:themeColor="text1"/>
          <w:lang w:eastAsia="en-GB"/>
        </w:rPr>
        <w:fldChar w:fldCharType="separate"/>
      </w:r>
      <w:r w:rsidR="00207A9F" w:rsidRPr="00A90CCE">
        <w:t>(Conroy-Krutz et al., 2024; Mast et al., 2025)</w:t>
      </w:r>
      <w:r w:rsidR="00207A9F" w:rsidRPr="00A90CCE">
        <w:rPr>
          <w:color w:val="000000" w:themeColor="text1"/>
          <w:lang w:eastAsia="en-GB"/>
        </w:rPr>
        <w:fldChar w:fldCharType="end"/>
      </w:r>
      <w:r w:rsidR="00207A9F" w:rsidRPr="00A90CCE">
        <w:rPr>
          <w:color w:val="000000" w:themeColor="text1"/>
          <w:lang w:eastAsia="en-GB"/>
        </w:rPr>
        <w:t>,</w:t>
      </w:r>
      <w:r w:rsidR="009471F7" w:rsidRPr="00A90CCE">
        <w:rPr>
          <w:color w:val="000000" w:themeColor="text1"/>
          <w:lang w:eastAsia="en-GB"/>
        </w:rPr>
        <w:t xml:space="preserve"> amplify the coordination and mobilisation capacities of urban social movements </w:t>
      </w:r>
      <w:r w:rsidR="00C301DC" w:rsidRPr="00A90CCE">
        <w:rPr>
          <w:color w:val="000000" w:themeColor="text1"/>
          <w:lang w:eastAsia="en-GB"/>
        </w:rPr>
        <w:fldChar w:fldCharType="begin"/>
      </w:r>
      <w:r w:rsidR="00C301DC" w:rsidRPr="00A90CCE">
        <w:rPr>
          <w:color w:val="000000" w:themeColor="text1"/>
          <w:lang w:eastAsia="en-GB"/>
        </w:rPr>
        <w:instrText xml:space="preserve"> ADDIN ZOTERO_ITEM CSL_CITATION {"citationID":"Uda4qScC","properties":{"formattedCitation":"(Eltantawy &amp; Wiest, 2007; Hoelscher et al., 2023; Mutsvairo, 2016)","plainCitation":"(Eltantawy &amp; Wiest, 2007; Hoelscher et al., 2023; Mutsvairo, 2016)","noteIndex":0},"citationItems":[{"id":104,"uris":["http://zotero.org/users/11001446/items/KFFMNCGD"],"itemData":{"id":104,"type":"article-journal","container-title":"Journal of Communication","language":"en","page":"1207–1224","title":"The Arab Spring | Social Media in the Egyptian Revolution: Reconsidering Resource Mobilization Theory","volume":"5","author":[{"family":"Eltantawy","given":"N."},{"family":"Wiest","given":"J.B."}],"issued":{"date-parts":[["2007"]]}}},{"id":737,"uris":["http://zotero.org/users/11001446/items/T2MPEGM8","http://zotero.org/users/11001446/items/BCLLCRKW"],"itemData":{"id":737,"type":"article-journal","container-title":"African Affairs","ISSN":"0001-9909","issue":"488","journalAbbreviation":"African Affairs","note":"publisher: Oxford University Press UK","page":"353-376","title":"Urbanization and political change in Africa","volume":"122","author":[{"family":"Hoelscher","given":"Kristian"},{"family":"Dorward","given":"Nick"},{"family":"Fox","given":"Sean"},{"family":"Lawanson","given":"Taibat"},{"family":"Paller","given":"Jeffrey W"},{"family":"Phillips","given":"Melanie L"}],"issued":{"date-parts":[["2023"]]}}},{"id":16101,"uris":["http://zotero.org/users/11001446/items/8KHL3B3U"],"itemData":{"id":16101,"type":"article-journal","container-title":"Switzerland: Springer Nature","journalAbbreviation":"Switzerland: Springer Nature","note":"publisher: Springer","title":"Digital activism in the social media era","author":[{"family":"Mutsvairo","given":"Bruce"}],"issued":{"date-parts":[["2016"]]}}}],"schema":"https://github.com/citation-style-language/schema/raw/master/csl-citation.json"} </w:instrText>
      </w:r>
      <w:r w:rsidR="00C301DC" w:rsidRPr="00A90CCE">
        <w:rPr>
          <w:color w:val="000000" w:themeColor="text1"/>
          <w:lang w:eastAsia="en-GB"/>
        </w:rPr>
        <w:fldChar w:fldCharType="separate"/>
      </w:r>
      <w:r w:rsidR="00C301DC" w:rsidRPr="00A90CCE">
        <w:t>(Eltantawy &amp; Wiest, 2007; Hoelscher et al., 2023; Mutsvairo, 2016)</w:t>
      </w:r>
      <w:r w:rsidR="00C301DC" w:rsidRPr="00A90CCE">
        <w:rPr>
          <w:color w:val="000000" w:themeColor="text1"/>
          <w:lang w:eastAsia="en-GB"/>
        </w:rPr>
        <w:fldChar w:fldCharType="end"/>
      </w:r>
      <w:r w:rsidR="009471F7" w:rsidRPr="00A90CCE">
        <w:rPr>
          <w:color w:val="000000" w:themeColor="text1"/>
          <w:lang w:eastAsia="en-GB"/>
        </w:rPr>
        <w:t>. Access to social media might also support grievance formation and withdrawal from formal politic</w:t>
      </w:r>
      <w:r w:rsidR="00207A9F" w:rsidRPr="00A90CCE">
        <w:rPr>
          <w:color w:val="000000" w:themeColor="text1"/>
          <w:lang w:eastAsia="en-GB"/>
        </w:rPr>
        <w:t>s</w:t>
      </w:r>
      <w:r w:rsidR="009471F7" w:rsidRPr="00A90CCE">
        <w:rPr>
          <w:color w:val="000000" w:themeColor="text1"/>
          <w:lang w:eastAsia="en-GB"/>
        </w:rPr>
        <w:t xml:space="preserve"> through the</w:t>
      </w:r>
      <w:r w:rsidR="009471F7" w:rsidRPr="00A90CCE">
        <w:rPr>
          <w:color w:val="000000" w:themeColor="text1"/>
        </w:rPr>
        <w:t xml:space="preserve"> sharing of emotional, motivational, </w:t>
      </w:r>
      <w:r w:rsidR="009471F7" w:rsidRPr="00A90CCE">
        <w:rPr>
          <w:color w:val="000000" w:themeColor="text1"/>
        </w:rPr>
        <w:lastRenderedPageBreak/>
        <w:t xml:space="preserve">and sometimes misleading content, such as expressions of anger, social identification, and highlighting concerns about fairness, justice, and deprivation </w:t>
      </w:r>
      <w:r w:rsidR="00C301DC" w:rsidRPr="00A90CCE">
        <w:rPr>
          <w:color w:val="000000" w:themeColor="text1"/>
        </w:rPr>
        <w:fldChar w:fldCharType="begin"/>
      </w:r>
      <w:r w:rsidR="00713EAE" w:rsidRPr="00A90CCE">
        <w:rPr>
          <w:color w:val="000000" w:themeColor="text1"/>
        </w:rPr>
        <w:instrText xml:space="preserve"> ADDIN ZOTERO_ITEM CSL_CITATION {"citationID":"moT4j3gy","properties":{"formattedCitation":"(Boxell &amp; Steinert-Threlkeld, 2022; Garbe et al., 2023; Jost et al., 2018)","plainCitation":"(Boxell &amp; Steinert-Threlkeld, 2022; Garbe et al., 2023; Jost et al., 2018)","noteIndex":0},"citationItems":[{"id":16102,"uris":["http://zotero.org/users/11001446/items/UKWIQMZR"],"itemData":{"id":16102,"type":"article-journal","container-title":"World Development","ISSN":"0305-750X","journalAbbreviation":"World Development","note":"publisher: Elsevier","page":"105950","title":"Taxing dissent: The impact of a social media tax in Uganda","volume":"158","author":[{"family":"Boxell","given":"Levi"},{"family":"Steinert-Threlkeld","given":"Zachary"}],"issued":{"date-parts":[["2022"]]}}},{"id":16103,"uris":["http://zotero.org/users/11001446/items/GPE239GI"],"itemData":{"id":16103,"type":"article-journal","container-title":"Information, Communication &amp; Society","ISSN":"1369-118X","issue":"1","journalAbbreviation":"Information, Communication &amp; Society","note":"publisher: Taylor &amp; Francis","page":"86-103","title":"How African countries respond to fake news and hate speech","volume":"26","author":[{"family":"Garbe","given":"Lisa"},{"family":"Selvik","given":"Lisa-Marie"},{"family":"Lemaire","given":"Pauline"}],"issued":{"date-parts":[["2023"]]}}},{"id":16098,"uris":["http://zotero.org/users/11001446/items/PTTB9K8Q"],"itemData":{"id":16098,"type":"article-journal","container-title":"Political psychology","ISSN":"0162-895X","journalAbbreviation":"Political psychology","note":"publisher: Wiley Online Library","page":"85-118","title":"How social media facilitates political protest: Information, motivation, and social networks","volume":"39","author":[{"family":"Jost","given":"John T"},{"family":"Barberá","given":"Pablo"},{"family":"Bonneau","given":"Richard"},{"family":"Langer","given":"Melanie"},{"family":"Metzger","given":"Megan"},{"family":"Nagler","given":"Jonathan"},{"family":"Sterling","given":"Joanna"},{"family":"Tucker","given":"Joshua A"}],"issued":{"date-parts":[["2018"]]}}}],"schema":"https://github.com/citation-style-language/schema/raw/master/csl-citation.json"} </w:instrText>
      </w:r>
      <w:r w:rsidR="00C301DC" w:rsidRPr="00A90CCE">
        <w:rPr>
          <w:color w:val="000000" w:themeColor="text1"/>
        </w:rPr>
        <w:fldChar w:fldCharType="separate"/>
      </w:r>
      <w:r w:rsidR="00713EAE" w:rsidRPr="00A90CCE">
        <w:t>(Boxell &amp; Steinert-Threlkeld, 2022; Garbe et al., 2023; Jost et al., 2018)</w:t>
      </w:r>
      <w:r w:rsidR="00C301DC" w:rsidRPr="00A90CCE">
        <w:rPr>
          <w:color w:val="000000" w:themeColor="text1"/>
        </w:rPr>
        <w:fldChar w:fldCharType="end"/>
      </w:r>
      <w:r w:rsidR="00713EAE" w:rsidRPr="00A90CCE">
        <w:rPr>
          <w:color w:val="000000" w:themeColor="text1"/>
        </w:rPr>
        <w:t>.</w:t>
      </w:r>
    </w:p>
    <w:p w14:paraId="0E34889C" w14:textId="4FB66DB0" w:rsidR="00804002" w:rsidRPr="00A90CCE" w:rsidRDefault="009471F7" w:rsidP="00207A9F">
      <w:pPr>
        <w:pStyle w:val="NormalWeb"/>
        <w:spacing w:before="0" w:beforeAutospacing="0" w:after="240" w:afterAutospacing="0" w:line="480" w:lineRule="auto"/>
        <w:ind w:firstLine="720"/>
        <w:jc w:val="both"/>
        <w:rPr>
          <w:color w:val="000000" w:themeColor="text1"/>
          <w:lang w:val="en-GB"/>
        </w:rPr>
      </w:pPr>
      <w:r w:rsidRPr="00A90CCE">
        <w:rPr>
          <w:color w:val="000000" w:themeColor="text1"/>
          <w:lang w:val="en-GB"/>
        </w:rPr>
        <w:t>We have argued that the demographic context of large youth cohorts might plausibly lead to the fostering grievances, dissatisfaction, and scepticism of formal politics that undermine personal efficacy and reduce formal participation. However, t</w:t>
      </w:r>
      <w:r w:rsidR="009E5600" w:rsidRPr="00A90CCE">
        <w:rPr>
          <w:color w:val="000000" w:themeColor="text1"/>
          <w:lang w:val="en-GB"/>
        </w:rPr>
        <w:t>he presence of a large youth cohort</w:t>
      </w:r>
      <w:r w:rsidRPr="00A90CCE">
        <w:rPr>
          <w:color w:val="000000" w:themeColor="text1"/>
          <w:lang w:val="en-GB"/>
        </w:rPr>
        <w:t>s</w:t>
      </w:r>
      <w:r w:rsidR="009E5600" w:rsidRPr="00A90CCE">
        <w:rPr>
          <w:color w:val="000000" w:themeColor="text1"/>
          <w:lang w:val="en-GB"/>
        </w:rPr>
        <w:t xml:space="preserve"> in a city can also foster a heightened sense of collective efficacy</w:t>
      </w:r>
      <w:r w:rsidRPr="00A90CCE">
        <w:rPr>
          <w:color w:val="000000" w:themeColor="text1"/>
          <w:lang w:val="en-GB"/>
        </w:rPr>
        <w:t xml:space="preserve">, even when </w:t>
      </w:r>
      <w:r w:rsidR="00207A9F" w:rsidRPr="00A90CCE">
        <w:rPr>
          <w:color w:val="000000" w:themeColor="text1"/>
          <w:lang w:val="en-GB"/>
        </w:rPr>
        <w:t xml:space="preserve">there may be scepticism of </w:t>
      </w:r>
      <w:r w:rsidRPr="00A90CCE">
        <w:rPr>
          <w:color w:val="000000" w:themeColor="text1"/>
          <w:lang w:val="en-GB"/>
        </w:rPr>
        <w:t xml:space="preserve">formal political institutions. </w:t>
      </w:r>
      <w:r w:rsidR="009E5600" w:rsidRPr="00A90CCE">
        <w:rPr>
          <w:color w:val="000000" w:themeColor="text1"/>
          <w:lang w:val="en-GB"/>
        </w:rPr>
        <w:t>Observing large numbers of people</w:t>
      </w:r>
      <w:r w:rsidRPr="00A90CCE">
        <w:rPr>
          <w:color w:val="000000" w:themeColor="text1"/>
          <w:lang w:val="en-GB"/>
        </w:rPr>
        <w:t xml:space="preserve"> with similar demographic profiles </w:t>
      </w:r>
      <w:r w:rsidR="009E5600" w:rsidRPr="00A90CCE">
        <w:rPr>
          <w:color w:val="000000" w:themeColor="text1"/>
          <w:lang w:val="en-GB"/>
        </w:rPr>
        <w:t xml:space="preserve">willing to engage in coordinated </w:t>
      </w:r>
      <w:r w:rsidRPr="00A90CCE">
        <w:rPr>
          <w:color w:val="000000" w:themeColor="text1"/>
          <w:lang w:val="en-GB"/>
        </w:rPr>
        <w:t xml:space="preserve">collective </w:t>
      </w:r>
      <w:r w:rsidR="009E5600" w:rsidRPr="00A90CCE">
        <w:rPr>
          <w:color w:val="000000" w:themeColor="text1"/>
          <w:lang w:val="en-GB"/>
        </w:rPr>
        <w:t xml:space="preserve">action, such as protests, can reinforce the belief that collective action is effective, </w:t>
      </w:r>
      <w:r w:rsidR="00207A9F" w:rsidRPr="00A90CCE">
        <w:rPr>
          <w:color w:val="000000" w:themeColor="text1"/>
          <w:lang w:val="en-GB"/>
        </w:rPr>
        <w:t>and increase</w:t>
      </w:r>
      <w:r w:rsidR="009E5600" w:rsidRPr="00A90CCE">
        <w:rPr>
          <w:color w:val="000000" w:themeColor="text1"/>
          <w:lang w:val="en-GB"/>
        </w:rPr>
        <w:t xml:space="preserve"> willingness to participate</w:t>
      </w:r>
      <w:r w:rsidRPr="00A90CCE">
        <w:rPr>
          <w:color w:val="000000" w:themeColor="text1"/>
          <w:lang w:val="en-GB"/>
        </w:rPr>
        <w:t xml:space="preserve"> </w:t>
      </w:r>
      <w:r w:rsidR="00713EAE" w:rsidRPr="00A90CCE">
        <w:rPr>
          <w:color w:val="000000" w:themeColor="text1"/>
          <w:lang w:val="en-GB"/>
        </w:rPr>
        <w:fldChar w:fldCharType="begin"/>
      </w:r>
      <w:r w:rsidR="00713EAE" w:rsidRPr="00A90CCE">
        <w:rPr>
          <w:color w:val="000000" w:themeColor="text1"/>
          <w:lang w:val="en-GB"/>
        </w:rPr>
        <w:instrText xml:space="preserve"> ADDIN ZOTERO_ITEM CSL_CITATION {"citationID":"falbGTjL","properties":{"formattedCitation":"(McDonnell, 2020)","plainCitation":"(McDonnell, 2020)","noteIndex":0},"citationItems":[{"id":16104,"uris":["http://zotero.org/users/11001446/items/T48JTAHR"],"itemData":{"id":16104,"type":"article-journal","container-title":"Local Government Studies","ISSN":"0300-3930","issue":"3","journalAbbreviation":"Local Government Studies","note":"publisher: Taylor &amp; Francis","page":"331-350","title":"Municipality size, political efficacy and political participation: a systematic review","volume":"46","author":[{"family":"McDonnell","given":"Joshua"}],"issued":{"date-parts":[["2020"]]}}}],"schema":"https://github.com/citation-style-language/schema/raw/master/csl-citation.json"} </w:instrText>
      </w:r>
      <w:r w:rsidR="00713EAE" w:rsidRPr="00A90CCE">
        <w:rPr>
          <w:color w:val="000000" w:themeColor="text1"/>
          <w:lang w:val="en-GB"/>
        </w:rPr>
        <w:fldChar w:fldCharType="separate"/>
      </w:r>
      <w:r w:rsidR="00713EAE" w:rsidRPr="00A90CCE">
        <w:rPr>
          <w:lang w:val="en-GB"/>
        </w:rPr>
        <w:t>(McDonnell, 2020)</w:t>
      </w:r>
      <w:r w:rsidR="00713EAE" w:rsidRPr="00A90CCE">
        <w:rPr>
          <w:color w:val="000000" w:themeColor="text1"/>
          <w:lang w:val="en-GB"/>
        </w:rPr>
        <w:fldChar w:fldCharType="end"/>
      </w:r>
      <w:r w:rsidR="00713EAE" w:rsidRPr="00A90CCE">
        <w:rPr>
          <w:color w:val="000000" w:themeColor="text1"/>
          <w:lang w:val="en-GB"/>
        </w:rPr>
        <w:t>.</w:t>
      </w:r>
      <w:r w:rsidR="009E5600" w:rsidRPr="00A90CCE">
        <w:rPr>
          <w:color w:val="000000" w:themeColor="text1"/>
          <w:lang w:val="en-GB"/>
        </w:rPr>
        <w:t xml:space="preserve"> This is particularly relevant for protest mobili</w:t>
      </w:r>
      <w:r w:rsidR="00832993" w:rsidRPr="00A90CCE">
        <w:rPr>
          <w:color w:val="000000" w:themeColor="text1"/>
          <w:lang w:val="en-GB"/>
        </w:rPr>
        <w:t>s</w:t>
      </w:r>
      <w:r w:rsidR="009E5600" w:rsidRPr="00A90CCE">
        <w:rPr>
          <w:color w:val="000000" w:themeColor="text1"/>
          <w:lang w:val="en-GB"/>
        </w:rPr>
        <w:t xml:space="preserve">ation </w:t>
      </w:r>
      <w:r w:rsidRPr="00A90CCE">
        <w:rPr>
          <w:color w:val="000000" w:themeColor="text1"/>
          <w:lang w:val="en-GB"/>
        </w:rPr>
        <w:t xml:space="preserve">which, by design, is a more visible form of participation than voting. </w:t>
      </w:r>
      <w:r w:rsidR="009E5600" w:rsidRPr="00A90CCE">
        <w:rPr>
          <w:color w:val="000000" w:themeColor="text1"/>
          <w:lang w:val="en-GB"/>
        </w:rPr>
        <w:t>Finally, the demographic context of large youth cohorts also provides young people with a greater degree of anonymity. When individuals are part of a large group sharing a similar demographic profile</w:t>
      </w:r>
      <w:r w:rsidR="00832993" w:rsidRPr="00A90CCE">
        <w:rPr>
          <w:color w:val="000000" w:themeColor="text1"/>
          <w:lang w:val="en-GB"/>
        </w:rPr>
        <w:t xml:space="preserve">, </w:t>
      </w:r>
      <w:r w:rsidR="009E5600" w:rsidRPr="00A90CCE">
        <w:rPr>
          <w:color w:val="000000" w:themeColor="text1"/>
          <w:lang w:val="en-GB"/>
        </w:rPr>
        <w:t xml:space="preserve">there is a lower probability of detection associated with protest and informal mobilisation </w:t>
      </w:r>
      <w:r w:rsidR="00713EAE" w:rsidRPr="00A90CCE">
        <w:rPr>
          <w:color w:val="000000" w:themeColor="text1"/>
          <w:lang w:val="en-GB"/>
        </w:rPr>
        <w:fldChar w:fldCharType="begin"/>
      </w:r>
      <w:r w:rsidR="00713EAE" w:rsidRPr="00A90CCE">
        <w:rPr>
          <w:color w:val="000000" w:themeColor="text1"/>
          <w:lang w:val="en-GB"/>
        </w:rPr>
        <w:instrText xml:space="preserve"> ADDIN ZOTERO_ITEM CSL_CITATION {"citationID":"0rqETA5P","properties":{"formattedCitation":"(Dorward &amp; Fox, 2022; Fox &amp; Bell, 2016)","plainCitation":"(Dorward &amp; Fox, 2022; Fox &amp; Bell, 2016)","noteIndex":0},"citationItems":[{"id":452,"uris":["http://zotero.org/users/11001446/items/5JU4TPAH"],"itemData":{"id":452,"type":"article-journal","container-title":"Political Geography","ISSN":"0962-6298","journalAbbreviation":"Political Geography","note":"publisher: Elsevier","page":"102762","title":"Population pressure, political institutions, and protests: A multilevel analysis of protest events in African cities","volume":"99","author":[{"family":"Dorward","given":"Nick"},{"family":"Fox","given":"Sean"}],"issued":{"date-parts":[["2022"]]}}},{"id":887,"uris":["http://zotero.org/users/11001446/items/Z2WTN6YQ"],"itemData":{"id":887,"type":"article-journal","container-title":"Political Geography","language":"en","page":"54–64","title":"Urban geography and protest mobilization in Africa","volume":"53","author":[{"family":"Fox","given":"S."},{"family":"Bell","given":"A."}],"issued":{"date-parts":[["2016"]]}}}],"schema":"https://github.com/citation-style-language/schema/raw/master/csl-citation.json"} </w:instrText>
      </w:r>
      <w:r w:rsidR="00713EAE" w:rsidRPr="00A90CCE">
        <w:rPr>
          <w:color w:val="000000" w:themeColor="text1"/>
          <w:lang w:val="en-GB"/>
        </w:rPr>
        <w:fldChar w:fldCharType="separate"/>
      </w:r>
      <w:r w:rsidR="00713EAE" w:rsidRPr="00A90CCE">
        <w:rPr>
          <w:lang w:val="en-GB"/>
        </w:rPr>
        <w:t>(Dorward &amp; Fox, 2022; Fox &amp; Bell, 2016)</w:t>
      </w:r>
      <w:r w:rsidR="00713EAE" w:rsidRPr="00A90CCE">
        <w:rPr>
          <w:color w:val="000000" w:themeColor="text1"/>
          <w:lang w:val="en-GB"/>
        </w:rPr>
        <w:fldChar w:fldCharType="end"/>
      </w:r>
      <w:r w:rsidR="009E5600" w:rsidRPr="00A90CCE">
        <w:rPr>
          <w:color w:val="000000" w:themeColor="text1"/>
          <w:lang w:val="en-GB"/>
        </w:rPr>
        <w:t xml:space="preserve">. This </w:t>
      </w:r>
      <w:r w:rsidR="002B5C14" w:rsidRPr="00A90CCE">
        <w:rPr>
          <w:color w:val="000000" w:themeColor="text1"/>
          <w:lang w:val="en-GB"/>
        </w:rPr>
        <w:t>‘</w:t>
      </w:r>
      <w:r w:rsidR="009E5600" w:rsidRPr="00A90CCE">
        <w:rPr>
          <w:color w:val="000000" w:themeColor="text1"/>
          <w:lang w:val="en-GB"/>
        </w:rPr>
        <w:t>safety in numbers</w:t>
      </w:r>
      <w:r w:rsidR="002B5C14" w:rsidRPr="00A90CCE">
        <w:rPr>
          <w:color w:val="000000" w:themeColor="text1"/>
          <w:lang w:val="en-GB"/>
        </w:rPr>
        <w:t>’</w:t>
      </w:r>
      <w:r w:rsidR="009E5600" w:rsidRPr="00A90CCE">
        <w:rPr>
          <w:color w:val="000000" w:themeColor="text1"/>
          <w:lang w:val="en-GB"/>
        </w:rPr>
        <w:t xml:space="preserve"> effect can lower the psychological costs to participation, making individuals more inclined to join collective action. </w:t>
      </w:r>
    </w:p>
    <w:p w14:paraId="46E9EFB3" w14:textId="77777777" w:rsidR="009E5600" w:rsidRPr="00A90CCE" w:rsidRDefault="009E5600" w:rsidP="009E5600"/>
    <w:p w14:paraId="3E5FFCB2" w14:textId="6AB26526" w:rsidR="009471F7" w:rsidRPr="00A90CCE" w:rsidRDefault="004C337E" w:rsidP="009471F7">
      <w:pPr>
        <w:spacing w:after="120" w:line="480" w:lineRule="auto"/>
        <w:jc w:val="both"/>
        <w:rPr>
          <w:b/>
          <w:bCs/>
          <w:color w:val="000000" w:themeColor="text1"/>
          <w:lang w:eastAsia="en-GB"/>
        </w:rPr>
      </w:pPr>
      <w:r w:rsidRPr="00A90CCE">
        <w:rPr>
          <w:b/>
          <w:bCs/>
          <w:color w:val="000000" w:themeColor="text1"/>
          <w:lang w:eastAsia="en-GB"/>
        </w:rPr>
        <w:t>2.</w:t>
      </w:r>
      <w:r w:rsidR="00207A9F" w:rsidRPr="00A90CCE">
        <w:rPr>
          <w:b/>
          <w:bCs/>
          <w:color w:val="000000" w:themeColor="text1"/>
          <w:lang w:eastAsia="en-GB"/>
        </w:rPr>
        <w:t>3</w:t>
      </w:r>
      <w:r w:rsidRPr="00A90CCE">
        <w:rPr>
          <w:b/>
          <w:bCs/>
          <w:color w:val="000000" w:themeColor="text1"/>
          <w:lang w:eastAsia="en-GB"/>
        </w:rPr>
        <w:t xml:space="preserve"> Hypotheses </w:t>
      </w:r>
    </w:p>
    <w:p w14:paraId="30831C0F" w14:textId="1F5C1D9B" w:rsidR="009471F7" w:rsidRPr="00A90CCE" w:rsidRDefault="003948A7" w:rsidP="009471F7">
      <w:pPr>
        <w:spacing w:after="120" w:line="480" w:lineRule="auto"/>
        <w:jc w:val="both"/>
        <w:rPr>
          <w:color w:val="000000" w:themeColor="text1"/>
          <w:lang w:eastAsia="en-GB"/>
        </w:rPr>
      </w:pPr>
      <w:r w:rsidRPr="00A90CCE">
        <w:rPr>
          <w:color w:val="000000" w:themeColor="text1"/>
          <w:lang w:eastAsia="en-GB"/>
        </w:rPr>
        <w:t xml:space="preserve">Our review of the </w:t>
      </w:r>
      <w:r w:rsidR="00385ED7" w:rsidRPr="00A90CCE">
        <w:rPr>
          <w:color w:val="000000" w:themeColor="text1"/>
          <w:lang w:eastAsia="en-GB"/>
        </w:rPr>
        <w:t xml:space="preserve">literature on </w:t>
      </w:r>
      <w:r w:rsidR="009471F7" w:rsidRPr="00A90CCE">
        <w:rPr>
          <w:color w:val="000000" w:themeColor="text1"/>
          <w:lang w:eastAsia="en-GB"/>
        </w:rPr>
        <w:t xml:space="preserve">youth </w:t>
      </w:r>
      <w:r w:rsidR="00385ED7" w:rsidRPr="00A90CCE">
        <w:rPr>
          <w:color w:val="000000" w:themeColor="text1"/>
          <w:lang w:eastAsia="en-GB"/>
        </w:rPr>
        <w:t xml:space="preserve">and political participation </w:t>
      </w:r>
      <w:r w:rsidR="009471F7" w:rsidRPr="00A90CCE">
        <w:rPr>
          <w:color w:val="000000" w:themeColor="text1"/>
          <w:lang w:eastAsia="en-GB"/>
        </w:rPr>
        <w:t>suggests that intensified competition for jobs and services in densely populated, youthful cities generates grievances and dissatisfaction, suppressing formal political participation and predisposing individuals toward informal actions. Furthermore, lower opportunity costs for informal activities among young people in these contexts</w:t>
      </w:r>
      <w:r w:rsidRPr="00A90CCE">
        <w:rPr>
          <w:color w:val="000000" w:themeColor="text1"/>
          <w:lang w:eastAsia="en-GB"/>
        </w:rPr>
        <w:t xml:space="preserve"> </w:t>
      </w:r>
      <w:r w:rsidR="009471F7" w:rsidRPr="00A90CCE">
        <w:rPr>
          <w:color w:val="000000" w:themeColor="text1"/>
          <w:lang w:eastAsia="en-GB"/>
        </w:rPr>
        <w:t xml:space="preserve">make </w:t>
      </w:r>
      <w:r w:rsidRPr="00A90CCE">
        <w:rPr>
          <w:color w:val="000000" w:themeColor="text1"/>
          <w:lang w:eastAsia="en-GB"/>
        </w:rPr>
        <w:t xml:space="preserve">informal </w:t>
      </w:r>
      <w:r w:rsidR="009471F7" w:rsidRPr="00A90CCE">
        <w:rPr>
          <w:color w:val="000000" w:themeColor="text1"/>
          <w:lang w:eastAsia="en-GB"/>
        </w:rPr>
        <w:t xml:space="preserve">protest more appealing than formal </w:t>
      </w:r>
      <w:r w:rsidRPr="00A90CCE">
        <w:rPr>
          <w:color w:val="000000" w:themeColor="text1"/>
          <w:lang w:eastAsia="en-GB"/>
        </w:rPr>
        <w:t xml:space="preserve">political </w:t>
      </w:r>
      <w:r w:rsidR="009471F7" w:rsidRPr="00A90CCE">
        <w:rPr>
          <w:color w:val="000000" w:themeColor="text1"/>
          <w:lang w:eastAsia="en-GB"/>
        </w:rPr>
        <w:t xml:space="preserve">engagement. </w:t>
      </w:r>
      <w:r w:rsidRPr="00A90CCE">
        <w:rPr>
          <w:color w:val="000000" w:themeColor="text1"/>
          <w:lang w:eastAsia="en-GB"/>
        </w:rPr>
        <w:t>Moreover</w:t>
      </w:r>
      <w:r w:rsidR="009471F7" w:rsidRPr="00A90CCE">
        <w:rPr>
          <w:color w:val="000000" w:themeColor="text1"/>
          <w:lang w:eastAsia="en-GB"/>
        </w:rPr>
        <w:t xml:space="preserve">, urban density and high social media penetration foster dense social </w:t>
      </w:r>
      <w:r w:rsidR="009471F7" w:rsidRPr="00A90CCE">
        <w:rPr>
          <w:color w:val="000000" w:themeColor="text1"/>
          <w:lang w:eastAsia="en-GB"/>
        </w:rPr>
        <w:lastRenderedPageBreak/>
        <w:t xml:space="preserve">networks, amplify peer effects, and offer a degree of anonymity, all of which </w:t>
      </w:r>
      <w:r w:rsidRPr="00A90CCE">
        <w:rPr>
          <w:color w:val="000000" w:themeColor="text1"/>
          <w:lang w:eastAsia="en-GB"/>
        </w:rPr>
        <w:t xml:space="preserve">likely </w:t>
      </w:r>
      <w:r w:rsidR="009471F7" w:rsidRPr="00A90CCE">
        <w:rPr>
          <w:color w:val="000000" w:themeColor="text1"/>
          <w:lang w:eastAsia="en-GB"/>
        </w:rPr>
        <w:t xml:space="preserve">facilitate informal collective action and reinforce collective efficacy. </w:t>
      </w:r>
      <w:r w:rsidR="009471F7" w:rsidRPr="00A90CCE">
        <w:t>This set of local</w:t>
      </w:r>
      <w:r w:rsidRPr="00A90CCE">
        <w:t>-level</w:t>
      </w:r>
      <w:r w:rsidR="009471F7" w:rsidRPr="00A90CCE">
        <w:t xml:space="preserve"> mechanisms help explain why individuals, particularly young people, in cities with higher youth shares may be significantly more likely to engage in informal politics while simultaneously disengaging from formal </w:t>
      </w:r>
      <w:r w:rsidRPr="00A90CCE">
        <w:t>political activity. This leads us to develop the</w:t>
      </w:r>
      <w:r w:rsidR="009471F7" w:rsidRPr="00A90CCE">
        <w:rPr>
          <w:color w:val="000000" w:themeColor="text1"/>
          <w:lang w:eastAsia="en-GB"/>
        </w:rPr>
        <w:t xml:space="preserve"> following </w:t>
      </w:r>
      <w:r w:rsidRPr="00A90CCE">
        <w:rPr>
          <w:color w:val="000000" w:themeColor="text1"/>
          <w:lang w:eastAsia="en-GB"/>
        </w:rPr>
        <w:t xml:space="preserve">set of </w:t>
      </w:r>
      <w:r w:rsidR="009471F7" w:rsidRPr="00A90CCE">
        <w:rPr>
          <w:color w:val="000000" w:themeColor="text1"/>
          <w:lang w:eastAsia="en-GB"/>
        </w:rPr>
        <w:t xml:space="preserve">hypotheses: </w:t>
      </w:r>
    </w:p>
    <w:p w14:paraId="2D4A0E36" w14:textId="033C8F60" w:rsidR="002540E9" w:rsidRPr="00A90CCE" w:rsidRDefault="002540E9" w:rsidP="00580B7D">
      <w:pPr>
        <w:pStyle w:val="ListParagraph"/>
        <w:numPr>
          <w:ilvl w:val="0"/>
          <w:numId w:val="5"/>
        </w:numPr>
        <w:spacing w:after="120" w:line="480" w:lineRule="auto"/>
        <w:ind w:right="95"/>
        <w:jc w:val="both"/>
        <w:rPr>
          <w:i/>
          <w:iCs/>
          <w:color w:val="000000" w:themeColor="text1"/>
          <w:lang w:val="en-GB" w:eastAsia="en-GB"/>
        </w:rPr>
      </w:pPr>
      <w:r w:rsidRPr="00A90CCE">
        <w:rPr>
          <w:i/>
          <w:iCs/>
          <w:color w:val="000000" w:themeColor="text1"/>
          <w:lang w:val="en-GB" w:eastAsia="en-GB"/>
        </w:rPr>
        <w:t>H1a. Individual</w:t>
      </w:r>
      <w:r w:rsidR="004E7E9F" w:rsidRPr="00A90CCE">
        <w:rPr>
          <w:i/>
          <w:iCs/>
          <w:color w:val="000000" w:themeColor="text1"/>
          <w:lang w:val="en-GB" w:eastAsia="en-GB"/>
        </w:rPr>
        <w:t>s</w:t>
      </w:r>
      <w:r w:rsidRPr="00A90CCE">
        <w:rPr>
          <w:i/>
          <w:iCs/>
          <w:color w:val="000000" w:themeColor="text1"/>
          <w:lang w:val="en-GB" w:eastAsia="en-GB"/>
        </w:rPr>
        <w:t xml:space="preserve"> in cities with higher youth shares will be less likely to participate in formal politics </w:t>
      </w:r>
    </w:p>
    <w:p w14:paraId="20C00CE6" w14:textId="73DC05D5" w:rsidR="002540E9" w:rsidRPr="00A90CCE" w:rsidRDefault="002540E9" w:rsidP="00580B7D">
      <w:pPr>
        <w:pStyle w:val="ListParagraph"/>
        <w:numPr>
          <w:ilvl w:val="0"/>
          <w:numId w:val="5"/>
        </w:numPr>
        <w:spacing w:after="120" w:line="480" w:lineRule="auto"/>
        <w:ind w:right="95"/>
        <w:jc w:val="both"/>
        <w:rPr>
          <w:color w:val="000000" w:themeColor="text1"/>
          <w:lang w:val="en-GB" w:eastAsia="en-GB"/>
        </w:rPr>
      </w:pPr>
      <w:r w:rsidRPr="00A90CCE">
        <w:rPr>
          <w:i/>
          <w:iCs/>
          <w:color w:val="000000" w:themeColor="text1"/>
          <w:lang w:val="en-GB" w:eastAsia="en-GB"/>
        </w:rPr>
        <w:t>H1b. Individual</w:t>
      </w:r>
      <w:r w:rsidR="005B1BAA" w:rsidRPr="00A90CCE">
        <w:rPr>
          <w:i/>
          <w:iCs/>
          <w:color w:val="000000" w:themeColor="text1"/>
          <w:lang w:val="en-GB" w:eastAsia="en-GB"/>
        </w:rPr>
        <w:t>s</w:t>
      </w:r>
      <w:r w:rsidRPr="00A90CCE">
        <w:rPr>
          <w:i/>
          <w:iCs/>
          <w:color w:val="000000" w:themeColor="text1"/>
          <w:lang w:val="en-GB" w:eastAsia="en-GB"/>
        </w:rPr>
        <w:t xml:space="preserve"> in cities with higher youth shares will be more likely to participate in informal politics </w:t>
      </w:r>
    </w:p>
    <w:p w14:paraId="00023DA2" w14:textId="687698DC" w:rsidR="002540E9" w:rsidRPr="00A90CCE" w:rsidRDefault="00BD42D7" w:rsidP="004858DB">
      <w:pPr>
        <w:spacing w:after="120" w:line="480" w:lineRule="auto"/>
        <w:jc w:val="both"/>
        <w:rPr>
          <w:color w:val="000000" w:themeColor="text1"/>
          <w:lang w:eastAsia="en-GB"/>
        </w:rPr>
      </w:pPr>
      <w:r w:rsidRPr="00A90CCE">
        <w:rPr>
          <w:color w:val="000000" w:themeColor="text1"/>
          <w:lang w:eastAsia="en-GB"/>
        </w:rPr>
        <w:t xml:space="preserve">We further anticipate that </w:t>
      </w:r>
      <w:r w:rsidR="009471F7" w:rsidRPr="00A90CCE">
        <w:rPr>
          <w:color w:val="000000" w:themeColor="text1"/>
          <w:lang w:eastAsia="en-GB"/>
        </w:rPr>
        <w:t>the</w:t>
      </w:r>
      <w:r w:rsidR="009F6AD3" w:rsidRPr="00A90CCE">
        <w:rPr>
          <w:color w:val="000000" w:themeColor="text1"/>
          <w:lang w:eastAsia="en-GB"/>
        </w:rPr>
        <w:t xml:space="preserve"> association between urban youth shares and political participation will be stronger for young people</w:t>
      </w:r>
      <w:r w:rsidRPr="00A90CCE">
        <w:rPr>
          <w:color w:val="000000" w:themeColor="text1"/>
          <w:lang w:eastAsia="en-GB"/>
        </w:rPr>
        <w:t>,</w:t>
      </w:r>
      <w:r w:rsidR="009F6AD3" w:rsidRPr="00A90CCE">
        <w:rPr>
          <w:color w:val="000000" w:themeColor="text1"/>
          <w:lang w:eastAsia="en-GB"/>
        </w:rPr>
        <w:t xml:space="preserve"> such that:</w:t>
      </w:r>
    </w:p>
    <w:p w14:paraId="75836091" w14:textId="5D44533F" w:rsidR="009F6AD3" w:rsidRPr="00A90CCE" w:rsidRDefault="009F6AD3" w:rsidP="00580B7D">
      <w:pPr>
        <w:pStyle w:val="ListParagraph"/>
        <w:numPr>
          <w:ilvl w:val="0"/>
          <w:numId w:val="4"/>
        </w:numPr>
        <w:spacing w:after="120" w:line="480" w:lineRule="auto"/>
        <w:ind w:right="95"/>
        <w:jc w:val="both"/>
        <w:rPr>
          <w:i/>
          <w:iCs/>
          <w:color w:val="000000" w:themeColor="text1"/>
          <w:lang w:val="en-GB" w:eastAsia="en-GB"/>
        </w:rPr>
      </w:pPr>
      <w:r w:rsidRPr="00A90CCE">
        <w:rPr>
          <w:i/>
          <w:iCs/>
          <w:color w:val="000000" w:themeColor="text1"/>
          <w:lang w:val="en-GB" w:eastAsia="en-GB"/>
        </w:rPr>
        <w:t>H2a</w:t>
      </w:r>
      <w:r w:rsidR="00C77BA2" w:rsidRPr="00A90CCE">
        <w:rPr>
          <w:i/>
          <w:iCs/>
          <w:color w:val="000000" w:themeColor="text1"/>
          <w:lang w:val="en-GB" w:eastAsia="en-GB"/>
        </w:rPr>
        <w:t>.</w:t>
      </w:r>
      <w:r w:rsidRPr="00A90CCE">
        <w:rPr>
          <w:i/>
          <w:iCs/>
          <w:color w:val="000000" w:themeColor="text1"/>
          <w:lang w:val="en-GB" w:eastAsia="en-GB"/>
        </w:rPr>
        <w:t xml:space="preserve"> Young people in </w:t>
      </w:r>
      <w:r w:rsidR="005B1BAA" w:rsidRPr="00A90CCE">
        <w:rPr>
          <w:i/>
          <w:iCs/>
          <w:color w:val="000000" w:themeColor="text1"/>
          <w:lang w:val="en-GB" w:eastAsia="en-GB"/>
        </w:rPr>
        <w:t xml:space="preserve">in cities with higher youth shares </w:t>
      </w:r>
      <w:r w:rsidRPr="00A90CCE">
        <w:rPr>
          <w:i/>
          <w:iCs/>
          <w:color w:val="000000" w:themeColor="text1"/>
          <w:lang w:val="en-GB" w:eastAsia="en-GB"/>
        </w:rPr>
        <w:t xml:space="preserve">will be less likely to participate in formal politics than their older counterparts. </w:t>
      </w:r>
    </w:p>
    <w:p w14:paraId="0203E846" w14:textId="5E964B49" w:rsidR="009471F7" w:rsidRPr="00A90CCE" w:rsidRDefault="009F6AD3" w:rsidP="009471F7">
      <w:pPr>
        <w:pStyle w:val="ListParagraph"/>
        <w:numPr>
          <w:ilvl w:val="0"/>
          <w:numId w:val="4"/>
        </w:numPr>
        <w:spacing w:after="120" w:line="480" w:lineRule="auto"/>
        <w:ind w:right="95"/>
        <w:jc w:val="both"/>
        <w:rPr>
          <w:i/>
          <w:iCs/>
          <w:color w:val="000000" w:themeColor="text1"/>
          <w:lang w:val="en-GB" w:eastAsia="en-GB"/>
        </w:rPr>
      </w:pPr>
      <w:r w:rsidRPr="00A90CCE">
        <w:rPr>
          <w:i/>
          <w:iCs/>
          <w:color w:val="000000" w:themeColor="text1"/>
          <w:lang w:val="en-GB" w:eastAsia="en-GB"/>
        </w:rPr>
        <w:t>H2</w:t>
      </w:r>
      <w:r w:rsidR="00C77BA2" w:rsidRPr="00A90CCE">
        <w:rPr>
          <w:i/>
          <w:iCs/>
          <w:color w:val="000000" w:themeColor="text1"/>
          <w:lang w:val="en-GB" w:eastAsia="en-GB"/>
        </w:rPr>
        <w:t>b.</w:t>
      </w:r>
      <w:r w:rsidRPr="00A90CCE">
        <w:rPr>
          <w:i/>
          <w:iCs/>
          <w:color w:val="000000" w:themeColor="text1"/>
          <w:lang w:val="en-GB" w:eastAsia="en-GB"/>
        </w:rPr>
        <w:t xml:space="preserve"> Young people in </w:t>
      </w:r>
      <w:r w:rsidR="005B1BAA" w:rsidRPr="00A90CCE">
        <w:rPr>
          <w:i/>
          <w:iCs/>
          <w:color w:val="000000" w:themeColor="text1"/>
          <w:lang w:val="en-GB" w:eastAsia="en-GB"/>
        </w:rPr>
        <w:t xml:space="preserve">in cities with higher youth shares </w:t>
      </w:r>
      <w:r w:rsidRPr="00A90CCE">
        <w:rPr>
          <w:i/>
          <w:iCs/>
          <w:color w:val="000000" w:themeColor="text1"/>
          <w:lang w:val="en-GB" w:eastAsia="en-GB"/>
        </w:rPr>
        <w:t xml:space="preserve">will be more likely to participate in informal politics than their older counterparts. </w:t>
      </w:r>
    </w:p>
    <w:p w14:paraId="7181B7FB" w14:textId="77777777" w:rsidR="009471F7" w:rsidRPr="00A90CCE" w:rsidRDefault="009471F7" w:rsidP="004858DB">
      <w:pPr>
        <w:pStyle w:val="ListParagraph"/>
        <w:spacing w:after="120" w:line="480" w:lineRule="auto"/>
        <w:ind w:left="0" w:right="95"/>
        <w:jc w:val="both"/>
        <w:rPr>
          <w:i/>
          <w:iCs/>
          <w:color w:val="000000" w:themeColor="text1"/>
          <w:lang w:val="en-GB" w:eastAsia="en-GB"/>
        </w:rPr>
      </w:pPr>
    </w:p>
    <w:p w14:paraId="2D2B8AE8" w14:textId="0951D9A5" w:rsidR="006C06BD" w:rsidRPr="00A90CCE" w:rsidRDefault="006C06BD" w:rsidP="009471F7">
      <w:pPr>
        <w:pStyle w:val="ListParagraph"/>
        <w:numPr>
          <w:ilvl w:val="0"/>
          <w:numId w:val="1"/>
        </w:numPr>
        <w:spacing w:after="120" w:line="480" w:lineRule="auto"/>
        <w:rPr>
          <w:color w:val="000000" w:themeColor="text1"/>
          <w:lang w:val="en-GB" w:eastAsia="en-GB"/>
        </w:rPr>
      </w:pPr>
      <w:r w:rsidRPr="00A90CCE">
        <w:rPr>
          <w:b/>
          <w:bCs/>
          <w:color w:val="000000" w:themeColor="text1"/>
          <w:lang w:val="en-GB" w:eastAsia="en-GB"/>
        </w:rPr>
        <w:t>Data and Methods </w:t>
      </w:r>
    </w:p>
    <w:p w14:paraId="44478356" w14:textId="1F1A19E3" w:rsidR="009471F7" w:rsidRPr="00A90CCE" w:rsidRDefault="00F06967" w:rsidP="004858DB">
      <w:pPr>
        <w:spacing w:after="120" w:line="480" w:lineRule="auto"/>
        <w:jc w:val="both"/>
        <w:rPr>
          <w:color w:val="000000" w:themeColor="text1"/>
          <w:lang w:eastAsia="en-GB"/>
        </w:rPr>
      </w:pPr>
      <w:r w:rsidRPr="00A90CCE">
        <w:rPr>
          <w:color w:val="000000" w:themeColor="text1"/>
          <w:lang w:eastAsia="en-GB"/>
        </w:rPr>
        <w:t xml:space="preserve">We test </w:t>
      </w:r>
      <w:r w:rsidR="00342C52" w:rsidRPr="00A90CCE">
        <w:rPr>
          <w:color w:val="000000" w:themeColor="text1"/>
          <w:lang w:eastAsia="en-GB"/>
        </w:rPr>
        <w:t>these</w:t>
      </w:r>
      <w:r w:rsidRPr="00A90CCE">
        <w:rPr>
          <w:color w:val="000000" w:themeColor="text1"/>
          <w:lang w:eastAsia="en-GB"/>
        </w:rPr>
        <w:t xml:space="preserve"> expectations </w:t>
      </w:r>
      <w:r w:rsidR="004858DB" w:rsidRPr="00A90CCE">
        <w:rPr>
          <w:color w:val="000000" w:themeColor="text1"/>
          <w:lang w:eastAsia="en-GB"/>
        </w:rPr>
        <w:t>with</w:t>
      </w:r>
      <w:r w:rsidRPr="00A90CCE">
        <w:rPr>
          <w:color w:val="000000" w:themeColor="text1"/>
          <w:lang w:eastAsia="en-GB"/>
        </w:rPr>
        <w:t xml:space="preserve"> an </w:t>
      </w:r>
      <w:r w:rsidR="000E5DEC" w:rsidRPr="00A90CCE">
        <w:rPr>
          <w:color w:val="000000" w:themeColor="text1"/>
          <w:lang w:eastAsia="en-GB"/>
        </w:rPr>
        <w:t>empirical</w:t>
      </w:r>
      <w:r w:rsidRPr="00A90CCE">
        <w:rPr>
          <w:color w:val="000000" w:themeColor="text1"/>
          <w:lang w:eastAsia="en-GB"/>
        </w:rPr>
        <w:t xml:space="preserve"> analysis of individual political participation in </w:t>
      </w:r>
      <w:r w:rsidR="00641AEF" w:rsidRPr="00A90CCE">
        <w:rPr>
          <w:color w:val="000000" w:themeColor="text1"/>
          <w:lang w:eastAsia="en-GB"/>
        </w:rPr>
        <w:t>399</w:t>
      </w:r>
      <w:r w:rsidRPr="00A90CCE">
        <w:rPr>
          <w:color w:val="000000" w:themeColor="text1"/>
          <w:lang w:eastAsia="en-GB"/>
        </w:rPr>
        <w:t xml:space="preserve"> </w:t>
      </w:r>
      <w:r w:rsidR="00FC74EA" w:rsidRPr="00A90CCE">
        <w:rPr>
          <w:color w:val="000000" w:themeColor="text1"/>
          <w:lang w:eastAsia="en-GB"/>
        </w:rPr>
        <w:t xml:space="preserve">distinct </w:t>
      </w:r>
      <w:r w:rsidRPr="00A90CCE">
        <w:rPr>
          <w:color w:val="000000" w:themeColor="text1"/>
          <w:lang w:eastAsia="en-GB"/>
        </w:rPr>
        <w:t xml:space="preserve">African cities. We </w:t>
      </w:r>
      <w:r w:rsidR="00521F38" w:rsidRPr="00A90CCE">
        <w:rPr>
          <w:color w:val="000000" w:themeColor="text1"/>
          <w:lang w:eastAsia="en-GB"/>
        </w:rPr>
        <w:t>constructed</w:t>
      </w:r>
      <w:r w:rsidRPr="00A90CCE">
        <w:rPr>
          <w:color w:val="000000" w:themeColor="text1"/>
          <w:lang w:eastAsia="en-GB"/>
        </w:rPr>
        <w:t xml:space="preserve"> a dataset </w:t>
      </w:r>
      <w:r w:rsidR="00521F38" w:rsidRPr="00A90CCE">
        <w:rPr>
          <w:color w:val="000000" w:themeColor="text1"/>
          <w:lang w:eastAsia="en-GB"/>
        </w:rPr>
        <w:t xml:space="preserve">that </w:t>
      </w:r>
      <w:r w:rsidRPr="00A90CCE">
        <w:rPr>
          <w:color w:val="000000" w:themeColor="text1"/>
          <w:lang w:eastAsia="en-GB"/>
        </w:rPr>
        <w:t>matche</w:t>
      </w:r>
      <w:r w:rsidR="000E5DEC" w:rsidRPr="00A90CCE">
        <w:rPr>
          <w:color w:val="000000" w:themeColor="text1"/>
          <w:lang w:eastAsia="en-GB"/>
        </w:rPr>
        <w:t>s</w:t>
      </w:r>
      <w:r w:rsidRPr="00A90CCE">
        <w:rPr>
          <w:color w:val="000000" w:themeColor="text1"/>
          <w:lang w:eastAsia="en-GB"/>
        </w:rPr>
        <w:t xml:space="preserve"> individual </w:t>
      </w:r>
      <w:r w:rsidR="000E5DEC" w:rsidRPr="00A90CCE">
        <w:rPr>
          <w:color w:val="000000" w:themeColor="text1"/>
          <w:lang w:eastAsia="en-GB"/>
        </w:rPr>
        <w:t>respondents</w:t>
      </w:r>
      <w:r w:rsidRPr="00A90CCE">
        <w:rPr>
          <w:color w:val="000000" w:themeColor="text1"/>
          <w:lang w:eastAsia="en-GB"/>
        </w:rPr>
        <w:t xml:space="preserve"> in the Afrobarometer</w:t>
      </w:r>
      <w:r w:rsidR="003E7371" w:rsidRPr="00A90CCE">
        <w:rPr>
          <w:color w:val="000000" w:themeColor="text1"/>
          <w:lang w:eastAsia="en-GB"/>
        </w:rPr>
        <w:t xml:space="preserve"> Survey to</w:t>
      </w:r>
      <w:r w:rsidRPr="00A90CCE">
        <w:rPr>
          <w:color w:val="000000" w:themeColor="text1"/>
          <w:lang w:eastAsia="en-GB"/>
        </w:rPr>
        <w:t xml:space="preserve"> </w:t>
      </w:r>
      <w:r w:rsidR="000E5DEC" w:rsidRPr="00A90CCE">
        <w:rPr>
          <w:color w:val="000000" w:themeColor="text1"/>
          <w:lang w:eastAsia="en-GB"/>
        </w:rPr>
        <w:t>individual cities in the Urban Centres Database</w:t>
      </w:r>
      <w:r w:rsidR="003E7371" w:rsidRPr="00A90CCE">
        <w:rPr>
          <w:color w:val="000000" w:themeColor="text1"/>
          <w:lang w:eastAsia="en-GB"/>
        </w:rPr>
        <w:t xml:space="preserve"> (UCDB)</w:t>
      </w:r>
      <w:r w:rsidR="000E5DEC" w:rsidRPr="00A90CCE">
        <w:rPr>
          <w:color w:val="000000" w:themeColor="text1"/>
          <w:lang w:eastAsia="en-GB"/>
        </w:rPr>
        <w:t xml:space="preserve"> </w:t>
      </w:r>
      <w:r w:rsidR="0094298A"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{"citationID":"zatLzVYK","properties":{"formattedCitation":"(Melchiorri et al., 2024)","plainCitation":"(Melchiorri et al., 2024)","noteIndex":0},"citationItems":[{"id":781,"uris":["http://zotero.org/users/11001446/items/IKPIB64W"],"itemData":{"id":781,"type":"article-journal","container-title":"Scientific Data","ISSN":"2052-4463","issue":"1","journalAbbreviation":"Scientific Data","note":"publisher: Nature Publishing Group UK London","page":"82","title":"The Multi-temporal and Multi-dimensional Global Urban Centre Database to Delineate and Analyse World Cities","volume":"11","author":[{"family":"Melchiorri","given":"Michele"},{"family":"Freire","given":"Sergio"},{"family":"Schiavina","given":"Marcello"},{"family":"Florczyk","given":"Aneta"},{"family":"Corbane","given":"Christina"},{"family":"Maffenini","given":"Luca"},{"family":"Pesaresi","given":"Martino"},{"family":"Politis","given":"Panagiotis"},{"family":"Szabo","given":"Filip"},{"family":"Ehrlich","given":"Daniele"}],"issued":{"date-parts":[["2024"]]}}}],"schema":"https://github.com/citation-style-language/schema/raw/master/csl-citation.json"} </w:instrText>
      </w:r>
      <w:r w:rsidR="0094298A" w:rsidRPr="00A90CCE">
        <w:rPr>
          <w:color w:val="000000" w:themeColor="text1"/>
          <w:lang w:eastAsia="en-GB"/>
        </w:rPr>
        <w:fldChar w:fldCharType="separate"/>
      </w:r>
      <w:r w:rsidR="0094298A" w:rsidRPr="00A90CCE">
        <w:t>(Melchiorri et al., 2024)</w:t>
      </w:r>
      <w:r w:rsidR="0094298A" w:rsidRPr="00A90CCE">
        <w:rPr>
          <w:color w:val="000000" w:themeColor="text1"/>
          <w:lang w:eastAsia="en-GB"/>
        </w:rPr>
        <w:fldChar w:fldCharType="end"/>
      </w:r>
      <w:r w:rsidR="00280510" w:rsidRPr="00A90CCE">
        <w:rPr>
          <w:color w:val="000000" w:themeColor="text1"/>
          <w:lang w:eastAsia="en-GB"/>
        </w:rPr>
        <w:t xml:space="preserve"> </w:t>
      </w:r>
      <w:r w:rsidR="000E5DEC" w:rsidRPr="00A90CCE">
        <w:rPr>
          <w:color w:val="000000" w:themeColor="text1"/>
          <w:lang w:eastAsia="en-GB"/>
        </w:rPr>
        <w:t xml:space="preserve">and high-resolution subnational </w:t>
      </w:r>
      <w:r w:rsidR="009471F7" w:rsidRPr="00A90CCE">
        <w:rPr>
          <w:color w:val="000000" w:themeColor="text1"/>
          <w:lang w:eastAsia="en-GB"/>
        </w:rPr>
        <w:t xml:space="preserve">estimates of </w:t>
      </w:r>
      <w:r w:rsidR="000E5DEC" w:rsidRPr="00A90CCE">
        <w:rPr>
          <w:color w:val="000000" w:themeColor="text1"/>
          <w:lang w:eastAsia="en-GB"/>
        </w:rPr>
        <w:t>population age and sex structure</w:t>
      </w:r>
      <w:r w:rsidR="009471F7" w:rsidRPr="00A90CCE">
        <w:rPr>
          <w:color w:val="000000" w:themeColor="text1"/>
          <w:lang w:eastAsia="en-GB"/>
        </w:rPr>
        <w:t>s</w:t>
      </w:r>
      <w:r w:rsidR="000E5DEC" w:rsidRPr="00A90CCE">
        <w:rPr>
          <w:color w:val="000000" w:themeColor="text1"/>
          <w:lang w:eastAsia="en-GB"/>
        </w:rPr>
        <w:t xml:space="preserve"> from WorldPop</w:t>
      </w:r>
      <w:r w:rsidR="0094298A" w:rsidRPr="00A90CCE">
        <w:rPr>
          <w:color w:val="000000" w:themeColor="text1"/>
          <w:lang w:eastAsia="en-GB"/>
        </w:rPr>
        <w:t xml:space="preserve"> </w:t>
      </w:r>
      <w:r w:rsidR="0094298A"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{"citationID":"E4rtyiUs","properties":{"formattedCitation":"(Pezzulo et al., 2017; Tatem et al., 2013)","plainCitation":"(Pezzulo et al., 2017; Tatem et al., 2013)","noteIndex":0},"citationItems":[{"id":778,"uris":["http://zotero.org/users/11001446/items/DCSPNE4E"],"itemData":{"id":778,"type":"article-journal","container-title":"Scientific data","ISSN":"2052-4463","issue":"1","journalAbbreviation":"Scientific data","note":"publisher: Nature Publishing Group","page":"1-15","title":"Sub-national mapping of population pyramids and dependency ratios in Africa and Asia","volume":"4","author":[{"family":"Pezzulo","given":"Carla"},{"family":"Hornby","given":"Graeme M"},{"family":"Sorichetta","given":"Alessandro"},{"family":"Gaughan","given":"Andrea E"},{"family":"Linard","given":"Catherine"},{"family":"Bird","given":"Tomas J"},{"family":"Kerr","given":"David"},{"family":"Lloyd","given":"Christopher T"},{"family":"Tatem","given":"Andrew J"}],"issued":{"date-parts":[["2017"]]}}},{"id":780,"uris":["http://zotero.org/users/11001446/items/RA7Q5FBB"],"itemData":{"id":780,"type":"article-journal","container-title":"Population health metrics","journalAbbreviation":"Population health metrics","note":"publisher: Springer","page":"1-11","title":"Millennium development health metrics: where do Africa’s children and women of childbearing age live?","volume":"11","author":[{"family":"Tatem","given":"Andrew J"},{"family":"Garcia","given":"Andres J"},{"family":"Snow","given":"Robert W"},{"family":"Noor","given":"Abdisalan M"},{"family":"Gaughan","given":"Andrea E"},{"family":"Gilbert","given":"Marius"},{"family":"Linard","given":"Catherine"}],"issued":{"date-parts":[["2013"]]}}}],"schema":"https://github.com/citation-style-language/schema/raw/master/csl-citation.json"} </w:instrText>
      </w:r>
      <w:r w:rsidR="0094298A" w:rsidRPr="00A90CCE">
        <w:rPr>
          <w:color w:val="000000" w:themeColor="text1"/>
          <w:lang w:eastAsia="en-GB"/>
        </w:rPr>
        <w:fldChar w:fldCharType="separate"/>
      </w:r>
      <w:r w:rsidR="0094298A" w:rsidRPr="00A90CCE">
        <w:t>(Pezzulo et al., 2017; Tatem et al., 2013)</w:t>
      </w:r>
      <w:r w:rsidR="0094298A" w:rsidRPr="00A90CCE">
        <w:rPr>
          <w:color w:val="000000" w:themeColor="text1"/>
          <w:lang w:eastAsia="en-GB"/>
        </w:rPr>
        <w:fldChar w:fldCharType="end"/>
      </w:r>
      <w:r w:rsidR="000E5DEC" w:rsidRPr="00A90CCE">
        <w:rPr>
          <w:color w:val="000000" w:themeColor="text1"/>
          <w:lang w:eastAsia="en-GB"/>
        </w:rPr>
        <w:t xml:space="preserve">. This </w:t>
      </w:r>
      <w:r w:rsidR="00B962B2" w:rsidRPr="00A90CCE">
        <w:rPr>
          <w:color w:val="000000" w:themeColor="text1"/>
          <w:lang w:eastAsia="en-GB"/>
        </w:rPr>
        <w:t xml:space="preserve">unique </w:t>
      </w:r>
      <w:r w:rsidR="000E5DEC" w:rsidRPr="00A90CCE">
        <w:rPr>
          <w:color w:val="000000" w:themeColor="text1"/>
          <w:lang w:eastAsia="en-GB"/>
        </w:rPr>
        <w:t xml:space="preserve">city-level dataset allows us to analyse the </w:t>
      </w:r>
      <w:r w:rsidR="009471F7" w:rsidRPr="00A90CCE">
        <w:rPr>
          <w:color w:val="000000" w:themeColor="text1"/>
          <w:lang w:eastAsia="en-GB"/>
        </w:rPr>
        <w:t>effect of a cit</w:t>
      </w:r>
      <w:r w:rsidR="00521F38" w:rsidRPr="00A90CCE">
        <w:rPr>
          <w:color w:val="000000" w:themeColor="text1"/>
          <w:lang w:eastAsia="en-GB"/>
        </w:rPr>
        <w:t>y’</w:t>
      </w:r>
      <w:r w:rsidR="009471F7" w:rsidRPr="00A90CCE">
        <w:rPr>
          <w:color w:val="000000" w:themeColor="text1"/>
          <w:lang w:eastAsia="en-GB"/>
        </w:rPr>
        <w:t xml:space="preserve">s demographic context on individual rates </w:t>
      </w:r>
      <w:r w:rsidR="00521F38" w:rsidRPr="00A90CCE">
        <w:rPr>
          <w:color w:val="000000" w:themeColor="text1"/>
          <w:lang w:eastAsia="en-GB"/>
        </w:rPr>
        <w:t xml:space="preserve">of </w:t>
      </w:r>
      <w:r w:rsidR="009471F7" w:rsidRPr="00A90CCE">
        <w:rPr>
          <w:color w:val="000000" w:themeColor="text1"/>
          <w:lang w:eastAsia="en-GB"/>
        </w:rPr>
        <w:t xml:space="preserve">formal and informal political participation. </w:t>
      </w:r>
    </w:p>
    <w:p w14:paraId="17E361CD" w14:textId="3852C906" w:rsidR="00342C52" w:rsidRPr="00A90CCE" w:rsidRDefault="00B77E1F" w:rsidP="004858DB">
      <w:pPr>
        <w:spacing w:after="120" w:line="480" w:lineRule="auto"/>
        <w:jc w:val="both"/>
        <w:rPr>
          <w:b/>
          <w:bCs/>
          <w:i/>
          <w:iCs/>
          <w:color w:val="000000" w:themeColor="text1"/>
          <w:lang w:eastAsia="en-GB"/>
        </w:rPr>
      </w:pPr>
      <w:r w:rsidRPr="00A90CCE">
        <w:rPr>
          <w:b/>
          <w:bCs/>
          <w:i/>
          <w:iCs/>
          <w:color w:val="000000" w:themeColor="text1"/>
          <w:lang w:eastAsia="en-GB"/>
        </w:rPr>
        <w:lastRenderedPageBreak/>
        <w:t>3</w:t>
      </w:r>
      <w:r w:rsidR="00F11CC4" w:rsidRPr="00A90CCE">
        <w:rPr>
          <w:b/>
          <w:bCs/>
          <w:i/>
          <w:iCs/>
          <w:color w:val="000000" w:themeColor="text1"/>
          <w:lang w:eastAsia="en-GB"/>
        </w:rPr>
        <w:t xml:space="preserve">.1 </w:t>
      </w:r>
      <w:r w:rsidR="00342C52" w:rsidRPr="00A90CCE">
        <w:rPr>
          <w:b/>
          <w:bCs/>
          <w:i/>
          <w:iCs/>
          <w:color w:val="000000" w:themeColor="text1"/>
          <w:lang w:eastAsia="en-GB"/>
        </w:rPr>
        <w:t>Identifying urban areas</w:t>
      </w:r>
    </w:p>
    <w:p w14:paraId="4CBCC3E2" w14:textId="2A39C058" w:rsidR="009471F7" w:rsidRPr="00A90CCE" w:rsidRDefault="009471F7" w:rsidP="009471F7">
      <w:pPr>
        <w:spacing w:after="120" w:line="480" w:lineRule="auto"/>
        <w:jc w:val="both"/>
        <w:rPr>
          <w:color w:val="000000" w:themeColor="text1"/>
          <w:lang w:eastAsia="en-GB"/>
        </w:rPr>
      </w:pPr>
      <w:r w:rsidRPr="00A90CCE">
        <w:rPr>
          <w:color w:val="000000" w:themeColor="text1"/>
          <w:lang w:eastAsia="en-GB"/>
        </w:rPr>
        <w:t xml:space="preserve">To analyse the relationship between political participation and local urban demographic contexts, we need a consistent method for situating individuals within specific urban areas. While Afrobarometer </w:t>
      </w:r>
      <w:r w:rsidR="009F5EA0" w:rsidRPr="00A90CCE">
        <w:rPr>
          <w:color w:val="000000" w:themeColor="text1"/>
          <w:lang w:eastAsia="en-GB"/>
        </w:rPr>
        <w:t xml:space="preserve">data </w:t>
      </w:r>
      <w:r w:rsidRPr="00A90CCE">
        <w:rPr>
          <w:color w:val="000000" w:themeColor="text1"/>
          <w:lang w:eastAsia="en-GB"/>
        </w:rPr>
        <w:t>provides a rural-urban classification</w:t>
      </w:r>
      <w:r w:rsidR="009F5EA0" w:rsidRPr="00A90CCE">
        <w:rPr>
          <w:color w:val="000000" w:themeColor="text1"/>
          <w:lang w:eastAsia="en-GB"/>
        </w:rPr>
        <w:t>s</w:t>
      </w:r>
      <w:r w:rsidRPr="00A90CCE">
        <w:rPr>
          <w:color w:val="000000" w:themeColor="text1"/>
          <w:lang w:eastAsia="en-GB"/>
        </w:rPr>
        <w:t>, the definitions underpinning this classification var</w:t>
      </w:r>
      <w:r w:rsidR="009F5EA0" w:rsidRPr="00A90CCE">
        <w:rPr>
          <w:color w:val="000000" w:themeColor="text1"/>
          <w:lang w:eastAsia="en-GB"/>
        </w:rPr>
        <w:t>y</w:t>
      </w:r>
      <w:r w:rsidRPr="00A90CCE">
        <w:rPr>
          <w:color w:val="000000" w:themeColor="text1"/>
          <w:lang w:eastAsia="en-GB"/>
        </w:rPr>
        <w:t xml:space="preserve"> across countries and lack the spatial precision required for subnational analysis. We therefore use the Urban Centres Database (UCD</w:t>
      </w:r>
      <w:r w:rsidR="00713EAE" w:rsidRPr="00A90CCE">
        <w:rPr>
          <w:color w:val="000000" w:themeColor="text1"/>
          <w:lang w:eastAsia="en-GB"/>
        </w:rPr>
        <w:t xml:space="preserve">B) </w:t>
      </w:r>
      <w:r w:rsidR="00713EAE" w:rsidRPr="00A90CCE">
        <w:rPr>
          <w:color w:val="000000" w:themeColor="text1"/>
          <w:lang w:eastAsia="en-GB"/>
        </w:rPr>
        <w:fldChar w:fldCharType="begin"/>
      </w:r>
      <w:r w:rsidR="00713EAE" w:rsidRPr="00A90CCE">
        <w:rPr>
          <w:color w:val="000000" w:themeColor="text1"/>
          <w:lang w:eastAsia="en-GB"/>
        </w:rPr>
        <w:instrText xml:space="preserve"> ADDIN ZOTERO_ITEM CSL_CITATION {"citationID":"rFY1WvJe","properties":{"formattedCitation":"(Melchiorri et al., 2024)","plainCitation":"(Melchiorri et al., 2024)","noteIndex":0},"citationItems":[{"id":781,"uris":["http://zotero.org/users/11001446/items/IKPIB64W"],"itemData":{"id":781,"type":"article-journal","container-title":"Scientific Data","ISSN":"2052-4463","issue":"1","journalAbbreviation":"Scientific Data","note":"publisher: Nature Publishing Group UK London","page":"82","title":"The Multi-temporal and Multi-dimensional Global Urban Centre Database to Delineate and Analyse World Cities","volume":"11","author":[{"family":"Melchiorri","given":"Michele"},{"family":"Freire","given":"Sergio"},{"family":"Schiavina","given":"Marcello"},{"family":"Florczyk","given":"Aneta"},{"family":"Corbane","given":"Christina"},{"family":"Maffenini","given":"Luca"},{"family":"Pesaresi","given":"Martino"},{"family":"Politis","given":"Panagiotis"},{"family":"Szabo","given":"Filip"},{"family":"Ehrlich","given":"Daniele"}],"issued":{"date-parts":[["2024"]]}}}],"schema":"https://github.com/citation-style-language/schema/raw/master/csl-citation.json"} </w:instrText>
      </w:r>
      <w:r w:rsidR="00713EAE" w:rsidRPr="00A90CCE">
        <w:rPr>
          <w:color w:val="000000" w:themeColor="text1"/>
          <w:lang w:eastAsia="en-GB"/>
        </w:rPr>
        <w:fldChar w:fldCharType="separate"/>
      </w:r>
      <w:r w:rsidR="00713EAE" w:rsidRPr="00A90CCE">
        <w:t>(Melchiorri et al., 2024)</w:t>
      </w:r>
      <w:r w:rsidR="00713EAE" w:rsidRPr="00A90CCE">
        <w:rPr>
          <w:color w:val="000000" w:themeColor="text1"/>
          <w:lang w:eastAsia="en-GB"/>
        </w:rPr>
        <w:fldChar w:fldCharType="end"/>
      </w:r>
      <w:r w:rsidRPr="00A90CCE">
        <w:rPr>
          <w:color w:val="000000" w:themeColor="text1"/>
          <w:lang w:eastAsia="en-GB"/>
        </w:rPr>
        <w:t xml:space="preserve">, which applies a globally standardised geospatial definition of urban areas based on the DEGURBA methodology endorsed by the UN </w:t>
      </w:r>
      <w:r w:rsidR="00713EAE" w:rsidRPr="00A90CCE">
        <w:rPr>
          <w:color w:val="000000" w:themeColor="text1"/>
          <w:lang w:eastAsia="en-GB"/>
        </w:rPr>
        <w:fldChar w:fldCharType="begin"/>
      </w:r>
      <w:r w:rsidR="00713EAE" w:rsidRPr="00A90CCE">
        <w:rPr>
          <w:color w:val="000000" w:themeColor="text1"/>
          <w:lang w:eastAsia="en-GB"/>
        </w:rPr>
        <w:instrText xml:space="preserve"> ADDIN ZOTERO_ITEM CSL_CITATION {"citationID":"o7EY5f2S","properties":{"formattedCitation":"(Dijkstra et al., 2021)","plainCitation":"(Dijkstra et al., 2021)","noteIndex":0},"citationItems":[{"id":167,"uris":["http://zotero.org/users/11001446/items/ZICEW67N"],"itemData":{"id":167,"type":"article-journal","container-title":"Journal of Urban Economics","ISSN":"0094-1190","journalAbbreviation":"Journal of Urban Economics","note":"publisher: Elsevier","page":"103312","title":"Applying the degree of urbanisation to the globe: A new harmonised definition reveals a different picture of global urbanisation","volume":"125","author":[{"family":"Dijkstra","given":"Lewis"},{"family":"Florczyk","given":"Aneta J"},{"family":"Freire","given":"Sergio"},{"family":"Kemper","given":"Thomas"},{"family":"Melchiorri","given":"Michele"},{"family":"Pesaresi","given":"Martino"},{"family":"Schiavina","given":"Marcello"}],"issued":{"date-parts":[["2021"]]}}}],"schema":"https://github.com/citation-style-language/schema/raw/master/csl-citation.json"} </w:instrText>
      </w:r>
      <w:r w:rsidR="00713EAE" w:rsidRPr="00A90CCE">
        <w:rPr>
          <w:color w:val="000000" w:themeColor="text1"/>
          <w:lang w:eastAsia="en-GB"/>
        </w:rPr>
        <w:fldChar w:fldCharType="separate"/>
      </w:r>
      <w:r w:rsidR="00713EAE" w:rsidRPr="00A90CCE">
        <w:t>(Dijkstra et al., 2021)</w:t>
      </w:r>
      <w:r w:rsidR="00713EAE" w:rsidRPr="00A90CCE">
        <w:rPr>
          <w:color w:val="000000" w:themeColor="text1"/>
          <w:lang w:eastAsia="en-GB"/>
        </w:rPr>
        <w:fldChar w:fldCharType="end"/>
      </w:r>
      <w:r w:rsidRPr="00A90CCE">
        <w:rPr>
          <w:color w:val="000000" w:themeColor="text1"/>
          <w:lang w:eastAsia="en-GB"/>
        </w:rPr>
        <w:t xml:space="preserve">. This defines urban centres as contiguous 1km² grid cells with at least 1,500 people and a minimum total population of 50,000. </w:t>
      </w:r>
      <w:r w:rsidR="009F5EA0" w:rsidRPr="00A90CCE">
        <w:rPr>
          <w:color w:val="000000" w:themeColor="text1"/>
          <w:lang w:eastAsia="en-GB"/>
        </w:rPr>
        <w:t>W</w:t>
      </w:r>
      <w:r w:rsidRPr="00A90CCE">
        <w:rPr>
          <w:color w:val="000000" w:themeColor="text1"/>
          <w:lang w:eastAsia="en-GB"/>
        </w:rPr>
        <w:t xml:space="preserve">e overlay these urban polygons onto georeferenced Afrobarometer respondent data, linking individuals to specific urban areas and measure contextual characteristics accordingly. </w:t>
      </w:r>
    </w:p>
    <w:p w14:paraId="17C18BF6" w14:textId="7BB82C43" w:rsidR="009471F7" w:rsidRPr="00A90CCE" w:rsidRDefault="009471F7" w:rsidP="00A615B8">
      <w:pPr>
        <w:spacing w:after="120" w:line="480" w:lineRule="auto"/>
        <w:ind w:firstLine="720"/>
        <w:jc w:val="both"/>
        <w:rPr>
          <w:color w:val="000000" w:themeColor="text1"/>
          <w:lang w:eastAsia="en-GB"/>
        </w:rPr>
      </w:pPr>
      <w:r w:rsidRPr="00A90CCE">
        <w:rPr>
          <w:color w:val="000000" w:themeColor="text1"/>
          <w:lang w:eastAsia="en-GB"/>
        </w:rPr>
        <w:t xml:space="preserve">This geospatial approach offers several advantages. First, it ensures cross-national consistency by avoiding reliance on country-specific definitions of </w:t>
      </w:r>
      <w:r w:rsidR="002B5C14" w:rsidRPr="00A90CCE">
        <w:rPr>
          <w:color w:val="000000" w:themeColor="text1"/>
          <w:lang w:eastAsia="en-GB"/>
        </w:rPr>
        <w:t>‘</w:t>
      </w:r>
      <w:r w:rsidRPr="00A90CCE">
        <w:rPr>
          <w:color w:val="000000" w:themeColor="text1"/>
          <w:lang w:eastAsia="en-GB"/>
        </w:rPr>
        <w:t>urban</w:t>
      </w:r>
      <w:r w:rsidR="002B5C14" w:rsidRPr="00A90CCE">
        <w:rPr>
          <w:color w:val="000000" w:themeColor="text1"/>
          <w:lang w:eastAsia="en-GB"/>
        </w:rPr>
        <w:t>’</w:t>
      </w:r>
      <w:r w:rsidRPr="00A90CCE">
        <w:rPr>
          <w:color w:val="000000" w:themeColor="text1"/>
          <w:lang w:eastAsia="en-GB"/>
        </w:rPr>
        <w:t xml:space="preserve">, which are often inconsistent or outdated </w:t>
      </w:r>
      <w:r w:rsidR="00713EAE" w:rsidRPr="00A90CCE">
        <w:rPr>
          <w:color w:val="000000" w:themeColor="text1"/>
          <w:lang w:eastAsia="en-GB"/>
        </w:rPr>
        <w:fldChar w:fldCharType="begin"/>
      </w:r>
      <w:r w:rsidR="00713EAE" w:rsidRPr="00A90CCE">
        <w:rPr>
          <w:color w:val="000000" w:themeColor="text1"/>
          <w:lang w:eastAsia="en-GB"/>
        </w:rPr>
        <w:instrText xml:space="preserve"> ADDIN ZOTERO_ITEM CSL_CITATION {"citationID":"35zdKak4","properties":{"formattedCitation":"(Dorward et al., 2023)","plainCitation":"(Dorward et al., 2023)","noteIndex":0},"citationItems":[{"id":165,"uris":["http://zotero.org/users/11001446/items/8M4E6N9P"],"itemData":{"id":165,"type":"article-journal","container-title":"Environment &amp; Urbanization","ISSN":"0956-2478","issue":"2","journalAbbreviation":"Environment &amp; Urbanization","note":"publisher: SAGE Publications Sage UK: London, England","page":"310-327","title":"A spatial-demographic analysis of Africa’s emerging urban geography","volume":"35","author":[{"family":"Dorward","given":"Nick"},{"family":"Fox","given":"Sean"},{"family":"Statham","given":"Thomas"},{"family":"Wolf","given":"Levi John"}],"issued":{"date-parts":[["2023"]]}}}],"schema":"https://github.com/citation-style-language/schema/raw/master/csl-citation.json"} </w:instrText>
      </w:r>
      <w:r w:rsidR="00713EAE" w:rsidRPr="00A90CCE">
        <w:rPr>
          <w:color w:val="000000" w:themeColor="text1"/>
          <w:lang w:eastAsia="en-GB"/>
        </w:rPr>
        <w:fldChar w:fldCharType="separate"/>
      </w:r>
      <w:r w:rsidR="00713EAE" w:rsidRPr="00A90CCE">
        <w:t>(Dorward et al., 2023)</w:t>
      </w:r>
      <w:r w:rsidR="00713EAE" w:rsidRPr="00A90CCE">
        <w:rPr>
          <w:color w:val="000000" w:themeColor="text1"/>
          <w:lang w:eastAsia="en-GB"/>
        </w:rPr>
        <w:fldChar w:fldCharType="end"/>
      </w:r>
      <w:r w:rsidRPr="00A90CCE">
        <w:rPr>
          <w:color w:val="000000" w:themeColor="text1"/>
          <w:lang w:eastAsia="en-GB"/>
        </w:rPr>
        <w:t>.</w:t>
      </w:r>
      <w:r w:rsidR="00A615B8" w:rsidRPr="00A90CCE">
        <w:rPr>
          <w:color w:val="000000" w:themeColor="text1"/>
          <w:lang w:eastAsia="en-GB"/>
        </w:rPr>
        <w:t xml:space="preserve"> Second, it allows us to align the resolution at which we are measuring demographic context with the scale a</w:t>
      </w:r>
      <w:r w:rsidR="00500D63" w:rsidRPr="00A90CCE">
        <w:rPr>
          <w:color w:val="000000" w:themeColor="text1"/>
          <w:lang w:eastAsia="en-GB"/>
        </w:rPr>
        <w:t>t</w:t>
      </w:r>
      <w:r w:rsidR="00A615B8" w:rsidRPr="00A90CCE">
        <w:rPr>
          <w:color w:val="000000" w:themeColor="text1"/>
          <w:lang w:eastAsia="en-GB"/>
        </w:rPr>
        <w:t xml:space="preserve"> which </w:t>
      </w:r>
      <w:r w:rsidR="00500D63" w:rsidRPr="00A90CCE">
        <w:rPr>
          <w:color w:val="000000" w:themeColor="text1"/>
          <w:lang w:eastAsia="en-GB"/>
        </w:rPr>
        <w:t xml:space="preserve">contextual </w:t>
      </w:r>
      <w:r w:rsidR="00A615B8" w:rsidRPr="00A90CCE">
        <w:rPr>
          <w:color w:val="000000" w:themeColor="text1"/>
          <w:lang w:eastAsia="en-GB"/>
        </w:rPr>
        <w:t xml:space="preserve">mechanisms operate an impact individual behaviour. </w:t>
      </w:r>
      <w:r w:rsidRPr="00A90CCE">
        <w:rPr>
          <w:color w:val="000000" w:themeColor="text1"/>
          <w:lang w:eastAsia="en-GB"/>
        </w:rPr>
        <w:t xml:space="preserve">Third, it </w:t>
      </w:r>
      <w:r w:rsidR="00116782" w:rsidRPr="00A90CCE">
        <w:rPr>
          <w:color w:val="000000" w:themeColor="text1"/>
          <w:lang w:eastAsia="en-GB"/>
        </w:rPr>
        <w:t xml:space="preserve">the </w:t>
      </w:r>
      <w:r w:rsidRPr="00A90CCE">
        <w:rPr>
          <w:color w:val="000000" w:themeColor="text1"/>
          <w:lang w:eastAsia="en-GB"/>
        </w:rPr>
        <w:t xml:space="preserve">enables inclusion of a broader range of cities, including secondary and smaller urban centres, beyond the handful of major metropolitan areas typically analysed in previous research. This improves the representativeness of the urban sample and, given the rapid population growth and political significance of these emerging towns and cities, captures more variation in demographic conditions across the urban </w:t>
      </w:r>
      <w:r w:rsidR="009F5EA0" w:rsidRPr="00A90CCE">
        <w:rPr>
          <w:color w:val="000000" w:themeColor="text1"/>
          <w:lang w:eastAsia="en-GB"/>
        </w:rPr>
        <w:t>spectrum</w:t>
      </w:r>
      <w:r w:rsidRPr="00A90CCE">
        <w:rPr>
          <w:color w:val="000000" w:themeColor="text1"/>
          <w:lang w:eastAsia="en-GB"/>
        </w:rPr>
        <w:t xml:space="preserve"> </w:t>
      </w:r>
      <w:r w:rsidR="00713EAE" w:rsidRPr="00A90CCE">
        <w:rPr>
          <w:color w:val="000000" w:themeColor="text1"/>
          <w:lang w:eastAsia="en-GB"/>
        </w:rPr>
        <w:fldChar w:fldCharType="begin"/>
      </w:r>
      <w:r w:rsidR="00713EAE" w:rsidRPr="00A90CCE">
        <w:rPr>
          <w:color w:val="000000" w:themeColor="text1"/>
          <w:lang w:eastAsia="en-GB"/>
        </w:rPr>
        <w:instrText xml:space="preserve"> ADDIN ZOTERO_ITEM CSL_CITATION {"citationID":"PRT5Csht","properties":{"formattedCitation":"(Koechlin &amp; F\\uc0\\u246{}rster, 2018; Kumar &amp; Stenberg, 2023; Zimmer et al., 2020)","plainCitation":"(Koechlin &amp; Förster, 2018; Kumar &amp; Stenberg, 2023; Zimmer et al., 2020)","noteIndex":0},"citationItems":[{"id":161,"uris":["http://zotero.org/users/11001446/items/SI444259"],"itemData":{"id":161,"type":"article-journal","container-title":"The Palgrave Handbook of Urban Ethnography","ISSN":"331964288X","journalAbbreviation":"The Palgrave Handbook of Urban Ethnography","note":"publisher: Springer","page":"351-368","title":"Secondary cities and the formation of political space in West and East Africa","author":[{"family":"Koechlin","given":"Lucy"},{"family":"Förster","given":"Till"}],"issued":{"date-parts":[["2018"]]}}},{"id":162,"uris":["http://zotero.org/users/11001446/items/57LFQC6E"],"itemData":{"id":162,"type":"article-journal","container-title":"Urban Affairs Review","ISSN":"1078-0874","issue":"6","journalAbbreviation":"Urban Affairs Review","note":"publisher: SAGE Publications Sage CA: Los Angeles, CA","page":"2005-2042","title":"Why political scientists should study smaller cities","volume":"59","author":[{"family":"Kumar","given":"Tanu"},{"family":"Stenberg","given":"Matthew"}],"issued":{"date-parts":[["2023"]]}}},{"id":160,"uris":["http://zotero.org/users/11001446/items/8QJEJQCC"],"itemData":{"id":160,"type":"article-journal","container-title":"Landscape Ecology","ISSN":"0921-2973","journalAbbreviation":"Landscape Ecology","note":"publisher: Springer","page":"2501-2516","title":"Dynamics of population growth in secondary cities across southern Africa","volume":"35","author":[{"family":"Zimmer","given":"Andrew"},{"family":"Guido","given":"Zack"},{"family":"Tuholske","given":"Cascade"},{"family":"Pakalniskis","given":"Alex"},{"family":"Lopus","given":"Sara"},{"family":"Caylor","given":"Kelly"},{"family":"Evans","given":"Tom"}],"issued":{"date-parts":[["2020"]]}}}],"schema":"https://github.com/citation-style-language/schema/raw/master/csl-citation.json"} </w:instrText>
      </w:r>
      <w:r w:rsidR="00713EAE" w:rsidRPr="00A90CCE">
        <w:rPr>
          <w:color w:val="000000" w:themeColor="text1"/>
          <w:lang w:eastAsia="en-GB"/>
        </w:rPr>
        <w:fldChar w:fldCharType="separate"/>
      </w:r>
      <w:r w:rsidR="00713EAE" w:rsidRPr="00A90CCE">
        <w:t>(Koechlin &amp; Förster, 2018; Kumar &amp; Stenberg, 2023; Zimmer et al., 2020)</w:t>
      </w:r>
      <w:r w:rsidR="00713EAE" w:rsidRPr="00A90CCE">
        <w:rPr>
          <w:color w:val="000000" w:themeColor="text1"/>
          <w:lang w:eastAsia="en-GB"/>
        </w:rPr>
        <w:fldChar w:fldCharType="end"/>
      </w:r>
      <w:r w:rsidR="00713EAE" w:rsidRPr="00A90CCE">
        <w:rPr>
          <w:color w:val="000000" w:themeColor="text1"/>
          <w:lang w:eastAsia="en-GB"/>
        </w:rPr>
        <w:t>.</w:t>
      </w:r>
    </w:p>
    <w:p w14:paraId="736DA8D7" w14:textId="0E60D125" w:rsidR="005E2C3D" w:rsidRDefault="009471F7" w:rsidP="00B12F74">
      <w:pPr>
        <w:pStyle w:val="NormalWeb"/>
        <w:spacing w:line="480" w:lineRule="auto"/>
        <w:ind w:firstLine="720"/>
        <w:jc w:val="both"/>
        <w:rPr>
          <w:lang w:val="en-GB"/>
        </w:rPr>
      </w:pPr>
      <w:r w:rsidRPr="00A90CCE">
        <w:rPr>
          <w:lang w:val="en-GB"/>
        </w:rPr>
        <w:lastRenderedPageBreak/>
        <w:t xml:space="preserve">There are, however, limitations </w:t>
      </w:r>
      <w:r w:rsidR="009F5EA0" w:rsidRPr="00A90CCE">
        <w:rPr>
          <w:lang w:val="en-GB"/>
        </w:rPr>
        <w:t>to</w:t>
      </w:r>
      <w:r w:rsidRPr="00A90CCE">
        <w:rPr>
          <w:lang w:val="en-GB"/>
        </w:rPr>
        <w:t xml:space="preserve"> this approach. In particular, the UCDB’s relatively high population density thresholds may underrepresent urban areas in Africa, where urban growth often occurs at lower densities and in more diffuse settlement patterns</w:t>
      </w:r>
      <w:r w:rsidR="00713EAE" w:rsidRPr="00A90CCE">
        <w:rPr>
          <w:lang w:val="en-GB"/>
        </w:rPr>
        <w:t xml:space="preserve"> </w:t>
      </w:r>
      <w:r w:rsidR="00713EAE" w:rsidRPr="00A90CCE">
        <w:rPr>
          <w:lang w:val="en-GB"/>
        </w:rPr>
        <w:fldChar w:fldCharType="begin"/>
      </w:r>
      <w:r w:rsidR="00E5732D" w:rsidRPr="00A90CCE">
        <w:rPr>
          <w:lang w:val="en-GB"/>
        </w:rPr>
        <w:instrText xml:space="preserve"> ADDIN ZOTERO_ITEM CSL_CITATION {"citationID":"wADW2cOf","properties":{"formattedCitation":"(Blei &amp; Angel, 2021; Dorward et al., 2023)","plainCitation":"(Blei &amp; Angel, 2021; Dorward et al., 2023)","noteIndex":0},"citationItems":[{"id":166,"uris":["http://zotero.org/users/11001446/items/5CTA9Q3Y"],"itemData":{"id":166,"type":"article-journal","container-title":"Urban Remote Sensing: Monitoring, Synthesis, and Modeling in the Urban Environment","journalAbbreviation":"Urban Remote Sensing: Monitoring, Synthesis, and Modeling in the Urban Environment","note":"publisher: Wiley Online Library","page":"247-282","title":"Global monitoring with the atlas of urban expansion","author":[{"family":"Blei","given":"Alejandro"},{"family":"Angel","given":"Shlomo"}],"issued":{"date-parts":[["2021"]]}}},{"id":165,"uris":["http://zotero.org/users/11001446/items/8M4E6N9P"],"itemData":{"id":165,"type":"article-journal","container-title":"Environment &amp; Urbanization","ISSN":"0956-2478","issue":"2","journalAbbreviation":"Environment &amp; Urbanization","note":"publisher: SAGE Publications Sage UK: London, England","page":"310-327","title":"A spatial-demographic analysis of Africa’s emerging urban geography","volume":"35","author":[{"family":"Dorward","given":"Nick"},{"family":"Fox","given":"Sean"},{"family":"Statham","given":"Thomas"},{"family":"Wolf","given":"Levi John"}],"issued":{"date-parts":[["2023"]]}}}],"schema":"https://github.com/citation-style-language/schema/raw/master/csl-citation.json"} </w:instrText>
      </w:r>
      <w:r w:rsidR="00713EAE" w:rsidRPr="00A90CCE">
        <w:rPr>
          <w:lang w:val="en-GB"/>
        </w:rPr>
        <w:fldChar w:fldCharType="separate"/>
      </w:r>
      <w:r w:rsidR="00E5732D" w:rsidRPr="00A90CCE">
        <w:rPr>
          <w:lang w:val="en-GB"/>
        </w:rPr>
        <w:t>(Blei &amp; Angel, 2021; Dorward et al., 2023)</w:t>
      </w:r>
      <w:r w:rsidR="00713EAE" w:rsidRPr="00A90CCE">
        <w:rPr>
          <w:lang w:val="en-GB"/>
        </w:rPr>
        <w:fldChar w:fldCharType="end"/>
      </w:r>
      <w:r w:rsidRPr="00A90CCE">
        <w:rPr>
          <w:lang w:val="en-GB"/>
        </w:rPr>
        <w:t xml:space="preserve">. As a result, our analysis likely captures more established and densely populated urban centres, potentially excluding newer or peri-urban areas where different patterns of political behaviour may emerge. This introduces a conservative bias, meaning our estimates reflect stronger contextual effects in more clearly defined urban environments, but may not generalise to all urbanising areas (see Appendix </w:t>
      </w:r>
      <w:r w:rsidR="00A615B8" w:rsidRPr="00A90CCE">
        <w:rPr>
          <w:lang w:val="en-GB"/>
        </w:rPr>
        <w:t>A in the supplementary material</w:t>
      </w:r>
      <w:r w:rsidRPr="00A90CCE">
        <w:rPr>
          <w:lang w:val="en-GB"/>
        </w:rPr>
        <w:t xml:space="preserve"> for detailed discussion of the geospatial data and approach).</w:t>
      </w:r>
    </w:p>
    <w:p w14:paraId="2F4C75FA" w14:textId="77777777" w:rsidR="001A2FC7" w:rsidRPr="00A90CCE" w:rsidRDefault="001A2FC7" w:rsidP="00B12F74">
      <w:pPr>
        <w:pStyle w:val="NormalWeb"/>
        <w:spacing w:line="480" w:lineRule="auto"/>
        <w:ind w:firstLine="720"/>
        <w:jc w:val="both"/>
        <w:rPr>
          <w:lang w:val="en-GB"/>
        </w:rPr>
      </w:pPr>
    </w:p>
    <w:p w14:paraId="2FC49F90" w14:textId="79780F80" w:rsidR="009471F7" w:rsidRPr="00A90CCE" w:rsidRDefault="00B77E1F" w:rsidP="00B77E1F">
      <w:pPr>
        <w:spacing w:after="120" w:line="480" w:lineRule="auto"/>
        <w:jc w:val="both"/>
        <w:rPr>
          <w:b/>
          <w:bCs/>
          <w:i/>
          <w:iCs/>
          <w:color w:val="000000" w:themeColor="text1"/>
          <w:lang w:eastAsia="en-GB"/>
        </w:rPr>
      </w:pPr>
      <w:r w:rsidRPr="00A90CCE">
        <w:rPr>
          <w:b/>
          <w:bCs/>
          <w:i/>
          <w:iCs/>
          <w:color w:val="000000" w:themeColor="text1"/>
          <w:lang w:eastAsia="en-GB"/>
        </w:rPr>
        <w:t xml:space="preserve">3.2 </w:t>
      </w:r>
      <w:r w:rsidR="00F11CC4" w:rsidRPr="00A90CCE">
        <w:rPr>
          <w:b/>
          <w:bCs/>
          <w:i/>
          <w:iCs/>
          <w:color w:val="000000" w:themeColor="text1"/>
          <w:lang w:eastAsia="en-GB"/>
        </w:rPr>
        <w:t xml:space="preserve">Dependent </w:t>
      </w:r>
      <w:r w:rsidR="009471F7" w:rsidRPr="00A90CCE">
        <w:rPr>
          <w:b/>
          <w:bCs/>
          <w:i/>
          <w:iCs/>
          <w:color w:val="000000" w:themeColor="text1"/>
          <w:lang w:eastAsia="en-GB"/>
        </w:rPr>
        <w:t>variables</w:t>
      </w:r>
    </w:p>
    <w:p w14:paraId="664A924D" w14:textId="1E15AAD5" w:rsidR="009471F7" w:rsidRPr="00A90CCE" w:rsidRDefault="00FC74EA" w:rsidP="009471F7">
      <w:pPr>
        <w:spacing w:after="120" w:line="480" w:lineRule="auto"/>
        <w:jc w:val="both"/>
        <w:rPr>
          <w:color w:val="000000" w:themeColor="text1"/>
          <w:lang w:eastAsia="en-GB"/>
        </w:rPr>
      </w:pPr>
      <w:r w:rsidRPr="00A90CCE">
        <w:rPr>
          <w:color w:val="000000" w:themeColor="text1"/>
          <w:lang w:eastAsia="en-GB"/>
        </w:rPr>
        <w:t>Our dependent variable</w:t>
      </w:r>
      <w:r w:rsidR="009471F7" w:rsidRPr="00A90CCE">
        <w:rPr>
          <w:color w:val="000000" w:themeColor="text1"/>
          <w:lang w:eastAsia="en-GB"/>
        </w:rPr>
        <w:t>s</w:t>
      </w:r>
      <w:r w:rsidRPr="00A90CCE">
        <w:rPr>
          <w:color w:val="000000" w:themeColor="text1"/>
          <w:lang w:eastAsia="en-GB"/>
        </w:rPr>
        <w:t xml:space="preserve"> </w:t>
      </w:r>
      <w:r w:rsidR="009471F7" w:rsidRPr="00A90CCE">
        <w:rPr>
          <w:color w:val="000000" w:themeColor="text1"/>
          <w:lang w:eastAsia="en-GB"/>
        </w:rPr>
        <w:t xml:space="preserve">are measures </w:t>
      </w:r>
      <w:r w:rsidR="00A615B8" w:rsidRPr="00A90CCE">
        <w:rPr>
          <w:color w:val="000000" w:themeColor="text1"/>
          <w:lang w:eastAsia="en-GB"/>
        </w:rPr>
        <w:t xml:space="preserve">of </w:t>
      </w:r>
      <w:r w:rsidR="009471F7" w:rsidRPr="00A90CCE">
        <w:rPr>
          <w:color w:val="000000" w:themeColor="text1"/>
          <w:lang w:eastAsia="en-GB"/>
        </w:rPr>
        <w:t>political</w:t>
      </w:r>
      <w:r w:rsidRPr="00A90CCE">
        <w:rPr>
          <w:color w:val="000000" w:themeColor="text1"/>
          <w:lang w:eastAsia="en-GB"/>
        </w:rPr>
        <w:t xml:space="preserve"> participation at the individual level. </w:t>
      </w:r>
      <w:r w:rsidR="00420EB2" w:rsidRPr="00A90CCE">
        <w:rPr>
          <w:color w:val="000000" w:themeColor="text1"/>
          <w:lang w:eastAsia="en-GB"/>
        </w:rPr>
        <w:t>These data</w:t>
      </w:r>
      <w:r w:rsidR="006C06BD" w:rsidRPr="00A90CCE">
        <w:rPr>
          <w:color w:val="000000" w:themeColor="text1"/>
          <w:lang w:eastAsia="en-GB"/>
        </w:rPr>
        <w:t xml:space="preserve"> are taken from the Afrobarometer geocoded </w:t>
      </w:r>
      <w:r w:rsidR="00420EB2" w:rsidRPr="00A90CCE">
        <w:rPr>
          <w:color w:val="000000" w:themeColor="text1"/>
          <w:lang w:eastAsia="en-GB"/>
        </w:rPr>
        <w:t>survey</w:t>
      </w:r>
      <w:r w:rsidR="00493F84" w:rsidRPr="00A90CCE">
        <w:rPr>
          <w:color w:val="000000" w:themeColor="text1"/>
          <w:lang w:eastAsia="en-GB"/>
        </w:rPr>
        <w:t xml:space="preserve"> Rounds</w:t>
      </w:r>
      <w:r w:rsidR="006552D8" w:rsidRPr="00A90CCE">
        <w:rPr>
          <w:color w:val="000000" w:themeColor="text1"/>
          <w:lang w:eastAsia="en-GB"/>
        </w:rPr>
        <w:t xml:space="preserve"> 5 (2011-13), </w:t>
      </w:r>
      <w:r w:rsidR="00493F84" w:rsidRPr="00A90CCE">
        <w:rPr>
          <w:color w:val="000000" w:themeColor="text1"/>
          <w:lang w:eastAsia="en-GB"/>
        </w:rPr>
        <w:t>6 (2015-16)</w:t>
      </w:r>
      <w:r w:rsidR="009F6AD3" w:rsidRPr="00A90CCE">
        <w:rPr>
          <w:color w:val="000000" w:themeColor="text1"/>
          <w:lang w:eastAsia="en-GB"/>
        </w:rPr>
        <w:t xml:space="preserve"> and</w:t>
      </w:r>
      <w:r w:rsidR="00493F84" w:rsidRPr="00A90CCE">
        <w:rPr>
          <w:color w:val="000000" w:themeColor="text1"/>
          <w:lang w:eastAsia="en-GB"/>
        </w:rPr>
        <w:t xml:space="preserve"> 7 (2018-20</w:t>
      </w:r>
      <w:r w:rsidR="00A257D3" w:rsidRPr="00A90CCE">
        <w:rPr>
          <w:color w:val="000000" w:themeColor="text1"/>
          <w:lang w:eastAsia="en-GB"/>
        </w:rPr>
        <w:t>)</w:t>
      </w:r>
      <w:r w:rsidR="009F6AD3" w:rsidRPr="00A90CCE">
        <w:rPr>
          <w:color w:val="000000" w:themeColor="text1"/>
          <w:lang w:eastAsia="en-GB"/>
        </w:rPr>
        <w:t xml:space="preserve">. </w:t>
      </w:r>
      <w:r w:rsidR="009471F7" w:rsidRPr="00A90CCE">
        <w:rPr>
          <w:color w:val="000000" w:themeColor="text1"/>
          <w:lang w:eastAsia="en-GB"/>
        </w:rPr>
        <w:t>Afrobarometer is a nationally representative survey conducted in a large sample of African countries through a standardised questionnaire implemented through face-to-face interviews. Individual respondents are selected via full probability sampling of the national population over the age of 18, with a minimum of 1200 respondents per country. We adopt two primary measures capturing an individual's self-reported levels of formal and informal political participation.</w:t>
      </w:r>
    </w:p>
    <w:p w14:paraId="1652441C" w14:textId="7DDEF9B9" w:rsidR="00C77BA2" w:rsidRPr="00A90CCE" w:rsidRDefault="009471F7" w:rsidP="00B71F2B">
      <w:pPr>
        <w:spacing w:after="120" w:line="480" w:lineRule="auto"/>
        <w:ind w:firstLine="720"/>
        <w:jc w:val="both"/>
        <w:rPr>
          <w:color w:val="000000" w:themeColor="text1"/>
          <w:lang w:eastAsia="en-GB"/>
        </w:rPr>
      </w:pPr>
      <w:r w:rsidRPr="00A90CCE">
        <w:rPr>
          <w:color w:val="000000" w:themeColor="text1"/>
          <w:lang w:eastAsia="en-GB"/>
        </w:rPr>
        <w:t xml:space="preserve">First, formal political participation is primarily measured by whether an individual reports voting in the most recent national or local election. This is operationalised as a dichotomous variable, taking a value of one if an individual voted and zero if they did not. Second, to measure informal political participation, we leverage a question asking respondents to report whether they have attended a demonstration or protest march in the last year. The </w:t>
      </w:r>
      <w:r w:rsidRPr="00A90CCE">
        <w:rPr>
          <w:color w:val="000000" w:themeColor="text1"/>
          <w:lang w:eastAsia="en-GB"/>
        </w:rPr>
        <w:lastRenderedPageBreak/>
        <w:t>original response scale for this question ranges from zero (</w:t>
      </w:r>
      <w:r w:rsidR="00116782" w:rsidRPr="00A90CCE">
        <w:rPr>
          <w:color w:val="000000" w:themeColor="text1"/>
          <w:lang w:eastAsia="en-GB"/>
        </w:rPr>
        <w:t>“</w:t>
      </w:r>
      <w:r w:rsidRPr="00A90CCE">
        <w:rPr>
          <w:color w:val="000000" w:themeColor="text1"/>
          <w:lang w:eastAsia="en-GB"/>
        </w:rPr>
        <w:t>no, would never do this</w:t>
      </w:r>
      <w:r w:rsidR="00116782" w:rsidRPr="00A90CCE">
        <w:rPr>
          <w:color w:val="000000" w:themeColor="text1"/>
          <w:lang w:eastAsia="en-GB"/>
        </w:rPr>
        <w:t>”</w:t>
      </w:r>
      <w:r w:rsidRPr="00A90CCE">
        <w:rPr>
          <w:color w:val="000000" w:themeColor="text1"/>
          <w:lang w:eastAsia="en-GB"/>
        </w:rPr>
        <w:t>) to four (</w:t>
      </w:r>
      <w:r w:rsidR="00116782" w:rsidRPr="00A90CCE">
        <w:rPr>
          <w:color w:val="000000" w:themeColor="text1"/>
          <w:lang w:eastAsia="en-GB"/>
        </w:rPr>
        <w:t>“</w:t>
      </w:r>
      <w:r w:rsidRPr="00A90CCE">
        <w:rPr>
          <w:color w:val="000000" w:themeColor="text1"/>
          <w:lang w:eastAsia="en-GB"/>
        </w:rPr>
        <w:t>yes, often</w:t>
      </w:r>
      <w:r w:rsidR="00116782" w:rsidRPr="00A90CCE">
        <w:rPr>
          <w:color w:val="000000" w:themeColor="text1"/>
          <w:lang w:eastAsia="en-GB"/>
        </w:rPr>
        <w:t>”</w:t>
      </w:r>
      <w:r w:rsidRPr="00A90CCE">
        <w:rPr>
          <w:color w:val="000000" w:themeColor="text1"/>
          <w:lang w:eastAsia="en-GB"/>
        </w:rPr>
        <w:t>). For our analysis, we have collapsed these responses into a dichotomous variable, taking the value of one if an individual reports having attended a protest in the last year, and zero otherwise.</w:t>
      </w:r>
    </w:p>
    <w:p w14:paraId="64B4525E" w14:textId="77777777" w:rsidR="00247177" w:rsidRPr="00A90CCE" w:rsidRDefault="00247177" w:rsidP="009471F7">
      <w:pPr>
        <w:spacing w:after="120" w:line="480" w:lineRule="auto"/>
        <w:ind w:firstLine="720"/>
        <w:jc w:val="both"/>
        <w:rPr>
          <w:color w:val="000000" w:themeColor="text1"/>
          <w:lang w:eastAsia="en-GB"/>
        </w:rPr>
      </w:pPr>
    </w:p>
    <w:p w14:paraId="1D6AF369" w14:textId="0BACC090" w:rsidR="007246DA" w:rsidRPr="00A90CCE" w:rsidRDefault="00B77E1F" w:rsidP="004858DB">
      <w:pPr>
        <w:spacing w:after="120" w:line="480" w:lineRule="auto"/>
        <w:jc w:val="both"/>
        <w:rPr>
          <w:b/>
          <w:bCs/>
          <w:i/>
          <w:iCs/>
          <w:color w:val="000000" w:themeColor="text1"/>
          <w:lang w:eastAsia="en-GB"/>
        </w:rPr>
      </w:pPr>
      <w:r w:rsidRPr="00A90CCE">
        <w:rPr>
          <w:b/>
          <w:bCs/>
          <w:i/>
          <w:iCs/>
          <w:color w:val="000000" w:themeColor="text1"/>
          <w:lang w:eastAsia="en-GB"/>
        </w:rPr>
        <w:t>3</w:t>
      </w:r>
      <w:r w:rsidR="00F11CC4" w:rsidRPr="00A90CCE">
        <w:rPr>
          <w:b/>
          <w:bCs/>
          <w:i/>
          <w:iCs/>
          <w:color w:val="000000" w:themeColor="text1"/>
          <w:lang w:eastAsia="en-GB"/>
        </w:rPr>
        <w:t>.</w:t>
      </w:r>
      <w:r w:rsidR="009471F7" w:rsidRPr="00A90CCE">
        <w:rPr>
          <w:b/>
          <w:bCs/>
          <w:i/>
          <w:iCs/>
          <w:color w:val="000000" w:themeColor="text1"/>
          <w:lang w:eastAsia="en-GB"/>
        </w:rPr>
        <w:t>3</w:t>
      </w:r>
      <w:r w:rsidR="00F11CC4" w:rsidRPr="00A90CCE">
        <w:rPr>
          <w:b/>
          <w:bCs/>
          <w:i/>
          <w:iCs/>
          <w:color w:val="000000" w:themeColor="text1"/>
          <w:lang w:eastAsia="en-GB"/>
        </w:rPr>
        <w:t xml:space="preserve"> </w:t>
      </w:r>
      <w:r w:rsidR="00B51B9E" w:rsidRPr="00A90CCE">
        <w:rPr>
          <w:b/>
          <w:bCs/>
          <w:i/>
          <w:iCs/>
          <w:color w:val="000000" w:themeColor="text1"/>
          <w:lang w:eastAsia="en-GB"/>
        </w:rPr>
        <w:t xml:space="preserve">Independent variables: </w:t>
      </w:r>
      <w:r w:rsidR="00D705D6" w:rsidRPr="00A90CCE">
        <w:rPr>
          <w:b/>
          <w:bCs/>
          <w:i/>
          <w:iCs/>
          <w:color w:val="000000" w:themeColor="text1"/>
          <w:lang w:eastAsia="en-GB"/>
        </w:rPr>
        <w:t>youth</w:t>
      </w:r>
      <w:r w:rsidR="009C358E" w:rsidRPr="00A90CCE">
        <w:rPr>
          <w:b/>
          <w:bCs/>
          <w:i/>
          <w:iCs/>
          <w:color w:val="000000" w:themeColor="text1"/>
          <w:lang w:eastAsia="en-GB"/>
        </w:rPr>
        <w:t xml:space="preserve"> and </w:t>
      </w:r>
      <w:r w:rsidR="00B51B9E" w:rsidRPr="00A90CCE">
        <w:rPr>
          <w:b/>
          <w:bCs/>
          <w:i/>
          <w:iCs/>
          <w:color w:val="000000" w:themeColor="text1"/>
          <w:lang w:eastAsia="en-GB"/>
        </w:rPr>
        <w:t>demographic context</w:t>
      </w:r>
    </w:p>
    <w:p w14:paraId="574D6E5E" w14:textId="0316999B" w:rsidR="00447D47" w:rsidRPr="00A90CCE" w:rsidRDefault="00447D47" w:rsidP="00956869">
      <w:pPr>
        <w:pStyle w:val="NormalWeb"/>
        <w:spacing w:line="480" w:lineRule="auto"/>
        <w:jc w:val="both"/>
        <w:rPr>
          <w:lang w:val="en-GB"/>
        </w:rPr>
      </w:pPr>
      <w:r w:rsidRPr="00A90CCE">
        <w:rPr>
          <w:lang w:val="en-GB"/>
        </w:rPr>
        <w:t>We have two main independent variables: the age of an individual respondent and</w:t>
      </w:r>
      <w:r w:rsidR="009471F7" w:rsidRPr="00A90CCE">
        <w:rPr>
          <w:lang w:val="en-GB"/>
        </w:rPr>
        <w:t xml:space="preserve"> the </w:t>
      </w:r>
      <w:r w:rsidR="009471F7" w:rsidRPr="00A90CCE">
        <w:rPr>
          <w:rStyle w:val="Strong"/>
          <w:b w:val="0"/>
          <w:bCs w:val="0"/>
          <w:lang w:val="en-GB"/>
        </w:rPr>
        <w:t>demographic context</w:t>
      </w:r>
      <w:r w:rsidR="009471F7" w:rsidRPr="00A90CCE">
        <w:rPr>
          <w:lang w:val="en-GB"/>
        </w:rPr>
        <w:t xml:space="preserve"> of the individual city in which </w:t>
      </w:r>
      <w:r w:rsidRPr="00A90CCE">
        <w:rPr>
          <w:lang w:val="en-GB"/>
        </w:rPr>
        <w:t>that</w:t>
      </w:r>
      <w:r w:rsidR="009471F7" w:rsidRPr="00A90CCE">
        <w:rPr>
          <w:lang w:val="en-GB"/>
        </w:rPr>
        <w:t xml:space="preserve"> person lives. Specifically, we examine how the </w:t>
      </w:r>
      <w:r w:rsidR="009471F7" w:rsidRPr="00A90CCE">
        <w:rPr>
          <w:rStyle w:val="Strong"/>
          <w:b w:val="0"/>
          <w:bCs w:val="0"/>
          <w:lang w:val="en-GB"/>
        </w:rPr>
        <w:t>share of young people</w:t>
      </w:r>
      <w:r w:rsidR="009471F7" w:rsidRPr="00A90CCE">
        <w:rPr>
          <w:lang w:val="en-GB"/>
        </w:rPr>
        <w:t xml:space="preserve"> in a city</w:t>
      </w:r>
      <w:r w:rsidR="00956869" w:rsidRPr="00A90CCE">
        <w:rPr>
          <w:lang w:val="en-GB"/>
        </w:rPr>
        <w:t>’</w:t>
      </w:r>
      <w:r w:rsidR="009471F7" w:rsidRPr="00A90CCE">
        <w:rPr>
          <w:lang w:val="en-GB"/>
        </w:rPr>
        <w:t xml:space="preserve">s population is associated with individual political behaviour. </w:t>
      </w:r>
      <w:r w:rsidRPr="00A90CCE">
        <w:rPr>
          <w:lang w:val="en-GB"/>
        </w:rPr>
        <w:t>To measure the age of an individual respondent we created a categorical variable from Afrobarometer’s continuous age attribute. The definition of youth varies substantially depending upon context. The United Nations defines the term ‘youth’ as anyone between the ages of 15-24 years whereas the African Union uses the 15-35 range, acknowledging the extended period of transitioning to adulthood in many African contexts, which can include prolonged education, delayed employment, and marriage (</w:t>
      </w:r>
      <w:r w:rsidRPr="00A90CCE">
        <w:rPr>
          <w:shd w:val="clear" w:color="auto" w:fill="FFFFFF"/>
          <w:lang w:val="en-GB"/>
        </w:rPr>
        <w:t>Honwana, 2014</w:t>
      </w:r>
      <w:r w:rsidRPr="00A90CCE">
        <w:rPr>
          <w:lang w:val="en-GB"/>
        </w:rPr>
        <w:t>). Following Resnick and Casale (2011) we categorise individuals as: ‘young adults’ (18-29), ‘mid</w:t>
      </w:r>
      <w:r w:rsidR="006552D8" w:rsidRPr="00A90CCE">
        <w:rPr>
          <w:lang w:val="en-GB"/>
        </w:rPr>
        <w:t xml:space="preserve"> </w:t>
      </w:r>
      <w:r w:rsidRPr="00A90CCE">
        <w:rPr>
          <w:lang w:val="en-GB"/>
        </w:rPr>
        <w:t xml:space="preserve">adults’ (30-49), and ‘older adults’ (50+years). This categorisation is consistent with past literature as well as both the specific conditions of disrupted youth transitions in the African context and wider demographic studies. </w:t>
      </w:r>
    </w:p>
    <w:p w14:paraId="0EC8B6CA" w14:textId="5D338F40" w:rsidR="005B10C1" w:rsidRPr="00A90CCE" w:rsidRDefault="009471F7" w:rsidP="005B10C1">
      <w:pPr>
        <w:pStyle w:val="NormalWeb"/>
        <w:spacing w:line="480" w:lineRule="auto"/>
        <w:ind w:firstLine="720"/>
        <w:jc w:val="both"/>
        <w:rPr>
          <w:lang w:val="en-GB"/>
        </w:rPr>
      </w:pPr>
      <w:r w:rsidRPr="00A90CCE">
        <w:rPr>
          <w:lang w:val="en-GB"/>
        </w:rPr>
        <w:t xml:space="preserve">To measure local demographic context, we use subnational population estimates from </w:t>
      </w:r>
      <w:r w:rsidRPr="00A90CCE">
        <w:rPr>
          <w:rStyle w:val="Strong"/>
          <w:b w:val="0"/>
          <w:bCs w:val="0"/>
          <w:lang w:val="en-GB"/>
        </w:rPr>
        <w:t>WorldPop’s age and sex structure data</w:t>
      </w:r>
      <w:r w:rsidRPr="00A90CCE">
        <w:rPr>
          <w:lang w:val="en-GB"/>
        </w:rPr>
        <w:t xml:space="preserve"> </w:t>
      </w:r>
      <w:r w:rsidR="00E5732D" w:rsidRPr="00A90CCE">
        <w:rPr>
          <w:lang w:val="en-GB"/>
        </w:rPr>
        <w:fldChar w:fldCharType="begin"/>
      </w:r>
      <w:r w:rsidR="00E5732D" w:rsidRPr="00A90CCE">
        <w:rPr>
          <w:lang w:val="en-GB"/>
        </w:rPr>
        <w:instrText xml:space="preserve"> ADDIN ZOTERO_ITEM CSL_CITATION {"citationID":"5xQtN2Sr","properties":{"formattedCitation":"(Pezzulo et al., 2017; Tatem et al., 2013)","plainCitation":"(Pezzulo et al., 2017; Tatem et al., 2013)","noteIndex":0},"citationItems":[{"id":778,"uris":["http://zotero.org/users/11001446/items/DCSPNE4E"],"itemData":{"id":778,"type":"article-journal","container-title":"Scientific data","ISSN":"2052-4463","issue":"1","journalAbbreviation":"Scientific data","note":"publisher: Nature Publishing Group","page":"1-15","title":"Sub-national mapping of population pyramids and dependency ratios in Africa and Asia","volume":"4","author":[{"family":"Pezzulo","given":"Carla"},{"family":"Hornby","given":"Graeme M"},{"family":"Sorichetta","given":"Alessandro"},{"family":"Gaughan","given":"Andrea E"},{"family":"Linard","given":"Catherine"},{"family":"Bird","given":"Tomas J"},{"family":"Kerr","given":"David"},{"family":"Lloyd","given":"Christopher T"},{"family":"Tatem","given":"Andrew J"}],"issued":{"date-parts":[["2017"]]}}},{"id":780,"uris":["http://zotero.org/users/11001446/items/RA7Q5FBB"],"itemData":{"id":780,"type":"article-journal","container-title":"Population health metrics","journalAbbreviation":"Population health metrics","note":"publisher: Springer","page":"1-11","title":"Millennium development health metrics: where do Africa’s children and women of childbearing age live?","volume":"11","author":[{"family":"Tatem","given":"Andrew J"},{"family":"Garcia","given":"Andres J"},{"family":"Snow","given":"Robert W"},{"family":"Noor","given":"Abdisalan M"},{"family":"Gaughan","given":"Andrea E"},{"family":"Gilbert","given":"Marius"},{"family":"Linard","given":"Catherine"}],"issued":{"date-parts":[["2013"]]}}}],"schema":"https://github.com/citation-style-language/schema/raw/master/csl-citation.json"} </w:instrText>
      </w:r>
      <w:r w:rsidR="00E5732D" w:rsidRPr="00A90CCE">
        <w:rPr>
          <w:lang w:val="en-GB"/>
        </w:rPr>
        <w:fldChar w:fldCharType="separate"/>
      </w:r>
      <w:r w:rsidR="00E5732D" w:rsidRPr="00A90CCE">
        <w:rPr>
          <w:lang w:val="en-GB"/>
        </w:rPr>
        <w:t>(Pezzulo et al., 2017; Tatem et al., 2013)</w:t>
      </w:r>
      <w:r w:rsidR="00E5732D" w:rsidRPr="00A90CCE">
        <w:rPr>
          <w:lang w:val="en-GB"/>
        </w:rPr>
        <w:fldChar w:fldCharType="end"/>
      </w:r>
      <w:r w:rsidRPr="00A90CCE">
        <w:rPr>
          <w:lang w:val="en-GB"/>
        </w:rPr>
        <w:t xml:space="preserve">. These estimates are provided at a </w:t>
      </w:r>
      <w:r w:rsidRPr="00A90CCE">
        <w:rPr>
          <w:rStyle w:val="Strong"/>
          <w:b w:val="0"/>
          <w:bCs w:val="0"/>
          <w:lang w:val="en-GB"/>
        </w:rPr>
        <w:t>1km² resolution</w:t>
      </w:r>
      <w:r w:rsidRPr="00A90CCE">
        <w:rPr>
          <w:lang w:val="en-GB"/>
        </w:rPr>
        <w:t xml:space="preserve"> in raster files disaggregated by year, sex, and age group.</w:t>
      </w:r>
      <w:r w:rsidR="005B10C1" w:rsidRPr="00A90CCE">
        <w:rPr>
          <w:lang w:val="en-GB"/>
        </w:rPr>
        <w:t xml:space="preserve"> </w:t>
      </w:r>
      <w:r w:rsidRPr="00A90CCE">
        <w:rPr>
          <w:lang w:val="en-GB"/>
        </w:rPr>
        <w:t xml:space="preserve">We use the </w:t>
      </w:r>
      <w:r w:rsidRPr="00A90CCE">
        <w:rPr>
          <w:rStyle w:val="Strong"/>
          <w:b w:val="0"/>
          <w:bCs w:val="0"/>
          <w:lang w:val="en-GB"/>
        </w:rPr>
        <w:t>unconstrained</w:t>
      </w:r>
      <w:r w:rsidRPr="00A90CCE">
        <w:rPr>
          <w:lang w:val="en-GB"/>
        </w:rPr>
        <w:t xml:space="preserve"> version of the WorldPop data, which – unlike the constrained version – does not rely on satellite imagery of human settlements and buildings to allocate </w:t>
      </w:r>
      <w:r w:rsidRPr="00A90CCE">
        <w:rPr>
          <w:lang w:val="en-GB"/>
        </w:rPr>
        <w:lastRenderedPageBreak/>
        <w:t xml:space="preserve">population. While other gridded population datasets exist, none provide the </w:t>
      </w:r>
      <w:r w:rsidRPr="00A90CCE">
        <w:rPr>
          <w:rStyle w:val="Strong"/>
          <w:b w:val="0"/>
          <w:bCs w:val="0"/>
          <w:lang w:val="en-GB"/>
        </w:rPr>
        <w:t>granular demographic detail</w:t>
      </w:r>
      <w:r w:rsidRPr="00A90CCE">
        <w:rPr>
          <w:lang w:val="en-GB"/>
        </w:rPr>
        <w:t xml:space="preserve"> required for our analysis. WorldPop remains the best option and has been shown to </w:t>
      </w:r>
      <w:r w:rsidRPr="00A90CCE">
        <w:rPr>
          <w:rStyle w:val="Strong"/>
          <w:b w:val="0"/>
          <w:bCs w:val="0"/>
          <w:lang w:val="en-GB"/>
        </w:rPr>
        <w:t>outperform</w:t>
      </w:r>
      <w:r w:rsidRPr="00A90CCE">
        <w:rPr>
          <w:lang w:val="en-GB"/>
        </w:rPr>
        <w:t xml:space="preserve"> alternatives like the Global Human Settlement Population Grid and the Gridded Population of the World in estimating subnational populations. Notably, it offers higher accuracy and lower error rates across a variety of countries and income levels</w:t>
      </w:r>
      <w:r w:rsidR="00E5732D" w:rsidRPr="00A90CCE">
        <w:rPr>
          <w:lang w:val="en-GB"/>
        </w:rPr>
        <w:t xml:space="preserve"> </w:t>
      </w:r>
      <w:r w:rsidR="00E5732D" w:rsidRPr="00A90CCE">
        <w:rPr>
          <w:lang w:val="en-GB"/>
        </w:rPr>
        <w:fldChar w:fldCharType="begin"/>
      </w:r>
      <w:r w:rsidR="00E5732D" w:rsidRPr="00A90CCE">
        <w:rPr>
          <w:lang w:val="en-GB"/>
        </w:rPr>
        <w:instrText xml:space="preserve"> ADDIN ZOTERO_ITEM CSL_CITATION {"citationID":"niaIn5Lo","properties":{"formattedCitation":"(Kuffer et al., 2022; Yin et al., 2021)","plainCitation":"(Kuffer et al., 2022; Yin et al., 2021)","noteIndex":0},"citationItems":[{"id":159,"uris":["http://zotero.org/users/11001446/items/3BJQIQ7I"],"itemData":{"id":159,"type":"article-journal","container-title":"ISPRS International Journal of Geo-Information","ISSN":"2220-9964","issue":"7","journalAbbreviation":"ISPRS International Journal of Geo-Information","note":"publisher: MDPI","page":"403","title":"The missing millions in maps: Exploring causes of uncertainties in global gridded population datasets","volume":"11","author":[{"family":"Kuffer","given":"Monika"},{"family":"Owusu","given":"Maxwell"},{"family":"Oliveira","given":"Lorraine"},{"family":"Sliuzas","given":"Richard"},{"family":"Rijn","given":"Frank","non-dropping-particle":"van"}],"issued":{"date-parts":[["2022"]]}}},{"id":776,"uris":["http://zotero.org/users/11001446/items/V8NDPIVD"],"itemData":{"id":776,"type":"article-journal","container-title":"ISPRS International Journal of Geo-Information","ISSN":"2220-9964","issue":"10","journalAbbreviation":"ISPRS International Journal of Geo-Information","note":"publisher: MDPI","page":"681","title":"Which gridded population data product is better? Evidences from mainland Southeast Asia (MSEA)","volume":"10","author":[{"family":"Yin","given":"Xu"},{"family":"Li","given":"Peng"},{"family":"Feng","given":"Zhiming"},{"family":"Yang","given":"Yanzhao"},{"family":"You","given":"Zhen"},{"family":"Xiao","given":"Chiwei"}],"issued":{"date-parts":[["2021"]]}}}],"schema":"https://github.com/citation-style-language/schema/raw/master/csl-citation.json"} </w:instrText>
      </w:r>
      <w:r w:rsidR="00E5732D" w:rsidRPr="00A90CCE">
        <w:rPr>
          <w:lang w:val="en-GB"/>
        </w:rPr>
        <w:fldChar w:fldCharType="separate"/>
      </w:r>
      <w:r w:rsidR="00E5732D" w:rsidRPr="00A90CCE">
        <w:rPr>
          <w:lang w:val="en-GB"/>
        </w:rPr>
        <w:t>(Kuffer et al., 2022; Yin et al., 2021)</w:t>
      </w:r>
      <w:r w:rsidR="00E5732D" w:rsidRPr="00A90CCE">
        <w:rPr>
          <w:lang w:val="en-GB"/>
        </w:rPr>
        <w:fldChar w:fldCharType="end"/>
      </w:r>
      <w:r w:rsidR="00E5732D" w:rsidRPr="00A90CCE">
        <w:rPr>
          <w:lang w:val="en-GB"/>
        </w:rPr>
        <w:t>,</w:t>
      </w:r>
      <w:r w:rsidRPr="00A90CCE">
        <w:rPr>
          <w:lang w:val="en-GB"/>
        </w:rPr>
        <w:t xml:space="preserve"> and performs particularly well in </w:t>
      </w:r>
      <w:r w:rsidRPr="00A90CCE">
        <w:rPr>
          <w:rStyle w:val="Strong"/>
          <w:b w:val="0"/>
          <w:bCs w:val="0"/>
          <w:lang w:val="en-GB"/>
        </w:rPr>
        <w:t>urban areas</w:t>
      </w:r>
      <w:r w:rsidRPr="00A90CCE">
        <w:rPr>
          <w:lang w:val="en-GB"/>
        </w:rPr>
        <w:t xml:space="preserve"> </w:t>
      </w:r>
      <w:r w:rsidR="00E5732D" w:rsidRPr="00A90CCE">
        <w:rPr>
          <w:lang w:val="en-GB"/>
        </w:rPr>
        <w:fldChar w:fldCharType="begin"/>
      </w:r>
      <w:r w:rsidR="00E5732D" w:rsidRPr="00A90CCE">
        <w:rPr>
          <w:lang w:val="en-GB"/>
        </w:rPr>
        <w:instrText xml:space="preserve"> ADDIN ZOTERO_ITEM CSL_CITATION {"citationID":"SedlmSfz","properties":{"formattedCitation":"(Kuffer et al., 2022)","plainCitation":"(Kuffer et al., 2022)","noteIndex":0},"citationItems":[{"id":159,"uris":["http://zotero.org/users/11001446/items/3BJQIQ7I"],"itemData":{"id":159,"type":"article-journal","container-title":"ISPRS International Journal of Geo-Information","ISSN":"2220-9964","issue":"7","journalAbbreviation":"ISPRS International Journal of Geo-Information","note":"publisher: MDPI","page":"403","title":"The missing millions in maps: Exploring causes of uncertainties in global gridded population datasets","volume":"11","author":[{"family":"Kuffer","given":"Monika"},{"family":"Owusu","given":"Maxwell"},{"family":"Oliveira","given":"Lorraine"},{"family":"Sliuzas","given":"Richard"},{"family":"Rijn","given":"Frank","non-dropping-particle":"van"}],"issued":{"date-parts":[["2022"]]}}}],"schema":"https://github.com/citation-style-language/schema/raw/master/csl-citation.json"} </w:instrText>
      </w:r>
      <w:r w:rsidR="00E5732D" w:rsidRPr="00A90CCE">
        <w:rPr>
          <w:lang w:val="en-GB"/>
        </w:rPr>
        <w:fldChar w:fldCharType="separate"/>
      </w:r>
      <w:r w:rsidR="00E5732D" w:rsidRPr="00A90CCE">
        <w:rPr>
          <w:lang w:val="en-GB"/>
        </w:rPr>
        <w:t>(Kuffer et al., 2022)</w:t>
      </w:r>
      <w:r w:rsidR="00E5732D" w:rsidRPr="00A90CCE">
        <w:rPr>
          <w:lang w:val="en-GB"/>
        </w:rPr>
        <w:fldChar w:fldCharType="end"/>
      </w:r>
      <w:r w:rsidR="00E5732D" w:rsidRPr="00A90CCE">
        <w:rPr>
          <w:lang w:val="en-GB"/>
        </w:rPr>
        <w:t xml:space="preserve"> </w:t>
      </w:r>
      <w:r w:rsidRPr="00A90CCE">
        <w:rPr>
          <w:lang w:val="en-GB"/>
        </w:rPr>
        <w:t>and</w:t>
      </w:r>
      <w:r w:rsidRPr="00A90CCE">
        <w:rPr>
          <w:b/>
          <w:bCs/>
          <w:lang w:val="en-GB"/>
        </w:rPr>
        <w:t xml:space="preserve"> </w:t>
      </w:r>
      <w:r w:rsidRPr="00A90CCE">
        <w:rPr>
          <w:rStyle w:val="Strong"/>
          <w:b w:val="0"/>
          <w:bCs w:val="0"/>
          <w:lang w:val="en-GB"/>
        </w:rPr>
        <w:t>across the city-size distribution</w:t>
      </w:r>
      <w:r w:rsidRPr="00A90CCE">
        <w:rPr>
          <w:b/>
          <w:bCs/>
          <w:lang w:val="en-GB"/>
        </w:rPr>
        <w:t xml:space="preserve"> </w:t>
      </w:r>
      <w:r w:rsidR="00E5732D" w:rsidRPr="00A90CCE">
        <w:rPr>
          <w:b/>
          <w:bCs/>
          <w:lang w:val="en-GB"/>
        </w:rPr>
        <w:fldChar w:fldCharType="begin"/>
      </w:r>
      <w:r w:rsidR="00DA1368" w:rsidRPr="00A90CCE">
        <w:rPr>
          <w:b/>
          <w:bCs/>
          <w:lang w:val="en-GB"/>
        </w:rPr>
        <w:instrText xml:space="preserve"> ADDIN ZOTERO_ITEM CSL_CITATION {"citationID":"WomoYbzB","properties":{"formattedCitation":"(Stratham, 2024)","plainCitation":"(Stratham, 2024)","dontUpdate":true,"noteIndex":0},"citationItems":[{"id":775,"uris":["http://zotero.org/users/11001446/items/EBH66B6Y"],"itemData":{"id":775,"type":"manuscript","event-place":"University of Bristol","genre":"PhD Dissertation","publisher-place":"University of Bristol","title":"The Global Inconsistencies of Gridded Population Data at Different Spatial Scales","author":[{"family":"Stratham","given":"T.A."}],"issued":{"date-parts":[["2024"]]}}}],"schema":"https://github.com/citation-style-language/schema/raw/master/csl-citation.json"} </w:instrText>
      </w:r>
      <w:r w:rsidR="00E5732D" w:rsidRPr="00A90CCE">
        <w:rPr>
          <w:b/>
          <w:bCs/>
          <w:lang w:val="en-GB"/>
        </w:rPr>
        <w:fldChar w:fldCharType="separate"/>
      </w:r>
      <w:r w:rsidR="00E5732D" w:rsidRPr="00A90CCE">
        <w:rPr>
          <w:lang w:val="en-GB"/>
        </w:rPr>
        <w:t>(Statham, 2024)</w:t>
      </w:r>
      <w:r w:rsidR="00E5732D" w:rsidRPr="00A90CCE">
        <w:rPr>
          <w:b/>
          <w:bCs/>
          <w:lang w:val="en-GB"/>
        </w:rPr>
        <w:fldChar w:fldCharType="end"/>
      </w:r>
      <w:r w:rsidRPr="00A90CCE">
        <w:rPr>
          <w:lang w:val="en-GB"/>
        </w:rPr>
        <w:t>.</w:t>
      </w:r>
    </w:p>
    <w:p w14:paraId="39F74B4E" w14:textId="30DBACA1" w:rsidR="009471F7" w:rsidRPr="00A90CCE" w:rsidRDefault="009471F7" w:rsidP="00447D47">
      <w:pPr>
        <w:pStyle w:val="NormalWeb"/>
        <w:spacing w:line="480" w:lineRule="auto"/>
        <w:ind w:firstLine="720"/>
        <w:jc w:val="both"/>
        <w:rPr>
          <w:lang w:val="en-GB"/>
        </w:rPr>
      </w:pPr>
      <w:r w:rsidRPr="00A90CCE">
        <w:rPr>
          <w:lang w:val="en-GB"/>
        </w:rPr>
        <w:t>To construct our dataset, we developed a custom program to:</w:t>
      </w:r>
      <w:r w:rsidR="005B10C1" w:rsidRPr="00A90CCE">
        <w:rPr>
          <w:lang w:val="en-GB"/>
        </w:rPr>
        <w:t xml:space="preserve"> </w:t>
      </w:r>
      <w:r w:rsidRPr="00A90CCE">
        <w:rPr>
          <w:lang w:val="en-GB"/>
        </w:rPr>
        <w:t>(</w:t>
      </w:r>
      <w:proofErr w:type="spellStart"/>
      <w:r w:rsidRPr="00A90CCE">
        <w:rPr>
          <w:lang w:val="en-GB"/>
        </w:rPr>
        <w:t>i</w:t>
      </w:r>
      <w:proofErr w:type="spellEnd"/>
      <w:r w:rsidRPr="00A90CCE">
        <w:rPr>
          <w:lang w:val="en-GB"/>
        </w:rPr>
        <w:t>) automatically download each raster file</w:t>
      </w:r>
      <w:r w:rsidR="005B10C1" w:rsidRPr="00A90CCE">
        <w:rPr>
          <w:lang w:val="en-GB"/>
        </w:rPr>
        <w:t xml:space="preserve">; </w:t>
      </w:r>
      <w:r w:rsidRPr="00A90CCE">
        <w:rPr>
          <w:lang w:val="en-GB"/>
        </w:rPr>
        <w:t>(ii) extract pixel-level population values for each year, age, and sex category</w:t>
      </w:r>
      <w:r w:rsidR="005B10C1" w:rsidRPr="00A90CCE">
        <w:rPr>
          <w:lang w:val="en-GB"/>
        </w:rPr>
        <w:t xml:space="preserve">; </w:t>
      </w:r>
      <w:r w:rsidRPr="00A90CCE">
        <w:rPr>
          <w:lang w:val="en-GB"/>
        </w:rPr>
        <w:t xml:space="preserve">(iii) aggregate these values to </w:t>
      </w:r>
      <w:r w:rsidRPr="00A90CCE">
        <w:rPr>
          <w:rStyle w:val="Strong"/>
          <w:b w:val="0"/>
          <w:bCs w:val="0"/>
          <w:lang w:val="en-GB"/>
        </w:rPr>
        <w:t>UCDB</w:t>
      </w:r>
      <w:r w:rsidRPr="00A90CCE">
        <w:rPr>
          <w:rStyle w:val="Strong"/>
          <w:lang w:val="en-GB"/>
        </w:rPr>
        <w:t xml:space="preserve"> </w:t>
      </w:r>
      <w:r w:rsidRPr="00A90CCE">
        <w:rPr>
          <w:rStyle w:val="Strong"/>
          <w:b w:val="0"/>
          <w:bCs w:val="0"/>
          <w:lang w:val="en-GB"/>
        </w:rPr>
        <w:t>city polygons</w:t>
      </w:r>
      <w:r w:rsidR="005B10C1" w:rsidRPr="00A90CCE">
        <w:rPr>
          <w:lang w:val="en-GB"/>
        </w:rPr>
        <w:t xml:space="preserve">; </w:t>
      </w:r>
      <w:r w:rsidRPr="00A90CCE">
        <w:rPr>
          <w:lang w:val="en-GB"/>
        </w:rPr>
        <w:t>(iv) merge all files, and</w:t>
      </w:r>
      <w:r w:rsidRPr="00A90CCE">
        <w:rPr>
          <w:lang w:val="en-GB"/>
        </w:rPr>
        <w:br/>
        <w:t>(v) calculate zonal statistics to describe city-level demographic characteristics.</w:t>
      </w:r>
      <w:r w:rsidR="005B10C1" w:rsidRPr="00A90CCE">
        <w:rPr>
          <w:lang w:val="en-GB"/>
        </w:rPr>
        <w:t xml:space="preserve"> </w:t>
      </w:r>
      <w:r w:rsidRPr="00A90CCE">
        <w:rPr>
          <w:lang w:val="en-GB"/>
        </w:rPr>
        <w:t>For both males and females, we calculated total population, total working-age/adult population (ages 15–70), and total youth population (ages 15–2</w:t>
      </w:r>
      <w:r w:rsidR="00B71F2B" w:rsidRPr="00A90CCE">
        <w:rPr>
          <w:lang w:val="en-GB"/>
        </w:rPr>
        <w:t>9</w:t>
      </w:r>
      <w:r w:rsidRPr="00A90CCE">
        <w:rPr>
          <w:lang w:val="en-GB"/>
        </w:rPr>
        <w:t>). From these, we computed male and female youth shares as proportions of the total population and of the working-age population.</w:t>
      </w:r>
      <w:r w:rsidR="005B10C1" w:rsidRPr="00A90CCE">
        <w:rPr>
          <w:lang w:val="en-GB"/>
        </w:rPr>
        <w:t xml:space="preserve"> </w:t>
      </w:r>
      <w:r w:rsidR="007B4F58" w:rsidRPr="00A90CCE">
        <w:rPr>
          <w:lang w:val="en-GB"/>
        </w:rPr>
        <w:t>The result</w:t>
      </w:r>
      <w:r w:rsidRPr="00A90CCE">
        <w:rPr>
          <w:lang w:val="en-GB"/>
        </w:rPr>
        <w:t xml:space="preserve"> is a </w:t>
      </w:r>
      <w:r w:rsidRPr="00A90CCE">
        <w:rPr>
          <w:rStyle w:val="Strong"/>
          <w:b w:val="0"/>
          <w:bCs w:val="0"/>
          <w:lang w:val="en-GB"/>
        </w:rPr>
        <w:t>cross-sectional time-series panel dataset</w:t>
      </w:r>
      <w:r w:rsidRPr="00A90CCE">
        <w:rPr>
          <w:lang w:val="en-GB"/>
        </w:rPr>
        <w:t xml:space="preserve"> providing total population estimates and detailed demographic pyramids for each city from </w:t>
      </w:r>
      <w:r w:rsidRPr="00A90CCE">
        <w:rPr>
          <w:rStyle w:val="Strong"/>
          <w:b w:val="0"/>
          <w:bCs w:val="0"/>
          <w:lang w:val="en-GB"/>
        </w:rPr>
        <w:t>2000</w:t>
      </w:r>
      <w:r w:rsidR="005B10C1" w:rsidRPr="00A90CCE">
        <w:rPr>
          <w:rStyle w:val="Strong"/>
          <w:b w:val="0"/>
          <w:bCs w:val="0"/>
          <w:lang w:val="en-GB"/>
        </w:rPr>
        <w:t xml:space="preserve"> to</w:t>
      </w:r>
      <w:r w:rsidRPr="00A90CCE">
        <w:rPr>
          <w:rStyle w:val="Strong"/>
          <w:lang w:val="en-GB"/>
        </w:rPr>
        <w:t xml:space="preserve"> </w:t>
      </w:r>
      <w:r w:rsidRPr="00A90CCE">
        <w:rPr>
          <w:rStyle w:val="Strong"/>
          <w:b w:val="0"/>
          <w:bCs w:val="0"/>
          <w:lang w:val="en-GB"/>
        </w:rPr>
        <w:t>2020</w:t>
      </w:r>
      <w:r w:rsidRPr="00A90CCE">
        <w:rPr>
          <w:lang w:val="en-GB"/>
        </w:rPr>
        <w:t xml:space="preserve">. To our knowledge, this represents the </w:t>
      </w:r>
      <w:r w:rsidRPr="00A90CCE">
        <w:rPr>
          <w:rStyle w:val="Strong"/>
          <w:b w:val="0"/>
          <w:bCs w:val="0"/>
          <w:lang w:val="en-GB"/>
        </w:rPr>
        <w:t>first published use</w:t>
      </w:r>
      <w:r w:rsidRPr="00A90CCE">
        <w:rPr>
          <w:lang w:val="en-GB"/>
        </w:rPr>
        <w:t xml:space="preserve"> of WorldPop’s urban age-sex structures in such a panel format. Given the potential relevance of this data for demographic and development research, we provide a detailed description of the data processing steps in </w:t>
      </w:r>
      <w:r w:rsidR="00B71F2B" w:rsidRPr="00A90CCE">
        <w:rPr>
          <w:lang w:val="en-GB"/>
        </w:rPr>
        <w:t>Appendix B</w:t>
      </w:r>
      <w:r w:rsidRPr="00A90CCE">
        <w:rPr>
          <w:lang w:val="en-GB"/>
        </w:rPr>
        <w:t>.</w:t>
      </w:r>
    </w:p>
    <w:p w14:paraId="3569A9AA" w14:textId="0D289B09" w:rsidR="009F7AAC" w:rsidRPr="00A90CCE" w:rsidRDefault="009F7AAC" w:rsidP="00447D47">
      <w:pPr>
        <w:spacing w:after="120" w:line="480" w:lineRule="auto"/>
        <w:jc w:val="both"/>
        <w:rPr>
          <w:color w:val="000000" w:themeColor="text1"/>
          <w:lang w:eastAsia="en-GB"/>
        </w:rPr>
      </w:pPr>
      <w:r w:rsidRPr="00A90CCE">
        <w:tab/>
      </w:r>
      <w:r w:rsidR="00F21D95" w:rsidRPr="00A90CCE">
        <w:t>I</w:t>
      </w:r>
      <w:r w:rsidRPr="00A90CCE">
        <w:t>t is worth noting that descriptive analysis of the dataset reveals a high degree of variation in demographic structures and youth shares both within and between countries</w:t>
      </w:r>
      <w:r w:rsidR="001606D3" w:rsidRPr="00A90CCE">
        <w:t xml:space="preserve"> (Figure 1)</w:t>
      </w:r>
      <w:r w:rsidRPr="00A90CCE">
        <w:t xml:space="preserve">. </w:t>
      </w:r>
      <w:r w:rsidRPr="00A90CCE">
        <w:rPr>
          <w:color w:val="000000" w:themeColor="text1"/>
          <w:lang w:eastAsia="en-GB"/>
        </w:rPr>
        <w:t>Importantly</w:t>
      </w:r>
      <w:r w:rsidRPr="00A90CCE">
        <w:t xml:space="preserve">, the data support our </w:t>
      </w:r>
      <w:r w:rsidR="00F21D95" w:rsidRPr="00A90CCE">
        <w:t>contention that urban demographic structures in Africa are heterogenous</w:t>
      </w:r>
      <w:r w:rsidRPr="00A90CCE">
        <w:rPr>
          <w:color w:val="000000" w:themeColor="text1"/>
          <w:lang w:eastAsia="en-GB"/>
        </w:rPr>
        <w:t>, show</w:t>
      </w:r>
      <w:r w:rsidR="007B4F58" w:rsidRPr="00A90CCE">
        <w:rPr>
          <w:color w:val="000000" w:themeColor="text1"/>
          <w:lang w:eastAsia="en-GB"/>
        </w:rPr>
        <w:t>ing</w:t>
      </w:r>
      <w:r w:rsidRPr="00A90CCE">
        <w:rPr>
          <w:color w:val="000000" w:themeColor="text1"/>
          <w:lang w:eastAsia="en-GB"/>
        </w:rPr>
        <w:t xml:space="preserve"> that national level figures can hide significant subnational variation between cities within regions and countries.</w:t>
      </w:r>
      <w:r w:rsidRPr="00A90CCE">
        <w:rPr>
          <w:color w:val="000000" w:themeColor="text1"/>
        </w:rPr>
        <w:t xml:space="preserve"> </w:t>
      </w:r>
      <w:r w:rsidRPr="00A90CCE">
        <w:rPr>
          <w:color w:val="000000" w:themeColor="text1"/>
          <w:lang w:eastAsia="en-GB"/>
        </w:rPr>
        <w:t xml:space="preserve">This implies markedly different </w:t>
      </w:r>
      <w:r w:rsidRPr="00A90CCE">
        <w:rPr>
          <w:color w:val="000000" w:themeColor="text1"/>
          <w:lang w:eastAsia="en-GB"/>
        </w:rPr>
        <w:lastRenderedPageBreak/>
        <w:t>demographic contexts across the spectrum of Africa’s urban settlements</w:t>
      </w:r>
      <w:r w:rsidR="00F21D95" w:rsidRPr="00A90CCE">
        <w:rPr>
          <w:color w:val="000000" w:themeColor="text1"/>
          <w:lang w:eastAsia="en-GB"/>
        </w:rPr>
        <w:t xml:space="preserve">, which we </w:t>
      </w:r>
      <w:r w:rsidRPr="00A90CCE">
        <w:rPr>
          <w:color w:val="000000" w:themeColor="text1"/>
          <w:lang w:eastAsia="en-GB"/>
        </w:rPr>
        <w:t xml:space="preserve">expect to be associated with local variation in individual political behaviours between cities. </w:t>
      </w:r>
    </w:p>
    <w:p w14:paraId="64A48003" w14:textId="09E6DA19" w:rsidR="001606D3" w:rsidRPr="00A90CCE" w:rsidRDefault="001606D3" w:rsidP="00447D47">
      <w:pPr>
        <w:spacing w:after="120" w:line="480" w:lineRule="auto"/>
        <w:jc w:val="both"/>
        <w:rPr>
          <w:color w:val="000000" w:themeColor="text1"/>
          <w:lang w:eastAsia="en-GB"/>
        </w:rPr>
      </w:pPr>
      <w:r w:rsidRPr="00A90CCE">
        <w:rPr>
          <w:color w:val="000000" w:themeColor="text1"/>
          <w:lang w:eastAsia="en-GB"/>
        </w:rPr>
        <w:t>Figure 1. City youth shares by region</w:t>
      </w:r>
    </w:p>
    <w:p w14:paraId="25895A75" w14:textId="60D88BE4" w:rsidR="001606D3" w:rsidRPr="009E78AF" w:rsidRDefault="002F6B4F" w:rsidP="00447D47">
      <w:pPr>
        <w:spacing w:after="120" w:line="480" w:lineRule="auto"/>
        <w:jc w:val="both"/>
        <w:rPr>
          <w:color w:val="000000" w:themeColor="text1"/>
          <w:lang w:eastAsia="en-GB"/>
        </w:rPr>
      </w:pPr>
      <w:r>
        <w:rPr>
          <w:noProof/>
          <w:color w:val="000000" w:themeColor="text1"/>
          <w:sz w:val="20"/>
          <w:szCs w:val="20"/>
          <w:lang w:eastAsia="en-GB"/>
          <w14:ligatures w14:val="standardContextual"/>
        </w:rPr>
        <w:drawing>
          <wp:inline distT="0" distB="0" distL="0" distR="0" wp14:anchorId="6E7B8DDB" wp14:editId="28BCDA99">
            <wp:extent cx="5731510" cy="4776470"/>
            <wp:effectExtent l="0" t="0" r="0" b="0"/>
            <wp:docPr id="147731490" name="Picture 1" descr="A graph of different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1490" name="Picture 1" descr="A graph of different shap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r w:rsidR="001606D3" w:rsidRPr="00A90CCE">
        <w:rPr>
          <w:color w:val="000000" w:themeColor="text1"/>
          <w:sz w:val="20"/>
          <w:szCs w:val="20"/>
          <w:lang w:eastAsia="en-GB"/>
        </w:rPr>
        <w:t xml:space="preserve">Note: The y-axis displays the share of youth people in a city’s population in percentage terms. Each point represents </w:t>
      </w:r>
      <w:r w:rsidR="009E78AF">
        <w:rPr>
          <w:color w:val="000000" w:themeColor="text1"/>
          <w:sz w:val="20"/>
          <w:szCs w:val="20"/>
          <w:lang w:eastAsia="en-GB"/>
        </w:rPr>
        <w:t xml:space="preserve">the average for </w:t>
      </w:r>
      <w:r w:rsidR="001606D3" w:rsidRPr="00A90CCE">
        <w:rPr>
          <w:color w:val="000000" w:themeColor="text1"/>
          <w:sz w:val="20"/>
          <w:szCs w:val="20"/>
          <w:lang w:eastAsia="en-GB"/>
        </w:rPr>
        <w:t>a unique city</w:t>
      </w:r>
      <w:r w:rsidR="009E78AF">
        <w:rPr>
          <w:color w:val="000000" w:themeColor="text1"/>
          <w:sz w:val="20"/>
          <w:szCs w:val="20"/>
          <w:lang w:eastAsia="en-GB"/>
        </w:rPr>
        <w:t xml:space="preserve"> between 2000-2020</w:t>
      </w:r>
      <w:r w:rsidR="001606D3" w:rsidRPr="00A90CCE">
        <w:rPr>
          <w:color w:val="000000" w:themeColor="text1"/>
          <w:sz w:val="20"/>
          <w:szCs w:val="20"/>
          <w:lang w:eastAsia="en-GB"/>
        </w:rPr>
        <w:t xml:space="preserve">. The shape around the points of each region describes the density of the points at that point on the y-axis. </w:t>
      </w:r>
    </w:p>
    <w:p w14:paraId="51913647" w14:textId="77777777" w:rsidR="001A2FC7" w:rsidRPr="00A90CCE" w:rsidRDefault="001A2FC7" w:rsidP="00447D47">
      <w:pPr>
        <w:spacing w:after="120" w:line="480" w:lineRule="auto"/>
        <w:jc w:val="both"/>
        <w:rPr>
          <w:color w:val="000000" w:themeColor="text1"/>
          <w:sz w:val="20"/>
          <w:szCs w:val="20"/>
          <w:lang w:eastAsia="en-GB"/>
        </w:rPr>
      </w:pPr>
    </w:p>
    <w:p w14:paraId="53D3D1D6" w14:textId="601EAC05" w:rsidR="00F64B90" w:rsidRPr="001A2FC7" w:rsidRDefault="00B77E1F" w:rsidP="004858DB">
      <w:pPr>
        <w:spacing w:after="120" w:line="480" w:lineRule="auto"/>
        <w:jc w:val="both"/>
        <w:rPr>
          <w:b/>
          <w:bCs/>
          <w:i/>
          <w:iCs/>
          <w:color w:val="000000" w:themeColor="text1"/>
          <w:lang w:eastAsia="en-GB"/>
        </w:rPr>
      </w:pPr>
      <w:r w:rsidRPr="001A2FC7">
        <w:rPr>
          <w:b/>
          <w:bCs/>
          <w:i/>
          <w:iCs/>
          <w:color w:val="000000" w:themeColor="text1"/>
          <w:lang w:eastAsia="en-GB"/>
        </w:rPr>
        <w:t>3</w:t>
      </w:r>
      <w:r w:rsidR="00F11CC4" w:rsidRPr="001A2FC7">
        <w:rPr>
          <w:b/>
          <w:bCs/>
          <w:i/>
          <w:iCs/>
          <w:color w:val="000000" w:themeColor="text1"/>
          <w:lang w:eastAsia="en-GB"/>
        </w:rPr>
        <w:t>.</w:t>
      </w:r>
      <w:r w:rsidR="00F21D95" w:rsidRPr="001A2FC7">
        <w:rPr>
          <w:b/>
          <w:bCs/>
          <w:i/>
          <w:iCs/>
          <w:color w:val="000000" w:themeColor="text1"/>
          <w:lang w:eastAsia="en-GB"/>
        </w:rPr>
        <w:t>4</w:t>
      </w:r>
      <w:r w:rsidR="00F11CC4" w:rsidRPr="001A2FC7">
        <w:rPr>
          <w:b/>
          <w:bCs/>
          <w:i/>
          <w:iCs/>
          <w:color w:val="000000" w:themeColor="text1"/>
          <w:lang w:eastAsia="en-GB"/>
        </w:rPr>
        <w:t xml:space="preserve"> </w:t>
      </w:r>
      <w:r w:rsidR="00C80582" w:rsidRPr="001A2FC7">
        <w:rPr>
          <w:b/>
          <w:bCs/>
          <w:i/>
          <w:iCs/>
          <w:color w:val="000000" w:themeColor="text1"/>
          <w:lang w:eastAsia="en-GB"/>
        </w:rPr>
        <w:t>Controls</w:t>
      </w:r>
    </w:p>
    <w:p w14:paraId="395F9BA7" w14:textId="63D87704" w:rsidR="00F64B90" w:rsidRPr="00A90CCE" w:rsidRDefault="003103EA" w:rsidP="004858DB">
      <w:pPr>
        <w:spacing w:after="120" w:line="480" w:lineRule="auto"/>
        <w:jc w:val="both"/>
        <w:rPr>
          <w:color w:val="000000" w:themeColor="text1"/>
          <w:lang w:eastAsia="en-GB"/>
        </w:rPr>
      </w:pPr>
      <w:r w:rsidRPr="00A90CCE">
        <w:rPr>
          <w:color w:val="000000" w:themeColor="text1"/>
          <w:lang w:eastAsia="en-GB"/>
        </w:rPr>
        <w:t xml:space="preserve">At the city level, we control for the total size of the urban population, population density, and population growth. The total population is the sum across all the age-sex bins in the WorldPop data. Population density is this figure divided by the city’s total area. Density is likely to be a </w:t>
      </w:r>
      <w:r w:rsidRPr="00A90CCE">
        <w:rPr>
          <w:color w:val="000000" w:themeColor="text1"/>
          <w:lang w:eastAsia="en-GB"/>
        </w:rPr>
        <w:lastRenderedPageBreak/>
        <w:t xml:space="preserve">strong determinant of political participation. However, it is difficult to say in what direction. Elementary economic geography would suggest that density would yield agglomeration effects which should stimulate economic opportunities and improve </w:t>
      </w:r>
      <w:r w:rsidR="00E02073" w:rsidRPr="00A90CCE">
        <w:rPr>
          <w:color w:val="000000" w:themeColor="text1"/>
          <w:lang w:eastAsia="en-GB"/>
        </w:rPr>
        <w:t>efficiency</w:t>
      </w:r>
      <w:r w:rsidRPr="00A90CCE">
        <w:rPr>
          <w:color w:val="000000" w:themeColor="text1"/>
          <w:lang w:eastAsia="en-GB"/>
        </w:rPr>
        <w:t xml:space="preserve"> in service delivery, </w:t>
      </w:r>
      <w:r w:rsidR="0049206C" w:rsidRPr="00A90CCE">
        <w:rPr>
          <w:color w:val="000000" w:themeColor="text1"/>
          <w:lang w:eastAsia="en-GB"/>
        </w:rPr>
        <w:t>promoting</w:t>
      </w:r>
      <w:r w:rsidRPr="00A90CCE">
        <w:rPr>
          <w:color w:val="000000" w:themeColor="text1"/>
          <w:lang w:eastAsia="en-GB"/>
        </w:rPr>
        <w:t xml:space="preserve"> formal models of politic</w:t>
      </w:r>
      <w:r w:rsidR="0096777D" w:rsidRPr="00A90CCE">
        <w:rPr>
          <w:color w:val="000000" w:themeColor="text1"/>
          <w:lang w:eastAsia="en-GB"/>
        </w:rPr>
        <w:t xml:space="preserve">al </w:t>
      </w:r>
      <w:r w:rsidRPr="00A90CCE">
        <w:rPr>
          <w:color w:val="000000" w:themeColor="text1"/>
          <w:lang w:eastAsia="en-GB"/>
        </w:rPr>
        <w:t>participation whilst limiting incentives for demonstrations and protest</w:t>
      </w:r>
      <w:r w:rsidR="00931491" w:rsidRPr="00A90CCE">
        <w:rPr>
          <w:color w:val="000000" w:themeColor="text1"/>
          <w:lang w:eastAsia="en-GB"/>
        </w:rPr>
        <w:t xml:space="preserve"> </w:t>
      </w:r>
      <w:r w:rsidR="00931491" w:rsidRPr="00A90CCE">
        <w:rPr>
          <w:color w:val="000000" w:themeColor="text1"/>
          <w:lang w:eastAsia="en-GB"/>
        </w:rPr>
        <w:fldChar w:fldCharType="begin"/>
      </w:r>
      <w:r w:rsidR="00E5732D" w:rsidRPr="00A90CCE">
        <w:rPr>
          <w:color w:val="000000" w:themeColor="text1"/>
          <w:lang w:eastAsia="en-GB"/>
        </w:rPr>
        <w:instrText xml:space="preserve"> ADDIN ZOTERO_ITEM CSL_CITATION {"citationID":"qefsbm4s","properties":{"formattedCitation":"(Glaeser, 2011)","plainCitation":"(Glaeser, 2011)","noteIndex":0},"citationItems":[{"id":774,"uris":["http://zotero.org/users/11001446/items/NB9GDCAY"],"itemData":{"id":774,"type":"book","ISBN":"0-230-75892-4","publisher":"Pan Macmillan","title":"Triumph of the city: How urban spaces make us human","author":[{"family":"Glaeser","given":"Edward"}],"issued":{"date-parts":[["2011"]]}}}],"schema":"https://github.com/citation-style-language/schema/raw/master/csl-citation.json"} </w:instrText>
      </w:r>
      <w:r w:rsidR="00931491" w:rsidRPr="00A90CCE">
        <w:rPr>
          <w:color w:val="000000" w:themeColor="text1"/>
          <w:lang w:eastAsia="en-GB"/>
        </w:rPr>
        <w:fldChar w:fldCharType="separate"/>
      </w:r>
      <w:r w:rsidR="00E5732D" w:rsidRPr="00A90CCE">
        <w:t>(Glaeser, 2011)</w:t>
      </w:r>
      <w:r w:rsidR="00931491" w:rsidRPr="00A90CCE">
        <w:rPr>
          <w:color w:val="000000" w:themeColor="text1"/>
          <w:lang w:eastAsia="en-GB"/>
        </w:rPr>
        <w:fldChar w:fldCharType="end"/>
      </w:r>
      <w:r w:rsidR="00931491" w:rsidRPr="00A90CCE">
        <w:rPr>
          <w:color w:val="000000" w:themeColor="text1"/>
          <w:lang w:eastAsia="en-GB"/>
        </w:rPr>
        <w:t>.</w:t>
      </w:r>
      <w:r w:rsidR="001C2DBD" w:rsidRPr="00A90CCE">
        <w:rPr>
          <w:color w:val="000000" w:themeColor="text1"/>
          <w:lang w:eastAsia="en-GB"/>
        </w:rPr>
        <w:t xml:space="preserve"> </w:t>
      </w:r>
      <w:r w:rsidRPr="00A90CCE">
        <w:rPr>
          <w:color w:val="000000" w:themeColor="text1"/>
          <w:lang w:eastAsia="en-GB"/>
        </w:rPr>
        <w:t xml:space="preserve">However, density may also present distinct challenges including </w:t>
      </w:r>
      <w:r w:rsidR="0049206C" w:rsidRPr="00A90CCE">
        <w:rPr>
          <w:color w:val="000000" w:themeColor="text1"/>
          <w:lang w:eastAsia="en-GB"/>
        </w:rPr>
        <w:t xml:space="preserve">disease </w:t>
      </w:r>
      <w:r w:rsidR="00F21D95" w:rsidRPr="00A90CCE">
        <w:rPr>
          <w:color w:val="000000" w:themeColor="text1"/>
          <w:lang w:eastAsia="en-GB"/>
        </w:rPr>
        <w:t>burden</w:t>
      </w:r>
      <w:r w:rsidR="0049206C" w:rsidRPr="00A90CCE">
        <w:rPr>
          <w:color w:val="000000" w:themeColor="text1"/>
          <w:lang w:eastAsia="en-GB"/>
        </w:rPr>
        <w:t>, crime, congestion pressure on urban resources that represent acute governance issues and stimulate dissatisfaction leading to suppressed formal participation and increased protests (</w:t>
      </w:r>
      <w:r w:rsidR="008C2FB3" w:rsidRPr="00A90CCE">
        <w:rPr>
          <w:color w:val="000000" w:themeColor="text1"/>
          <w:lang w:eastAsia="en-GB"/>
        </w:rPr>
        <w:t>ibid</w:t>
      </w:r>
      <w:r w:rsidR="0049206C" w:rsidRPr="00A90CCE">
        <w:rPr>
          <w:color w:val="000000" w:themeColor="text1"/>
          <w:lang w:eastAsia="en-GB"/>
        </w:rPr>
        <w:t xml:space="preserve">). </w:t>
      </w:r>
    </w:p>
    <w:p w14:paraId="2CCFE9ED" w14:textId="05CE30C2" w:rsidR="003D2DE6" w:rsidRPr="00A90CCE" w:rsidRDefault="003D2DE6" w:rsidP="004858DB">
      <w:pPr>
        <w:spacing w:after="120" w:line="480" w:lineRule="auto"/>
        <w:jc w:val="both"/>
        <w:rPr>
          <w:color w:val="000000" w:themeColor="text1"/>
          <w:lang w:eastAsia="en-GB"/>
        </w:rPr>
      </w:pPr>
      <w:r w:rsidRPr="00A90CCE">
        <w:rPr>
          <w:color w:val="000000" w:themeColor="text1"/>
          <w:lang w:eastAsia="en-GB"/>
        </w:rPr>
        <w:tab/>
      </w:r>
      <w:r w:rsidR="00F21D95" w:rsidRPr="00A90CCE">
        <w:rPr>
          <w:color w:val="000000" w:themeColor="text1"/>
          <w:lang w:eastAsia="en-GB"/>
        </w:rPr>
        <w:t>The</w:t>
      </w:r>
      <w:r w:rsidR="002F057B" w:rsidRPr="00A90CCE">
        <w:rPr>
          <w:color w:val="000000" w:themeColor="text1"/>
          <w:lang w:eastAsia="en-GB"/>
        </w:rPr>
        <w:t xml:space="preserve"> local economic context </w:t>
      </w:r>
      <w:r w:rsidR="00663484" w:rsidRPr="00A90CCE">
        <w:rPr>
          <w:color w:val="000000" w:themeColor="text1"/>
          <w:lang w:eastAsia="en-GB"/>
        </w:rPr>
        <w:t>may</w:t>
      </w:r>
      <w:r w:rsidR="002F057B" w:rsidRPr="00A90CCE">
        <w:rPr>
          <w:color w:val="000000" w:themeColor="text1"/>
          <w:lang w:eastAsia="en-GB"/>
        </w:rPr>
        <w:t xml:space="preserve"> </w:t>
      </w:r>
      <w:r w:rsidR="00663484" w:rsidRPr="00A90CCE">
        <w:rPr>
          <w:color w:val="000000" w:themeColor="text1"/>
          <w:lang w:eastAsia="en-GB"/>
        </w:rPr>
        <w:t xml:space="preserve">also </w:t>
      </w:r>
      <w:r w:rsidR="002F057B" w:rsidRPr="00A90CCE">
        <w:rPr>
          <w:color w:val="000000" w:themeColor="text1"/>
          <w:lang w:eastAsia="en-GB"/>
        </w:rPr>
        <w:t xml:space="preserve">affect both political participation and the demographic structure of a city. More prosperous cities should see more formal participation and less informal participation because </w:t>
      </w:r>
      <w:r w:rsidR="00694FF1" w:rsidRPr="00A90CCE">
        <w:rPr>
          <w:color w:val="000000" w:themeColor="text1"/>
          <w:lang w:eastAsia="en-GB"/>
        </w:rPr>
        <w:t xml:space="preserve">wealthier </w:t>
      </w:r>
      <w:r w:rsidR="002F057B" w:rsidRPr="00A90CCE">
        <w:rPr>
          <w:color w:val="000000" w:themeColor="text1"/>
          <w:lang w:eastAsia="en-GB"/>
        </w:rPr>
        <w:t>urban residents</w:t>
      </w:r>
      <w:r w:rsidR="00694FF1" w:rsidRPr="00A90CCE">
        <w:rPr>
          <w:color w:val="000000" w:themeColor="text1"/>
          <w:lang w:eastAsia="en-GB"/>
        </w:rPr>
        <w:t xml:space="preserve">, </w:t>
      </w:r>
      <w:r w:rsidR="00663484" w:rsidRPr="00A90CCE">
        <w:rPr>
          <w:color w:val="000000" w:themeColor="text1"/>
          <w:lang w:eastAsia="en-GB"/>
        </w:rPr>
        <w:t>all else equal</w:t>
      </w:r>
      <w:r w:rsidR="00694FF1" w:rsidRPr="00A90CCE">
        <w:rPr>
          <w:color w:val="000000" w:themeColor="text1"/>
          <w:lang w:eastAsia="en-GB"/>
        </w:rPr>
        <w:t>,</w:t>
      </w:r>
      <w:r w:rsidR="002F057B" w:rsidRPr="00A90CCE">
        <w:rPr>
          <w:color w:val="000000" w:themeColor="text1"/>
          <w:lang w:eastAsia="en-GB"/>
        </w:rPr>
        <w:t xml:space="preserve"> </w:t>
      </w:r>
      <w:r w:rsidR="00F21D95" w:rsidRPr="00A90CCE">
        <w:rPr>
          <w:color w:val="000000" w:themeColor="text1"/>
          <w:lang w:eastAsia="en-GB"/>
        </w:rPr>
        <w:t>should</w:t>
      </w:r>
      <w:r w:rsidR="002F057B" w:rsidRPr="00A90CCE">
        <w:rPr>
          <w:color w:val="000000" w:themeColor="text1"/>
          <w:lang w:eastAsia="en-GB"/>
        </w:rPr>
        <w:t xml:space="preserve"> have a greater stak</w:t>
      </w:r>
      <w:r w:rsidR="001C2DBD" w:rsidRPr="00A90CCE">
        <w:rPr>
          <w:color w:val="000000" w:themeColor="text1"/>
          <w:lang w:eastAsia="en-GB"/>
        </w:rPr>
        <w:t>e</w:t>
      </w:r>
      <w:r w:rsidR="002F057B" w:rsidRPr="00A90CCE">
        <w:rPr>
          <w:color w:val="000000" w:themeColor="text1"/>
          <w:lang w:eastAsia="en-GB"/>
        </w:rPr>
        <w:t xml:space="preserve"> in </w:t>
      </w:r>
      <w:r w:rsidR="001C2DBD" w:rsidRPr="00A90CCE">
        <w:rPr>
          <w:color w:val="000000" w:themeColor="text1"/>
          <w:lang w:eastAsia="en-GB"/>
        </w:rPr>
        <w:t xml:space="preserve">formal </w:t>
      </w:r>
      <w:r w:rsidR="002F057B" w:rsidRPr="00A90CCE">
        <w:rPr>
          <w:color w:val="000000" w:themeColor="text1"/>
          <w:lang w:eastAsia="en-GB"/>
        </w:rPr>
        <w:t xml:space="preserve">political </w:t>
      </w:r>
      <w:r w:rsidR="00447D47" w:rsidRPr="00A90CCE">
        <w:rPr>
          <w:color w:val="000000" w:themeColor="text1"/>
          <w:lang w:eastAsia="en-GB"/>
        </w:rPr>
        <w:t xml:space="preserve">processes </w:t>
      </w:r>
      <w:r w:rsidR="00F21D95" w:rsidRPr="00A90CCE">
        <w:rPr>
          <w:color w:val="000000" w:themeColor="text1"/>
          <w:lang w:eastAsia="en-GB"/>
        </w:rPr>
        <w:t xml:space="preserve">and be </w:t>
      </w:r>
      <w:r w:rsidR="002F057B" w:rsidRPr="00A90CCE">
        <w:rPr>
          <w:color w:val="000000" w:themeColor="text1"/>
          <w:lang w:eastAsia="en-GB"/>
        </w:rPr>
        <w:t xml:space="preserve">less dissatisfied with </w:t>
      </w:r>
      <w:r w:rsidR="001C2DBD" w:rsidRPr="00A90CCE">
        <w:rPr>
          <w:color w:val="000000" w:themeColor="text1"/>
          <w:lang w:eastAsia="en-GB"/>
        </w:rPr>
        <w:t xml:space="preserve">these </w:t>
      </w:r>
      <w:r w:rsidR="002F057B" w:rsidRPr="00A90CCE">
        <w:rPr>
          <w:color w:val="000000" w:themeColor="text1"/>
          <w:lang w:eastAsia="en-GB"/>
        </w:rPr>
        <w:t>processes. Higher economic output also implie</w:t>
      </w:r>
      <w:r w:rsidR="00490DE7" w:rsidRPr="00A90CCE">
        <w:rPr>
          <w:color w:val="000000" w:themeColor="text1"/>
          <w:lang w:eastAsia="en-GB"/>
        </w:rPr>
        <w:t>s</w:t>
      </w:r>
      <w:r w:rsidR="002F057B" w:rsidRPr="00A90CCE">
        <w:rPr>
          <w:color w:val="000000" w:themeColor="text1"/>
          <w:lang w:eastAsia="en-GB"/>
        </w:rPr>
        <w:t xml:space="preserve"> higher government revenues, resources that can be diverted into the provision of public goods and services. However, these cities may also have younger population structures given that young people are likely to migrate to prosperous areas in search of jobs. </w:t>
      </w:r>
    </w:p>
    <w:p w14:paraId="7548BB5F" w14:textId="62A6A489" w:rsidR="00433207" w:rsidRPr="00A90CCE" w:rsidRDefault="00433207" w:rsidP="004858DB">
      <w:pPr>
        <w:spacing w:after="120" w:line="480" w:lineRule="auto"/>
        <w:jc w:val="both"/>
        <w:rPr>
          <w:color w:val="000000" w:themeColor="text1"/>
          <w:lang w:eastAsia="en-GB"/>
        </w:rPr>
      </w:pPr>
      <w:r w:rsidRPr="00A90CCE">
        <w:rPr>
          <w:color w:val="000000" w:themeColor="text1"/>
          <w:lang w:eastAsia="en-GB"/>
        </w:rPr>
        <w:tab/>
        <w:t xml:space="preserve">Local economic output is often measured by Night-time lights data which has been shown to be a reliable proxy in certain applications </w:t>
      </w:r>
      <w:r w:rsidR="009A1C17"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{"citationID":"Rj6counS","properties":{"formattedCitation":"(Gibson et al., 2020, 2021; Weidmann &amp; Theunissen, 2021)","plainCitation":"(Gibson et al., 2020, 2021; Weidmann &amp; Theunissen, 2021)","noteIndex":0},"citationItems":[{"id":155,"uris":["http://zotero.org/users/11001446/items/GAWQHAQZ"],"itemData":{"id":155,"type":"article-journal","container-title":"Journal of Economic Surveys","ISSN":"0950-0804","issue":"5","journalAbbreviation":"Journal of Economic Surveys","note":"publisher: Wiley Online Library","page":"955-980","title":"Night lights in economics: Sources and uses 1","volume":"34","author":[{"family":"Gibson","given":"John"},{"family":"Olivia","given":"Susan"},{"family":"Boe‐Gibson","given":"Geua"}],"issued":{"date-parts":[["2020"]]}}},{"id":158,"uris":["http://zotero.org/users/11001446/items/2RTFGR44"],"itemData":{"id":158,"type":"article-journal","container-title":"Journal of Development Economics","ISSN":"0304-3878","journalAbbreviation":"Journal of Development Economics","note":"publisher: Elsevier","page":"102602","title":"Which night lights data should we use in economics, and where?","volume":"149","author":[{"family":"Gibson","given":"John"},{"family":"Olivia","given":"Susan"},{"family":"Boe-Gibson","given":"Geua"},{"family":"Li","given":"Chao"}],"issued":{"date-parts":[["2021"]]}}},{"id":156,"uris":["http://zotero.org/users/11001446/items/PKKUBIEA"],"itemData":{"id":156,"type":"article-journal","container-title":"Remote Sensing","ISSN":"2072-4292","issue":"22","journalAbbreviation":"Remote Sensing","note":"publisher: MDPI","page":"4624","title":"Estimating local inequality from nighttime lights","volume":"13","author":[{"family":"Weidmann","given":"Nils B"},{"family":"Theunissen","given":"Gerlinde"}],"issued":{"date-parts":[["2021"]]}}}],"schema":"https://github.com/citation-style-language/schema/raw/master/csl-citation.json"} </w:instrText>
      </w:r>
      <w:r w:rsidR="009A1C17" w:rsidRPr="00A90CCE">
        <w:rPr>
          <w:color w:val="000000" w:themeColor="text1"/>
          <w:lang w:eastAsia="en-GB"/>
        </w:rPr>
        <w:fldChar w:fldCharType="separate"/>
      </w:r>
      <w:r w:rsidR="009A1C17" w:rsidRPr="00A90CCE">
        <w:t>(Gibson et al., 2020, 2021; Weidmann &amp; Theunissen, 2021)</w:t>
      </w:r>
      <w:r w:rsidR="009A1C17" w:rsidRPr="00A90CCE">
        <w:rPr>
          <w:color w:val="000000" w:themeColor="text1"/>
          <w:lang w:eastAsia="en-GB"/>
        </w:rPr>
        <w:fldChar w:fldCharType="end"/>
      </w:r>
      <w:r w:rsidRPr="00A90CCE">
        <w:rPr>
          <w:color w:val="000000" w:themeColor="text1"/>
          <w:lang w:eastAsia="en-GB"/>
        </w:rPr>
        <w:t xml:space="preserve">. </w:t>
      </w:r>
      <w:r w:rsidR="004E55FE" w:rsidRPr="00A90CCE">
        <w:rPr>
          <w:color w:val="000000" w:themeColor="text1"/>
          <w:lang w:eastAsia="en-GB"/>
        </w:rPr>
        <w:t>We</w:t>
      </w:r>
      <w:r w:rsidRPr="00A90CCE">
        <w:rPr>
          <w:color w:val="000000" w:themeColor="text1"/>
          <w:lang w:eastAsia="en-GB"/>
        </w:rPr>
        <w:t xml:space="preserve"> </w:t>
      </w:r>
      <w:r w:rsidR="004E55FE" w:rsidRPr="00A90CCE">
        <w:rPr>
          <w:color w:val="000000" w:themeColor="text1"/>
          <w:lang w:eastAsia="en-GB"/>
        </w:rPr>
        <w:t xml:space="preserve">use a new, high-resolution dataset that estimates local real GDP from night-time emissions </w:t>
      </w:r>
      <w:r w:rsidR="00931491" w:rsidRPr="00A90CCE">
        <w:rPr>
          <w:color w:val="000000" w:themeColor="text1"/>
          <w:lang w:eastAsia="en-GB"/>
        </w:rPr>
        <w:fldChar w:fldCharType="begin"/>
      </w:r>
      <w:r w:rsidR="00C04FDD" w:rsidRPr="00A90CCE">
        <w:rPr>
          <w:color w:val="000000" w:themeColor="text1"/>
          <w:lang w:eastAsia="en-GB"/>
        </w:rPr>
        <w:instrText xml:space="preserve"> ADDIN ZOTERO_ITEM CSL_CITATION {"citationID":"Ga05NkmI","properties":{"formattedCitation":"(Chen et al., 2022)","plainCitation":"(Chen et al., 2022)","noteIndex":0},"citationItems":[{"id":773,"uris":["http://zotero.org/users/11001446/items/5QZB88Q6"],"itemData":{"id":773,"type":"article-journal","container-title":"Scientific Data","ISSN":"2052-4463","issue":"1","journalAbbreviation":"Scientific Data","note":"publisher: Nature Publishing Group UK London","page":"202","title":"Global 1 km× 1 km gridded revised real gross domestic product and electricity consumption during 1992–2019 based on calibrated nighttime light data","volume":"9","author":[{"family":"Chen","given":"Jiandong"},{"family":"Gao","given":"Ming"},{"family":"Cheng","given":"Shulei"},{"family":"Hou","given":"Wenxuan"},{"family":"Song","given":"Malin"},{"family":"Liu","given":"Xin"},{"family":"Liu","given":"Yu"}],"issued":{"date-parts":[["2022"]]}}}],"schema":"https://github.com/citation-style-language/schema/raw/master/csl-citation.json"} </w:instrText>
      </w:r>
      <w:r w:rsidR="00931491" w:rsidRPr="00A90CCE">
        <w:rPr>
          <w:color w:val="000000" w:themeColor="text1"/>
          <w:lang w:eastAsia="en-GB"/>
        </w:rPr>
        <w:fldChar w:fldCharType="separate"/>
      </w:r>
      <w:r w:rsidR="00931491" w:rsidRPr="00A90CCE">
        <w:t>(Chen et al., 2022)</w:t>
      </w:r>
      <w:r w:rsidR="00931491" w:rsidRPr="00A90CCE">
        <w:rPr>
          <w:color w:val="000000" w:themeColor="text1"/>
          <w:lang w:eastAsia="en-GB"/>
        </w:rPr>
        <w:fldChar w:fldCharType="end"/>
      </w:r>
      <w:r w:rsidR="004E55FE" w:rsidRPr="00A90CCE">
        <w:rPr>
          <w:color w:val="000000" w:themeColor="text1"/>
          <w:lang w:eastAsia="en-GB"/>
        </w:rPr>
        <w:t>. The dataset calibrates the DMSP/OLS and NPP/VIIRS night-time light series and re-calculated revised measures of local economic output for a global 1km</w:t>
      </w:r>
      <w:r w:rsidR="004E55FE" w:rsidRPr="00A90CCE">
        <w:rPr>
          <w:color w:val="000000" w:themeColor="text1"/>
          <w:vertAlign w:val="superscript"/>
          <w:lang w:eastAsia="en-GB"/>
        </w:rPr>
        <w:t xml:space="preserve">2 </w:t>
      </w:r>
      <w:r w:rsidR="004E55FE" w:rsidRPr="00A90CCE">
        <w:rPr>
          <w:color w:val="000000" w:themeColor="text1"/>
          <w:lang w:eastAsia="en-GB"/>
        </w:rPr>
        <w:t xml:space="preserve">grid between 1992-2019. Since our study period extends beyond the end of the local GDP </w:t>
      </w:r>
      <w:r w:rsidR="00FD4A18" w:rsidRPr="00A90CCE">
        <w:rPr>
          <w:color w:val="000000" w:themeColor="text1"/>
          <w:lang w:eastAsia="en-GB"/>
        </w:rPr>
        <w:t>series,</w:t>
      </w:r>
      <w:r w:rsidR="004E55FE" w:rsidRPr="00A90CCE">
        <w:rPr>
          <w:color w:val="000000" w:themeColor="text1"/>
          <w:lang w:eastAsia="en-GB"/>
        </w:rPr>
        <w:t xml:space="preserve"> we use linear interpolation to fill the missing data from 2020-2022. We also log transform this variable to account for the left-skewed distribution. </w:t>
      </w:r>
    </w:p>
    <w:p w14:paraId="5C990A27" w14:textId="270BC521" w:rsidR="00F64B90" w:rsidRPr="00A90CCE" w:rsidRDefault="00F64B90" w:rsidP="004858DB">
      <w:pPr>
        <w:spacing w:after="120" w:line="480" w:lineRule="auto"/>
        <w:ind w:firstLine="720"/>
        <w:jc w:val="both"/>
        <w:rPr>
          <w:color w:val="000000" w:themeColor="text1"/>
          <w:lang w:eastAsia="en-GB"/>
        </w:rPr>
      </w:pPr>
      <w:r w:rsidRPr="00A90CCE">
        <w:rPr>
          <w:color w:val="000000" w:themeColor="text1"/>
          <w:lang w:eastAsia="en-GB"/>
        </w:rPr>
        <w:lastRenderedPageBreak/>
        <w:t>At the individual level, we also control for a respondent’s education, employment status, and experience</w:t>
      </w:r>
      <w:r w:rsidR="00694FF1" w:rsidRPr="00A90CCE">
        <w:rPr>
          <w:color w:val="000000" w:themeColor="text1"/>
          <w:lang w:eastAsia="en-GB"/>
        </w:rPr>
        <w:t>d</w:t>
      </w:r>
      <w:r w:rsidRPr="00A90CCE">
        <w:rPr>
          <w:color w:val="000000" w:themeColor="text1"/>
          <w:lang w:eastAsia="en-GB"/>
        </w:rPr>
        <w:t xml:space="preserve"> poverty</w:t>
      </w:r>
      <w:r w:rsidR="007246DA" w:rsidRPr="00A90CCE">
        <w:rPr>
          <w:color w:val="000000" w:themeColor="text1"/>
          <w:lang w:eastAsia="en-GB"/>
        </w:rPr>
        <w:t xml:space="preserve"> taken from Afrobarometer.</w:t>
      </w:r>
      <w:r w:rsidRPr="00A90CCE">
        <w:rPr>
          <w:color w:val="000000" w:themeColor="text1"/>
          <w:lang w:eastAsia="en-GB"/>
        </w:rPr>
        <w:t xml:space="preserve"> </w:t>
      </w:r>
      <w:r w:rsidR="000846E7">
        <w:rPr>
          <w:color w:val="000000" w:themeColor="text1"/>
          <w:lang w:eastAsia="en-GB"/>
        </w:rPr>
        <w:t xml:space="preserve">The education variable accounts for an individual’s level of education ranging from 0, ‘no formal schooling, 9, indicating that an individual holds </w:t>
      </w:r>
      <w:r w:rsidR="00DC0F57" w:rsidRPr="00A90CCE">
        <w:rPr>
          <w:color w:val="000000" w:themeColor="text1"/>
          <w:lang w:eastAsia="en-GB"/>
        </w:rPr>
        <w:t xml:space="preserve">a post-graduate qualification). Employment status is a binary variable indicating whether an individual has a job yielding a cash income (0 is no and 1 is yes). </w:t>
      </w:r>
      <w:r w:rsidRPr="00A90CCE">
        <w:rPr>
          <w:color w:val="000000" w:themeColor="text1"/>
          <w:lang w:eastAsia="en-GB"/>
        </w:rPr>
        <w:t>Experienced poverty is a composite index measuring the extent to which an individual reported goings without one of the following essentials in the month prior to the interview: food, water, medicine, cooking fuel, and a cash income.</w:t>
      </w:r>
      <w:r w:rsidRPr="00A90CCE">
        <w:rPr>
          <w:rStyle w:val="FootnoteReference"/>
        </w:rPr>
        <w:footnoteReference w:id="3"/>
      </w:r>
    </w:p>
    <w:p w14:paraId="14510994" w14:textId="77777777" w:rsidR="009D4D90" w:rsidRPr="00A90CCE" w:rsidRDefault="009D4D90" w:rsidP="004858DB">
      <w:pPr>
        <w:spacing w:after="120" w:line="480" w:lineRule="auto"/>
        <w:ind w:firstLine="720"/>
        <w:jc w:val="both"/>
        <w:rPr>
          <w:color w:val="000000" w:themeColor="text1"/>
          <w:lang w:eastAsia="en-GB"/>
        </w:rPr>
      </w:pPr>
    </w:p>
    <w:p w14:paraId="1D3A5346" w14:textId="668CCC4D" w:rsidR="00F11CC4" w:rsidRPr="00A90CCE" w:rsidRDefault="00B77E1F" w:rsidP="004858DB">
      <w:pPr>
        <w:spacing w:after="120" w:line="480" w:lineRule="auto"/>
        <w:jc w:val="both"/>
        <w:rPr>
          <w:i/>
          <w:iCs/>
          <w:color w:val="000000" w:themeColor="text1"/>
          <w:lang w:eastAsia="en-GB"/>
        </w:rPr>
      </w:pPr>
      <w:r w:rsidRPr="00A90CCE">
        <w:rPr>
          <w:b/>
          <w:bCs/>
          <w:i/>
          <w:iCs/>
          <w:color w:val="000000" w:themeColor="text1"/>
          <w:lang w:eastAsia="en-GB"/>
        </w:rPr>
        <w:t>3</w:t>
      </w:r>
      <w:r w:rsidR="00F11CC4" w:rsidRPr="00A90CCE">
        <w:rPr>
          <w:b/>
          <w:bCs/>
          <w:i/>
          <w:iCs/>
          <w:color w:val="000000" w:themeColor="text1"/>
          <w:lang w:eastAsia="en-GB"/>
        </w:rPr>
        <w:t>.</w:t>
      </w:r>
      <w:r w:rsidR="00F21D95" w:rsidRPr="00A90CCE">
        <w:rPr>
          <w:b/>
          <w:bCs/>
          <w:i/>
          <w:iCs/>
          <w:color w:val="000000" w:themeColor="text1"/>
          <w:lang w:eastAsia="en-GB"/>
        </w:rPr>
        <w:t>5</w:t>
      </w:r>
      <w:r w:rsidR="00F11CC4" w:rsidRPr="00A90CCE">
        <w:rPr>
          <w:b/>
          <w:bCs/>
          <w:i/>
          <w:iCs/>
          <w:color w:val="000000" w:themeColor="text1"/>
          <w:lang w:eastAsia="en-GB"/>
        </w:rPr>
        <w:t xml:space="preserve"> </w:t>
      </w:r>
      <w:r w:rsidR="0020643E" w:rsidRPr="00A90CCE">
        <w:rPr>
          <w:b/>
          <w:bCs/>
          <w:i/>
          <w:iCs/>
          <w:color w:val="000000" w:themeColor="text1"/>
          <w:lang w:eastAsia="en-GB"/>
        </w:rPr>
        <w:t xml:space="preserve">Sample </w:t>
      </w:r>
      <w:r w:rsidR="00F11CC4" w:rsidRPr="00A90CCE">
        <w:rPr>
          <w:b/>
          <w:bCs/>
          <w:i/>
          <w:iCs/>
          <w:color w:val="000000" w:themeColor="text1"/>
          <w:lang w:eastAsia="en-GB"/>
        </w:rPr>
        <w:t xml:space="preserve">and Model </w:t>
      </w:r>
      <w:r w:rsidRPr="00A90CCE">
        <w:rPr>
          <w:b/>
          <w:bCs/>
          <w:i/>
          <w:iCs/>
          <w:color w:val="000000" w:themeColor="text1"/>
          <w:lang w:eastAsia="en-GB"/>
        </w:rPr>
        <w:t>E</w:t>
      </w:r>
      <w:r w:rsidR="00F11CC4" w:rsidRPr="00A90CCE">
        <w:rPr>
          <w:b/>
          <w:bCs/>
          <w:i/>
          <w:iCs/>
          <w:color w:val="000000" w:themeColor="text1"/>
          <w:lang w:eastAsia="en-GB"/>
        </w:rPr>
        <w:t>stimation</w:t>
      </w:r>
    </w:p>
    <w:p w14:paraId="79591021" w14:textId="434C8115" w:rsidR="00DC5844" w:rsidRPr="00A90CCE" w:rsidRDefault="001471C7" w:rsidP="00DC5844">
      <w:pPr>
        <w:spacing w:after="120" w:line="480" w:lineRule="auto"/>
        <w:jc w:val="both"/>
        <w:rPr>
          <w:color w:val="000000" w:themeColor="text1"/>
          <w:lang w:eastAsia="en-GB"/>
        </w:rPr>
      </w:pPr>
      <w:r w:rsidRPr="00A90CCE">
        <w:rPr>
          <w:color w:val="000000" w:themeColor="text1"/>
          <w:lang w:eastAsia="en-GB"/>
        </w:rPr>
        <w:t xml:space="preserve">Our sample includes </w:t>
      </w:r>
      <w:r w:rsidR="00DA1368" w:rsidRPr="00A90CCE">
        <w:rPr>
          <w:color w:val="000000" w:themeColor="text1"/>
          <w:lang w:eastAsia="en-GB"/>
        </w:rPr>
        <w:t xml:space="preserve">all </w:t>
      </w:r>
      <w:r w:rsidR="00DC5844" w:rsidRPr="00A90CCE">
        <w:rPr>
          <w:color w:val="000000" w:themeColor="text1"/>
          <w:lang w:eastAsia="en-GB"/>
        </w:rPr>
        <w:t xml:space="preserve">urban residents in cities with populations </w:t>
      </w:r>
      <w:r w:rsidR="00DA1368" w:rsidRPr="00A90CCE">
        <w:rPr>
          <w:color w:val="000000" w:themeColor="text1"/>
          <w:lang w:eastAsia="en-GB"/>
        </w:rPr>
        <w:t xml:space="preserve">greater </w:t>
      </w:r>
      <w:r w:rsidR="00DC5844" w:rsidRPr="00A90CCE">
        <w:rPr>
          <w:color w:val="000000" w:themeColor="text1"/>
          <w:lang w:eastAsia="en-GB"/>
        </w:rPr>
        <w:t xml:space="preserve">than 50,000 persons, </w:t>
      </w:r>
      <w:r w:rsidR="00DA1368" w:rsidRPr="00A90CCE">
        <w:rPr>
          <w:color w:val="000000" w:themeColor="text1"/>
          <w:lang w:eastAsia="en-GB"/>
        </w:rPr>
        <w:t xml:space="preserve">where there </w:t>
      </w:r>
      <w:r w:rsidR="00116782" w:rsidRPr="00A90CCE">
        <w:rPr>
          <w:color w:val="000000" w:themeColor="text1"/>
          <w:lang w:eastAsia="en-GB"/>
        </w:rPr>
        <w:t>is</w:t>
      </w:r>
      <w:r w:rsidR="00DA1368" w:rsidRPr="00A90CCE">
        <w:rPr>
          <w:color w:val="000000" w:themeColor="text1"/>
          <w:lang w:eastAsia="en-GB"/>
        </w:rPr>
        <w:t xml:space="preserve"> a minimum of </w:t>
      </w:r>
      <w:r w:rsidR="00DC5844" w:rsidRPr="00A90CCE">
        <w:rPr>
          <w:color w:val="000000" w:themeColor="text1"/>
          <w:lang w:eastAsia="en-GB"/>
        </w:rPr>
        <w:t>three respondents per city</w:t>
      </w:r>
      <w:r w:rsidR="00DA1368" w:rsidRPr="00A90CCE">
        <w:rPr>
          <w:color w:val="000000" w:themeColor="text1"/>
          <w:lang w:eastAsia="en-GB"/>
        </w:rPr>
        <w:t xml:space="preserve">. This leaves us with </w:t>
      </w:r>
      <w:r w:rsidR="00DC5844" w:rsidRPr="00A90CCE">
        <w:rPr>
          <w:color w:val="000000" w:themeColor="text1"/>
          <w:lang w:eastAsia="en-GB"/>
        </w:rPr>
        <w:t>a final sample of 11,831 individuals nested within 354 cities, across 32 countries across Rounds</w:t>
      </w:r>
      <w:r w:rsidR="00E40D58" w:rsidRPr="00A90CCE">
        <w:rPr>
          <w:color w:val="000000" w:themeColor="text1"/>
          <w:lang w:eastAsia="en-GB"/>
        </w:rPr>
        <w:t xml:space="preserve"> 5,</w:t>
      </w:r>
      <w:r w:rsidR="00DC5844" w:rsidRPr="00A90CCE">
        <w:rPr>
          <w:color w:val="000000" w:themeColor="text1"/>
          <w:lang w:eastAsia="en-GB"/>
        </w:rPr>
        <w:t xml:space="preserve"> 6</w:t>
      </w:r>
      <w:r w:rsidR="00E40D58" w:rsidRPr="00A90CCE">
        <w:rPr>
          <w:color w:val="000000" w:themeColor="text1"/>
          <w:lang w:eastAsia="en-GB"/>
        </w:rPr>
        <w:t>,</w:t>
      </w:r>
      <w:r w:rsidR="00DC5844" w:rsidRPr="00A90CCE">
        <w:rPr>
          <w:color w:val="000000" w:themeColor="text1"/>
          <w:lang w:eastAsia="en-GB"/>
        </w:rPr>
        <w:t xml:space="preserve"> and 7 of Afrobarometer (201</w:t>
      </w:r>
      <w:r w:rsidR="00E40D58" w:rsidRPr="00A90CCE">
        <w:rPr>
          <w:color w:val="000000" w:themeColor="text1"/>
          <w:lang w:eastAsia="en-GB"/>
        </w:rPr>
        <w:t>1</w:t>
      </w:r>
      <w:r w:rsidR="00DC5844" w:rsidRPr="00A90CCE">
        <w:rPr>
          <w:color w:val="000000" w:themeColor="text1"/>
          <w:lang w:eastAsia="en-GB"/>
        </w:rPr>
        <w:t>-2020).</w:t>
      </w:r>
      <w:r w:rsidR="00DC5844" w:rsidRPr="00A90CCE">
        <w:rPr>
          <w:rStyle w:val="FootnoteReference"/>
        </w:rPr>
        <w:t xml:space="preserve"> </w:t>
      </w:r>
      <w:r w:rsidR="00DC5844" w:rsidRPr="00A90CCE">
        <w:rPr>
          <w:rStyle w:val="FootnoteReference"/>
        </w:rPr>
        <w:footnoteReference w:id="4"/>
      </w:r>
    </w:p>
    <w:p w14:paraId="1C0AA411" w14:textId="3683445E" w:rsidR="00DC5844" w:rsidRPr="00A90CCE" w:rsidRDefault="00DC5844" w:rsidP="00DC5844">
      <w:pPr>
        <w:spacing w:after="120" w:line="480" w:lineRule="auto"/>
        <w:ind w:firstLine="720"/>
        <w:jc w:val="both"/>
        <w:rPr>
          <w:color w:val="000000" w:themeColor="text1"/>
          <w:lang w:eastAsia="en-GB"/>
        </w:rPr>
      </w:pPr>
      <w:r w:rsidRPr="00A90CCE">
        <w:rPr>
          <w:color w:val="000000" w:themeColor="text1"/>
          <w:lang w:eastAsia="en-GB"/>
        </w:rPr>
        <w:t xml:space="preserve">Given that both our dependent variables are binary measures of political participation, we test our hypotheses using a series of Bayesian multilevel logistic regression models. The </w:t>
      </w:r>
      <w:r w:rsidRPr="00A90CCE">
        <w:rPr>
          <w:color w:val="000000" w:themeColor="text1"/>
          <w:lang w:eastAsia="en-GB"/>
        </w:rPr>
        <w:lastRenderedPageBreak/>
        <w:t xml:space="preserve">data have a strict nesting structure – individuals within cities and cities within countries – making multilevel </w:t>
      </w:r>
      <w:r w:rsidR="007A56DB" w:rsidRPr="00A90CCE">
        <w:rPr>
          <w:color w:val="000000" w:themeColor="text1"/>
          <w:lang w:eastAsia="en-GB"/>
        </w:rPr>
        <w:t xml:space="preserve">models </w:t>
      </w:r>
      <w:r w:rsidRPr="00A90CCE">
        <w:rPr>
          <w:color w:val="000000" w:themeColor="text1"/>
          <w:lang w:eastAsia="en-GB"/>
        </w:rPr>
        <w:t>the most appropriate and statistically robust method, as they inherently account for the dependencies among observations within groups</w:t>
      </w:r>
      <w:r w:rsidR="00694FF1" w:rsidRPr="00A90CCE">
        <w:rPr>
          <w:color w:val="000000" w:themeColor="text1"/>
          <w:lang w:eastAsia="en-GB"/>
        </w:rPr>
        <w:t xml:space="preserve"> </w:t>
      </w:r>
      <w:r w:rsidR="00694FF1" w:rsidRPr="00A90CCE">
        <w:rPr>
          <w:color w:val="000000" w:themeColor="text1"/>
          <w:lang w:eastAsia="en-GB"/>
        </w:rPr>
        <w:fldChar w:fldCharType="begin"/>
      </w:r>
      <w:r w:rsidR="00DA1368" w:rsidRPr="00A90CCE">
        <w:rPr>
          <w:color w:val="000000" w:themeColor="text1"/>
          <w:lang w:eastAsia="en-GB"/>
        </w:rPr>
        <w:instrText xml:space="preserve"> ADDIN ZOTERO_ITEM CSL_CITATION {"citationID":"XPVSlkZu","properties":{"formattedCitation":"(Gelman &amp; Hill, 2007; Hox et al., 2017; McElreath, 2018)","plainCitation":"(Gelman &amp; Hill, 2007; Hox et al., 2017; McElreath, 2018)","noteIndex":0},"citationItems":[{"id":16110,"uris":["http://zotero.org/groups/5842211/items/9VAU5U8M"],"itemData":{"id":16110,"type":"book","ISBN":"0-521-68689-X","publisher":"Cambridge university press","title":"Data analysis using regression and multilevel/hierarchical models","author":[{"family":"Gelman","given":"Andrew"},{"family":"Hill","given":"Jennifer"}],"issued":{"date-parts":[["2007"]]}}},{"id":772,"uris":["http://zotero.org/users/11001446/items/685QEQPR"],"itemData":{"id":772,"type":"book","ISBN":"1-315-65098-3","publisher":"Routledge","title":"Multilevel analysis: Techniques and applications","author":[{"family":"Hox","given":"Joop"},{"family":"Moerbeek","given":"Mirjam"},{"family":"Van de Schoot","given":"Rens"}],"issued":{"date-parts":[["2017"]]}}},{"id":16112,"uris":["http://zotero.org/groups/5842211/items/936JDYFL"],"itemData":{"id":16112,"type":"book","ISBN":"1-315-37249-5","publisher":"Chapman and Hall/CRC","title":"Statistical rethinking: A Bayesian course with examples in R and Stan","author":[{"family":"McElreath","given":"Richard"}],"issued":{"date-parts":[["2018"]]}}}],"schema":"https://github.com/citation-style-language/schema/raw/master/csl-citation.json"} </w:instrText>
      </w:r>
      <w:r w:rsidR="00694FF1" w:rsidRPr="00A90CCE">
        <w:rPr>
          <w:color w:val="000000" w:themeColor="text1"/>
          <w:lang w:eastAsia="en-GB"/>
        </w:rPr>
        <w:fldChar w:fldCharType="separate"/>
      </w:r>
      <w:r w:rsidR="00DA1368" w:rsidRPr="00A90CCE">
        <w:t>(Gelman &amp; Hill, 2007; Hox et al., 2017; McElreath, 2018)</w:t>
      </w:r>
      <w:r w:rsidR="00694FF1" w:rsidRPr="00A90CCE">
        <w:rPr>
          <w:color w:val="000000" w:themeColor="text1"/>
          <w:lang w:eastAsia="en-GB"/>
        </w:rPr>
        <w:fldChar w:fldCharType="end"/>
      </w:r>
      <w:r w:rsidR="00DA1368" w:rsidRPr="00A90CCE">
        <w:rPr>
          <w:color w:val="000000" w:themeColor="text1"/>
          <w:lang w:eastAsia="en-GB"/>
        </w:rPr>
        <w:t>.</w:t>
      </w:r>
      <w:r w:rsidRPr="00A90CCE">
        <w:rPr>
          <w:color w:val="000000" w:themeColor="text1"/>
          <w:lang w:eastAsia="en-GB"/>
        </w:rPr>
        <w:t xml:space="preserve"> </w:t>
      </w:r>
    </w:p>
    <w:p w14:paraId="2C2CC7D8" w14:textId="37E080A7" w:rsidR="00DC5844" w:rsidRPr="00A90CCE" w:rsidRDefault="00DC5844" w:rsidP="00DC5844">
      <w:pPr>
        <w:spacing w:after="120" w:line="480" w:lineRule="auto"/>
        <w:ind w:firstLine="720"/>
        <w:jc w:val="both"/>
        <w:rPr>
          <w:color w:val="000000" w:themeColor="text1"/>
          <w:lang w:eastAsia="en-GB"/>
        </w:rPr>
      </w:pPr>
      <w:r w:rsidRPr="00A90CCE">
        <w:rPr>
          <w:color w:val="000000" w:themeColor="text1"/>
          <w:lang w:eastAsia="en-GB"/>
        </w:rPr>
        <w:t xml:space="preserve">We specify a random intercept for both cities and countries. This design captures the hierarchical nature of the data, allowing us to estimate the average effect of predictors at both the individual- and city-level while acknowledging city- and country-specific heterogeneity in the baseline level of political participation </w:t>
      </w:r>
      <w:r w:rsidR="002177DF" w:rsidRPr="00A90CCE">
        <w:rPr>
          <w:color w:val="000000" w:themeColor="text1"/>
          <w:lang w:eastAsia="en-GB"/>
        </w:rPr>
        <w:fldChar w:fldCharType="begin"/>
      </w:r>
      <w:r w:rsidR="002177DF" w:rsidRPr="00A90CCE">
        <w:rPr>
          <w:color w:val="000000" w:themeColor="text1"/>
          <w:lang w:eastAsia="en-GB"/>
        </w:rPr>
        <w:instrText xml:space="preserve"> ADDIN ZOTERO_ITEM CSL_CITATION {"citationID":"rmaeqtAV","properties":{"formattedCitation":"(Hox et al., 2017)","plainCitation":"(Hox et al., 2017)","noteIndex":0},"citationItems":[{"id":772,"uris":["http://zotero.org/users/11001446/items/685QEQPR"],"itemData":{"id":772,"type":"book","ISBN":"1-315-65098-3","publisher":"Routledge","title":"Multilevel analysis: Techniques and applications","author":[{"family":"Hox","given":"Joop"},{"family":"Moerbeek","given":"Mirjam"},{"family":"Van de Schoot","given":"Rens"}],"issued":{"date-parts":[["2017"]]}}}],"schema":"https://github.com/citation-style-language/schema/raw/master/csl-citation.json"} </w:instrText>
      </w:r>
      <w:r w:rsidR="002177DF" w:rsidRPr="00A90CCE">
        <w:rPr>
          <w:color w:val="000000" w:themeColor="text1"/>
          <w:lang w:eastAsia="en-GB"/>
        </w:rPr>
        <w:fldChar w:fldCharType="separate"/>
      </w:r>
      <w:r w:rsidR="002177DF" w:rsidRPr="00A90CCE">
        <w:t>(Hox et al., 2017)</w:t>
      </w:r>
      <w:r w:rsidR="002177DF" w:rsidRPr="00A90CCE">
        <w:rPr>
          <w:color w:val="000000" w:themeColor="text1"/>
          <w:lang w:eastAsia="en-GB"/>
        </w:rPr>
        <w:fldChar w:fldCharType="end"/>
      </w:r>
      <w:r w:rsidRPr="00A90CCE">
        <w:rPr>
          <w:color w:val="000000" w:themeColor="text1"/>
          <w:lang w:eastAsia="en-GB"/>
        </w:rPr>
        <w:t>. The inclusion of random intercepts best reflects our prior knowledge of the data generating process, while explicitly accounting for unobserved heterogeneity at both the city and country levels, which would otherwise lead to biased uncertainty estimates.</w:t>
      </w:r>
      <w:r w:rsidR="00663484" w:rsidRPr="00A90CCE">
        <w:rPr>
          <w:color w:val="000000" w:themeColor="text1"/>
          <w:lang w:eastAsia="en-GB"/>
        </w:rPr>
        <w:t xml:space="preserve"> </w:t>
      </w:r>
      <w:r w:rsidRPr="00A90CCE">
        <w:rPr>
          <w:color w:val="000000" w:themeColor="text1"/>
          <w:lang w:eastAsia="en-GB"/>
        </w:rPr>
        <w:t>The choice of random intercepts is also essential for facilitating the estimation of cross-level effects and</w:t>
      </w:r>
      <w:r w:rsidR="00663484" w:rsidRPr="00A90CCE">
        <w:rPr>
          <w:color w:val="000000" w:themeColor="text1"/>
          <w:lang w:eastAsia="en-GB"/>
        </w:rPr>
        <w:t xml:space="preserve"> </w:t>
      </w:r>
      <w:r w:rsidRPr="00A90CCE">
        <w:rPr>
          <w:color w:val="000000" w:themeColor="text1"/>
          <w:lang w:eastAsia="en-GB"/>
        </w:rPr>
        <w:t xml:space="preserve">interactions, which are central to our hypotheses regarding how city youth shares influence the political participation of individuals and of individuals within distinct age groups differently. Multilevel models are specifically designed to analyse the effects of higher-level variables on individual outcomes, inherently addressing within-group (city and country) correlations by modelling variance at each level. </w:t>
      </w:r>
    </w:p>
    <w:p w14:paraId="4CFB61AA" w14:textId="4B4279AC" w:rsidR="00DC5844" w:rsidRPr="00A90CCE" w:rsidRDefault="00DC5844" w:rsidP="00DC5844">
      <w:pPr>
        <w:spacing w:after="120" w:line="480" w:lineRule="auto"/>
        <w:ind w:firstLine="720"/>
        <w:jc w:val="both"/>
        <w:rPr>
          <w:color w:val="000000" w:themeColor="text1"/>
          <w:lang w:eastAsia="en-GB"/>
        </w:rPr>
      </w:pPr>
      <w:r w:rsidRPr="00A90CCE">
        <w:rPr>
          <w:color w:val="000000" w:themeColor="text1"/>
          <w:lang w:eastAsia="en-GB"/>
        </w:rPr>
        <w:t>Furthermore, the multilevel structure, particularly the city-level random intercepts, helps to absorb unobserved, time-invariant city characteristics that might be correlated with both youth shares and political participation. This implicitly accounts for some of these confounding factors that remain constant over the relatively short observation period. Similarly, country-level random intercepts account for unobserved national factors such as shared language, history, culture, and institutional conditions, as well as possible cross-national differences in political behaviour during the survey enumeration period (e.g., the impact of ongoing elections in certain countries). This allows the models to implicitly account for this heterogeneity.</w:t>
      </w:r>
    </w:p>
    <w:p w14:paraId="4C20B581" w14:textId="24A571A8" w:rsidR="002177DF" w:rsidRPr="00A90CCE" w:rsidRDefault="00DC5844" w:rsidP="00D41FA9">
      <w:pPr>
        <w:spacing w:after="120" w:line="480" w:lineRule="auto"/>
        <w:ind w:firstLine="720"/>
        <w:jc w:val="both"/>
        <w:rPr>
          <w:color w:val="000000" w:themeColor="text1"/>
          <w:lang w:eastAsia="en-GB"/>
        </w:rPr>
      </w:pPr>
      <w:r w:rsidRPr="00A90CCE">
        <w:rPr>
          <w:color w:val="000000" w:themeColor="text1"/>
          <w:lang w:eastAsia="en-GB"/>
        </w:rPr>
        <w:lastRenderedPageBreak/>
        <w:t xml:space="preserve">Our models thus allow the relationship between each independent variable and the outcome to vary systematically across individuals within cities and cities within countries. This is crucial because the functional relationship between local demographic context and political outcomes may vary depending upon national and subnational contextual factors. The model has the form: </w:t>
      </w:r>
    </w:p>
    <w:p w14:paraId="65BBAB02" w14:textId="7A05FAFE" w:rsidR="00D41FA9" w:rsidRPr="00A90CCE" w:rsidRDefault="00DC5844" w:rsidP="00D41FA9">
      <w:pPr>
        <w:spacing w:after="120" w:line="480" w:lineRule="auto"/>
        <w:ind w:firstLine="720"/>
        <w:jc w:val="both"/>
        <w:rPr>
          <w:color w:val="000000" w:themeColor="text1"/>
          <w:lang w:eastAsia="en-GB"/>
        </w:rPr>
      </w:pPr>
      <m:oMath>
        <m:r>
          <w:rPr>
            <w:rFonts w:ascii="Cambria Math" w:hAnsi="Cambria Math"/>
            <w:color w:val="000000" w:themeColor="text1"/>
            <w:lang w:eastAsia="en-GB"/>
          </w:rPr>
          <m:t>logit</m:t>
        </m:r>
        <m:d>
          <m:dPr>
            <m:ctrlPr>
              <w:rPr>
                <w:rFonts w:ascii="Cambria Math" w:hAnsi="Cambria Math"/>
                <w:i/>
                <w:color w:val="000000" w:themeColor="text1"/>
                <w:lang w:eastAsia="en-GB"/>
              </w:rPr>
            </m:ctrlPr>
          </m:dPr>
          <m:e>
            <m:sSub>
              <m:sSubPr>
                <m:ctrlPr>
                  <w:rPr>
                    <w:rFonts w:ascii="Cambria Math" w:hAnsi="Cambria Math"/>
                    <w:i/>
                    <w:color w:val="000000" w:themeColor="text1"/>
                    <w:lang w:eastAsia="en-GB"/>
                  </w:rPr>
                </m:ctrlPr>
              </m:sSubPr>
              <m:e>
                <m:r>
                  <w:rPr>
                    <w:rFonts w:ascii="Cambria Math" w:hAnsi="Cambria Math"/>
                    <w:color w:val="000000" w:themeColor="text1"/>
                    <w:lang w:eastAsia="en-GB"/>
                  </w:rPr>
                  <m:t>p</m:t>
                </m:r>
              </m:e>
              <m:sub>
                <m:r>
                  <w:rPr>
                    <w:rFonts w:ascii="Cambria Math" w:hAnsi="Cambria Math"/>
                    <w:color w:val="000000" w:themeColor="text1"/>
                    <w:lang w:eastAsia="en-GB"/>
                  </w:rPr>
                  <m:t>ijk</m:t>
                </m:r>
              </m:sub>
            </m:sSub>
          </m:e>
        </m:d>
        <m:r>
          <w:rPr>
            <w:rFonts w:ascii="Cambria Math" w:hAnsi="Cambria Math"/>
            <w:color w:val="000000" w:themeColor="text1"/>
            <w:lang w:eastAsia="en-GB"/>
          </w:rPr>
          <m:t xml:space="preserve">= </m:t>
        </m:r>
        <m:sSub>
          <m:sSubPr>
            <m:ctrlPr>
              <w:rPr>
                <w:rFonts w:ascii="Cambria Math" w:hAnsi="Cambria Math"/>
                <w:i/>
                <w:color w:val="000000" w:themeColor="text1"/>
                <w:lang w:eastAsia="en-GB"/>
              </w:rPr>
            </m:ctrlPr>
          </m:sSubPr>
          <m:e>
            <m:r>
              <w:rPr>
                <w:rFonts w:ascii="Cambria Math" w:hAnsi="Cambria Math"/>
                <w:color w:val="000000" w:themeColor="text1"/>
                <w:lang w:eastAsia="en-GB"/>
              </w:rPr>
              <m:t>β</m:t>
            </m:r>
          </m:e>
          <m:sub>
            <m:r>
              <w:rPr>
                <w:rFonts w:ascii="Cambria Math" w:hAnsi="Cambria Math"/>
                <w:color w:val="000000" w:themeColor="text1"/>
                <w:lang w:eastAsia="en-GB"/>
              </w:rPr>
              <m:t>0</m:t>
            </m:r>
          </m:sub>
        </m:sSub>
        <m:r>
          <w:rPr>
            <w:rFonts w:ascii="Cambria Math" w:hAnsi="Cambria Math"/>
            <w:color w:val="000000" w:themeColor="text1"/>
            <w:lang w:eastAsia="en-GB"/>
          </w:rPr>
          <m:t xml:space="preserve">+ </m:t>
        </m:r>
        <m:sSub>
          <m:sSubPr>
            <m:ctrlPr>
              <w:rPr>
                <w:rFonts w:ascii="Cambria Math" w:hAnsi="Cambria Math"/>
                <w:i/>
                <w:color w:val="000000" w:themeColor="text1"/>
                <w:lang w:eastAsia="en-GB"/>
              </w:rPr>
            </m:ctrlPr>
          </m:sSubPr>
          <m:e>
            <m:r>
              <w:rPr>
                <w:rFonts w:ascii="Cambria Math" w:hAnsi="Cambria Math"/>
                <w:color w:val="000000" w:themeColor="text1"/>
                <w:lang w:eastAsia="en-GB"/>
              </w:rPr>
              <m:t>β</m:t>
            </m:r>
          </m:e>
          <m:sub>
            <m:r>
              <w:rPr>
                <w:rFonts w:ascii="Cambria Math" w:hAnsi="Cambria Math"/>
                <w:color w:val="000000" w:themeColor="text1"/>
                <w:lang w:eastAsia="en-GB"/>
              </w:rPr>
              <m:t>1</m:t>
            </m:r>
          </m:sub>
        </m:sSub>
        <m:d>
          <m:dPr>
            <m:ctrlPr>
              <w:rPr>
                <w:rFonts w:ascii="Cambria Math" w:hAnsi="Cambria Math"/>
                <w:i/>
                <w:color w:val="000000" w:themeColor="text1"/>
                <w:lang w:eastAsia="en-GB"/>
              </w:rPr>
            </m:ctrlPr>
          </m:dPr>
          <m:e>
            <m:sSub>
              <m:sSubPr>
                <m:ctrlPr>
                  <w:rPr>
                    <w:rFonts w:ascii="Cambria Math" w:hAnsi="Cambria Math"/>
                    <w:i/>
                    <w:color w:val="000000" w:themeColor="text1"/>
                    <w:lang w:eastAsia="en-GB"/>
                  </w:rPr>
                </m:ctrlPr>
              </m:sSubPr>
              <m:e>
                <m:r>
                  <w:rPr>
                    <w:rFonts w:ascii="Cambria Math" w:hAnsi="Cambria Math"/>
                    <w:color w:val="000000" w:themeColor="text1"/>
                    <w:lang w:eastAsia="en-GB"/>
                  </w:rPr>
                  <m:t>Youth share</m:t>
                </m:r>
              </m:e>
              <m:sub>
                <m:r>
                  <w:rPr>
                    <w:rFonts w:ascii="Cambria Math" w:hAnsi="Cambria Math"/>
                    <w:color w:val="000000" w:themeColor="text1"/>
                    <w:lang w:eastAsia="en-GB"/>
                  </w:rPr>
                  <m:t>jk</m:t>
                </m:r>
              </m:sub>
            </m:sSub>
          </m:e>
        </m:d>
        <m:r>
          <w:rPr>
            <w:rFonts w:ascii="Cambria Math" w:hAnsi="Cambria Math"/>
            <w:color w:val="000000" w:themeColor="text1"/>
            <w:lang w:eastAsia="en-GB"/>
          </w:rPr>
          <m:t xml:space="preserve">+ </m:t>
        </m:r>
        <m:sSub>
          <m:sSubPr>
            <m:ctrlPr>
              <w:rPr>
                <w:rFonts w:ascii="Cambria Math" w:hAnsi="Cambria Math"/>
                <w:i/>
                <w:color w:val="000000" w:themeColor="text1"/>
                <w:lang w:eastAsia="en-GB"/>
              </w:rPr>
            </m:ctrlPr>
          </m:sSubPr>
          <m:e>
            <m:r>
              <w:rPr>
                <w:rFonts w:ascii="Cambria Math" w:hAnsi="Cambria Math"/>
                <w:color w:val="000000" w:themeColor="text1"/>
                <w:lang w:eastAsia="en-GB"/>
              </w:rPr>
              <m:t>β</m:t>
            </m:r>
          </m:e>
          <m:sub>
            <m:r>
              <w:rPr>
                <w:rFonts w:ascii="Cambria Math" w:hAnsi="Cambria Math"/>
                <w:color w:val="000000" w:themeColor="text1"/>
                <w:lang w:eastAsia="en-GB"/>
              </w:rPr>
              <m:t>2</m:t>
            </m:r>
          </m:sub>
        </m:sSub>
        <m:d>
          <m:dPr>
            <m:ctrlPr>
              <w:rPr>
                <w:rFonts w:ascii="Cambria Math" w:hAnsi="Cambria Math"/>
                <w:i/>
                <w:color w:val="000000" w:themeColor="text1"/>
                <w:lang w:eastAsia="en-GB"/>
              </w:rPr>
            </m:ctrlPr>
          </m:dPr>
          <m:e>
            <m:sSub>
              <m:sSubPr>
                <m:ctrlPr>
                  <w:rPr>
                    <w:rFonts w:ascii="Cambria Math" w:hAnsi="Cambria Math"/>
                    <w:i/>
                    <w:color w:val="000000" w:themeColor="text1"/>
                    <w:lang w:eastAsia="en-GB"/>
                  </w:rPr>
                </m:ctrlPr>
              </m:sSubPr>
              <m:e>
                <m:r>
                  <w:rPr>
                    <w:rFonts w:ascii="Cambria Math" w:hAnsi="Cambria Math"/>
                    <w:color w:val="000000" w:themeColor="text1"/>
                    <w:lang w:eastAsia="en-GB"/>
                  </w:rPr>
                  <m:t>Age</m:t>
                </m:r>
              </m:e>
              <m:sub>
                <m:r>
                  <w:rPr>
                    <w:rFonts w:ascii="Cambria Math" w:hAnsi="Cambria Math"/>
                    <w:color w:val="000000" w:themeColor="text1"/>
                    <w:lang w:eastAsia="en-GB"/>
                  </w:rPr>
                  <m:t>ijk</m:t>
                </m:r>
              </m:sub>
            </m:sSub>
          </m:e>
        </m:d>
        <m:r>
          <w:rPr>
            <w:rFonts w:ascii="Cambria Math" w:hAnsi="Cambria Math"/>
            <w:color w:val="000000" w:themeColor="text1"/>
            <w:lang w:eastAsia="en-GB"/>
          </w:rPr>
          <m:t xml:space="preserve">+ </m:t>
        </m:r>
        <m:sSub>
          <m:sSubPr>
            <m:ctrlPr>
              <w:rPr>
                <w:rFonts w:ascii="Cambria Math" w:hAnsi="Cambria Math"/>
                <w:i/>
                <w:color w:val="000000" w:themeColor="text1"/>
                <w:lang w:eastAsia="en-GB"/>
              </w:rPr>
            </m:ctrlPr>
          </m:sSubPr>
          <m:e>
            <m:r>
              <w:rPr>
                <w:rFonts w:ascii="Cambria Math" w:hAnsi="Cambria Math"/>
                <w:color w:val="000000" w:themeColor="text1"/>
                <w:lang w:eastAsia="en-GB"/>
              </w:rPr>
              <m:t>β</m:t>
            </m:r>
          </m:e>
          <m:sub>
            <m:r>
              <w:rPr>
                <w:rFonts w:ascii="Cambria Math" w:hAnsi="Cambria Math"/>
                <w:color w:val="000000" w:themeColor="text1"/>
                <w:lang w:eastAsia="en-GB"/>
              </w:rPr>
              <m:t>3</m:t>
            </m:r>
          </m:sub>
        </m:sSub>
        <m:d>
          <m:dPr>
            <m:ctrlPr>
              <w:rPr>
                <w:rFonts w:ascii="Cambria Math" w:hAnsi="Cambria Math"/>
                <w:i/>
                <w:color w:val="000000" w:themeColor="text1"/>
                <w:lang w:eastAsia="en-GB"/>
              </w:rPr>
            </m:ctrlPr>
          </m:dPr>
          <m:e>
            <m:sSub>
              <m:sSubPr>
                <m:ctrlPr>
                  <w:rPr>
                    <w:rFonts w:ascii="Cambria Math" w:hAnsi="Cambria Math"/>
                    <w:i/>
                    <w:color w:val="000000" w:themeColor="text1"/>
                    <w:lang w:eastAsia="en-GB"/>
                  </w:rPr>
                </m:ctrlPr>
              </m:sSubPr>
              <m:e>
                <m:r>
                  <w:rPr>
                    <w:rFonts w:ascii="Cambria Math" w:hAnsi="Cambria Math"/>
                    <w:color w:val="000000" w:themeColor="text1"/>
                    <w:lang w:eastAsia="en-GB"/>
                  </w:rPr>
                  <m:t>Youth share</m:t>
                </m:r>
              </m:e>
              <m:sub>
                <m:r>
                  <w:rPr>
                    <w:rFonts w:ascii="Cambria Math" w:hAnsi="Cambria Math"/>
                    <w:color w:val="000000" w:themeColor="text1"/>
                    <w:lang w:eastAsia="en-GB"/>
                  </w:rPr>
                  <m:t>jk</m:t>
                </m:r>
              </m:sub>
            </m:sSub>
            <m:r>
              <w:rPr>
                <w:rFonts w:ascii="Cambria Math" w:hAnsi="Cambria Math"/>
                <w:color w:val="000000" w:themeColor="text1"/>
                <w:lang w:eastAsia="en-GB"/>
              </w:rPr>
              <m:t>×</m:t>
            </m:r>
            <m:sSub>
              <m:sSubPr>
                <m:ctrlPr>
                  <w:rPr>
                    <w:rFonts w:ascii="Cambria Math" w:hAnsi="Cambria Math"/>
                    <w:i/>
                    <w:color w:val="000000" w:themeColor="text1"/>
                    <w:lang w:eastAsia="en-GB"/>
                  </w:rPr>
                </m:ctrlPr>
              </m:sSubPr>
              <m:e>
                <m:r>
                  <w:rPr>
                    <w:rFonts w:ascii="Cambria Math" w:hAnsi="Cambria Math"/>
                    <w:color w:val="000000" w:themeColor="text1"/>
                    <w:lang w:eastAsia="en-GB"/>
                  </w:rPr>
                  <m:t>Age</m:t>
                </m:r>
              </m:e>
              <m:sub>
                <m:r>
                  <w:rPr>
                    <w:rFonts w:ascii="Cambria Math" w:hAnsi="Cambria Math"/>
                    <w:color w:val="000000" w:themeColor="text1"/>
                    <w:lang w:eastAsia="en-GB"/>
                  </w:rPr>
                  <m:t>ijk</m:t>
                </m:r>
              </m:sub>
            </m:sSub>
          </m:e>
        </m:d>
        <m:r>
          <m:rPr>
            <m:sty m:val="p"/>
          </m:rPr>
          <w:rPr>
            <w:rFonts w:ascii="Cambria Math" w:hAnsi="Cambria Math"/>
            <w:color w:val="000000" w:themeColor="text1"/>
            <w:lang w:eastAsia="en-GB"/>
          </w:rPr>
          <m:t xml:space="preserve">+ </m:t>
        </m:r>
        <m:r>
          <w:rPr>
            <w:rFonts w:ascii="Cambria Math" w:hAnsi="Cambria Math"/>
            <w:color w:val="000000" w:themeColor="text1"/>
            <w:lang w:eastAsia="en-GB"/>
          </w:rPr>
          <m:t>β</m:t>
        </m:r>
        <m:sSub>
          <m:sSubPr>
            <m:ctrlPr>
              <w:rPr>
                <w:rFonts w:ascii="Cambria Math" w:hAnsi="Cambria Math"/>
                <w:i/>
                <w:color w:val="000000" w:themeColor="text1"/>
                <w:lang w:eastAsia="en-GB"/>
              </w:rPr>
            </m:ctrlPr>
          </m:sSubPr>
          <m:e>
            <m:r>
              <w:rPr>
                <w:rFonts w:ascii="Cambria Math" w:hAnsi="Cambria Math"/>
                <w:color w:val="000000" w:themeColor="text1"/>
                <w:lang w:eastAsia="en-GB"/>
              </w:rPr>
              <m:t>X</m:t>
            </m:r>
          </m:e>
          <m:sub>
            <m:r>
              <w:rPr>
                <w:rFonts w:ascii="Cambria Math" w:hAnsi="Cambria Math"/>
                <w:color w:val="000000" w:themeColor="text1"/>
                <w:lang w:eastAsia="en-GB"/>
              </w:rPr>
              <m:t>ijk</m:t>
            </m:r>
          </m:sub>
        </m:sSub>
        <m:r>
          <w:rPr>
            <w:rFonts w:ascii="Cambria Math" w:hAnsi="Cambria Math"/>
            <w:color w:val="000000" w:themeColor="text1"/>
            <w:lang w:eastAsia="en-GB"/>
          </w:rPr>
          <m:t>+ β</m:t>
        </m:r>
        <m:sSub>
          <m:sSubPr>
            <m:ctrlPr>
              <w:rPr>
                <w:rFonts w:ascii="Cambria Math" w:hAnsi="Cambria Math"/>
                <w:i/>
                <w:color w:val="000000" w:themeColor="text1"/>
                <w:lang w:eastAsia="en-GB"/>
              </w:rPr>
            </m:ctrlPr>
          </m:sSubPr>
          <m:e>
            <m:r>
              <w:rPr>
                <w:rFonts w:ascii="Cambria Math" w:hAnsi="Cambria Math"/>
                <w:color w:val="000000" w:themeColor="text1"/>
                <w:lang w:eastAsia="en-GB"/>
              </w:rPr>
              <m:t>X</m:t>
            </m:r>
          </m:e>
          <m:sub>
            <m:r>
              <w:rPr>
                <w:rFonts w:ascii="Cambria Math" w:hAnsi="Cambria Math"/>
                <w:color w:val="000000" w:themeColor="text1"/>
                <w:lang w:eastAsia="en-GB"/>
              </w:rPr>
              <m:t>jk</m:t>
            </m:r>
          </m:sub>
        </m:sSub>
        <m:r>
          <w:rPr>
            <w:rFonts w:ascii="Cambria Math" w:hAnsi="Cambria Math"/>
            <w:color w:val="000000" w:themeColor="text1"/>
            <w:lang w:eastAsia="en-GB"/>
          </w:rPr>
          <m:t>+</m:t>
        </m:r>
        <m:nary>
          <m:naryPr>
            <m:chr m:val="∑"/>
            <m:limLoc m:val="subSup"/>
            <m:ctrlPr>
              <w:rPr>
                <w:rFonts w:ascii="Cambria Math" w:hAnsi="Cambria Math"/>
                <w:color w:val="000000" w:themeColor="text1"/>
                <w:lang w:eastAsia="en-GB"/>
              </w:rPr>
            </m:ctrlPr>
          </m:naryPr>
          <m:sub>
            <m:r>
              <w:rPr>
                <w:rFonts w:ascii="Cambria Math" w:hAnsi="Cambria Math"/>
                <w:color w:val="000000" w:themeColor="text1"/>
                <w:lang w:eastAsia="en-GB"/>
              </w:rPr>
              <m:t>r=3</m:t>
            </m:r>
          </m:sub>
          <m:sup>
            <m:r>
              <w:rPr>
                <w:rFonts w:ascii="Cambria Math" w:hAnsi="Cambria Math"/>
                <w:color w:val="000000" w:themeColor="text1"/>
                <w:lang w:eastAsia="en-GB"/>
              </w:rPr>
              <m:t>R</m:t>
            </m:r>
          </m:sup>
          <m:e>
            <m:r>
              <w:rPr>
                <w:rFonts w:ascii="Cambria Math" w:hAnsi="Cambria Math"/>
                <w:color w:val="000000" w:themeColor="text1"/>
                <w:lang w:eastAsia="en-GB"/>
              </w:rPr>
              <m:t>γ(</m:t>
            </m:r>
            <m:sSub>
              <m:sSubPr>
                <m:ctrlPr>
                  <w:rPr>
                    <w:rFonts w:ascii="Cambria Math" w:hAnsi="Cambria Math"/>
                    <w:i/>
                    <w:color w:val="000000" w:themeColor="text1"/>
                    <w:lang w:eastAsia="en-GB"/>
                  </w:rPr>
                </m:ctrlPr>
              </m:sSubPr>
              <m:e>
                <m:r>
                  <w:rPr>
                    <w:rFonts w:ascii="Cambria Math" w:hAnsi="Cambria Math"/>
                    <w:color w:val="000000" w:themeColor="text1"/>
                    <w:lang w:eastAsia="en-GB"/>
                  </w:rPr>
                  <m:t>round</m:t>
                </m:r>
              </m:e>
              <m:sub>
                <m:r>
                  <w:rPr>
                    <w:rFonts w:ascii="Cambria Math" w:hAnsi="Cambria Math"/>
                    <w:color w:val="000000" w:themeColor="text1"/>
                    <w:lang w:eastAsia="en-GB"/>
                  </w:rPr>
                  <m:t>r</m:t>
                </m:r>
              </m:sub>
            </m:sSub>
            <m:r>
              <w:rPr>
                <w:rFonts w:ascii="Cambria Math" w:hAnsi="Cambria Math"/>
                <w:color w:val="000000" w:themeColor="text1"/>
                <w:lang w:eastAsia="en-GB"/>
              </w:rPr>
              <m:t>)</m:t>
            </m:r>
          </m:e>
        </m:nary>
        <m:r>
          <m:rPr>
            <m:sty m:val="p"/>
          </m:rPr>
          <w:rPr>
            <w:rFonts w:ascii="Cambria Math" w:hAnsi="Cambria Math"/>
            <w:color w:val="000000" w:themeColor="text1"/>
            <w:lang w:eastAsia="en-GB"/>
          </w:rPr>
          <m:t xml:space="preserve">+ </m:t>
        </m:r>
        <m:sSub>
          <m:sSubPr>
            <m:ctrlPr>
              <w:rPr>
                <w:rFonts w:ascii="Cambria Math" w:hAnsi="Cambria Math"/>
                <w:i/>
                <w:color w:val="000000" w:themeColor="text1"/>
                <w:lang w:eastAsia="en-GB"/>
              </w:rPr>
            </m:ctrlPr>
          </m:sSubPr>
          <m:e>
            <m:r>
              <w:rPr>
                <w:rFonts w:ascii="Cambria Math" w:hAnsi="Cambria Math"/>
                <w:color w:val="000000" w:themeColor="text1"/>
                <w:lang w:eastAsia="en-GB"/>
              </w:rPr>
              <m:t>u</m:t>
            </m:r>
          </m:e>
          <m:sub>
            <m:r>
              <w:rPr>
                <w:rFonts w:ascii="Cambria Math" w:hAnsi="Cambria Math"/>
                <w:color w:val="000000" w:themeColor="text1"/>
                <w:lang w:eastAsia="en-GB"/>
              </w:rPr>
              <m:t>jk</m:t>
            </m:r>
          </m:sub>
        </m:sSub>
        <m:r>
          <m:rPr>
            <m:sty m:val="p"/>
          </m:rPr>
          <w:rPr>
            <w:rFonts w:ascii="Cambria Math" w:hAnsi="Cambria Math"/>
            <w:color w:val="000000" w:themeColor="text1"/>
            <w:lang w:eastAsia="en-GB"/>
          </w:rPr>
          <m:t xml:space="preserve"> + </m:t>
        </m:r>
        <m:sSub>
          <m:sSubPr>
            <m:ctrlPr>
              <w:rPr>
                <w:rFonts w:ascii="Cambria Math" w:hAnsi="Cambria Math"/>
                <w:i/>
                <w:color w:val="000000" w:themeColor="text1"/>
                <w:lang w:eastAsia="en-GB"/>
              </w:rPr>
            </m:ctrlPr>
          </m:sSubPr>
          <m:e>
            <m:r>
              <w:rPr>
                <w:rFonts w:ascii="Cambria Math" w:hAnsi="Cambria Math"/>
                <w:color w:val="000000" w:themeColor="text1"/>
                <w:lang w:eastAsia="en-GB"/>
              </w:rPr>
              <m:t>ϵ</m:t>
            </m:r>
          </m:e>
          <m:sub>
            <m:r>
              <w:rPr>
                <w:rFonts w:ascii="Cambria Math" w:hAnsi="Cambria Math"/>
                <w:color w:val="000000" w:themeColor="text1"/>
                <w:lang w:eastAsia="en-GB"/>
              </w:rPr>
              <m:t>ijk</m:t>
            </m:r>
          </m:sub>
        </m:sSub>
      </m:oMath>
      <w:r w:rsidRPr="00A90CCE">
        <w:rPr>
          <w:color w:val="000000" w:themeColor="text1"/>
          <w:lang w:eastAsia="en-GB"/>
        </w:rPr>
        <w:t xml:space="preserve"> </w:t>
      </w:r>
    </w:p>
    <w:p w14:paraId="50695306" w14:textId="605E3311" w:rsidR="002177DF" w:rsidRPr="00A90CCE" w:rsidRDefault="00D41FA9" w:rsidP="000846E7">
      <w:pPr>
        <w:pStyle w:val="NormalWeb"/>
        <w:spacing w:after="0" w:afterAutospacing="0" w:line="480" w:lineRule="auto"/>
        <w:ind w:firstLine="720"/>
        <w:jc w:val="both"/>
        <w:rPr>
          <w:lang w:val="en-GB"/>
        </w:rPr>
      </w:pPr>
      <w:r w:rsidRPr="00A90CCE">
        <w:rPr>
          <w:color w:val="000000" w:themeColor="text1"/>
          <w:lang w:val="en-GB"/>
        </w:rPr>
        <w:t xml:space="preserve">Where </w:t>
      </w:r>
      <m:oMath>
        <m:sSub>
          <m:sSubPr>
            <m:ctrlPr>
              <w:rPr>
                <w:rFonts w:ascii="Cambria Math" w:hAnsi="Cambria Math"/>
                <w:i/>
                <w:color w:val="000000" w:themeColor="text1"/>
                <w:lang w:val="en-GB"/>
              </w:rPr>
            </m:ctrlPr>
          </m:sSubPr>
          <m:e>
            <m:r>
              <w:rPr>
                <w:rFonts w:ascii="Cambria Math" w:hAnsi="Cambria Math"/>
                <w:color w:val="000000" w:themeColor="text1"/>
                <w:lang w:val="en-GB"/>
              </w:rPr>
              <m:t>p</m:t>
            </m:r>
          </m:e>
          <m:sub>
            <m:r>
              <w:rPr>
                <w:rFonts w:ascii="Cambria Math" w:hAnsi="Cambria Math"/>
                <w:color w:val="000000" w:themeColor="text1"/>
                <w:lang w:val="en-GB"/>
              </w:rPr>
              <m:t>ijk</m:t>
            </m:r>
          </m:sub>
        </m:sSub>
      </m:oMath>
      <w:r w:rsidRPr="00A90CCE">
        <w:rPr>
          <w:color w:val="000000" w:themeColor="text1"/>
          <w:lang w:val="en-GB"/>
        </w:rPr>
        <w:t xml:space="preserve"> is </w:t>
      </w:r>
      <w:r w:rsidRPr="00A90CCE">
        <w:rPr>
          <w:lang w:val="en-GB"/>
        </w:rPr>
        <w:t xml:space="preserve">the probability of participation (formal or informal) for an individual, </w:t>
      </w:r>
      <w:proofErr w:type="spellStart"/>
      <w:r w:rsidRPr="00A90CCE">
        <w:rPr>
          <w:i/>
          <w:iCs/>
          <w:lang w:val="en-GB"/>
        </w:rPr>
        <w:t>i</w:t>
      </w:r>
      <w:proofErr w:type="spellEnd"/>
      <w:r w:rsidRPr="00A90CCE">
        <w:rPr>
          <w:i/>
          <w:iCs/>
          <w:lang w:val="en-GB"/>
        </w:rPr>
        <w:t>,</w:t>
      </w:r>
      <w:r w:rsidRPr="00A90CCE">
        <w:rPr>
          <w:lang w:val="en-GB"/>
        </w:rPr>
        <w:t xml:space="preserve"> in city, </w:t>
      </w:r>
      <w:r w:rsidRPr="00A90CCE">
        <w:rPr>
          <w:i/>
          <w:iCs/>
          <w:lang w:val="en-GB"/>
        </w:rPr>
        <w:t>j,</w:t>
      </w:r>
      <w:r w:rsidRPr="00A90CCE">
        <w:rPr>
          <w:lang w:val="en-GB"/>
        </w:rPr>
        <w:t xml:space="preserve"> in country, </w:t>
      </w:r>
      <w:r w:rsidRPr="00A90CCE">
        <w:rPr>
          <w:i/>
          <w:iCs/>
          <w:lang w:val="en-GB"/>
        </w:rPr>
        <w:t>k</w:t>
      </w:r>
      <w:r w:rsidRPr="00A90CCE">
        <w:rPr>
          <w:lang w:val="en-GB"/>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β</m:t>
            </m:r>
          </m:e>
          <m:sub>
            <m:r>
              <w:rPr>
                <w:rFonts w:ascii="Cambria Math" w:hAnsi="Cambria Math"/>
                <w:color w:val="000000" w:themeColor="text1"/>
                <w:lang w:val="en-GB"/>
              </w:rPr>
              <m:t>0</m:t>
            </m:r>
          </m:sub>
        </m:sSub>
        <m:r>
          <w:rPr>
            <w:rFonts w:ascii="Cambria Math" w:hAnsi="Cambria Math"/>
            <w:color w:val="000000" w:themeColor="text1"/>
            <w:lang w:val="en-GB"/>
          </w:rPr>
          <m:t xml:space="preserve"> </m:t>
        </m:r>
      </m:oMath>
      <w:r w:rsidRPr="00A90CCE">
        <w:rPr>
          <w:rStyle w:val="citation-156"/>
          <w:lang w:val="en-GB"/>
        </w:rPr>
        <w:t>is the baseline probability of participation across all individuals when all other variables are zero</w:t>
      </w:r>
      <w:r w:rsidR="00A90CCE" w:rsidRPr="00A90CCE">
        <w:rPr>
          <w:lang w:val="en-GB"/>
        </w:rPr>
        <w:t>.</w:t>
      </w:r>
      <w:r w:rsidRPr="00A90CCE">
        <w:rPr>
          <w:lang w:val="en-GB"/>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β</m:t>
            </m:r>
          </m:e>
          <m:sub>
            <m:r>
              <w:rPr>
                <w:rFonts w:ascii="Cambria Math" w:hAnsi="Cambria Math"/>
                <w:color w:val="000000" w:themeColor="text1"/>
                <w:lang w:val="en-GB"/>
              </w:rPr>
              <m:t>1</m:t>
            </m:r>
          </m:sub>
        </m:sSub>
        <m:d>
          <m:dPr>
            <m:ctrlPr>
              <w:rPr>
                <w:rFonts w:ascii="Cambria Math" w:hAnsi="Cambria Math"/>
                <w:i/>
                <w:color w:val="000000" w:themeColor="text1"/>
                <w:lang w:val="en-GB"/>
              </w:rPr>
            </m:ctrlPr>
          </m:dPr>
          <m:e>
            <m:sSub>
              <m:sSubPr>
                <m:ctrlPr>
                  <w:rPr>
                    <w:rFonts w:ascii="Cambria Math" w:hAnsi="Cambria Math"/>
                    <w:i/>
                    <w:color w:val="000000" w:themeColor="text1"/>
                    <w:lang w:val="en-GB"/>
                  </w:rPr>
                </m:ctrlPr>
              </m:sSubPr>
              <m:e>
                <m:r>
                  <w:rPr>
                    <w:rFonts w:ascii="Cambria Math" w:hAnsi="Cambria Math"/>
                    <w:color w:val="000000" w:themeColor="text1"/>
                    <w:lang w:val="en-GB"/>
                  </w:rPr>
                  <m:t>Youth share</m:t>
                </m:r>
              </m:e>
              <m:sub>
                <m:r>
                  <w:rPr>
                    <w:rFonts w:ascii="Cambria Math" w:hAnsi="Cambria Math"/>
                    <w:color w:val="000000" w:themeColor="text1"/>
                    <w:lang w:val="en-GB"/>
                  </w:rPr>
                  <m:t>jk</m:t>
                </m:r>
              </m:sub>
            </m:sSub>
          </m:e>
        </m:d>
        <m:r>
          <w:rPr>
            <w:rFonts w:ascii="Cambria Math" w:hAnsi="Cambria Math"/>
            <w:color w:val="000000" w:themeColor="text1"/>
            <w:lang w:val="en-GB"/>
          </w:rPr>
          <m:t xml:space="preserve"> </m:t>
        </m:r>
      </m:oMath>
      <w:r w:rsidRPr="00A90CCE">
        <w:rPr>
          <w:rStyle w:val="citation-155"/>
          <w:lang w:val="en-GB"/>
        </w:rPr>
        <w:t>represents the effect of the city's youth share on the outcome</w:t>
      </w:r>
      <w:r w:rsidRPr="00A90CCE">
        <w:rPr>
          <w:lang w:val="en-GB"/>
        </w:rPr>
        <w:t xml:space="preserve"> and </w:t>
      </w:r>
      <m:oMath>
        <m:sSub>
          <m:sSubPr>
            <m:ctrlPr>
              <w:rPr>
                <w:rFonts w:ascii="Cambria Math" w:hAnsi="Cambria Math"/>
                <w:i/>
                <w:color w:val="000000" w:themeColor="text1"/>
                <w:lang w:val="en-GB"/>
              </w:rPr>
            </m:ctrlPr>
          </m:sSubPr>
          <m:e>
            <m:r>
              <w:rPr>
                <w:rFonts w:ascii="Cambria Math" w:hAnsi="Cambria Math"/>
                <w:color w:val="000000" w:themeColor="text1"/>
                <w:lang w:val="en-GB"/>
              </w:rPr>
              <m:t>β</m:t>
            </m:r>
          </m:e>
          <m:sub>
            <m:r>
              <w:rPr>
                <w:rFonts w:ascii="Cambria Math" w:hAnsi="Cambria Math"/>
                <w:color w:val="000000" w:themeColor="text1"/>
                <w:lang w:val="en-GB"/>
              </w:rPr>
              <m:t>2</m:t>
            </m:r>
          </m:sub>
        </m:sSub>
        <m:d>
          <m:dPr>
            <m:ctrlPr>
              <w:rPr>
                <w:rFonts w:ascii="Cambria Math" w:hAnsi="Cambria Math"/>
                <w:i/>
                <w:color w:val="000000" w:themeColor="text1"/>
                <w:lang w:val="en-GB"/>
              </w:rPr>
            </m:ctrlPr>
          </m:dPr>
          <m:e>
            <m:sSub>
              <m:sSubPr>
                <m:ctrlPr>
                  <w:rPr>
                    <w:rFonts w:ascii="Cambria Math" w:hAnsi="Cambria Math"/>
                    <w:i/>
                    <w:color w:val="000000" w:themeColor="text1"/>
                    <w:lang w:val="en-GB"/>
                  </w:rPr>
                </m:ctrlPr>
              </m:sSubPr>
              <m:e>
                <m:r>
                  <w:rPr>
                    <w:rFonts w:ascii="Cambria Math" w:hAnsi="Cambria Math"/>
                    <w:color w:val="000000" w:themeColor="text1"/>
                    <w:lang w:val="en-GB"/>
                  </w:rPr>
                  <m:t>Age</m:t>
                </m:r>
              </m:e>
              <m:sub>
                <m:r>
                  <w:rPr>
                    <w:rFonts w:ascii="Cambria Math" w:hAnsi="Cambria Math"/>
                    <w:color w:val="000000" w:themeColor="text1"/>
                    <w:lang w:val="en-GB"/>
                  </w:rPr>
                  <m:t>ijk</m:t>
                </m:r>
              </m:sub>
            </m:sSub>
          </m:e>
        </m:d>
        <m:r>
          <w:rPr>
            <w:rFonts w:ascii="Cambria Math" w:hAnsi="Cambria Math"/>
            <w:color w:val="000000" w:themeColor="text1"/>
            <w:lang w:val="en-GB"/>
          </w:rPr>
          <m:t xml:space="preserve"> </m:t>
        </m:r>
      </m:oMath>
      <w:r w:rsidRPr="00A90CCE">
        <w:rPr>
          <w:rStyle w:val="citation-154"/>
          <w:lang w:val="en-GB"/>
        </w:rPr>
        <w:t>gives the effect of an individual's age on the outcome</w:t>
      </w:r>
      <w:r w:rsidRPr="00A90CCE">
        <w:rPr>
          <w:lang w:val="en-GB"/>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β</m:t>
            </m:r>
          </m:e>
          <m:sub>
            <m:r>
              <w:rPr>
                <w:rFonts w:ascii="Cambria Math" w:hAnsi="Cambria Math"/>
                <w:color w:val="000000" w:themeColor="text1"/>
                <w:lang w:val="en-GB"/>
              </w:rPr>
              <m:t>3</m:t>
            </m:r>
          </m:sub>
        </m:sSub>
        <m:d>
          <m:dPr>
            <m:ctrlPr>
              <w:rPr>
                <w:rFonts w:ascii="Cambria Math" w:hAnsi="Cambria Math"/>
                <w:i/>
                <w:color w:val="000000" w:themeColor="text1"/>
                <w:lang w:val="en-GB"/>
              </w:rPr>
            </m:ctrlPr>
          </m:dPr>
          <m:e>
            <m:sSub>
              <m:sSubPr>
                <m:ctrlPr>
                  <w:rPr>
                    <w:rFonts w:ascii="Cambria Math" w:hAnsi="Cambria Math"/>
                    <w:i/>
                    <w:color w:val="000000" w:themeColor="text1"/>
                    <w:lang w:val="en-GB"/>
                  </w:rPr>
                </m:ctrlPr>
              </m:sSubPr>
              <m:e>
                <m:r>
                  <w:rPr>
                    <w:rFonts w:ascii="Cambria Math" w:hAnsi="Cambria Math"/>
                    <w:color w:val="000000" w:themeColor="text1"/>
                    <w:lang w:val="en-GB"/>
                  </w:rPr>
                  <m:t>Youth share</m:t>
                </m:r>
              </m:e>
              <m:sub>
                <m:r>
                  <w:rPr>
                    <w:rFonts w:ascii="Cambria Math" w:hAnsi="Cambria Math"/>
                    <w:color w:val="000000" w:themeColor="text1"/>
                    <w:lang w:val="en-GB"/>
                  </w:rPr>
                  <m:t>jk</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Age</m:t>
                </m:r>
              </m:e>
              <m:sub>
                <m:r>
                  <w:rPr>
                    <w:rFonts w:ascii="Cambria Math" w:hAnsi="Cambria Math"/>
                    <w:color w:val="000000" w:themeColor="text1"/>
                    <w:lang w:val="en-GB"/>
                  </w:rPr>
                  <m:t>ijk</m:t>
                </m:r>
              </m:sub>
            </m:sSub>
          </m:e>
        </m:d>
        <m:r>
          <m:rPr>
            <m:sty m:val="p"/>
          </m:rPr>
          <w:rPr>
            <w:rFonts w:ascii="Cambria Math" w:hAnsi="Cambria Math"/>
            <w:color w:val="000000" w:themeColor="text1"/>
            <w:lang w:val="en-GB"/>
          </w:rPr>
          <m:t xml:space="preserve"> </m:t>
        </m:r>
      </m:oMath>
      <w:r w:rsidRPr="00A90CCE">
        <w:rPr>
          <w:rStyle w:val="citation-153"/>
          <w:lang w:val="en-GB"/>
        </w:rPr>
        <w:t>is the interaction term, showing whether the effect of city youth share on political participation differs across age groups</w:t>
      </w:r>
      <w:r w:rsidRPr="00A90CCE">
        <w:rPr>
          <w:lang w:val="en-GB"/>
        </w:rPr>
        <w:t xml:space="preserve">. </w:t>
      </w:r>
      <m:oMath>
        <m:r>
          <w:rPr>
            <w:rFonts w:ascii="Cambria Math" w:hAnsi="Cambria Math"/>
            <w:color w:val="000000" w:themeColor="text1"/>
            <w:lang w:val="en-GB"/>
          </w:rPr>
          <m:t>β</m:t>
        </m:r>
        <m:sSub>
          <m:sSubPr>
            <m:ctrlPr>
              <w:rPr>
                <w:rFonts w:ascii="Cambria Math" w:hAnsi="Cambria Math"/>
                <w:i/>
                <w:color w:val="000000" w:themeColor="text1"/>
                <w:lang w:val="en-GB"/>
              </w:rPr>
            </m:ctrlPr>
          </m:sSubPr>
          <m:e>
            <m:r>
              <w:rPr>
                <w:rFonts w:ascii="Cambria Math" w:hAnsi="Cambria Math"/>
                <w:color w:val="000000" w:themeColor="text1"/>
                <w:lang w:val="en-GB"/>
              </w:rPr>
              <m:t>X</m:t>
            </m:r>
          </m:e>
          <m:sub>
            <m:r>
              <w:rPr>
                <w:rFonts w:ascii="Cambria Math" w:hAnsi="Cambria Math"/>
                <w:color w:val="000000" w:themeColor="text1"/>
                <w:lang w:val="en-GB"/>
              </w:rPr>
              <m:t>ijk</m:t>
            </m:r>
          </m:sub>
        </m:sSub>
      </m:oMath>
      <w:r w:rsidRPr="00A90CCE">
        <w:rPr>
          <w:color w:val="000000" w:themeColor="text1"/>
          <w:lang w:val="en-GB"/>
        </w:rPr>
        <w:t xml:space="preserve"> and </w:t>
      </w:r>
      <m:oMath>
        <m:r>
          <w:rPr>
            <w:rFonts w:ascii="Cambria Math" w:hAnsi="Cambria Math"/>
            <w:color w:val="000000" w:themeColor="text1"/>
            <w:lang w:val="en-GB"/>
          </w:rPr>
          <m:t>β</m:t>
        </m:r>
        <m:sSub>
          <m:sSubPr>
            <m:ctrlPr>
              <w:rPr>
                <w:rFonts w:ascii="Cambria Math" w:hAnsi="Cambria Math"/>
                <w:i/>
                <w:color w:val="000000" w:themeColor="text1"/>
                <w:lang w:val="en-GB"/>
              </w:rPr>
            </m:ctrlPr>
          </m:sSubPr>
          <m:e>
            <m:r>
              <w:rPr>
                <w:rFonts w:ascii="Cambria Math" w:hAnsi="Cambria Math"/>
                <w:color w:val="000000" w:themeColor="text1"/>
                <w:lang w:val="en-GB"/>
              </w:rPr>
              <m:t>X</m:t>
            </m:r>
          </m:e>
          <m:sub>
            <m:r>
              <w:rPr>
                <w:rFonts w:ascii="Cambria Math" w:hAnsi="Cambria Math"/>
                <w:color w:val="000000" w:themeColor="text1"/>
                <w:lang w:val="en-GB"/>
              </w:rPr>
              <m:t>jk</m:t>
            </m:r>
          </m:sub>
        </m:sSub>
      </m:oMath>
      <w:r w:rsidRPr="00A90CCE">
        <w:rPr>
          <w:color w:val="000000" w:themeColor="text1"/>
          <w:lang w:val="en-GB"/>
        </w:rPr>
        <w:t xml:space="preserve"> are vectors if individual and country-level control respectively </w:t>
      </w:r>
      <w:r w:rsidR="00A90CCE" w:rsidRPr="00A90CCE">
        <w:rPr>
          <w:color w:val="000000" w:themeColor="text1"/>
          <w:lang w:val="en-GB"/>
        </w:rPr>
        <w:t>while</w:t>
      </w:r>
      <w:r w:rsidRPr="00A90CCE">
        <w:rPr>
          <w:color w:val="000000" w:themeColor="text1"/>
          <w:lang w:val="en-GB"/>
        </w:rPr>
        <w:t xml:space="preserve"> </w:t>
      </w:r>
      <m:oMath>
        <m:nary>
          <m:naryPr>
            <m:chr m:val="∑"/>
            <m:limLoc m:val="subSup"/>
            <m:ctrlPr>
              <w:rPr>
                <w:rFonts w:ascii="Cambria Math" w:hAnsi="Cambria Math"/>
                <w:color w:val="000000" w:themeColor="text1"/>
                <w:lang w:val="en-GB"/>
              </w:rPr>
            </m:ctrlPr>
          </m:naryPr>
          <m:sub>
            <m:r>
              <w:rPr>
                <w:rFonts w:ascii="Cambria Math" w:hAnsi="Cambria Math"/>
                <w:color w:val="000000" w:themeColor="text1"/>
                <w:lang w:val="en-GB"/>
              </w:rPr>
              <m:t>r=3</m:t>
            </m:r>
          </m:sub>
          <m:sup>
            <m:r>
              <w:rPr>
                <w:rFonts w:ascii="Cambria Math" w:hAnsi="Cambria Math"/>
                <w:color w:val="000000" w:themeColor="text1"/>
                <w:lang w:val="en-GB"/>
              </w:rPr>
              <m:t>R</m:t>
            </m:r>
          </m:sup>
          <m:e>
            <m:r>
              <w:rPr>
                <w:rFonts w:ascii="Cambria Math" w:hAnsi="Cambria Math"/>
                <w:color w:val="000000" w:themeColor="text1"/>
                <w:lang w:val="en-GB"/>
              </w:rPr>
              <m:t>γ(</m:t>
            </m:r>
            <m:sSub>
              <m:sSubPr>
                <m:ctrlPr>
                  <w:rPr>
                    <w:rFonts w:ascii="Cambria Math" w:hAnsi="Cambria Math"/>
                    <w:i/>
                    <w:color w:val="000000" w:themeColor="text1"/>
                    <w:lang w:val="en-GB"/>
                  </w:rPr>
                </m:ctrlPr>
              </m:sSubPr>
              <m:e>
                <m:r>
                  <w:rPr>
                    <w:rFonts w:ascii="Cambria Math" w:hAnsi="Cambria Math"/>
                    <w:color w:val="000000" w:themeColor="text1"/>
                    <w:lang w:val="en-GB"/>
                  </w:rPr>
                  <m:t>round</m:t>
                </m:r>
              </m:e>
              <m:sub>
                <m:r>
                  <w:rPr>
                    <w:rFonts w:ascii="Cambria Math" w:hAnsi="Cambria Math"/>
                    <w:color w:val="000000" w:themeColor="text1"/>
                    <w:lang w:val="en-GB"/>
                  </w:rPr>
                  <m:t>r</m:t>
                </m:r>
              </m:sub>
            </m:sSub>
            <m:r>
              <w:rPr>
                <w:rFonts w:ascii="Cambria Math" w:hAnsi="Cambria Math"/>
                <w:color w:val="000000" w:themeColor="text1"/>
                <w:lang w:val="en-GB"/>
              </w:rPr>
              <m:t>)</m:t>
            </m:r>
          </m:e>
        </m:nary>
      </m:oMath>
      <w:r w:rsidR="00A90CCE" w:rsidRPr="00A90CCE">
        <w:rPr>
          <w:color w:val="000000" w:themeColor="text1"/>
          <w:lang w:val="en-GB"/>
        </w:rPr>
        <w:t xml:space="preserve"> </w:t>
      </w:r>
      <w:r w:rsidRPr="00A90CCE">
        <w:rPr>
          <w:rStyle w:val="citation-150"/>
          <w:lang w:val="en-GB"/>
        </w:rPr>
        <w:t>is the fixed effect accounting for heterogeneity in political behavio</w:t>
      </w:r>
      <w:r w:rsidR="00A90CCE" w:rsidRPr="00A90CCE">
        <w:rPr>
          <w:rStyle w:val="citation-150"/>
          <w:lang w:val="en-GB"/>
        </w:rPr>
        <w:t>u</w:t>
      </w:r>
      <w:r w:rsidRPr="00A90CCE">
        <w:rPr>
          <w:rStyle w:val="citation-150"/>
          <w:lang w:val="en-GB"/>
        </w:rPr>
        <w:t>r across the distinct survey rounds.</w:t>
      </w:r>
      <w:r w:rsidRPr="00A90CCE">
        <w:rPr>
          <w:lang w:val="en-GB"/>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u</m:t>
            </m:r>
          </m:e>
          <m:sub>
            <m:r>
              <w:rPr>
                <w:rFonts w:ascii="Cambria Math" w:hAnsi="Cambria Math"/>
                <w:color w:val="000000" w:themeColor="text1"/>
                <w:lang w:val="en-GB"/>
              </w:rPr>
              <m:t>jk</m:t>
            </m:r>
          </m:sub>
        </m:sSub>
      </m:oMath>
      <w:r w:rsidRPr="00A90CCE">
        <w:rPr>
          <w:color w:val="000000" w:themeColor="text1"/>
          <w:lang w:val="en-GB"/>
        </w:rPr>
        <w:t xml:space="preserve"> is the country random effect, accounting for unobserved heterogeneity at the country level, this is assumed to follow a normal distribution such that </w:t>
      </w:r>
      <m:oMath>
        <m:sSub>
          <m:sSubPr>
            <m:ctrlPr>
              <w:rPr>
                <w:rFonts w:ascii="Cambria Math" w:hAnsi="Cambria Math"/>
                <w:i/>
                <w:color w:val="000000" w:themeColor="text1"/>
                <w:lang w:val="en-GB"/>
              </w:rPr>
            </m:ctrlPr>
          </m:sSubPr>
          <m:e>
            <m:r>
              <w:rPr>
                <w:rFonts w:ascii="Cambria Math" w:hAnsi="Cambria Math"/>
                <w:color w:val="000000" w:themeColor="text1"/>
                <w:lang w:val="en-GB"/>
              </w:rPr>
              <m:t>u</m:t>
            </m:r>
          </m:e>
          <m:sub>
            <m:r>
              <w:rPr>
                <w:rFonts w:ascii="Cambria Math" w:hAnsi="Cambria Math"/>
                <w:color w:val="000000" w:themeColor="text1"/>
                <w:lang w:val="en-GB"/>
              </w:rPr>
              <m:t>jk</m:t>
            </m:r>
          </m:sub>
        </m:sSub>
        <m:r>
          <w:rPr>
            <w:rFonts w:ascii="Cambria Math" w:hAnsi="Cambria Math"/>
            <w:color w:val="000000" w:themeColor="text1"/>
            <w:lang w:val="en-GB"/>
          </w:rPr>
          <m:t xml:space="preserve"> ~ N(0,</m:t>
        </m:r>
        <m:sSubSup>
          <m:sSubSupPr>
            <m:ctrlPr>
              <w:rPr>
                <w:rFonts w:ascii="Cambria Math" w:hAnsi="Cambria Math"/>
                <w:i/>
                <w:color w:val="000000" w:themeColor="text1"/>
                <w:lang w:val="en-GB"/>
              </w:rPr>
            </m:ctrlPr>
          </m:sSubSupPr>
          <m:e>
            <m:r>
              <w:rPr>
                <w:rFonts w:ascii="Cambria Math" w:hAnsi="Cambria Math"/>
                <w:color w:val="000000" w:themeColor="text1"/>
                <w:lang w:val="en-GB"/>
              </w:rPr>
              <m:t>σ</m:t>
            </m:r>
          </m:e>
          <m:sub>
            <m:r>
              <w:rPr>
                <w:rFonts w:ascii="Cambria Math" w:hAnsi="Cambria Math"/>
                <w:color w:val="000000" w:themeColor="text1"/>
                <w:lang w:val="en-GB"/>
              </w:rPr>
              <m:t>jk</m:t>
            </m:r>
          </m:sub>
          <m:sup>
            <m:r>
              <w:rPr>
                <w:rFonts w:ascii="Cambria Math" w:hAnsi="Cambria Math"/>
                <w:color w:val="000000" w:themeColor="text1"/>
                <w:lang w:val="en-GB"/>
              </w:rPr>
              <m:t>2</m:t>
            </m:r>
          </m:sup>
        </m:sSubSup>
        <m:r>
          <w:rPr>
            <w:rFonts w:ascii="Cambria Math" w:hAnsi="Cambria Math"/>
            <w:color w:val="000000" w:themeColor="text1"/>
            <w:lang w:val="en-GB"/>
          </w:rPr>
          <m:t>)</m:t>
        </m:r>
      </m:oMath>
      <w:r w:rsidRPr="00A90CCE">
        <w:rPr>
          <w:color w:val="000000" w:themeColor="text1"/>
          <w:lang w:val="en-GB"/>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ϵ</m:t>
            </m:r>
          </m:e>
          <m:sub>
            <m:r>
              <w:rPr>
                <w:rFonts w:ascii="Cambria Math" w:hAnsi="Cambria Math"/>
                <w:color w:val="000000" w:themeColor="text1"/>
                <w:lang w:val="en-GB"/>
              </w:rPr>
              <m:t>ijk</m:t>
            </m:r>
          </m:sub>
        </m:sSub>
      </m:oMath>
      <w:r w:rsidRPr="00A90CCE">
        <w:rPr>
          <w:color w:val="000000" w:themeColor="text1"/>
          <w:lang w:val="en-GB"/>
        </w:rPr>
        <w:t xml:space="preserve"> is the individual error term.</w:t>
      </w:r>
      <w:r w:rsidR="00E41B77">
        <w:rPr>
          <w:rStyle w:val="FootnoteReference"/>
          <w:color w:val="000000" w:themeColor="text1"/>
          <w:lang w:val="en-GB"/>
        </w:rPr>
        <w:footnoteReference w:id="5"/>
      </w:r>
      <w:r w:rsidRPr="00A90CCE">
        <w:rPr>
          <w:color w:val="000000" w:themeColor="text1"/>
          <w:lang w:val="en-GB"/>
        </w:rPr>
        <w:t xml:space="preserve"> </w:t>
      </w:r>
    </w:p>
    <w:p w14:paraId="4F8495D4" w14:textId="148733C3" w:rsidR="00F30791" w:rsidRPr="00A90CCE" w:rsidRDefault="00DC5844" w:rsidP="000846E7">
      <w:pPr>
        <w:spacing w:line="480" w:lineRule="auto"/>
        <w:ind w:firstLine="720"/>
        <w:jc w:val="both"/>
        <w:rPr>
          <w:color w:val="000000" w:themeColor="text1"/>
          <w:lang w:eastAsia="en-GB"/>
        </w:rPr>
      </w:pPr>
      <w:r w:rsidRPr="00A90CCE">
        <w:rPr>
          <w:color w:val="000000" w:themeColor="text1"/>
          <w:lang w:eastAsia="en-GB"/>
        </w:rPr>
        <w:t xml:space="preserve">All models were estimated using 10,000 Markov Chain Monte Carlo (MCMC) iterations, with the first 2,500 iterations discarded as warm-up (burn-in). We employed flat (non-informative) priors for all parameters, allowing the posterior distributions to be </w:t>
      </w:r>
      <w:r w:rsidRPr="00A90CCE">
        <w:rPr>
          <w:color w:val="000000" w:themeColor="text1"/>
          <w:lang w:eastAsia="en-GB"/>
        </w:rPr>
        <w:lastRenderedPageBreak/>
        <w:t xml:space="preserve">predominantly shaped by the data (McElreath, 2020). The </w:t>
      </w:r>
      <w:r w:rsidR="00587242" w:rsidRPr="00A90CCE">
        <w:rPr>
          <w:color w:val="000000" w:themeColor="text1"/>
          <w:lang w:eastAsia="en-GB"/>
        </w:rPr>
        <w:t>Bayesian</w:t>
      </w:r>
      <w:r w:rsidRPr="00A90CCE">
        <w:rPr>
          <w:color w:val="000000" w:themeColor="text1"/>
          <w:lang w:eastAsia="en-GB"/>
        </w:rPr>
        <w:t xml:space="preserve"> framework differs from frequentist methods in that it directly </w:t>
      </w:r>
      <w:r w:rsidR="00D363C7" w:rsidRPr="00A90CCE">
        <w:rPr>
          <w:color w:val="000000" w:themeColor="text1"/>
          <w:lang w:eastAsia="en-GB"/>
        </w:rPr>
        <w:t>estimates</w:t>
      </w:r>
      <w:r w:rsidRPr="00A90CCE">
        <w:rPr>
          <w:color w:val="000000" w:themeColor="text1"/>
          <w:lang w:eastAsia="en-GB"/>
        </w:rPr>
        <w:t xml:space="preserve"> full posterior distributions </w:t>
      </w:r>
      <w:r w:rsidR="00D363C7" w:rsidRPr="00A90CCE">
        <w:rPr>
          <w:color w:val="000000" w:themeColor="text1"/>
          <w:lang w:eastAsia="en-GB"/>
        </w:rPr>
        <w:t>for</w:t>
      </w:r>
      <w:r w:rsidRPr="00A90CCE">
        <w:rPr>
          <w:color w:val="000000" w:themeColor="text1"/>
          <w:lang w:eastAsia="en-GB"/>
        </w:rPr>
        <w:t xml:space="preserve"> all model parameter</w:t>
      </w:r>
      <w:r w:rsidR="00D363C7" w:rsidRPr="00A90CCE">
        <w:rPr>
          <w:color w:val="000000" w:themeColor="text1"/>
          <w:lang w:eastAsia="en-GB"/>
        </w:rPr>
        <w:t>s</w:t>
      </w:r>
      <w:r w:rsidRPr="00A90CCE">
        <w:rPr>
          <w:color w:val="000000" w:themeColor="text1"/>
          <w:lang w:eastAsia="en-GB"/>
        </w:rPr>
        <w:t xml:space="preserve">, quantifying uncertainty while accounting for the hierarchical structure of the data. </w:t>
      </w:r>
      <w:r w:rsidR="00D363C7" w:rsidRPr="00A90CCE">
        <w:rPr>
          <w:color w:val="000000" w:themeColor="text1"/>
          <w:lang w:eastAsia="en-GB"/>
        </w:rPr>
        <w:t xml:space="preserve">Model results are presented in the usual way </w:t>
      </w:r>
      <w:r w:rsidR="00D96FFA">
        <w:rPr>
          <w:color w:val="000000" w:themeColor="text1"/>
          <w:lang w:eastAsia="en-GB"/>
        </w:rPr>
        <w:t>with</w:t>
      </w:r>
      <w:r w:rsidR="00D363C7" w:rsidRPr="00A90CCE">
        <w:rPr>
          <w:color w:val="000000" w:themeColor="text1"/>
          <w:lang w:eastAsia="en-GB"/>
        </w:rPr>
        <w:t xml:space="preserve"> point estimates and uncertainty intervals. </w:t>
      </w:r>
    </w:p>
    <w:p w14:paraId="00C8D1FF" w14:textId="77777777" w:rsidR="003E5D1A" w:rsidRPr="00A90CCE" w:rsidRDefault="00D363C7" w:rsidP="009737A4">
      <w:pPr>
        <w:spacing w:after="120" w:line="480" w:lineRule="auto"/>
        <w:ind w:firstLine="720"/>
        <w:jc w:val="both"/>
        <w:rPr>
          <w:color w:val="000000" w:themeColor="text1"/>
          <w:lang w:eastAsia="en-GB"/>
        </w:rPr>
      </w:pPr>
      <w:r w:rsidRPr="00A90CCE">
        <w:rPr>
          <w:color w:val="000000" w:themeColor="text1"/>
          <w:lang w:eastAsia="en-GB"/>
        </w:rPr>
        <w:t xml:space="preserve">The model coefficients presented are Bayesian point estimates (i.e., the mean of the posterior distribution) of the odds ratios. An odds ratio (OR) </w:t>
      </w:r>
      <w:r w:rsidR="00663484" w:rsidRPr="00A90CCE">
        <w:rPr>
          <w:color w:val="000000" w:themeColor="text1"/>
          <w:lang w:eastAsia="en-GB"/>
        </w:rPr>
        <w:t>more/</w:t>
      </w:r>
      <w:r w:rsidRPr="00A90CCE">
        <w:rPr>
          <w:color w:val="000000" w:themeColor="text1"/>
          <w:lang w:eastAsia="en-GB"/>
        </w:rPr>
        <w:t xml:space="preserve">less than one indicates that an outcome is </w:t>
      </w:r>
      <w:r w:rsidR="00663484" w:rsidRPr="00A90CCE">
        <w:rPr>
          <w:color w:val="000000" w:themeColor="text1"/>
          <w:lang w:eastAsia="en-GB"/>
        </w:rPr>
        <w:t>more/</w:t>
      </w:r>
      <w:r w:rsidRPr="00A90CCE">
        <w:rPr>
          <w:color w:val="000000" w:themeColor="text1"/>
          <w:lang w:eastAsia="en-GB"/>
        </w:rPr>
        <w:t xml:space="preserve">less likely given the level of exposure to an independent variable. 95% </w:t>
      </w:r>
      <w:r w:rsidR="007466B4" w:rsidRPr="00A90CCE">
        <w:rPr>
          <w:color w:val="000000" w:themeColor="text1"/>
          <w:lang w:eastAsia="en-GB"/>
        </w:rPr>
        <w:t xml:space="preserve">credibility intervals representing uncertainty around point estimates are presented in parenthesis. </w:t>
      </w:r>
      <w:r w:rsidR="00E40D58" w:rsidRPr="00A90CCE">
        <w:rPr>
          <w:color w:val="000000" w:themeColor="text1"/>
          <w:lang w:eastAsia="en-GB"/>
        </w:rPr>
        <w:t xml:space="preserve">In the context of odds ratios, credibility intervals crossing one indicate a </w:t>
      </w:r>
      <w:r w:rsidR="00E40D58" w:rsidRPr="00D96FFA">
        <w:rPr>
          <w:color w:val="000000" w:themeColor="text1"/>
          <w:lang w:eastAsia="en-GB"/>
        </w:rPr>
        <w:t>statistically significant</w:t>
      </w:r>
      <w:r w:rsidR="00E40D58" w:rsidRPr="00A90CCE">
        <w:rPr>
          <w:color w:val="000000" w:themeColor="text1"/>
          <w:lang w:eastAsia="en-GB"/>
        </w:rPr>
        <w:t xml:space="preserve"> association in the traditional, frequentist sense. </w:t>
      </w:r>
      <w:r w:rsidR="007466B4" w:rsidRPr="00A90CCE">
        <w:rPr>
          <w:color w:val="000000" w:themeColor="text1"/>
          <w:lang w:eastAsia="en-GB"/>
        </w:rPr>
        <w:t xml:space="preserve">Unlike frequentist confidence intervals, 95% credibility intervals directly imply a 95% probability that the true parameter value lies within that range. </w:t>
      </w:r>
    </w:p>
    <w:p w14:paraId="72CC5B1E" w14:textId="32958083" w:rsidR="00E23B8F" w:rsidRPr="00A90CCE" w:rsidRDefault="00DC5844" w:rsidP="002F6B4F">
      <w:pPr>
        <w:spacing w:after="120" w:line="480" w:lineRule="auto"/>
        <w:ind w:firstLine="720"/>
        <w:jc w:val="both"/>
        <w:rPr>
          <w:color w:val="000000" w:themeColor="text1"/>
          <w:lang w:eastAsia="en-GB"/>
        </w:rPr>
      </w:pPr>
      <w:r w:rsidRPr="00A90CCE">
        <w:rPr>
          <w:color w:val="000000" w:themeColor="text1"/>
          <w:lang w:eastAsia="en-GB"/>
        </w:rPr>
        <w:t xml:space="preserve">Full posterior distributions and convergence </w:t>
      </w:r>
      <w:r w:rsidR="007466B4" w:rsidRPr="00A90CCE">
        <w:rPr>
          <w:color w:val="000000" w:themeColor="text1"/>
          <w:lang w:eastAsia="en-GB"/>
        </w:rPr>
        <w:t>diagnostics</w:t>
      </w:r>
      <w:r w:rsidRPr="00A90CCE">
        <w:rPr>
          <w:color w:val="000000" w:themeColor="text1"/>
          <w:lang w:eastAsia="en-GB"/>
        </w:rPr>
        <w:t xml:space="preserve"> are presented in </w:t>
      </w:r>
      <w:r w:rsidR="007466B4" w:rsidRPr="00A90CCE">
        <w:rPr>
          <w:color w:val="000000" w:themeColor="text1"/>
          <w:lang w:eastAsia="en-GB"/>
        </w:rPr>
        <w:t xml:space="preserve">Appendix </w:t>
      </w:r>
      <w:r w:rsidR="003E5D1A" w:rsidRPr="00A90CCE">
        <w:rPr>
          <w:color w:val="000000" w:themeColor="text1"/>
          <w:lang w:eastAsia="en-GB"/>
        </w:rPr>
        <w:t>D</w:t>
      </w:r>
      <w:r w:rsidR="007466B4" w:rsidRPr="00A90CCE">
        <w:rPr>
          <w:color w:val="000000" w:themeColor="text1"/>
          <w:lang w:eastAsia="en-GB"/>
        </w:rPr>
        <w:t>.</w:t>
      </w:r>
      <w:r w:rsidRPr="00A90CCE">
        <w:rPr>
          <w:color w:val="000000" w:themeColor="text1"/>
          <w:lang w:eastAsia="en-GB"/>
        </w:rPr>
        <w:t xml:space="preserve"> All variables have been mean-centred and rescaled to enable model convergence and comparability of coefficients. Individual-level variables have been group-mean-centred</w:t>
      </w:r>
      <w:r w:rsidR="00E23B8F" w:rsidRPr="00A90CCE">
        <w:rPr>
          <w:color w:val="000000" w:themeColor="text1"/>
          <w:lang w:eastAsia="en-GB"/>
        </w:rPr>
        <w:t xml:space="preserve"> </w:t>
      </w:r>
      <w:r w:rsidR="00E23B8F" w:rsidRPr="00A90CCE">
        <w:rPr>
          <w:color w:val="000000" w:themeColor="text1"/>
          <w:lang w:eastAsia="en-GB"/>
        </w:rPr>
        <w:fldChar w:fldCharType="begin"/>
      </w:r>
      <w:r w:rsidR="00E23B8F" w:rsidRPr="00A90CCE">
        <w:rPr>
          <w:color w:val="000000" w:themeColor="text1"/>
          <w:lang w:eastAsia="en-GB"/>
        </w:rPr>
        <w:instrText xml:space="preserve"> ADDIN ZOTERO_ITEM CSL_CITATION {"citationID":"6ihmkNVw","properties":{"formattedCitation":"(Bell et al., 2018)","plainCitation":"(Bell et al., 2018)","noteIndex":0},"citationItems":[{"id":157,"uris":["http://zotero.org/users/11001446/items/MBVVAPK8"],"itemData":{"id":157,"type":"article-journal","container-title":"Quality &amp; quantity","ISSN":"0033-5177","journalAbbreviation":"Quality &amp; quantity","note":"publisher: Springer","page":"2031-2036","title":"Understanding and misunderstanding group mean centering: A commentary on Kelley et al.’s dangerous practice","volume":"52","author":[{"family":"Bell","given":"Andrew"},{"family":"Jones","given":"Kelvyn"},{"family":"Fairbrother","given":"Malcolm"}],"issued":{"date-parts":[["2018"]]}}}],"schema":"https://github.com/citation-style-language/schema/raw/master/csl-citation.json"} </w:instrText>
      </w:r>
      <w:r w:rsidR="00E23B8F" w:rsidRPr="00A90CCE">
        <w:rPr>
          <w:color w:val="000000" w:themeColor="text1"/>
          <w:lang w:eastAsia="en-GB"/>
        </w:rPr>
        <w:fldChar w:fldCharType="separate"/>
      </w:r>
      <w:r w:rsidR="00E23B8F" w:rsidRPr="00A90CCE">
        <w:t>(Bell et al., 2018)</w:t>
      </w:r>
      <w:r w:rsidR="00E23B8F" w:rsidRPr="00A90CCE">
        <w:rPr>
          <w:color w:val="000000" w:themeColor="text1"/>
          <w:lang w:eastAsia="en-GB"/>
        </w:rPr>
        <w:fldChar w:fldCharType="end"/>
      </w:r>
      <w:r w:rsidRPr="00A90CCE">
        <w:rPr>
          <w:color w:val="000000" w:themeColor="text1"/>
          <w:lang w:eastAsia="en-GB"/>
        </w:rPr>
        <w:t>.</w:t>
      </w:r>
      <w:r w:rsidR="00F30791" w:rsidRPr="00A90CCE">
        <w:rPr>
          <w:color w:val="000000" w:themeColor="text1"/>
          <w:lang w:eastAsia="en-GB"/>
        </w:rPr>
        <w:t xml:space="preserve"> All analysis was undertaken in R Version 2025.05.0+496. Multilevel models were estimated using the </w:t>
      </w:r>
      <w:r w:rsidR="00F30791" w:rsidRPr="00A90CCE">
        <w:rPr>
          <w:rFonts w:ascii="Courier New" w:hAnsi="Courier New" w:cs="Courier New"/>
          <w:color w:val="000000" w:themeColor="text1"/>
          <w:lang w:eastAsia="en-GB"/>
        </w:rPr>
        <w:t>lme4</w:t>
      </w:r>
      <w:r w:rsidR="00F30791" w:rsidRPr="00A90CCE">
        <w:rPr>
          <w:color w:val="000000" w:themeColor="text1"/>
          <w:lang w:eastAsia="en-GB"/>
        </w:rPr>
        <w:t xml:space="preserve"> </w:t>
      </w:r>
      <w:r w:rsidR="00D60672" w:rsidRPr="00A90CCE">
        <w:rPr>
          <w:color w:val="000000" w:themeColor="text1"/>
          <w:lang w:eastAsia="en-GB"/>
        </w:rPr>
        <w:t>(</w:t>
      </w:r>
      <w:r w:rsidR="00F30791" w:rsidRPr="00A90CCE">
        <w:rPr>
          <w:color w:val="000000" w:themeColor="text1"/>
          <w:lang w:eastAsia="en-GB"/>
        </w:rPr>
        <w:t>Version 1.1-37</w:t>
      </w:r>
      <w:r w:rsidR="00D60672" w:rsidRPr="00A90CCE">
        <w:rPr>
          <w:color w:val="000000" w:themeColor="text1"/>
          <w:lang w:eastAsia="en-GB"/>
        </w:rPr>
        <w:t>)</w:t>
      </w:r>
      <w:r w:rsidR="002177DF" w:rsidRPr="00A90CCE">
        <w:rPr>
          <w:color w:val="000000" w:themeColor="text1"/>
          <w:lang w:eastAsia="en-GB"/>
        </w:rPr>
        <w:t xml:space="preserve"> </w:t>
      </w:r>
      <w:r w:rsidR="002177DF" w:rsidRPr="00A90CCE">
        <w:rPr>
          <w:color w:val="000000" w:themeColor="text1"/>
          <w:lang w:eastAsia="en-GB"/>
        </w:rPr>
        <w:fldChar w:fldCharType="begin"/>
      </w:r>
      <w:r w:rsidR="002177DF" w:rsidRPr="00A90CCE">
        <w:rPr>
          <w:color w:val="000000" w:themeColor="text1"/>
          <w:lang w:eastAsia="en-GB"/>
        </w:rPr>
        <w:instrText xml:space="preserve"> ADDIN ZOTERO_ITEM CSL_CITATION {"citationID":"vrO2cCV8","properties":{"formattedCitation":"(Bates et al., 2015)","plainCitation":"(Bates et al., 2015)","noteIndex":0},"citationItems":[{"id":16105,"uris":["http://zotero.org/users/11001446/items/RTJCVDIR"],"itemData":{"id":16105,"type":"article-journal","container-title":"Journal of statistical software","ISSN":"1548-7660","journalAbbreviation":"Journal of statistical software","page":"1-48","title":"Fitting linear mixed-effects models using lme4","volume":"67","author":[{"family":"Bates","given":"Douglas"},{"family":"Mächler","given":"Martin"},{"family":"Bolker","given":"Ben"},{"family":"Walker","given":"Steve"}],"issued":{"date-parts":[["2015"]]}}}],"schema":"https://github.com/citation-style-language/schema/raw/master/csl-citation.json"} </w:instrText>
      </w:r>
      <w:r w:rsidR="002177DF" w:rsidRPr="00A90CCE">
        <w:rPr>
          <w:color w:val="000000" w:themeColor="text1"/>
          <w:lang w:eastAsia="en-GB"/>
        </w:rPr>
        <w:fldChar w:fldCharType="separate"/>
      </w:r>
      <w:r w:rsidR="002177DF" w:rsidRPr="00A90CCE">
        <w:t>(Bates et al., 2015)</w:t>
      </w:r>
      <w:r w:rsidR="002177DF" w:rsidRPr="00A90CCE">
        <w:rPr>
          <w:color w:val="000000" w:themeColor="text1"/>
          <w:lang w:eastAsia="en-GB"/>
        </w:rPr>
        <w:fldChar w:fldCharType="end"/>
      </w:r>
      <w:r w:rsidR="00F30791" w:rsidRPr="00A90CCE">
        <w:rPr>
          <w:color w:val="000000" w:themeColor="text1"/>
          <w:lang w:eastAsia="en-GB"/>
        </w:rPr>
        <w:t xml:space="preserve"> and </w:t>
      </w:r>
      <w:r w:rsidR="00F30791" w:rsidRPr="00A90CCE">
        <w:rPr>
          <w:rFonts w:ascii="Courier New" w:hAnsi="Courier New" w:cs="Courier New"/>
          <w:color w:val="000000" w:themeColor="text1"/>
          <w:lang w:eastAsia="en-GB"/>
        </w:rPr>
        <w:t>brms</w:t>
      </w:r>
      <w:r w:rsidR="00F30791" w:rsidRPr="00A90CCE">
        <w:rPr>
          <w:color w:val="000000" w:themeColor="text1"/>
          <w:lang w:eastAsia="en-GB"/>
        </w:rPr>
        <w:t xml:space="preserve"> </w:t>
      </w:r>
      <w:r w:rsidR="00D60672" w:rsidRPr="00A90CCE">
        <w:rPr>
          <w:color w:val="000000" w:themeColor="text1"/>
          <w:lang w:eastAsia="en-GB"/>
        </w:rPr>
        <w:t>(</w:t>
      </w:r>
      <w:r w:rsidR="00F30791" w:rsidRPr="00A90CCE">
        <w:rPr>
          <w:color w:val="000000" w:themeColor="text1"/>
          <w:lang w:eastAsia="en-GB"/>
        </w:rPr>
        <w:t>Version 2.22.0</w:t>
      </w:r>
      <w:r w:rsidR="00D60672" w:rsidRPr="00A90CCE">
        <w:rPr>
          <w:color w:val="000000" w:themeColor="text1"/>
          <w:lang w:eastAsia="en-GB"/>
        </w:rPr>
        <w:t xml:space="preserve">) </w:t>
      </w:r>
      <w:r w:rsidR="002177DF" w:rsidRPr="00A90CCE">
        <w:rPr>
          <w:color w:val="000000" w:themeColor="text1"/>
          <w:lang w:eastAsia="en-GB"/>
        </w:rPr>
        <w:fldChar w:fldCharType="begin"/>
      </w:r>
      <w:r w:rsidR="002177DF" w:rsidRPr="00A90CCE">
        <w:rPr>
          <w:color w:val="000000" w:themeColor="text1"/>
          <w:lang w:eastAsia="en-GB"/>
        </w:rPr>
        <w:instrText xml:space="preserve"> ADDIN ZOTERO_ITEM CSL_CITATION {"citationID":"6Ctz7Fcv","properties":{"formattedCitation":"(B\\uc0\\u252{}rkner, 2017)","plainCitation":"(Bürkner, 2017)","noteIndex":0},"citationItems":[{"id":16106,"uris":["http://zotero.org/users/11001446/items/IXUXCIMZ"],"itemData":{"id":16106,"type":"article-journal","container-title":"Journal of statistical software","ISSN":"1548-7660","journalAbbreviation":"Journal of statistical software","page":"1-28","title":"brms: An R package for Bayesian multilevel models using Stan","volume":"80","author":[{"family":"Bürkner","given":"Paul-Christian"}],"issued":{"date-parts":[["2017"]]}}}],"schema":"https://github.com/citation-style-language/schema/raw/master/csl-citation.json"} </w:instrText>
      </w:r>
      <w:r w:rsidR="002177DF" w:rsidRPr="00A90CCE">
        <w:rPr>
          <w:color w:val="000000" w:themeColor="text1"/>
          <w:lang w:eastAsia="en-GB"/>
        </w:rPr>
        <w:fldChar w:fldCharType="separate"/>
      </w:r>
      <w:r w:rsidR="002177DF" w:rsidRPr="00A90CCE">
        <w:t>(Bürkner, 2017)</w:t>
      </w:r>
      <w:r w:rsidR="002177DF" w:rsidRPr="00A90CCE">
        <w:rPr>
          <w:color w:val="000000" w:themeColor="text1"/>
          <w:lang w:eastAsia="en-GB"/>
        </w:rPr>
        <w:fldChar w:fldCharType="end"/>
      </w:r>
      <w:r w:rsidR="002177DF" w:rsidRPr="00A90CCE">
        <w:rPr>
          <w:color w:val="000000" w:themeColor="text1"/>
          <w:lang w:eastAsia="en-GB"/>
        </w:rPr>
        <w:t xml:space="preserve"> </w:t>
      </w:r>
      <w:r w:rsidR="00F30791" w:rsidRPr="00A90CCE">
        <w:rPr>
          <w:color w:val="000000" w:themeColor="text1"/>
          <w:lang w:eastAsia="en-GB"/>
        </w:rPr>
        <w:t xml:space="preserve">packages. </w:t>
      </w:r>
      <w:r w:rsidR="00366747" w:rsidRPr="00A90CCE">
        <w:rPr>
          <w:color w:val="000000" w:themeColor="text1"/>
          <w:lang w:eastAsia="en-GB"/>
        </w:rPr>
        <w:t>Model diagnostics and trace plots indicate stable</w:t>
      </w:r>
      <w:r w:rsidR="009737A4" w:rsidRPr="00A90CCE">
        <w:rPr>
          <w:color w:val="000000" w:themeColor="text1"/>
          <w:lang w:eastAsia="en-GB"/>
        </w:rPr>
        <w:t>, well-mixed</w:t>
      </w:r>
      <w:r w:rsidR="00366747" w:rsidRPr="00A90CCE">
        <w:rPr>
          <w:color w:val="000000" w:themeColor="text1"/>
          <w:lang w:eastAsia="en-GB"/>
        </w:rPr>
        <w:t xml:space="preserve"> Markov chains that converge to the target posterior distribution </w:t>
      </w:r>
      <w:r w:rsidR="009737A4" w:rsidRPr="00A90CCE">
        <w:rPr>
          <w:color w:val="000000" w:themeColor="text1"/>
          <w:lang w:eastAsia="en-GB"/>
        </w:rPr>
        <w:t xml:space="preserve">with no divergent transitions (see Appendix </w:t>
      </w:r>
      <w:r w:rsidR="003E5D1A" w:rsidRPr="00A90CCE">
        <w:rPr>
          <w:color w:val="000000" w:themeColor="text1"/>
          <w:lang w:eastAsia="en-GB"/>
        </w:rPr>
        <w:t>D</w:t>
      </w:r>
      <w:r w:rsidR="009737A4" w:rsidRPr="00A90CCE">
        <w:rPr>
          <w:color w:val="000000" w:themeColor="text1"/>
          <w:lang w:eastAsia="en-GB"/>
        </w:rPr>
        <w:t xml:space="preserve">). </w:t>
      </w:r>
    </w:p>
    <w:p w14:paraId="5E92F114" w14:textId="4D22154A" w:rsidR="00C11D54" w:rsidRPr="00A90CCE" w:rsidRDefault="009E5B3F" w:rsidP="00C11D54">
      <w:pPr>
        <w:pStyle w:val="ListParagraph"/>
        <w:numPr>
          <w:ilvl w:val="0"/>
          <w:numId w:val="1"/>
        </w:numPr>
        <w:spacing w:after="120" w:line="480" w:lineRule="auto"/>
        <w:rPr>
          <w:b/>
          <w:bCs/>
          <w:color w:val="000000" w:themeColor="text1"/>
          <w:lang w:val="en-GB" w:eastAsia="en-GB"/>
        </w:rPr>
      </w:pPr>
      <w:r w:rsidRPr="00A90CCE">
        <w:rPr>
          <w:b/>
          <w:bCs/>
          <w:color w:val="000000" w:themeColor="text1"/>
          <w:lang w:val="en-GB" w:eastAsia="en-GB"/>
        </w:rPr>
        <w:t>Empirical Findings</w:t>
      </w:r>
    </w:p>
    <w:p w14:paraId="4ADE8627" w14:textId="2C6FF6DC" w:rsidR="002F1F8C" w:rsidRDefault="00C11D54" w:rsidP="00DA1368">
      <w:pPr>
        <w:spacing w:after="120" w:line="480" w:lineRule="auto"/>
        <w:jc w:val="both"/>
        <w:rPr>
          <w:color w:val="000000" w:themeColor="text1"/>
          <w:lang w:eastAsia="en-GB"/>
        </w:rPr>
      </w:pPr>
      <w:r w:rsidRPr="00A90CCE">
        <w:rPr>
          <w:color w:val="000000" w:themeColor="text1"/>
          <w:lang w:eastAsia="en-GB"/>
        </w:rPr>
        <w:t xml:space="preserve">Table 1 presents the results of the </w:t>
      </w:r>
      <w:r w:rsidR="002F1F8C">
        <w:rPr>
          <w:color w:val="000000" w:themeColor="text1"/>
          <w:lang w:eastAsia="en-GB"/>
        </w:rPr>
        <w:t xml:space="preserve">Bayesian </w:t>
      </w:r>
      <w:r w:rsidRPr="00A90CCE">
        <w:rPr>
          <w:color w:val="000000" w:themeColor="text1"/>
          <w:lang w:eastAsia="en-GB"/>
        </w:rPr>
        <w:t>multilevel logistic regression models. Models 1-3 present results for voting behaviour whilst Models 4-6 present result for protest participation. Model 1 reports the baseline association between individual age and city</w:t>
      </w:r>
      <w:r w:rsidR="00E23B8F" w:rsidRPr="00A90CCE">
        <w:rPr>
          <w:color w:val="000000" w:themeColor="text1"/>
          <w:lang w:eastAsia="en-GB"/>
        </w:rPr>
        <w:t>-level</w:t>
      </w:r>
      <w:r w:rsidRPr="00A90CCE">
        <w:rPr>
          <w:color w:val="000000" w:themeColor="text1"/>
          <w:lang w:eastAsia="en-GB"/>
        </w:rPr>
        <w:t xml:space="preserve"> youth shares with respect to individual self-reported voting behaviour. </w:t>
      </w:r>
    </w:p>
    <w:p w14:paraId="45028637" w14:textId="77777777" w:rsidR="002F1F8C" w:rsidRDefault="002F1F8C" w:rsidP="00DA1368">
      <w:pPr>
        <w:spacing w:after="120" w:line="480" w:lineRule="auto"/>
        <w:jc w:val="both"/>
        <w:rPr>
          <w:color w:val="000000" w:themeColor="text1"/>
          <w:lang w:eastAsia="en-GB"/>
        </w:rPr>
      </w:pPr>
    </w:p>
    <w:tbl>
      <w:tblPr>
        <w:tblW w:w="0" w:type="auto"/>
        <w:tblCellMar>
          <w:top w:w="15" w:type="dxa"/>
          <w:left w:w="28" w:type="dxa"/>
          <w:bottom w:w="15" w:type="dxa"/>
          <w:right w:w="28" w:type="dxa"/>
        </w:tblCellMar>
        <w:tblLook w:val="04A0" w:firstRow="1" w:lastRow="0" w:firstColumn="1" w:lastColumn="0" w:noHBand="0" w:noVBand="1"/>
      </w:tblPr>
      <w:tblGrid>
        <w:gridCol w:w="1779"/>
        <w:gridCol w:w="1157"/>
        <w:gridCol w:w="62"/>
        <w:gridCol w:w="1156"/>
        <w:gridCol w:w="62"/>
        <w:gridCol w:w="1156"/>
        <w:gridCol w:w="62"/>
        <w:gridCol w:w="1156"/>
        <w:gridCol w:w="62"/>
        <w:gridCol w:w="1156"/>
        <w:gridCol w:w="62"/>
        <w:gridCol w:w="1156"/>
      </w:tblGrid>
      <w:tr w:rsidR="002F1F8C" w:rsidRPr="00A90CCE" w14:paraId="450E2E5C" w14:textId="77777777" w:rsidTr="00B648EF">
        <w:tc>
          <w:tcPr>
            <w:tcW w:w="9026" w:type="dxa"/>
            <w:gridSpan w:val="12"/>
            <w:tcBorders>
              <w:bottom w:val="single" w:sz="4" w:space="0" w:color="000000"/>
            </w:tcBorders>
            <w:vAlign w:val="center"/>
          </w:tcPr>
          <w:p w14:paraId="575DD055" w14:textId="25CF9CBE" w:rsidR="002F1F8C" w:rsidRPr="00A90CCE" w:rsidRDefault="002F1F8C" w:rsidP="00B648EF">
            <w:pPr>
              <w:rPr>
                <w:sz w:val="22"/>
                <w:szCs w:val="22"/>
              </w:rPr>
            </w:pPr>
            <w:r w:rsidRPr="00A90CCE">
              <w:rPr>
                <w:sz w:val="22"/>
                <w:szCs w:val="22"/>
              </w:rPr>
              <w:t xml:space="preserve">Table 1. </w:t>
            </w:r>
            <w:r w:rsidR="002F6B4F">
              <w:rPr>
                <w:sz w:val="22"/>
                <w:szCs w:val="22"/>
              </w:rPr>
              <w:t>Age, demographic context, and political participation</w:t>
            </w:r>
          </w:p>
        </w:tc>
      </w:tr>
      <w:tr w:rsidR="002F1F8C" w:rsidRPr="00A90CCE" w14:paraId="17C3B1E1" w14:textId="77777777" w:rsidTr="00B648EF">
        <w:tc>
          <w:tcPr>
            <w:tcW w:w="1779" w:type="dxa"/>
            <w:tcBorders>
              <w:top w:val="double" w:sz="4" w:space="0" w:color="auto"/>
            </w:tcBorders>
            <w:vAlign w:val="center"/>
          </w:tcPr>
          <w:p w14:paraId="4C156553" w14:textId="77777777" w:rsidR="002F1F8C" w:rsidRPr="00A90CCE" w:rsidRDefault="002F1F8C" w:rsidP="00B648EF">
            <w:pPr>
              <w:rPr>
                <w:i/>
                <w:iCs/>
                <w:sz w:val="22"/>
                <w:szCs w:val="22"/>
              </w:rPr>
            </w:pPr>
          </w:p>
        </w:tc>
        <w:tc>
          <w:tcPr>
            <w:tcW w:w="7247" w:type="dxa"/>
            <w:gridSpan w:val="11"/>
            <w:tcBorders>
              <w:top w:val="double" w:sz="4" w:space="0" w:color="auto"/>
              <w:bottom w:val="single" w:sz="4" w:space="0" w:color="auto"/>
            </w:tcBorders>
            <w:vAlign w:val="center"/>
          </w:tcPr>
          <w:p w14:paraId="6BDCFC30" w14:textId="77777777" w:rsidR="002F1F8C" w:rsidRPr="00A90CCE" w:rsidRDefault="002F1F8C" w:rsidP="00B648EF">
            <w:pPr>
              <w:jc w:val="center"/>
              <w:rPr>
                <w:i/>
                <w:iCs/>
                <w:sz w:val="22"/>
                <w:szCs w:val="22"/>
              </w:rPr>
            </w:pPr>
            <w:r w:rsidRPr="00A90CCE">
              <w:rPr>
                <w:i/>
                <w:iCs/>
                <w:sz w:val="22"/>
                <w:szCs w:val="22"/>
              </w:rPr>
              <w:t>Dependent variables:</w:t>
            </w:r>
          </w:p>
        </w:tc>
      </w:tr>
      <w:tr w:rsidR="002F1F8C" w:rsidRPr="00A90CCE" w14:paraId="3F97ED86" w14:textId="77777777" w:rsidTr="00B648EF">
        <w:tc>
          <w:tcPr>
            <w:tcW w:w="1779" w:type="dxa"/>
            <w:vAlign w:val="center"/>
          </w:tcPr>
          <w:p w14:paraId="498BC28E" w14:textId="77777777" w:rsidR="002F1F8C" w:rsidRPr="00A90CCE" w:rsidRDefault="002F1F8C" w:rsidP="00B648EF">
            <w:pPr>
              <w:rPr>
                <w:i/>
                <w:iCs/>
                <w:sz w:val="22"/>
                <w:szCs w:val="22"/>
              </w:rPr>
            </w:pPr>
          </w:p>
        </w:tc>
        <w:tc>
          <w:tcPr>
            <w:tcW w:w="3593" w:type="dxa"/>
            <w:gridSpan w:val="5"/>
            <w:tcBorders>
              <w:top w:val="single" w:sz="4" w:space="0" w:color="auto"/>
              <w:bottom w:val="single" w:sz="4" w:space="0" w:color="000000"/>
            </w:tcBorders>
            <w:vAlign w:val="center"/>
          </w:tcPr>
          <w:p w14:paraId="11B395CF" w14:textId="77777777" w:rsidR="002F1F8C" w:rsidRPr="00A90CCE" w:rsidRDefault="002F1F8C" w:rsidP="00B648EF">
            <w:pPr>
              <w:jc w:val="center"/>
              <w:rPr>
                <w:sz w:val="22"/>
                <w:szCs w:val="22"/>
              </w:rPr>
            </w:pPr>
            <w:r w:rsidRPr="00A90CCE">
              <w:rPr>
                <w:sz w:val="22"/>
                <w:szCs w:val="22"/>
              </w:rPr>
              <w:t>Voted</w:t>
            </w:r>
          </w:p>
        </w:tc>
        <w:tc>
          <w:tcPr>
            <w:tcW w:w="62" w:type="dxa"/>
            <w:tcBorders>
              <w:top w:val="single" w:sz="4" w:space="0" w:color="auto"/>
              <w:bottom w:val="single" w:sz="4" w:space="0" w:color="000000"/>
            </w:tcBorders>
          </w:tcPr>
          <w:p w14:paraId="3186DFF8" w14:textId="77777777" w:rsidR="002F1F8C" w:rsidRPr="00A90CCE" w:rsidRDefault="002F1F8C" w:rsidP="00B648EF">
            <w:pPr>
              <w:jc w:val="center"/>
              <w:rPr>
                <w:sz w:val="22"/>
                <w:szCs w:val="22"/>
              </w:rPr>
            </w:pPr>
          </w:p>
        </w:tc>
        <w:tc>
          <w:tcPr>
            <w:tcW w:w="3592" w:type="dxa"/>
            <w:gridSpan w:val="5"/>
            <w:tcBorders>
              <w:top w:val="single" w:sz="4" w:space="0" w:color="auto"/>
              <w:bottom w:val="single" w:sz="4" w:space="0" w:color="000000"/>
            </w:tcBorders>
            <w:vAlign w:val="center"/>
          </w:tcPr>
          <w:p w14:paraId="1E4B08A9" w14:textId="77777777" w:rsidR="002F1F8C" w:rsidRPr="00A90CCE" w:rsidRDefault="002F1F8C" w:rsidP="00B648EF">
            <w:pPr>
              <w:jc w:val="center"/>
              <w:rPr>
                <w:sz w:val="22"/>
                <w:szCs w:val="22"/>
              </w:rPr>
            </w:pPr>
            <w:r w:rsidRPr="00A90CCE">
              <w:rPr>
                <w:sz w:val="22"/>
                <w:szCs w:val="22"/>
              </w:rPr>
              <w:t>Attended Protest</w:t>
            </w:r>
          </w:p>
        </w:tc>
      </w:tr>
      <w:tr w:rsidR="002F1F8C" w:rsidRPr="00A90CCE" w14:paraId="2AF695F3" w14:textId="77777777" w:rsidTr="00B648EF">
        <w:tc>
          <w:tcPr>
            <w:tcW w:w="1779" w:type="dxa"/>
            <w:tcBorders>
              <w:bottom w:val="single" w:sz="4" w:space="0" w:color="000000"/>
            </w:tcBorders>
            <w:vAlign w:val="center"/>
            <w:hideMark/>
          </w:tcPr>
          <w:p w14:paraId="427FF503" w14:textId="77777777" w:rsidR="002F1F8C" w:rsidRPr="00A90CCE" w:rsidRDefault="002F1F8C" w:rsidP="00B648EF">
            <w:pPr>
              <w:rPr>
                <w:i/>
                <w:iCs/>
                <w:sz w:val="22"/>
                <w:szCs w:val="22"/>
              </w:rPr>
            </w:pPr>
          </w:p>
        </w:tc>
        <w:tc>
          <w:tcPr>
            <w:tcW w:w="1157" w:type="dxa"/>
            <w:tcBorders>
              <w:top w:val="single" w:sz="4" w:space="0" w:color="000000"/>
              <w:bottom w:val="single" w:sz="4" w:space="0" w:color="000000"/>
            </w:tcBorders>
            <w:vAlign w:val="center"/>
            <w:hideMark/>
          </w:tcPr>
          <w:p w14:paraId="41E74AEF" w14:textId="77777777" w:rsidR="002F1F8C" w:rsidRPr="00A90CCE" w:rsidRDefault="002F1F8C" w:rsidP="00B648EF">
            <w:pPr>
              <w:jc w:val="center"/>
              <w:rPr>
                <w:sz w:val="22"/>
                <w:szCs w:val="22"/>
              </w:rPr>
            </w:pPr>
            <w:r w:rsidRPr="00A90CCE">
              <w:rPr>
                <w:sz w:val="22"/>
                <w:szCs w:val="22"/>
              </w:rPr>
              <w:t>(1)</w:t>
            </w:r>
          </w:p>
        </w:tc>
        <w:tc>
          <w:tcPr>
            <w:tcW w:w="62" w:type="dxa"/>
            <w:tcBorders>
              <w:top w:val="single" w:sz="4" w:space="0" w:color="000000"/>
              <w:bottom w:val="single" w:sz="4" w:space="0" w:color="000000"/>
            </w:tcBorders>
          </w:tcPr>
          <w:p w14:paraId="61327A4E" w14:textId="77777777" w:rsidR="002F1F8C" w:rsidRPr="00A90CCE" w:rsidRDefault="002F1F8C" w:rsidP="00B648EF">
            <w:pPr>
              <w:jc w:val="center"/>
              <w:rPr>
                <w:sz w:val="22"/>
                <w:szCs w:val="22"/>
              </w:rPr>
            </w:pPr>
          </w:p>
        </w:tc>
        <w:tc>
          <w:tcPr>
            <w:tcW w:w="1156" w:type="dxa"/>
            <w:tcBorders>
              <w:top w:val="single" w:sz="4" w:space="0" w:color="000000"/>
              <w:bottom w:val="single" w:sz="4" w:space="0" w:color="000000"/>
            </w:tcBorders>
            <w:vAlign w:val="center"/>
            <w:hideMark/>
          </w:tcPr>
          <w:p w14:paraId="688AE71D" w14:textId="77777777" w:rsidR="002F1F8C" w:rsidRPr="00A90CCE" w:rsidRDefault="002F1F8C" w:rsidP="00B648EF">
            <w:pPr>
              <w:jc w:val="center"/>
              <w:rPr>
                <w:sz w:val="22"/>
                <w:szCs w:val="22"/>
              </w:rPr>
            </w:pPr>
            <w:r w:rsidRPr="00A90CCE">
              <w:rPr>
                <w:sz w:val="22"/>
                <w:szCs w:val="22"/>
              </w:rPr>
              <w:t>(2)</w:t>
            </w:r>
          </w:p>
        </w:tc>
        <w:tc>
          <w:tcPr>
            <w:tcW w:w="62" w:type="dxa"/>
            <w:tcBorders>
              <w:top w:val="single" w:sz="4" w:space="0" w:color="000000"/>
              <w:bottom w:val="single" w:sz="4" w:space="0" w:color="000000"/>
            </w:tcBorders>
          </w:tcPr>
          <w:p w14:paraId="33D12924" w14:textId="77777777" w:rsidR="002F1F8C" w:rsidRPr="00A90CCE" w:rsidRDefault="002F1F8C" w:rsidP="00B648EF">
            <w:pPr>
              <w:jc w:val="center"/>
              <w:rPr>
                <w:sz w:val="22"/>
                <w:szCs w:val="22"/>
              </w:rPr>
            </w:pPr>
          </w:p>
        </w:tc>
        <w:tc>
          <w:tcPr>
            <w:tcW w:w="1156" w:type="dxa"/>
            <w:tcBorders>
              <w:top w:val="single" w:sz="4" w:space="0" w:color="000000"/>
              <w:bottom w:val="single" w:sz="4" w:space="0" w:color="000000"/>
            </w:tcBorders>
            <w:vAlign w:val="center"/>
            <w:hideMark/>
          </w:tcPr>
          <w:p w14:paraId="7A24093D" w14:textId="77777777" w:rsidR="002F1F8C" w:rsidRPr="00A90CCE" w:rsidRDefault="002F1F8C" w:rsidP="00B648EF">
            <w:pPr>
              <w:jc w:val="center"/>
              <w:rPr>
                <w:sz w:val="22"/>
                <w:szCs w:val="22"/>
              </w:rPr>
            </w:pPr>
            <w:r w:rsidRPr="00A90CCE">
              <w:rPr>
                <w:sz w:val="22"/>
                <w:szCs w:val="22"/>
              </w:rPr>
              <w:t>(3)</w:t>
            </w:r>
          </w:p>
        </w:tc>
        <w:tc>
          <w:tcPr>
            <w:tcW w:w="62" w:type="dxa"/>
            <w:tcBorders>
              <w:top w:val="single" w:sz="4" w:space="0" w:color="000000"/>
              <w:bottom w:val="single" w:sz="4" w:space="0" w:color="000000"/>
            </w:tcBorders>
          </w:tcPr>
          <w:p w14:paraId="53836E15" w14:textId="77777777" w:rsidR="002F1F8C" w:rsidRPr="00A90CCE" w:rsidRDefault="002F1F8C" w:rsidP="00B648EF">
            <w:pPr>
              <w:jc w:val="center"/>
              <w:rPr>
                <w:sz w:val="22"/>
                <w:szCs w:val="22"/>
              </w:rPr>
            </w:pPr>
          </w:p>
        </w:tc>
        <w:tc>
          <w:tcPr>
            <w:tcW w:w="1156" w:type="dxa"/>
            <w:tcBorders>
              <w:top w:val="single" w:sz="4" w:space="0" w:color="000000"/>
              <w:bottom w:val="single" w:sz="4" w:space="0" w:color="000000"/>
            </w:tcBorders>
            <w:vAlign w:val="center"/>
            <w:hideMark/>
          </w:tcPr>
          <w:p w14:paraId="7422FE4E" w14:textId="77777777" w:rsidR="002F1F8C" w:rsidRPr="00A90CCE" w:rsidRDefault="002F1F8C" w:rsidP="00B648EF">
            <w:pPr>
              <w:jc w:val="center"/>
              <w:rPr>
                <w:sz w:val="22"/>
                <w:szCs w:val="22"/>
              </w:rPr>
            </w:pPr>
            <w:r w:rsidRPr="00A90CCE">
              <w:rPr>
                <w:sz w:val="22"/>
                <w:szCs w:val="22"/>
              </w:rPr>
              <w:t>(4)</w:t>
            </w:r>
          </w:p>
        </w:tc>
        <w:tc>
          <w:tcPr>
            <w:tcW w:w="62" w:type="dxa"/>
            <w:tcBorders>
              <w:top w:val="single" w:sz="4" w:space="0" w:color="000000"/>
              <w:bottom w:val="single" w:sz="4" w:space="0" w:color="000000"/>
            </w:tcBorders>
          </w:tcPr>
          <w:p w14:paraId="7D82FF00" w14:textId="77777777" w:rsidR="002F1F8C" w:rsidRPr="00A90CCE" w:rsidRDefault="002F1F8C" w:rsidP="00B648EF">
            <w:pPr>
              <w:jc w:val="center"/>
              <w:rPr>
                <w:sz w:val="22"/>
                <w:szCs w:val="22"/>
              </w:rPr>
            </w:pPr>
          </w:p>
        </w:tc>
        <w:tc>
          <w:tcPr>
            <w:tcW w:w="1156" w:type="dxa"/>
            <w:tcBorders>
              <w:top w:val="single" w:sz="4" w:space="0" w:color="000000"/>
              <w:bottom w:val="single" w:sz="4" w:space="0" w:color="000000"/>
            </w:tcBorders>
            <w:vAlign w:val="center"/>
            <w:hideMark/>
          </w:tcPr>
          <w:p w14:paraId="257DAF31" w14:textId="77777777" w:rsidR="002F1F8C" w:rsidRPr="00A90CCE" w:rsidRDefault="002F1F8C" w:rsidP="00B648EF">
            <w:pPr>
              <w:jc w:val="center"/>
              <w:rPr>
                <w:sz w:val="22"/>
                <w:szCs w:val="22"/>
              </w:rPr>
            </w:pPr>
            <w:r w:rsidRPr="00A90CCE">
              <w:rPr>
                <w:sz w:val="22"/>
                <w:szCs w:val="22"/>
              </w:rPr>
              <w:t>(5)</w:t>
            </w:r>
          </w:p>
        </w:tc>
        <w:tc>
          <w:tcPr>
            <w:tcW w:w="62" w:type="dxa"/>
            <w:tcBorders>
              <w:top w:val="single" w:sz="4" w:space="0" w:color="000000"/>
              <w:bottom w:val="single" w:sz="4" w:space="0" w:color="000000"/>
            </w:tcBorders>
          </w:tcPr>
          <w:p w14:paraId="61B6BEF2" w14:textId="77777777" w:rsidR="002F1F8C" w:rsidRPr="00A90CCE" w:rsidRDefault="002F1F8C" w:rsidP="00B648EF">
            <w:pPr>
              <w:jc w:val="center"/>
              <w:rPr>
                <w:sz w:val="22"/>
                <w:szCs w:val="22"/>
              </w:rPr>
            </w:pPr>
          </w:p>
        </w:tc>
        <w:tc>
          <w:tcPr>
            <w:tcW w:w="1156" w:type="dxa"/>
            <w:tcBorders>
              <w:top w:val="single" w:sz="4" w:space="0" w:color="000000"/>
              <w:bottom w:val="single" w:sz="4" w:space="0" w:color="000000"/>
            </w:tcBorders>
            <w:vAlign w:val="center"/>
            <w:hideMark/>
          </w:tcPr>
          <w:p w14:paraId="3AC82314" w14:textId="77777777" w:rsidR="002F1F8C" w:rsidRPr="00A90CCE" w:rsidRDefault="002F1F8C" w:rsidP="00B648EF">
            <w:pPr>
              <w:jc w:val="center"/>
              <w:rPr>
                <w:sz w:val="22"/>
                <w:szCs w:val="22"/>
              </w:rPr>
            </w:pPr>
            <w:r w:rsidRPr="00A90CCE">
              <w:rPr>
                <w:sz w:val="22"/>
                <w:szCs w:val="22"/>
              </w:rPr>
              <w:t>(6)</w:t>
            </w:r>
          </w:p>
        </w:tc>
      </w:tr>
      <w:tr w:rsidR="002F1F8C" w:rsidRPr="00A90CCE" w14:paraId="36F7168E" w14:textId="77777777" w:rsidTr="00B648EF">
        <w:tc>
          <w:tcPr>
            <w:tcW w:w="1779" w:type="dxa"/>
            <w:tcBorders>
              <w:top w:val="single" w:sz="4" w:space="0" w:color="000000"/>
            </w:tcBorders>
            <w:tcMar>
              <w:top w:w="11" w:type="dxa"/>
              <w:left w:w="11" w:type="dxa"/>
              <w:bottom w:w="11" w:type="dxa"/>
              <w:right w:w="11" w:type="dxa"/>
            </w:tcMar>
            <w:vAlign w:val="center"/>
            <w:hideMark/>
          </w:tcPr>
          <w:p w14:paraId="50E36364" w14:textId="77777777" w:rsidR="002F1F8C" w:rsidRPr="00A90CCE" w:rsidRDefault="002F1F8C" w:rsidP="00B648EF">
            <w:pPr>
              <w:spacing w:after="120"/>
              <w:rPr>
                <w:sz w:val="22"/>
                <w:szCs w:val="22"/>
              </w:rPr>
            </w:pPr>
            <w:r w:rsidRPr="00A90CCE">
              <w:rPr>
                <w:sz w:val="22"/>
                <w:szCs w:val="22"/>
              </w:rPr>
              <w:t>Youth share (%)</w:t>
            </w:r>
          </w:p>
        </w:tc>
        <w:tc>
          <w:tcPr>
            <w:tcW w:w="1157" w:type="dxa"/>
            <w:tcBorders>
              <w:top w:val="single" w:sz="4" w:space="0" w:color="000000"/>
            </w:tcBorders>
            <w:tcMar>
              <w:top w:w="11" w:type="dxa"/>
              <w:left w:w="11" w:type="dxa"/>
              <w:bottom w:w="11" w:type="dxa"/>
              <w:right w:w="11" w:type="dxa"/>
            </w:tcMar>
            <w:vAlign w:val="center"/>
            <w:hideMark/>
          </w:tcPr>
          <w:p w14:paraId="3E68E48C" w14:textId="77777777" w:rsidR="002F1F8C" w:rsidRPr="00A90CCE" w:rsidRDefault="002F1F8C" w:rsidP="00B648EF">
            <w:pPr>
              <w:spacing w:after="120"/>
              <w:jc w:val="center"/>
              <w:rPr>
                <w:sz w:val="21"/>
                <w:szCs w:val="21"/>
              </w:rPr>
            </w:pPr>
            <w:r w:rsidRPr="00A90CCE">
              <w:rPr>
                <w:sz w:val="21"/>
                <w:szCs w:val="21"/>
              </w:rPr>
              <w:t>1.01</w:t>
            </w:r>
            <w:r w:rsidRPr="00A90CCE">
              <w:rPr>
                <w:sz w:val="21"/>
                <w:szCs w:val="21"/>
              </w:rPr>
              <w:br/>
              <w:t>(0.92 – 1.11)</w:t>
            </w:r>
          </w:p>
        </w:tc>
        <w:tc>
          <w:tcPr>
            <w:tcW w:w="62" w:type="dxa"/>
            <w:tcBorders>
              <w:top w:val="single" w:sz="4" w:space="0" w:color="000000"/>
            </w:tcBorders>
          </w:tcPr>
          <w:p w14:paraId="591493F1" w14:textId="77777777" w:rsidR="002F1F8C" w:rsidRPr="00A90CCE" w:rsidRDefault="002F1F8C" w:rsidP="00B648EF">
            <w:pPr>
              <w:spacing w:after="120"/>
              <w:jc w:val="center"/>
              <w:rPr>
                <w:sz w:val="21"/>
                <w:szCs w:val="21"/>
              </w:rPr>
            </w:pPr>
          </w:p>
        </w:tc>
        <w:tc>
          <w:tcPr>
            <w:tcW w:w="1156" w:type="dxa"/>
            <w:tcBorders>
              <w:top w:val="single" w:sz="4" w:space="0" w:color="000000"/>
            </w:tcBorders>
            <w:tcMar>
              <w:top w:w="11" w:type="dxa"/>
              <w:left w:w="11" w:type="dxa"/>
              <w:bottom w:w="11" w:type="dxa"/>
              <w:right w:w="11" w:type="dxa"/>
            </w:tcMar>
            <w:vAlign w:val="center"/>
            <w:hideMark/>
          </w:tcPr>
          <w:p w14:paraId="057C7087" w14:textId="77777777" w:rsidR="002F1F8C" w:rsidRPr="00A90CCE" w:rsidRDefault="002F1F8C" w:rsidP="00B648EF">
            <w:pPr>
              <w:spacing w:after="120"/>
              <w:jc w:val="center"/>
              <w:rPr>
                <w:sz w:val="21"/>
                <w:szCs w:val="21"/>
              </w:rPr>
            </w:pPr>
            <w:r w:rsidRPr="00A90CCE">
              <w:rPr>
                <w:sz w:val="21"/>
                <w:szCs w:val="21"/>
              </w:rPr>
              <w:t>1.01</w:t>
            </w:r>
            <w:r w:rsidRPr="00A90CCE">
              <w:rPr>
                <w:sz w:val="21"/>
                <w:szCs w:val="21"/>
              </w:rPr>
              <w:br/>
              <w:t>(0.92 – 1.11)</w:t>
            </w:r>
          </w:p>
        </w:tc>
        <w:tc>
          <w:tcPr>
            <w:tcW w:w="62" w:type="dxa"/>
            <w:tcBorders>
              <w:top w:val="single" w:sz="4" w:space="0" w:color="000000"/>
            </w:tcBorders>
          </w:tcPr>
          <w:p w14:paraId="11F594B5" w14:textId="77777777" w:rsidR="002F1F8C" w:rsidRPr="00A90CCE" w:rsidRDefault="002F1F8C" w:rsidP="00B648EF">
            <w:pPr>
              <w:spacing w:after="120"/>
              <w:jc w:val="center"/>
              <w:rPr>
                <w:sz w:val="21"/>
                <w:szCs w:val="21"/>
              </w:rPr>
            </w:pPr>
          </w:p>
        </w:tc>
        <w:tc>
          <w:tcPr>
            <w:tcW w:w="1156" w:type="dxa"/>
            <w:tcBorders>
              <w:top w:val="single" w:sz="4" w:space="0" w:color="000000"/>
            </w:tcBorders>
            <w:tcMar>
              <w:top w:w="11" w:type="dxa"/>
              <w:left w:w="11" w:type="dxa"/>
              <w:bottom w:w="11" w:type="dxa"/>
              <w:right w:w="11" w:type="dxa"/>
            </w:tcMar>
            <w:vAlign w:val="center"/>
            <w:hideMark/>
          </w:tcPr>
          <w:p w14:paraId="155696EF" w14:textId="77777777" w:rsidR="002F1F8C" w:rsidRPr="00A90CCE" w:rsidRDefault="002F1F8C" w:rsidP="00B648EF">
            <w:pPr>
              <w:spacing w:after="120"/>
              <w:jc w:val="center"/>
              <w:rPr>
                <w:sz w:val="21"/>
                <w:szCs w:val="21"/>
              </w:rPr>
            </w:pPr>
            <w:r w:rsidRPr="00A90CCE">
              <w:rPr>
                <w:sz w:val="21"/>
                <w:szCs w:val="21"/>
              </w:rPr>
              <w:t>1.03</w:t>
            </w:r>
            <w:r w:rsidRPr="00A90CCE">
              <w:rPr>
                <w:sz w:val="21"/>
                <w:szCs w:val="21"/>
              </w:rPr>
              <w:br/>
              <w:t>(0.93 – 1.14)</w:t>
            </w:r>
          </w:p>
        </w:tc>
        <w:tc>
          <w:tcPr>
            <w:tcW w:w="62" w:type="dxa"/>
            <w:tcBorders>
              <w:top w:val="single" w:sz="4" w:space="0" w:color="000000"/>
            </w:tcBorders>
          </w:tcPr>
          <w:p w14:paraId="35E904A0" w14:textId="77777777" w:rsidR="002F1F8C" w:rsidRPr="00A90CCE" w:rsidRDefault="002F1F8C" w:rsidP="00B648EF">
            <w:pPr>
              <w:spacing w:after="120"/>
              <w:jc w:val="center"/>
              <w:rPr>
                <w:b/>
                <w:bCs/>
                <w:sz w:val="21"/>
                <w:szCs w:val="21"/>
              </w:rPr>
            </w:pPr>
          </w:p>
        </w:tc>
        <w:tc>
          <w:tcPr>
            <w:tcW w:w="1156" w:type="dxa"/>
            <w:tcBorders>
              <w:top w:val="single" w:sz="4" w:space="0" w:color="000000"/>
            </w:tcBorders>
            <w:tcMar>
              <w:top w:w="11" w:type="dxa"/>
              <w:left w:w="11" w:type="dxa"/>
              <w:bottom w:w="11" w:type="dxa"/>
              <w:right w:w="11" w:type="dxa"/>
            </w:tcMar>
            <w:vAlign w:val="center"/>
            <w:hideMark/>
          </w:tcPr>
          <w:p w14:paraId="476331A3" w14:textId="77777777" w:rsidR="002F1F8C" w:rsidRPr="00A90CCE" w:rsidRDefault="002F1F8C" w:rsidP="00B648EF">
            <w:pPr>
              <w:spacing w:after="120"/>
              <w:jc w:val="center"/>
              <w:rPr>
                <w:b/>
                <w:bCs/>
                <w:sz w:val="21"/>
                <w:szCs w:val="21"/>
              </w:rPr>
            </w:pPr>
            <w:r w:rsidRPr="00A90CCE">
              <w:rPr>
                <w:b/>
                <w:bCs/>
                <w:sz w:val="21"/>
                <w:szCs w:val="21"/>
              </w:rPr>
              <w:t>0.80</w:t>
            </w:r>
            <w:r w:rsidRPr="00A90CCE">
              <w:rPr>
                <w:b/>
                <w:bCs/>
                <w:sz w:val="21"/>
                <w:szCs w:val="21"/>
              </w:rPr>
              <w:br/>
              <w:t>(0.71 – 0.89)</w:t>
            </w:r>
          </w:p>
        </w:tc>
        <w:tc>
          <w:tcPr>
            <w:tcW w:w="62" w:type="dxa"/>
            <w:tcBorders>
              <w:top w:val="single" w:sz="4" w:space="0" w:color="000000"/>
            </w:tcBorders>
          </w:tcPr>
          <w:p w14:paraId="437406F1" w14:textId="77777777" w:rsidR="002F1F8C" w:rsidRPr="00A90CCE" w:rsidRDefault="002F1F8C" w:rsidP="00B648EF">
            <w:pPr>
              <w:spacing w:after="120"/>
              <w:jc w:val="center"/>
              <w:rPr>
                <w:b/>
                <w:bCs/>
                <w:sz w:val="21"/>
                <w:szCs w:val="21"/>
              </w:rPr>
            </w:pPr>
          </w:p>
        </w:tc>
        <w:tc>
          <w:tcPr>
            <w:tcW w:w="1156" w:type="dxa"/>
            <w:tcBorders>
              <w:top w:val="single" w:sz="4" w:space="0" w:color="000000"/>
            </w:tcBorders>
            <w:tcMar>
              <w:top w:w="11" w:type="dxa"/>
              <w:left w:w="11" w:type="dxa"/>
              <w:bottom w:w="11" w:type="dxa"/>
              <w:right w:w="11" w:type="dxa"/>
            </w:tcMar>
            <w:vAlign w:val="center"/>
            <w:hideMark/>
          </w:tcPr>
          <w:p w14:paraId="553B2564" w14:textId="77777777" w:rsidR="002F1F8C" w:rsidRPr="00A90CCE" w:rsidRDefault="002F1F8C" w:rsidP="00B648EF">
            <w:pPr>
              <w:spacing w:after="120"/>
              <w:jc w:val="center"/>
              <w:rPr>
                <w:b/>
                <w:bCs/>
                <w:sz w:val="21"/>
                <w:szCs w:val="21"/>
              </w:rPr>
            </w:pPr>
            <w:r w:rsidRPr="00A90CCE">
              <w:rPr>
                <w:b/>
                <w:bCs/>
                <w:sz w:val="21"/>
                <w:szCs w:val="21"/>
              </w:rPr>
              <w:t>0.78</w:t>
            </w:r>
            <w:r w:rsidRPr="00A90CCE">
              <w:rPr>
                <w:b/>
                <w:bCs/>
                <w:sz w:val="21"/>
                <w:szCs w:val="21"/>
              </w:rPr>
              <w:br/>
              <w:t>(0.70 – 0.87)</w:t>
            </w:r>
          </w:p>
        </w:tc>
        <w:tc>
          <w:tcPr>
            <w:tcW w:w="62" w:type="dxa"/>
            <w:tcBorders>
              <w:top w:val="single" w:sz="4" w:space="0" w:color="000000"/>
            </w:tcBorders>
          </w:tcPr>
          <w:p w14:paraId="59163F00" w14:textId="77777777" w:rsidR="002F1F8C" w:rsidRPr="00A90CCE" w:rsidRDefault="002F1F8C" w:rsidP="00B648EF">
            <w:pPr>
              <w:spacing w:after="120"/>
              <w:jc w:val="center"/>
              <w:rPr>
                <w:b/>
                <w:bCs/>
                <w:sz w:val="21"/>
                <w:szCs w:val="21"/>
              </w:rPr>
            </w:pPr>
          </w:p>
        </w:tc>
        <w:tc>
          <w:tcPr>
            <w:tcW w:w="1156" w:type="dxa"/>
            <w:tcBorders>
              <w:top w:val="single" w:sz="4" w:space="0" w:color="000000"/>
            </w:tcBorders>
            <w:tcMar>
              <w:top w:w="11" w:type="dxa"/>
              <w:left w:w="11" w:type="dxa"/>
              <w:bottom w:w="11" w:type="dxa"/>
              <w:right w:w="11" w:type="dxa"/>
            </w:tcMar>
            <w:vAlign w:val="center"/>
            <w:hideMark/>
          </w:tcPr>
          <w:p w14:paraId="457BBC64" w14:textId="77777777" w:rsidR="002F1F8C" w:rsidRPr="00A90CCE" w:rsidRDefault="002F1F8C" w:rsidP="00B648EF">
            <w:pPr>
              <w:spacing w:after="120"/>
              <w:jc w:val="center"/>
              <w:rPr>
                <w:b/>
                <w:bCs/>
                <w:sz w:val="21"/>
                <w:szCs w:val="21"/>
              </w:rPr>
            </w:pPr>
            <w:r w:rsidRPr="00A90CCE">
              <w:rPr>
                <w:b/>
                <w:bCs/>
                <w:sz w:val="21"/>
                <w:szCs w:val="21"/>
              </w:rPr>
              <w:t>0.84</w:t>
            </w:r>
            <w:r w:rsidRPr="00A90CCE">
              <w:rPr>
                <w:b/>
                <w:bCs/>
                <w:sz w:val="21"/>
                <w:szCs w:val="21"/>
              </w:rPr>
              <w:br/>
              <w:t>(0.75 – 0.95)</w:t>
            </w:r>
          </w:p>
        </w:tc>
      </w:tr>
      <w:tr w:rsidR="002F1F8C" w:rsidRPr="00A90CCE" w14:paraId="75531A10" w14:textId="77777777" w:rsidTr="00B648EF">
        <w:tc>
          <w:tcPr>
            <w:tcW w:w="1779" w:type="dxa"/>
            <w:tcMar>
              <w:top w:w="11" w:type="dxa"/>
              <w:left w:w="11" w:type="dxa"/>
              <w:bottom w:w="11" w:type="dxa"/>
              <w:right w:w="11" w:type="dxa"/>
            </w:tcMar>
            <w:vAlign w:val="center"/>
            <w:hideMark/>
          </w:tcPr>
          <w:p w14:paraId="40291157" w14:textId="77777777" w:rsidR="002F1F8C" w:rsidRPr="00A90CCE" w:rsidRDefault="002F1F8C" w:rsidP="00B648EF">
            <w:pPr>
              <w:spacing w:after="120"/>
              <w:rPr>
                <w:sz w:val="22"/>
                <w:szCs w:val="22"/>
              </w:rPr>
            </w:pPr>
            <w:r w:rsidRPr="00A90CCE">
              <w:rPr>
                <w:sz w:val="22"/>
                <w:szCs w:val="22"/>
              </w:rPr>
              <w:t>Total population (ln)</w:t>
            </w:r>
          </w:p>
        </w:tc>
        <w:tc>
          <w:tcPr>
            <w:tcW w:w="1157" w:type="dxa"/>
            <w:tcMar>
              <w:top w:w="11" w:type="dxa"/>
              <w:left w:w="11" w:type="dxa"/>
              <w:bottom w:w="11" w:type="dxa"/>
              <w:right w:w="11" w:type="dxa"/>
            </w:tcMar>
            <w:vAlign w:val="center"/>
            <w:hideMark/>
          </w:tcPr>
          <w:p w14:paraId="028B0296" w14:textId="77777777" w:rsidR="002F1F8C" w:rsidRPr="00A90CCE" w:rsidRDefault="002F1F8C" w:rsidP="00B648EF">
            <w:pPr>
              <w:spacing w:after="120"/>
              <w:jc w:val="center"/>
              <w:rPr>
                <w:sz w:val="21"/>
                <w:szCs w:val="21"/>
              </w:rPr>
            </w:pPr>
            <w:r w:rsidRPr="00A90CCE">
              <w:rPr>
                <w:sz w:val="21"/>
                <w:szCs w:val="21"/>
              </w:rPr>
              <w:t>1.04</w:t>
            </w:r>
            <w:r w:rsidRPr="00A90CCE">
              <w:rPr>
                <w:sz w:val="21"/>
                <w:szCs w:val="21"/>
              </w:rPr>
              <w:br/>
              <w:t>(0.90 – 1.20)</w:t>
            </w:r>
          </w:p>
        </w:tc>
        <w:tc>
          <w:tcPr>
            <w:tcW w:w="62" w:type="dxa"/>
          </w:tcPr>
          <w:p w14:paraId="29EEEF03"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4E541A9C" w14:textId="77777777" w:rsidR="002F1F8C" w:rsidRPr="00A90CCE" w:rsidRDefault="002F1F8C" w:rsidP="00B648EF">
            <w:pPr>
              <w:spacing w:after="120"/>
              <w:jc w:val="center"/>
              <w:rPr>
                <w:sz w:val="21"/>
                <w:szCs w:val="21"/>
              </w:rPr>
            </w:pPr>
            <w:r w:rsidRPr="00A90CCE">
              <w:rPr>
                <w:sz w:val="21"/>
                <w:szCs w:val="21"/>
              </w:rPr>
              <w:t>1.04</w:t>
            </w:r>
            <w:r w:rsidRPr="00A90CCE">
              <w:rPr>
                <w:sz w:val="21"/>
                <w:szCs w:val="21"/>
              </w:rPr>
              <w:br/>
              <w:t>(0.90 – 1.20)</w:t>
            </w:r>
          </w:p>
        </w:tc>
        <w:tc>
          <w:tcPr>
            <w:tcW w:w="62" w:type="dxa"/>
          </w:tcPr>
          <w:p w14:paraId="0B8DBF52"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57F16ECD" w14:textId="77777777" w:rsidR="002F1F8C" w:rsidRPr="00A90CCE" w:rsidRDefault="002F1F8C" w:rsidP="00B648EF">
            <w:pPr>
              <w:spacing w:after="120"/>
              <w:jc w:val="center"/>
              <w:rPr>
                <w:sz w:val="21"/>
                <w:szCs w:val="21"/>
              </w:rPr>
            </w:pPr>
            <w:r w:rsidRPr="00A90CCE">
              <w:rPr>
                <w:sz w:val="21"/>
                <w:szCs w:val="21"/>
              </w:rPr>
              <w:t>1.03</w:t>
            </w:r>
            <w:r w:rsidRPr="00A90CCE">
              <w:rPr>
                <w:sz w:val="21"/>
                <w:szCs w:val="21"/>
              </w:rPr>
              <w:br/>
              <w:t>(0.90 – 1.20)</w:t>
            </w:r>
          </w:p>
        </w:tc>
        <w:tc>
          <w:tcPr>
            <w:tcW w:w="62" w:type="dxa"/>
          </w:tcPr>
          <w:p w14:paraId="64348949"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4E83950D" w14:textId="77777777" w:rsidR="002F1F8C" w:rsidRPr="00A90CCE" w:rsidRDefault="002F1F8C" w:rsidP="00B648EF">
            <w:pPr>
              <w:spacing w:after="120"/>
              <w:jc w:val="center"/>
              <w:rPr>
                <w:sz w:val="21"/>
                <w:szCs w:val="21"/>
              </w:rPr>
            </w:pPr>
            <w:r w:rsidRPr="00A90CCE">
              <w:rPr>
                <w:sz w:val="21"/>
                <w:szCs w:val="21"/>
              </w:rPr>
              <w:t>1.16</w:t>
            </w:r>
            <w:r w:rsidRPr="00A90CCE">
              <w:rPr>
                <w:sz w:val="21"/>
                <w:szCs w:val="21"/>
              </w:rPr>
              <w:br/>
              <w:t>(0.98 – 1.39)</w:t>
            </w:r>
          </w:p>
        </w:tc>
        <w:tc>
          <w:tcPr>
            <w:tcW w:w="62" w:type="dxa"/>
          </w:tcPr>
          <w:p w14:paraId="28FA0444"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1A8277CD" w14:textId="77777777" w:rsidR="002F1F8C" w:rsidRPr="00A90CCE" w:rsidRDefault="002F1F8C" w:rsidP="00B648EF">
            <w:pPr>
              <w:spacing w:after="120"/>
              <w:jc w:val="center"/>
              <w:rPr>
                <w:sz w:val="21"/>
                <w:szCs w:val="21"/>
              </w:rPr>
            </w:pPr>
            <w:r w:rsidRPr="00A90CCE">
              <w:rPr>
                <w:sz w:val="21"/>
                <w:szCs w:val="21"/>
              </w:rPr>
              <w:t>1.13</w:t>
            </w:r>
            <w:r w:rsidRPr="00A90CCE">
              <w:rPr>
                <w:sz w:val="21"/>
                <w:szCs w:val="21"/>
              </w:rPr>
              <w:br/>
              <w:t>(0.96 – 1.35)</w:t>
            </w:r>
          </w:p>
        </w:tc>
        <w:tc>
          <w:tcPr>
            <w:tcW w:w="62" w:type="dxa"/>
          </w:tcPr>
          <w:p w14:paraId="1A3AB7CF"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59AA4CDA" w14:textId="77777777" w:rsidR="002F1F8C" w:rsidRPr="00A90CCE" w:rsidRDefault="002F1F8C" w:rsidP="00B648EF">
            <w:pPr>
              <w:spacing w:after="120"/>
              <w:jc w:val="center"/>
              <w:rPr>
                <w:sz w:val="21"/>
                <w:szCs w:val="21"/>
              </w:rPr>
            </w:pPr>
            <w:r w:rsidRPr="00A90CCE">
              <w:rPr>
                <w:sz w:val="21"/>
                <w:szCs w:val="21"/>
              </w:rPr>
              <w:t>1.13</w:t>
            </w:r>
            <w:r w:rsidRPr="00A90CCE">
              <w:rPr>
                <w:sz w:val="21"/>
                <w:szCs w:val="21"/>
              </w:rPr>
              <w:br/>
              <w:t>(0.95 – 1.35)</w:t>
            </w:r>
          </w:p>
        </w:tc>
      </w:tr>
      <w:tr w:rsidR="002F1F8C" w:rsidRPr="00A90CCE" w14:paraId="7FDFDA55" w14:textId="77777777" w:rsidTr="00B648EF">
        <w:tc>
          <w:tcPr>
            <w:tcW w:w="1779" w:type="dxa"/>
            <w:tcMar>
              <w:top w:w="11" w:type="dxa"/>
              <w:left w:w="11" w:type="dxa"/>
              <w:bottom w:w="11" w:type="dxa"/>
              <w:right w:w="11" w:type="dxa"/>
            </w:tcMar>
            <w:vAlign w:val="center"/>
            <w:hideMark/>
          </w:tcPr>
          <w:p w14:paraId="101BD3F9" w14:textId="77777777" w:rsidR="002F1F8C" w:rsidRPr="00A90CCE" w:rsidRDefault="002F1F8C" w:rsidP="00B648EF">
            <w:pPr>
              <w:spacing w:after="120"/>
              <w:rPr>
                <w:sz w:val="22"/>
                <w:szCs w:val="22"/>
              </w:rPr>
            </w:pPr>
            <w:r w:rsidRPr="00A90CCE">
              <w:rPr>
                <w:sz w:val="22"/>
                <w:szCs w:val="22"/>
              </w:rPr>
              <w:t>Population density</w:t>
            </w:r>
          </w:p>
        </w:tc>
        <w:tc>
          <w:tcPr>
            <w:tcW w:w="1157" w:type="dxa"/>
            <w:tcMar>
              <w:top w:w="11" w:type="dxa"/>
              <w:left w:w="11" w:type="dxa"/>
              <w:bottom w:w="11" w:type="dxa"/>
              <w:right w:w="11" w:type="dxa"/>
            </w:tcMar>
            <w:vAlign w:val="center"/>
            <w:hideMark/>
          </w:tcPr>
          <w:p w14:paraId="169FAA30" w14:textId="77777777" w:rsidR="002F1F8C" w:rsidRPr="00A90CCE" w:rsidRDefault="002F1F8C" w:rsidP="00B648EF">
            <w:pPr>
              <w:spacing w:after="120"/>
              <w:jc w:val="center"/>
              <w:rPr>
                <w:sz w:val="21"/>
                <w:szCs w:val="21"/>
              </w:rPr>
            </w:pPr>
            <w:r w:rsidRPr="00A90CCE">
              <w:rPr>
                <w:sz w:val="21"/>
                <w:szCs w:val="21"/>
              </w:rPr>
              <w:t>0.95</w:t>
            </w:r>
            <w:r w:rsidRPr="00A90CCE">
              <w:rPr>
                <w:sz w:val="21"/>
                <w:szCs w:val="21"/>
              </w:rPr>
              <w:br/>
              <w:t>(0.83 – 1.09)</w:t>
            </w:r>
          </w:p>
        </w:tc>
        <w:tc>
          <w:tcPr>
            <w:tcW w:w="62" w:type="dxa"/>
          </w:tcPr>
          <w:p w14:paraId="0650A5CB"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5EF5129E" w14:textId="77777777" w:rsidR="002F1F8C" w:rsidRPr="00A90CCE" w:rsidRDefault="002F1F8C" w:rsidP="00B648EF">
            <w:pPr>
              <w:spacing w:after="120"/>
              <w:jc w:val="center"/>
              <w:rPr>
                <w:sz w:val="21"/>
                <w:szCs w:val="21"/>
              </w:rPr>
            </w:pPr>
            <w:r w:rsidRPr="00A90CCE">
              <w:rPr>
                <w:sz w:val="21"/>
                <w:szCs w:val="21"/>
              </w:rPr>
              <w:t>0.95</w:t>
            </w:r>
            <w:r w:rsidRPr="00A90CCE">
              <w:rPr>
                <w:sz w:val="21"/>
                <w:szCs w:val="21"/>
              </w:rPr>
              <w:br/>
              <w:t>(0.82 – 1.09)</w:t>
            </w:r>
          </w:p>
        </w:tc>
        <w:tc>
          <w:tcPr>
            <w:tcW w:w="62" w:type="dxa"/>
          </w:tcPr>
          <w:p w14:paraId="7AD8283D"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518C9B21" w14:textId="77777777" w:rsidR="002F1F8C" w:rsidRPr="00A90CCE" w:rsidRDefault="002F1F8C" w:rsidP="00B648EF">
            <w:pPr>
              <w:spacing w:after="120"/>
              <w:jc w:val="center"/>
              <w:rPr>
                <w:sz w:val="21"/>
                <w:szCs w:val="21"/>
              </w:rPr>
            </w:pPr>
            <w:r w:rsidRPr="00A90CCE">
              <w:rPr>
                <w:sz w:val="21"/>
                <w:szCs w:val="21"/>
              </w:rPr>
              <w:t>0.95</w:t>
            </w:r>
            <w:r w:rsidRPr="00A90CCE">
              <w:rPr>
                <w:sz w:val="21"/>
                <w:szCs w:val="21"/>
              </w:rPr>
              <w:br/>
              <w:t>(0.83 – 1.09)</w:t>
            </w:r>
          </w:p>
        </w:tc>
        <w:tc>
          <w:tcPr>
            <w:tcW w:w="62" w:type="dxa"/>
          </w:tcPr>
          <w:p w14:paraId="1A281B48"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0FAB47EA" w14:textId="77777777" w:rsidR="002F1F8C" w:rsidRPr="00A90CCE" w:rsidRDefault="002F1F8C" w:rsidP="00B648EF">
            <w:pPr>
              <w:spacing w:after="120"/>
              <w:jc w:val="center"/>
              <w:rPr>
                <w:b/>
                <w:bCs/>
                <w:sz w:val="21"/>
                <w:szCs w:val="21"/>
              </w:rPr>
            </w:pPr>
            <w:r w:rsidRPr="00A90CCE">
              <w:rPr>
                <w:b/>
                <w:bCs/>
                <w:sz w:val="21"/>
                <w:szCs w:val="21"/>
              </w:rPr>
              <w:t>0.82</w:t>
            </w:r>
            <w:r w:rsidRPr="00A90CCE">
              <w:rPr>
                <w:b/>
                <w:bCs/>
                <w:sz w:val="21"/>
                <w:szCs w:val="21"/>
              </w:rPr>
              <w:br/>
              <w:t>(0.69 – 0.97)</w:t>
            </w:r>
          </w:p>
        </w:tc>
        <w:tc>
          <w:tcPr>
            <w:tcW w:w="62" w:type="dxa"/>
          </w:tcPr>
          <w:p w14:paraId="38F29CAC"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4E7142F5" w14:textId="77777777" w:rsidR="002F1F8C" w:rsidRPr="00A90CCE" w:rsidRDefault="002F1F8C" w:rsidP="00B648EF">
            <w:pPr>
              <w:spacing w:after="120"/>
              <w:jc w:val="center"/>
              <w:rPr>
                <w:sz w:val="21"/>
                <w:szCs w:val="21"/>
              </w:rPr>
            </w:pPr>
            <w:r w:rsidRPr="00A90CCE">
              <w:rPr>
                <w:sz w:val="21"/>
                <w:szCs w:val="21"/>
              </w:rPr>
              <w:t>0.85</w:t>
            </w:r>
            <w:r w:rsidRPr="00A90CCE">
              <w:rPr>
                <w:sz w:val="21"/>
                <w:szCs w:val="21"/>
              </w:rPr>
              <w:br/>
              <w:t>(0.71 – 1.00</w:t>
            </w:r>
          </w:p>
          <w:p w14:paraId="6A228DFD" w14:textId="77777777" w:rsidR="002F1F8C" w:rsidRPr="00A90CCE" w:rsidRDefault="002F1F8C" w:rsidP="00B648EF">
            <w:pPr>
              <w:spacing w:after="120"/>
              <w:jc w:val="center"/>
              <w:rPr>
                <w:sz w:val="21"/>
                <w:szCs w:val="21"/>
              </w:rPr>
            </w:pPr>
            <w:r w:rsidRPr="00A90CCE">
              <w:rPr>
                <w:sz w:val="21"/>
                <w:szCs w:val="21"/>
              </w:rPr>
              <w:t>)</w:t>
            </w:r>
          </w:p>
        </w:tc>
        <w:tc>
          <w:tcPr>
            <w:tcW w:w="62" w:type="dxa"/>
          </w:tcPr>
          <w:p w14:paraId="4AAE0CB5"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122A67E1" w14:textId="77777777" w:rsidR="002F1F8C" w:rsidRPr="00A90CCE" w:rsidRDefault="002F1F8C" w:rsidP="00B648EF">
            <w:pPr>
              <w:spacing w:after="120"/>
              <w:jc w:val="center"/>
              <w:rPr>
                <w:sz w:val="21"/>
                <w:szCs w:val="21"/>
              </w:rPr>
            </w:pPr>
            <w:r w:rsidRPr="00A90CCE">
              <w:rPr>
                <w:sz w:val="21"/>
                <w:szCs w:val="21"/>
              </w:rPr>
              <w:t>0.85</w:t>
            </w:r>
            <w:r w:rsidRPr="00A90CCE">
              <w:rPr>
                <w:sz w:val="21"/>
                <w:szCs w:val="21"/>
              </w:rPr>
              <w:br/>
              <w:t>(0.72 – 1.00)</w:t>
            </w:r>
          </w:p>
        </w:tc>
      </w:tr>
      <w:tr w:rsidR="002F1F8C" w:rsidRPr="00A90CCE" w14:paraId="6A2FC2A9" w14:textId="77777777" w:rsidTr="00B648EF">
        <w:tc>
          <w:tcPr>
            <w:tcW w:w="1779" w:type="dxa"/>
            <w:tcMar>
              <w:top w:w="11" w:type="dxa"/>
              <w:left w:w="11" w:type="dxa"/>
              <w:bottom w:w="11" w:type="dxa"/>
              <w:right w:w="11" w:type="dxa"/>
            </w:tcMar>
            <w:vAlign w:val="center"/>
            <w:hideMark/>
          </w:tcPr>
          <w:p w14:paraId="49C7E68A" w14:textId="77777777" w:rsidR="002F1F8C" w:rsidRPr="00A90CCE" w:rsidRDefault="002F1F8C" w:rsidP="00B648EF">
            <w:pPr>
              <w:spacing w:after="120"/>
              <w:rPr>
                <w:sz w:val="22"/>
                <w:szCs w:val="22"/>
              </w:rPr>
            </w:pPr>
            <w:r w:rsidRPr="00A90CCE">
              <w:rPr>
                <w:sz w:val="22"/>
                <w:szCs w:val="22"/>
              </w:rPr>
              <w:t>Local GDP (ln)</w:t>
            </w:r>
          </w:p>
        </w:tc>
        <w:tc>
          <w:tcPr>
            <w:tcW w:w="1157" w:type="dxa"/>
            <w:tcMar>
              <w:top w:w="11" w:type="dxa"/>
              <w:left w:w="11" w:type="dxa"/>
              <w:bottom w:w="11" w:type="dxa"/>
              <w:right w:w="11" w:type="dxa"/>
            </w:tcMar>
            <w:vAlign w:val="center"/>
            <w:hideMark/>
          </w:tcPr>
          <w:p w14:paraId="14E4191F" w14:textId="77777777" w:rsidR="002F1F8C" w:rsidRPr="00A90CCE" w:rsidRDefault="002F1F8C" w:rsidP="00B648EF">
            <w:pPr>
              <w:spacing w:after="120"/>
              <w:jc w:val="center"/>
              <w:rPr>
                <w:b/>
                <w:bCs/>
                <w:sz w:val="21"/>
                <w:szCs w:val="21"/>
              </w:rPr>
            </w:pPr>
            <w:r w:rsidRPr="00A90CCE">
              <w:rPr>
                <w:b/>
                <w:bCs/>
                <w:sz w:val="21"/>
                <w:szCs w:val="21"/>
              </w:rPr>
              <w:t>0.83</w:t>
            </w:r>
            <w:r w:rsidRPr="00A90CCE">
              <w:rPr>
                <w:b/>
                <w:bCs/>
                <w:sz w:val="21"/>
                <w:szCs w:val="21"/>
              </w:rPr>
              <w:br/>
              <w:t>(0.75 – 0.93)</w:t>
            </w:r>
          </w:p>
        </w:tc>
        <w:tc>
          <w:tcPr>
            <w:tcW w:w="62" w:type="dxa"/>
          </w:tcPr>
          <w:p w14:paraId="0DA47DB3"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7A7701C8" w14:textId="77777777" w:rsidR="002F1F8C" w:rsidRPr="00A90CCE" w:rsidRDefault="002F1F8C" w:rsidP="00B648EF">
            <w:pPr>
              <w:spacing w:after="120"/>
              <w:jc w:val="center"/>
              <w:rPr>
                <w:b/>
                <w:bCs/>
                <w:sz w:val="21"/>
                <w:szCs w:val="21"/>
              </w:rPr>
            </w:pPr>
            <w:r w:rsidRPr="00A90CCE">
              <w:rPr>
                <w:b/>
                <w:bCs/>
                <w:sz w:val="21"/>
                <w:szCs w:val="21"/>
              </w:rPr>
              <w:t>0.82</w:t>
            </w:r>
            <w:r w:rsidRPr="00A90CCE">
              <w:rPr>
                <w:b/>
                <w:bCs/>
                <w:sz w:val="21"/>
                <w:szCs w:val="21"/>
              </w:rPr>
              <w:br/>
              <w:t>(0.73 – 0.92)</w:t>
            </w:r>
          </w:p>
        </w:tc>
        <w:tc>
          <w:tcPr>
            <w:tcW w:w="62" w:type="dxa"/>
          </w:tcPr>
          <w:p w14:paraId="428C59FB"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1D64C37C" w14:textId="77777777" w:rsidR="002F1F8C" w:rsidRPr="00A90CCE" w:rsidRDefault="002F1F8C" w:rsidP="00B648EF">
            <w:pPr>
              <w:spacing w:after="120"/>
              <w:jc w:val="center"/>
              <w:rPr>
                <w:b/>
                <w:bCs/>
                <w:sz w:val="21"/>
                <w:szCs w:val="21"/>
              </w:rPr>
            </w:pPr>
            <w:r w:rsidRPr="00A90CCE">
              <w:rPr>
                <w:b/>
                <w:bCs/>
                <w:sz w:val="21"/>
                <w:szCs w:val="21"/>
              </w:rPr>
              <w:t>0.82</w:t>
            </w:r>
            <w:r w:rsidRPr="00A90CCE">
              <w:rPr>
                <w:b/>
                <w:bCs/>
                <w:sz w:val="21"/>
                <w:szCs w:val="21"/>
              </w:rPr>
              <w:br/>
              <w:t>(0.73 – 0.92)</w:t>
            </w:r>
          </w:p>
        </w:tc>
        <w:tc>
          <w:tcPr>
            <w:tcW w:w="62" w:type="dxa"/>
          </w:tcPr>
          <w:p w14:paraId="3DAC2298"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0FB8040D" w14:textId="77777777" w:rsidR="002F1F8C" w:rsidRPr="00A90CCE" w:rsidRDefault="002F1F8C" w:rsidP="00B648EF">
            <w:pPr>
              <w:spacing w:after="120"/>
              <w:jc w:val="center"/>
              <w:rPr>
                <w:sz w:val="21"/>
                <w:szCs w:val="21"/>
              </w:rPr>
            </w:pPr>
            <w:r w:rsidRPr="00A90CCE">
              <w:rPr>
                <w:sz w:val="21"/>
                <w:szCs w:val="21"/>
              </w:rPr>
              <w:t>0.92</w:t>
            </w:r>
            <w:r w:rsidRPr="00A90CCE">
              <w:rPr>
                <w:sz w:val="21"/>
                <w:szCs w:val="21"/>
              </w:rPr>
              <w:br/>
              <w:t>(0.80 – 1.03)</w:t>
            </w:r>
          </w:p>
        </w:tc>
        <w:tc>
          <w:tcPr>
            <w:tcW w:w="62" w:type="dxa"/>
          </w:tcPr>
          <w:p w14:paraId="2180309B"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4DD56188" w14:textId="77777777" w:rsidR="002F1F8C" w:rsidRPr="00A90CCE" w:rsidRDefault="002F1F8C" w:rsidP="00B648EF">
            <w:pPr>
              <w:spacing w:after="120"/>
              <w:jc w:val="center"/>
              <w:rPr>
                <w:sz w:val="21"/>
                <w:szCs w:val="21"/>
              </w:rPr>
            </w:pPr>
            <w:r w:rsidRPr="00A90CCE">
              <w:rPr>
                <w:sz w:val="21"/>
                <w:szCs w:val="21"/>
              </w:rPr>
              <w:t>0.91</w:t>
            </w:r>
            <w:r w:rsidRPr="00A90CCE">
              <w:rPr>
                <w:sz w:val="21"/>
                <w:szCs w:val="21"/>
              </w:rPr>
              <w:br/>
              <w:t>(0.80 – 1.03)</w:t>
            </w:r>
          </w:p>
        </w:tc>
        <w:tc>
          <w:tcPr>
            <w:tcW w:w="62" w:type="dxa"/>
          </w:tcPr>
          <w:p w14:paraId="0E0B733A"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68504339" w14:textId="77777777" w:rsidR="002F1F8C" w:rsidRPr="00A90CCE" w:rsidRDefault="002F1F8C" w:rsidP="00B648EF">
            <w:pPr>
              <w:spacing w:after="120"/>
              <w:jc w:val="center"/>
              <w:rPr>
                <w:sz w:val="21"/>
                <w:szCs w:val="21"/>
              </w:rPr>
            </w:pPr>
            <w:r w:rsidRPr="00A90CCE">
              <w:rPr>
                <w:sz w:val="21"/>
                <w:szCs w:val="21"/>
              </w:rPr>
              <w:t>0.91</w:t>
            </w:r>
            <w:r w:rsidRPr="00A90CCE">
              <w:rPr>
                <w:sz w:val="21"/>
                <w:szCs w:val="21"/>
              </w:rPr>
              <w:br/>
              <w:t>(0.80 – 1.03)</w:t>
            </w:r>
          </w:p>
        </w:tc>
      </w:tr>
      <w:tr w:rsidR="002F1F8C" w:rsidRPr="00A90CCE" w14:paraId="4FB06DEC" w14:textId="77777777" w:rsidTr="00B648EF">
        <w:tc>
          <w:tcPr>
            <w:tcW w:w="1779" w:type="dxa"/>
            <w:tcMar>
              <w:top w:w="11" w:type="dxa"/>
              <w:left w:w="11" w:type="dxa"/>
              <w:bottom w:w="11" w:type="dxa"/>
              <w:right w:w="11" w:type="dxa"/>
            </w:tcMar>
            <w:vAlign w:val="center"/>
            <w:hideMark/>
          </w:tcPr>
          <w:p w14:paraId="454BCF3F" w14:textId="77777777" w:rsidR="002F1F8C" w:rsidRPr="00A90CCE" w:rsidRDefault="002F1F8C" w:rsidP="00B648EF">
            <w:pPr>
              <w:spacing w:after="120"/>
              <w:rPr>
                <w:sz w:val="22"/>
                <w:szCs w:val="22"/>
              </w:rPr>
            </w:pPr>
            <w:r w:rsidRPr="00A90CCE">
              <w:rPr>
                <w:sz w:val="22"/>
                <w:szCs w:val="22"/>
              </w:rPr>
              <w:t>Mid-age adults</w:t>
            </w:r>
          </w:p>
        </w:tc>
        <w:tc>
          <w:tcPr>
            <w:tcW w:w="1157" w:type="dxa"/>
            <w:tcMar>
              <w:top w:w="11" w:type="dxa"/>
              <w:left w:w="11" w:type="dxa"/>
              <w:bottom w:w="11" w:type="dxa"/>
              <w:right w:w="11" w:type="dxa"/>
            </w:tcMar>
            <w:vAlign w:val="center"/>
            <w:hideMark/>
          </w:tcPr>
          <w:p w14:paraId="085A756A" w14:textId="77777777" w:rsidR="002F1F8C" w:rsidRPr="00A90CCE" w:rsidRDefault="002F1F8C" w:rsidP="00B648EF">
            <w:pPr>
              <w:spacing w:after="120"/>
              <w:jc w:val="center"/>
              <w:rPr>
                <w:b/>
                <w:bCs/>
                <w:sz w:val="21"/>
                <w:szCs w:val="21"/>
              </w:rPr>
            </w:pPr>
            <w:r w:rsidRPr="00A90CCE">
              <w:rPr>
                <w:b/>
                <w:bCs/>
                <w:sz w:val="21"/>
                <w:szCs w:val="21"/>
              </w:rPr>
              <w:t>1.78</w:t>
            </w:r>
            <w:r w:rsidRPr="00A90CCE">
              <w:rPr>
                <w:b/>
                <w:bCs/>
                <w:sz w:val="21"/>
                <w:szCs w:val="21"/>
              </w:rPr>
              <w:br/>
              <w:t>(1.65 – 1.92)</w:t>
            </w:r>
          </w:p>
        </w:tc>
        <w:tc>
          <w:tcPr>
            <w:tcW w:w="62" w:type="dxa"/>
          </w:tcPr>
          <w:p w14:paraId="1157089A"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52F1AC0C" w14:textId="77777777" w:rsidR="002F1F8C" w:rsidRPr="00A90CCE" w:rsidRDefault="002F1F8C" w:rsidP="00B648EF">
            <w:pPr>
              <w:spacing w:after="120"/>
              <w:jc w:val="center"/>
              <w:rPr>
                <w:b/>
                <w:bCs/>
                <w:sz w:val="21"/>
                <w:szCs w:val="21"/>
              </w:rPr>
            </w:pPr>
            <w:r w:rsidRPr="00A90CCE">
              <w:rPr>
                <w:b/>
                <w:bCs/>
                <w:sz w:val="21"/>
                <w:szCs w:val="21"/>
              </w:rPr>
              <w:t>1.78</w:t>
            </w:r>
            <w:r w:rsidRPr="00A90CCE">
              <w:rPr>
                <w:b/>
                <w:bCs/>
                <w:sz w:val="21"/>
                <w:szCs w:val="21"/>
              </w:rPr>
              <w:br/>
              <w:t>(1.65 – 1.93)</w:t>
            </w:r>
          </w:p>
        </w:tc>
        <w:tc>
          <w:tcPr>
            <w:tcW w:w="62" w:type="dxa"/>
          </w:tcPr>
          <w:p w14:paraId="1C6239BA"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7F4D6796" w14:textId="77777777" w:rsidR="002F1F8C" w:rsidRPr="00A90CCE" w:rsidRDefault="002F1F8C" w:rsidP="00B648EF">
            <w:pPr>
              <w:spacing w:after="120"/>
              <w:jc w:val="center"/>
              <w:rPr>
                <w:b/>
                <w:bCs/>
                <w:sz w:val="21"/>
                <w:szCs w:val="21"/>
              </w:rPr>
            </w:pPr>
            <w:r w:rsidRPr="00A90CCE">
              <w:rPr>
                <w:b/>
                <w:bCs/>
                <w:sz w:val="21"/>
                <w:szCs w:val="21"/>
              </w:rPr>
              <w:t>1.78</w:t>
            </w:r>
            <w:r w:rsidRPr="00A90CCE">
              <w:rPr>
                <w:b/>
                <w:bCs/>
                <w:sz w:val="21"/>
                <w:szCs w:val="21"/>
              </w:rPr>
              <w:br/>
              <w:t>(1.65 – 1.93)</w:t>
            </w:r>
          </w:p>
        </w:tc>
        <w:tc>
          <w:tcPr>
            <w:tcW w:w="62" w:type="dxa"/>
          </w:tcPr>
          <w:p w14:paraId="578BEF95"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2E731E57" w14:textId="77777777" w:rsidR="002F1F8C" w:rsidRPr="00A90CCE" w:rsidRDefault="002F1F8C" w:rsidP="00B648EF">
            <w:pPr>
              <w:spacing w:after="120"/>
              <w:jc w:val="center"/>
              <w:rPr>
                <w:b/>
                <w:bCs/>
                <w:sz w:val="21"/>
                <w:szCs w:val="21"/>
              </w:rPr>
            </w:pPr>
            <w:r w:rsidRPr="00A90CCE">
              <w:rPr>
                <w:b/>
                <w:bCs/>
                <w:sz w:val="21"/>
                <w:szCs w:val="21"/>
              </w:rPr>
              <w:t>0.86</w:t>
            </w:r>
            <w:r w:rsidRPr="00A90CCE">
              <w:rPr>
                <w:b/>
                <w:bCs/>
                <w:sz w:val="21"/>
                <w:szCs w:val="21"/>
              </w:rPr>
              <w:br/>
              <w:t>(0.78 – 0.95)</w:t>
            </w:r>
          </w:p>
        </w:tc>
        <w:tc>
          <w:tcPr>
            <w:tcW w:w="62" w:type="dxa"/>
          </w:tcPr>
          <w:p w14:paraId="115FC913"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22B18CBC" w14:textId="77777777" w:rsidR="002F1F8C" w:rsidRPr="00A90CCE" w:rsidRDefault="002F1F8C" w:rsidP="00B648EF">
            <w:pPr>
              <w:spacing w:after="120"/>
              <w:jc w:val="center"/>
              <w:rPr>
                <w:b/>
                <w:bCs/>
                <w:sz w:val="21"/>
                <w:szCs w:val="21"/>
              </w:rPr>
            </w:pPr>
            <w:r w:rsidRPr="00A90CCE">
              <w:rPr>
                <w:b/>
                <w:bCs/>
                <w:sz w:val="21"/>
                <w:szCs w:val="21"/>
              </w:rPr>
              <w:t>0.89</w:t>
            </w:r>
            <w:r w:rsidRPr="00A90CCE">
              <w:rPr>
                <w:b/>
                <w:bCs/>
                <w:sz w:val="21"/>
                <w:szCs w:val="21"/>
              </w:rPr>
              <w:br/>
              <w:t>(0.80 – 0.99)</w:t>
            </w:r>
          </w:p>
        </w:tc>
        <w:tc>
          <w:tcPr>
            <w:tcW w:w="62" w:type="dxa"/>
          </w:tcPr>
          <w:p w14:paraId="1070CFEE"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52E5A9D0" w14:textId="77777777" w:rsidR="002F1F8C" w:rsidRPr="00A90CCE" w:rsidRDefault="002F1F8C" w:rsidP="00B648EF">
            <w:pPr>
              <w:spacing w:after="120"/>
              <w:jc w:val="center"/>
              <w:rPr>
                <w:b/>
                <w:bCs/>
                <w:sz w:val="21"/>
                <w:szCs w:val="21"/>
              </w:rPr>
            </w:pPr>
            <w:r w:rsidRPr="00A90CCE">
              <w:rPr>
                <w:b/>
                <w:bCs/>
                <w:sz w:val="21"/>
                <w:szCs w:val="21"/>
              </w:rPr>
              <w:t>0.89</w:t>
            </w:r>
            <w:r w:rsidRPr="00A90CCE">
              <w:rPr>
                <w:b/>
                <w:bCs/>
                <w:sz w:val="21"/>
                <w:szCs w:val="21"/>
              </w:rPr>
              <w:br/>
              <w:t>(0.81 – 0.99)</w:t>
            </w:r>
          </w:p>
        </w:tc>
      </w:tr>
      <w:tr w:rsidR="002F1F8C" w:rsidRPr="00A90CCE" w14:paraId="24D5BB6B" w14:textId="77777777" w:rsidTr="00B648EF">
        <w:tc>
          <w:tcPr>
            <w:tcW w:w="1779" w:type="dxa"/>
            <w:tcMar>
              <w:top w:w="11" w:type="dxa"/>
              <w:left w:w="11" w:type="dxa"/>
              <w:bottom w:w="11" w:type="dxa"/>
              <w:right w:w="11" w:type="dxa"/>
            </w:tcMar>
            <w:vAlign w:val="center"/>
            <w:hideMark/>
          </w:tcPr>
          <w:p w14:paraId="3E75DD03" w14:textId="77777777" w:rsidR="002F1F8C" w:rsidRPr="00A90CCE" w:rsidRDefault="002F1F8C" w:rsidP="00B648EF">
            <w:pPr>
              <w:spacing w:after="120"/>
              <w:rPr>
                <w:sz w:val="22"/>
                <w:szCs w:val="22"/>
              </w:rPr>
            </w:pPr>
            <w:r w:rsidRPr="00A90CCE">
              <w:rPr>
                <w:sz w:val="22"/>
                <w:szCs w:val="22"/>
              </w:rPr>
              <w:t>Older adults</w:t>
            </w:r>
          </w:p>
        </w:tc>
        <w:tc>
          <w:tcPr>
            <w:tcW w:w="1157" w:type="dxa"/>
            <w:tcMar>
              <w:top w:w="11" w:type="dxa"/>
              <w:left w:w="11" w:type="dxa"/>
              <w:bottom w:w="11" w:type="dxa"/>
              <w:right w:w="11" w:type="dxa"/>
            </w:tcMar>
            <w:vAlign w:val="center"/>
            <w:hideMark/>
          </w:tcPr>
          <w:p w14:paraId="4AAC939B" w14:textId="77777777" w:rsidR="002F1F8C" w:rsidRPr="00A90CCE" w:rsidRDefault="002F1F8C" w:rsidP="00B648EF">
            <w:pPr>
              <w:spacing w:after="120"/>
              <w:jc w:val="center"/>
              <w:rPr>
                <w:b/>
                <w:bCs/>
                <w:sz w:val="21"/>
                <w:szCs w:val="21"/>
              </w:rPr>
            </w:pPr>
            <w:r w:rsidRPr="00A90CCE">
              <w:rPr>
                <w:b/>
                <w:bCs/>
                <w:sz w:val="21"/>
                <w:szCs w:val="21"/>
              </w:rPr>
              <w:t>2.57</w:t>
            </w:r>
            <w:r w:rsidRPr="00A90CCE">
              <w:rPr>
                <w:b/>
                <w:bCs/>
                <w:sz w:val="21"/>
                <w:szCs w:val="21"/>
              </w:rPr>
              <w:br/>
              <w:t>(2.30 – 2.90)</w:t>
            </w:r>
          </w:p>
        </w:tc>
        <w:tc>
          <w:tcPr>
            <w:tcW w:w="62" w:type="dxa"/>
          </w:tcPr>
          <w:p w14:paraId="59A78124"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0A122822" w14:textId="77777777" w:rsidR="002F1F8C" w:rsidRPr="00A90CCE" w:rsidRDefault="002F1F8C" w:rsidP="00B648EF">
            <w:pPr>
              <w:spacing w:after="120"/>
              <w:jc w:val="center"/>
              <w:rPr>
                <w:b/>
                <w:bCs/>
                <w:sz w:val="21"/>
                <w:szCs w:val="21"/>
              </w:rPr>
            </w:pPr>
            <w:r w:rsidRPr="00A90CCE">
              <w:rPr>
                <w:b/>
                <w:bCs/>
                <w:sz w:val="21"/>
                <w:szCs w:val="21"/>
              </w:rPr>
              <w:t>2.64</w:t>
            </w:r>
            <w:r w:rsidRPr="00A90CCE">
              <w:rPr>
                <w:b/>
                <w:bCs/>
                <w:sz w:val="21"/>
                <w:szCs w:val="21"/>
              </w:rPr>
              <w:br/>
              <w:t>(2.35 – 2.97)</w:t>
            </w:r>
          </w:p>
        </w:tc>
        <w:tc>
          <w:tcPr>
            <w:tcW w:w="62" w:type="dxa"/>
          </w:tcPr>
          <w:p w14:paraId="759A62F6"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3ED36390" w14:textId="77777777" w:rsidR="002F1F8C" w:rsidRPr="00A90CCE" w:rsidRDefault="002F1F8C" w:rsidP="00B648EF">
            <w:pPr>
              <w:spacing w:after="120"/>
              <w:jc w:val="center"/>
              <w:rPr>
                <w:b/>
                <w:bCs/>
                <w:sz w:val="21"/>
                <w:szCs w:val="21"/>
              </w:rPr>
            </w:pPr>
            <w:r w:rsidRPr="00A90CCE">
              <w:rPr>
                <w:b/>
                <w:bCs/>
                <w:sz w:val="21"/>
                <w:szCs w:val="21"/>
              </w:rPr>
              <w:t>2.64</w:t>
            </w:r>
            <w:r w:rsidRPr="00A90CCE">
              <w:rPr>
                <w:b/>
                <w:bCs/>
                <w:sz w:val="21"/>
                <w:szCs w:val="21"/>
              </w:rPr>
              <w:br/>
              <w:t>(2.36 – 2.97)</w:t>
            </w:r>
          </w:p>
        </w:tc>
        <w:tc>
          <w:tcPr>
            <w:tcW w:w="62" w:type="dxa"/>
          </w:tcPr>
          <w:p w14:paraId="4E9F703E"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55A1C7B3" w14:textId="77777777" w:rsidR="002F1F8C" w:rsidRPr="00A90CCE" w:rsidRDefault="002F1F8C" w:rsidP="00B648EF">
            <w:pPr>
              <w:spacing w:after="120"/>
              <w:jc w:val="center"/>
              <w:rPr>
                <w:b/>
                <w:bCs/>
                <w:sz w:val="21"/>
                <w:szCs w:val="21"/>
              </w:rPr>
            </w:pPr>
            <w:r w:rsidRPr="00A90CCE">
              <w:rPr>
                <w:b/>
                <w:bCs/>
                <w:sz w:val="21"/>
                <w:szCs w:val="21"/>
              </w:rPr>
              <w:t>0.54</w:t>
            </w:r>
            <w:r w:rsidRPr="00A90CCE">
              <w:rPr>
                <w:b/>
                <w:bCs/>
                <w:sz w:val="21"/>
                <w:szCs w:val="21"/>
              </w:rPr>
              <w:br/>
              <w:t>(0.46 – 0.62)</w:t>
            </w:r>
          </w:p>
        </w:tc>
        <w:tc>
          <w:tcPr>
            <w:tcW w:w="62" w:type="dxa"/>
          </w:tcPr>
          <w:p w14:paraId="3A76FB50"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01940B60" w14:textId="77777777" w:rsidR="002F1F8C" w:rsidRPr="00A90CCE" w:rsidRDefault="002F1F8C" w:rsidP="00B648EF">
            <w:pPr>
              <w:spacing w:after="120"/>
              <w:jc w:val="center"/>
              <w:rPr>
                <w:b/>
                <w:bCs/>
                <w:sz w:val="21"/>
                <w:szCs w:val="21"/>
              </w:rPr>
            </w:pPr>
            <w:r w:rsidRPr="00A90CCE">
              <w:rPr>
                <w:b/>
                <w:bCs/>
                <w:sz w:val="21"/>
                <w:szCs w:val="21"/>
              </w:rPr>
              <w:t>0.60</w:t>
            </w:r>
            <w:r w:rsidRPr="00A90CCE">
              <w:rPr>
                <w:b/>
                <w:bCs/>
                <w:sz w:val="21"/>
                <w:szCs w:val="21"/>
              </w:rPr>
              <w:br/>
              <w:t>(0.51 – 0.69)</w:t>
            </w:r>
          </w:p>
        </w:tc>
        <w:tc>
          <w:tcPr>
            <w:tcW w:w="62" w:type="dxa"/>
          </w:tcPr>
          <w:p w14:paraId="27851727"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37D5EC44" w14:textId="77777777" w:rsidR="002F1F8C" w:rsidRPr="00A90CCE" w:rsidRDefault="002F1F8C" w:rsidP="00B648EF">
            <w:pPr>
              <w:spacing w:after="120"/>
              <w:jc w:val="center"/>
              <w:rPr>
                <w:b/>
                <w:bCs/>
                <w:sz w:val="21"/>
                <w:szCs w:val="21"/>
              </w:rPr>
            </w:pPr>
            <w:r w:rsidRPr="00A90CCE">
              <w:rPr>
                <w:b/>
                <w:bCs/>
                <w:sz w:val="21"/>
                <w:szCs w:val="21"/>
              </w:rPr>
              <w:t>0.59</w:t>
            </w:r>
            <w:r w:rsidRPr="00A90CCE">
              <w:rPr>
                <w:b/>
                <w:bCs/>
                <w:sz w:val="21"/>
                <w:szCs w:val="21"/>
              </w:rPr>
              <w:br/>
              <w:t>(0.50 – 0.69)</w:t>
            </w:r>
          </w:p>
        </w:tc>
      </w:tr>
      <w:tr w:rsidR="002F1F8C" w:rsidRPr="00A90CCE" w14:paraId="65A7BABD" w14:textId="77777777" w:rsidTr="00B648EF">
        <w:tc>
          <w:tcPr>
            <w:tcW w:w="1779" w:type="dxa"/>
            <w:tcMar>
              <w:top w:w="11" w:type="dxa"/>
              <w:left w:w="11" w:type="dxa"/>
              <w:bottom w:w="11" w:type="dxa"/>
              <w:right w:w="11" w:type="dxa"/>
            </w:tcMar>
            <w:vAlign w:val="center"/>
            <w:hideMark/>
          </w:tcPr>
          <w:p w14:paraId="3683B769" w14:textId="77777777" w:rsidR="002F1F8C" w:rsidRPr="00A90CCE" w:rsidRDefault="002F1F8C" w:rsidP="00B648EF">
            <w:pPr>
              <w:spacing w:after="120"/>
              <w:rPr>
                <w:sz w:val="22"/>
                <w:szCs w:val="22"/>
              </w:rPr>
            </w:pPr>
            <w:r w:rsidRPr="00A90CCE">
              <w:rPr>
                <w:sz w:val="22"/>
                <w:szCs w:val="22"/>
              </w:rPr>
              <w:t>Gender</w:t>
            </w:r>
          </w:p>
        </w:tc>
        <w:tc>
          <w:tcPr>
            <w:tcW w:w="1157" w:type="dxa"/>
            <w:tcMar>
              <w:top w:w="11" w:type="dxa"/>
              <w:left w:w="11" w:type="dxa"/>
              <w:bottom w:w="11" w:type="dxa"/>
              <w:right w:w="11" w:type="dxa"/>
            </w:tcMar>
            <w:vAlign w:val="center"/>
            <w:hideMark/>
          </w:tcPr>
          <w:p w14:paraId="7620122E" w14:textId="77777777" w:rsidR="002F1F8C" w:rsidRPr="00A90CCE" w:rsidRDefault="002F1F8C" w:rsidP="00B648EF">
            <w:pPr>
              <w:spacing w:after="120"/>
              <w:jc w:val="center"/>
              <w:rPr>
                <w:b/>
                <w:bCs/>
                <w:sz w:val="21"/>
                <w:szCs w:val="21"/>
              </w:rPr>
            </w:pPr>
            <w:r w:rsidRPr="00A90CCE">
              <w:rPr>
                <w:b/>
                <w:bCs/>
                <w:sz w:val="21"/>
                <w:szCs w:val="21"/>
              </w:rPr>
              <w:t>0.88</w:t>
            </w:r>
            <w:r w:rsidRPr="00A90CCE">
              <w:rPr>
                <w:b/>
                <w:bCs/>
                <w:sz w:val="21"/>
                <w:szCs w:val="21"/>
              </w:rPr>
              <w:br/>
              <w:t>(0.82 – 0.94)</w:t>
            </w:r>
          </w:p>
        </w:tc>
        <w:tc>
          <w:tcPr>
            <w:tcW w:w="62" w:type="dxa"/>
          </w:tcPr>
          <w:p w14:paraId="47666326"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3DF68CFC" w14:textId="77777777" w:rsidR="002F1F8C" w:rsidRPr="00A90CCE" w:rsidRDefault="002F1F8C" w:rsidP="00B648EF">
            <w:pPr>
              <w:spacing w:after="120"/>
              <w:jc w:val="center"/>
              <w:rPr>
                <w:b/>
                <w:bCs/>
                <w:sz w:val="21"/>
                <w:szCs w:val="21"/>
              </w:rPr>
            </w:pPr>
            <w:r w:rsidRPr="00A90CCE">
              <w:rPr>
                <w:b/>
                <w:bCs/>
                <w:sz w:val="21"/>
                <w:szCs w:val="21"/>
              </w:rPr>
              <w:t>0.90</w:t>
            </w:r>
            <w:r w:rsidRPr="00A90CCE">
              <w:rPr>
                <w:b/>
                <w:bCs/>
                <w:sz w:val="21"/>
                <w:szCs w:val="21"/>
              </w:rPr>
              <w:br/>
              <w:t>(0.84 – 0.97)</w:t>
            </w:r>
          </w:p>
        </w:tc>
        <w:tc>
          <w:tcPr>
            <w:tcW w:w="62" w:type="dxa"/>
          </w:tcPr>
          <w:p w14:paraId="368B73C4"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1EE50657" w14:textId="77777777" w:rsidR="002F1F8C" w:rsidRPr="00A90CCE" w:rsidRDefault="002F1F8C" w:rsidP="00B648EF">
            <w:pPr>
              <w:spacing w:after="120"/>
              <w:jc w:val="center"/>
              <w:rPr>
                <w:b/>
                <w:bCs/>
                <w:sz w:val="21"/>
                <w:szCs w:val="21"/>
              </w:rPr>
            </w:pPr>
            <w:r w:rsidRPr="00A90CCE">
              <w:rPr>
                <w:b/>
                <w:bCs/>
                <w:sz w:val="21"/>
                <w:szCs w:val="21"/>
              </w:rPr>
              <w:t>0.90</w:t>
            </w:r>
            <w:r w:rsidRPr="00A90CCE">
              <w:rPr>
                <w:b/>
                <w:bCs/>
                <w:sz w:val="21"/>
                <w:szCs w:val="21"/>
              </w:rPr>
              <w:br/>
              <w:t>(0.84 – 0.97)</w:t>
            </w:r>
          </w:p>
        </w:tc>
        <w:tc>
          <w:tcPr>
            <w:tcW w:w="62" w:type="dxa"/>
          </w:tcPr>
          <w:p w14:paraId="5330ECCE"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16F97354" w14:textId="77777777" w:rsidR="002F1F8C" w:rsidRPr="00A90CCE" w:rsidRDefault="002F1F8C" w:rsidP="00B648EF">
            <w:pPr>
              <w:spacing w:after="120"/>
              <w:jc w:val="center"/>
              <w:rPr>
                <w:b/>
                <w:bCs/>
                <w:sz w:val="21"/>
                <w:szCs w:val="21"/>
              </w:rPr>
            </w:pPr>
            <w:r w:rsidRPr="00A90CCE">
              <w:rPr>
                <w:b/>
                <w:bCs/>
                <w:sz w:val="21"/>
                <w:szCs w:val="21"/>
              </w:rPr>
              <w:t>0.61</w:t>
            </w:r>
            <w:r w:rsidRPr="00A90CCE">
              <w:rPr>
                <w:b/>
                <w:bCs/>
                <w:sz w:val="21"/>
                <w:szCs w:val="21"/>
              </w:rPr>
              <w:br/>
              <w:t>(0.56 – 0.67)</w:t>
            </w:r>
          </w:p>
        </w:tc>
        <w:tc>
          <w:tcPr>
            <w:tcW w:w="62" w:type="dxa"/>
          </w:tcPr>
          <w:p w14:paraId="7ACA24D8"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37F46FAD" w14:textId="77777777" w:rsidR="002F1F8C" w:rsidRPr="00A90CCE" w:rsidRDefault="002F1F8C" w:rsidP="00B648EF">
            <w:pPr>
              <w:spacing w:after="120"/>
              <w:jc w:val="center"/>
              <w:rPr>
                <w:b/>
                <w:bCs/>
                <w:sz w:val="21"/>
                <w:szCs w:val="21"/>
              </w:rPr>
            </w:pPr>
            <w:r w:rsidRPr="00A90CCE">
              <w:rPr>
                <w:b/>
                <w:bCs/>
                <w:sz w:val="21"/>
                <w:szCs w:val="21"/>
              </w:rPr>
              <w:t>0.64</w:t>
            </w:r>
            <w:r w:rsidRPr="00A90CCE">
              <w:rPr>
                <w:b/>
                <w:bCs/>
                <w:sz w:val="21"/>
                <w:szCs w:val="21"/>
              </w:rPr>
              <w:br/>
              <w:t>(0.58 – 0.71)</w:t>
            </w:r>
          </w:p>
        </w:tc>
        <w:tc>
          <w:tcPr>
            <w:tcW w:w="62" w:type="dxa"/>
          </w:tcPr>
          <w:p w14:paraId="376D0768"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6CC1E62A" w14:textId="77777777" w:rsidR="002F1F8C" w:rsidRPr="00A90CCE" w:rsidRDefault="002F1F8C" w:rsidP="00B648EF">
            <w:pPr>
              <w:spacing w:after="120"/>
              <w:jc w:val="center"/>
              <w:rPr>
                <w:b/>
                <w:bCs/>
                <w:sz w:val="21"/>
                <w:szCs w:val="21"/>
              </w:rPr>
            </w:pPr>
            <w:r w:rsidRPr="00A90CCE">
              <w:rPr>
                <w:b/>
                <w:bCs/>
                <w:sz w:val="21"/>
                <w:szCs w:val="21"/>
              </w:rPr>
              <w:t>0.64</w:t>
            </w:r>
            <w:r w:rsidRPr="00A90CCE">
              <w:rPr>
                <w:b/>
                <w:bCs/>
                <w:sz w:val="21"/>
                <w:szCs w:val="21"/>
              </w:rPr>
              <w:br/>
              <w:t>(0.58 – 0.70)</w:t>
            </w:r>
          </w:p>
        </w:tc>
      </w:tr>
      <w:tr w:rsidR="002F1F8C" w:rsidRPr="00A90CCE" w14:paraId="105DDFE5" w14:textId="77777777" w:rsidTr="00B648EF">
        <w:tc>
          <w:tcPr>
            <w:tcW w:w="1779" w:type="dxa"/>
            <w:tcMar>
              <w:top w:w="11" w:type="dxa"/>
              <w:left w:w="11" w:type="dxa"/>
              <w:bottom w:w="11" w:type="dxa"/>
              <w:right w:w="11" w:type="dxa"/>
            </w:tcMar>
            <w:vAlign w:val="center"/>
            <w:hideMark/>
          </w:tcPr>
          <w:p w14:paraId="6EB3CAA3" w14:textId="77777777" w:rsidR="002F1F8C" w:rsidRPr="00A90CCE" w:rsidRDefault="002F1F8C" w:rsidP="00B648EF">
            <w:pPr>
              <w:spacing w:after="120"/>
              <w:rPr>
                <w:sz w:val="22"/>
                <w:szCs w:val="22"/>
              </w:rPr>
            </w:pPr>
            <w:r w:rsidRPr="00A90CCE">
              <w:rPr>
                <w:sz w:val="22"/>
                <w:szCs w:val="22"/>
              </w:rPr>
              <w:t>Round 6</w:t>
            </w:r>
          </w:p>
        </w:tc>
        <w:tc>
          <w:tcPr>
            <w:tcW w:w="1157" w:type="dxa"/>
            <w:tcMar>
              <w:top w:w="11" w:type="dxa"/>
              <w:left w:w="11" w:type="dxa"/>
              <w:bottom w:w="11" w:type="dxa"/>
              <w:right w:w="11" w:type="dxa"/>
            </w:tcMar>
            <w:vAlign w:val="center"/>
            <w:hideMark/>
          </w:tcPr>
          <w:p w14:paraId="0271B13A" w14:textId="77777777" w:rsidR="002F1F8C" w:rsidRPr="00A90CCE" w:rsidRDefault="002F1F8C" w:rsidP="00B648EF">
            <w:pPr>
              <w:spacing w:after="120"/>
              <w:jc w:val="center"/>
              <w:rPr>
                <w:b/>
                <w:bCs/>
                <w:sz w:val="21"/>
                <w:szCs w:val="21"/>
              </w:rPr>
            </w:pPr>
            <w:r w:rsidRPr="00A90CCE">
              <w:rPr>
                <w:b/>
                <w:bCs/>
                <w:sz w:val="21"/>
                <w:szCs w:val="21"/>
              </w:rPr>
              <w:t>0.63</w:t>
            </w:r>
            <w:r w:rsidRPr="00A90CCE">
              <w:rPr>
                <w:b/>
                <w:bCs/>
                <w:sz w:val="21"/>
                <w:szCs w:val="21"/>
              </w:rPr>
              <w:br/>
              <w:t>(0.57 – 0.70)</w:t>
            </w:r>
          </w:p>
        </w:tc>
        <w:tc>
          <w:tcPr>
            <w:tcW w:w="62" w:type="dxa"/>
          </w:tcPr>
          <w:p w14:paraId="5EA8A1A9"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064EB4F4" w14:textId="77777777" w:rsidR="002F1F8C" w:rsidRPr="00A90CCE" w:rsidRDefault="002F1F8C" w:rsidP="00B648EF">
            <w:pPr>
              <w:spacing w:after="120"/>
              <w:jc w:val="center"/>
              <w:rPr>
                <w:b/>
                <w:bCs/>
                <w:sz w:val="21"/>
                <w:szCs w:val="21"/>
              </w:rPr>
            </w:pPr>
            <w:r w:rsidRPr="00A90CCE">
              <w:rPr>
                <w:b/>
                <w:bCs/>
                <w:sz w:val="21"/>
                <w:szCs w:val="21"/>
              </w:rPr>
              <w:t>0.62</w:t>
            </w:r>
            <w:r w:rsidRPr="00A90CCE">
              <w:rPr>
                <w:b/>
                <w:bCs/>
                <w:sz w:val="21"/>
                <w:szCs w:val="21"/>
              </w:rPr>
              <w:br/>
              <w:t>(0.56 – 0.69)</w:t>
            </w:r>
          </w:p>
        </w:tc>
        <w:tc>
          <w:tcPr>
            <w:tcW w:w="62" w:type="dxa"/>
          </w:tcPr>
          <w:p w14:paraId="1480B5FB"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28D220A6" w14:textId="77777777" w:rsidR="002F1F8C" w:rsidRPr="00A90CCE" w:rsidRDefault="002F1F8C" w:rsidP="00B648EF">
            <w:pPr>
              <w:spacing w:after="120"/>
              <w:jc w:val="center"/>
              <w:rPr>
                <w:b/>
                <w:bCs/>
                <w:sz w:val="21"/>
                <w:szCs w:val="21"/>
              </w:rPr>
            </w:pPr>
            <w:r w:rsidRPr="00A90CCE">
              <w:rPr>
                <w:b/>
                <w:bCs/>
                <w:sz w:val="21"/>
                <w:szCs w:val="21"/>
              </w:rPr>
              <w:t>0.62</w:t>
            </w:r>
            <w:r w:rsidRPr="00A90CCE">
              <w:rPr>
                <w:b/>
                <w:bCs/>
                <w:sz w:val="21"/>
                <w:szCs w:val="21"/>
              </w:rPr>
              <w:br/>
              <w:t>(0.56 – 0.69)</w:t>
            </w:r>
          </w:p>
        </w:tc>
        <w:tc>
          <w:tcPr>
            <w:tcW w:w="62" w:type="dxa"/>
          </w:tcPr>
          <w:p w14:paraId="203B3834"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1AE7E9B3" w14:textId="77777777" w:rsidR="002F1F8C" w:rsidRPr="00A90CCE" w:rsidRDefault="002F1F8C" w:rsidP="00B648EF">
            <w:pPr>
              <w:spacing w:after="120"/>
              <w:jc w:val="center"/>
              <w:rPr>
                <w:b/>
                <w:bCs/>
                <w:sz w:val="21"/>
                <w:szCs w:val="21"/>
              </w:rPr>
            </w:pPr>
            <w:r w:rsidRPr="00A90CCE">
              <w:rPr>
                <w:b/>
                <w:bCs/>
                <w:sz w:val="21"/>
                <w:szCs w:val="21"/>
              </w:rPr>
              <w:t>1.22</w:t>
            </w:r>
            <w:r w:rsidRPr="00A90CCE">
              <w:rPr>
                <w:b/>
                <w:bCs/>
                <w:sz w:val="21"/>
                <w:szCs w:val="21"/>
              </w:rPr>
              <w:br/>
              <w:t>(1.07 – 1.39)</w:t>
            </w:r>
          </w:p>
        </w:tc>
        <w:tc>
          <w:tcPr>
            <w:tcW w:w="62" w:type="dxa"/>
          </w:tcPr>
          <w:p w14:paraId="4DFD4474"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0837FA79" w14:textId="77777777" w:rsidR="002F1F8C" w:rsidRPr="00A90CCE" w:rsidRDefault="002F1F8C" w:rsidP="00B648EF">
            <w:pPr>
              <w:spacing w:after="120"/>
              <w:jc w:val="center"/>
              <w:rPr>
                <w:b/>
                <w:bCs/>
                <w:sz w:val="21"/>
                <w:szCs w:val="21"/>
              </w:rPr>
            </w:pPr>
            <w:r w:rsidRPr="00A90CCE">
              <w:rPr>
                <w:b/>
                <w:bCs/>
                <w:sz w:val="21"/>
                <w:szCs w:val="21"/>
              </w:rPr>
              <w:t>1.26</w:t>
            </w:r>
            <w:r w:rsidRPr="00A90CCE">
              <w:rPr>
                <w:b/>
                <w:bCs/>
                <w:sz w:val="21"/>
                <w:szCs w:val="21"/>
              </w:rPr>
              <w:br/>
              <w:t>(1.11 – 1.44)</w:t>
            </w:r>
          </w:p>
        </w:tc>
        <w:tc>
          <w:tcPr>
            <w:tcW w:w="62" w:type="dxa"/>
          </w:tcPr>
          <w:p w14:paraId="6690AFBF"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57B330A4" w14:textId="77777777" w:rsidR="002F1F8C" w:rsidRPr="00A90CCE" w:rsidRDefault="002F1F8C" w:rsidP="00B648EF">
            <w:pPr>
              <w:spacing w:after="120"/>
              <w:jc w:val="center"/>
              <w:rPr>
                <w:b/>
                <w:bCs/>
                <w:sz w:val="21"/>
                <w:szCs w:val="21"/>
              </w:rPr>
            </w:pPr>
            <w:r w:rsidRPr="00A90CCE">
              <w:rPr>
                <w:b/>
                <w:bCs/>
                <w:sz w:val="21"/>
                <w:szCs w:val="21"/>
              </w:rPr>
              <w:t>1.26</w:t>
            </w:r>
            <w:r w:rsidRPr="00A90CCE">
              <w:rPr>
                <w:b/>
                <w:bCs/>
                <w:sz w:val="21"/>
                <w:szCs w:val="21"/>
              </w:rPr>
              <w:br/>
              <w:t>(1.11 – 1.44)</w:t>
            </w:r>
          </w:p>
        </w:tc>
      </w:tr>
      <w:tr w:rsidR="002F1F8C" w:rsidRPr="00A90CCE" w14:paraId="5B9E3B7C" w14:textId="77777777" w:rsidTr="00B648EF">
        <w:tc>
          <w:tcPr>
            <w:tcW w:w="1779" w:type="dxa"/>
            <w:tcMar>
              <w:top w:w="11" w:type="dxa"/>
              <w:left w:w="11" w:type="dxa"/>
              <w:bottom w:w="11" w:type="dxa"/>
              <w:right w:w="11" w:type="dxa"/>
            </w:tcMar>
            <w:vAlign w:val="center"/>
            <w:hideMark/>
          </w:tcPr>
          <w:p w14:paraId="7C62FF46" w14:textId="77777777" w:rsidR="002F1F8C" w:rsidRPr="00A90CCE" w:rsidRDefault="002F1F8C" w:rsidP="00B648EF">
            <w:pPr>
              <w:spacing w:after="120"/>
              <w:rPr>
                <w:sz w:val="22"/>
                <w:szCs w:val="22"/>
              </w:rPr>
            </w:pPr>
            <w:r w:rsidRPr="00A90CCE">
              <w:rPr>
                <w:sz w:val="22"/>
                <w:szCs w:val="22"/>
              </w:rPr>
              <w:t>Round 7</w:t>
            </w:r>
          </w:p>
        </w:tc>
        <w:tc>
          <w:tcPr>
            <w:tcW w:w="1157" w:type="dxa"/>
            <w:tcMar>
              <w:top w:w="11" w:type="dxa"/>
              <w:left w:w="11" w:type="dxa"/>
              <w:bottom w:w="11" w:type="dxa"/>
              <w:right w:w="11" w:type="dxa"/>
            </w:tcMar>
            <w:vAlign w:val="center"/>
            <w:hideMark/>
          </w:tcPr>
          <w:p w14:paraId="7CE80B46" w14:textId="77777777" w:rsidR="002F1F8C" w:rsidRPr="00A90CCE" w:rsidRDefault="002F1F8C" w:rsidP="00B648EF">
            <w:pPr>
              <w:spacing w:after="120"/>
              <w:jc w:val="center"/>
              <w:rPr>
                <w:b/>
                <w:bCs/>
                <w:sz w:val="21"/>
                <w:szCs w:val="21"/>
              </w:rPr>
            </w:pPr>
            <w:r w:rsidRPr="00A90CCE">
              <w:rPr>
                <w:b/>
                <w:bCs/>
                <w:sz w:val="21"/>
                <w:szCs w:val="21"/>
              </w:rPr>
              <w:t>0.59</w:t>
            </w:r>
            <w:r w:rsidRPr="00A90CCE">
              <w:rPr>
                <w:b/>
                <w:bCs/>
                <w:sz w:val="21"/>
                <w:szCs w:val="21"/>
              </w:rPr>
              <w:br/>
              <w:t>(0.53 – 0.66)</w:t>
            </w:r>
          </w:p>
        </w:tc>
        <w:tc>
          <w:tcPr>
            <w:tcW w:w="62" w:type="dxa"/>
          </w:tcPr>
          <w:p w14:paraId="6D057D61"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06A7E34F" w14:textId="77777777" w:rsidR="002F1F8C" w:rsidRPr="00A90CCE" w:rsidRDefault="002F1F8C" w:rsidP="00B648EF">
            <w:pPr>
              <w:spacing w:after="120"/>
              <w:jc w:val="center"/>
              <w:rPr>
                <w:b/>
                <w:bCs/>
                <w:sz w:val="21"/>
                <w:szCs w:val="21"/>
              </w:rPr>
            </w:pPr>
            <w:r w:rsidRPr="00A90CCE">
              <w:rPr>
                <w:b/>
                <w:bCs/>
                <w:sz w:val="21"/>
                <w:szCs w:val="21"/>
              </w:rPr>
              <w:t>0.59</w:t>
            </w:r>
            <w:r w:rsidRPr="00A90CCE">
              <w:rPr>
                <w:b/>
                <w:bCs/>
                <w:sz w:val="21"/>
                <w:szCs w:val="21"/>
              </w:rPr>
              <w:br/>
              <w:t>(0.53 – 0.66)</w:t>
            </w:r>
          </w:p>
        </w:tc>
        <w:tc>
          <w:tcPr>
            <w:tcW w:w="62" w:type="dxa"/>
          </w:tcPr>
          <w:p w14:paraId="71C804EB"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2171A68E" w14:textId="77777777" w:rsidR="002F1F8C" w:rsidRPr="00A90CCE" w:rsidRDefault="002F1F8C" w:rsidP="00B648EF">
            <w:pPr>
              <w:spacing w:after="120"/>
              <w:jc w:val="center"/>
              <w:rPr>
                <w:b/>
                <w:bCs/>
                <w:sz w:val="21"/>
                <w:szCs w:val="21"/>
              </w:rPr>
            </w:pPr>
            <w:r w:rsidRPr="00A90CCE">
              <w:rPr>
                <w:b/>
                <w:bCs/>
                <w:sz w:val="21"/>
                <w:szCs w:val="21"/>
              </w:rPr>
              <w:t>0.59</w:t>
            </w:r>
            <w:r w:rsidRPr="00A90CCE">
              <w:rPr>
                <w:b/>
                <w:bCs/>
                <w:sz w:val="21"/>
                <w:szCs w:val="21"/>
              </w:rPr>
              <w:br/>
              <w:t>(0.53 – 0.66)</w:t>
            </w:r>
          </w:p>
        </w:tc>
        <w:tc>
          <w:tcPr>
            <w:tcW w:w="62" w:type="dxa"/>
          </w:tcPr>
          <w:p w14:paraId="200F60BE"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08FF139F" w14:textId="77777777" w:rsidR="002F1F8C" w:rsidRPr="00A90CCE" w:rsidRDefault="002F1F8C" w:rsidP="00B648EF">
            <w:pPr>
              <w:spacing w:after="120"/>
              <w:jc w:val="center"/>
              <w:rPr>
                <w:b/>
                <w:bCs/>
                <w:sz w:val="21"/>
                <w:szCs w:val="21"/>
              </w:rPr>
            </w:pPr>
            <w:r w:rsidRPr="00A90CCE">
              <w:rPr>
                <w:b/>
                <w:bCs/>
                <w:sz w:val="21"/>
                <w:szCs w:val="21"/>
              </w:rPr>
              <w:t>1.39</w:t>
            </w:r>
            <w:r w:rsidRPr="00A90CCE">
              <w:rPr>
                <w:b/>
                <w:bCs/>
                <w:sz w:val="21"/>
                <w:szCs w:val="21"/>
              </w:rPr>
              <w:br/>
              <w:t>(1.22 – 1.59)</w:t>
            </w:r>
          </w:p>
        </w:tc>
        <w:tc>
          <w:tcPr>
            <w:tcW w:w="62" w:type="dxa"/>
          </w:tcPr>
          <w:p w14:paraId="3CA06FE3"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71F128FC" w14:textId="77777777" w:rsidR="002F1F8C" w:rsidRPr="00A90CCE" w:rsidRDefault="002F1F8C" w:rsidP="00B648EF">
            <w:pPr>
              <w:spacing w:after="120"/>
              <w:jc w:val="center"/>
              <w:rPr>
                <w:b/>
                <w:bCs/>
                <w:sz w:val="21"/>
                <w:szCs w:val="21"/>
              </w:rPr>
            </w:pPr>
            <w:r w:rsidRPr="00A90CCE">
              <w:rPr>
                <w:b/>
                <w:bCs/>
                <w:sz w:val="21"/>
                <w:szCs w:val="21"/>
              </w:rPr>
              <w:t>1.34</w:t>
            </w:r>
            <w:r w:rsidRPr="00A90CCE">
              <w:rPr>
                <w:b/>
                <w:bCs/>
                <w:sz w:val="21"/>
                <w:szCs w:val="21"/>
              </w:rPr>
              <w:br/>
              <w:t>(1.17 – 1.53)</w:t>
            </w:r>
          </w:p>
        </w:tc>
        <w:tc>
          <w:tcPr>
            <w:tcW w:w="62" w:type="dxa"/>
          </w:tcPr>
          <w:p w14:paraId="4BBE3D5D"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5C44EF53" w14:textId="77777777" w:rsidR="002F1F8C" w:rsidRPr="00A90CCE" w:rsidRDefault="002F1F8C" w:rsidP="00B648EF">
            <w:pPr>
              <w:spacing w:after="120"/>
              <w:jc w:val="center"/>
              <w:rPr>
                <w:b/>
                <w:bCs/>
                <w:sz w:val="21"/>
                <w:szCs w:val="21"/>
              </w:rPr>
            </w:pPr>
            <w:r w:rsidRPr="00A90CCE">
              <w:rPr>
                <w:b/>
                <w:bCs/>
                <w:sz w:val="21"/>
                <w:szCs w:val="21"/>
              </w:rPr>
              <w:t>1.33</w:t>
            </w:r>
            <w:r w:rsidRPr="00A90CCE">
              <w:rPr>
                <w:b/>
                <w:bCs/>
                <w:sz w:val="21"/>
                <w:szCs w:val="21"/>
              </w:rPr>
              <w:br/>
              <w:t>(1.17 – 1.52)</w:t>
            </w:r>
          </w:p>
        </w:tc>
      </w:tr>
      <w:tr w:rsidR="002F1F8C" w:rsidRPr="00A90CCE" w14:paraId="2D23122E" w14:textId="77777777" w:rsidTr="00B648EF">
        <w:tc>
          <w:tcPr>
            <w:tcW w:w="1779" w:type="dxa"/>
            <w:tcMar>
              <w:top w:w="11" w:type="dxa"/>
              <w:left w:w="11" w:type="dxa"/>
              <w:bottom w:w="11" w:type="dxa"/>
              <w:right w:w="11" w:type="dxa"/>
            </w:tcMar>
            <w:vAlign w:val="center"/>
            <w:hideMark/>
          </w:tcPr>
          <w:p w14:paraId="605CF94F" w14:textId="77777777" w:rsidR="002F1F8C" w:rsidRPr="00A90CCE" w:rsidRDefault="002F1F8C" w:rsidP="00B648EF">
            <w:pPr>
              <w:spacing w:after="120"/>
              <w:rPr>
                <w:sz w:val="22"/>
                <w:szCs w:val="22"/>
              </w:rPr>
            </w:pPr>
            <w:r w:rsidRPr="00A90CCE">
              <w:rPr>
                <w:sz w:val="22"/>
                <w:szCs w:val="22"/>
              </w:rPr>
              <w:t>Education</w:t>
            </w:r>
          </w:p>
        </w:tc>
        <w:tc>
          <w:tcPr>
            <w:tcW w:w="1157" w:type="dxa"/>
            <w:tcMar>
              <w:top w:w="11" w:type="dxa"/>
              <w:left w:w="11" w:type="dxa"/>
              <w:bottom w:w="11" w:type="dxa"/>
              <w:right w:w="11" w:type="dxa"/>
            </w:tcMar>
            <w:vAlign w:val="center"/>
            <w:hideMark/>
          </w:tcPr>
          <w:p w14:paraId="69D52FCD" w14:textId="77777777" w:rsidR="002F1F8C" w:rsidRPr="00A90CCE" w:rsidRDefault="002F1F8C" w:rsidP="00B648EF">
            <w:pPr>
              <w:spacing w:after="120"/>
              <w:rPr>
                <w:sz w:val="21"/>
                <w:szCs w:val="21"/>
              </w:rPr>
            </w:pPr>
          </w:p>
        </w:tc>
        <w:tc>
          <w:tcPr>
            <w:tcW w:w="62" w:type="dxa"/>
          </w:tcPr>
          <w:p w14:paraId="3297BF17"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028A9340" w14:textId="77777777" w:rsidR="002F1F8C" w:rsidRPr="00A90CCE" w:rsidRDefault="002F1F8C" w:rsidP="00B648EF">
            <w:pPr>
              <w:spacing w:after="120"/>
              <w:jc w:val="center"/>
              <w:rPr>
                <w:sz w:val="21"/>
                <w:szCs w:val="21"/>
              </w:rPr>
            </w:pPr>
            <w:r w:rsidRPr="00A90CCE">
              <w:rPr>
                <w:sz w:val="21"/>
                <w:szCs w:val="21"/>
              </w:rPr>
              <w:t>1.02</w:t>
            </w:r>
            <w:r w:rsidRPr="00A90CCE">
              <w:rPr>
                <w:sz w:val="21"/>
                <w:szCs w:val="21"/>
              </w:rPr>
              <w:br/>
              <w:t>(1.00 – 1.04)</w:t>
            </w:r>
          </w:p>
        </w:tc>
        <w:tc>
          <w:tcPr>
            <w:tcW w:w="62" w:type="dxa"/>
          </w:tcPr>
          <w:p w14:paraId="193FB314"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3BC5BBEB" w14:textId="77777777" w:rsidR="002F1F8C" w:rsidRPr="00A90CCE" w:rsidRDefault="002F1F8C" w:rsidP="00B648EF">
            <w:pPr>
              <w:spacing w:after="120"/>
              <w:jc w:val="center"/>
              <w:rPr>
                <w:sz w:val="21"/>
                <w:szCs w:val="21"/>
              </w:rPr>
            </w:pPr>
            <w:r w:rsidRPr="00A90CCE">
              <w:rPr>
                <w:sz w:val="21"/>
                <w:szCs w:val="21"/>
              </w:rPr>
              <w:t>1.02</w:t>
            </w:r>
            <w:r w:rsidRPr="00A90CCE">
              <w:rPr>
                <w:sz w:val="21"/>
                <w:szCs w:val="21"/>
              </w:rPr>
              <w:br/>
              <w:t>(1.00 – 1.04)</w:t>
            </w:r>
          </w:p>
        </w:tc>
        <w:tc>
          <w:tcPr>
            <w:tcW w:w="62" w:type="dxa"/>
          </w:tcPr>
          <w:p w14:paraId="2BC6F2F3"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0A63202F" w14:textId="77777777" w:rsidR="002F1F8C" w:rsidRPr="00A90CCE" w:rsidRDefault="002F1F8C" w:rsidP="00B648EF">
            <w:pPr>
              <w:spacing w:after="120"/>
              <w:jc w:val="center"/>
              <w:rPr>
                <w:sz w:val="21"/>
                <w:szCs w:val="21"/>
              </w:rPr>
            </w:pPr>
          </w:p>
        </w:tc>
        <w:tc>
          <w:tcPr>
            <w:tcW w:w="62" w:type="dxa"/>
          </w:tcPr>
          <w:p w14:paraId="17D65EA1"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15F8F8C5" w14:textId="77777777" w:rsidR="002F1F8C" w:rsidRPr="00A90CCE" w:rsidRDefault="002F1F8C" w:rsidP="00B648EF">
            <w:pPr>
              <w:spacing w:after="120"/>
              <w:jc w:val="center"/>
              <w:rPr>
                <w:b/>
                <w:bCs/>
                <w:sz w:val="21"/>
                <w:szCs w:val="21"/>
              </w:rPr>
            </w:pPr>
            <w:r w:rsidRPr="00A90CCE">
              <w:rPr>
                <w:b/>
                <w:bCs/>
                <w:sz w:val="21"/>
                <w:szCs w:val="21"/>
              </w:rPr>
              <w:t>1.14</w:t>
            </w:r>
            <w:r w:rsidRPr="00A90CCE">
              <w:rPr>
                <w:b/>
                <w:bCs/>
                <w:sz w:val="21"/>
                <w:szCs w:val="21"/>
              </w:rPr>
              <w:br/>
              <w:t>(1.11 – 1.17)</w:t>
            </w:r>
          </w:p>
        </w:tc>
        <w:tc>
          <w:tcPr>
            <w:tcW w:w="62" w:type="dxa"/>
          </w:tcPr>
          <w:p w14:paraId="0B6C4C7A"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54BE8C8E" w14:textId="77777777" w:rsidR="002F1F8C" w:rsidRPr="00A90CCE" w:rsidRDefault="002F1F8C" w:rsidP="00B648EF">
            <w:pPr>
              <w:spacing w:after="120"/>
              <w:jc w:val="center"/>
              <w:rPr>
                <w:b/>
                <w:bCs/>
                <w:sz w:val="21"/>
                <w:szCs w:val="21"/>
              </w:rPr>
            </w:pPr>
            <w:r w:rsidRPr="00A90CCE">
              <w:rPr>
                <w:b/>
                <w:bCs/>
                <w:sz w:val="21"/>
                <w:szCs w:val="21"/>
              </w:rPr>
              <w:t>1.14</w:t>
            </w:r>
            <w:r w:rsidRPr="00A90CCE">
              <w:rPr>
                <w:b/>
                <w:bCs/>
                <w:sz w:val="21"/>
                <w:szCs w:val="21"/>
              </w:rPr>
              <w:br/>
              <w:t>(1.11 – 1.16)</w:t>
            </w:r>
          </w:p>
        </w:tc>
      </w:tr>
      <w:tr w:rsidR="002F1F8C" w:rsidRPr="00A90CCE" w14:paraId="4E6D31A7" w14:textId="77777777" w:rsidTr="00B648EF">
        <w:tc>
          <w:tcPr>
            <w:tcW w:w="1779" w:type="dxa"/>
            <w:tcMar>
              <w:top w:w="11" w:type="dxa"/>
              <w:left w:w="11" w:type="dxa"/>
              <w:bottom w:w="11" w:type="dxa"/>
              <w:right w:w="11" w:type="dxa"/>
            </w:tcMar>
            <w:vAlign w:val="center"/>
            <w:hideMark/>
          </w:tcPr>
          <w:p w14:paraId="357D4C72" w14:textId="77777777" w:rsidR="002F1F8C" w:rsidRPr="00A90CCE" w:rsidRDefault="002F1F8C" w:rsidP="00B648EF">
            <w:pPr>
              <w:spacing w:after="120"/>
              <w:rPr>
                <w:sz w:val="22"/>
                <w:szCs w:val="22"/>
              </w:rPr>
            </w:pPr>
            <w:r w:rsidRPr="00A90CCE">
              <w:rPr>
                <w:sz w:val="22"/>
                <w:szCs w:val="22"/>
              </w:rPr>
              <w:t>Experience poverty (ln)</w:t>
            </w:r>
          </w:p>
        </w:tc>
        <w:tc>
          <w:tcPr>
            <w:tcW w:w="1157" w:type="dxa"/>
            <w:tcMar>
              <w:top w:w="11" w:type="dxa"/>
              <w:left w:w="11" w:type="dxa"/>
              <w:bottom w:w="11" w:type="dxa"/>
              <w:right w:w="11" w:type="dxa"/>
            </w:tcMar>
            <w:vAlign w:val="center"/>
            <w:hideMark/>
          </w:tcPr>
          <w:p w14:paraId="22EA942C" w14:textId="77777777" w:rsidR="002F1F8C" w:rsidRPr="00A90CCE" w:rsidRDefault="002F1F8C" w:rsidP="00B648EF">
            <w:pPr>
              <w:spacing w:after="120"/>
              <w:rPr>
                <w:sz w:val="21"/>
                <w:szCs w:val="21"/>
              </w:rPr>
            </w:pPr>
          </w:p>
        </w:tc>
        <w:tc>
          <w:tcPr>
            <w:tcW w:w="62" w:type="dxa"/>
          </w:tcPr>
          <w:p w14:paraId="1C431EE6"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560518E6" w14:textId="77777777" w:rsidR="002F1F8C" w:rsidRPr="00A90CCE" w:rsidRDefault="002F1F8C" w:rsidP="00B648EF">
            <w:pPr>
              <w:spacing w:after="120"/>
              <w:jc w:val="center"/>
              <w:rPr>
                <w:b/>
                <w:bCs/>
                <w:sz w:val="21"/>
                <w:szCs w:val="21"/>
              </w:rPr>
            </w:pPr>
            <w:r w:rsidRPr="00A90CCE">
              <w:rPr>
                <w:b/>
                <w:bCs/>
                <w:sz w:val="21"/>
                <w:szCs w:val="21"/>
              </w:rPr>
              <w:t>0.87</w:t>
            </w:r>
            <w:r w:rsidRPr="00A90CCE">
              <w:rPr>
                <w:b/>
                <w:bCs/>
                <w:sz w:val="21"/>
                <w:szCs w:val="21"/>
              </w:rPr>
              <w:br/>
              <w:t>(0.79 – 0.96)</w:t>
            </w:r>
          </w:p>
        </w:tc>
        <w:tc>
          <w:tcPr>
            <w:tcW w:w="62" w:type="dxa"/>
          </w:tcPr>
          <w:p w14:paraId="1C990400"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353B42AD" w14:textId="77777777" w:rsidR="002F1F8C" w:rsidRPr="00A90CCE" w:rsidRDefault="002F1F8C" w:rsidP="00B648EF">
            <w:pPr>
              <w:spacing w:after="120"/>
              <w:jc w:val="center"/>
              <w:rPr>
                <w:b/>
                <w:bCs/>
                <w:sz w:val="21"/>
                <w:szCs w:val="21"/>
              </w:rPr>
            </w:pPr>
            <w:r w:rsidRPr="00A90CCE">
              <w:rPr>
                <w:b/>
                <w:bCs/>
                <w:sz w:val="21"/>
                <w:szCs w:val="21"/>
              </w:rPr>
              <w:t>0.87</w:t>
            </w:r>
            <w:r w:rsidRPr="00A90CCE">
              <w:rPr>
                <w:b/>
                <w:bCs/>
                <w:sz w:val="21"/>
                <w:szCs w:val="21"/>
              </w:rPr>
              <w:br/>
              <w:t>(0.80 – 0.95)</w:t>
            </w:r>
          </w:p>
        </w:tc>
        <w:tc>
          <w:tcPr>
            <w:tcW w:w="62" w:type="dxa"/>
          </w:tcPr>
          <w:p w14:paraId="3D79B60C"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0149C3FA" w14:textId="77777777" w:rsidR="002F1F8C" w:rsidRPr="00A90CCE" w:rsidRDefault="002F1F8C" w:rsidP="00B648EF">
            <w:pPr>
              <w:spacing w:after="120"/>
              <w:jc w:val="center"/>
              <w:rPr>
                <w:sz w:val="21"/>
                <w:szCs w:val="21"/>
              </w:rPr>
            </w:pPr>
          </w:p>
        </w:tc>
        <w:tc>
          <w:tcPr>
            <w:tcW w:w="62" w:type="dxa"/>
          </w:tcPr>
          <w:p w14:paraId="05F00A97"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64D3023E" w14:textId="77777777" w:rsidR="002F1F8C" w:rsidRPr="00A90CCE" w:rsidRDefault="002F1F8C" w:rsidP="00B648EF">
            <w:pPr>
              <w:spacing w:after="120"/>
              <w:jc w:val="center"/>
              <w:rPr>
                <w:b/>
                <w:bCs/>
                <w:sz w:val="21"/>
                <w:szCs w:val="21"/>
              </w:rPr>
            </w:pPr>
            <w:r w:rsidRPr="00A90CCE">
              <w:rPr>
                <w:b/>
                <w:bCs/>
                <w:sz w:val="21"/>
                <w:szCs w:val="21"/>
              </w:rPr>
              <w:t>1.69</w:t>
            </w:r>
            <w:r w:rsidRPr="00A90CCE">
              <w:rPr>
                <w:b/>
                <w:bCs/>
                <w:sz w:val="21"/>
                <w:szCs w:val="21"/>
              </w:rPr>
              <w:br/>
              <w:t>(1.50 – 1.90)</w:t>
            </w:r>
          </w:p>
        </w:tc>
        <w:tc>
          <w:tcPr>
            <w:tcW w:w="62" w:type="dxa"/>
          </w:tcPr>
          <w:p w14:paraId="0E0A037E"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3134B76A" w14:textId="77777777" w:rsidR="002F1F8C" w:rsidRPr="00A90CCE" w:rsidRDefault="002F1F8C" w:rsidP="00B648EF">
            <w:pPr>
              <w:spacing w:after="120"/>
              <w:jc w:val="center"/>
              <w:rPr>
                <w:b/>
                <w:bCs/>
                <w:sz w:val="21"/>
                <w:szCs w:val="21"/>
              </w:rPr>
            </w:pPr>
            <w:r w:rsidRPr="00A90CCE">
              <w:rPr>
                <w:b/>
                <w:bCs/>
                <w:sz w:val="21"/>
                <w:szCs w:val="21"/>
              </w:rPr>
              <w:t>1.70</w:t>
            </w:r>
            <w:r w:rsidRPr="00A90CCE">
              <w:rPr>
                <w:b/>
                <w:bCs/>
                <w:sz w:val="21"/>
                <w:szCs w:val="21"/>
              </w:rPr>
              <w:br/>
              <w:t>(1.51 – 1.91)</w:t>
            </w:r>
          </w:p>
        </w:tc>
      </w:tr>
      <w:tr w:rsidR="002F1F8C" w:rsidRPr="00A90CCE" w14:paraId="57FFBEF7" w14:textId="77777777" w:rsidTr="00B648EF">
        <w:tc>
          <w:tcPr>
            <w:tcW w:w="1779" w:type="dxa"/>
            <w:tcMar>
              <w:top w:w="11" w:type="dxa"/>
              <w:left w:w="11" w:type="dxa"/>
              <w:bottom w:w="11" w:type="dxa"/>
              <w:right w:w="11" w:type="dxa"/>
            </w:tcMar>
            <w:vAlign w:val="center"/>
            <w:hideMark/>
          </w:tcPr>
          <w:p w14:paraId="4E16ACD5" w14:textId="77777777" w:rsidR="002F1F8C" w:rsidRPr="00A90CCE" w:rsidRDefault="002F1F8C" w:rsidP="00B648EF">
            <w:pPr>
              <w:spacing w:after="120"/>
              <w:rPr>
                <w:sz w:val="22"/>
                <w:szCs w:val="22"/>
              </w:rPr>
            </w:pPr>
            <w:r w:rsidRPr="00A90CCE">
              <w:rPr>
                <w:sz w:val="22"/>
                <w:szCs w:val="22"/>
              </w:rPr>
              <w:t>Employment Status</w:t>
            </w:r>
          </w:p>
        </w:tc>
        <w:tc>
          <w:tcPr>
            <w:tcW w:w="1157" w:type="dxa"/>
            <w:tcMar>
              <w:top w:w="11" w:type="dxa"/>
              <w:left w:w="11" w:type="dxa"/>
              <w:bottom w:w="11" w:type="dxa"/>
              <w:right w:w="11" w:type="dxa"/>
            </w:tcMar>
            <w:vAlign w:val="center"/>
            <w:hideMark/>
          </w:tcPr>
          <w:p w14:paraId="56F14710" w14:textId="77777777" w:rsidR="002F1F8C" w:rsidRPr="00A90CCE" w:rsidRDefault="002F1F8C" w:rsidP="00B648EF">
            <w:pPr>
              <w:spacing w:after="120"/>
              <w:rPr>
                <w:sz w:val="21"/>
                <w:szCs w:val="21"/>
              </w:rPr>
            </w:pPr>
          </w:p>
        </w:tc>
        <w:tc>
          <w:tcPr>
            <w:tcW w:w="62" w:type="dxa"/>
          </w:tcPr>
          <w:p w14:paraId="014008EF"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10A35D51" w14:textId="77777777" w:rsidR="002F1F8C" w:rsidRPr="00A90CCE" w:rsidRDefault="002F1F8C" w:rsidP="00B648EF">
            <w:pPr>
              <w:spacing w:after="120"/>
              <w:jc w:val="center"/>
              <w:rPr>
                <w:sz w:val="21"/>
                <w:szCs w:val="21"/>
              </w:rPr>
            </w:pPr>
            <w:r w:rsidRPr="00A90CCE">
              <w:rPr>
                <w:sz w:val="21"/>
                <w:szCs w:val="21"/>
              </w:rPr>
              <w:t>1.08</w:t>
            </w:r>
            <w:r w:rsidRPr="00A90CCE">
              <w:rPr>
                <w:sz w:val="21"/>
                <w:szCs w:val="21"/>
              </w:rPr>
              <w:br/>
              <w:t>(1.00 – 1.17)</w:t>
            </w:r>
          </w:p>
        </w:tc>
        <w:tc>
          <w:tcPr>
            <w:tcW w:w="62" w:type="dxa"/>
          </w:tcPr>
          <w:p w14:paraId="663FB182"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3489BFB3" w14:textId="77777777" w:rsidR="002F1F8C" w:rsidRPr="00A90CCE" w:rsidRDefault="002F1F8C" w:rsidP="00B648EF">
            <w:pPr>
              <w:spacing w:after="120"/>
              <w:jc w:val="center"/>
              <w:rPr>
                <w:sz w:val="21"/>
                <w:szCs w:val="21"/>
              </w:rPr>
            </w:pPr>
            <w:r w:rsidRPr="00A90CCE">
              <w:rPr>
                <w:sz w:val="21"/>
                <w:szCs w:val="21"/>
              </w:rPr>
              <w:t>1.09</w:t>
            </w:r>
            <w:r w:rsidRPr="00A90CCE">
              <w:rPr>
                <w:sz w:val="21"/>
                <w:szCs w:val="21"/>
              </w:rPr>
              <w:br/>
              <w:t>(1.00 – 1.18)</w:t>
            </w:r>
          </w:p>
        </w:tc>
        <w:tc>
          <w:tcPr>
            <w:tcW w:w="62" w:type="dxa"/>
          </w:tcPr>
          <w:p w14:paraId="238C14BD"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500460EA" w14:textId="77777777" w:rsidR="002F1F8C" w:rsidRPr="00A90CCE" w:rsidRDefault="002F1F8C" w:rsidP="00B648EF">
            <w:pPr>
              <w:spacing w:after="120"/>
              <w:jc w:val="center"/>
              <w:rPr>
                <w:sz w:val="21"/>
                <w:szCs w:val="21"/>
              </w:rPr>
            </w:pPr>
          </w:p>
        </w:tc>
        <w:tc>
          <w:tcPr>
            <w:tcW w:w="62" w:type="dxa"/>
          </w:tcPr>
          <w:p w14:paraId="5306CB12"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46A9581E" w14:textId="77777777" w:rsidR="002F1F8C" w:rsidRPr="00A90CCE" w:rsidRDefault="002F1F8C" w:rsidP="00B648EF">
            <w:pPr>
              <w:spacing w:after="120"/>
              <w:jc w:val="center"/>
              <w:rPr>
                <w:sz w:val="21"/>
                <w:szCs w:val="21"/>
              </w:rPr>
            </w:pPr>
            <w:r w:rsidRPr="00A90CCE">
              <w:rPr>
                <w:sz w:val="21"/>
                <w:szCs w:val="21"/>
              </w:rPr>
              <w:t>0.91</w:t>
            </w:r>
            <w:r w:rsidRPr="00A90CCE">
              <w:rPr>
                <w:sz w:val="21"/>
                <w:szCs w:val="21"/>
              </w:rPr>
              <w:br/>
              <w:t>(0.82 – 1.00)</w:t>
            </w:r>
          </w:p>
        </w:tc>
        <w:tc>
          <w:tcPr>
            <w:tcW w:w="62" w:type="dxa"/>
          </w:tcPr>
          <w:p w14:paraId="69A643EC"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2A88AA73" w14:textId="77777777" w:rsidR="002F1F8C" w:rsidRPr="00A90CCE" w:rsidRDefault="002F1F8C" w:rsidP="00B648EF">
            <w:pPr>
              <w:spacing w:after="120"/>
              <w:jc w:val="center"/>
              <w:rPr>
                <w:sz w:val="21"/>
                <w:szCs w:val="21"/>
              </w:rPr>
            </w:pPr>
            <w:r w:rsidRPr="00A90CCE">
              <w:rPr>
                <w:sz w:val="21"/>
                <w:szCs w:val="21"/>
              </w:rPr>
              <w:t>0.91</w:t>
            </w:r>
            <w:r w:rsidRPr="00A90CCE">
              <w:rPr>
                <w:sz w:val="21"/>
                <w:szCs w:val="21"/>
              </w:rPr>
              <w:br/>
              <w:t>(0.82 – 1.00)</w:t>
            </w:r>
          </w:p>
        </w:tc>
      </w:tr>
      <w:tr w:rsidR="002F1F8C" w:rsidRPr="00A90CCE" w14:paraId="76C055B5" w14:textId="77777777" w:rsidTr="00B648EF">
        <w:tc>
          <w:tcPr>
            <w:tcW w:w="1779" w:type="dxa"/>
            <w:tcMar>
              <w:top w:w="11" w:type="dxa"/>
              <w:left w:w="11" w:type="dxa"/>
              <w:bottom w:w="11" w:type="dxa"/>
              <w:right w:w="11" w:type="dxa"/>
            </w:tcMar>
            <w:vAlign w:val="center"/>
            <w:hideMark/>
          </w:tcPr>
          <w:p w14:paraId="094DE49F" w14:textId="77777777" w:rsidR="002F1F8C" w:rsidRPr="00A90CCE" w:rsidRDefault="002F1F8C" w:rsidP="00B648EF">
            <w:pPr>
              <w:spacing w:after="120"/>
              <w:rPr>
                <w:sz w:val="22"/>
                <w:szCs w:val="22"/>
              </w:rPr>
            </w:pPr>
            <w:r w:rsidRPr="00A90CCE">
              <w:rPr>
                <w:sz w:val="22"/>
                <w:szCs w:val="22"/>
              </w:rPr>
              <w:t>Youth share x Mid adults</w:t>
            </w:r>
          </w:p>
        </w:tc>
        <w:tc>
          <w:tcPr>
            <w:tcW w:w="1157" w:type="dxa"/>
            <w:tcMar>
              <w:top w:w="11" w:type="dxa"/>
              <w:left w:w="11" w:type="dxa"/>
              <w:bottom w:w="11" w:type="dxa"/>
              <w:right w:w="11" w:type="dxa"/>
            </w:tcMar>
            <w:vAlign w:val="center"/>
            <w:hideMark/>
          </w:tcPr>
          <w:p w14:paraId="0C4867E7" w14:textId="77777777" w:rsidR="002F1F8C" w:rsidRPr="00A90CCE" w:rsidRDefault="002F1F8C" w:rsidP="00B648EF">
            <w:pPr>
              <w:spacing w:after="120"/>
              <w:rPr>
                <w:sz w:val="21"/>
                <w:szCs w:val="21"/>
              </w:rPr>
            </w:pPr>
          </w:p>
        </w:tc>
        <w:tc>
          <w:tcPr>
            <w:tcW w:w="62" w:type="dxa"/>
          </w:tcPr>
          <w:p w14:paraId="50C6CEFA"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75FF204A" w14:textId="77777777" w:rsidR="002F1F8C" w:rsidRPr="00A90CCE" w:rsidRDefault="002F1F8C" w:rsidP="00B648EF">
            <w:pPr>
              <w:spacing w:after="120"/>
              <w:jc w:val="center"/>
              <w:rPr>
                <w:sz w:val="21"/>
                <w:szCs w:val="21"/>
              </w:rPr>
            </w:pPr>
          </w:p>
        </w:tc>
        <w:tc>
          <w:tcPr>
            <w:tcW w:w="62" w:type="dxa"/>
          </w:tcPr>
          <w:p w14:paraId="57869E0F"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626A83EF" w14:textId="77777777" w:rsidR="002F1F8C" w:rsidRPr="00A90CCE" w:rsidRDefault="002F1F8C" w:rsidP="00B648EF">
            <w:pPr>
              <w:spacing w:after="120"/>
              <w:jc w:val="center"/>
              <w:rPr>
                <w:sz w:val="21"/>
                <w:szCs w:val="21"/>
              </w:rPr>
            </w:pPr>
            <w:r w:rsidRPr="00A90CCE">
              <w:rPr>
                <w:sz w:val="21"/>
                <w:szCs w:val="21"/>
              </w:rPr>
              <w:t>0.98</w:t>
            </w:r>
            <w:r w:rsidRPr="00A90CCE">
              <w:rPr>
                <w:sz w:val="21"/>
                <w:szCs w:val="21"/>
              </w:rPr>
              <w:br/>
              <w:t>(0.90 – 1.06)</w:t>
            </w:r>
          </w:p>
        </w:tc>
        <w:tc>
          <w:tcPr>
            <w:tcW w:w="62" w:type="dxa"/>
          </w:tcPr>
          <w:p w14:paraId="2B54438A"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5AAFC532" w14:textId="77777777" w:rsidR="002F1F8C" w:rsidRPr="00A90CCE" w:rsidRDefault="002F1F8C" w:rsidP="00B648EF">
            <w:pPr>
              <w:spacing w:after="120"/>
              <w:jc w:val="center"/>
              <w:rPr>
                <w:sz w:val="21"/>
                <w:szCs w:val="21"/>
              </w:rPr>
            </w:pPr>
          </w:p>
        </w:tc>
        <w:tc>
          <w:tcPr>
            <w:tcW w:w="62" w:type="dxa"/>
          </w:tcPr>
          <w:p w14:paraId="242CF49E"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6BB128FD" w14:textId="77777777" w:rsidR="002F1F8C" w:rsidRPr="00A90CCE" w:rsidRDefault="002F1F8C" w:rsidP="00B648EF">
            <w:pPr>
              <w:spacing w:after="120"/>
              <w:jc w:val="center"/>
              <w:rPr>
                <w:sz w:val="21"/>
                <w:szCs w:val="21"/>
              </w:rPr>
            </w:pPr>
          </w:p>
        </w:tc>
        <w:tc>
          <w:tcPr>
            <w:tcW w:w="62" w:type="dxa"/>
          </w:tcPr>
          <w:p w14:paraId="067E58B7"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381E200D" w14:textId="77777777" w:rsidR="002F1F8C" w:rsidRPr="00A90CCE" w:rsidRDefault="002F1F8C" w:rsidP="00B648EF">
            <w:pPr>
              <w:spacing w:after="120"/>
              <w:jc w:val="center"/>
              <w:rPr>
                <w:b/>
                <w:bCs/>
                <w:sz w:val="21"/>
                <w:szCs w:val="21"/>
              </w:rPr>
            </w:pPr>
            <w:r w:rsidRPr="00A90CCE">
              <w:rPr>
                <w:b/>
                <w:bCs/>
                <w:sz w:val="21"/>
                <w:szCs w:val="21"/>
              </w:rPr>
              <w:t>0.89</w:t>
            </w:r>
            <w:r w:rsidRPr="00A90CCE">
              <w:rPr>
                <w:b/>
                <w:bCs/>
                <w:sz w:val="21"/>
                <w:szCs w:val="21"/>
              </w:rPr>
              <w:br/>
              <w:t>(0.81 – 0.98)</w:t>
            </w:r>
          </w:p>
        </w:tc>
      </w:tr>
      <w:tr w:rsidR="002F1F8C" w:rsidRPr="00A90CCE" w14:paraId="15730B02" w14:textId="77777777" w:rsidTr="00B648EF">
        <w:tc>
          <w:tcPr>
            <w:tcW w:w="1779" w:type="dxa"/>
            <w:tcMar>
              <w:top w:w="11" w:type="dxa"/>
              <w:left w:w="11" w:type="dxa"/>
              <w:bottom w:w="11" w:type="dxa"/>
              <w:right w:w="11" w:type="dxa"/>
            </w:tcMar>
            <w:vAlign w:val="center"/>
            <w:hideMark/>
          </w:tcPr>
          <w:p w14:paraId="4BA4E96E" w14:textId="77777777" w:rsidR="002F1F8C" w:rsidRPr="00A90CCE" w:rsidRDefault="002F1F8C" w:rsidP="00B648EF">
            <w:pPr>
              <w:spacing w:after="120"/>
              <w:rPr>
                <w:sz w:val="22"/>
                <w:szCs w:val="22"/>
              </w:rPr>
            </w:pPr>
            <w:r w:rsidRPr="00A90CCE">
              <w:rPr>
                <w:sz w:val="22"/>
                <w:szCs w:val="22"/>
              </w:rPr>
              <w:t xml:space="preserve">Youth share x </w:t>
            </w:r>
            <w:proofErr w:type="gramStart"/>
            <w:r w:rsidRPr="00A90CCE">
              <w:rPr>
                <w:sz w:val="22"/>
                <w:szCs w:val="22"/>
              </w:rPr>
              <w:t>Older</w:t>
            </w:r>
            <w:proofErr w:type="gramEnd"/>
            <w:r w:rsidRPr="00A90CCE">
              <w:rPr>
                <w:sz w:val="22"/>
                <w:szCs w:val="22"/>
              </w:rPr>
              <w:t xml:space="preserve"> adults</w:t>
            </w:r>
          </w:p>
        </w:tc>
        <w:tc>
          <w:tcPr>
            <w:tcW w:w="1157" w:type="dxa"/>
            <w:tcMar>
              <w:top w:w="11" w:type="dxa"/>
              <w:left w:w="11" w:type="dxa"/>
              <w:bottom w:w="11" w:type="dxa"/>
              <w:right w:w="11" w:type="dxa"/>
            </w:tcMar>
            <w:vAlign w:val="center"/>
            <w:hideMark/>
          </w:tcPr>
          <w:p w14:paraId="109BF15D" w14:textId="77777777" w:rsidR="002F1F8C" w:rsidRPr="00A90CCE" w:rsidRDefault="002F1F8C" w:rsidP="00B648EF">
            <w:pPr>
              <w:spacing w:after="120"/>
              <w:rPr>
                <w:sz w:val="21"/>
                <w:szCs w:val="21"/>
              </w:rPr>
            </w:pPr>
          </w:p>
        </w:tc>
        <w:tc>
          <w:tcPr>
            <w:tcW w:w="62" w:type="dxa"/>
          </w:tcPr>
          <w:p w14:paraId="49872C70"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61C0B29B" w14:textId="77777777" w:rsidR="002F1F8C" w:rsidRPr="00A90CCE" w:rsidRDefault="002F1F8C" w:rsidP="00B648EF">
            <w:pPr>
              <w:spacing w:after="120"/>
              <w:jc w:val="center"/>
              <w:rPr>
                <w:sz w:val="21"/>
                <w:szCs w:val="21"/>
              </w:rPr>
            </w:pPr>
          </w:p>
        </w:tc>
        <w:tc>
          <w:tcPr>
            <w:tcW w:w="62" w:type="dxa"/>
          </w:tcPr>
          <w:p w14:paraId="3890D00E"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268A8A92" w14:textId="77777777" w:rsidR="002F1F8C" w:rsidRPr="00A90CCE" w:rsidRDefault="002F1F8C" w:rsidP="00B648EF">
            <w:pPr>
              <w:spacing w:after="120"/>
              <w:jc w:val="center"/>
              <w:rPr>
                <w:sz w:val="21"/>
                <w:szCs w:val="21"/>
              </w:rPr>
            </w:pPr>
            <w:r w:rsidRPr="00A90CCE">
              <w:rPr>
                <w:sz w:val="21"/>
                <w:szCs w:val="21"/>
              </w:rPr>
              <w:t>0.97</w:t>
            </w:r>
            <w:r w:rsidRPr="00A90CCE">
              <w:rPr>
                <w:sz w:val="21"/>
                <w:szCs w:val="21"/>
              </w:rPr>
              <w:br/>
              <w:t>(0.87 – 1.08)</w:t>
            </w:r>
          </w:p>
        </w:tc>
        <w:tc>
          <w:tcPr>
            <w:tcW w:w="62" w:type="dxa"/>
          </w:tcPr>
          <w:p w14:paraId="2BF2C294"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1B1F82CE" w14:textId="77777777" w:rsidR="002F1F8C" w:rsidRPr="00A90CCE" w:rsidRDefault="002F1F8C" w:rsidP="00B648EF">
            <w:pPr>
              <w:spacing w:after="120"/>
              <w:jc w:val="center"/>
              <w:rPr>
                <w:sz w:val="21"/>
                <w:szCs w:val="21"/>
              </w:rPr>
            </w:pPr>
          </w:p>
        </w:tc>
        <w:tc>
          <w:tcPr>
            <w:tcW w:w="62" w:type="dxa"/>
          </w:tcPr>
          <w:p w14:paraId="22E9E6EA" w14:textId="77777777" w:rsidR="002F1F8C" w:rsidRPr="00A90CCE" w:rsidRDefault="002F1F8C" w:rsidP="00B648EF">
            <w:pPr>
              <w:spacing w:after="120"/>
              <w:jc w:val="center"/>
              <w:rPr>
                <w:sz w:val="21"/>
                <w:szCs w:val="21"/>
              </w:rPr>
            </w:pPr>
          </w:p>
        </w:tc>
        <w:tc>
          <w:tcPr>
            <w:tcW w:w="1156" w:type="dxa"/>
            <w:tcMar>
              <w:top w:w="11" w:type="dxa"/>
              <w:left w:w="11" w:type="dxa"/>
              <w:bottom w:w="11" w:type="dxa"/>
              <w:right w:w="11" w:type="dxa"/>
            </w:tcMar>
            <w:vAlign w:val="center"/>
            <w:hideMark/>
          </w:tcPr>
          <w:p w14:paraId="024C5CD4" w14:textId="77777777" w:rsidR="002F1F8C" w:rsidRPr="00A90CCE" w:rsidRDefault="002F1F8C" w:rsidP="00B648EF">
            <w:pPr>
              <w:spacing w:after="120"/>
              <w:jc w:val="center"/>
              <w:rPr>
                <w:sz w:val="21"/>
                <w:szCs w:val="21"/>
              </w:rPr>
            </w:pPr>
          </w:p>
        </w:tc>
        <w:tc>
          <w:tcPr>
            <w:tcW w:w="62" w:type="dxa"/>
          </w:tcPr>
          <w:p w14:paraId="4691DEDF" w14:textId="77777777" w:rsidR="002F1F8C" w:rsidRPr="00A90CCE" w:rsidRDefault="002F1F8C" w:rsidP="00B648EF">
            <w:pPr>
              <w:spacing w:after="120"/>
              <w:jc w:val="center"/>
              <w:rPr>
                <w:b/>
                <w:bCs/>
                <w:sz w:val="21"/>
                <w:szCs w:val="21"/>
              </w:rPr>
            </w:pPr>
          </w:p>
        </w:tc>
        <w:tc>
          <w:tcPr>
            <w:tcW w:w="1156" w:type="dxa"/>
            <w:tcMar>
              <w:top w:w="11" w:type="dxa"/>
              <w:left w:w="11" w:type="dxa"/>
              <w:bottom w:w="11" w:type="dxa"/>
              <w:right w:w="11" w:type="dxa"/>
            </w:tcMar>
            <w:vAlign w:val="center"/>
            <w:hideMark/>
          </w:tcPr>
          <w:p w14:paraId="651FF125" w14:textId="77777777" w:rsidR="002F1F8C" w:rsidRPr="00A90CCE" w:rsidRDefault="002F1F8C" w:rsidP="00B648EF">
            <w:pPr>
              <w:spacing w:after="120"/>
              <w:jc w:val="center"/>
              <w:rPr>
                <w:b/>
                <w:bCs/>
                <w:sz w:val="21"/>
                <w:szCs w:val="21"/>
              </w:rPr>
            </w:pPr>
            <w:r w:rsidRPr="00A90CCE">
              <w:rPr>
                <w:b/>
                <w:bCs/>
                <w:sz w:val="21"/>
                <w:szCs w:val="21"/>
              </w:rPr>
              <w:t>0.86</w:t>
            </w:r>
            <w:r w:rsidRPr="00A90CCE">
              <w:rPr>
                <w:b/>
                <w:bCs/>
                <w:sz w:val="21"/>
                <w:szCs w:val="21"/>
              </w:rPr>
              <w:br/>
              <w:t>(0.75 – 0.99)</w:t>
            </w:r>
          </w:p>
        </w:tc>
      </w:tr>
      <w:tr w:rsidR="002F1F8C" w:rsidRPr="00A90CCE" w14:paraId="3795E0C5" w14:textId="77777777" w:rsidTr="00B648EF">
        <w:tc>
          <w:tcPr>
            <w:tcW w:w="1779" w:type="dxa"/>
            <w:tcBorders>
              <w:top w:val="single" w:sz="6" w:space="0" w:color="auto"/>
            </w:tcBorders>
            <w:tcMar>
              <w:top w:w="57" w:type="dxa"/>
              <w:left w:w="11" w:type="dxa"/>
              <w:bottom w:w="57" w:type="dxa"/>
              <w:right w:w="11" w:type="dxa"/>
            </w:tcMar>
            <w:vAlign w:val="center"/>
            <w:hideMark/>
          </w:tcPr>
          <w:p w14:paraId="797A1B26" w14:textId="77777777" w:rsidR="002F1F8C" w:rsidRPr="00A90CCE" w:rsidRDefault="002F1F8C" w:rsidP="00B648EF">
            <w:pPr>
              <w:rPr>
                <w:sz w:val="22"/>
                <w:szCs w:val="22"/>
              </w:rPr>
            </w:pPr>
            <w:r w:rsidRPr="00A90CCE">
              <w:rPr>
                <w:sz w:val="22"/>
                <w:szCs w:val="22"/>
              </w:rPr>
              <w:t>Observations</w:t>
            </w:r>
          </w:p>
        </w:tc>
        <w:tc>
          <w:tcPr>
            <w:tcW w:w="1157" w:type="dxa"/>
            <w:tcBorders>
              <w:top w:val="single" w:sz="6" w:space="0" w:color="auto"/>
            </w:tcBorders>
            <w:tcMar>
              <w:top w:w="57" w:type="dxa"/>
              <w:left w:w="11" w:type="dxa"/>
              <w:bottom w:w="57" w:type="dxa"/>
              <w:right w:w="11" w:type="dxa"/>
            </w:tcMar>
            <w:vAlign w:val="center"/>
            <w:hideMark/>
          </w:tcPr>
          <w:p w14:paraId="5C706F53" w14:textId="77777777" w:rsidR="002F1F8C" w:rsidRPr="00A90CCE" w:rsidRDefault="002F1F8C" w:rsidP="00B648EF">
            <w:pPr>
              <w:jc w:val="center"/>
              <w:rPr>
                <w:sz w:val="22"/>
                <w:szCs w:val="22"/>
              </w:rPr>
            </w:pPr>
            <w:r w:rsidRPr="00A90CCE">
              <w:rPr>
                <w:sz w:val="22"/>
                <w:szCs w:val="22"/>
              </w:rPr>
              <w:t>18321</w:t>
            </w:r>
          </w:p>
        </w:tc>
        <w:tc>
          <w:tcPr>
            <w:tcW w:w="62" w:type="dxa"/>
            <w:tcBorders>
              <w:top w:val="single" w:sz="6" w:space="0" w:color="auto"/>
            </w:tcBorders>
          </w:tcPr>
          <w:p w14:paraId="606B99FE" w14:textId="77777777" w:rsidR="002F1F8C" w:rsidRPr="00A90CCE" w:rsidRDefault="002F1F8C" w:rsidP="00B648EF">
            <w:pPr>
              <w:jc w:val="center"/>
              <w:rPr>
                <w:sz w:val="22"/>
                <w:szCs w:val="22"/>
              </w:rPr>
            </w:pPr>
          </w:p>
        </w:tc>
        <w:tc>
          <w:tcPr>
            <w:tcW w:w="1156" w:type="dxa"/>
            <w:tcBorders>
              <w:top w:val="single" w:sz="6" w:space="0" w:color="auto"/>
            </w:tcBorders>
            <w:tcMar>
              <w:top w:w="57" w:type="dxa"/>
              <w:left w:w="11" w:type="dxa"/>
              <w:bottom w:w="57" w:type="dxa"/>
              <w:right w:w="11" w:type="dxa"/>
            </w:tcMar>
            <w:vAlign w:val="center"/>
            <w:hideMark/>
          </w:tcPr>
          <w:p w14:paraId="1AFF931F" w14:textId="77777777" w:rsidR="002F1F8C" w:rsidRPr="00A90CCE" w:rsidRDefault="002F1F8C" w:rsidP="00B648EF">
            <w:pPr>
              <w:jc w:val="center"/>
              <w:rPr>
                <w:sz w:val="22"/>
                <w:szCs w:val="22"/>
              </w:rPr>
            </w:pPr>
            <w:r w:rsidRPr="00A90CCE">
              <w:rPr>
                <w:sz w:val="22"/>
                <w:szCs w:val="22"/>
              </w:rPr>
              <w:t>18321</w:t>
            </w:r>
          </w:p>
        </w:tc>
        <w:tc>
          <w:tcPr>
            <w:tcW w:w="62" w:type="dxa"/>
            <w:tcBorders>
              <w:top w:val="single" w:sz="6" w:space="0" w:color="auto"/>
            </w:tcBorders>
          </w:tcPr>
          <w:p w14:paraId="59BBCAAD" w14:textId="77777777" w:rsidR="002F1F8C" w:rsidRPr="00A90CCE" w:rsidRDefault="002F1F8C" w:rsidP="00B648EF">
            <w:pPr>
              <w:jc w:val="center"/>
              <w:rPr>
                <w:sz w:val="22"/>
                <w:szCs w:val="22"/>
              </w:rPr>
            </w:pPr>
          </w:p>
        </w:tc>
        <w:tc>
          <w:tcPr>
            <w:tcW w:w="1156" w:type="dxa"/>
            <w:tcBorders>
              <w:top w:val="single" w:sz="6" w:space="0" w:color="auto"/>
            </w:tcBorders>
            <w:tcMar>
              <w:top w:w="57" w:type="dxa"/>
              <w:left w:w="11" w:type="dxa"/>
              <w:bottom w:w="57" w:type="dxa"/>
              <w:right w:w="11" w:type="dxa"/>
            </w:tcMar>
            <w:vAlign w:val="center"/>
            <w:hideMark/>
          </w:tcPr>
          <w:p w14:paraId="145B3474" w14:textId="77777777" w:rsidR="002F1F8C" w:rsidRPr="00A90CCE" w:rsidRDefault="002F1F8C" w:rsidP="00B648EF">
            <w:pPr>
              <w:jc w:val="center"/>
              <w:rPr>
                <w:sz w:val="22"/>
                <w:szCs w:val="22"/>
              </w:rPr>
            </w:pPr>
            <w:r w:rsidRPr="00A90CCE">
              <w:rPr>
                <w:sz w:val="22"/>
                <w:szCs w:val="22"/>
              </w:rPr>
              <w:t>18321</w:t>
            </w:r>
          </w:p>
        </w:tc>
        <w:tc>
          <w:tcPr>
            <w:tcW w:w="62" w:type="dxa"/>
            <w:tcBorders>
              <w:top w:val="single" w:sz="6" w:space="0" w:color="auto"/>
            </w:tcBorders>
          </w:tcPr>
          <w:p w14:paraId="09F8054F" w14:textId="77777777" w:rsidR="002F1F8C" w:rsidRPr="00A90CCE" w:rsidRDefault="002F1F8C" w:rsidP="00B648EF">
            <w:pPr>
              <w:jc w:val="center"/>
              <w:rPr>
                <w:sz w:val="22"/>
                <w:szCs w:val="22"/>
              </w:rPr>
            </w:pPr>
          </w:p>
        </w:tc>
        <w:tc>
          <w:tcPr>
            <w:tcW w:w="1156" w:type="dxa"/>
            <w:tcBorders>
              <w:top w:val="single" w:sz="6" w:space="0" w:color="auto"/>
            </w:tcBorders>
            <w:tcMar>
              <w:top w:w="57" w:type="dxa"/>
              <w:left w:w="11" w:type="dxa"/>
              <w:bottom w:w="57" w:type="dxa"/>
              <w:right w:w="11" w:type="dxa"/>
            </w:tcMar>
            <w:vAlign w:val="center"/>
            <w:hideMark/>
          </w:tcPr>
          <w:p w14:paraId="0AF05FE6" w14:textId="77777777" w:rsidR="002F1F8C" w:rsidRPr="00A90CCE" w:rsidRDefault="002F1F8C" w:rsidP="00B648EF">
            <w:pPr>
              <w:jc w:val="center"/>
              <w:rPr>
                <w:sz w:val="22"/>
                <w:szCs w:val="22"/>
              </w:rPr>
            </w:pPr>
            <w:r w:rsidRPr="00A90CCE">
              <w:rPr>
                <w:sz w:val="22"/>
                <w:szCs w:val="22"/>
              </w:rPr>
              <w:t>18321</w:t>
            </w:r>
          </w:p>
        </w:tc>
        <w:tc>
          <w:tcPr>
            <w:tcW w:w="62" w:type="dxa"/>
            <w:tcBorders>
              <w:top w:val="single" w:sz="6" w:space="0" w:color="auto"/>
            </w:tcBorders>
          </w:tcPr>
          <w:p w14:paraId="429BB6DF" w14:textId="77777777" w:rsidR="002F1F8C" w:rsidRPr="00A90CCE" w:rsidRDefault="002F1F8C" w:rsidP="00B648EF">
            <w:pPr>
              <w:jc w:val="center"/>
              <w:rPr>
                <w:sz w:val="22"/>
                <w:szCs w:val="22"/>
              </w:rPr>
            </w:pPr>
          </w:p>
        </w:tc>
        <w:tc>
          <w:tcPr>
            <w:tcW w:w="1156" w:type="dxa"/>
            <w:tcBorders>
              <w:top w:val="single" w:sz="6" w:space="0" w:color="auto"/>
            </w:tcBorders>
            <w:tcMar>
              <w:top w:w="57" w:type="dxa"/>
              <w:left w:w="11" w:type="dxa"/>
              <w:bottom w:w="57" w:type="dxa"/>
              <w:right w:w="11" w:type="dxa"/>
            </w:tcMar>
            <w:vAlign w:val="center"/>
            <w:hideMark/>
          </w:tcPr>
          <w:p w14:paraId="6AC36B51" w14:textId="77777777" w:rsidR="002F1F8C" w:rsidRPr="00A90CCE" w:rsidRDefault="002F1F8C" w:rsidP="00B648EF">
            <w:pPr>
              <w:jc w:val="center"/>
              <w:rPr>
                <w:sz w:val="22"/>
                <w:szCs w:val="22"/>
              </w:rPr>
            </w:pPr>
            <w:r w:rsidRPr="00A90CCE">
              <w:rPr>
                <w:sz w:val="22"/>
                <w:szCs w:val="22"/>
              </w:rPr>
              <w:t>18321</w:t>
            </w:r>
          </w:p>
        </w:tc>
        <w:tc>
          <w:tcPr>
            <w:tcW w:w="62" w:type="dxa"/>
            <w:tcBorders>
              <w:top w:val="single" w:sz="6" w:space="0" w:color="auto"/>
            </w:tcBorders>
          </w:tcPr>
          <w:p w14:paraId="65F8E840" w14:textId="77777777" w:rsidR="002F1F8C" w:rsidRPr="00A90CCE" w:rsidRDefault="002F1F8C" w:rsidP="00B648EF">
            <w:pPr>
              <w:jc w:val="center"/>
              <w:rPr>
                <w:sz w:val="22"/>
                <w:szCs w:val="22"/>
              </w:rPr>
            </w:pPr>
          </w:p>
        </w:tc>
        <w:tc>
          <w:tcPr>
            <w:tcW w:w="1156" w:type="dxa"/>
            <w:tcBorders>
              <w:top w:val="single" w:sz="6" w:space="0" w:color="auto"/>
            </w:tcBorders>
            <w:tcMar>
              <w:top w:w="57" w:type="dxa"/>
              <w:left w:w="11" w:type="dxa"/>
              <w:bottom w:w="57" w:type="dxa"/>
              <w:right w:w="11" w:type="dxa"/>
            </w:tcMar>
            <w:vAlign w:val="center"/>
            <w:hideMark/>
          </w:tcPr>
          <w:p w14:paraId="18F2D9AF" w14:textId="77777777" w:rsidR="002F1F8C" w:rsidRPr="00A90CCE" w:rsidRDefault="002F1F8C" w:rsidP="00B648EF">
            <w:pPr>
              <w:jc w:val="center"/>
              <w:rPr>
                <w:sz w:val="22"/>
                <w:szCs w:val="22"/>
              </w:rPr>
            </w:pPr>
            <w:r w:rsidRPr="00A90CCE">
              <w:rPr>
                <w:sz w:val="22"/>
                <w:szCs w:val="22"/>
              </w:rPr>
              <w:t>18321</w:t>
            </w:r>
          </w:p>
        </w:tc>
      </w:tr>
      <w:tr w:rsidR="002F1F8C" w:rsidRPr="00A90CCE" w14:paraId="1ABBB0A2" w14:textId="77777777" w:rsidTr="00B648EF">
        <w:tc>
          <w:tcPr>
            <w:tcW w:w="1779" w:type="dxa"/>
            <w:tcBorders>
              <w:bottom w:val="single" w:sz="4" w:space="0" w:color="auto"/>
            </w:tcBorders>
            <w:tcMar>
              <w:top w:w="57" w:type="dxa"/>
              <w:left w:w="11" w:type="dxa"/>
              <w:bottom w:w="57" w:type="dxa"/>
              <w:right w:w="11" w:type="dxa"/>
            </w:tcMar>
            <w:vAlign w:val="center"/>
            <w:hideMark/>
          </w:tcPr>
          <w:p w14:paraId="0BDCC960" w14:textId="77777777" w:rsidR="002F1F8C" w:rsidRPr="00A90CCE" w:rsidRDefault="002F1F8C" w:rsidP="00B648EF">
            <w:pPr>
              <w:rPr>
                <w:sz w:val="22"/>
                <w:szCs w:val="22"/>
              </w:rPr>
            </w:pPr>
            <w:r w:rsidRPr="00A90CCE">
              <w:rPr>
                <w:sz w:val="22"/>
                <w:szCs w:val="22"/>
              </w:rPr>
              <w:t>Marginal R</w:t>
            </w:r>
            <w:r w:rsidRPr="00A90CCE">
              <w:rPr>
                <w:sz w:val="22"/>
                <w:szCs w:val="22"/>
                <w:vertAlign w:val="superscript"/>
              </w:rPr>
              <w:t>2</w:t>
            </w:r>
            <w:r w:rsidRPr="00A90CCE">
              <w:rPr>
                <w:sz w:val="22"/>
                <w:szCs w:val="22"/>
              </w:rPr>
              <w:t> / Conditional R</w:t>
            </w:r>
            <w:r w:rsidRPr="00A90CCE">
              <w:rPr>
                <w:sz w:val="22"/>
                <w:szCs w:val="22"/>
                <w:vertAlign w:val="superscript"/>
              </w:rPr>
              <w:t>2</w:t>
            </w:r>
          </w:p>
        </w:tc>
        <w:tc>
          <w:tcPr>
            <w:tcW w:w="1157" w:type="dxa"/>
            <w:tcBorders>
              <w:bottom w:val="single" w:sz="4" w:space="0" w:color="auto"/>
            </w:tcBorders>
            <w:tcMar>
              <w:top w:w="57" w:type="dxa"/>
              <w:left w:w="11" w:type="dxa"/>
              <w:bottom w:w="57" w:type="dxa"/>
              <w:right w:w="11" w:type="dxa"/>
            </w:tcMar>
            <w:vAlign w:val="center"/>
            <w:hideMark/>
          </w:tcPr>
          <w:p w14:paraId="30261941" w14:textId="77777777" w:rsidR="002F1F8C" w:rsidRPr="00A90CCE" w:rsidRDefault="002F1F8C" w:rsidP="00B648EF">
            <w:pPr>
              <w:jc w:val="center"/>
              <w:rPr>
                <w:sz w:val="22"/>
                <w:szCs w:val="22"/>
              </w:rPr>
            </w:pPr>
            <w:r w:rsidRPr="00A90CCE">
              <w:rPr>
                <w:sz w:val="22"/>
                <w:szCs w:val="22"/>
              </w:rPr>
              <w:t>0.036 / 0.095</w:t>
            </w:r>
          </w:p>
        </w:tc>
        <w:tc>
          <w:tcPr>
            <w:tcW w:w="62" w:type="dxa"/>
            <w:tcBorders>
              <w:bottom w:val="single" w:sz="4" w:space="0" w:color="auto"/>
            </w:tcBorders>
          </w:tcPr>
          <w:p w14:paraId="40A3A0FD" w14:textId="77777777" w:rsidR="002F1F8C" w:rsidRPr="00A90CCE" w:rsidRDefault="002F1F8C" w:rsidP="00B648EF">
            <w:pPr>
              <w:jc w:val="center"/>
              <w:rPr>
                <w:sz w:val="22"/>
                <w:szCs w:val="22"/>
              </w:rPr>
            </w:pPr>
          </w:p>
        </w:tc>
        <w:tc>
          <w:tcPr>
            <w:tcW w:w="1156" w:type="dxa"/>
            <w:tcBorders>
              <w:bottom w:val="single" w:sz="4" w:space="0" w:color="auto"/>
            </w:tcBorders>
            <w:tcMar>
              <w:top w:w="57" w:type="dxa"/>
              <w:left w:w="11" w:type="dxa"/>
              <w:bottom w:w="57" w:type="dxa"/>
              <w:right w:w="11" w:type="dxa"/>
            </w:tcMar>
            <w:vAlign w:val="center"/>
            <w:hideMark/>
          </w:tcPr>
          <w:p w14:paraId="6063E399" w14:textId="77777777" w:rsidR="002F1F8C" w:rsidRPr="00A90CCE" w:rsidRDefault="002F1F8C" w:rsidP="00B648EF">
            <w:pPr>
              <w:jc w:val="center"/>
              <w:rPr>
                <w:sz w:val="22"/>
                <w:szCs w:val="22"/>
              </w:rPr>
            </w:pPr>
            <w:r w:rsidRPr="00A90CCE">
              <w:rPr>
                <w:sz w:val="22"/>
                <w:szCs w:val="22"/>
              </w:rPr>
              <w:t>0.038 / 0.096</w:t>
            </w:r>
          </w:p>
        </w:tc>
        <w:tc>
          <w:tcPr>
            <w:tcW w:w="62" w:type="dxa"/>
            <w:tcBorders>
              <w:bottom w:val="single" w:sz="4" w:space="0" w:color="auto"/>
            </w:tcBorders>
          </w:tcPr>
          <w:p w14:paraId="731F4EAD" w14:textId="77777777" w:rsidR="002F1F8C" w:rsidRPr="00A90CCE" w:rsidRDefault="002F1F8C" w:rsidP="00B648EF">
            <w:pPr>
              <w:jc w:val="center"/>
              <w:rPr>
                <w:sz w:val="22"/>
                <w:szCs w:val="22"/>
              </w:rPr>
            </w:pPr>
          </w:p>
        </w:tc>
        <w:tc>
          <w:tcPr>
            <w:tcW w:w="1156" w:type="dxa"/>
            <w:tcBorders>
              <w:bottom w:val="single" w:sz="4" w:space="0" w:color="auto"/>
            </w:tcBorders>
            <w:tcMar>
              <w:top w:w="57" w:type="dxa"/>
              <w:left w:w="11" w:type="dxa"/>
              <w:bottom w:w="57" w:type="dxa"/>
              <w:right w:w="11" w:type="dxa"/>
            </w:tcMar>
            <w:vAlign w:val="center"/>
            <w:hideMark/>
          </w:tcPr>
          <w:p w14:paraId="131A4AD8" w14:textId="77777777" w:rsidR="002F1F8C" w:rsidRPr="00A90CCE" w:rsidRDefault="002F1F8C" w:rsidP="00B648EF">
            <w:pPr>
              <w:jc w:val="center"/>
              <w:rPr>
                <w:sz w:val="22"/>
                <w:szCs w:val="22"/>
              </w:rPr>
            </w:pPr>
            <w:r w:rsidRPr="00A90CCE">
              <w:rPr>
                <w:sz w:val="22"/>
                <w:szCs w:val="22"/>
              </w:rPr>
              <w:t>0.038 / 0.096</w:t>
            </w:r>
          </w:p>
        </w:tc>
        <w:tc>
          <w:tcPr>
            <w:tcW w:w="62" w:type="dxa"/>
            <w:tcBorders>
              <w:bottom w:val="single" w:sz="4" w:space="0" w:color="auto"/>
            </w:tcBorders>
          </w:tcPr>
          <w:p w14:paraId="72B60E04" w14:textId="77777777" w:rsidR="002F1F8C" w:rsidRPr="00A90CCE" w:rsidRDefault="002F1F8C" w:rsidP="00B648EF">
            <w:pPr>
              <w:jc w:val="center"/>
              <w:rPr>
                <w:sz w:val="22"/>
                <w:szCs w:val="22"/>
              </w:rPr>
            </w:pPr>
          </w:p>
        </w:tc>
        <w:tc>
          <w:tcPr>
            <w:tcW w:w="1156" w:type="dxa"/>
            <w:tcBorders>
              <w:bottom w:val="single" w:sz="4" w:space="0" w:color="auto"/>
            </w:tcBorders>
            <w:tcMar>
              <w:top w:w="57" w:type="dxa"/>
              <w:left w:w="11" w:type="dxa"/>
              <w:bottom w:w="57" w:type="dxa"/>
              <w:right w:w="11" w:type="dxa"/>
            </w:tcMar>
            <w:vAlign w:val="center"/>
            <w:hideMark/>
          </w:tcPr>
          <w:p w14:paraId="4D44AF94" w14:textId="77777777" w:rsidR="002F1F8C" w:rsidRPr="00A90CCE" w:rsidRDefault="002F1F8C" w:rsidP="00B648EF">
            <w:pPr>
              <w:jc w:val="center"/>
              <w:rPr>
                <w:sz w:val="22"/>
                <w:szCs w:val="22"/>
              </w:rPr>
            </w:pPr>
            <w:r w:rsidRPr="00A90CCE">
              <w:rPr>
                <w:sz w:val="22"/>
                <w:szCs w:val="22"/>
              </w:rPr>
              <w:t>0.017 / 0.049</w:t>
            </w:r>
          </w:p>
        </w:tc>
        <w:tc>
          <w:tcPr>
            <w:tcW w:w="62" w:type="dxa"/>
            <w:tcBorders>
              <w:bottom w:val="single" w:sz="4" w:space="0" w:color="auto"/>
            </w:tcBorders>
          </w:tcPr>
          <w:p w14:paraId="5F10B1D5" w14:textId="77777777" w:rsidR="002F1F8C" w:rsidRPr="00A90CCE" w:rsidRDefault="002F1F8C" w:rsidP="00B648EF">
            <w:pPr>
              <w:jc w:val="center"/>
              <w:rPr>
                <w:sz w:val="22"/>
                <w:szCs w:val="22"/>
              </w:rPr>
            </w:pPr>
          </w:p>
        </w:tc>
        <w:tc>
          <w:tcPr>
            <w:tcW w:w="1156" w:type="dxa"/>
            <w:tcBorders>
              <w:bottom w:val="single" w:sz="4" w:space="0" w:color="auto"/>
            </w:tcBorders>
            <w:tcMar>
              <w:top w:w="57" w:type="dxa"/>
              <w:left w:w="11" w:type="dxa"/>
              <w:bottom w:w="57" w:type="dxa"/>
              <w:right w:w="11" w:type="dxa"/>
            </w:tcMar>
            <w:vAlign w:val="center"/>
            <w:hideMark/>
          </w:tcPr>
          <w:p w14:paraId="1E8315E4" w14:textId="77777777" w:rsidR="002F1F8C" w:rsidRPr="00A90CCE" w:rsidRDefault="002F1F8C" w:rsidP="00B648EF">
            <w:pPr>
              <w:jc w:val="center"/>
              <w:rPr>
                <w:sz w:val="22"/>
                <w:szCs w:val="22"/>
              </w:rPr>
            </w:pPr>
            <w:r w:rsidRPr="00A90CCE">
              <w:rPr>
                <w:sz w:val="22"/>
                <w:szCs w:val="22"/>
              </w:rPr>
              <w:t>0.027 / 0.060</w:t>
            </w:r>
          </w:p>
        </w:tc>
        <w:tc>
          <w:tcPr>
            <w:tcW w:w="62" w:type="dxa"/>
            <w:tcBorders>
              <w:bottom w:val="single" w:sz="4" w:space="0" w:color="auto"/>
            </w:tcBorders>
          </w:tcPr>
          <w:p w14:paraId="25EB99AE" w14:textId="77777777" w:rsidR="002F1F8C" w:rsidRPr="00A90CCE" w:rsidRDefault="002F1F8C" w:rsidP="00B648EF">
            <w:pPr>
              <w:jc w:val="center"/>
              <w:rPr>
                <w:sz w:val="22"/>
                <w:szCs w:val="22"/>
              </w:rPr>
            </w:pPr>
          </w:p>
        </w:tc>
        <w:tc>
          <w:tcPr>
            <w:tcW w:w="1156" w:type="dxa"/>
            <w:tcBorders>
              <w:bottom w:val="single" w:sz="4" w:space="0" w:color="auto"/>
            </w:tcBorders>
            <w:tcMar>
              <w:top w:w="57" w:type="dxa"/>
              <w:left w:w="11" w:type="dxa"/>
              <w:bottom w:w="57" w:type="dxa"/>
              <w:right w:w="11" w:type="dxa"/>
            </w:tcMar>
            <w:vAlign w:val="center"/>
            <w:hideMark/>
          </w:tcPr>
          <w:p w14:paraId="5A73777C" w14:textId="77777777" w:rsidR="002F1F8C" w:rsidRPr="00A90CCE" w:rsidRDefault="002F1F8C" w:rsidP="00B648EF">
            <w:pPr>
              <w:jc w:val="center"/>
              <w:rPr>
                <w:sz w:val="22"/>
                <w:szCs w:val="22"/>
              </w:rPr>
            </w:pPr>
            <w:r w:rsidRPr="00A90CCE">
              <w:rPr>
                <w:sz w:val="22"/>
                <w:szCs w:val="22"/>
              </w:rPr>
              <w:t>0.027 / 0.060</w:t>
            </w:r>
          </w:p>
        </w:tc>
      </w:tr>
    </w:tbl>
    <w:p w14:paraId="1896418F" w14:textId="77777777" w:rsidR="002F1F8C" w:rsidRDefault="002F1F8C" w:rsidP="00DA1368">
      <w:pPr>
        <w:spacing w:after="120" w:line="480" w:lineRule="auto"/>
        <w:jc w:val="both"/>
        <w:rPr>
          <w:color w:val="000000" w:themeColor="text1"/>
          <w:lang w:eastAsia="en-GB"/>
        </w:rPr>
      </w:pPr>
    </w:p>
    <w:p w14:paraId="19700465" w14:textId="77777777" w:rsidR="002F1F8C" w:rsidRDefault="002F1F8C" w:rsidP="00DA1368">
      <w:pPr>
        <w:spacing w:after="120" w:line="480" w:lineRule="auto"/>
        <w:jc w:val="both"/>
        <w:rPr>
          <w:color w:val="000000" w:themeColor="text1"/>
          <w:lang w:eastAsia="en-GB"/>
        </w:rPr>
      </w:pPr>
    </w:p>
    <w:p w14:paraId="4108A0B2" w14:textId="77777777" w:rsidR="002F1F8C" w:rsidRDefault="002F1F8C" w:rsidP="00DA1368">
      <w:pPr>
        <w:spacing w:after="120" w:line="480" w:lineRule="auto"/>
        <w:jc w:val="both"/>
        <w:rPr>
          <w:color w:val="000000" w:themeColor="text1"/>
          <w:lang w:eastAsia="en-GB"/>
        </w:rPr>
      </w:pPr>
    </w:p>
    <w:p w14:paraId="0ACDF084" w14:textId="77777777" w:rsidR="002F1F8C" w:rsidRPr="00A90CCE" w:rsidRDefault="002F1F8C" w:rsidP="00DA1368">
      <w:pPr>
        <w:spacing w:after="120" w:line="480" w:lineRule="auto"/>
        <w:jc w:val="both"/>
        <w:rPr>
          <w:color w:val="000000" w:themeColor="text1"/>
          <w:lang w:eastAsia="en-GB"/>
        </w:rPr>
      </w:pPr>
    </w:p>
    <w:p w14:paraId="4CFAFCC8" w14:textId="40A5667A" w:rsidR="00B5661D" w:rsidRPr="00A90CCE" w:rsidRDefault="00B5661D" w:rsidP="00B5661D">
      <w:pPr>
        <w:spacing w:after="120" w:line="480" w:lineRule="auto"/>
        <w:ind w:firstLine="720"/>
        <w:jc w:val="both"/>
        <w:rPr>
          <w:color w:val="000000" w:themeColor="text1"/>
          <w:lang w:eastAsia="en-GB"/>
        </w:rPr>
      </w:pPr>
      <w:r w:rsidRPr="00A90CCE">
        <w:rPr>
          <w:color w:val="000000" w:themeColor="text1"/>
          <w:lang w:eastAsia="en-GB"/>
        </w:rPr>
        <w:t>The results in Model 1 indicate that individuals living in cities with high youth shares are no more or less likely to vote than individuals in less youthful urban contexts. Conversely, the coefficients for mid-age and older adults suggest that individuals both categories are significantly more likely to vote than their younger counterparts. The odds of voting for mid-aged adults in the sample are 78% higher than for young adults while the odds for older adults are 157% higher. Figure 2 visualises the marginal effects of age group of voting showing that older adults are more likely again to vote than mid-aged adults.</w:t>
      </w:r>
    </w:p>
    <w:p w14:paraId="53ACDBCE" w14:textId="77FE3646" w:rsidR="00257685" w:rsidRDefault="00B5661D" w:rsidP="00902405">
      <w:pPr>
        <w:spacing w:after="120" w:line="480" w:lineRule="auto"/>
        <w:ind w:firstLine="720"/>
        <w:jc w:val="both"/>
        <w:rPr>
          <w:color w:val="000000" w:themeColor="text1"/>
          <w:lang w:eastAsia="en-GB"/>
        </w:rPr>
      </w:pPr>
      <w:r w:rsidRPr="00A90CCE">
        <w:rPr>
          <w:color w:val="000000" w:themeColor="text1"/>
          <w:lang w:eastAsia="en-GB"/>
        </w:rPr>
        <w:t>Model 2 includes education, experienced poverty, and employment status as further controls. These were excluded from Model 1 as they may be determined, at least in part, by both the age of an individual and the age structure of the city in which they live and are therefore post-treatment variables. However, there are strong theoretical reasons for including them as controls since they represent fundamental individual-level resources and grievances that could directly influence political participation, irrespective of an individual's specific age or the city's overall youth share. Excluding them would lead to omitted variable bias, as they are well-established determinants of political behaviour. That said, results remain consistent across models with and without these controls, suggesting that the observed associations are not biased by their inclusion.</w:t>
      </w:r>
    </w:p>
    <w:p w14:paraId="3C6AE1AA" w14:textId="77777777" w:rsidR="002F1F8C" w:rsidRPr="00A90CCE" w:rsidRDefault="002F1F8C" w:rsidP="002F1F8C">
      <w:pPr>
        <w:spacing w:after="120" w:line="480" w:lineRule="auto"/>
        <w:ind w:firstLine="720"/>
        <w:jc w:val="both"/>
        <w:rPr>
          <w:color w:val="000000" w:themeColor="text1"/>
          <w:lang w:eastAsia="en-GB"/>
        </w:rPr>
      </w:pPr>
      <w:r w:rsidRPr="00A90CCE">
        <w:rPr>
          <w:color w:val="000000" w:themeColor="text1"/>
          <w:lang w:eastAsia="en-GB"/>
        </w:rPr>
        <w:t xml:space="preserve">Models 4 and 5 report results for individual protest participation. Both models indicate a statistically significant, negative link between city youth shares and protest participation, with each percentage point increase in the city youth share associated with a 78-80% decrease in the odds of protest participation for all individuals (see Figure 3). Similarly, the coefficient for mid-age and older adults also reveals strong negative associations between age and protest behaviour (Figure 2). The odds of mid-age adults reporting having attended a protest are 11-14% lower than for young adults whilst the odds for older adults protesting a are 40-46% lower. </w:t>
      </w:r>
    </w:p>
    <w:p w14:paraId="4F9701BF" w14:textId="77777777" w:rsidR="002F1F8C" w:rsidRPr="00A90CCE" w:rsidDel="00DA1368" w:rsidRDefault="002F1F8C" w:rsidP="00C11D54">
      <w:pPr>
        <w:spacing w:after="120" w:line="480" w:lineRule="auto"/>
        <w:jc w:val="both"/>
        <w:rPr>
          <w:color w:val="000000" w:themeColor="text1"/>
          <w:lang w:eastAsia="en-GB"/>
        </w:rPr>
      </w:pPr>
    </w:p>
    <w:p w14:paraId="5BFEC407" w14:textId="67C2C16F" w:rsidR="00903AE9" w:rsidRPr="00A90CCE" w:rsidRDefault="00903AE9" w:rsidP="00903AE9">
      <w:pPr>
        <w:spacing w:after="120" w:line="480" w:lineRule="auto"/>
        <w:jc w:val="both"/>
        <w:rPr>
          <w:color w:val="000000" w:themeColor="text1"/>
          <w:u w:val="single"/>
          <w:lang w:eastAsia="en-GB"/>
        </w:rPr>
      </w:pPr>
      <w:r w:rsidRPr="00A90CCE">
        <w:rPr>
          <w:color w:val="000000" w:themeColor="text1"/>
          <w:u w:val="single"/>
          <w:lang w:eastAsia="en-GB"/>
        </w:rPr>
        <w:t xml:space="preserve">Figure </w:t>
      </w:r>
      <w:r w:rsidR="003E5D1A" w:rsidRPr="00A90CCE">
        <w:rPr>
          <w:color w:val="000000" w:themeColor="text1"/>
          <w:u w:val="single"/>
          <w:lang w:eastAsia="en-GB"/>
        </w:rPr>
        <w:t>2</w:t>
      </w:r>
      <w:r w:rsidRPr="00A90CCE">
        <w:rPr>
          <w:color w:val="000000" w:themeColor="text1"/>
          <w:u w:val="single"/>
          <w:lang w:eastAsia="en-GB"/>
        </w:rPr>
        <w:t xml:space="preserve">. Marginal </w:t>
      </w:r>
      <w:r w:rsidR="003E5D1A" w:rsidRPr="00A90CCE">
        <w:rPr>
          <w:color w:val="000000" w:themeColor="text1"/>
          <w:u w:val="single"/>
          <w:lang w:eastAsia="en-GB"/>
        </w:rPr>
        <w:t>E</w:t>
      </w:r>
      <w:r w:rsidRPr="00A90CCE">
        <w:rPr>
          <w:color w:val="000000" w:themeColor="text1"/>
          <w:u w:val="single"/>
          <w:lang w:eastAsia="en-GB"/>
        </w:rPr>
        <w:t>ffect of Age on Voting and Protest participation.</w:t>
      </w:r>
    </w:p>
    <w:p w14:paraId="57B31F2D" w14:textId="77777777" w:rsidR="00903AE9" w:rsidRPr="00A90CCE" w:rsidRDefault="00903AE9" w:rsidP="00903AE9">
      <w:pPr>
        <w:spacing w:after="120"/>
        <w:jc w:val="both"/>
        <w:rPr>
          <w:i/>
          <w:iCs/>
          <w:color w:val="000000" w:themeColor="text1"/>
          <w:sz w:val="20"/>
          <w:szCs w:val="20"/>
          <w:lang w:eastAsia="en-GB"/>
        </w:rPr>
      </w:pPr>
      <w:r w:rsidRPr="00A90CCE">
        <w:rPr>
          <w:b/>
          <w:bCs/>
          <w:noProof/>
          <w:color w:val="000000" w:themeColor="text1"/>
          <w:lang w:eastAsia="en-GB"/>
          <w14:ligatures w14:val="standardContextual"/>
        </w:rPr>
        <w:drawing>
          <wp:inline distT="0" distB="0" distL="0" distR="0" wp14:anchorId="16A716D3" wp14:editId="23235C7E">
            <wp:extent cx="5400299" cy="3600000"/>
            <wp:effectExtent l="0" t="0" r="0" b="0"/>
            <wp:docPr id="1956011038"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11038" name="Picture 6" descr="A screenshot of a grap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299" cy="3600000"/>
                    </a:xfrm>
                    <a:prstGeom prst="rect">
                      <a:avLst/>
                    </a:prstGeom>
                  </pic:spPr>
                </pic:pic>
              </a:graphicData>
            </a:graphic>
          </wp:inline>
        </w:drawing>
      </w:r>
      <w:r w:rsidRPr="00A90CCE">
        <w:rPr>
          <w:i/>
          <w:iCs/>
          <w:color w:val="000000" w:themeColor="text1"/>
          <w:sz w:val="20"/>
          <w:szCs w:val="20"/>
          <w:lang w:eastAsia="en-GB"/>
        </w:rPr>
        <w:t xml:space="preserve"> </w:t>
      </w:r>
    </w:p>
    <w:p w14:paraId="0DBFEB00" w14:textId="77777777" w:rsidR="00903AE9" w:rsidRPr="00A90CCE" w:rsidRDefault="00903AE9" w:rsidP="00903AE9">
      <w:pPr>
        <w:spacing w:after="120"/>
        <w:jc w:val="both"/>
        <w:rPr>
          <w:i/>
          <w:iCs/>
          <w:color w:val="000000" w:themeColor="text1"/>
          <w:sz w:val="20"/>
          <w:szCs w:val="20"/>
          <w:lang w:eastAsia="en-GB"/>
        </w:rPr>
      </w:pPr>
      <w:r w:rsidRPr="00A90CCE">
        <w:rPr>
          <w:i/>
          <w:iCs/>
          <w:color w:val="000000" w:themeColor="text1"/>
          <w:sz w:val="20"/>
          <w:szCs w:val="20"/>
          <w:lang w:eastAsia="en-GB"/>
        </w:rPr>
        <w:t xml:space="preserve">Note: Marginal effects of individual age with respect to the predicted probability of (a) voting and (b) protest participation. Estimates are taken from Models 3 and 6. 95% credibility intervals are reported around Bayesian point estimates. </w:t>
      </w:r>
    </w:p>
    <w:p w14:paraId="77B0D098" w14:textId="77777777" w:rsidR="00903AE9" w:rsidRPr="00A90CCE" w:rsidRDefault="00903AE9" w:rsidP="00903AE9">
      <w:pPr>
        <w:spacing w:after="120" w:line="480" w:lineRule="auto"/>
        <w:jc w:val="both"/>
        <w:rPr>
          <w:color w:val="000000" w:themeColor="text1"/>
          <w:lang w:eastAsia="en-GB"/>
        </w:rPr>
      </w:pPr>
    </w:p>
    <w:p w14:paraId="3A67EC89" w14:textId="62255ADD" w:rsidR="00DE6952" w:rsidRPr="00A90CCE" w:rsidRDefault="00DE6952" w:rsidP="002F1F8C">
      <w:pPr>
        <w:spacing w:after="120" w:line="480" w:lineRule="auto"/>
        <w:jc w:val="both"/>
      </w:pPr>
      <w:r w:rsidRPr="00A90CCE">
        <w:rPr>
          <w:color w:val="000000" w:themeColor="text1"/>
          <w:lang w:eastAsia="en-GB"/>
        </w:rPr>
        <w:t>With respect to our hypothes</w:t>
      </w:r>
      <w:r w:rsidR="00903AE9" w:rsidRPr="00A90CCE">
        <w:rPr>
          <w:color w:val="000000" w:themeColor="text1"/>
          <w:lang w:eastAsia="en-GB"/>
        </w:rPr>
        <w:t>e</w:t>
      </w:r>
      <w:r w:rsidRPr="00A90CCE">
        <w:rPr>
          <w:color w:val="000000" w:themeColor="text1"/>
          <w:lang w:eastAsia="en-GB"/>
        </w:rPr>
        <w:t>s, these models do not provide support for H1a. The observed odds ratios for youth share with respect to voting are not statistically significant and are close in magnitude to one, indicating</w:t>
      </w:r>
      <w:r w:rsidR="00903AE9" w:rsidRPr="00A90CCE">
        <w:rPr>
          <w:color w:val="000000" w:themeColor="text1"/>
          <w:lang w:eastAsia="en-GB"/>
        </w:rPr>
        <w:t xml:space="preserve"> no</w:t>
      </w:r>
      <w:r w:rsidRPr="00A90CCE">
        <w:rPr>
          <w:color w:val="000000" w:themeColor="text1"/>
          <w:lang w:eastAsia="en-GB"/>
        </w:rPr>
        <w:t xml:space="preserve"> discernible effect of </w:t>
      </w:r>
      <w:r w:rsidR="00903AE9" w:rsidRPr="00A90CCE">
        <w:rPr>
          <w:color w:val="000000" w:themeColor="text1"/>
          <w:lang w:eastAsia="en-GB"/>
        </w:rPr>
        <w:t xml:space="preserve">youthful urban </w:t>
      </w:r>
      <w:r w:rsidR="00D408A4" w:rsidRPr="00A90CCE">
        <w:rPr>
          <w:color w:val="000000" w:themeColor="text1"/>
          <w:lang w:eastAsia="en-GB"/>
        </w:rPr>
        <w:t>demographic</w:t>
      </w:r>
      <w:r w:rsidR="00903AE9" w:rsidRPr="00A90CCE">
        <w:rPr>
          <w:color w:val="000000" w:themeColor="text1"/>
          <w:lang w:eastAsia="en-GB"/>
        </w:rPr>
        <w:t xml:space="preserve"> structure</w:t>
      </w:r>
      <w:r w:rsidRPr="00A90CCE">
        <w:rPr>
          <w:color w:val="000000" w:themeColor="text1"/>
          <w:lang w:eastAsia="en-GB"/>
        </w:rPr>
        <w:t xml:space="preserve"> on individual voting behaviour. Furthermore, </w:t>
      </w:r>
      <w:r w:rsidRPr="00A90CCE">
        <w:t xml:space="preserve">we do not find support for H1b. The hypothesis posits that individuals in cities with higher youth shares will be </w:t>
      </w:r>
      <w:r w:rsidRPr="00A90CCE">
        <w:rPr>
          <w:i/>
          <w:iCs/>
        </w:rPr>
        <w:t>more</w:t>
      </w:r>
      <w:r w:rsidRPr="00A90CCE">
        <w:t xml:space="preserve"> likely to participate in informal politics (protesting). In contrast, the results consistently show a statistically significant </w:t>
      </w:r>
      <w:r w:rsidRPr="00A90CCE">
        <w:rPr>
          <w:i/>
          <w:iCs/>
        </w:rPr>
        <w:t>negative</w:t>
      </w:r>
      <w:r w:rsidRPr="00A90CCE">
        <w:t xml:space="preserve"> relationship, indicating that higher youth shares are associated with a </w:t>
      </w:r>
      <w:r w:rsidRPr="00A90CCE">
        <w:rPr>
          <w:i/>
          <w:iCs/>
        </w:rPr>
        <w:t>lower</w:t>
      </w:r>
      <w:r w:rsidRPr="00A90CCE">
        <w:t xml:space="preserve"> likelihood of protest attendance. This is </w:t>
      </w:r>
      <w:r w:rsidR="00903AE9" w:rsidRPr="00A90CCE">
        <w:t>notable as it is in opposition to what much of the literature would suggest and directly contrasts our own H1b</w:t>
      </w:r>
      <w:r w:rsidRPr="00A90CCE">
        <w:t>.</w:t>
      </w:r>
    </w:p>
    <w:p w14:paraId="7E531463" w14:textId="1412BA47" w:rsidR="00C20996" w:rsidRPr="00A90CCE" w:rsidRDefault="00DE6952" w:rsidP="00902405">
      <w:pPr>
        <w:spacing w:after="120" w:line="480" w:lineRule="auto"/>
        <w:ind w:firstLine="720"/>
        <w:jc w:val="both"/>
      </w:pPr>
      <w:r w:rsidRPr="00A90CCE">
        <w:rPr>
          <w:color w:val="000000" w:themeColor="text1"/>
          <w:lang w:eastAsia="en-GB"/>
        </w:rPr>
        <w:lastRenderedPageBreak/>
        <w:t xml:space="preserve">Columns 3 and 6 present the results of models featuring cross-level interaction terms between city youth shares and individual age. </w:t>
      </w:r>
      <w:r w:rsidR="00FC7386" w:rsidRPr="00A90CCE">
        <w:rPr>
          <w:color w:val="000000" w:themeColor="text1"/>
          <w:lang w:eastAsia="en-GB"/>
        </w:rPr>
        <w:t xml:space="preserve">The interaction terms </w:t>
      </w:r>
      <w:r w:rsidR="00FC7386" w:rsidRPr="00A90CCE">
        <w:t>Youth share x Mid</w:t>
      </w:r>
      <w:r w:rsidR="004C4B72" w:rsidRPr="00A90CCE">
        <w:t>-age</w:t>
      </w:r>
      <w:r w:rsidR="00FC7386" w:rsidRPr="00A90CCE">
        <w:t xml:space="preserve"> adults and Youth share x </w:t>
      </w:r>
      <w:proofErr w:type="gramStart"/>
      <w:r w:rsidR="00FC7386" w:rsidRPr="00A90CCE">
        <w:t>Older</w:t>
      </w:r>
      <w:proofErr w:type="gramEnd"/>
      <w:r w:rsidR="00FC7386" w:rsidRPr="00A90CCE">
        <w:t xml:space="preserve"> adults in both models are designed to capture whether the effect of city youth shares on </w:t>
      </w:r>
      <w:r w:rsidR="002F1F8C" w:rsidRPr="00A90CCE">
        <w:t>individual</w:t>
      </w:r>
      <w:r w:rsidR="00FC7386" w:rsidRPr="00A90CCE">
        <w:t xml:space="preserve"> voting and protest </w:t>
      </w:r>
      <w:r w:rsidR="002F1F8C" w:rsidRPr="00A90CCE">
        <w:t>participation</w:t>
      </w:r>
      <w:r w:rsidR="00FC7386" w:rsidRPr="00A90CCE">
        <w:t xml:space="preserve"> </w:t>
      </w:r>
      <w:proofErr w:type="gramStart"/>
      <w:r w:rsidR="00FC7386" w:rsidRPr="00A90CCE">
        <w:t>are</w:t>
      </w:r>
      <w:proofErr w:type="gramEnd"/>
      <w:r w:rsidR="00FC7386" w:rsidRPr="00A90CCE">
        <w:t xml:space="preserve"> different for younger adults than for mid</w:t>
      </w:r>
      <w:r w:rsidR="004C4B72" w:rsidRPr="00A90CCE">
        <w:t>-age</w:t>
      </w:r>
      <w:r w:rsidR="00FC7386" w:rsidRPr="00A90CCE">
        <w:t xml:space="preserve"> and older adults, </w:t>
      </w:r>
      <w:r w:rsidR="00FC7386" w:rsidRPr="00A90CCE">
        <w:rPr>
          <w:color w:val="000000" w:themeColor="text1"/>
          <w:lang w:eastAsia="en-GB"/>
        </w:rPr>
        <w:t>as the</w:t>
      </w:r>
      <w:r w:rsidR="004C4B72" w:rsidRPr="00A90CCE">
        <w:rPr>
          <w:color w:val="000000" w:themeColor="text1"/>
          <w:lang w:eastAsia="en-GB"/>
        </w:rPr>
        <w:t>ir political behaviour</w:t>
      </w:r>
      <w:r w:rsidR="00FC7386" w:rsidRPr="00A90CCE">
        <w:rPr>
          <w:color w:val="000000" w:themeColor="text1"/>
          <w:lang w:eastAsia="en-GB"/>
        </w:rPr>
        <w:t xml:space="preserve"> </w:t>
      </w:r>
      <w:r w:rsidR="004C4B72" w:rsidRPr="00A90CCE">
        <w:rPr>
          <w:color w:val="000000" w:themeColor="text1"/>
          <w:lang w:eastAsia="en-GB"/>
        </w:rPr>
        <w:t>is</w:t>
      </w:r>
      <w:r w:rsidR="00FC7386" w:rsidRPr="00A90CCE">
        <w:rPr>
          <w:color w:val="000000" w:themeColor="text1"/>
          <w:lang w:eastAsia="en-GB"/>
        </w:rPr>
        <w:t xml:space="preserve"> theoretically more likely to be impacted by such </w:t>
      </w:r>
      <w:r w:rsidR="004C4B72" w:rsidRPr="00A90CCE">
        <w:rPr>
          <w:color w:val="000000" w:themeColor="text1"/>
          <w:lang w:eastAsia="en-GB"/>
        </w:rPr>
        <w:t xml:space="preserve">demographic </w:t>
      </w:r>
      <w:r w:rsidR="00FC7386" w:rsidRPr="00A90CCE">
        <w:rPr>
          <w:color w:val="000000" w:themeColor="text1"/>
          <w:lang w:eastAsia="en-GB"/>
        </w:rPr>
        <w:t xml:space="preserve">contexts. With respect to voting, both coefficients have odds ratios close to 1 with credibility intervals crossing 1, indicating no significant interaction effect. For protest attendance, on the other hand, both coefficients have odds ratios less than 1 and their 95% </w:t>
      </w:r>
      <w:r w:rsidR="00257685" w:rsidRPr="00A90CCE">
        <w:rPr>
          <w:color w:val="000000" w:themeColor="text1"/>
          <w:lang w:eastAsia="en-GB"/>
        </w:rPr>
        <w:t xml:space="preserve">credibility </w:t>
      </w:r>
      <w:r w:rsidR="00FC7386" w:rsidRPr="00A90CCE">
        <w:rPr>
          <w:color w:val="000000" w:themeColor="text1"/>
          <w:lang w:eastAsia="en-GB"/>
        </w:rPr>
        <w:t xml:space="preserve">intervals do not cross 1. This indicates statistically significant negative interaction effects. The </w:t>
      </w:r>
      <w:r w:rsidR="00FC7386" w:rsidRPr="00A90CCE">
        <w:t>odds ratio</w:t>
      </w:r>
      <w:r w:rsidR="008F57F7" w:rsidRPr="00A90CCE">
        <w:t xml:space="preserve"> for the Youth share x Mid</w:t>
      </w:r>
      <w:r w:rsidR="004C4B72" w:rsidRPr="00A90CCE">
        <w:t>-age</w:t>
      </w:r>
      <w:r w:rsidR="008F57F7" w:rsidRPr="00A90CCE">
        <w:t xml:space="preserve"> </w:t>
      </w:r>
      <w:proofErr w:type="gramStart"/>
      <w:r w:rsidR="008F57F7" w:rsidRPr="00A90CCE">
        <w:t>adults</w:t>
      </w:r>
      <w:proofErr w:type="gramEnd"/>
      <w:r w:rsidR="008F57F7" w:rsidRPr="00A90CCE">
        <w:t xml:space="preserve"> coefficient</w:t>
      </w:r>
      <w:r w:rsidR="00FC7386" w:rsidRPr="00A90CCE">
        <w:t xml:space="preserve"> is 0.89 (95% CI: 0.81 – 0.98) </w:t>
      </w:r>
      <w:r w:rsidR="008F57F7" w:rsidRPr="00A90CCE">
        <w:t xml:space="preserve">and 0.86 (95% CI: 0.75 – 0.99) for Youth share x </w:t>
      </w:r>
      <w:proofErr w:type="gramStart"/>
      <w:r w:rsidR="008F57F7" w:rsidRPr="00A90CCE">
        <w:t>Older</w:t>
      </w:r>
      <w:proofErr w:type="gramEnd"/>
      <w:r w:rsidR="008F57F7" w:rsidRPr="00A90CCE">
        <w:t xml:space="preserve"> adults. This indicates </w:t>
      </w:r>
      <w:r w:rsidR="00C20996" w:rsidRPr="00A90CCE">
        <w:rPr>
          <w:rStyle w:val="citation-119"/>
        </w:rPr>
        <w:t>that the gap in protest likelihood between young people and older people gets wider in cities with more youthful age structures</w:t>
      </w:r>
      <w:r w:rsidR="00C20996" w:rsidRPr="00A90CCE">
        <w:t xml:space="preserve">. </w:t>
      </w:r>
      <w:r w:rsidR="00C20996" w:rsidRPr="00A90CCE">
        <w:rPr>
          <w:rStyle w:val="citation-118"/>
        </w:rPr>
        <w:t>While all age groups are less likely to protest in more youthful cities,</w:t>
      </w:r>
      <w:r w:rsidR="00C20996" w:rsidRPr="00A90CCE">
        <w:rPr>
          <w:rStyle w:val="citation-117"/>
        </w:rPr>
        <w:t xml:space="preserve"> this negative effect is much stronger for mid-age and older adults</w:t>
      </w:r>
      <w:r w:rsidR="00C20996" w:rsidRPr="00A90CCE">
        <w:t>.</w:t>
      </w:r>
      <w:r w:rsidR="00C20996" w:rsidRPr="00A90CCE">
        <w:rPr>
          <w:rStyle w:val="citation-116"/>
        </w:rPr>
        <w:t xml:space="preserve"> While younger people are still the most likely to protest, the difference between them and older people becomes most pronounced in cities with high youth share</w:t>
      </w:r>
      <w:r w:rsidR="00C20996" w:rsidRPr="00A90CCE">
        <w:t>.</w:t>
      </w:r>
    </w:p>
    <w:p w14:paraId="2546205A" w14:textId="5DC4185E" w:rsidR="00B5661D" w:rsidRDefault="004C4B72" w:rsidP="00902405">
      <w:pPr>
        <w:spacing w:after="120" w:line="480" w:lineRule="auto"/>
        <w:ind w:firstLine="720"/>
        <w:jc w:val="both"/>
        <w:rPr>
          <w:color w:val="000000" w:themeColor="text1"/>
          <w:lang w:eastAsia="en-GB"/>
        </w:rPr>
      </w:pPr>
      <w:r w:rsidRPr="00A90CCE">
        <w:rPr>
          <w:color w:val="000000" w:themeColor="text1"/>
          <w:lang w:eastAsia="en-GB"/>
        </w:rPr>
        <w:t xml:space="preserve">Figure </w:t>
      </w:r>
      <w:r w:rsidR="00B5661D" w:rsidRPr="00A90CCE">
        <w:rPr>
          <w:color w:val="000000" w:themeColor="text1"/>
          <w:lang w:eastAsia="en-GB"/>
        </w:rPr>
        <w:t>4</w:t>
      </w:r>
      <w:r w:rsidRPr="00A90CCE">
        <w:rPr>
          <w:color w:val="000000" w:themeColor="text1"/>
          <w:lang w:eastAsia="en-GB"/>
        </w:rPr>
        <w:t xml:space="preserve"> plots this interaction effect graphically. The negative slopes for all age categories across the range of you</w:t>
      </w:r>
      <w:r w:rsidR="007A635E" w:rsidRPr="00A90CCE">
        <w:rPr>
          <w:color w:val="000000" w:themeColor="text1"/>
          <w:lang w:eastAsia="en-GB"/>
        </w:rPr>
        <w:t>th</w:t>
      </w:r>
      <w:r w:rsidRPr="00A90CCE">
        <w:rPr>
          <w:color w:val="000000" w:themeColor="text1"/>
          <w:lang w:eastAsia="en-GB"/>
        </w:rPr>
        <w:t xml:space="preserve"> share support the main results from models 4-5 indicate a negative association between city youth shares and protest participation. With younger adults being more likely to protest than mid adults who are, in turn, more likely to protest than older adults. However, the plot shows that </w:t>
      </w:r>
      <w:r w:rsidRPr="00A90CCE">
        <w:t xml:space="preserve">the </w:t>
      </w:r>
      <w:r w:rsidRPr="00A90CCE">
        <w:rPr>
          <w:i/>
          <w:iCs/>
        </w:rPr>
        <w:t>gap</w:t>
      </w:r>
      <w:r w:rsidRPr="00A90CCE">
        <w:t xml:space="preserve"> in protest probability between </w:t>
      </w:r>
      <w:r w:rsidR="002B5C14" w:rsidRPr="00A90CCE">
        <w:t>‘</w:t>
      </w:r>
      <w:r w:rsidRPr="00A90CCE">
        <w:t>Younger adults</w:t>
      </w:r>
      <w:r w:rsidR="002B5C14" w:rsidRPr="00A90CCE">
        <w:t xml:space="preserve">’ </w:t>
      </w:r>
      <w:r w:rsidRPr="00A90CCE">
        <w:t>relative to Mid</w:t>
      </w:r>
      <w:r w:rsidR="007A635E" w:rsidRPr="00A90CCE">
        <w:t>-age</w:t>
      </w:r>
      <w:r w:rsidRPr="00A90CCE">
        <w:t xml:space="preserve"> and older adults appears to widen</w:t>
      </w:r>
      <w:r w:rsidRPr="00A90CCE">
        <w:rPr>
          <w:color w:val="000000" w:themeColor="text1"/>
          <w:lang w:eastAsia="en-GB"/>
        </w:rPr>
        <w:t xml:space="preserve"> with these groups having a ste</w:t>
      </w:r>
      <w:r w:rsidR="007A635E" w:rsidRPr="00A90CCE">
        <w:rPr>
          <w:color w:val="000000" w:themeColor="text1"/>
          <w:lang w:eastAsia="en-GB"/>
        </w:rPr>
        <w:t>e</w:t>
      </w:r>
      <w:r w:rsidRPr="00A90CCE">
        <w:rPr>
          <w:color w:val="000000" w:themeColor="text1"/>
          <w:lang w:eastAsia="en-GB"/>
        </w:rPr>
        <w:t xml:space="preserve">per rate of decrease compared to </w:t>
      </w:r>
      <w:r w:rsidR="002B5C14" w:rsidRPr="00A90CCE">
        <w:rPr>
          <w:color w:val="000000" w:themeColor="text1"/>
          <w:lang w:eastAsia="en-GB"/>
        </w:rPr>
        <w:t>‘</w:t>
      </w:r>
      <w:r w:rsidRPr="00A90CCE">
        <w:rPr>
          <w:color w:val="000000" w:themeColor="text1"/>
          <w:lang w:eastAsia="en-GB"/>
        </w:rPr>
        <w:t>Younger adults</w:t>
      </w:r>
      <w:r w:rsidR="002B5C14" w:rsidRPr="00A90CCE">
        <w:rPr>
          <w:color w:val="000000" w:themeColor="text1"/>
          <w:lang w:eastAsia="en-GB"/>
        </w:rPr>
        <w:t>’</w:t>
      </w:r>
      <w:r w:rsidRPr="00A90CCE">
        <w:rPr>
          <w:color w:val="000000" w:themeColor="text1"/>
          <w:lang w:eastAsia="en-GB"/>
        </w:rPr>
        <w:t>, especially at higher youth share values.</w:t>
      </w:r>
    </w:p>
    <w:p w14:paraId="47AF74A6" w14:textId="77777777" w:rsidR="002F1F8C" w:rsidRDefault="002F1F8C" w:rsidP="00902405">
      <w:pPr>
        <w:spacing w:after="120" w:line="480" w:lineRule="auto"/>
        <w:ind w:firstLine="720"/>
        <w:jc w:val="both"/>
        <w:rPr>
          <w:color w:val="000000" w:themeColor="text1"/>
          <w:lang w:eastAsia="en-GB"/>
        </w:rPr>
      </w:pPr>
    </w:p>
    <w:p w14:paraId="6FA37948" w14:textId="77777777" w:rsidR="002F1F8C" w:rsidRDefault="002F1F8C" w:rsidP="00902405">
      <w:pPr>
        <w:spacing w:after="120" w:line="480" w:lineRule="auto"/>
        <w:ind w:firstLine="720"/>
        <w:jc w:val="both"/>
        <w:rPr>
          <w:color w:val="000000" w:themeColor="text1"/>
          <w:lang w:eastAsia="en-GB"/>
        </w:rPr>
      </w:pPr>
    </w:p>
    <w:p w14:paraId="186749D0" w14:textId="77777777" w:rsidR="002F1F8C" w:rsidRPr="00A90CCE" w:rsidRDefault="002F1F8C" w:rsidP="00902405">
      <w:pPr>
        <w:spacing w:after="120" w:line="480" w:lineRule="auto"/>
        <w:ind w:firstLine="720"/>
        <w:jc w:val="both"/>
        <w:rPr>
          <w:color w:val="000000" w:themeColor="text1"/>
          <w:lang w:eastAsia="en-GB"/>
        </w:rPr>
      </w:pPr>
    </w:p>
    <w:p w14:paraId="24A0B0D8" w14:textId="1F4C584C" w:rsidR="00B5661D" w:rsidRPr="00A90CCE" w:rsidRDefault="00B5661D" w:rsidP="00B5661D">
      <w:pPr>
        <w:spacing w:after="120" w:line="480" w:lineRule="auto"/>
        <w:jc w:val="both"/>
        <w:rPr>
          <w:color w:val="000000" w:themeColor="text1"/>
          <w:u w:val="single"/>
          <w:lang w:eastAsia="en-GB"/>
        </w:rPr>
      </w:pPr>
      <w:r w:rsidRPr="00A90CCE">
        <w:rPr>
          <w:color w:val="000000" w:themeColor="text1"/>
          <w:u w:val="single"/>
          <w:lang w:eastAsia="en-GB"/>
        </w:rPr>
        <w:t xml:space="preserve">Figure </w:t>
      </w:r>
      <w:r w:rsidR="00D625BB">
        <w:rPr>
          <w:color w:val="000000" w:themeColor="text1"/>
          <w:u w:val="single"/>
          <w:lang w:eastAsia="en-GB"/>
        </w:rPr>
        <w:t>3</w:t>
      </w:r>
      <w:r w:rsidRPr="00A90CCE">
        <w:rPr>
          <w:color w:val="000000" w:themeColor="text1"/>
          <w:u w:val="single"/>
          <w:lang w:eastAsia="en-GB"/>
        </w:rPr>
        <w:t>. Marginal effect of city youth shares on voting and protest participation.</w:t>
      </w:r>
    </w:p>
    <w:p w14:paraId="43D84671" w14:textId="69C9B9E3" w:rsidR="004C4B72" w:rsidRPr="00A90CCE" w:rsidRDefault="00B5661D" w:rsidP="00B5661D">
      <w:pPr>
        <w:spacing w:after="120"/>
        <w:rPr>
          <w:b/>
          <w:bCs/>
          <w:color w:val="000000" w:themeColor="text1"/>
          <w:lang w:eastAsia="en-GB"/>
        </w:rPr>
      </w:pPr>
      <w:r w:rsidRPr="00A90CCE">
        <w:rPr>
          <w:b/>
          <w:bCs/>
          <w:noProof/>
          <w:color w:val="000000" w:themeColor="text1"/>
          <w:lang w:eastAsia="en-GB"/>
          <w14:ligatures w14:val="standardContextual"/>
        </w:rPr>
        <w:drawing>
          <wp:inline distT="0" distB="0" distL="0" distR="0" wp14:anchorId="62D3C8AF" wp14:editId="71C6C274">
            <wp:extent cx="5400299" cy="3600000"/>
            <wp:effectExtent l="0" t="0" r="0" b="0"/>
            <wp:docPr id="1279605849" name="Picture 7" descr="A graph of a graph of a person's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05849" name="Picture 7" descr="A graph of a graph of a person's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299" cy="3600000"/>
                    </a:xfrm>
                    <a:prstGeom prst="rect">
                      <a:avLst/>
                    </a:prstGeom>
                  </pic:spPr>
                </pic:pic>
              </a:graphicData>
            </a:graphic>
          </wp:inline>
        </w:drawing>
      </w:r>
      <w:r w:rsidRPr="00A90CCE">
        <w:rPr>
          <w:i/>
          <w:iCs/>
          <w:color w:val="000000" w:themeColor="text1"/>
          <w:sz w:val="20"/>
          <w:szCs w:val="20"/>
          <w:lang w:eastAsia="en-GB"/>
        </w:rPr>
        <w:t xml:space="preserve"> Note: Marginal effects of city-level youth shares with respect to the predicted probability of an individual reporting having (a) voted and (b) attending a protest. Estimates are taken from Models 3 and 6. 95% credibility intervals are reported around Bayesian point estimates.</w:t>
      </w:r>
    </w:p>
    <w:p w14:paraId="3D5D66CF" w14:textId="77777777" w:rsidR="00B5661D" w:rsidRPr="00A90CCE" w:rsidRDefault="00B5661D" w:rsidP="004C4B72">
      <w:pPr>
        <w:spacing w:after="120" w:line="480" w:lineRule="auto"/>
        <w:jc w:val="both"/>
        <w:rPr>
          <w:color w:val="000000" w:themeColor="text1"/>
          <w:lang w:eastAsia="en-GB"/>
        </w:rPr>
      </w:pPr>
    </w:p>
    <w:p w14:paraId="704A2B37" w14:textId="72302DE4" w:rsidR="004C4B72" w:rsidRPr="00A90CCE" w:rsidRDefault="004C4B72" w:rsidP="004C4B72">
      <w:pPr>
        <w:spacing w:after="120" w:line="480" w:lineRule="auto"/>
        <w:jc w:val="both"/>
      </w:pPr>
      <w:r w:rsidRPr="00A90CCE">
        <w:rPr>
          <w:color w:val="000000" w:themeColor="text1"/>
          <w:lang w:eastAsia="en-GB"/>
        </w:rPr>
        <w:t>With respect to hypotheses H2a and H2b, these interaction models do not provide support for H2a.</w:t>
      </w:r>
      <w:r w:rsidRPr="00A90CCE">
        <w:t xml:space="preserve"> The data does not in</w:t>
      </w:r>
      <w:r w:rsidR="007A635E" w:rsidRPr="00A90CCE">
        <w:t>d</w:t>
      </w:r>
      <w:r w:rsidRPr="00A90CCE">
        <w:t xml:space="preserve">icate that any </w:t>
      </w:r>
      <w:r w:rsidRPr="00A90CCE">
        <w:rPr>
          <w:i/>
          <w:iCs/>
        </w:rPr>
        <w:t>difference</w:t>
      </w:r>
      <w:r w:rsidRPr="00A90CCE">
        <w:t xml:space="preserve"> in the odds of voting participation between young people and their older counterparts is significantly modified by the youth share of a city. In other words, the relative likelihood of young people voting compared to older adults does not significantly decrease as youth share increases.</w:t>
      </w:r>
    </w:p>
    <w:p w14:paraId="7008AFAD" w14:textId="4D875DE5" w:rsidR="00232F18" w:rsidRPr="00A90CCE" w:rsidRDefault="004C4B72" w:rsidP="00902405">
      <w:pPr>
        <w:spacing w:after="120" w:line="480" w:lineRule="auto"/>
        <w:ind w:firstLine="720"/>
        <w:jc w:val="both"/>
        <w:rPr>
          <w:color w:val="000000" w:themeColor="text1"/>
          <w:lang w:eastAsia="en-GB"/>
        </w:rPr>
      </w:pPr>
      <w:r w:rsidRPr="00A90CCE">
        <w:rPr>
          <w:color w:val="000000" w:themeColor="text1"/>
          <w:lang w:eastAsia="en-GB"/>
        </w:rPr>
        <w:t xml:space="preserve">The significant interaction effect for in Model 6 does not support H2b in the expected way. H2b implies that in more youthful cities, young people's propensity to protest increases relative to their older counterparts. However, the negative Age group coefficients and interaction term suggest that, while younger adults always </w:t>
      </w:r>
      <w:r w:rsidR="007A635E" w:rsidRPr="00A90CCE">
        <w:rPr>
          <w:color w:val="000000" w:themeColor="text1"/>
          <w:lang w:eastAsia="en-GB"/>
        </w:rPr>
        <w:t>show</w:t>
      </w:r>
      <w:r w:rsidRPr="00A90CCE">
        <w:rPr>
          <w:color w:val="000000" w:themeColor="text1"/>
          <w:lang w:eastAsia="en-GB"/>
        </w:rPr>
        <w:t xml:space="preserve"> a higher probability of protesting, the relative difference in protest likelihood between younger adults and older adults </w:t>
      </w:r>
      <w:proofErr w:type="gramStart"/>
      <w:r w:rsidRPr="00A90CCE">
        <w:rPr>
          <w:color w:val="000000" w:themeColor="text1"/>
          <w:lang w:eastAsia="en-GB"/>
        </w:rPr>
        <w:lastRenderedPageBreak/>
        <w:t>actually becomes</w:t>
      </w:r>
      <w:proofErr w:type="gramEnd"/>
      <w:r w:rsidRPr="00A90CCE">
        <w:rPr>
          <w:color w:val="000000" w:themeColor="text1"/>
          <w:lang w:eastAsia="en-GB"/>
        </w:rPr>
        <w:t xml:space="preserve"> more pronounced as youth share increases. This is because the probabilities for mid</w:t>
      </w:r>
      <w:r w:rsidR="00232F18" w:rsidRPr="00A90CCE">
        <w:rPr>
          <w:color w:val="000000" w:themeColor="text1"/>
          <w:lang w:eastAsia="en-GB"/>
        </w:rPr>
        <w:t>-age</w:t>
      </w:r>
      <w:r w:rsidRPr="00A90CCE">
        <w:rPr>
          <w:color w:val="000000" w:themeColor="text1"/>
          <w:lang w:eastAsia="en-GB"/>
        </w:rPr>
        <w:t xml:space="preserve"> and older adults decline more steeply or fall to lower absolute values faster than for younger adults. </w:t>
      </w:r>
    </w:p>
    <w:p w14:paraId="01E89D39" w14:textId="74BAED9C" w:rsidR="002206F7" w:rsidRPr="00A90CCE" w:rsidRDefault="002206F7" w:rsidP="002206F7">
      <w:pPr>
        <w:spacing w:after="120" w:line="480" w:lineRule="auto"/>
        <w:jc w:val="both"/>
        <w:rPr>
          <w:color w:val="000000" w:themeColor="text1"/>
          <w:u w:val="single"/>
          <w:lang w:eastAsia="en-GB"/>
        </w:rPr>
      </w:pPr>
      <w:r w:rsidRPr="00A90CCE">
        <w:rPr>
          <w:color w:val="000000" w:themeColor="text1"/>
          <w:u w:val="single"/>
          <w:lang w:eastAsia="en-GB"/>
        </w:rPr>
        <w:t xml:space="preserve">Figure </w:t>
      </w:r>
      <w:r w:rsidR="00902405" w:rsidRPr="00A90CCE">
        <w:rPr>
          <w:color w:val="000000" w:themeColor="text1"/>
          <w:u w:val="single"/>
          <w:lang w:eastAsia="en-GB"/>
        </w:rPr>
        <w:t>4</w:t>
      </w:r>
      <w:r w:rsidRPr="00A90CCE">
        <w:rPr>
          <w:color w:val="000000" w:themeColor="text1"/>
          <w:u w:val="single"/>
          <w:lang w:eastAsia="en-GB"/>
        </w:rPr>
        <w:t>. Cross-level interaction of city youth shares and age group on protest participation.</w:t>
      </w:r>
    </w:p>
    <w:p w14:paraId="7E8D113D" w14:textId="4F9AAEBC" w:rsidR="005750D4" w:rsidRPr="00A90CCE" w:rsidRDefault="002206F7" w:rsidP="00902405">
      <w:pPr>
        <w:spacing w:after="120"/>
        <w:rPr>
          <w:i/>
          <w:iCs/>
          <w:color w:val="000000" w:themeColor="text1"/>
          <w:sz w:val="20"/>
          <w:szCs w:val="20"/>
          <w:lang w:eastAsia="en-GB"/>
        </w:rPr>
      </w:pPr>
      <w:r w:rsidRPr="00A90CCE">
        <w:rPr>
          <w:i/>
          <w:iCs/>
          <w:noProof/>
          <w:color w:val="000000" w:themeColor="text1"/>
          <w:sz w:val="20"/>
          <w:szCs w:val="20"/>
          <w:lang w:eastAsia="en-GB"/>
          <w14:ligatures w14:val="standardContextual"/>
        </w:rPr>
        <w:drawing>
          <wp:inline distT="0" distB="0" distL="0" distR="0" wp14:anchorId="752D5215" wp14:editId="66B2F36D">
            <wp:extent cx="5731510" cy="4298950"/>
            <wp:effectExtent l="0" t="0" r="0" b="6350"/>
            <wp:docPr id="1115609973" name="Picture 13" descr="A graph of a graph showing the effects of youth share and age gro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09973" name="Picture 13" descr="A graph of a graph showing the effects of youth share and age group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Pr="00A90CCE">
        <w:rPr>
          <w:i/>
          <w:iCs/>
          <w:color w:val="000000" w:themeColor="text1"/>
          <w:sz w:val="20"/>
          <w:szCs w:val="20"/>
          <w:lang w:eastAsia="en-GB"/>
        </w:rPr>
        <w:t xml:space="preserve"> Note: Cross-level interaction effect of city-level youth share and individual age with respect to the predicted probability of protest participation. Estimates are taken from Model 6. 95% credibility intervals are reported around Bayesian point estimates.</w:t>
      </w:r>
    </w:p>
    <w:p w14:paraId="37D102E5" w14:textId="77777777" w:rsidR="00902405" w:rsidRPr="00A90CCE" w:rsidRDefault="00902405" w:rsidP="00F17A9A">
      <w:pPr>
        <w:spacing w:after="120" w:line="480" w:lineRule="auto"/>
        <w:jc w:val="both"/>
        <w:rPr>
          <w:b/>
          <w:bCs/>
          <w:i/>
          <w:iCs/>
          <w:color w:val="000000" w:themeColor="text1"/>
          <w:lang w:eastAsia="en-GB"/>
        </w:rPr>
      </w:pPr>
    </w:p>
    <w:p w14:paraId="63E04CF0" w14:textId="77777777" w:rsidR="0048659A" w:rsidRPr="00A90CCE" w:rsidRDefault="0048659A" w:rsidP="00F17A9A">
      <w:pPr>
        <w:spacing w:after="120" w:line="480" w:lineRule="auto"/>
        <w:jc w:val="both"/>
        <w:rPr>
          <w:color w:val="000000" w:themeColor="text1"/>
          <w:lang w:eastAsia="en-GB"/>
        </w:rPr>
      </w:pPr>
    </w:p>
    <w:p w14:paraId="628BF68F" w14:textId="3187896E" w:rsidR="001905D5" w:rsidRPr="00A90CCE" w:rsidRDefault="00D12458" w:rsidP="001905D5">
      <w:pPr>
        <w:pStyle w:val="ListParagraph"/>
        <w:numPr>
          <w:ilvl w:val="0"/>
          <w:numId w:val="7"/>
        </w:numPr>
        <w:spacing w:after="120" w:line="480" w:lineRule="auto"/>
        <w:rPr>
          <w:b/>
          <w:bCs/>
          <w:color w:val="000000" w:themeColor="text1"/>
          <w:lang w:val="en-GB" w:eastAsia="en-GB"/>
        </w:rPr>
      </w:pPr>
      <w:r w:rsidRPr="00A90CCE">
        <w:rPr>
          <w:b/>
          <w:bCs/>
          <w:color w:val="000000" w:themeColor="text1"/>
          <w:lang w:val="en-GB" w:eastAsia="en-GB"/>
        </w:rPr>
        <w:t>Discussion and Conclusion</w:t>
      </w:r>
    </w:p>
    <w:p w14:paraId="6F22F18E" w14:textId="287DAE4B" w:rsidR="001905D5" w:rsidRPr="00A90CCE" w:rsidRDefault="001905D5" w:rsidP="001905D5">
      <w:pPr>
        <w:spacing w:after="120" w:line="480" w:lineRule="auto"/>
        <w:jc w:val="both"/>
        <w:rPr>
          <w:color w:val="000000" w:themeColor="text1"/>
          <w:lang w:eastAsia="en-GB"/>
        </w:rPr>
      </w:pPr>
      <w:r w:rsidRPr="00A90CCE">
        <w:rPr>
          <w:color w:val="000000" w:themeColor="text1"/>
          <w:lang w:eastAsia="en-GB"/>
        </w:rPr>
        <w:t xml:space="preserve">Our results present a nuanced picture of the political demography of African cities. Overall, after controlling for other urban and individual characteristics, we find that the demographic structure of a city does not make individuals more or less likely to vote. Conversely, individuals </w:t>
      </w:r>
      <w:r w:rsidRPr="00A90CCE">
        <w:rPr>
          <w:color w:val="000000" w:themeColor="text1"/>
          <w:lang w:eastAsia="en-GB"/>
        </w:rPr>
        <w:lastRenderedPageBreak/>
        <w:t>are less likely to protest in more youthful cities, a statistically significant negative association that runs counter to expectations.</w:t>
      </w:r>
    </w:p>
    <w:p w14:paraId="133C697A" w14:textId="1CE22C85" w:rsidR="001905D5" w:rsidRPr="00A90CCE" w:rsidRDefault="001905D5" w:rsidP="001905D5">
      <w:pPr>
        <w:spacing w:after="120" w:line="480" w:lineRule="auto"/>
        <w:ind w:firstLine="720"/>
        <w:jc w:val="both"/>
        <w:rPr>
          <w:color w:val="000000" w:themeColor="text1"/>
          <w:lang w:eastAsia="en-GB"/>
        </w:rPr>
      </w:pPr>
      <w:r w:rsidRPr="00A90CCE">
        <w:rPr>
          <w:color w:val="000000" w:themeColor="text1"/>
          <w:lang w:eastAsia="en-GB"/>
        </w:rPr>
        <w:t xml:space="preserve">We also find that political behaviour is </w:t>
      </w:r>
      <w:r w:rsidR="00F97142" w:rsidRPr="00A90CCE">
        <w:rPr>
          <w:color w:val="000000" w:themeColor="text1"/>
          <w:lang w:eastAsia="en-GB"/>
        </w:rPr>
        <w:t>shaped</w:t>
      </w:r>
      <w:r w:rsidRPr="00A90CCE">
        <w:rPr>
          <w:color w:val="000000" w:themeColor="text1"/>
          <w:lang w:eastAsia="en-GB"/>
        </w:rPr>
        <w:t xml:space="preserve"> by age. All else being equal, and as expected based on the existing literature, younger people are more likely to protest and less likely to vote. This effect is linear with age, with older people being more likely to vote and less likely to protest than mid-age people, who in turn are more likely to vote and less likely to protest than younger people.</w:t>
      </w:r>
      <w:r w:rsidR="00F97142" w:rsidRPr="00A90CCE">
        <w:rPr>
          <w:rStyle w:val="FootnoteReference"/>
          <w:color w:val="000000" w:themeColor="text1"/>
          <w:lang w:eastAsia="en-GB"/>
        </w:rPr>
        <w:footnoteReference w:id="6"/>
      </w:r>
    </w:p>
    <w:p w14:paraId="2B437E0A" w14:textId="4D31E893" w:rsidR="001905D5" w:rsidRPr="00A90CCE" w:rsidRDefault="001905D5" w:rsidP="00F97142">
      <w:pPr>
        <w:spacing w:after="120" w:line="480" w:lineRule="auto"/>
        <w:ind w:firstLine="720"/>
        <w:jc w:val="both"/>
        <w:rPr>
          <w:color w:val="000000" w:themeColor="text1"/>
          <w:lang w:eastAsia="en-GB"/>
        </w:rPr>
      </w:pPr>
      <w:r w:rsidRPr="00A90CCE">
        <w:rPr>
          <w:color w:val="000000" w:themeColor="text1"/>
          <w:lang w:eastAsia="en-GB"/>
        </w:rPr>
        <w:t>Finally, while living in a youthful urban area does not seem to mediate the voting behaviour of specific age groups (young, mid-age, and older residents), it does have a differential effect on protest behaviour. The relationship between age and protest remains negative for all age groups, but this negative effect is weaker for younger people. In other words, while all age groups protest less in more youthful cities, the difference between young people and older people is at its greatest in these contexts. Importantly, young people do not become more likely to protest relative to their older counterparts; instead, their older counterparts become even less likely, widening the age-cohort gap.</w:t>
      </w:r>
    </w:p>
    <w:p w14:paraId="48C5289A" w14:textId="407C6CC7" w:rsidR="001905D5" w:rsidRPr="00A90CCE" w:rsidRDefault="001905D5" w:rsidP="001905D5">
      <w:pPr>
        <w:spacing w:line="480" w:lineRule="auto"/>
        <w:ind w:firstLine="720"/>
        <w:jc w:val="both"/>
        <w:rPr>
          <w:color w:val="000000" w:themeColor="text1"/>
          <w:lang w:eastAsia="en-GB"/>
        </w:rPr>
      </w:pPr>
      <w:r w:rsidRPr="00A90CCE">
        <w:rPr>
          <w:color w:val="000000" w:themeColor="text1"/>
          <w:lang w:eastAsia="en-GB"/>
        </w:rPr>
        <w:t>How might we understand these somewhat counter-intuitive findings, and what do they mean for future research? We identify two theoretically situated propositions that may underlie our unexpected finding that youthful cities have no effect on individual voting and a negative effect on individual protest.</w:t>
      </w:r>
    </w:p>
    <w:p w14:paraId="7B86814C" w14:textId="6ABF1B05" w:rsidR="001905D5" w:rsidRPr="00A90CCE" w:rsidRDefault="001905D5" w:rsidP="001905D5">
      <w:pPr>
        <w:spacing w:line="480" w:lineRule="auto"/>
        <w:ind w:firstLine="720"/>
        <w:jc w:val="both"/>
        <w:rPr>
          <w:color w:val="000000" w:themeColor="text1"/>
          <w:lang w:eastAsia="en-GB"/>
        </w:rPr>
      </w:pPr>
      <w:r w:rsidRPr="00A90CCE">
        <w:rPr>
          <w:color w:val="000000" w:themeColor="text1"/>
          <w:lang w:eastAsia="en-GB"/>
        </w:rPr>
        <w:t xml:space="preserve">The first relates to the nature of urban growth and economic conditions in African cities as distinct geographies. While large urban youth shares are often assumed to lead to an </w:t>
      </w:r>
      <w:r w:rsidRPr="00A90CCE">
        <w:rPr>
          <w:color w:val="000000" w:themeColor="text1"/>
          <w:lang w:eastAsia="en-GB"/>
        </w:rPr>
        <w:lastRenderedPageBreak/>
        <w:t xml:space="preserve">oversupply of labour and fewer economic opportunities (ref), some urban areas may be places of opportunity, attracting and/or retaining large youth shares precisely because they offer wide labour markets, improved livelihoods, and social mobility </w:t>
      </w:r>
      <w:r w:rsidRPr="00A90CCE">
        <w:rPr>
          <w:color w:val="000000" w:themeColor="text1"/>
        </w:rPr>
        <w:fldChar w:fldCharType="begin"/>
      </w:r>
      <w:r w:rsidRPr="00A90CCE">
        <w:rPr>
          <w:color w:val="000000" w:themeColor="text1"/>
        </w:rPr>
        <w:instrText xml:space="preserve"> ADDIN ZOTERO_ITEM CSL_CITATION {"citationID":"8MPGVZTo","properties":{"formattedCitation":"(e.g. Sladoje et al., 2020)","plainCitation":"(e.g. Sladoje et al., 2020)","noteIndex":0},"citationItems":[{"id":771,"uris":["http://zotero.org/users/11001446/items/47PCSJ8R"],"itemData":{"id":771,"type":"article-journal","note":"publisher: International Growth Centre. https://www. theigc. org/publications …","title":"Transforming Secondary Urban Areas for Job Creation A Study of Uganda","author":[{"family":"Sladoje","given":"Miljan"},{"family":"Randolph","given":"Gregory"},{"family":"Khan","given":"Lina"}],"issued":{"date-parts":[["2020"]]}},"label":"page","prefix":"e.g."}],"schema":"https://github.com/citation-style-language/schema/raw/master/csl-citation.json"} </w:instrText>
      </w:r>
      <w:r w:rsidRPr="00A90CCE">
        <w:rPr>
          <w:color w:val="000000" w:themeColor="text1"/>
        </w:rPr>
        <w:fldChar w:fldCharType="separate"/>
      </w:r>
      <w:r w:rsidRPr="00A90CCE">
        <w:t>(McKenzie, 2017; Sladoje et al., 2020)</w:t>
      </w:r>
      <w:r w:rsidRPr="00A90CCE">
        <w:rPr>
          <w:color w:val="000000" w:themeColor="text1"/>
        </w:rPr>
        <w:fldChar w:fldCharType="end"/>
      </w:r>
      <w:r w:rsidRPr="00A90CCE">
        <w:rPr>
          <w:color w:val="000000" w:themeColor="text1"/>
          <w:lang w:eastAsia="en-GB"/>
        </w:rPr>
        <w:t>. This is likely to have differential effects on dynamics of political action (</w:t>
      </w:r>
      <w:proofErr w:type="spellStart"/>
      <w:r w:rsidRPr="00A90CCE">
        <w:rPr>
          <w:color w:val="000000" w:themeColor="text1"/>
        </w:rPr>
        <w:t>Elfversson</w:t>
      </w:r>
      <w:proofErr w:type="spellEnd"/>
      <w:r w:rsidRPr="00A90CCE">
        <w:rPr>
          <w:color w:val="000000" w:themeColor="text1"/>
        </w:rPr>
        <w:t xml:space="preserve"> et al., 2023</w:t>
      </w:r>
      <w:r w:rsidRPr="00A90CCE">
        <w:rPr>
          <w:color w:val="000000" w:themeColor="text1"/>
          <w:lang w:eastAsia="en-GB"/>
        </w:rPr>
        <w:t>). If more youthful cities are indeed becoming places of broader economic opportunity, citizens should be more likely to be invested in the maintenance of these local political-economic systems, leading to higher formal engagement and lower protest activity.</w:t>
      </w:r>
    </w:p>
    <w:p w14:paraId="170E85B7" w14:textId="0EB41B75" w:rsidR="001905D5" w:rsidRPr="00A90CCE" w:rsidRDefault="001905D5" w:rsidP="00F97142">
      <w:pPr>
        <w:spacing w:line="480" w:lineRule="auto"/>
        <w:ind w:firstLine="720"/>
        <w:jc w:val="both"/>
        <w:rPr>
          <w:color w:val="000000" w:themeColor="text1"/>
          <w:lang w:eastAsia="en-GB"/>
        </w:rPr>
      </w:pPr>
      <w:r w:rsidRPr="00A90CCE">
        <w:t xml:space="preserve">A second potential explanation may reflect the changing incentives for political actors to appeal to younger voters. </w:t>
      </w:r>
      <w:r w:rsidRPr="00A90CCE">
        <w:rPr>
          <w:rStyle w:val="citation-54"/>
        </w:rPr>
        <w:t xml:space="preserve">As Africa urbanises, young urban dwellers are becoming increasingly important constituencies to mobilize </w:t>
      </w:r>
      <w:proofErr w:type="gramStart"/>
      <w:r w:rsidRPr="00A90CCE">
        <w:rPr>
          <w:rStyle w:val="citation-54"/>
        </w:rPr>
        <w:t>in order to</w:t>
      </w:r>
      <w:proofErr w:type="gramEnd"/>
      <w:r w:rsidRPr="00A90CCE">
        <w:rPr>
          <w:rStyle w:val="citation-54"/>
        </w:rPr>
        <w:t xml:space="preserve"> win elections (</w:t>
      </w:r>
      <w:r w:rsidRPr="00A90CCE">
        <w:t xml:space="preserve">Resnick &amp; Casale, 2011). </w:t>
      </w:r>
      <w:r w:rsidRPr="00A90CCE">
        <w:rPr>
          <w:rStyle w:val="citation-53"/>
        </w:rPr>
        <w:t xml:space="preserve">Given this, political entrepreneurs are incentivised to increasingly target appeals to younger people and/or direct public goods and services in ways that benefit youth cohorts </w:t>
      </w:r>
      <w:r w:rsidRPr="00A90CCE">
        <w:t xml:space="preserve">(Cheeseman, 2018; Macdonald et al., 2023; Resnick, 2013, 2015, 2017). </w:t>
      </w:r>
      <w:r w:rsidRPr="00A90CCE">
        <w:rPr>
          <w:rStyle w:val="citation-52"/>
        </w:rPr>
        <w:t>Our results – that both residents overall and younger people protest less and that voting is not negatively affected – are consistent with political operators targeting their appeals to younger people where large youth shares represent a larger voting bloc</w:t>
      </w:r>
      <w:r w:rsidRPr="00A90CCE">
        <w:t xml:space="preserve">. </w:t>
      </w:r>
      <w:r w:rsidRPr="00A90CCE">
        <w:rPr>
          <w:rStyle w:val="citation-51"/>
        </w:rPr>
        <w:t>If more inclusive or ‘youth-focused’ political appeals are indeed present in cities with large youth cohorts, then individuals may be more (or not less) likely to engage in formal political behaviours and less likely to engage in informal protest behaviour</w:t>
      </w:r>
      <w:r w:rsidRPr="00A90CCE">
        <w:t>.</w:t>
      </w:r>
    </w:p>
    <w:p w14:paraId="5B2E153A" w14:textId="743DCCCC" w:rsidR="004676D8" w:rsidRPr="00A90CCE" w:rsidRDefault="00305FF0" w:rsidP="00BA4412">
      <w:pPr>
        <w:spacing w:line="480" w:lineRule="auto"/>
        <w:jc w:val="both"/>
        <w:textAlignment w:val="baseline"/>
        <w:rPr>
          <w:color w:val="000000" w:themeColor="text1"/>
          <w:lang w:eastAsia="en-GB"/>
        </w:rPr>
      </w:pPr>
      <w:r w:rsidRPr="00A90CCE">
        <w:rPr>
          <w:color w:val="000000" w:themeColor="text1"/>
        </w:rPr>
        <w:tab/>
      </w:r>
      <w:r w:rsidR="004676D8" w:rsidRPr="00A90CCE">
        <w:rPr>
          <w:color w:val="000000" w:themeColor="text1"/>
          <w:lang w:eastAsia="en-GB"/>
        </w:rPr>
        <w:t xml:space="preserve">While our findings provide important nuance to the political demography of African cities, they also point to several limitations of this study and avenues for future research. One key limitation is that we do not directly test the causal mechanisms linking city-level youth shares to political behaviour. For example, changes in local economic conditions or political appeals that prime the motive, means, and opportunities for distinct types of political engagement. Instead, we situate these mechanisms at the appropriate spatial scale, </w:t>
      </w:r>
      <w:r w:rsidR="004676D8" w:rsidRPr="00A90CCE">
        <w:rPr>
          <w:color w:val="000000" w:themeColor="text1"/>
          <w:lang w:eastAsia="en-GB"/>
        </w:rPr>
        <w:lastRenderedPageBreak/>
        <w:t xml:space="preserve">demonstrating that local context matters. Building </w:t>
      </w:r>
      <w:proofErr w:type="gramStart"/>
      <w:r w:rsidR="004676D8" w:rsidRPr="00A90CCE">
        <w:rPr>
          <w:color w:val="000000" w:themeColor="text1"/>
          <w:lang w:eastAsia="en-GB"/>
        </w:rPr>
        <w:t>off of</w:t>
      </w:r>
      <w:proofErr w:type="gramEnd"/>
      <w:r w:rsidR="004676D8" w:rsidRPr="00A90CCE">
        <w:rPr>
          <w:color w:val="000000" w:themeColor="text1"/>
          <w:lang w:eastAsia="en-GB"/>
        </w:rPr>
        <w:t xml:space="preserve"> our study, future research could conduct survey work in demographically different cities to directly probe these causal mechanisms.</w:t>
      </w:r>
    </w:p>
    <w:p w14:paraId="3A8CFEA0" w14:textId="44E2BBE7" w:rsidR="004676D8" w:rsidRPr="00A90CCE" w:rsidRDefault="004676D8" w:rsidP="004676D8">
      <w:pPr>
        <w:spacing w:line="480" w:lineRule="auto"/>
        <w:ind w:firstLine="720"/>
        <w:jc w:val="both"/>
        <w:textAlignment w:val="baseline"/>
        <w:rPr>
          <w:color w:val="000000" w:themeColor="text1"/>
          <w:lang w:eastAsia="en-GB"/>
        </w:rPr>
      </w:pPr>
      <w:r w:rsidRPr="00A90CCE">
        <w:rPr>
          <w:color w:val="000000" w:themeColor="text1"/>
          <w:lang w:eastAsia="en-GB"/>
        </w:rPr>
        <w:t>Furthermore, future research could build upon these results by gathering data on the type and nature of urban growth (e.g., migration, natural increase, or reclassification) to determine how this relates to demographic structure and political behaviours. Similarly, studies on the political demography of African urbanisation would benefit from being attuned to the different types of political appeals directed at young people and how this might shape participation and mobilisation in various institutional contexts. A more nuanced picture of these dynamics would be a significant scholarly advance and have important implications for devising sustainable urban policy.</w:t>
      </w:r>
    </w:p>
    <w:p w14:paraId="4DF07158" w14:textId="654A69CD" w:rsidR="004676D8" w:rsidRPr="00A90CCE" w:rsidRDefault="004676D8" w:rsidP="004676D8">
      <w:pPr>
        <w:spacing w:line="480" w:lineRule="auto"/>
        <w:ind w:firstLine="720"/>
        <w:jc w:val="both"/>
        <w:textAlignment w:val="baseline"/>
      </w:pPr>
      <w:r w:rsidRPr="00A90CCE">
        <w:t xml:space="preserve">In closing, this article has made three key contributions to the literature. </w:t>
      </w:r>
      <w:r w:rsidRPr="00A90CCE">
        <w:rPr>
          <w:rStyle w:val="citation-47"/>
        </w:rPr>
        <w:t>First, we develop and operationalise new subnational estimates of the demographic composition of individual urban settlements, the first article to do so to our knowledge</w:t>
      </w:r>
      <w:r w:rsidRPr="00A90CCE">
        <w:t xml:space="preserve">. </w:t>
      </w:r>
      <w:r w:rsidRPr="00A90CCE">
        <w:rPr>
          <w:rStyle w:val="citation-46"/>
        </w:rPr>
        <w:t xml:space="preserve">Second, we use these to empirically demonstrate how the local demographic characteristics of </w:t>
      </w:r>
      <w:proofErr w:type="gramStart"/>
      <w:r w:rsidRPr="00A90CCE">
        <w:rPr>
          <w:rStyle w:val="citation-46"/>
        </w:rPr>
        <w:t>particular cities</w:t>
      </w:r>
      <w:proofErr w:type="gramEnd"/>
      <w:r w:rsidRPr="00A90CCE">
        <w:rPr>
          <w:rStyle w:val="citation-46"/>
        </w:rPr>
        <w:t xml:space="preserve"> may shape the political behaviours of individuals living in these places</w:t>
      </w:r>
      <w:r w:rsidRPr="00A90CCE">
        <w:t xml:space="preserve">. </w:t>
      </w:r>
      <w:r w:rsidRPr="00A90CCE">
        <w:rPr>
          <w:rStyle w:val="citation-45"/>
        </w:rPr>
        <w:t>The results nuance and challenge common theoretical assumptions and empirical findings about demographic structure and political behaviour and point to future research directions</w:t>
      </w:r>
      <w:r w:rsidRPr="00A90CCE">
        <w:t xml:space="preserve">. </w:t>
      </w:r>
      <w:r w:rsidRPr="00A90CCE">
        <w:rPr>
          <w:rStyle w:val="citation-44"/>
        </w:rPr>
        <w:t xml:space="preserve">Third, by demonstrating the benefits of a place-based analysis of urban demographic structure and political behaviour, we contribute to research agendas </w:t>
      </w:r>
      <w:r w:rsidR="00BA4412" w:rsidRPr="00A90CCE">
        <w:rPr>
          <w:rStyle w:val="citation-44"/>
        </w:rPr>
        <w:t>(Hoelscher et al., 2023)</w:t>
      </w:r>
      <w:r w:rsidR="00BA4412">
        <w:t xml:space="preserve"> </w:t>
      </w:r>
      <w:r w:rsidRPr="00A90CCE">
        <w:rPr>
          <w:rStyle w:val="citation-44"/>
        </w:rPr>
        <w:t>taking a subnational perspective when studying the political implications of urbani</w:t>
      </w:r>
      <w:r w:rsidR="00F97142" w:rsidRPr="00A90CCE">
        <w:rPr>
          <w:rStyle w:val="citation-44"/>
        </w:rPr>
        <w:t>s</w:t>
      </w:r>
      <w:r w:rsidRPr="00A90CCE">
        <w:rPr>
          <w:rStyle w:val="citation-44"/>
        </w:rPr>
        <w:t>ation in Africa</w:t>
      </w:r>
      <w:r w:rsidR="00BA4412">
        <w:rPr>
          <w:rStyle w:val="citation-44"/>
        </w:rPr>
        <w:t>.</w:t>
      </w:r>
      <w:r w:rsidRPr="00A90CCE">
        <w:rPr>
          <w:rStyle w:val="citation-44"/>
        </w:rPr>
        <w:t xml:space="preserve"> </w:t>
      </w:r>
    </w:p>
    <w:p w14:paraId="1724DB2A" w14:textId="77777777" w:rsidR="004676D8" w:rsidRPr="00A90CCE" w:rsidRDefault="004676D8" w:rsidP="004676D8">
      <w:pPr>
        <w:spacing w:line="480" w:lineRule="auto"/>
        <w:ind w:firstLine="720"/>
        <w:jc w:val="both"/>
        <w:textAlignment w:val="baseline"/>
        <w:rPr>
          <w:color w:val="000000" w:themeColor="text1"/>
          <w:lang w:eastAsia="en-GB"/>
        </w:rPr>
      </w:pPr>
    </w:p>
    <w:p w14:paraId="0B2A88D5" w14:textId="748F5581" w:rsidR="00242C05" w:rsidRPr="00A90CCE" w:rsidRDefault="00242C05" w:rsidP="00D04952">
      <w:pPr>
        <w:spacing w:after="120" w:line="480" w:lineRule="auto"/>
        <w:ind w:firstLine="720"/>
        <w:jc w:val="both"/>
        <w:rPr>
          <w:b/>
          <w:bCs/>
          <w:color w:val="000000" w:themeColor="text1"/>
          <w:lang w:eastAsia="en-GB"/>
        </w:rPr>
      </w:pPr>
      <w:r w:rsidRPr="00A90CCE">
        <w:rPr>
          <w:b/>
          <w:bCs/>
          <w:color w:val="000000" w:themeColor="text1"/>
          <w:lang w:eastAsia="en-GB"/>
        </w:rPr>
        <w:br w:type="page"/>
      </w:r>
    </w:p>
    <w:p w14:paraId="7E2ABFE0" w14:textId="73B8949F" w:rsidR="00C26CCE" w:rsidRPr="00A90CCE" w:rsidRDefault="00C26CCE" w:rsidP="00242C05">
      <w:pPr>
        <w:spacing w:after="120" w:line="480" w:lineRule="auto"/>
        <w:jc w:val="both"/>
        <w:rPr>
          <w:b/>
          <w:bCs/>
          <w:color w:val="000000" w:themeColor="text1"/>
          <w:lang w:eastAsia="en-GB"/>
        </w:rPr>
      </w:pPr>
      <w:r w:rsidRPr="00A90CCE">
        <w:rPr>
          <w:b/>
          <w:bCs/>
          <w:color w:val="000000" w:themeColor="text1"/>
          <w:lang w:eastAsia="en-GB"/>
        </w:rPr>
        <w:lastRenderedPageBreak/>
        <w:t>References</w:t>
      </w:r>
    </w:p>
    <w:p w14:paraId="19074C9D" w14:textId="77777777" w:rsidR="00257685" w:rsidRPr="00A90CCE" w:rsidRDefault="00C26CCE" w:rsidP="00257685">
      <w:pPr>
        <w:pStyle w:val="Bibliography"/>
        <w:rPr>
          <w:lang w:val="en-GB"/>
        </w:rPr>
      </w:pPr>
      <w:r w:rsidRPr="00A90CCE">
        <w:rPr>
          <w:color w:val="000000" w:themeColor="text1"/>
          <w:lang w:val="en-GB" w:eastAsia="en-GB"/>
        </w:rPr>
        <w:fldChar w:fldCharType="begin"/>
      </w:r>
      <w:r w:rsidR="00DA1368" w:rsidRPr="00A90CCE">
        <w:rPr>
          <w:color w:val="000000" w:themeColor="text1"/>
          <w:lang w:val="en-GB" w:eastAsia="en-GB"/>
        </w:rPr>
        <w:instrText xml:space="preserve"> ADDIN ZOTERO_BIBL {"uncited":[],"omitted":[],"custom":[]} CSL_BIBLIOGRAPHY </w:instrText>
      </w:r>
      <w:r w:rsidRPr="00A90CCE">
        <w:rPr>
          <w:color w:val="000000" w:themeColor="text1"/>
          <w:lang w:val="en-GB" w:eastAsia="en-GB"/>
        </w:rPr>
        <w:fldChar w:fldCharType="separate"/>
      </w:r>
      <w:r w:rsidR="00257685" w:rsidRPr="00A90CCE">
        <w:rPr>
          <w:lang w:val="en-GB"/>
        </w:rPr>
        <w:t xml:space="preserve">Akinyetun, T. S. (2023). Demography and insecurity: Youth bulge and the Lake Chad Basin security quandary. </w:t>
      </w:r>
      <w:r w:rsidR="00257685" w:rsidRPr="00A90CCE">
        <w:rPr>
          <w:i/>
          <w:iCs/>
          <w:lang w:val="en-GB"/>
        </w:rPr>
        <w:t>African Security Review</w:t>
      </w:r>
      <w:r w:rsidR="00257685" w:rsidRPr="00A90CCE">
        <w:rPr>
          <w:lang w:val="en-GB"/>
        </w:rPr>
        <w:t xml:space="preserve">, </w:t>
      </w:r>
      <w:r w:rsidR="00257685" w:rsidRPr="00A90CCE">
        <w:rPr>
          <w:i/>
          <w:iCs/>
          <w:lang w:val="en-GB"/>
        </w:rPr>
        <w:t>32</w:t>
      </w:r>
      <w:r w:rsidR="00257685" w:rsidRPr="00A90CCE">
        <w:rPr>
          <w:lang w:val="en-GB"/>
        </w:rPr>
        <w:t>(2), 184–199.</w:t>
      </w:r>
    </w:p>
    <w:p w14:paraId="4812F096" w14:textId="77777777" w:rsidR="00257685" w:rsidRPr="00A90CCE" w:rsidRDefault="00257685" w:rsidP="00257685">
      <w:pPr>
        <w:pStyle w:val="Bibliography"/>
        <w:rPr>
          <w:lang w:val="en-GB"/>
        </w:rPr>
      </w:pPr>
      <w:r w:rsidRPr="00A90CCE">
        <w:rPr>
          <w:lang w:val="en-GB"/>
        </w:rPr>
        <w:t xml:space="preserve">Apolte, T., &amp; Gerling, L. (2018). Youth bulges, insurrections and labor-market restrictions. </w:t>
      </w:r>
      <w:r w:rsidRPr="00A90CCE">
        <w:rPr>
          <w:i/>
          <w:iCs/>
          <w:lang w:val="en-GB"/>
        </w:rPr>
        <w:t>Public Choice</w:t>
      </w:r>
      <w:r w:rsidRPr="00A90CCE">
        <w:rPr>
          <w:lang w:val="en-GB"/>
        </w:rPr>
        <w:t xml:space="preserve">, </w:t>
      </w:r>
      <w:r w:rsidRPr="00A90CCE">
        <w:rPr>
          <w:i/>
          <w:iCs/>
          <w:lang w:val="en-GB"/>
        </w:rPr>
        <w:t>175</w:t>
      </w:r>
      <w:r w:rsidRPr="00A90CCE">
        <w:rPr>
          <w:lang w:val="en-GB"/>
        </w:rPr>
        <w:t>(1), 63–93.</w:t>
      </w:r>
    </w:p>
    <w:p w14:paraId="19A48442" w14:textId="77777777" w:rsidR="00257685" w:rsidRPr="00A90CCE" w:rsidRDefault="00257685" w:rsidP="00257685">
      <w:pPr>
        <w:pStyle w:val="Bibliography"/>
        <w:rPr>
          <w:lang w:val="en-GB"/>
        </w:rPr>
      </w:pPr>
      <w:r w:rsidRPr="00A90CCE">
        <w:rPr>
          <w:lang w:val="en-GB"/>
        </w:rPr>
        <w:t xml:space="preserve">Bates, D., Mächler, M., Bolker, B., &amp; Walker, S. (2015). Fitting linear mixed-effects models using lme4. </w:t>
      </w:r>
      <w:r w:rsidRPr="00A90CCE">
        <w:rPr>
          <w:i/>
          <w:iCs/>
          <w:lang w:val="en-GB"/>
        </w:rPr>
        <w:t>Journal of Statistical Software</w:t>
      </w:r>
      <w:r w:rsidRPr="00A90CCE">
        <w:rPr>
          <w:lang w:val="en-GB"/>
        </w:rPr>
        <w:t xml:space="preserve">, </w:t>
      </w:r>
      <w:r w:rsidRPr="00A90CCE">
        <w:rPr>
          <w:i/>
          <w:iCs/>
          <w:lang w:val="en-GB"/>
        </w:rPr>
        <w:t>67</w:t>
      </w:r>
      <w:r w:rsidRPr="00A90CCE">
        <w:rPr>
          <w:lang w:val="en-GB"/>
        </w:rPr>
        <w:t>, 1–48.</w:t>
      </w:r>
    </w:p>
    <w:p w14:paraId="5772A2AE" w14:textId="77777777" w:rsidR="00257685" w:rsidRPr="00A90CCE" w:rsidRDefault="00257685" w:rsidP="00257685">
      <w:pPr>
        <w:pStyle w:val="Bibliography"/>
        <w:rPr>
          <w:lang w:val="en-GB"/>
        </w:rPr>
      </w:pPr>
      <w:r w:rsidRPr="00A90CCE">
        <w:rPr>
          <w:lang w:val="en-GB"/>
        </w:rPr>
        <w:t xml:space="preserve">Bell, A., Jones, K., &amp; Fairbrother, M. (2018). Understanding and misunderstanding group mean centering: A commentary on Kelley et al.’s dangerous practice. </w:t>
      </w:r>
      <w:r w:rsidRPr="00A90CCE">
        <w:rPr>
          <w:i/>
          <w:iCs/>
          <w:lang w:val="en-GB"/>
        </w:rPr>
        <w:t>Quality &amp; Quantity</w:t>
      </w:r>
      <w:r w:rsidRPr="00A90CCE">
        <w:rPr>
          <w:lang w:val="en-GB"/>
        </w:rPr>
        <w:t xml:space="preserve">, </w:t>
      </w:r>
      <w:r w:rsidRPr="00A90CCE">
        <w:rPr>
          <w:i/>
          <w:iCs/>
          <w:lang w:val="en-GB"/>
        </w:rPr>
        <w:t>52</w:t>
      </w:r>
      <w:r w:rsidRPr="00A90CCE">
        <w:rPr>
          <w:lang w:val="en-GB"/>
        </w:rPr>
        <w:t>, 2031–2036.</w:t>
      </w:r>
    </w:p>
    <w:p w14:paraId="63D7CAB8" w14:textId="77777777" w:rsidR="00257685" w:rsidRPr="00A90CCE" w:rsidRDefault="00257685" w:rsidP="00257685">
      <w:pPr>
        <w:pStyle w:val="Bibliography"/>
        <w:rPr>
          <w:lang w:val="en-GB"/>
        </w:rPr>
      </w:pPr>
      <w:r w:rsidRPr="00A90CCE">
        <w:rPr>
          <w:lang w:val="en-GB"/>
        </w:rPr>
        <w:t xml:space="preserve">Blei, A., &amp; Angel, S. (2021). Global monitoring with the atlas of urban expansion. </w:t>
      </w:r>
      <w:r w:rsidRPr="00A90CCE">
        <w:rPr>
          <w:i/>
          <w:iCs/>
          <w:lang w:val="en-GB"/>
        </w:rPr>
        <w:t>Urban Remote Sensing: Monitoring, Synthesis, and Modeling in the Urban Environment</w:t>
      </w:r>
      <w:r w:rsidRPr="00A90CCE">
        <w:rPr>
          <w:lang w:val="en-GB"/>
        </w:rPr>
        <w:t>, 247–282.</w:t>
      </w:r>
    </w:p>
    <w:p w14:paraId="6888E90E" w14:textId="77777777" w:rsidR="00257685" w:rsidRPr="00A90CCE" w:rsidRDefault="00257685" w:rsidP="00257685">
      <w:pPr>
        <w:pStyle w:val="Bibliography"/>
        <w:rPr>
          <w:lang w:val="en-GB"/>
        </w:rPr>
      </w:pPr>
      <w:r w:rsidRPr="00A90CCE">
        <w:rPr>
          <w:lang w:val="en-GB"/>
        </w:rPr>
        <w:t xml:space="preserve">Bocquier, P., Menashe-Oren, A., &amp; Nie, W. (2023). Migration’s contribution to the urban transition. </w:t>
      </w:r>
      <w:r w:rsidRPr="00A90CCE">
        <w:rPr>
          <w:i/>
          <w:iCs/>
          <w:lang w:val="en-GB"/>
        </w:rPr>
        <w:t>Demographic Research</w:t>
      </w:r>
      <w:r w:rsidRPr="00A90CCE">
        <w:rPr>
          <w:lang w:val="en-GB"/>
        </w:rPr>
        <w:t xml:space="preserve">, </w:t>
      </w:r>
      <w:r w:rsidRPr="00A90CCE">
        <w:rPr>
          <w:i/>
          <w:iCs/>
          <w:lang w:val="en-GB"/>
        </w:rPr>
        <w:t>48</w:t>
      </w:r>
      <w:r w:rsidRPr="00A90CCE">
        <w:rPr>
          <w:lang w:val="en-GB"/>
        </w:rPr>
        <w:t>, 681–732.</w:t>
      </w:r>
    </w:p>
    <w:p w14:paraId="6761B3B9" w14:textId="77777777" w:rsidR="00257685" w:rsidRPr="00A90CCE" w:rsidRDefault="00257685" w:rsidP="00257685">
      <w:pPr>
        <w:pStyle w:val="Bibliography"/>
        <w:rPr>
          <w:lang w:val="en-GB"/>
        </w:rPr>
      </w:pPr>
      <w:r w:rsidRPr="00A90CCE">
        <w:rPr>
          <w:lang w:val="en-GB"/>
        </w:rPr>
        <w:t xml:space="preserve">Boxell, L., &amp; Steinert-Threlkeld, Z. (2022). Taxing dissent: The impact of a social media tax in Uganda. </w:t>
      </w:r>
      <w:r w:rsidRPr="00A90CCE">
        <w:rPr>
          <w:i/>
          <w:iCs/>
          <w:lang w:val="en-GB"/>
        </w:rPr>
        <w:t>World Development</w:t>
      </w:r>
      <w:r w:rsidRPr="00A90CCE">
        <w:rPr>
          <w:lang w:val="en-GB"/>
        </w:rPr>
        <w:t xml:space="preserve">, </w:t>
      </w:r>
      <w:r w:rsidRPr="00A90CCE">
        <w:rPr>
          <w:i/>
          <w:iCs/>
          <w:lang w:val="en-GB"/>
        </w:rPr>
        <w:t>158</w:t>
      </w:r>
      <w:r w:rsidRPr="00A90CCE">
        <w:rPr>
          <w:lang w:val="en-GB"/>
        </w:rPr>
        <w:t>, 105950.</w:t>
      </w:r>
    </w:p>
    <w:p w14:paraId="2A38A0CB" w14:textId="77777777" w:rsidR="00257685" w:rsidRPr="00A90CCE" w:rsidRDefault="00257685" w:rsidP="00257685">
      <w:pPr>
        <w:pStyle w:val="Bibliography"/>
        <w:rPr>
          <w:lang w:val="en-GB"/>
        </w:rPr>
      </w:pPr>
      <w:r w:rsidRPr="00A90CCE">
        <w:rPr>
          <w:lang w:val="en-GB"/>
        </w:rPr>
        <w:t xml:space="preserve">Brady, H. E., Verba, S., &amp; Schlozman, K. L. (1995). Beyond SES: A resource model of political participation. </w:t>
      </w:r>
      <w:r w:rsidRPr="00A90CCE">
        <w:rPr>
          <w:i/>
          <w:iCs/>
          <w:lang w:val="en-GB"/>
        </w:rPr>
        <w:t>American Political Science Review</w:t>
      </w:r>
      <w:r w:rsidRPr="00A90CCE">
        <w:rPr>
          <w:lang w:val="en-GB"/>
        </w:rPr>
        <w:t xml:space="preserve">, </w:t>
      </w:r>
      <w:r w:rsidRPr="00A90CCE">
        <w:rPr>
          <w:i/>
          <w:iCs/>
          <w:lang w:val="en-GB"/>
        </w:rPr>
        <w:t>89</w:t>
      </w:r>
      <w:r w:rsidRPr="00A90CCE">
        <w:rPr>
          <w:lang w:val="en-GB"/>
        </w:rPr>
        <w:t>(2), 271–294.</w:t>
      </w:r>
    </w:p>
    <w:p w14:paraId="597D4464" w14:textId="77777777" w:rsidR="00257685" w:rsidRPr="00A90CCE" w:rsidRDefault="00257685" w:rsidP="00257685">
      <w:pPr>
        <w:pStyle w:val="Bibliography"/>
        <w:rPr>
          <w:lang w:val="en-GB"/>
        </w:rPr>
      </w:pPr>
      <w:r w:rsidRPr="00A90CCE">
        <w:rPr>
          <w:lang w:val="en-GB"/>
        </w:rPr>
        <w:t xml:space="preserve">Branch, A., &amp; Mampilly, Z. (2015). </w:t>
      </w:r>
      <w:r w:rsidRPr="00A90CCE">
        <w:rPr>
          <w:i/>
          <w:iCs/>
          <w:lang w:val="en-GB"/>
        </w:rPr>
        <w:t>Africa uprising: Popular protest and political change</w:t>
      </w:r>
      <w:r w:rsidRPr="00A90CCE">
        <w:rPr>
          <w:lang w:val="en-GB"/>
        </w:rPr>
        <w:t>. Bloomsbury Publishing.</w:t>
      </w:r>
    </w:p>
    <w:p w14:paraId="35B59675" w14:textId="77777777" w:rsidR="00257685" w:rsidRPr="00A90CCE" w:rsidRDefault="00257685" w:rsidP="00257685">
      <w:pPr>
        <w:pStyle w:val="Bibliography"/>
        <w:rPr>
          <w:lang w:val="en-GB"/>
        </w:rPr>
      </w:pPr>
      <w:r w:rsidRPr="00A90CCE">
        <w:rPr>
          <w:lang w:val="en-GB"/>
        </w:rPr>
        <w:t xml:space="preserve">Bricker, N. Q., &amp; Foley, M. C. (2013). The effect of youth demographics on violence: The importance of the labor market. </w:t>
      </w:r>
      <w:r w:rsidRPr="00A90CCE">
        <w:rPr>
          <w:i/>
          <w:iCs/>
          <w:lang w:val="en-GB"/>
        </w:rPr>
        <w:t>International Journal of Conflict and Violence (IJCV)</w:t>
      </w:r>
      <w:r w:rsidRPr="00A90CCE">
        <w:rPr>
          <w:lang w:val="en-GB"/>
        </w:rPr>
        <w:t xml:space="preserve">, </w:t>
      </w:r>
      <w:r w:rsidRPr="00A90CCE">
        <w:rPr>
          <w:i/>
          <w:iCs/>
          <w:lang w:val="en-GB"/>
        </w:rPr>
        <w:t>7</w:t>
      </w:r>
      <w:r w:rsidRPr="00A90CCE">
        <w:rPr>
          <w:lang w:val="en-GB"/>
        </w:rPr>
        <w:t>(1), 179–194.</w:t>
      </w:r>
    </w:p>
    <w:p w14:paraId="1259D016" w14:textId="77777777" w:rsidR="00257685" w:rsidRPr="00A90CCE" w:rsidRDefault="00257685" w:rsidP="00257685">
      <w:pPr>
        <w:pStyle w:val="Bibliography"/>
        <w:rPr>
          <w:lang w:val="en-GB"/>
        </w:rPr>
      </w:pPr>
      <w:r w:rsidRPr="00A90CCE">
        <w:rPr>
          <w:lang w:val="en-GB"/>
        </w:rPr>
        <w:lastRenderedPageBreak/>
        <w:t xml:space="preserve">Buhaug, H., &amp; Urdal, H. (2013). An urbanization bomb? Population growth and social disorder in cities. </w:t>
      </w:r>
      <w:r w:rsidRPr="00A90CCE">
        <w:rPr>
          <w:i/>
          <w:iCs/>
          <w:lang w:val="en-GB"/>
        </w:rPr>
        <w:t>Global Environmental Change</w:t>
      </w:r>
      <w:r w:rsidRPr="00A90CCE">
        <w:rPr>
          <w:lang w:val="en-GB"/>
        </w:rPr>
        <w:t xml:space="preserve">, </w:t>
      </w:r>
      <w:r w:rsidRPr="00A90CCE">
        <w:rPr>
          <w:i/>
          <w:iCs/>
          <w:lang w:val="en-GB"/>
        </w:rPr>
        <w:t>23</w:t>
      </w:r>
      <w:r w:rsidRPr="00A90CCE">
        <w:rPr>
          <w:lang w:val="en-GB"/>
        </w:rPr>
        <w:t>(1), 1–10.</w:t>
      </w:r>
    </w:p>
    <w:p w14:paraId="1A909DB5" w14:textId="77777777" w:rsidR="00257685" w:rsidRPr="00A90CCE" w:rsidRDefault="00257685" w:rsidP="00257685">
      <w:pPr>
        <w:pStyle w:val="Bibliography"/>
        <w:rPr>
          <w:lang w:val="en-GB"/>
        </w:rPr>
      </w:pPr>
      <w:r w:rsidRPr="00A90CCE">
        <w:rPr>
          <w:lang w:val="en-GB"/>
        </w:rPr>
        <w:t xml:space="preserve">Bürkner, P.-C. (2017). brms: An R package for Bayesian multilevel models using Stan. </w:t>
      </w:r>
      <w:r w:rsidRPr="00A90CCE">
        <w:rPr>
          <w:i/>
          <w:iCs/>
          <w:lang w:val="en-GB"/>
        </w:rPr>
        <w:t>Journal of Statistical Software</w:t>
      </w:r>
      <w:r w:rsidRPr="00A90CCE">
        <w:rPr>
          <w:lang w:val="en-GB"/>
        </w:rPr>
        <w:t xml:space="preserve">, </w:t>
      </w:r>
      <w:r w:rsidRPr="00A90CCE">
        <w:rPr>
          <w:i/>
          <w:iCs/>
          <w:lang w:val="en-GB"/>
        </w:rPr>
        <w:t>80</w:t>
      </w:r>
      <w:r w:rsidRPr="00A90CCE">
        <w:rPr>
          <w:lang w:val="en-GB"/>
        </w:rPr>
        <w:t>, 1–28.</w:t>
      </w:r>
    </w:p>
    <w:p w14:paraId="38FEE7B2" w14:textId="77777777" w:rsidR="00257685" w:rsidRPr="00A90CCE" w:rsidRDefault="00257685" w:rsidP="00257685">
      <w:pPr>
        <w:pStyle w:val="Bibliography"/>
        <w:rPr>
          <w:lang w:val="en-GB"/>
        </w:rPr>
      </w:pPr>
      <w:r w:rsidRPr="00A90CCE">
        <w:rPr>
          <w:lang w:val="en-GB"/>
        </w:rPr>
        <w:t xml:space="preserve">Cheeseman, N. (2018). Populism in Africa and the potential for “ethnically blind” politics. </w:t>
      </w:r>
      <w:r w:rsidRPr="00A90CCE">
        <w:rPr>
          <w:i/>
          <w:iCs/>
          <w:lang w:val="en-GB"/>
        </w:rPr>
        <w:t>Routledge Handbook of Global Populism</w:t>
      </w:r>
      <w:r w:rsidRPr="00A90CCE">
        <w:rPr>
          <w:lang w:val="en-GB"/>
        </w:rPr>
        <w:t>, 351–369. https://doi.org/10.4324/9781315226446-29</w:t>
      </w:r>
    </w:p>
    <w:p w14:paraId="260B6152" w14:textId="77777777" w:rsidR="00257685" w:rsidRPr="00A90CCE" w:rsidRDefault="00257685" w:rsidP="00257685">
      <w:pPr>
        <w:pStyle w:val="Bibliography"/>
        <w:rPr>
          <w:lang w:val="en-GB"/>
        </w:rPr>
      </w:pPr>
      <w:r w:rsidRPr="00A90CCE">
        <w:rPr>
          <w:lang w:val="en-GB"/>
        </w:rPr>
        <w:t xml:space="preserve">Cheeseman, N. (2022). (Mis) Understanding Urban Africa: Toward A Research Agenda on the Political Impact of Urbanization. </w:t>
      </w:r>
      <w:r w:rsidRPr="00A90CCE">
        <w:rPr>
          <w:i/>
          <w:iCs/>
          <w:lang w:val="en-GB"/>
        </w:rPr>
        <w:t>African Studies Review</w:t>
      </w:r>
      <w:r w:rsidRPr="00A90CCE">
        <w:rPr>
          <w:lang w:val="en-GB"/>
        </w:rPr>
        <w:t>, 1–21.</w:t>
      </w:r>
    </w:p>
    <w:p w14:paraId="1DA14F79" w14:textId="77777777" w:rsidR="00257685" w:rsidRPr="00A90CCE" w:rsidRDefault="00257685" w:rsidP="00257685">
      <w:pPr>
        <w:pStyle w:val="Bibliography"/>
        <w:rPr>
          <w:lang w:val="en-GB"/>
        </w:rPr>
      </w:pPr>
      <w:r w:rsidRPr="00A90CCE">
        <w:rPr>
          <w:lang w:val="en-GB"/>
        </w:rPr>
        <w:t xml:space="preserve">Chen, J., Gao, M., Cheng, S., Hou, W., Song, M., Liu, X., &amp; Liu, Y. (2022). Global 1 km× 1 km gridded revised real gross domestic product and electricity consumption during 1992–2019 based on calibrated nighttime light data. </w:t>
      </w:r>
      <w:r w:rsidRPr="00A90CCE">
        <w:rPr>
          <w:i/>
          <w:iCs/>
          <w:lang w:val="en-GB"/>
        </w:rPr>
        <w:t>Scientific Data</w:t>
      </w:r>
      <w:r w:rsidRPr="00A90CCE">
        <w:rPr>
          <w:lang w:val="en-GB"/>
        </w:rPr>
        <w:t xml:space="preserve">, </w:t>
      </w:r>
      <w:r w:rsidRPr="00A90CCE">
        <w:rPr>
          <w:i/>
          <w:iCs/>
          <w:lang w:val="en-GB"/>
        </w:rPr>
        <w:t>9</w:t>
      </w:r>
      <w:r w:rsidRPr="00A90CCE">
        <w:rPr>
          <w:lang w:val="en-GB"/>
        </w:rPr>
        <w:t>(1), 202.</w:t>
      </w:r>
    </w:p>
    <w:p w14:paraId="50728FC6" w14:textId="77777777" w:rsidR="00257685" w:rsidRPr="00A90CCE" w:rsidRDefault="00257685" w:rsidP="00257685">
      <w:pPr>
        <w:pStyle w:val="Bibliography"/>
        <w:rPr>
          <w:lang w:val="en-GB"/>
        </w:rPr>
      </w:pPr>
      <w:r w:rsidRPr="00A90CCE">
        <w:rPr>
          <w:lang w:val="en-GB"/>
        </w:rPr>
        <w:t xml:space="preserve">Cincotta, R., &amp; Weber, H. (2021). Youthful Age Structures and the Risks of Revolutionary and Separatist Conflicts. In A. Goerres &amp; P. Vanhuysse (Eds), </w:t>
      </w:r>
      <w:r w:rsidRPr="00A90CCE">
        <w:rPr>
          <w:i/>
          <w:iCs/>
          <w:lang w:val="en-GB"/>
        </w:rPr>
        <w:t>Global Political Demography: The Politics of Population Change</w:t>
      </w:r>
      <w:r w:rsidRPr="00A90CCE">
        <w:rPr>
          <w:lang w:val="en-GB"/>
        </w:rPr>
        <w:t xml:space="preserve"> (pp. 57–92). Palgrave Macmillan.</w:t>
      </w:r>
    </w:p>
    <w:p w14:paraId="56028F52" w14:textId="77777777" w:rsidR="00257685" w:rsidRPr="00A90CCE" w:rsidRDefault="00257685" w:rsidP="00257685">
      <w:pPr>
        <w:pStyle w:val="Bibliography"/>
        <w:rPr>
          <w:lang w:val="en-GB"/>
        </w:rPr>
      </w:pPr>
      <w:r w:rsidRPr="00A90CCE">
        <w:rPr>
          <w:lang w:val="en-GB"/>
        </w:rPr>
        <w:t xml:space="preserve">Conroy-Krutz, J., Amakoh, K., &amp; Amewunou, K. (2024). </w:t>
      </w:r>
      <w:r w:rsidRPr="00A90CCE">
        <w:rPr>
          <w:i/>
          <w:iCs/>
          <w:lang w:val="en-GB"/>
        </w:rPr>
        <w:t>Africa’s shifting media landscapes: Digital media use grows, but so do demographic divides</w:t>
      </w:r>
      <w:r w:rsidRPr="00A90CCE">
        <w:rPr>
          <w:lang w:val="en-GB"/>
        </w:rPr>
        <w:t xml:space="preserve"> (Afrobarometer Dispatch 800). Afrobarometer.</w:t>
      </w:r>
    </w:p>
    <w:p w14:paraId="3B412850" w14:textId="77777777" w:rsidR="00257685" w:rsidRPr="00A90CCE" w:rsidRDefault="00257685" w:rsidP="00257685">
      <w:pPr>
        <w:pStyle w:val="Bibliography"/>
        <w:rPr>
          <w:lang w:val="en-GB"/>
        </w:rPr>
      </w:pPr>
      <w:r w:rsidRPr="00A90CCE">
        <w:rPr>
          <w:lang w:val="en-GB"/>
        </w:rPr>
        <w:t xml:space="preserve">Dijkstra, L., Florczyk, A. J., Freire, S., Kemper, T., Melchiorri, M., Pesaresi, M., &amp; Schiavina, M. (2021). Applying the degree of urbanisation to the globe: A new harmonised definition reveals a different picture of global urbanisation. </w:t>
      </w:r>
      <w:r w:rsidRPr="00A90CCE">
        <w:rPr>
          <w:i/>
          <w:iCs/>
          <w:lang w:val="en-GB"/>
        </w:rPr>
        <w:t>Journal of Urban Economics</w:t>
      </w:r>
      <w:r w:rsidRPr="00A90CCE">
        <w:rPr>
          <w:lang w:val="en-GB"/>
        </w:rPr>
        <w:t xml:space="preserve">, </w:t>
      </w:r>
      <w:r w:rsidRPr="00A90CCE">
        <w:rPr>
          <w:i/>
          <w:iCs/>
          <w:lang w:val="en-GB"/>
        </w:rPr>
        <w:t>125</w:t>
      </w:r>
      <w:r w:rsidRPr="00A90CCE">
        <w:rPr>
          <w:lang w:val="en-GB"/>
        </w:rPr>
        <w:t>, 103312.</w:t>
      </w:r>
    </w:p>
    <w:p w14:paraId="4DB451A4" w14:textId="77777777" w:rsidR="00257685" w:rsidRPr="00A90CCE" w:rsidRDefault="00257685" w:rsidP="00257685">
      <w:pPr>
        <w:pStyle w:val="Bibliography"/>
        <w:rPr>
          <w:lang w:val="en-GB"/>
        </w:rPr>
      </w:pPr>
      <w:r w:rsidRPr="00A90CCE">
        <w:rPr>
          <w:lang w:val="en-GB"/>
        </w:rPr>
        <w:t xml:space="preserve">Dorward, N., &amp; Fox, S. (2022). Population pressure, political institutions, and protests: A multilevel analysis of protest events in African cities. </w:t>
      </w:r>
      <w:r w:rsidRPr="00A90CCE">
        <w:rPr>
          <w:i/>
          <w:iCs/>
          <w:lang w:val="en-GB"/>
        </w:rPr>
        <w:t>Political Geography</w:t>
      </w:r>
      <w:r w:rsidRPr="00A90CCE">
        <w:rPr>
          <w:lang w:val="en-GB"/>
        </w:rPr>
        <w:t xml:space="preserve">, </w:t>
      </w:r>
      <w:r w:rsidRPr="00A90CCE">
        <w:rPr>
          <w:i/>
          <w:iCs/>
          <w:lang w:val="en-GB"/>
        </w:rPr>
        <w:t>99</w:t>
      </w:r>
      <w:r w:rsidRPr="00A90CCE">
        <w:rPr>
          <w:lang w:val="en-GB"/>
        </w:rPr>
        <w:t>, 102762.</w:t>
      </w:r>
    </w:p>
    <w:p w14:paraId="19ACCC7C" w14:textId="77777777" w:rsidR="00257685" w:rsidRPr="00A90CCE" w:rsidRDefault="00257685" w:rsidP="00257685">
      <w:pPr>
        <w:pStyle w:val="Bibliography"/>
        <w:rPr>
          <w:lang w:val="en-GB"/>
        </w:rPr>
      </w:pPr>
      <w:r w:rsidRPr="00A90CCE">
        <w:rPr>
          <w:lang w:val="en-GB"/>
        </w:rPr>
        <w:lastRenderedPageBreak/>
        <w:t xml:space="preserve">Dorward, N., Fox, S., Statham, T., &amp; Wolf, L. J. (2023). A spatial-demographic analysis of Africa’s emerging urban geography. </w:t>
      </w:r>
      <w:r w:rsidRPr="00A90CCE">
        <w:rPr>
          <w:i/>
          <w:iCs/>
          <w:lang w:val="en-GB"/>
        </w:rPr>
        <w:t>Environment &amp; Urbanization</w:t>
      </w:r>
      <w:r w:rsidRPr="00A90CCE">
        <w:rPr>
          <w:lang w:val="en-GB"/>
        </w:rPr>
        <w:t xml:space="preserve">, </w:t>
      </w:r>
      <w:r w:rsidRPr="00A90CCE">
        <w:rPr>
          <w:i/>
          <w:iCs/>
          <w:lang w:val="en-GB"/>
        </w:rPr>
        <w:t>35</w:t>
      </w:r>
      <w:r w:rsidRPr="00A90CCE">
        <w:rPr>
          <w:lang w:val="en-GB"/>
        </w:rPr>
        <w:t>(2), 310–327.</w:t>
      </w:r>
    </w:p>
    <w:p w14:paraId="152D649A" w14:textId="77777777" w:rsidR="00257685" w:rsidRPr="00A90CCE" w:rsidRDefault="00257685" w:rsidP="00257685">
      <w:pPr>
        <w:pStyle w:val="Bibliography"/>
        <w:rPr>
          <w:lang w:val="en-GB"/>
        </w:rPr>
      </w:pPr>
      <w:r w:rsidRPr="00A90CCE">
        <w:rPr>
          <w:lang w:val="en-GB"/>
        </w:rPr>
        <w:t xml:space="preserve">Elfversson, E., Höglund, K., Sellström, A. M., &amp; Pellerin, C. (2023). Contesting the growing city? Forms of urban growth and consequences for communal violence. </w:t>
      </w:r>
      <w:r w:rsidRPr="00A90CCE">
        <w:rPr>
          <w:i/>
          <w:iCs/>
          <w:lang w:val="en-GB"/>
        </w:rPr>
        <w:t>Political Geography</w:t>
      </w:r>
      <w:r w:rsidRPr="00A90CCE">
        <w:rPr>
          <w:lang w:val="en-GB"/>
        </w:rPr>
        <w:t xml:space="preserve">, </w:t>
      </w:r>
      <w:r w:rsidRPr="00A90CCE">
        <w:rPr>
          <w:i/>
          <w:iCs/>
          <w:lang w:val="en-GB"/>
        </w:rPr>
        <w:t>100</w:t>
      </w:r>
      <w:r w:rsidRPr="00A90CCE">
        <w:rPr>
          <w:lang w:val="en-GB"/>
        </w:rPr>
        <w:t>, 102810.</w:t>
      </w:r>
    </w:p>
    <w:p w14:paraId="09791A3A" w14:textId="77777777" w:rsidR="00257685" w:rsidRPr="00A90CCE" w:rsidRDefault="00257685" w:rsidP="00257685">
      <w:pPr>
        <w:pStyle w:val="Bibliography"/>
        <w:rPr>
          <w:lang w:val="en-GB"/>
        </w:rPr>
      </w:pPr>
      <w:r w:rsidRPr="00A90CCE">
        <w:rPr>
          <w:lang w:val="en-GB"/>
        </w:rPr>
        <w:t xml:space="preserve">Eltantawy, N., &amp; Wiest, J. B. (2007). The Arab Spring | Social Media in the Egyptian Revolution: Reconsidering Resource Mobilization Theory. </w:t>
      </w:r>
      <w:r w:rsidRPr="00A90CCE">
        <w:rPr>
          <w:i/>
          <w:iCs/>
          <w:lang w:val="en-GB"/>
        </w:rPr>
        <w:t>Journal of Communication</w:t>
      </w:r>
      <w:r w:rsidRPr="00A90CCE">
        <w:rPr>
          <w:lang w:val="en-GB"/>
        </w:rPr>
        <w:t xml:space="preserve">, </w:t>
      </w:r>
      <w:r w:rsidRPr="00A90CCE">
        <w:rPr>
          <w:i/>
          <w:iCs/>
          <w:lang w:val="en-GB"/>
        </w:rPr>
        <w:t>5</w:t>
      </w:r>
      <w:r w:rsidRPr="00A90CCE">
        <w:rPr>
          <w:lang w:val="en-GB"/>
        </w:rPr>
        <w:t>, 1207–1224.</w:t>
      </w:r>
    </w:p>
    <w:p w14:paraId="05EFD1FB" w14:textId="77777777" w:rsidR="00257685" w:rsidRPr="00A90CCE" w:rsidRDefault="00257685" w:rsidP="00257685">
      <w:pPr>
        <w:pStyle w:val="Bibliography"/>
        <w:rPr>
          <w:lang w:val="en-GB"/>
        </w:rPr>
      </w:pPr>
      <w:r w:rsidRPr="00A90CCE">
        <w:rPr>
          <w:lang w:val="en-GB"/>
        </w:rPr>
        <w:t xml:space="preserve">Enos, R. (2017). </w:t>
      </w:r>
      <w:r w:rsidRPr="00A90CCE">
        <w:rPr>
          <w:i/>
          <w:iCs/>
          <w:lang w:val="en-GB"/>
        </w:rPr>
        <w:t>The Space Between Us: Social Geography and Politics</w:t>
      </w:r>
      <w:r w:rsidRPr="00A90CCE">
        <w:rPr>
          <w:lang w:val="en-GB"/>
        </w:rPr>
        <w:t>. Cambridge University Press.</w:t>
      </w:r>
    </w:p>
    <w:p w14:paraId="5C57326B" w14:textId="77777777" w:rsidR="00257685" w:rsidRPr="00A90CCE" w:rsidRDefault="00257685" w:rsidP="00257685">
      <w:pPr>
        <w:pStyle w:val="Bibliography"/>
        <w:rPr>
          <w:lang w:val="en-GB"/>
        </w:rPr>
      </w:pPr>
      <w:r w:rsidRPr="00A90CCE">
        <w:rPr>
          <w:lang w:val="en-GB"/>
        </w:rPr>
        <w:t xml:space="preserve">Fetzek, S., &amp; Vivekananda, J. (2015). </w:t>
      </w:r>
      <w:r w:rsidRPr="00A90CCE">
        <w:rPr>
          <w:i/>
          <w:iCs/>
          <w:lang w:val="en-GB"/>
        </w:rPr>
        <w:t>Climate change, violence  and young people: Report for Unicef UK</w:t>
      </w:r>
      <w:r w:rsidRPr="00A90CCE">
        <w:rPr>
          <w:lang w:val="en-GB"/>
        </w:rPr>
        <w:t>. IISS.</w:t>
      </w:r>
    </w:p>
    <w:p w14:paraId="18362178" w14:textId="77777777" w:rsidR="00257685" w:rsidRPr="00A90CCE" w:rsidRDefault="00257685" w:rsidP="00257685">
      <w:pPr>
        <w:pStyle w:val="Bibliography"/>
        <w:rPr>
          <w:lang w:val="en-GB"/>
        </w:rPr>
      </w:pPr>
      <w:r w:rsidRPr="00A90CCE">
        <w:rPr>
          <w:lang w:val="en-GB"/>
        </w:rPr>
        <w:t xml:space="preserve">Fox, S., &amp; Bell, A. (2016). Urban geography and protest mobilization in Africa. </w:t>
      </w:r>
      <w:r w:rsidRPr="00A90CCE">
        <w:rPr>
          <w:i/>
          <w:iCs/>
          <w:lang w:val="en-GB"/>
        </w:rPr>
        <w:t>Political Geography</w:t>
      </w:r>
      <w:r w:rsidRPr="00A90CCE">
        <w:rPr>
          <w:lang w:val="en-GB"/>
        </w:rPr>
        <w:t xml:space="preserve">, </w:t>
      </w:r>
      <w:r w:rsidRPr="00A90CCE">
        <w:rPr>
          <w:i/>
          <w:iCs/>
          <w:lang w:val="en-GB"/>
        </w:rPr>
        <w:t>53</w:t>
      </w:r>
      <w:r w:rsidRPr="00A90CCE">
        <w:rPr>
          <w:lang w:val="en-GB"/>
        </w:rPr>
        <w:t>, 54–64.</w:t>
      </w:r>
    </w:p>
    <w:p w14:paraId="6FAEAFF7" w14:textId="77777777" w:rsidR="00257685" w:rsidRPr="00A90CCE" w:rsidRDefault="00257685" w:rsidP="00257685">
      <w:pPr>
        <w:pStyle w:val="Bibliography"/>
        <w:rPr>
          <w:lang w:val="en-GB"/>
        </w:rPr>
      </w:pPr>
      <w:r w:rsidRPr="00A90CCE">
        <w:rPr>
          <w:lang w:val="en-GB"/>
        </w:rPr>
        <w:t xml:space="preserve">Fox, S., &amp; Goodfellow, T. (2022). On the conditions of ‘late urbanisation’. </w:t>
      </w:r>
      <w:r w:rsidRPr="00A90CCE">
        <w:rPr>
          <w:i/>
          <w:iCs/>
          <w:lang w:val="en-GB"/>
        </w:rPr>
        <w:t>Urban Studies</w:t>
      </w:r>
      <w:r w:rsidRPr="00A90CCE">
        <w:rPr>
          <w:lang w:val="en-GB"/>
        </w:rPr>
        <w:t xml:space="preserve">, </w:t>
      </w:r>
      <w:r w:rsidRPr="00A90CCE">
        <w:rPr>
          <w:i/>
          <w:iCs/>
          <w:lang w:val="en-GB"/>
        </w:rPr>
        <w:t>59</w:t>
      </w:r>
      <w:r w:rsidRPr="00A90CCE">
        <w:rPr>
          <w:lang w:val="en-GB"/>
        </w:rPr>
        <w:t>(10), 1959–1980.</w:t>
      </w:r>
    </w:p>
    <w:p w14:paraId="1BA1797D" w14:textId="77777777" w:rsidR="00257685" w:rsidRPr="00A90CCE" w:rsidRDefault="00257685" w:rsidP="00257685">
      <w:pPr>
        <w:pStyle w:val="Bibliography"/>
        <w:rPr>
          <w:lang w:val="en-GB"/>
        </w:rPr>
      </w:pPr>
      <w:r w:rsidRPr="00A90CCE">
        <w:rPr>
          <w:lang w:val="en-GB"/>
        </w:rPr>
        <w:t xml:space="preserve">Franklin, M. N. (2004). </w:t>
      </w:r>
      <w:r w:rsidRPr="00A90CCE">
        <w:rPr>
          <w:i/>
          <w:iCs/>
          <w:lang w:val="en-GB"/>
        </w:rPr>
        <w:t>Voter turnout and the dynamics of electoral competition in established democracies since 1945</w:t>
      </w:r>
      <w:r w:rsidRPr="00A90CCE">
        <w:rPr>
          <w:lang w:val="en-GB"/>
        </w:rPr>
        <w:t>. Cambridge University Press.</w:t>
      </w:r>
    </w:p>
    <w:p w14:paraId="1CBE7379" w14:textId="77777777" w:rsidR="00257685" w:rsidRPr="00A90CCE" w:rsidRDefault="00257685" w:rsidP="00257685">
      <w:pPr>
        <w:pStyle w:val="Bibliography"/>
        <w:rPr>
          <w:lang w:val="en-GB"/>
        </w:rPr>
      </w:pPr>
      <w:r w:rsidRPr="00A90CCE">
        <w:rPr>
          <w:lang w:val="en-GB"/>
        </w:rPr>
        <w:t xml:space="preserve">Garbe, L., Selvik, L.-M., &amp; Lemaire, P. (2023). How African countries respond to fake news and hate speech. </w:t>
      </w:r>
      <w:r w:rsidRPr="00A90CCE">
        <w:rPr>
          <w:i/>
          <w:iCs/>
          <w:lang w:val="en-GB"/>
        </w:rPr>
        <w:t>Information, Communication &amp; Society</w:t>
      </w:r>
      <w:r w:rsidRPr="00A90CCE">
        <w:rPr>
          <w:lang w:val="en-GB"/>
        </w:rPr>
        <w:t xml:space="preserve">, </w:t>
      </w:r>
      <w:r w:rsidRPr="00A90CCE">
        <w:rPr>
          <w:i/>
          <w:iCs/>
          <w:lang w:val="en-GB"/>
        </w:rPr>
        <w:t>26</w:t>
      </w:r>
      <w:r w:rsidRPr="00A90CCE">
        <w:rPr>
          <w:lang w:val="en-GB"/>
        </w:rPr>
        <w:t>(1), 86–103.</w:t>
      </w:r>
    </w:p>
    <w:p w14:paraId="5160B23C" w14:textId="77777777" w:rsidR="00257685" w:rsidRPr="00A90CCE" w:rsidRDefault="00257685" w:rsidP="00257685">
      <w:pPr>
        <w:pStyle w:val="Bibliography"/>
        <w:rPr>
          <w:lang w:val="en-GB"/>
        </w:rPr>
      </w:pPr>
      <w:r w:rsidRPr="00A90CCE">
        <w:rPr>
          <w:lang w:val="en-GB"/>
        </w:rPr>
        <w:t xml:space="preserve">Gelman, A., &amp; Hill, J. (2007). </w:t>
      </w:r>
      <w:r w:rsidRPr="00A90CCE">
        <w:rPr>
          <w:i/>
          <w:iCs/>
          <w:lang w:val="en-GB"/>
        </w:rPr>
        <w:t>Data analysis using regression and multilevel/hierarchical models</w:t>
      </w:r>
      <w:r w:rsidRPr="00A90CCE">
        <w:rPr>
          <w:lang w:val="en-GB"/>
        </w:rPr>
        <w:t>. Cambridge university press.</w:t>
      </w:r>
    </w:p>
    <w:p w14:paraId="05A29A5E" w14:textId="77777777" w:rsidR="00257685" w:rsidRPr="00A90CCE" w:rsidRDefault="00257685" w:rsidP="00257685">
      <w:pPr>
        <w:pStyle w:val="Bibliography"/>
        <w:rPr>
          <w:lang w:val="en-GB"/>
        </w:rPr>
      </w:pPr>
      <w:r w:rsidRPr="00A90CCE">
        <w:rPr>
          <w:lang w:val="en-GB"/>
        </w:rPr>
        <w:t xml:space="preserve">Gibson, J., Olivia, S., &amp; Boe‐Gibson, G. (2020). Night lights in economics: Sources and uses 1. </w:t>
      </w:r>
      <w:r w:rsidRPr="00A90CCE">
        <w:rPr>
          <w:i/>
          <w:iCs/>
          <w:lang w:val="en-GB"/>
        </w:rPr>
        <w:t>Journal of Economic Surveys</w:t>
      </w:r>
      <w:r w:rsidRPr="00A90CCE">
        <w:rPr>
          <w:lang w:val="en-GB"/>
        </w:rPr>
        <w:t xml:space="preserve">, </w:t>
      </w:r>
      <w:r w:rsidRPr="00A90CCE">
        <w:rPr>
          <w:i/>
          <w:iCs/>
          <w:lang w:val="en-GB"/>
        </w:rPr>
        <w:t>34</w:t>
      </w:r>
      <w:r w:rsidRPr="00A90CCE">
        <w:rPr>
          <w:lang w:val="en-GB"/>
        </w:rPr>
        <w:t>(5), 955–980.</w:t>
      </w:r>
    </w:p>
    <w:p w14:paraId="4A08B135" w14:textId="77777777" w:rsidR="00257685" w:rsidRPr="00A90CCE" w:rsidRDefault="00257685" w:rsidP="00257685">
      <w:pPr>
        <w:pStyle w:val="Bibliography"/>
        <w:rPr>
          <w:lang w:val="en-GB"/>
        </w:rPr>
      </w:pPr>
      <w:r w:rsidRPr="00A90CCE">
        <w:rPr>
          <w:lang w:val="en-GB"/>
        </w:rPr>
        <w:lastRenderedPageBreak/>
        <w:t xml:space="preserve">Gibson, J., Olivia, S., Boe-Gibson, G., &amp; Li, C. (2021). Which night lights data should we use in economics, and where? </w:t>
      </w:r>
      <w:r w:rsidRPr="00A90CCE">
        <w:rPr>
          <w:i/>
          <w:iCs/>
          <w:lang w:val="en-GB"/>
        </w:rPr>
        <w:t>Journal of Development Economics</w:t>
      </w:r>
      <w:r w:rsidRPr="00A90CCE">
        <w:rPr>
          <w:lang w:val="en-GB"/>
        </w:rPr>
        <w:t xml:space="preserve">, </w:t>
      </w:r>
      <w:r w:rsidRPr="00A90CCE">
        <w:rPr>
          <w:i/>
          <w:iCs/>
          <w:lang w:val="en-GB"/>
        </w:rPr>
        <w:t>149</w:t>
      </w:r>
      <w:r w:rsidRPr="00A90CCE">
        <w:rPr>
          <w:lang w:val="en-GB"/>
        </w:rPr>
        <w:t>, 102602.</w:t>
      </w:r>
    </w:p>
    <w:p w14:paraId="4A832CC6" w14:textId="77777777" w:rsidR="00257685" w:rsidRPr="00A90CCE" w:rsidRDefault="00257685" w:rsidP="00257685">
      <w:pPr>
        <w:pStyle w:val="Bibliography"/>
        <w:rPr>
          <w:lang w:val="en-GB"/>
        </w:rPr>
      </w:pPr>
      <w:r w:rsidRPr="00A90CCE">
        <w:rPr>
          <w:lang w:val="en-GB"/>
        </w:rPr>
        <w:t xml:space="preserve">Glaeser, E. (2011). </w:t>
      </w:r>
      <w:r w:rsidRPr="00A90CCE">
        <w:rPr>
          <w:i/>
          <w:iCs/>
          <w:lang w:val="en-GB"/>
        </w:rPr>
        <w:t>Triumph of the city: How urban spaces make us human</w:t>
      </w:r>
      <w:r w:rsidRPr="00A90CCE">
        <w:rPr>
          <w:lang w:val="en-GB"/>
        </w:rPr>
        <w:t>. Pan Macmillan.</w:t>
      </w:r>
    </w:p>
    <w:p w14:paraId="25597EB3" w14:textId="77777777" w:rsidR="00257685" w:rsidRPr="00A90CCE" w:rsidRDefault="00257685" w:rsidP="00257685">
      <w:pPr>
        <w:pStyle w:val="Bibliography"/>
        <w:rPr>
          <w:lang w:val="en-GB"/>
        </w:rPr>
      </w:pPr>
      <w:r w:rsidRPr="00A90CCE">
        <w:rPr>
          <w:lang w:val="en-GB"/>
        </w:rPr>
        <w:t xml:space="preserve">Goldstone, J. A. (2002). Population and security: How demographic change can lead to violent conflict. </w:t>
      </w:r>
      <w:r w:rsidRPr="00A90CCE">
        <w:rPr>
          <w:i/>
          <w:iCs/>
          <w:lang w:val="en-GB"/>
        </w:rPr>
        <w:t>Journal of International Affairs</w:t>
      </w:r>
      <w:r w:rsidRPr="00A90CCE">
        <w:rPr>
          <w:lang w:val="en-GB"/>
        </w:rPr>
        <w:t>, 3–21.</w:t>
      </w:r>
    </w:p>
    <w:p w14:paraId="755E598A" w14:textId="77777777" w:rsidR="00257685" w:rsidRPr="00A90CCE" w:rsidRDefault="00257685" w:rsidP="00257685">
      <w:pPr>
        <w:pStyle w:val="Bibliography"/>
        <w:rPr>
          <w:lang w:val="en-GB"/>
        </w:rPr>
      </w:pPr>
      <w:r w:rsidRPr="00A90CCE">
        <w:rPr>
          <w:lang w:val="en-GB"/>
        </w:rPr>
        <w:t xml:space="preserve">Goldstone, J. A. (2010). The new population bomb: The four megatrends that will change the world. </w:t>
      </w:r>
      <w:r w:rsidRPr="00A90CCE">
        <w:rPr>
          <w:i/>
          <w:iCs/>
          <w:lang w:val="en-GB"/>
        </w:rPr>
        <w:t>Foreign Aff.</w:t>
      </w:r>
      <w:r w:rsidRPr="00A90CCE">
        <w:rPr>
          <w:lang w:val="en-GB"/>
        </w:rPr>
        <w:t xml:space="preserve">, </w:t>
      </w:r>
      <w:r w:rsidRPr="00A90CCE">
        <w:rPr>
          <w:i/>
          <w:iCs/>
          <w:lang w:val="en-GB"/>
        </w:rPr>
        <w:t>89</w:t>
      </w:r>
      <w:r w:rsidRPr="00A90CCE">
        <w:rPr>
          <w:lang w:val="en-GB"/>
        </w:rPr>
        <w:t>, 31.</w:t>
      </w:r>
    </w:p>
    <w:p w14:paraId="3F9DEC08" w14:textId="77777777" w:rsidR="00257685" w:rsidRPr="00A90CCE" w:rsidRDefault="00257685" w:rsidP="00257685">
      <w:pPr>
        <w:pStyle w:val="Bibliography"/>
        <w:rPr>
          <w:lang w:val="en-GB"/>
        </w:rPr>
      </w:pPr>
      <w:r w:rsidRPr="00A90CCE">
        <w:rPr>
          <w:lang w:val="en-GB"/>
        </w:rPr>
        <w:t xml:space="preserve">Gutheil, L. (2022). </w:t>
      </w:r>
      <w:r w:rsidRPr="00A90CCE">
        <w:rPr>
          <w:i/>
          <w:iCs/>
          <w:lang w:val="en-GB"/>
        </w:rPr>
        <w:t>The Impact of Urbanisation on Political Regimes in Africa: A Literature Review</w:t>
      </w:r>
      <w:r w:rsidRPr="00A90CCE">
        <w:rPr>
          <w:lang w:val="en-GB"/>
        </w:rPr>
        <w:t xml:space="preserve"> (No. Megatrends Working Paper 3). Stiftung Wissenschaft und Politik.</w:t>
      </w:r>
    </w:p>
    <w:p w14:paraId="2874D423" w14:textId="77777777" w:rsidR="00257685" w:rsidRPr="00A90CCE" w:rsidRDefault="00257685" w:rsidP="00257685">
      <w:pPr>
        <w:pStyle w:val="Bibliography"/>
        <w:rPr>
          <w:lang w:val="en-GB"/>
        </w:rPr>
      </w:pPr>
      <w:r w:rsidRPr="00A90CCE">
        <w:rPr>
          <w:lang w:val="en-GB"/>
        </w:rPr>
        <w:t xml:space="preserve">Hartmann, C., &amp; Biira, C. P. (2021). Demographic Change and Political Order in Sub-Saharan Africa: How Côte d’Ivoire and Uganda Deal with Youth Bulge and Politicized Migration. In A. Goerres &amp; P. Vanhuysse (Eds), </w:t>
      </w:r>
      <w:r w:rsidRPr="00A90CCE">
        <w:rPr>
          <w:i/>
          <w:iCs/>
          <w:lang w:val="en-GB"/>
        </w:rPr>
        <w:t>Global Political Demography: The Politics of Population Change</w:t>
      </w:r>
      <w:r w:rsidRPr="00A90CCE">
        <w:rPr>
          <w:lang w:val="en-GB"/>
        </w:rPr>
        <w:t xml:space="preserve"> (pp. 219–246). Springer International Publishing. https://doi.org/10.1007/978-3-030-73065-9_9</w:t>
      </w:r>
    </w:p>
    <w:p w14:paraId="24FB0567" w14:textId="77777777" w:rsidR="00257685" w:rsidRPr="00A90CCE" w:rsidRDefault="00257685" w:rsidP="00257685">
      <w:pPr>
        <w:pStyle w:val="Bibliography"/>
        <w:rPr>
          <w:lang w:val="en-GB"/>
        </w:rPr>
      </w:pPr>
      <w:r w:rsidRPr="00A90CCE">
        <w:rPr>
          <w:lang w:val="en-GB"/>
        </w:rPr>
        <w:t xml:space="preserve">Henn, M., &amp; Foard, N. (2012). Young people, political participation and trust in Britain. </w:t>
      </w:r>
      <w:r w:rsidRPr="00A90CCE">
        <w:rPr>
          <w:i/>
          <w:iCs/>
          <w:lang w:val="en-GB"/>
        </w:rPr>
        <w:t>Parliamentary Affairs</w:t>
      </w:r>
      <w:r w:rsidRPr="00A90CCE">
        <w:rPr>
          <w:lang w:val="en-GB"/>
        </w:rPr>
        <w:t xml:space="preserve">, </w:t>
      </w:r>
      <w:r w:rsidRPr="00A90CCE">
        <w:rPr>
          <w:i/>
          <w:iCs/>
          <w:lang w:val="en-GB"/>
        </w:rPr>
        <w:t>65</w:t>
      </w:r>
      <w:r w:rsidRPr="00A90CCE">
        <w:rPr>
          <w:lang w:val="en-GB"/>
        </w:rPr>
        <w:t>(1), 47–67.</w:t>
      </w:r>
    </w:p>
    <w:p w14:paraId="4D0B0D38" w14:textId="77777777" w:rsidR="00257685" w:rsidRPr="00A90CCE" w:rsidRDefault="00257685" w:rsidP="00257685">
      <w:pPr>
        <w:pStyle w:val="Bibliography"/>
        <w:rPr>
          <w:lang w:val="en-GB"/>
        </w:rPr>
      </w:pPr>
      <w:r w:rsidRPr="00A90CCE">
        <w:rPr>
          <w:lang w:val="en-GB"/>
        </w:rPr>
        <w:t xml:space="preserve">Hoelscher, K., Dorward, N., Fox, S., Lawanson, T., Paller, J. W., &amp; Phillips, M. L. (2023). Urbanization and political change in Africa. </w:t>
      </w:r>
      <w:r w:rsidRPr="00A90CCE">
        <w:rPr>
          <w:i/>
          <w:iCs/>
          <w:lang w:val="en-GB"/>
        </w:rPr>
        <w:t>African Affairs</w:t>
      </w:r>
      <w:r w:rsidRPr="00A90CCE">
        <w:rPr>
          <w:lang w:val="en-GB"/>
        </w:rPr>
        <w:t xml:space="preserve">, </w:t>
      </w:r>
      <w:r w:rsidRPr="00A90CCE">
        <w:rPr>
          <w:i/>
          <w:iCs/>
          <w:lang w:val="en-GB"/>
        </w:rPr>
        <w:t>122</w:t>
      </w:r>
      <w:r w:rsidRPr="00A90CCE">
        <w:rPr>
          <w:lang w:val="en-GB"/>
        </w:rPr>
        <w:t>(488), 353–376.</w:t>
      </w:r>
    </w:p>
    <w:p w14:paraId="3C06FE27" w14:textId="77777777" w:rsidR="00257685" w:rsidRPr="00A90CCE" w:rsidRDefault="00257685" w:rsidP="00257685">
      <w:pPr>
        <w:pStyle w:val="Bibliography"/>
        <w:rPr>
          <w:lang w:val="en-GB"/>
        </w:rPr>
      </w:pPr>
      <w:r w:rsidRPr="00A90CCE">
        <w:rPr>
          <w:lang w:val="en-GB"/>
        </w:rPr>
        <w:t xml:space="preserve">Hoelscher, K., Lawanson, T., &amp; Paller, J. W. (forthcoming). Political Change in African Cities: Transforming State-Society Relations. </w:t>
      </w:r>
      <w:r w:rsidRPr="00A90CCE">
        <w:rPr>
          <w:i/>
          <w:iCs/>
          <w:lang w:val="en-GB"/>
        </w:rPr>
        <w:t>World Development</w:t>
      </w:r>
      <w:r w:rsidRPr="00A90CCE">
        <w:rPr>
          <w:lang w:val="en-GB"/>
        </w:rPr>
        <w:t>.</w:t>
      </w:r>
    </w:p>
    <w:p w14:paraId="7350EBB7" w14:textId="77777777" w:rsidR="00257685" w:rsidRPr="00A90CCE" w:rsidRDefault="00257685" w:rsidP="00257685">
      <w:pPr>
        <w:pStyle w:val="Bibliography"/>
        <w:rPr>
          <w:lang w:val="en-GB"/>
        </w:rPr>
      </w:pPr>
      <w:r w:rsidRPr="00A90CCE">
        <w:rPr>
          <w:lang w:val="en-GB"/>
        </w:rPr>
        <w:t xml:space="preserve">Honwana, A. (2015). “Enough is enough!”: Youth Protests and Political Change in Africa. In K. Tall, M.-E. Pommerolle, &amp; M. Cahen (Eds), </w:t>
      </w:r>
      <w:r w:rsidRPr="00A90CCE">
        <w:rPr>
          <w:i/>
          <w:iCs/>
          <w:lang w:val="en-GB"/>
        </w:rPr>
        <w:t>Collective Mobilisations in Africa / Mobilisations collectives en Afrique</w:t>
      </w:r>
      <w:r w:rsidRPr="00A90CCE">
        <w:rPr>
          <w:lang w:val="en-GB"/>
        </w:rPr>
        <w:t xml:space="preserve"> (pp. 43–66). Brill.</w:t>
      </w:r>
    </w:p>
    <w:p w14:paraId="026FCB9D" w14:textId="77777777" w:rsidR="00257685" w:rsidRPr="00A90CCE" w:rsidRDefault="00257685" w:rsidP="00257685">
      <w:pPr>
        <w:pStyle w:val="Bibliography"/>
        <w:rPr>
          <w:lang w:val="en-GB"/>
        </w:rPr>
      </w:pPr>
      <w:r w:rsidRPr="00A90CCE">
        <w:rPr>
          <w:lang w:val="en-GB"/>
        </w:rPr>
        <w:t xml:space="preserve">Hox, J., Moerbeek, M., &amp; Van de Schoot, R. (2017). </w:t>
      </w:r>
      <w:r w:rsidRPr="00A90CCE">
        <w:rPr>
          <w:i/>
          <w:iCs/>
          <w:lang w:val="en-GB"/>
        </w:rPr>
        <w:t>Multilevel analysis: Techniques and applications</w:t>
      </w:r>
      <w:r w:rsidRPr="00A90CCE">
        <w:rPr>
          <w:lang w:val="en-GB"/>
        </w:rPr>
        <w:t>. Routledge.</w:t>
      </w:r>
    </w:p>
    <w:p w14:paraId="15E2EA87" w14:textId="77777777" w:rsidR="00257685" w:rsidRPr="00A90CCE" w:rsidRDefault="00257685" w:rsidP="00257685">
      <w:pPr>
        <w:pStyle w:val="Bibliography"/>
        <w:rPr>
          <w:lang w:val="en-GB"/>
        </w:rPr>
      </w:pPr>
      <w:r w:rsidRPr="00A90CCE">
        <w:rPr>
          <w:lang w:val="en-GB"/>
        </w:rPr>
        <w:lastRenderedPageBreak/>
        <w:t xml:space="preserve">Johnston, R., &amp; Pattie, C. (1998). Composition and context: Region and voting in Britain revisited during Labour’s 1990s’ revival. </w:t>
      </w:r>
      <w:r w:rsidRPr="00A90CCE">
        <w:rPr>
          <w:i/>
          <w:iCs/>
          <w:lang w:val="en-GB"/>
        </w:rPr>
        <w:t>Geoforum</w:t>
      </w:r>
      <w:r w:rsidRPr="00A90CCE">
        <w:rPr>
          <w:lang w:val="en-GB"/>
        </w:rPr>
        <w:t xml:space="preserve">, </w:t>
      </w:r>
      <w:r w:rsidRPr="00A90CCE">
        <w:rPr>
          <w:i/>
          <w:iCs/>
          <w:lang w:val="en-GB"/>
        </w:rPr>
        <w:t>29</w:t>
      </w:r>
      <w:r w:rsidRPr="00A90CCE">
        <w:rPr>
          <w:lang w:val="en-GB"/>
        </w:rPr>
        <w:t>(3), 309–329.</w:t>
      </w:r>
    </w:p>
    <w:p w14:paraId="3D4C0221" w14:textId="77777777" w:rsidR="00257685" w:rsidRPr="003E4C57" w:rsidRDefault="00257685" w:rsidP="00257685">
      <w:pPr>
        <w:pStyle w:val="Bibliography"/>
        <w:rPr>
          <w:lang w:val="nb-NO"/>
        </w:rPr>
      </w:pPr>
      <w:r w:rsidRPr="00A90CCE">
        <w:rPr>
          <w:lang w:val="en-GB"/>
        </w:rPr>
        <w:t xml:space="preserve">Johnston, R., &amp; Pattie, C. (2006). </w:t>
      </w:r>
      <w:r w:rsidRPr="00A90CCE">
        <w:rPr>
          <w:i/>
          <w:iCs/>
          <w:lang w:val="en-GB"/>
        </w:rPr>
        <w:t>Putting voters in their place: Geography and elections in Great Britain</w:t>
      </w:r>
      <w:r w:rsidRPr="00A90CCE">
        <w:rPr>
          <w:lang w:val="en-GB"/>
        </w:rPr>
        <w:t xml:space="preserve">. </w:t>
      </w:r>
      <w:r w:rsidRPr="003E4C57">
        <w:rPr>
          <w:lang w:val="nb-NO"/>
        </w:rPr>
        <w:t>OUP Oxford.</w:t>
      </w:r>
    </w:p>
    <w:p w14:paraId="27FA889A" w14:textId="77777777" w:rsidR="00257685" w:rsidRPr="00A90CCE" w:rsidRDefault="00257685" w:rsidP="00257685">
      <w:pPr>
        <w:pStyle w:val="Bibliography"/>
        <w:rPr>
          <w:lang w:val="en-GB"/>
        </w:rPr>
      </w:pPr>
      <w:r w:rsidRPr="003E4C57">
        <w:rPr>
          <w:lang w:val="nb-NO"/>
        </w:rPr>
        <w:t xml:space="preserve">Jost, J. T., Barberá, P., Bonneau, R., Langer, M., Metzger, M., Nagler, J., Sterling, J., &amp; Tucker, J. A. (2018). </w:t>
      </w:r>
      <w:r w:rsidRPr="00A90CCE">
        <w:rPr>
          <w:lang w:val="en-GB"/>
        </w:rPr>
        <w:t xml:space="preserve">How social media facilitates political protest: Information, motivation, and social networks. </w:t>
      </w:r>
      <w:r w:rsidRPr="00A90CCE">
        <w:rPr>
          <w:i/>
          <w:iCs/>
          <w:lang w:val="en-GB"/>
        </w:rPr>
        <w:t>Political Psychology</w:t>
      </w:r>
      <w:r w:rsidRPr="00A90CCE">
        <w:rPr>
          <w:lang w:val="en-GB"/>
        </w:rPr>
        <w:t xml:space="preserve">, </w:t>
      </w:r>
      <w:r w:rsidRPr="00A90CCE">
        <w:rPr>
          <w:i/>
          <w:iCs/>
          <w:lang w:val="en-GB"/>
        </w:rPr>
        <w:t>39</w:t>
      </w:r>
      <w:r w:rsidRPr="00A90CCE">
        <w:rPr>
          <w:lang w:val="en-GB"/>
        </w:rPr>
        <w:t>, 85–118.</w:t>
      </w:r>
    </w:p>
    <w:p w14:paraId="515742E7" w14:textId="77777777" w:rsidR="00257685" w:rsidRPr="00A90CCE" w:rsidRDefault="00257685" w:rsidP="00257685">
      <w:pPr>
        <w:pStyle w:val="Bibliography"/>
        <w:rPr>
          <w:lang w:val="en-GB"/>
        </w:rPr>
      </w:pPr>
      <w:r w:rsidRPr="00A90CCE">
        <w:rPr>
          <w:lang w:val="en-GB"/>
        </w:rPr>
        <w:t xml:space="preserve">Koechlin, L., &amp; Förster, T. (2018). Secondary cities and the formation of political space in West and East Africa. </w:t>
      </w:r>
      <w:r w:rsidRPr="00A90CCE">
        <w:rPr>
          <w:i/>
          <w:iCs/>
          <w:lang w:val="en-GB"/>
        </w:rPr>
        <w:t>The Palgrave Handbook of Urban Ethnography</w:t>
      </w:r>
      <w:r w:rsidRPr="00A90CCE">
        <w:rPr>
          <w:lang w:val="en-GB"/>
        </w:rPr>
        <w:t>, 351–368.</w:t>
      </w:r>
    </w:p>
    <w:p w14:paraId="1BAE7249" w14:textId="77777777" w:rsidR="00257685" w:rsidRPr="00A90CCE" w:rsidRDefault="00257685" w:rsidP="00257685">
      <w:pPr>
        <w:pStyle w:val="Bibliography"/>
        <w:rPr>
          <w:lang w:val="en-GB"/>
        </w:rPr>
      </w:pPr>
      <w:r w:rsidRPr="00A90CCE">
        <w:rPr>
          <w:lang w:val="en-GB"/>
        </w:rPr>
        <w:t xml:space="preserve">Kuffer, M., Owusu, M., Oliveira, L., Sliuzas, R., &amp; van Rijn, F. (2022). The missing millions in maps: Exploring causes of uncertainties in global gridded population datasets. </w:t>
      </w:r>
      <w:r w:rsidRPr="00A90CCE">
        <w:rPr>
          <w:i/>
          <w:iCs/>
          <w:lang w:val="en-GB"/>
        </w:rPr>
        <w:t>ISPRS International Journal of Geo-Information</w:t>
      </w:r>
      <w:r w:rsidRPr="00A90CCE">
        <w:rPr>
          <w:lang w:val="en-GB"/>
        </w:rPr>
        <w:t xml:space="preserve">, </w:t>
      </w:r>
      <w:r w:rsidRPr="00A90CCE">
        <w:rPr>
          <w:i/>
          <w:iCs/>
          <w:lang w:val="en-GB"/>
        </w:rPr>
        <w:t>11</w:t>
      </w:r>
      <w:r w:rsidRPr="00A90CCE">
        <w:rPr>
          <w:lang w:val="en-GB"/>
        </w:rPr>
        <w:t>(7), 403.</w:t>
      </w:r>
    </w:p>
    <w:p w14:paraId="0E63103F" w14:textId="77777777" w:rsidR="00257685" w:rsidRPr="00A90CCE" w:rsidRDefault="00257685" w:rsidP="00257685">
      <w:pPr>
        <w:pStyle w:val="Bibliography"/>
        <w:rPr>
          <w:lang w:val="en-GB"/>
        </w:rPr>
      </w:pPr>
      <w:r w:rsidRPr="00A90CCE">
        <w:rPr>
          <w:lang w:val="en-GB"/>
        </w:rPr>
        <w:t xml:space="preserve">Kumar, T., &amp; Stenberg, M. (2023). Why political scientists should study smaller cities. </w:t>
      </w:r>
      <w:r w:rsidRPr="00A90CCE">
        <w:rPr>
          <w:i/>
          <w:iCs/>
          <w:lang w:val="en-GB"/>
        </w:rPr>
        <w:t>Urban Affairs Review</w:t>
      </w:r>
      <w:r w:rsidRPr="00A90CCE">
        <w:rPr>
          <w:lang w:val="en-GB"/>
        </w:rPr>
        <w:t xml:space="preserve">, </w:t>
      </w:r>
      <w:r w:rsidRPr="00A90CCE">
        <w:rPr>
          <w:i/>
          <w:iCs/>
          <w:lang w:val="en-GB"/>
        </w:rPr>
        <w:t>59</w:t>
      </w:r>
      <w:r w:rsidRPr="00A90CCE">
        <w:rPr>
          <w:lang w:val="en-GB"/>
        </w:rPr>
        <w:t>(6), 2005–2042.</w:t>
      </w:r>
    </w:p>
    <w:p w14:paraId="0972FD6F" w14:textId="77777777" w:rsidR="00257685" w:rsidRPr="00A90CCE" w:rsidRDefault="00257685" w:rsidP="00257685">
      <w:pPr>
        <w:pStyle w:val="Bibliography"/>
        <w:rPr>
          <w:lang w:val="en-GB"/>
        </w:rPr>
      </w:pPr>
      <w:r w:rsidRPr="00A90CCE">
        <w:rPr>
          <w:lang w:val="en-GB"/>
        </w:rPr>
        <w:t xml:space="preserve">Lekalake, R., &amp; Gyimah-Boadi, E. (2016). </w:t>
      </w:r>
      <w:r w:rsidRPr="00A90CCE">
        <w:rPr>
          <w:i/>
          <w:iCs/>
          <w:lang w:val="en-GB"/>
        </w:rPr>
        <w:t>Does less engaged mean less empowered? Political participation lags among African youth, especially women</w:t>
      </w:r>
      <w:r w:rsidRPr="00A90CCE">
        <w:rPr>
          <w:lang w:val="en-GB"/>
        </w:rPr>
        <w:t>.</w:t>
      </w:r>
    </w:p>
    <w:p w14:paraId="1B7135D0" w14:textId="77777777" w:rsidR="00257685" w:rsidRPr="00A90CCE" w:rsidRDefault="00257685" w:rsidP="00257685">
      <w:pPr>
        <w:pStyle w:val="Bibliography"/>
        <w:rPr>
          <w:lang w:val="en-GB"/>
        </w:rPr>
      </w:pPr>
      <w:r w:rsidRPr="00A90CCE">
        <w:rPr>
          <w:lang w:val="en-GB"/>
        </w:rPr>
        <w:t xml:space="preserve">Macdonald, A., Owor, A., &amp; Tapscott, R. (2023). Explaining youth political mobilization and its absence: The case of Bobi Wine and Uganda’s 2021 election. </w:t>
      </w:r>
      <w:r w:rsidRPr="00A90CCE">
        <w:rPr>
          <w:i/>
          <w:iCs/>
          <w:lang w:val="en-GB"/>
        </w:rPr>
        <w:t>Journal of Eastern African Studies</w:t>
      </w:r>
      <w:r w:rsidRPr="00A90CCE">
        <w:rPr>
          <w:lang w:val="en-GB"/>
        </w:rPr>
        <w:t xml:space="preserve">, </w:t>
      </w:r>
      <w:r w:rsidRPr="00A90CCE">
        <w:rPr>
          <w:i/>
          <w:iCs/>
          <w:lang w:val="en-GB"/>
        </w:rPr>
        <w:t>17</w:t>
      </w:r>
      <w:r w:rsidRPr="00A90CCE">
        <w:rPr>
          <w:lang w:val="en-GB"/>
        </w:rPr>
        <w:t>(1–2), 280–300.</w:t>
      </w:r>
    </w:p>
    <w:p w14:paraId="612A1FA9" w14:textId="77777777" w:rsidR="00257685" w:rsidRPr="00A90CCE" w:rsidRDefault="00257685" w:rsidP="00257685">
      <w:pPr>
        <w:pStyle w:val="Bibliography"/>
        <w:rPr>
          <w:lang w:val="en-GB"/>
        </w:rPr>
      </w:pPr>
      <w:r w:rsidRPr="00A90CCE">
        <w:rPr>
          <w:lang w:val="en-GB"/>
        </w:rPr>
        <w:t xml:space="preserve">Mast, J., Sapena, M., Debray, H., Inkoom, J. N., Lemoine-Rodríguez, R., Geiß, C., &amp; Taubenböck, H. (2025). The digital urban frontier: Disparities in social media activity between consolidated and newly urbanized areas in Africa. </w:t>
      </w:r>
      <w:r w:rsidRPr="00A90CCE">
        <w:rPr>
          <w:i/>
          <w:iCs/>
          <w:lang w:val="en-GB"/>
        </w:rPr>
        <w:t>Applied Geography</w:t>
      </w:r>
      <w:r w:rsidRPr="00A90CCE">
        <w:rPr>
          <w:lang w:val="en-GB"/>
        </w:rPr>
        <w:t xml:space="preserve">, </w:t>
      </w:r>
      <w:r w:rsidRPr="00A90CCE">
        <w:rPr>
          <w:i/>
          <w:iCs/>
          <w:lang w:val="en-GB"/>
        </w:rPr>
        <w:t>181</w:t>
      </w:r>
      <w:r w:rsidRPr="00A90CCE">
        <w:rPr>
          <w:lang w:val="en-GB"/>
        </w:rPr>
        <w:t>, 103687.</w:t>
      </w:r>
    </w:p>
    <w:p w14:paraId="280D91F4" w14:textId="77777777" w:rsidR="00257685" w:rsidRPr="00A90CCE" w:rsidRDefault="00257685" w:rsidP="00257685">
      <w:pPr>
        <w:pStyle w:val="Bibliography"/>
        <w:rPr>
          <w:lang w:val="en-GB"/>
        </w:rPr>
      </w:pPr>
      <w:r w:rsidRPr="00A90CCE">
        <w:rPr>
          <w:lang w:val="en-GB"/>
        </w:rPr>
        <w:t xml:space="preserve">McDonnell, J. (2020). Municipality size, political efficacy and political participation: A systematic review. </w:t>
      </w:r>
      <w:r w:rsidRPr="00A90CCE">
        <w:rPr>
          <w:i/>
          <w:iCs/>
          <w:lang w:val="en-GB"/>
        </w:rPr>
        <w:t>Local Government Studies</w:t>
      </w:r>
      <w:r w:rsidRPr="00A90CCE">
        <w:rPr>
          <w:lang w:val="en-GB"/>
        </w:rPr>
        <w:t xml:space="preserve">, </w:t>
      </w:r>
      <w:r w:rsidRPr="00A90CCE">
        <w:rPr>
          <w:i/>
          <w:iCs/>
          <w:lang w:val="en-GB"/>
        </w:rPr>
        <w:t>46</w:t>
      </w:r>
      <w:r w:rsidRPr="00A90CCE">
        <w:rPr>
          <w:lang w:val="en-GB"/>
        </w:rPr>
        <w:t>(3), 331–350.</w:t>
      </w:r>
    </w:p>
    <w:p w14:paraId="2BA50546" w14:textId="77777777" w:rsidR="00257685" w:rsidRPr="00A90CCE" w:rsidRDefault="00257685" w:rsidP="00257685">
      <w:pPr>
        <w:pStyle w:val="Bibliography"/>
        <w:rPr>
          <w:lang w:val="en-GB"/>
        </w:rPr>
      </w:pPr>
      <w:r w:rsidRPr="00A90CCE">
        <w:rPr>
          <w:lang w:val="en-GB"/>
        </w:rPr>
        <w:lastRenderedPageBreak/>
        <w:t xml:space="preserve">McElreath, R. (2018). </w:t>
      </w:r>
      <w:r w:rsidRPr="00A90CCE">
        <w:rPr>
          <w:i/>
          <w:iCs/>
          <w:lang w:val="en-GB"/>
        </w:rPr>
        <w:t>Statistical rethinking: A Bayesian course with examples in R and Stan</w:t>
      </w:r>
      <w:r w:rsidRPr="00A90CCE">
        <w:rPr>
          <w:lang w:val="en-GB"/>
        </w:rPr>
        <w:t>. Chapman and Hall/CRC.</w:t>
      </w:r>
    </w:p>
    <w:p w14:paraId="74C81AC7" w14:textId="77777777" w:rsidR="00257685" w:rsidRPr="00A90CCE" w:rsidRDefault="00257685" w:rsidP="00257685">
      <w:pPr>
        <w:pStyle w:val="Bibliography"/>
        <w:rPr>
          <w:lang w:val="en-GB"/>
        </w:rPr>
      </w:pPr>
      <w:r w:rsidRPr="00A90CCE">
        <w:rPr>
          <w:lang w:val="en-GB"/>
        </w:rPr>
        <w:t xml:space="preserve">McKenzie, D. (2017). How effective are active labor market policies in developing countries? A critical review of recent evidence. </w:t>
      </w:r>
      <w:r w:rsidRPr="00A90CCE">
        <w:rPr>
          <w:i/>
          <w:iCs/>
          <w:lang w:val="en-GB"/>
        </w:rPr>
        <w:t>The World Bank Research Observer</w:t>
      </w:r>
      <w:r w:rsidRPr="00A90CCE">
        <w:rPr>
          <w:lang w:val="en-GB"/>
        </w:rPr>
        <w:t xml:space="preserve">, </w:t>
      </w:r>
      <w:r w:rsidRPr="00A90CCE">
        <w:rPr>
          <w:i/>
          <w:iCs/>
          <w:lang w:val="en-GB"/>
        </w:rPr>
        <w:t>32</w:t>
      </w:r>
      <w:r w:rsidRPr="00A90CCE">
        <w:rPr>
          <w:lang w:val="en-GB"/>
        </w:rPr>
        <w:t>(2), 127–154.</w:t>
      </w:r>
    </w:p>
    <w:p w14:paraId="3BB84804" w14:textId="77777777" w:rsidR="00257685" w:rsidRPr="00A90CCE" w:rsidRDefault="00257685" w:rsidP="00257685">
      <w:pPr>
        <w:pStyle w:val="Bibliography"/>
        <w:rPr>
          <w:lang w:val="en-GB"/>
        </w:rPr>
      </w:pPr>
      <w:r w:rsidRPr="00A90CCE">
        <w:rPr>
          <w:lang w:val="en-GB"/>
        </w:rPr>
        <w:t xml:space="preserve">Melchiorri, M., Freire, S., Schiavina, M., Florczyk, A., Corbane, C., Maffenini, L., Pesaresi, M., Politis, P., Szabo, F., &amp; Ehrlich, D. (2024). The Multi-temporal and Multi-dimensional Global Urban Centre Database to Delineate and Analyse World Cities. </w:t>
      </w:r>
      <w:r w:rsidRPr="00A90CCE">
        <w:rPr>
          <w:i/>
          <w:iCs/>
          <w:lang w:val="en-GB"/>
        </w:rPr>
        <w:t>Scientific Data</w:t>
      </w:r>
      <w:r w:rsidRPr="00A90CCE">
        <w:rPr>
          <w:lang w:val="en-GB"/>
        </w:rPr>
        <w:t xml:space="preserve">, </w:t>
      </w:r>
      <w:r w:rsidRPr="00A90CCE">
        <w:rPr>
          <w:i/>
          <w:iCs/>
          <w:lang w:val="en-GB"/>
        </w:rPr>
        <w:t>11</w:t>
      </w:r>
      <w:r w:rsidRPr="00A90CCE">
        <w:rPr>
          <w:lang w:val="en-GB"/>
        </w:rPr>
        <w:t>(1), 82.</w:t>
      </w:r>
    </w:p>
    <w:p w14:paraId="27AFA7E2" w14:textId="77777777" w:rsidR="00257685" w:rsidRPr="00A90CCE" w:rsidRDefault="00257685" w:rsidP="00257685">
      <w:pPr>
        <w:pStyle w:val="Bibliography"/>
        <w:rPr>
          <w:lang w:val="en-GB"/>
        </w:rPr>
      </w:pPr>
      <w:r w:rsidRPr="00A90CCE">
        <w:rPr>
          <w:lang w:val="en-GB"/>
        </w:rPr>
        <w:t xml:space="preserve">Menashe-Oren, A. (2020). Migrant-based youth bulges and social conflict in urban sub-Saharan Africa. </w:t>
      </w:r>
      <w:r w:rsidRPr="00A90CCE">
        <w:rPr>
          <w:i/>
          <w:iCs/>
          <w:lang w:val="en-GB"/>
        </w:rPr>
        <w:t>Demographic Research</w:t>
      </w:r>
      <w:r w:rsidRPr="00A90CCE">
        <w:rPr>
          <w:lang w:val="en-GB"/>
        </w:rPr>
        <w:t xml:space="preserve">, </w:t>
      </w:r>
      <w:r w:rsidRPr="00A90CCE">
        <w:rPr>
          <w:i/>
          <w:iCs/>
          <w:lang w:val="en-GB"/>
        </w:rPr>
        <w:t>42</w:t>
      </w:r>
      <w:r w:rsidRPr="00A90CCE">
        <w:rPr>
          <w:lang w:val="en-GB"/>
        </w:rPr>
        <w:t>, 57–98.</w:t>
      </w:r>
    </w:p>
    <w:p w14:paraId="18C84832" w14:textId="77777777" w:rsidR="00257685" w:rsidRPr="00A90CCE" w:rsidRDefault="00257685" w:rsidP="00257685">
      <w:pPr>
        <w:pStyle w:val="Bibliography"/>
        <w:rPr>
          <w:lang w:val="en-GB"/>
        </w:rPr>
      </w:pPr>
      <w:r w:rsidRPr="00A90CCE">
        <w:rPr>
          <w:lang w:val="en-GB"/>
        </w:rPr>
        <w:t xml:space="preserve">Menashe‐Oren, A., &amp; Bocquier, P. (2021). Urbanization is no longer driven by migration in low‐and middle‐income countries (1985–2015). </w:t>
      </w:r>
      <w:r w:rsidRPr="00A90CCE">
        <w:rPr>
          <w:i/>
          <w:iCs/>
          <w:lang w:val="en-GB"/>
        </w:rPr>
        <w:t>Population and Development Review</w:t>
      </w:r>
      <w:r w:rsidRPr="00A90CCE">
        <w:rPr>
          <w:lang w:val="en-GB"/>
        </w:rPr>
        <w:t xml:space="preserve">, </w:t>
      </w:r>
      <w:r w:rsidRPr="00A90CCE">
        <w:rPr>
          <w:i/>
          <w:iCs/>
          <w:lang w:val="en-GB"/>
        </w:rPr>
        <w:t>47</w:t>
      </w:r>
      <w:r w:rsidRPr="00A90CCE">
        <w:rPr>
          <w:lang w:val="en-GB"/>
        </w:rPr>
        <w:t>(3), 639–663.</w:t>
      </w:r>
    </w:p>
    <w:p w14:paraId="56865764" w14:textId="77777777" w:rsidR="00257685" w:rsidRPr="00A90CCE" w:rsidRDefault="00257685" w:rsidP="00257685">
      <w:pPr>
        <w:pStyle w:val="Bibliography"/>
        <w:rPr>
          <w:lang w:val="en-GB"/>
        </w:rPr>
      </w:pPr>
      <w:r w:rsidRPr="00A90CCE">
        <w:rPr>
          <w:lang w:val="en-GB"/>
        </w:rPr>
        <w:t xml:space="preserve">Mueller, L. (2018). </w:t>
      </w:r>
      <w:r w:rsidRPr="00A90CCE">
        <w:rPr>
          <w:i/>
          <w:iCs/>
          <w:lang w:val="en-GB"/>
        </w:rPr>
        <w:t>Political protest in contemporary Africa</w:t>
      </w:r>
      <w:r w:rsidRPr="00A90CCE">
        <w:rPr>
          <w:lang w:val="en-GB"/>
        </w:rPr>
        <w:t>. Cambridge University Press.</w:t>
      </w:r>
    </w:p>
    <w:p w14:paraId="7AD37E20" w14:textId="77777777" w:rsidR="00257685" w:rsidRPr="00A90CCE" w:rsidRDefault="00257685" w:rsidP="00257685">
      <w:pPr>
        <w:pStyle w:val="Bibliography"/>
        <w:rPr>
          <w:lang w:val="en-GB"/>
        </w:rPr>
      </w:pPr>
      <w:r w:rsidRPr="00A90CCE">
        <w:rPr>
          <w:lang w:val="en-GB"/>
        </w:rPr>
        <w:t xml:space="preserve">Mutsvairo, B. (2016). Digital activism in the social media era. </w:t>
      </w:r>
      <w:r w:rsidRPr="00A90CCE">
        <w:rPr>
          <w:i/>
          <w:iCs/>
          <w:lang w:val="en-GB"/>
        </w:rPr>
        <w:t>Switzerland: Springer Nature</w:t>
      </w:r>
      <w:r w:rsidRPr="00A90CCE">
        <w:rPr>
          <w:lang w:val="en-GB"/>
        </w:rPr>
        <w:t>.</w:t>
      </w:r>
    </w:p>
    <w:p w14:paraId="1E9A99EC" w14:textId="77777777" w:rsidR="00257685" w:rsidRPr="00A90CCE" w:rsidRDefault="00257685" w:rsidP="00257685">
      <w:pPr>
        <w:pStyle w:val="Bibliography"/>
        <w:rPr>
          <w:lang w:val="en-GB"/>
        </w:rPr>
      </w:pPr>
      <w:r w:rsidRPr="00A90CCE">
        <w:rPr>
          <w:lang w:val="en-GB"/>
        </w:rPr>
        <w:t xml:space="preserve">Nathan, N. L. (2019). </w:t>
      </w:r>
      <w:r w:rsidRPr="00A90CCE">
        <w:rPr>
          <w:i/>
          <w:iCs/>
          <w:lang w:val="en-GB"/>
        </w:rPr>
        <w:t>Electoral politics and Africa’s Urban transition: Class and ethnicity in Ghana</w:t>
      </w:r>
      <w:r w:rsidRPr="00A90CCE">
        <w:rPr>
          <w:lang w:val="en-GB"/>
        </w:rPr>
        <w:t>. Cambridge University Press.</w:t>
      </w:r>
    </w:p>
    <w:p w14:paraId="2C0FB5CC" w14:textId="77777777" w:rsidR="00257685" w:rsidRPr="00A90CCE" w:rsidRDefault="00257685" w:rsidP="00257685">
      <w:pPr>
        <w:pStyle w:val="Bibliography"/>
        <w:rPr>
          <w:lang w:val="en-GB"/>
        </w:rPr>
      </w:pPr>
      <w:r w:rsidRPr="00A90CCE">
        <w:rPr>
          <w:lang w:val="en-GB"/>
        </w:rPr>
        <w:t xml:space="preserve">Nathan, N. L., &amp; Sands, M. L. (2023). Context and contact: Unifying the study of environmental effects on politics. </w:t>
      </w:r>
      <w:r w:rsidRPr="00A90CCE">
        <w:rPr>
          <w:i/>
          <w:iCs/>
          <w:lang w:val="en-GB"/>
        </w:rPr>
        <w:t>Annual Review of Political Science</w:t>
      </w:r>
      <w:r w:rsidRPr="00A90CCE">
        <w:rPr>
          <w:lang w:val="en-GB"/>
        </w:rPr>
        <w:t xml:space="preserve">, </w:t>
      </w:r>
      <w:r w:rsidRPr="00A90CCE">
        <w:rPr>
          <w:i/>
          <w:iCs/>
          <w:lang w:val="en-GB"/>
        </w:rPr>
        <w:t>26</w:t>
      </w:r>
      <w:r w:rsidRPr="00A90CCE">
        <w:rPr>
          <w:lang w:val="en-GB"/>
        </w:rPr>
        <w:t>.</w:t>
      </w:r>
    </w:p>
    <w:p w14:paraId="71BE1C63" w14:textId="77777777" w:rsidR="00257685" w:rsidRPr="00A90CCE" w:rsidRDefault="00257685" w:rsidP="00257685">
      <w:pPr>
        <w:pStyle w:val="Bibliography"/>
        <w:rPr>
          <w:lang w:val="en-GB"/>
        </w:rPr>
      </w:pPr>
      <w:r w:rsidRPr="00A90CCE">
        <w:rPr>
          <w:lang w:val="en-GB"/>
        </w:rPr>
        <w:t xml:space="preserve">Nie, N. H., Verba, S., &amp; Kim, J. (1974). Political participation and the life cycle. </w:t>
      </w:r>
      <w:r w:rsidRPr="00A90CCE">
        <w:rPr>
          <w:i/>
          <w:iCs/>
          <w:lang w:val="en-GB"/>
        </w:rPr>
        <w:t>Comparative Politics</w:t>
      </w:r>
      <w:r w:rsidRPr="00A90CCE">
        <w:rPr>
          <w:lang w:val="en-GB"/>
        </w:rPr>
        <w:t xml:space="preserve">, </w:t>
      </w:r>
      <w:r w:rsidRPr="00A90CCE">
        <w:rPr>
          <w:i/>
          <w:iCs/>
          <w:lang w:val="en-GB"/>
        </w:rPr>
        <w:t>6</w:t>
      </w:r>
      <w:r w:rsidRPr="00A90CCE">
        <w:rPr>
          <w:lang w:val="en-GB"/>
        </w:rPr>
        <w:t>(3), 319–340.</w:t>
      </w:r>
    </w:p>
    <w:p w14:paraId="2553F488" w14:textId="77777777" w:rsidR="00257685" w:rsidRPr="00A90CCE" w:rsidRDefault="00257685" w:rsidP="00257685">
      <w:pPr>
        <w:pStyle w:val="Bibliography"/>
        <w:rPr>
          <w:lang w:val="en-GB"/>
        </w:rPr>
      </w:pPr>
      <w:r w:rsidRPr="00A90CCE">
        <w:rPr>
          <w:lang w:val="en-GB"/>
        </w:rPr>
        <w:t xml:space="preserve">Nkansah, G. B. (2022). Youth cohort size, structural socioeconomic conditions, and youth protest behavior in democratic societies (1995–2014). </w:t>
      </w:r>
      <w:r w:rsidRPr="00A90CCE">
        <w:rPr>
          <w:i/>
          <w:iCs/>
          <w:lang w:val="en-GB"/>
        </w:rPr>
        <w:t>SAGE Open</w:t>
      </w:r>
      <w:r w:rsidRPr="00A90CCE">
        <w:rPr>
          <w:lang w:val="en-GB"/>
        </w:rPr>
        <w:t xml:space="preserve">, </w:t>
      </w:r>
      <w:r w:rsidRPr="00A90CCE">
        <w:rPr>
          <w:i/>
          <w:iCs/>
          <w:lang w:val="en-GB"/>
        </w:rPr>
        <w:t>12</w:t>
      </w:r>
      <w:r w:rsidRPr="00A90CCE">
        <w:rPr>
          <w:lang w:val="en-GB"/>
        </w:rPr>
        <w:t>(2), 21582440221096146.</w:t>
      </w:r>
    </w:p>
    <w:p w14:paraId="20D8D4E8" w14:textId="77777777" w:rsidR="00257685" w:rsidRPr="00A90CCE" w:rsidRDefault="00257685" w:rsidP="00257685">
      <w:pPr>
        <w:pStyle w:val="Bibliography"/>
        <w:rPr>
          <w:lang w:val="en-GB"/>
        </w:rPr>
      </w:pPr>
      <w:r w:rsidRPr="00A90CCE">
        <w:rPr>
          <w:lang w:val="en-GB"/>
        </w:rPr>
        <w:lastRenderedPageBreak/>
        <w:t xml:space="preserve">Nkansah, G. B. (2025). </w:t>
      </w:r>
      <w:r w:rsidRPr="00A90CCE">
        <w:rPr>
          <w:i/>
          <w:iCs/>
          <w:lang w:val="en-GB"/>
        </w:rPr>
        <w:t>The “Demo-conomics” in  African Youth Politics: Youth Bulge and Unemployment Meet Political  Attitude and Participation</w:t>
      </w:r>
      <w:r w:rsidRPr="00A90CCE">
        <w:rPr>
          <w:lang w:val="en-GB"/>
        </w:rPr>
        <w:t>. Megatrends Afrika Working Paper 15, Bonn, Germany.</w:t>
      </w:r>
    </w:p>
    <w:p w14:paraId="396C9768" w14:textId="77777777" w:rsidR="00257685" w:rsidRPr="00A90CCE" w:rsidRDefault="00257685" w:rsidP="00257685">
      <w:pPr>
        <w:pStyle w:val="Bibliography"/>
        <w:rPr>
          <w:lang w:val="en-GB"/>
        </w:rPr>
      </w:pPr>
      <w:r w:rsidRPr="00A90CCE">
        <w:rPr>
          <w:lang w:val="en-GB"/>
        </w:rPr>
        <w:t xml:space="preserve">Nkansah, G. B., &amp; Bartha, A. (2023). Anti-democratic youth? The influence of youth cohort size and quality of democracy on young people’s support for democracy. </w:t>
      </w:r>
      <w:r w:rsidRPr="00A90CCE">
        <w:rPr>
          <w:i/>
          <w:iCs/>
          <w:lang w:val="en-GB"/>
        </w:rPr>
        <w:t>Contemporary Politics</w:t>
      </w:r>
      <w:r w:rsidRPr="00A90CCE">
        <w:rPr>
          <w:lang w:val="en-GB"/>
        </w:rPr>
        <w:t xml:space="preserve">, </w:t>
      </w:r>
      <w:r w:rsidRPr="00A90CCE">
        <w:rPr>
          <w:i/>
          <w:iCs/>
          <w:lang w:val="en-GB"/>
        </w:rPr>
        <w:t>29</w:t>
      </w:r>
      <w:r w:rsidRPr="00A90CCE">
        <w:rPr>
          <w:lang w:val="en-GB"/>
        </w:rPr>
        <w:t>(5), 553–575.</w:t>
      </w:r>
    </w:p>
    <w:p w14:paraId="15F9436E" w14:textId="77777777" w:rsidR="00257685" w:rsidRPr="00A90CCE" w:rsidRDefault="00257685" w:rsidP="00257685">
      <w:pPr>
        <w:pStyle w:val="Bibliography"/>
        <w:rPr>
          <w:lang w:val="en-GB"/>
        </w:rPr>
      </w:pPr>
      <w:r w:rsidRPr="00A90CCE">
        <w:rPr>
          <w:lang w:val="en-GB"/>
        </w:rPr>
        <w:t xml:space="preserve">Nkansah, G. B., &amp; Papp, Z. (2023). Does cohort size matter? Assessing the effect of youth cohort size and peer influence on young people’s electoral participation. </w:t>
      </w:r>
      <w:r w:rsidRPr="00A90CCE">
        <w:rPr>
          <w:i/>
          <w:iCs/>
          <w:lang w:val="en-GB"/>
        </w:rPr>
        <w:t>Journal of Youth Studies</w:t>
      </w:r>
      <w:r w:rsidRPr="00A90CCE">
        <w:rPr>
          <w:lang w:val="en-GB"/>
        </w:rPr>
        <w:t xml:space="preserve">, </w:t>
      </w:r>
      <w:r w:rsidRPr="00A90CCE">
        <w:rPr>
          <w:i/>
          <w:iCs/>
          <w:lang w:val="en-GB"/>
        </w:rPr>
        <w:t>26</w:t>
      </w:r>
      <w:r w:rsidRPr="00A90CCE">
        <w:rPr>
          <w:lang w:val="en-GB"/>
        </w:rPr>
        <w:t>(7), 859–877.</w:t>
      </w:r>
    </w:p>
    <w:p w14:paraId="169C93DA" w14:textId="77777777" w:rsidR="00257685" w:rsidRPr="00A90CCE" w:rsidRDefault="00257685" w:rsidP="00257685">
      <w:pPr>
        <w:pStyle w:val="Bibliography"/>
        <w:rPr>
          <w:lang w:val="en-GB"/>
        </w:rPr>
      </w:pPr>
      <w:r w:rsidRPr="00A90CCE">
        <w:rPr>
          <w:lang w:val="en-GB"/>
        </w:rPr>
        <w:t xml:space="preserve">Norris, P. (2002). </w:t>
      </w:r>
      <w:r w:rsidRPr="00A90CCE">
        <w:rPr>
          <w:i/>
          <w:iCs/>
          <w:lang w:val="en-GB"/>
        </w:rPr>
        <w:t>Democratic phoenix: Reinventing political activism</w:t>
      </w:r>
      <w:r w:rsidRPr="00A90CCE">
        <w:rPr>
          <w:lang w:val="en-GB"/>
        </w:rPr>
        <w:t>. Cambridge University Press.</w:t>
      </w:r>
    </w:p>
    <w:p w14:paraId="0FE0D137" w14:textId="77777777" w:rsidR="00257685" w:rsidRPr="00A90CCE" w:rsidRDefault="00257685" w:rsidP="00257685">
      <w:pPr>
        <w:pStyle w:val="Bibliography"/>
        <w:rPr>
          <w:lang w:val="en-GB"/>
        </w:rPr>
      </w:pPr>
      <w:r w:rsidRPr="00A90CCE">
        <w:rPr>
          <w:lang w:val="en-GB"/>
        </w:rPr>
        <w:t xml:space="preserve">Pezzulo, C., Hornby, G. M., Sorichetta, A., Gaughan, A. E., Linard, C., Bird, T. J., Kerr, D., Lloyd, C. T., &amp; Tatem, A. J. (2017). Sub-national mapping of population pyramids and dependency ratios in Africa and Asia. </w:t>
      </w:r>
      <w:r w:rsidRPr="00A90CCE">
        <w:rPr>
          <w:i/>
          <w:iCs/>
          <w:lang w:val="en-GB"/>
        </w:rPr>
        <w:t>Scientific Data</w:t>
      </w:r>
      <w:r w:rsidRPr="00A90CCE">
        <w:rPr>
          <w:lang w:val="en-GB"/>
        </w:rPr>
        <w:t xml:space="preserve">, </w:t>
      </w:r>
      <w:r w:rsidRPr="00A90CCE">
        <w:rPr>
          <w:i/>
          <w:iCs/>
          <w:lang w:val="en-GB"/>
        </w:rPr>
        <w:t>4</w:t>
      </w:r>
      <w:r w:rsidRPr="00A90CCE">
        <w:rPr>
          <w:lang w:val="en-GB"/>
        </w:rPr>
        <w:t>(1), 1–15.</w:t>
      </w:r>
    </w:p>
    <w:p w14:paraId="3EC6D53E" w14:textId="77777777" w:rsidR="00257685" w:rsidRPr="00A90CCE" w:rsidRDefault="00257685" w:rsidP="00257685">
      <w:pPr>
        <w:pStyle w:val="Bibliography"/>
        <w:rPr>
          <w:lang w:val="en-GB"/>
        </w:rPr>
      </w:pPr>
      <w:r w:rsidRPr="00A90CCE">
        <w:rPr>
          <w:lang w:val="en-GB"/>
        </w:rPr>
        <w:t xml:space="preserve">Randolph, G. F., &amp; Storper, M. (2023). Is urbanisation in the Global South fundamentally different? Comparative global urban analysis for the 21st century. </w:t>
      </w:r>
      <w:r w:rsidRPr="00A90CCE">
        <w:rPr>
          <w:i/>
          <w:iCs/>
          <w:lang w:val="en-GB"/>
        </w:rPr>
        <w:t>Urban Studies</w:t>
      </w:r>
      <w:r w:rsidRPr="00A90CCE">
        <w:rPr>
          <w:lang w:val="en-GB"/>
        </w:rPr>
        <w:t xml:space="preserve">, </w:t>
      </w:r>
      <w:r w:rsidRPr="00A90CCE">
        <w:rPr>
          <w:i/>
          <w:iCs/>
          <w:lang w:val="en-GB"/>
        </w:rPr>
        <w:t>60</w:t>
      </w:r>
      <w:r w:rsidRPr="00A90CCE">
        <w:rPr>
          <w:lang w:val="en-GB"/>
        </w:rPr>
        <w:t>(1), 3–25.</w:t>
      </w:r>
    </w:p>
    <w:p w14:paraId="6CEF7015" w14:textId="77777777" w:rsidR="00257685" w:rsidRPr="00A90CCE" w:rsidRDefault="00257685" w:rsidP="00257685">
      <w:pPr>
        <w:pStyle w:val="Bibliography"/>
        <w:rPr>
          <w:lang w:val="en-GB"/>
        </w:rPr>
      </w:pPr>
      <w:r w:rsidRPr="003E4C57">
        <w:rPr>
          <w:lang w:val="nb-NO"/>
        </w:rPr>
        <w:t xml:space="preserve">Reichenberg, O., &amp; Tambe, E. B. (2022). </w:t>
      </w:r>
      <w:r w:rsidRPr="00A90CCE">
        <w:rPr>
          <w:lang w:val="en-GB"/>
        </w:rPr>
        <w:t xml:space="preserve">The political sociology of voting participation in Southern Africa: A multilevel study of regional and social class predictors in 11 countries. </w:t>
      </w:r>
      <w:r w:rsidRPr="00A90CCE">
        <w:rPr>
          <w:i/>
          <w:iCs/>
          <w:lang w:val="en-GB"/>
        </w:rPr>
        <w:t>International Journal of Sociology</w:t>
      </w:r>
      <w:r w:rsidRPr="00A90CCE">
        <w:rPr>
          <w:lang w:val="en-GB"/>
        </w:rPr>
        <w:t xml:space="preserve">, </w:t>
      </w:r>
      <w:r w:rsidRPr="00A90CCE">
        <w:rPr>
          <w:i/>
          <w:iCs/>
          <w:lang w:val="en-GB"/>
        </w:rPr>
        <w:t>52</w:t>
      </w:r>
      <w:r w:rsidRPr="00A90CCE">
        <w:rPr>
          <w:lang w:val="en-GB"/>
        </w:rPr>
        <w:t>(2), 156–177.</w:t>
      </w:r>
    </w:p>
    <w:p w14:paraId="38ABB730" w14:textId="77777777" w:rsidR="00257685" w:rsidRPr="00A90CCE" w:rsidRDefault="00257685" w:rsidP="00257685">
      <w:pPr>
        <w:pStyle w:val="Bibliography"/>
        <w:rPr>
          <w:lang w:val="en-GB"/>
        </w:rPr>
      </w:pPr>
      <w:r w:rsidRPr="00A90CCE">
        <w:rPr>
          <w:lang w:val="en-GB"/>
        </w:rPr>
        <w:t xml:space="preserve">Resnick, D. (2013). </w:t>
      </w:r>
      <w:r w:rsidRPr="00A90CCE">
        <w:rPr>
          <w:i/>
          <w:iCs/>
          <w:lang w:val="en-GB"/>
        </w:rPr>
        <w:t>Urban Poverty and Party Populism in African Democracies: Drivers of Voting Behavior among Africa’s Urban Poor</w:t>
      </w:r>
      <w:r w:rsidRPr="00A90CCE">
        <w:rPr>
          <w:lang w:val="en-GB"/>
        </w:rPr>
        <w:t>. https://doi.org/10.1017/cbo9781139568265.002</w:t>
      </w:r>
    </w:p>
    <w:p w14:paraId="2E9F7319" w14:textId="77777777" w:rsidR="00257685" w:rsidRPr="00A90CCE" w:rsidRDefault="00257685" w:rsidP="00257685">
      <w:pPr>
        <w:pStyle w:val="Bibliography"/>
        <w:rPr>
          <w:lang w:val="en-GB"/>
        </w:rPr>
      </w:pPr>
      <w:r w:rsidRPr="00A90CCE">
        <w:rPr>
          <w:lang w:val="en-GB"/>
        </w:rPr>
        <w:t xml:space="preserve">Resnick, D. (2015). Varieties of African populism in comparative perspective. </w:t>
      </w:r>
      <w:r w:rsidRPr="00A90CCE">
        <w:rPr>
          <w:i/>
          <w:iCs/>
          <w:lang w:val="en-GB"/>
        </w:rPr>
        <w:t>The Promise and Perils of Populism: Global Perspectives</w:t>
      </w:r>
      <w:r w:rsidRPr="00A90CCE">
        <w:rPr>
          <w:lang w:val="en-GB"/>
        </w:rPr>
        <w:t xml:space="preserve">, </w:t>
      </w:r>
      <w:r w:rsidRPr="00A90CCE">
        <w:rPr>
          <w:i/>
          <w:iCs/>
          <w:lang w:val="en-GB"/>
        </w:rPr>
        <w:t>317</w:t>
      </w:r>
      <w:r w:rsidRPr="00A90CCE">
        <w:rPr>
          <w:lang w:val="en-GB"/>
        </w:rPr>
        <w:t>, 348.</w:t>
      </w:r>
    </w:p>
    <w:p w14:paraId="360F4493" w14:textId="77777777" w:rsidR="00257685" w:rsidRPr="00A90CCE" w:rsidRDefault="00257685" w:rsidP="00257685">
      <w:pPr>
        <w:pStyle w:val="Bibliography"/>
        <w:rPr>
          <w:lang w:val="en-GB"/>
        </w:rPr>
      </w:pPr>
      <w:r w:rsidRPr="00A90CCE">
        <w:rPr>
          <w:lang w:val="en-GB"/>
        </w:rPr>
        <w:lastRenderedPageBreak/>
        <w:t xml:space="preserve">Resnick, D. (2017). </w:t>
      </w:r>
      <w:r w:rsidRPr="00A90CCE">
        <w:rPr>
          <w:i/>
          <w:iCs/>
          <w:lang w:val="en-GB"/>
        </w:rPr>
        <w:t>Populism in Africa</w:t>
      </w:r>
      <w:r w:rsidRPr="00A90CCE">
        <w:rPr>
          <w:lang w:val="en-GB"/>
        </w:rPr>
        <w:t>. https://doi.org/10.1093/oxfordhb/9780198803560.013.4</w:t>
      </w:r>
    </w:p>
    <w:p w14:paraId="02C6819D" w14:textId="77777777" w:rsidR="00257685" w:rsidRPr="00A90CCE" w:rsidRDefault="00257685" w:rsidP="00257685">
      <w:pPr>
        <w:pStyle w:val="Bibliography"/>
        <w:rPr>
          <w:lang w:val="en-GB"/>
        </w:rPr>
      </w:pPr>
      <w:r w:rsidRPr="00A90CCE">
        <w:rPr>
          <w:lang w:val="en-GB"/>
        </w:rPr>
        <w:t xml:space="preserve">Resnick, D., &amp; Casale, D. (2011). </w:t>
      </w:r>
      <w:r w:rsidRPr="00A90CCE">
        <w:rPr>
          <w:i/>
          <w:iCs/>
          <w:lang w:val="en-GB"/>
        </w:rPr>
        <w:t>The political participation of Africa’s youth: Turnout, partisanship, and protest</w:t>
      </w:r>
      <w:r w:rsidRPr="00A90CCE">
        <w:rPr>
          <w:lang w:val="en-GB"/>
        </w:rPr>
        <w:t>.</w:t>
      </w:r>
    </w:p>
    <w:p w14:paraId="14671F15" w14:textId="77777777" w:rsidR="00257685" w:rsidRPr="00A90CCE" w:rsidRDefault="00257685" w:rsidP="00257685">
      <w:pPr>
        <w:pStyle w:val="Bibliography"/>
        <w:rPr>
          <w:lang w:val="en-GB"/>
        </w:rPr>
      </w:pPr>
      <w:r w:rsidRPr="00A90CCE">
        <w:rPr>
          <w:lang w:val="en-GB"/>
        </w:rPr>
        <w:t xml:space="preserve">Resnick, D., &amp; Casale, D. (2014). Young populations in young democracies: Generational voting behaviour in sub-Saharan Africa. </w:t>
      </w:r>
      <w:r w:rsidRPr="00A90CCE">
        <w:rPr>
          <w:i/>
          <w:iCs/>
          <w:lang w:val="en-GB"/>
        </w:rPr>
        <w:t>Democratization</w:t>
      </w:r>
      <w:r w:rsidRPr="00A90CCE">
        <w:rPr>
          <w:lang w:val="en-GB"/>
        </w:rPr>
        <w:t xml:space="preserve">, </w:t>
      </w:r>
      <w:r w:rsidRPr="00A90CCE">
        <w:rPr>
          <w:i/>
          <w:iCs/>
          <w:lang w:val="en-GB"/>
        </w:rPr>
        <w:t>21</w:t>
      </w:r>
      <w:r w:rsidRPr="00A90CCE">
        <w:rPr>
          <w:lang w:val="en-GB"/>
        </w:rPr>
        <w:t>(6), 1172–1194. https://doi.org/10.1080/13510347.2013.793673</w:t>
      </w:r>
    </w:p>
    <w:p w14:paraId="53202134" w14:textId="77777777" w:rsidR="00257685" w:rsidRPr="00A90CCE" w:rsidRDefault="00257685" w:rsidP="00257685">
      <w:pPr>
        <w:pStyle w:val="Bibliography"/>
        <w:rPr>
          <w:lang w:val="en-GB"/>
        </w:rPr>
      </w:pPr>
      <w:r w:rsidRPr="00A90CCE">
        <w:rPr>
          <w:lang w:val="en-GB"/>
        </w:rPr>
        <w:t xml:space="preserve">Schmiedl, M., &amp; Lioy, A. (2024). Patterns of Protest in Contemporary Africa: An Empirical Investigation of Regional Trends Employing Multiple Imputation. </w:t>
      </w:r>
      <w:r w:rsidRPr="00A90CCE">
        <w:rPr>
          <w:i/>
          <w:iCs/>
          <w:lang w:val="en-GB"/>
        </w:rPr>
        <w:t>Political Studies Review</w:t>
      </w:r>
      <w:r w:rsidRPr="00A90CCE">
        <w:rPr>
          <w:lang w:val="en-GB"/>
        </w:rPr>
        <w:t>, 14789299241239913.</w:t>
      </w:r>
    </w:p>
    <w:p w14:paraId="12A697B1" w14:textId="77777777" w:rsidR="00257685" w:rsidRPr="00A90CCE" w:rsidRDefault="00257685" w:rsidP="00257685">
      <w:pPr>
        <w:pStyle w:val="Bibliography"/>
        <w:rPr>
          <w:lang w:val="en-GB"/>
        </w:rPr>
      </w:pPr>
      <w:r w:rsidRPr="00A90CCE">
        <w:rPr>
          <w:lang w:val="en-GB"/>
        </w:rPr>
        <w:t xml:space="preserve">Sladoje, M., Randolph, G., &amp; Khan, L. (2020). </w:t>
      </w:r>
      <w:r w:rsidRPr="00A90CCE">
        <w:rPr>
          <w:i/>
          <w:iCs/>
          <w:lang w:val="en-GB"/>
        </w:rPr>
        <w:t>Transforming Secondary Urban Areas for Job Creation A Study of Uganda</w:t>
      </w:r>
      <w:r w:rsidRPr="00A90CCE">
        <w:rPr>
          <w:lang w:val="en-GB"/>
        </w:rPr>
        <w:t>.</w:t>
      </w:r>
    </w:p>
    <w:p w14:paraId="1C1625F0" w14:textId="77777777" w:rsidR="00257685" w:rsidRPr="00A90CCE" w:rsidRDefault="00257685" w:rsidP="00257685">
      <w:pPr>
        <w:pStyle w:val="Bibliography"/>
        <w:rPr>
          <w:lang w:val="en-GB"/>
        </w:rPr>
      </w:pPr>
      <w:r w:rsidRPr="00A90CCE">
        <w:rPr>
          <w:lang w:val="en-GB"/>
        </w:rPr>
        <w:t xml:space="preserve">Steinberg, L. (2004). Risk taking in adolescence: What changes, and why? </w:t>
      </w:r>
      <w:r w:rsidRPr="00A90CCE">
        <w:rPr>
          <w:i/>
          <w:iCs/>
          <w:lang w:val="en-GB"/>
        </w:rPr>
        <w:t>Annals of the New York Academy of Sciences</w:t>
      </w:r>
      <w:r w:rsidRPr="00A90CCE">
        <w:rPr>
          <w:lang w:val="en-GB"/>
        </w:rPr>
        <w:t xml:space="preserve">, </w:t>
      </w:r>
      <w:r w:rsidRPr="00A90CCE">
        <w:rPr>
          <w:i/>
          <w:iCs/>
          <w:lang w:val="en-GB"/>
        </w:rPr>
        <w:t>1021</w:t>
      </w:r>
      <w:r w:rsidRPr="00A90CCE">
        <w:rPr>
          <w:lang w:val="en-GB"/>
        </w:rPr>
        <w:t>(1), 51–58.</w:t>
      </w:r>
    </w:p>
    <w:p w14:paraId="18BA2A5A" w14:textId="77777777" w:rsidR="00257685" w:rsidRPr="00A90CCE" w:rsidRDefault="00257685" w:rsidP="00257685">
      <w:pPr>
        <w:pStyle w:val="Bibliography"/>
        <w:rPr>
          <w:lang w:val="en-GB"/>
        </w:rPr>
      </w:pPr>
      <w:r w:rsidRPr="00A90CCE">
        <w:rPr>
          <w:lang w:val="en-GB"/>
        </w:rPr>
        <w:t xml:space="preserve">Stratham, T. A. (2024). </w:t>
      </w:r>
      <w:r w:rsidRPr="00A90CCE">
        <w:rPr>
          <w:i/>
          <w:iCs/>
          <w:lang w:val="en-GB"/>
        </w:rPr>
        <w:t>The Global Inconsistencies of Gridded Population Data at Different Spatial Scales</w:t>
      </w:r>
      <w:r w:rsidRPr="00A90CCE">
        <w:rPr>
          <w:lang w:val="en-GB"/>
        </w:rPr>
        <w:t xml:space="preserve"> [PhD Dissertation].</w:t>
      </w:r>
    </w:p>
    <w:p w14:paraId="38F78115" w14:textId="77777777" w:rsidR="00257685" w:rsidRPr="00A90CCE" w:rsidRDefault="00257685" w:rsidP="00257685">
      <w:pPr>
        <w:pStyle w:val="Bibliography"/>
        <w:rPr>
          <w:lang w:val="en-GB"/>
        </w:rPr>
      </w:pPr>
      <w:r w:rsidRPr="00A90CCE">
        <w:rPr>
          <w:lang w:val="en-GB"/>
        </w:rPr>
        <w:t xml:space="preserve">Tambe, E. B., &amp; Kopacheva, E. (2023). Age and Political Participation in Africa’s Electoral Regimes. </w:t>
      </w:r>
      <w:r w:rsidRPr="00A90CCE">
        <w:rPr>
          <w:i/>
          <w:iCs/>
          <w:lang w:val="en-GB"/>
        </w:rPr>
        <w:t>Representation</w:t>
      </w:r>
      <w:r w:rsidRPr="00A90CCE">
        <w:rPr>
          <w:lang w:val="en-GB"/>
        </w:rPr>
        <w:t>, 1–19. https://doi.org/10.1080/00344893.2023.2173281</w:t>
      </w:r>
    </w:p>
    <w:p w14:paraId="0A1FD9ED" w14:textId="77777777" w:rsidR="00257685" w:rsidRPr="00A90CCE" w:rsidRDefault="00257685" w:rsidP="00257685">
      <w:pPr>
        <w:pStyle w:val="Bibliography"/>
        <w:rPr>
          <w:lang w:val="en-GB"/>
        </w:rPr>
      </w:pPr>
      <w:r w:rsidRPr="00A90CCE">
        <w:rPr>
          <w:lang w:val="en-GB"/>
        </w:rPr>
        <w:t xml:space="preserve">Tatem, A. J., Garcia, A. J., Snow, R. W., Noor, A. M., Gaughan, A. E., Gilbert, M., &amp; Linard, C. (2013). Millennium development health metrics: Where do Africa’s children and women of childbearing age live? </w:t>
      </w:r>
      <w:r w:rsidRPr="00A90CCE">
        <w:rPr>
          <w:i/>
          <w:iCs/>
          <w:lang w:val="en-GB"/>
        </w:rPr>
        <w:t>Population Health Metrics</w:t>
      </w:r>
      <w:r w:rsidRPr="00A90CCE">
        <w:rPr>
          <w:lang w:val="en-GB"/>
        </w:rPr>
        <w:t xml:space="preserve">, </w:t>
      </w:r>
      <w:r w:rsidRPr="00A90CCE">
        <w:rPr>
          <w:i/>
          <w:iCs/>
          <w:lang w:val="en-GB"/>
        </w:rPr>
        <w:t>11</w:t>
      </w:r>
      <w:r w:rsidRPr="00A90CCE">
        <w:rPr>
          <w:lang w:val="en-GB"/>
        </w:rPr>
        <w:t>, 1–11.</w:t>
      </w:r>
    </w:p>
    <w:p w14:paraId="02F7FDAB" w14:textId="77777777" w:rsidR="00257685" w:rsidRPr="00A90CCE" w:rsidRDefault="00257685" w:rsidP="00257685">
      <w:pPr>
        <w:pStyle w:val="Bibliography"/>
        <w:rPr>
          <w:lang w:val="en-GB"/>
        </w:rPr>
      </w:pPr>
      <w:r w:rsidRPr="00A90CCE">
        <w:rPr>
          <w:lang w:val="en-GB"/>
        </w:rPr>
        <w:t xml:space="preserve">Thomson, H., Buhaug, H., Urdal, H., &amp; Rosvold, E. (2021). Group organization, elections and urban political mobilization in the developing world. </w:t>
      </w:r>
      <w:r w:rsidRPr="00A90CCE">
        <w:rPr>
          <w:i/>
          <w:iCs/>
          <w:lang w:val="en-GB"/>
        </w:rPr>
        <w:t>Democratization</w:t>
      </w:r>
      <w:r w:rsidRPr="00A90CCE">
        <w:rPr>
          <w:lang w:val="en-GB"/>
        </w:rPr>
        <w:t xml:space="preserve">, </w:t>
      </w:r>
      <w:r w:rsidRPr="00A90CCE">
        <w:rPr>
          <w:i/>
          <w:iCs/>
          <w:lang w:val="en-GB"/>
        </w:rPr>
        <w:t>28</w:t>
      </w:r>
      <w:r w:rsidRPr="00A90CCE">
        <w:rPr>
          <w:lang w:val="en-GB"/>
        </w:rPr>
        <w:t>(8), 1525–1544. https://doi.org/10.1080/13510347.2021.1944117</w:t>
      </w:r>
    </w:p>
    <w:p w14:paraId="7ECB2ECE" w14:textId="77777777" w:rsidR="00257685" w:rsidRPr="00A90CCE" w:rsidRDefault="00257685" w:rsidP="00257685">
      <w:pPr>
        <w:pStyle w:val="Bibliography"/>
        <w:rPr>
          <w:lang w:val="en-GB"/>
        </w:rPr>
      </w:pPr>
      <w:r w:rsidRPr="00A90CCE">
        <w:rPr>
          <w:lang w:val="en-GB"/>
        </w:rPr>
        <w:lastRenderedPageBreak/>
        <w:t xml:space="preserve">Urdal, H. (2006). A Clash of Generations? Youth Bulges and Political Violence. </w:t>
      </w:r>
      <w:r w:rsidRPr="00A90CCE">
        <w:rPr>
          <w:i/>
          <w:iCs/>
          <w:lang w:val="en-GB"/>
        </w:rPr>
        <w:t>International Studies Quarterly</w:t>
      </w:r>
      <w:r w:rsidRPr="00A90CCE">
        <w:rPr>
          <w:lang w:val="en-GB"/>
        </w:rPr>
        <w:t xml:space="preserve">, </w:t>
      </w:r>
      <w:r w:rsidRPr="00A90CCE">
        <w:rPr>
          <w:i/>
          <w:iCs/>
          <w:lang w:val="en-GB"/>
        </w:rPr>
        <w:t>50</w:t>
      </w:r>
      <w:r w:rsidRPr="00A90CCE">
        <w:rPr>
          <w:lang w:val="en-GB"/>
        </w:rPr>
        <w:t>(3), 607–629. JSTOR.</w:t>
      </w:r>
    </w:p>
    <w:p w14:paraId="53CFA30D" w14:textId="77777777" w:rsidR="00257685" w:rsidRPr="00A90CCE" w:rsidRDefault="00257685" w:rsidP="00257685">
      <w:pPr>
        <w:pStyle w:val="Bibliography"/>
        <w:rPr>
          <w:lang w:val="en-GB"/>
        </w:rPr>
      </w:pPr>
      <w:r w:rsidRPr="00A90CCE">
        <w:rPr>
          <w:lang w:val="en-GB"/>
        </w:rPr>
        <w:t xml:space="preserve">Urdal, H. (2008). Population, Resources, and Political Violence: A Subnational Study of India, 1956-2002. </w:t>
      </w:r>
      <w:r w:rsidRPr="00A90CCE">
        <w:rPr>
          <w:i/>
          <w:iCs/>
          <w:lang w:val="en-GB"/>
        </w:rPr>
        <w:t>The Journal of Conflict Resolution</w:t>
      </w:r>
      <w:r w:rsidRPr="00A90CCE">
        <w:rPr>
          <w:lang w:val="en-GB"/>
        </w:rPr>
        <w:t xml:space="preserve">, </w:t>
      </w:r>
      <w:r w:rsidRPr="00A90CCE">
        <w:rPr>
          <w:i/>
          <w:iCs/>
          <w:lang w:val="en-GB"/>
        </w:rPr>
        <w:t>52</w:t>
      </w:r>
      <w:r w:rsidRPr="00A90CCE">
        <w:rPr>
          <w:lang w:val="en-GB"/>
        </w:rPr>
        <w:t>(4), 590–617. JSTOR.</w:t>
      </w:r>
    </w:p>
    <w:p w14:paraId="5FAF1132" w14:textId="77777777" w:rsidR="00257685" w:rsidRPr="00A90CCE" w:rsidRDefault="00257685" w:rsidP="00257685">
      <w:pPr>
        <w:pStyle w:val="Bibliography"/>
        <w:rPr>
          <w:lang w:val="en-GB"/>
        </w:rPr>
      </w:pPr>
      <w:r w:rsidRPr="00A90CCE">
        <w:rPr>
          <w:lang w:val="en-GB"/>
        </w:rPr>
        <w:t xml:space="preserve">Urdal, H. (2012). Youth bulges and violence. </w:t>
      </w:r>
      <w:r w:rsidRPr="00A90CCE">
        <w:rPr>
          <w:i/>
          <w:iCs/>
          <w:lang w:val="en-GB"/>
        </w:rPr>
        <w:t>Political Demography: How Population Changes Are Reshaping International Security and National Politics</w:t>
      </w:r>
      <w:r w:rsidRPr="00A90CCE">
        <w:rPr>
          <w:lang w:val="en-GB"/>
        </w:rPr>
        <w:t>, 117–132.</w:t>
      </w:r>
    </w:p>
    <w:p w14:paraId="5A33A572" w14:textId="77777777" w:rsidR="00257685" w:rsidRPr="00A90CCE" w:rsidRDefault="00257685" w:rsidP="00257685">
      <w:pPr>
        <w:pStyle w:val="Bibliography"/>
        <w:rPr>
          <w:lang w:val="en-GB"/>
        </w:rPr>
      </w:pPr>
      <w:r w:rsidRPr="00A90CCE">
        <w:rPr>
          <w:lang w:val="en-GB"/>
        </w:rPr>
        <w:t xml:space="preserve">Urdal, H., &amp; Hoelscher, K. (2009). Urban youth bulges and social disorder: An empirical study of Asian and sub-Saharan African cities. </w:t>
      </w:r>
      <w:r w:rsidRPr="00A90CCE">
        <w:rPr>
          <w:i/>
          <w:iCs/>
          <w:lang w:val="en-GB"/>
        </w:rPr>
        <w:t>World Bank Policy Research Working Paper</w:t>
      </w:r>
      <w:r w:rsidRPr="00A90CCE">
        <w:rPr>
          <w:lang w:val="en-GB"/>
        </w:rPr>
        <w:t xml:space="preserve">, </w:t>
      </w:r>
      <w:r w:rsidRPr="00A90CCE">
        <w:rPr>
          <w:i/>
          <w:iCs/>
          <w:lang w:val="en-GB"/>
        </w:rPr>
        <w:t>5110</w:t>
      </w:r>
      <w:r w:rsidRPr="00A90CCE">
        <w:rPr>
          <w:lang w:val="en-GB"/>
        </w:rPr>
        <w:t>.</w:t>
      </w:r>
    </w:p>
    <w:p w14:paraId="0A5EF10A" w14:textId="77777777" w:rsidR="00257685" w:rsidRPr="00A90CCE" w:rsidRDefault="00257685" w:rsidP="00257685">
      <w:pPr>
        <w:pStyle w:val="Bibliography"/>
        <w:rPr>
          <w:lang w:val="en-GB"/>
        </w:rPr>
      </w:pPr>
      <w:r w:rsidRPr="00A90CCE">
        <w:rPr>
          <w:lang w:val="en-GB"/>
        </w:rPr>
        <w:t xml:space="preserve">Urdal, H., &amp; Hoelscher, K. (2012). Explaining Urban Social Disorder and Violence: An Empirical Study of Event Data from Asian and Sub-Saharan African Cities. </w:t>
      </w:r>
      <w:r w:rsidRPr="00A90CCE">
        <w:rPr>
          <w:i/>
          <w:iCs/>
          <w:lang w:val="en-GB"/>
        </w:rPr>
        <w:t>International Interactions</w:t>
      </w:r>
      <w:r w:rsidRPr="00A90CCE">
        <w:rPr>
          <w:lang w:val="en-GB"/>
        </w:rPr>
        <w:t xml:space="preserve">, </w:t>
      </w:r>
      <w:r w:rsidRPr="00A90CCE">
        <w:rPr>
          <w:i/>
          <w:iCs/>
          <w:lang w:val="en-GB"/>
        </w:rPr>
        <w:t>38</w:t>
      </w:r>
      <w:r w:rsidRPr="00A90CCE">
        <w:rPr>
          <w:lang w:val="en-GB"/>
        </w:rPr>
        <w:t>(4), 512–528. https://doi.org/10.1080/03050629.2012.697427</w:t>
      </w:r>
    </w:p>
    <w:p w14:paraId="7751D250" w14:textId="77777777" w:rsidR="00257685" w:rsidRPr="00A90CCE" w:rsidRDefault="00257685" w:rsidP="00257685">
      <w:pPr>
        <w:pStyle w:val="Bibliography"/>
        <w:rPr>
          <w:lang w:val="en-GB"/>
        </w:rPr>
      </w:pPr>
      <w:r w:rsidRPr="00A90CCE">
        <w:rPr>
          <w:lang w:val="en-GB"/>
        </w:rPr>
        <w:t xml:space="preserve">Wattenberg, M. P. (2003). Electoral turnout: The new generation gap. </w:t>
      </w:r>
      <w:r w:rsidRPr="00A90CCE">
        <w:rPr>
          <w:i/>
          <w:iCs/>
          <w:lang w:val="en-GB"/>
        </w:rPr>
        <w:t>British Elections &amp; Parties Review</w:t>
      </w:r>
      <w:r w:rsidRPr="00A90CCE">
        <w:rPr>
          <w:lang w:val="en-GB"/>
        </w:rPr>
        <w:t xml:space="preserve">, </w:t>
      </w:r>
      <w:r w:rsidRPr="00A90CCE">
        <w:rPr>
          <w:i/>
          <w:iCs/>
          <w:lang w:val="en-GB"/>
        </w:rPr>
        <w:t>13</w:t>
      </w:r>
      <w:r w:rsidRPr="00A90CCE">
        <w:rPr>
          <w:lang w:val="en-GB"/>
        </w:rPr>
        <w:t>(1), 159–173. https://doi.org/10.1080/13689880308413092</w:t>
      </w:r>
    </w:p>
    <w:p w14:paraId="18FE446C" w14:textId="77777777" w:rsidR="00257685" w:rsidRPr="00A90CCE" w:rsidRDefault="00257685" w:rsidP="00257685">
      <w:pPr>
        <w:pStyle w:val="Bibliography"/>
        <w:rPr>
          <w:lang w:val="en-GB"/>
        </w:rPr>
      </w:pPr>
      <w:r w:rsidRPr="00A90CCE">
        <w:rPr>
          <w:lang w:val="en-GB"/>
        </w:rPr>
        <w:t xml:space="preserve">Weber, H. (2013). Demography and democracy: The impact of youth cohort size on democratic stability in the world. </w:t>
      </w:r>
      <w:r w:rsidRPr="00A90CCE">
        <w:rPr>
          <w:i/>
          <w:iCs/>
          <w:lang w:val="en-GB"/>
        </w:rPr>
        <w:t>Democratization</w:t>
      </w:r>
      <w:r w:rsidRPr="00A90CCE">
        <w:rPr>
          <w:lang w:val="en-GB"/>
        </w:rPr>
        <w:t xml:space="preserve">, </w:t>
      </w:r>
      <w:r w:rsidRPr="00A90CCE">
        <w:rPr>
          <w:i/>
          <w:iCs/>
          <w:lang w:val="en-GB"/>
        </w:rPr>
        <w:t>20</w:t>
      </w:r>
      <w:r w:rsidRPr="00A90CCE">
        <w:rPr>
          <w:lang w:val="en-GB"/>
        </w:rPr>
        <w:t>(2), 335–357.</w:t>
      </w:r>
    </w:p>
    <w:p w14:paraId="6D93925D" w14:textId="77777777" w:rsidR="00257685" w:rsidRPr="00A90CCE" w:rsidRDefault="00257685" w:rsidP="00257685">
      <w:pPr>
        <w:pStyle w:val="Bibliography"/>
        <w:rPr>
          <w:lang w:val="en-GB"/>
        </w:rPr>
      </w:pPr>
      <w:r w:rsidRPr="00A90CCE">
        <w:rPr>
          <w:lang w:val="en-GB"/>
        </w:rPr>
        <w:t xml:space="preserve">Weber, H. (2019). Age structure and political violence: A re-assessment of the “youth bulge” hypothesis. </w:t>
      </w:r>
      <w:r w:rsidRPr="00A90CCE">
        <w:rPr>
          <w:i/>
          <w:iCs/>
          <w:lang w:val="en-GB"/>
        </w:rPr>
        <w:t>International Interactions</w:t>
      </w:r>
      <w:r w:rsidRPr="00A90CCE">
        <w:rPr>
          <w:lang w:val="en-GB"/>
        </w:rPr>
        <w:t xml:space="preserve">, </w:t>
      </w:r>
      <w:r w:rsidRPr="00A90CCE">
        <w:rPr>
          <w:i/>
          <w:iCs/>
          <w:lang w:val="en-GB"/>
        </w:rPr>
        <w:t>45</w:t>
      </w:r>
      <w:r w:rsidRPr="00A90CCE">
        <w:rPr>
          <w:lang w:val="en-GB"/>
        </w:rPr>
        <w:t>(1), 80–112.</w:t>
      </w:r>
    </w:p>
    <w:p w14:paraId="5162DD4A" w14:textId="77777777" w:rsidR="00257685" w:rsidRPr="00A90CCE" w:rsidRDefault="00257685" w:rsidP="00257685">
      <w:pPr>
        <w:pStyle w:val="Bibliography"/>
        <w:rPr>
          <w:lang w:val="en-GB"/>
        </w:rPr>
      </w:pPr>
      <w:r w:rsidRPr="00A90CCE">
        <w:rPr>
          <w:lang w:val="en-GB"/>
        </w:rPr>
        <w:t xml:space="preserve">Weidmann, N. B., &amp; Theunissen, G. (2021). Estimating local inequality from nighttime lights. </w:t>
      </w:r>
      <w:r w:rsidRPr="00A90CCE">
        <w:rPr>
          <w:i/>
          <w:iCs/>
          <w:lang w:val="en-GB"/>
        </w:rPr>
        <w:t>Remote Sensing</w:t>
      </w:r>
      <w:r w:rsidRPr="00A90CCE">
        <w:rPr>
          <w:lang w:val="en-GB"/>
        </w:rPr>
        <w:t xml:space="preserve">, </w:t>
      </w:r>
      <w:r w:rsidRPr="00A90CCE">
        <w:rPr>
          <w:i/>
          <w:iCs/>
          <w:lang w:val="en-GB"/>
        </w:rPr>
        <w:t>13</w:t>
      </w:r>
      <w:r w:rsidRPr="00A90CCE">
        <w:rPr>
          <w:lang w:val="en-GB"/>
        </w:rPr>
        <w:t>(22), 4624.</w:t>
      </w:r>
    </w:p>
    <w:p w14:paraId="58D0421D" w14:textId="77777777" w:rsidR="00257685" w:rsidRPr="00A90CCE" w:rsidRDefault="00257685" w:rsidP="00257685">
      <w:pPr>
        <w:pStyle w:val="Bibliography"/>
        <w:rPr>
          <w:lang w:val="en-GB"/>
        </w:rPr>
      </w:pPr>
      <w:r w:rsidRPr="00A90CCE">
        <w:rPr>
          <w:lang w:val="en-GB"/>
        </w:rPr>
        <w:t xml:space="preserve">Yin, X., Li, P., Feng, Z., Yang, Y., You, Z., &amp; Xiao, C. (2021). Which gridded population data product is better? Evidences from mainland Southeast Asia (MSEA). </w:t>
      </w:r>
      <w:r w:rsidRPr="00A90CCE">
        <w:rPr>
          <w:i/>
          <w:iCs/>
          <w:lang w:val="en-GB"/>
        </w:rPr>
        <w:t>ISPRS International Journal of Geo-Information</w:t>
      </w:r>
      <w:r w:rsidRPr="00A90CCE">
        <w:rPr>
          <w:lang w:val="en-GB"/>
        </w:rPr>
        <w:t xml:space="preserve">, </w:t>
      </w:r>
      <w:r w:rsidRPr="00A90CCE">
        <w:rPr>
          <w:i/>
          <w:iCs/>
          <w:lang w:val="en-GB"/>
        </w:rPr>
        <w:t>10</w:t>
      </w:r>
      <w:r w:rsidRPr="00A90CCE">
        <w:rPr>
          <w:lang w:val="en-GB"/>
        </w:rPr>
        <w:t>(10), 681.</w:t>
      </w:r>
    </w:p>
    <w:p w14:paraId="48853165" w14:textId="77777777" w:rsidR="00257685" w:rsidRPr="00A90CCE" w:rsidRDefault="00257685" w:rsidP="00257685">
      <w:pPr>
        <w:pStyle w:val="Bibliography"/>
        <w:rPr>
          <w:lang w:val="en-GB"/>
        </w:rPr>
      </w:pPr>
      <w:r w:rsidRPr="003E4C57">
        <w:rPr>
          <w:lang w:val="nb-NO"/>
        </w:rPr>
        <w:lastRenderedPageBreak/>
        <w:t xml:space="preserve">Zimmer, A., Guido, Z., Tuholske, C., Pakalniskis, A., Lopus, S., Caylor, K., &amp; Evans, T. (2020). </w:t>
      </w:r>
      <w:r w:rsidRPr="00A90CCE">
        <w:rPr>
          <w:lang w:val="en-GB"/>
        </w:rPr>
        <w:t xml:space="preserve">Dynamics of population growth in secondary cities across southern Africa. </w:t>
      </w:r>
      <w:r w:rsidRPr="00A90CCE">
        <w:rPr>
          <w:i/>
          <w:iCs/>
          <w:lang w:val="en-GB"/>
        </w:rPr>
        <w:t>Landscape Ecology</w:t>
      </w:r>
      <w:r w:rsidRPr="00A90CCE">
        <w:rPr>
          <w:lang w:val="en-GB"/>
        </w:rPr>
        <w:t xml:space="preserve">, </w:t>
      </w:r>
      <w:r w:rsidRPr="00A90CCE">
        <w:rPr>
          <w:i/>
          <w:iCs/>
          <w:lang w:val="en-GB"/>
        </w:rPr>
        <w:t>35</w:t>
      </w:r>
      <w:r w:rsidRPr="00A90CCE">
        <w:rPr>
          <w:lang w:val="en-GB"/>
        </w:rPr>
        <w:t>, 2501–2516.</w:t>
      </w:r>
    </w:p>
    <w:p w14:paraId="08E8377A" w14:textId="7034FAEC" w:rsidR="00F11CC4" w:rsidRDefault="00C26CCE" w:rsidP="000D057A">
      <w:pPr>
        <w:spacing w:after="120" w:line="480" w:lineRule="auto"/>
        <w:jc w:val="both"/>
        <w:rPr>
          <w:color w:val="000000" w:themeColor="text1"/>
          <w:lang w:eastAsia="en-GB"/>
        </w:rPr>
      </w:pPr>
      <w:r w:rsidRPr="00A90CCE">
        <w:rPr>
          <w:color w:val="000000" w:themeColor="text1"/>
          <w:lang w:eastAsia="en-GB"/>
        </w:rPr>
        <w:fldChar w:fldCharType="end"/>
      </w:r>
    </w:p>
    <w:p w14:paraId="1678D35B" w14:textId="77777777" w:rsidR="00FB0D92" w:rsidRDefault="00FB0D92" w:rsidP="000D057A">
      <w:pPr>
        <w:spacing w:after="120" w:line="480" w:lineRule="auto"/>
        <w:jc w:val="both"/>
        <w:rPr>
          <w:color w:val="000000" w:themeColor="text1"/>
          <w:lang w:eastAsia="en-GB"/>
        </w:rPr>
      </w:pPr>
    </w:p>
    <w:p w14:paraId="2420AB2A" w14:textId="77777777" w:rsidR="00FB0D92" w:rsidRDefault="00FB0D92" w:rsidP="000D057A">
      <w:pPr>
        <w:spacing w:after="120" w:line="480" w:lineRule="auto"/>
        <w:jc w:val="both"/>
        <w:rPr>
          <w:color w:val="000000" w:themeColor="text1"/>
          <w:lang w:eastAsia="en-GB"/>
        </w:rPr>
      </w:pPr>
    </w:p>
    <w:p w14:paraId="57689BC6" w14:textId="77777777" w:rsidR="00FB0D92" w:rsidRDefault="00FB0D92" w:rsidP="000D057A">
      <w:pPr>
        <w:spacing w:after="120" w:line="480" w:lineRule="auto"/>
        <w:jc w:val="both"/>
        <w:rPr>
          <w:color w:val="000000" w:themeColor="text1"/>
          <w:lang w:eastAsia="en-GB"/>
        </w:rPr>
      </w:pPr>
    </w:p>
    <w:p w14:paraId="4A8C53FF" w14:textId="77777777" w:rsidR="00FB0D92" w:rsidRDefault="00FB0D92" w:rsidP="000D057A">
      <w:pPr>
        <w:spacing w:after="120" w:line="480" w:lineRule="auto"/>
        <w:jc w:val="both"/>
        <w:rPr>
          <w:color w:val="000000" w:themeColor="text1"/>
          <w:lang w:eastAsia="en-GB"/>
        </w:rPr>
      </w:pPr>
    </w:p>
    <w:p w14:paraId="1F57D6CE" w14:textId="77777777" w:rsidR="00FB0D92" w:rsidRDefault="00FB0D92" w:rsidP="000D057A">
      <w:pPr>
        <w:spacing w:after="120" w:line="480" w:lineRule="auto"/>
        <w:jc w:val="both"/>
        <w:rPr>
          <w:color w:val="000000" w:themeColor="text1"/>
          <w:lang w:eastAsia="en-GB"/>
        </w:rPr>
      </w:pPr>
    </w:p>
    <w:p w14:paraId="13623E26" w14:textId="77777777" w:rsidR="00FB0D92" w:rsidRDefault="00FB0D92" w:rsidP="000D057A">
      <w:pPr>
        <w:spacing w:after="120" w:line="480" w:lineRule="auto"/>
        <w:jc w:val="both"/>
        <w:rPr>
          <w:color w:val="000000" w:themeColor="text1"/>
          <w:lang w:eastAsia="en-GB"/>
        </w:rPr>
      </w:pPr>
    </w:p>
    <w:p w14:paraId="2D344043" w14:textId="77777777" w:rsidR="00FB0D92" w:rsidRDefault="00FB0D92" w:rsidP="000D057A">
      <w:pPr>
        <w:spacing w:after="120" w:line="480" w:lineRule="auto"/>
        <w:jc w:val="both"/>
        <w:rPr>
          <w:color w:val="000000" w:themeColor="text1"/>
          <w:lang w:eastAsia="en-GB"/>
        </w:rPr>
      </w:pPr>
    </w:p>
    <w:p w14:paraId="26A2EB7E" w14:textId="77777777" w:rsidR="00FB0D92" w:rsidRDefault="00FB0D92" w:rsidP="000D057A">
      <w:pPr>
        <w:spacing w:after="120" w:line="480" w:lineRule="auto"/>
        <w:jc w:val="both"/>
        <w:rPr>
          <w:color w:val="000000" w:themeColor="text1"/>
          <w:lang w:eastAsia="en-GB"/>
        </w:rPr>
      </w:pPr>
    </w:p>
    <w:p w14:paraId="1AE5AC98" w14:textId="77777777" w:rsidR="00FB0D92" w:rsidRDefault="00FB0D92" w:rsidP="000D057A">
      <w:pPr>
        <w:spacing w:after="120" w:line="480" w:lineRule="auto"/>
        <w:jc w:val="both"/>
        <w:rPr>
          <w:color w:val="000000" w:themeColor="text1"/>
          <w:lang w:eastAsia="en-GB"/>
        </w:rPr>
      </w:pPr>
    </w:p>
    <w:p w14:paraId="3E3A538B" w14:textId="77777777" w:rsidR="00FB0D92" w:rsidRDefault="00FB0D92" w:rsidP="000D057A">
      <w:pPr>
        <w:spacing w:after="120" w:line="480" w:lineRule="auto"/>
        <w:jc w:val="both"/>
        <w:rPr>
          <w:color w:val="000000" w:themeColor="text1"/>
          <w:lang w:eastAsia="en-GB"/>
        </w:rPr>
      </w:pPr>
    </w:p>
    <w:p w14:paraId="4C6A6ADD" w14:textId="77777777" w:rsidR="00FB0D92" w:rsidRDefault="00FB0D92" w:rsidP="000D057A">
      <w:pPr>
        <w:spacing w:after="120" w:line="480" w:lineRule="auto"/>
        <w:jc w:val="both"/>
        <w:rPr>
          <w:color w:val="000000" w:themeColor="text1"/>
          <w:lang w:eastAsia="en-GB"/>
        </w:rPr>
      </w:pPr>
    </w:p>
    <w:p w14:paraId="75A2D56E" w14:textId="77777777" w:rsidR="00FB0D92" w:rsidRDefault="00FB0D92" w:rsidP="000D057A">
      <w:pPr>
        <w:spacing w:after="120" w:line="480" w:lineRule="auto"/>
        <w:jc w:val="both"/>
        <w:rPr>
          <w:color w:val="000000" w:themeColor="text1"/>
          <w:lang w:eastAsia="en-GB"/>
        </w:rPr>
      </w:pPr>
    </w:p>
    <w:p w14:paraId="517146DA" w14:textId="77777777" w:rsidR="00FB0D92" w:rsidRDefault="00FB0D92" w:rsidP="000D057A">
      <w:pPr>
        <w:spacing w:after="120" w:line="480" w:lineRule="auto"/>
        <w:jc w:val="both"/>
        <w:rPr>
          <w:color w:val="000000" w:themeColor="text1"/>
          <w:lang w:eastAsia="en-GB"/>
        </w:rPr>
      </w:pPr>
    </w:p>
    <w:p w14:paraId="0B914AD1" w14:textId="77777777" w:rsidR="00FB0D92" w:rsidRDefault="00FB0D92" w:rsidP="000D057A">
      <w:pPr>
        <w:spacing w:after="120" w:line="480" w:lineRule="auto"/>
        <w:jc w:val="both"/>
        <w:rPr>
          <w:color w:val="000000" w:themeColor="text1"/>
          <w:lang w:eastAsia="en-GB"/>
        </w:rPr>
      </w:pPr>
    </w:p>
    <w:p w14:paraId="0FF51573" w14:textId="77777777" w:rsidR="00FB0D92" w:rsidRDefault="00FB0D92" w:rsidP="000D057A">
      <w:pPr>
        <w:spacing w:after="120" w:line="480" w:lineRule="auto"/>
        <w:jc w:val="both"/>
        <w:rPr>
          <w:color w:val="000000" w:themeColor="text1"/>
          <w:lang w:eastAsia="en-GB"/>
        </w:rPr>
      </w:pPr>
    </w:p>
    <w:p w14:paraId="0CDCD711" w14:textId="77777777" w:rsidR="00FB0D92" w:rsidRDefault="00FB0D92" w:rsidP="000D057A">
      <w:pPr>
        <w:spacing w:after="120" w:line="480" w:lineRule="auto"/>
        <w:jc w:val="both"/>
        <w:rPr>
          <w:color w:val="000000" w:themeColor="text1"/>
          <w:lang w:eastAsia="en-GB"/>
        </w:rPr>
      </w:pPr>
    </w:p>
    <w:p w14:paraId="437F43EE" w14:textId="77777777" w:rsidR="00FB0D92" w:rsidRDefault="00FB0D92" w:rsidP="000D057A">
      <w:pPr>
        <w:spacing w:after="120" w:line="480" w:lineRule="auto"/>
        <w:jc w:val="both"/>
        <w:rPr>
          <w:color w:val="000000" w:themeColor="text1"/>
          <w:lang w:eastAsia="en-GB"/>
        </w:rPr>
      </w:pPr>
    </w:p>
    <w:p w14:paraId="33B45EA1" w14:textId="77777777" w:rsidR="00FB0D92" w:rsidRPr="00EF252C" w:rsidRDefault="00FB0D92" w:rsidP="00FB0D92">
      <w:pPr>
        <w:spacing w:before="100" w:beforeAutospacing="1" w:after="100" w:afterAutospacing="1" w:line="276" w:lineRule="auto"/>
        <w:outlineLvl w:val="1"/>
        <w:rPr>
          <w:b/>
          <w:bCs/>
        </w:rPr>
      </w:pPr>
      <w:r w:rsidRPr="00EF252C">
        <w:rPr>
          <w:b/>
          <w:bCs/>
        </w:rPr>
        <w:lastRenderedPageBreak/>
        <w:t xml:space="preserve">Appendix A: Defining urban areas </w:t>
      </w:r>
    </w:p>
    <w:p w14:paraId="299F24D3" w14:textId="77777777" w:rsidR="00FB0D92" w:rsidRPr="00EF252C" w:rsidRDefault="00FB0D92" w:rsidP="00FB0D92">
      <w:pPr>
        <w:spacing w:after="120" w:line="276" w:lineRule="auto"/>
        <w:jc w:val="both"/>
        <w:rPr>
          <w:color w:val="000000" w:themeColor="text1"/>
          <w:lang w:eastAsia="en-GB"/>
        </w:rPr>
      </w:pPr>
      <w:r w:rsidRPr="00EF252C">
        <w:rPr>
          <w:color w:val="000000" w:themeColor="text1"/>
          <w:lang w:eastAsia="en-GB"/>
        </w:rPr>
        <w:t xml:space="preserve">This paper aims to identify the associations between the political participation of urban residents and the distinct demographic context of the individual city in which they live, which we argue will have greater salience in shaping their behaviours than national level factors.  Providing valid empirical tests of our hypotheses, therefore, relies on being able to consistently situate individuals within their local urban demographic context. In principle, respondents in the Afrobarometer surveys are assigned a binary classification indicating whether they live in a rural or urban area, which could be combined with the settlement or administrative unit name strings to distinguish individuals in different urban locations. However, this may also be problematic, as these classifications are dependent upon the various urban definitions adopted across difference countries </w:t>
      </w:r>
      <w:r w:rsidRPr="00EF252C">
        <w:rPr>
          <w:color w:val="000000" w:themeColor="text1"/>
          <w:lang w:eastAsia="en-GB"/>
        </w:rPr>
        <w:fldChar w:fldCharType="begin"/>
      </w:r>
      <w:r w:rsidRPr="00EF252C">
        <w:rPr>
          <w:color w:val="000000" w:themeColor="text1"/>
          <w:lang w:eastAsia="en-GB"/>
        </w:rPr>
        <w:instrText xml:space="preserve"> ADDIN ZOTERO_ITEM CSL_CITATION {"citationID":"d9hn628Q","properties":{"formattedCitation":"(Dorward et al., 2023)","plainCitation":"(Dorward et al., 2023)","noteIndex":0},"citationItems":[{"id":674,"uris":["http://zotero.org/users/11001446/items/8M4E6N9P"],"itemData":{"id":674,"type":"article-journal","container-title":"Environment &amp; Urbanization","ISSN":"0956-2478","issue":"2","journalAbbreviation":"Environment &amp; Urbanization","note":"publisher: SAGE Publications Sage UK: London, England","page":"310-327","title":"A spatial-demographic analysis of Africa’s emerging urban geography","volume":"35","author":[{"family":"Dorward","given":"Nick"},{"family":"Fox","given":"Sean"},{"family":"Statham","given":"Thomas"},{"family":"Wolf","given":"Levi John"}],"issued":{"date-parts":[["2023"]]}}}],"schema":"https://github.com/citation-style-language/schema/raw/master/csl-citation.json"} </w:instrText>
      </w:r>
      <w:r w:rsidRPr="00EF252C">
        <w:rPr>
          <w:color w:val="000000" w:themeColor="text1"/>
          <w:lang w:eastAsia="en-GB"/>
        </w:rPr>
        <w:fldChar w:fldCharType="separate"/>
      </w:r>
      <w:r w:rsidRPr="00EF252C">
        <w:t>(Dorward et al., 2023)</w:t>
      </w:r>
      <w:r w:rsidRPr="00EF252C">
        <w:rPr>
          <w:color w:val="000000" w:themeColor="text1"/>
          <w:lang w:eastAsia="en-GB"/>
        </w:rPr>
        <w:fldChar w:fldCharType="end"/>
      </w:r>
      <w:r w:rsidRPr="00EF252C">
        <w:rPr>
          <w:color w:val="000000" w:themeColor="text1"/>
          <w:lang w:eastAsia="en-GB"/>
        </w:rPr>
        <w:t>.</w:t>
      </w:r>
    </w:p>
    <w:p w14:paraId="5954806D" w14:textId="77777777" w:rsidR="00FB0D92" w:rsidRPr="00EF252C" w:rsidRDefault="00FB0D92" w:rsidP="00FB0D92">
      <w:pPr>
        <w:spacing w:after="120" w:line="276" w:lineRule="auto"/>
        <w:ind w:firstLine="720"/>
        <w:jc w:val="both"/>
        <w:rPr>
          <w:color w:val="000000" w:themeColor="text1"/>
          <w:lang w:eastAsia="en-GB"/>
        </w:rPr>
      </w:pPr>
      <w:r w:rsidRPr="00EF252C">
        <w:rPr>
          <w:color w:val="000000" w:themeColor="text1"/>
          <w:lang w:eastAsia="en-GB"/>
        </w:rPr>
        <w:t xml:space="preserve">To address this, we use the geospatial definition of urban areas provided by the Urban Centres Database and based upon human settlement patterns and land use classifications. The dataset contains a set of polygons defining the spatial extent of continuous densely populated and built-up areas for every country on earth </w:t>
      </w:r>
      <w:r w:rsidRPr="00EF252C">
        <w:rPr>
          <w:color w:val="000000" w:themeColor="text1"/>
          <w:lang w:eastAsia="en-GB"/>
        </w:rPr>
        <w:fldChar w:fldCharType="begin"/>
      </w:r>
      <w:r w:rsidRPr="00EF252C">
        <w:rPr>
          <w:color w:val="000000" w:themeColor="text1"/>
          <w:lang w:eastAsia="en-GB"/>
        </w:rPr>
        <w:instrText xml:space="preserve"> ADDIN ZOTERO_ITEM CSL_CITATION {"citationID":"wLwEnY4R","properties":{"formattedCitation":"(Melchiorri et al., 2024)","plainCitation":"(Melchiorri et al., 2024)","noteIndex":0},"citationItems":[{"id":975,"uris":["http://zotero.org/users/11001446/items/IKPIB64W"],"itemData":{"id":975,"type":"article-journal","container-title":"Scientific Data","ISSN":"2052-4463","issue":"1","journalAbbreviation":"Scientific Data","note":"publisher: Nature Publishing Group UK London","page":"82","title":"The Multi-temporal and Multi-dimensional Global Urban Centre Database to Delineate and Analyse World Cities","volume":"11","author":[{"family":"Melchiorri","given":"Michele"},{"family":"Freire","given":"Sergio"},{"family":"Schiavina","given":"Marcello"},{"family":"Florczyk","given":"Aneta"},{"family":"Corbane","given":"Christina"},{"family":"Maffenini","given":"Luca"},{"family":"Pesaresi","given":"Martino"},{"family":"Politis","given":"Panagiotis"},{"family":"Szabo","given":"Filip"},{"family":"Ehrlich","given":"Daniele"}],"issued":{"date-parts":[["2024"]]}}}],"schema":"https://github.com/citation-style-language/schema/raw/master/csl-citation.json"} </w:instrText>
      </w:r>
      <w:r w:rsidRPr="00EF252C">
        <w:rPr>
          <w:color w:val="000000" w:themeColor="text1"/>
          <w:lang w:eastAsia="en-GB"/>
        </w:rPr>
        <w:fldChar w:fldCharType="separate"/>
      </w:r>
      <w:r w:rsidRPr="00EF252C">
        <w:t>(Melchiorri et al., 2024)</w:t>
      </w:r>
      <w:r w:rsidRPr="00EF252C">
        <w:rPr>
          <w:color w:val="000000" w:themeColor="text1"/>
          <w:lang w:eastAsia="en-GB"/>
        </w:rPr>
        <w:fldChar w:fldCharType="end"/>
      </w:r>
      <w:r w:rsidRPr="00EF252C">
        <w:rPr>
          <w:color w:val="000000" w:themeColor="text1"/>
          <w:lang w:eastAsia="en-GB"/>
        </w:rPr>
        <w:t xml:space="preserve">. The definition of each ‘urban centre’ is based upon the Degree of Urbanisation measure (DEGURBA) put forward by the European Commissions’ Joint Research Centre and endorsed by the UN statistical Commission in 2020 </w:t>
      </w:r>
      <w:r w:rsidRPr="00EF252C">
        <w:rPr>
          <w:color w:val="000000" w:themeColor="text1"/>
          <w:lang w:eastAsia="en-GB"/>
        </w:rPr>
        <w:fldChar w:fldCharType="begin"/>
      </w:r>
      <w:r w:rsidRPr="00EF252C">
        <w:rPr>
          <w:color w:val="000000" w:themeColor="text1"/>
          <w:lang w:eastAsia="en-GB"/>
        </w:rPr>
        <w:instrText xml:space="preserve"> ADDIN ZOTERO_ITEM CSL_CITATION {"citationID":"GIzFkZQ4","properties":{"formattedCitation":"(Dijkstra et al., 2021)","plainCitation":"(Dijkstra et al., 2021)","noteIndex":0},"citationItems":[{"id":672,"uris":["http://zotero.org/users/11001446/items/ZICEW67N"],"itemData":{"id":672,"type":"article-journal","container-title":"Journal of Urban Economics","ISSN":"0094-1190","journalAbbreviation":"Journal of Urban Economics","note":"publisher: Elsevier","page":"103312","title":"Applying the degree of urbanisation to the globe: A new harmonised definition reveals a different picture of global urbanisation","volume":"125","author":[{"family":"Dijkstra","given":"Lewis"},{"family":"Florczyk","given":"Aneta J"},{"family":"Freire","given":"Sergio"},{"family":"Kemper","given":"Thomas"},{"family":"Melchiorri","given":"Michele"},{"family":"Pesaresi","given":"Martino"},{"family":"Schiavina","given":"Marcello"}],"issued":{"date-parts":[["2021"]]}}}],"schema":"https://github.com/citation-style-language/schema/raw/master/csl-citation.json"} </w:instrText>
      </w:r>
      <w:r w:rsidRPr="00EF252C">
        <w:rPr>
          <w:color w:val="000000" w:themeColor="text1"/>
          <w:lang w:eastAsia="en-GB"/>
        </w:rPr>
        <w:fldChar w:fldCharType="separate"/>
      </w:r>
      <w:r w:rsidRPr="00EF252C">
        <w:t>(Dijkstra et al., 2021)</w:t>
      </w:r>
      <w:r w:rsidRPr="00EF252C">
        <w:rPr>
          <w:color w:val="000000" w:themeColor="text1"/>
          <w:lang w:eastAsia="en-GB"/>
        </w:rPr>
        <w:fldChar w:fldCharType="end"/>
      </w:r>
      <w:r w:rsidRPr="00EF252C">
        <w:rPr>
          <w:color w:val="000000" w:themeColor="text1"/>
          <w:lang w:eastAsia="en-GB"/>
        </w:rPr>
        <w:t>. DEGURBA is designed to provide a global standard for the consistent measurement of urban areas across space and time, avoiding the inherent weakness of official UN estimates that are biased by inconsistent definitions across countries and the variable capacities of individual country statistics offices. DEGURBA/UCDB draws the boundaries of urban centres by dividing the earth’s surface into 1km</w:t>
      </w:r>
      <w:r w:rsidRPr="00EF252C">
        <w:rPr>
          <w:color w:val="000000" w:themeColor="text1"/>
          <w:vertAlign w:val="superscript"/>
          <w:lang w:eastAsia="en-GB"/>
        </w:rPr>
        <w:t>2</w:t>
      </w:r>
      <w:r w:rsidRPr="00EF252C">
        <w:rPr>
          <w:color w:val="000000" w:themeColor="text1"/>
          <w:lang w:eastAsia="en-GB"/>
        </w:rPr>
        <w:t xml:space="preserve"> grids. It then combines contiguous grid cells with a population density of 1,500 people and a combined population density of 50,000 inhabitants to form each urban centre.</w:t>
      </w:r>
      <w:r w:rsidRPr="00EF252C">
        <w:rPr>
          <w:rStyle w:val="FootnoteReference"/>
        </w:rPr>
        <w:footnoteReference w:id="7"/>
      </w:r>
      <w:r w:rsidRPr="00EF252C">
        <w:rPr>
          <w:color w:val="000000" w:themeColor="text1"/>
          <w:lang w:eastAsia="en-GB"/>
        </w:rPr>
        <w:t xml:space="preserve"> We link surveyed individuals from Afrobarometer to the urban areas in which they are located by overlaying the urban centre polygons onto the georeferenced location of each respondent. A visual example of this is shown in Figure 1, showing the locations of respondents in the Lagos urban agglomeration.</w:t>
      </w:r>
    </w:p>
    <w:p w14:paraId="19CFC445" w14:textId="77777777" w:rsidR="00FB0D92" w:rsidRDefault="00FB0D92" w:rsidP="00FB0D92">
      <w:pPr>
        <w:spacing w:after="120" w:line="276" w:lineRule="auto"/>
        <w:jc w:val="both"/>
        <w:rPr>
          <w:color w:val="000000" w:themeColor="text1"/>
          <w:u w:val="single"/>
          <w:lang w:eastAsia="en-GB"/>
        </w:rPr>
      </w:pPr>
    </w:p>
    <w:p w14:paraId="52A94968" w14:textId="77777777" w:rsidR="00FB0D92" w:rsidRDefault="00FB0D92" w:rsidP="00FB0D92">
      <w:pPr>
        <w:spacing w:after="120" w:line="276" w:lineRule="auto"/>
        <w:jc w:val="both"/>
        <w:rPr>
          <w:color w:val="000000" w:themeColor="text1"/>
          <w:u w:val="single"/>
          <w:lang w:eastAsia="en-GB"/>
        </w:rPr>
      </w:pPr>
    </w:p>
    <w:p w14:paraId="4371F96A" w14:textId="77777777" w:rsidR="00FB0D92" w:rsidRDefault="00FB0D92" w:rsidP="00FB0D92">
      <w:pPr>
        <w:spacing w:after="120" w:line="276" w:lineRule="auto"/>
        <w:jc w:val="both"/>
        <w:rPr>
          <w:color w:val="000000" w:themeColor="text1"/>
          <w:u w:val="single"/>
          <w:lang w:eastAsia="en-GB"/>
        </w:rPr>
      </w:pPr>
    </w:p>
    <w:p w14:paraId="067A4129" w14:textId="77777777" w:rsidR="00FB0D92" w:rsidRDefault="00FB0D92" w:rsidP="00FB0D92">
      <w:pPr>
        <w:spacing w:after="120" w:line="276" w:lineRule="auto"/>
        <w:jc w:val="both"/>
        <w:rPr>
          <w:color w:val="000000" w:themeColor="text1"/>
          <w:u w:val="single"/>
          <w:lang w:eastAsia="en-GB"/>
        </w:rPr>
      </w:pPr>
    </w:p>
    <w:p w14:paraId="1B2279B8" w14:textId="77777777" w:rsidR="00FB0D92" w:rsidRDefault="00FB0D92" w:rsidP="00FB0D92">
      <w:pPr>
        <w:spacing w:after="120" w:line="276" w:lineRule="auto"/>
        <w:jc w:val="both"/>
        <w:rPr>
          <w:color w:val="000000" w:themeColor="text1"/>
          <w:u w:val="single"/>
          <w:lang w:eastAsia="en-GB"/>
        </w:rPr>
      </w:pPr>
    </w:p>
    <w:p w14:paraId="14A447B0" w14:textId="77777777" w:rsidR="00FB0D92" w:rsidRDefault="00FB0D92" w:rsidP="00FB0D92">
      <w:pPr>
        <w:spacing w:after="120" w:line="276" w:lineRule="auto"/>
        <w:jc w:val="both"/>
        <w:rPr>
          <w:color w:val="000000" w:themeColor="text1"/>
          <w:u w:val="single"/>
          <w:lang w:eastAsia="en-GB"/>
        </w:rPr>
      </w:pPr>
    </w:p>
    <w:p w14:paraId="7D5ED51E" w14:textId="77777777" w:rsidR="00FB0D92" w:rsidRDefault="00FB0D92" w:rsidP="00FB0D92">
      <w:pPr>
        <w:spacing w:after="120" w:line="276" w:lineRule="auto"/>
        <w:jc w:val="both"/>
        <w:rPr>
          <w:color w:val="000000" w:themeColor="text1"/>
          <w:u w:val="single"/>
          <w:lang w:eastAsia="en-GB"/>
        </w:rPr>
      </w:pPr>
    </w:p>
    <w:p w14:paraId="4609C78D" w14:textId="77777777" w:rsidR="00FB0D92" w:rsidRDefault="00FB0D92" w:rsidP="00FB0D92">
      <w:pPr>
        <w:spacing w:after="120" w:line="276" w:lineRule="auto"/>
        <w:jc w:val="both"/>
        <w:rPr>
          <w:color w:val="000000" w:themeColor="text1"/>
          <w:u w:val="single"/>
          <w:lang w:eastAsia="en-GB"/>
        </w:rPr>
      </w:pPr>
    </w:p>
    <w:p w14:paraId="3A22EA37" w14:textId="77777777" w:rsidR="00FB0D92" w:rsidRPr="00EF252C" w:rsidRDefault="00FB0D92" w:rsidP="00FB0D92">
      <w:pPr>
        <w:spacing w:after="120" w:line="276" w:lineRule="auto"/>
        <w:jc w:val="both"/>
        <w:rPr>
          <w:color w:val="000000" w:themeColor="text1"/>
          <w:u w:val="single"/>
          <w:lang w:eastAsia="en-GB"/>
        </w:rPr>
      </w:pPr>
      <w:r w:rsidRPr="00EF252C">
        <w:rPr>
          <w:color w:val="000000" w:themeColor="text1"/>
          <w:u w:val="single"/>
          <w:lang w:eastAsia="en-GB"/>
        </w:rPr>
        <w:lastRenderedPageBreak/>
        <w:t>Location of Afrobarometer respondents within Lagos, Nigeria</w:t>
      </w:r>
    </w:p>
    <w:p w14:paraId="688025A8" w14:textId="77777777" w:rsidR="00FB0D92" w:rsidRPr="00EF252C" w:rsidRDefault="00FB0D92" w:rsidP="00FB0D92">
      <w:pPr>
        <w:spacing w:after="120" w:line="276" w:lineRule="auto"/>
        <w:jc w:val="both"/>
        <w:rPr>
          <w:color w:val="000000" w:themeColor="text1"/>
          <w:lang w:eastAsia="en-GB"/>
        </w:rPr>
      </w:pPr>
      <w:r w:rsidRPr="00EF252C">
        <w:rPr>
          <w:noProof/>
          <w:color w:val="000000" w:themeColor="text1"/>
          <w:lang w:eastAsia="en-GB"/>
        </w:rPr>
        <w:drawing>
          <wp:inline distT="0" distB="0" distL="0" distR="0" wp14:anchorId="2AE930EE" wp14:editId="4F06E563">
            <wp:extent cx="4391475" cy="3135061"/>
            <wp:effectExtent l="0" t="0" r="9525" b="8255"/>
            <wp:docPr id="1652952446" name="Picture 5" descr="A map of nigeria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52446" name="Picture 5" descr="A map of nigeria with red dots&#10;&#10;Description automatically generated"/>
                    <pic:cNvPicPr/>
                  </pic:nvPicPr>
                  <pic:blipFill rotWithShape="1">
                    <a:blip r:embed="rId12" cstate="print">
                      <a:extLst>
                        <a:ext uri="{28A0092B-C50C-407E-A947-70E740481C1C}">
                          <a14:useLocalDpi xmlns:a14="http://schemas.microsoft.com/office/drawing/2010/main" val="0"/>
                        </a:ext>
                      </a:extLst>
                    </a:blip>
                    <a:srcRect t="7083" r="-86" b="7179"/>
                    <a:stretch/>
                  </pic:blipFill>
                  <pic:spPr bwMode="auto">
                    <a:xfrm>
                      <a:off x="0" y="0"/>
                      <a:ext cx="4392672" cy="3135915"/>
                    </a:xfrm>
                    <a:prstGeom prst="rect">
                      <a:avLst/>
                    </a:prstGeom>
                    <a:ln>
                      <a:noFill/>
                    </a:ln>
                    <a:extLst>
                      <a:ext uri="{53640926-AAD7-44D8-BBD7-CCE9431645EC}">
                        <a14:shadowObscured xmlns:a14="http://schemas.microsoft.com/office/drawing/2010/main"/>
                      </a:ext>
                    </a:extLst>
                  </pic:spPr>
                </pic:pic>
              </a:graphicData>
            </a:graphic>
          </wp:inline>
        </w:drawing>
      </w:r>
    </w:p>
    <w:p w14:paraId="17318A88" w14:textId="77777777" w:rsidR="00FB0D92" w:rsidRPr="00EF252C" w:rsidRDefault="00FB0D92" w:rsidP="00FB0D92">
      <w:pPr>
        <w:spacing w:after="120" w:line="276" w:lineRule="auto"/>
        <w:jc w:val="both"/>
        <w:rPr>
          <w:i/>
          <w:iCs/>
          <w:color w:val="000000" w:themeColor="text1"/>
          <w:lang w:eastAsia="en-GB"/>
        </w:rPr>
      </w:pPr>
      <w:r w:rsidRPr="00EF252C">
        <w:rPr>
          <w:i/>
          <w:iCs/>
          <w:color w:val="000000" w:themeColor="text1"/>
          <w:lang w:eastAsia="en-GB"/>
        </w:rPr>
        <w:t xml:space="preserve">Note: Location of survey respondents within the wider Lagos urban area, Nigeria. Fewer points are readable due to proximity of sampling locations. </w:t>
      </w:r>
    </w:p>
    <w:p w14:paraId="629C377B" w14:textId="77777777" w:rsidR="00FB0D92" w:rsidRPr="00EF252C" w:rsidRDefault="00FB0D92" w:rsidP="00FB0D92">
      <w:pPr>
        <w:spacing w:after="120" w:line="276" w:lineRule="auto"/>
        <w:jc w:val="both"/>
        <w:rPr>
          <w:i/>
          <w:iCs/>
          <w:color w:val="000000" w:themeColor="text1"/>
          <w:lang w:eastAsia="en-GB"/>
        </w:rPr>
      </w:pPr>
    </w:p>
    <w:p w14:paraId="1E094CBE" w14:textId="77777777" w:rsidR="00FB0D92" w:rsidRPr="00EF252C" w:rsidRDefault="00FB0D92" w:rsidP="00FB0D92">
      <w:pPr>
        <w:spacing w:after="120" w:line="276" w:lineRule="auto"/>
        <w:jc w:val="both"/>
        <w:rPr>
          <w:color w:val="000000" w:themeColor="text1"/>
          <w:lang w:eastAsia="en-GB"/>
        </w:rPr>
      </w:pPr>
      <w:r w:rsidRPr="00EF252C">
        <w:rPr>
          <w:color w:val="000000" w:themeColor="text1"/>
          <w:lang w:eastAsia="en-GB"/>
        </w:rPr>
        <w:t xml:space="preserve">This approach yields several benefits. First, we </w:t>
      </w:r>
      <w:proofErr w:type="gramStart"/>
      <w:r w:rsidRPr="00EF252C">
        <w:rPr>
          <w:color w:val="000000" w:themeColor="text1"/>
          <w:lang w:eastAsia="en-GB"/>
        </w:rPr>
        <w:t>are able to</w:t>
      </w:r>
      <w:proofErr w:type="gramEnd"/>
      <w:r w:rsidRPr="00EF252C">
        <w:rPr>
          <w:color w:val="000000" w:themeColor="text1"/>
          <w:lang w:eastAsia="en-GB"/>
        </w:rPr>
        <w:t xml:space="preserve"> link individuals to the specific urban area in which they live, and, by leveraging geospatial estimates at this scale, measure characteristics of the local context they experience. This creates greater consistency between the scale of measurement and that at which processes theoretically operate. Second, utilising this approach means that the operational definition of an urban area is consistent across countries. While the question of whether these boundaries ‘correctly’ zone an urban context at a meaningful scale remains an issue, our study is not subject to biases that may arise from cross-national heterogeneity in ‘urban’ definitions. Furthermore, the DEGURBA/UCDB definition, which identifies contiguous built-up areas of a minimum population density, is arguably a better approximation of urban settlements than is available from either survey measures or administrative definitions, which are highly variable. Finally, the UCDB enables us to expand our sample beyond the comparatively small number of large and politically significant cities featured in previous studies. This is particularly important given the rapid growth, political relevance, and increasing importance of secondary and smaller cities in sustainable urbanisation in Africa </w:t>
      </w:r>
      <w:r w:rsidRPr="00EF252C">
        <w:rPr>
          <w:color w:val="000000" w:themeColor="text1"/>
          <w:lang w:eastAsia="en-GB"/>
        </w:rPr>
        <w:fldChar w:fldCharType="begin"/>
      </w:r>
      <w:r w:rsidRPr="00EF252C">
        <w:rPr>
          <w:color w:val="000000" w:themeColor="text1"/>
          <w:lang w:eastAsia="en-GB"/>
        </w:rPr>
        <w:instrText xml:space="preserve"> ADDIN ZOTERO_ITEM CSL_CITATION {"citationID":"VKo0TmDU","properties":{"formattedCitation":"(Koechlin &amp; F\\uc0\\u246{}rster, 2018; Kumar &amp; Stenberg, 2023; Zimmer et al., 2020)","plainCitation":"(Koechlin &amp; Förster, 2018; Kumar &amp; Stenberg, 2023; Zimmer et al., 2020)","noteIndex":0},"citationItems":[{"id":676,"uris":["http://zotero.org/users/11001446/items/AEACR6J8"],"itemData":{"id":676,"type":"article-journal","container-title":"The Palgrave Handbook of Urban Ethnography","ISSN":"331964288X","journalAbbreviation":"The Palgrave Handbook of Urban Ethnography","note":"publisher: Springer","page":"351-368","title":"Secondary cities and the formation of political space in West and East Africa","author":[{"family":"Koechlin","given":"Lucy"},{"family":"Förster","given":"Till"}],"issued":{"date-parts":[["2018"]]}}},{"id":677,"uris":["http://zotero.org/users/11001446/items/57LFQC6E"],"itemData":{"id":677,"type":"article-journal","container-title":"Urban Affairs Review","ISSN":"1078-0874","issue":"6","journalAbbreviation":"Urban Affairs Review","note":"publisher: SAGE Publications Sage CA: Los Angeles, CA","page":"2005-2042","title":"Why political scientists should study smaller cities","volume":"59","author":[{"family":"Kumar","given":"Tanu"},{"family":"Stenberg","given":"Matthew"}],"issued":{"date-parts":[["2023"]]}}},{"id":679,"uris":["http://zotero.org/users/11001446/items/8QJEJQCC"],"itemData":{"id":679,"type":"article-journal","container-title":"Landscape Ecology","ISSN":"0921-2973","journalAbbreviation":"Landscape Ecology","note":"publisher: Springer","page":"2501-2516","title":"Dynamics of population growth in secondary cities across southern Africa","volume":"35","author":[{"family":"Zimmer","given":"Andrew"},{"family":"Guido","given":"Zack"},{"family":"Tuholske","given":"Cascade"},{"family":"Pakalniskis","given":"Alex"},{"family":"Lopus","given":"Sara"},{"family":"Caylor","given":"Kelly"},{"family":"Evans","given":"Tom"}],"issued":{"date-parts":[["2020"]]}}}],"schema":"https://github.com/citation-style-language/schema/raw/master/csl-citation.json"} </w:instrText>
      </w:r>
      <w:r w:rsidRPr="00EF252C">
        <w:rPr>
          <w:color w:val="000000" w:themeColor="text1"/>
          <w:lang w:eastAsia="en-GB"/>
        </w:rPr>
        <w:fldChar w:fldCharType="separate"/>
      </w:r>
      <w:r w:rsidRPr="00EF252C">
        <w:t>(Koechlin &amp; Förster, 2018; Kumar &amp; Stenberg, 2023; Zimmer et al., 2020)</w:t>
      </w:r>
      <w:r w:rsidRPr="00EF252C">
        <w:rPr>
          <w:color w:val="000000" w:themeColor="text1"/>
          <w:lang w:eastAsia="en-GB"/>
        </w:rPr>
        <w:fldChar w:fldCharType="end"/>
      </w:r>
      <w:r w:rsidRPr="00EF252C">
        <w:rPr>
          <w:color w:val="000000" w:themeColor="text1"/>
          <w:lang w:eastAsia="en-GB"/>
        </w:rPr>
        <w:t xml:space="preserve">. The resulting sample offers a better reflection of urban system as a whole and allows us to exploit greater variation in specific urban demographic contexts within it. </w:t>
      </w:r>
    </w:p>
    <w:p w14:paraId="65D1CD71" w14:textId="77777777" w:rsidR="00FB0D92" w:rsidRPr="00EF252C" w:rsidRDefault="00FB0D92" w:rsidP="00FB0D92">
      <w:pPr>
        <w:spacing w:after="120" w:line="276" w:lineRule="auto"/>
        <w:ind w:firstLine="720"/>
        <w:jc w:val="both"/>
        <w:rPr>
          <w:color w:val="000000" w:themeColor="text1"/>
          <w:lang w:eastAsia="en-GB"/>
        </w:rPr>
      </w:pPr>
      <w:r w:rsidRPr="00EF252C">
        <w:rPr>
          <w:color w:val="000000" w:themeColor="text1"/>
          <w:lang w:eastAsia="en-GB"/>
        </w:rPr>
        <w:t xml:space="preserve">There are, however, valid concerns surrounding how well the UCDB identifies urban areas in certain cases, particularly on the suburban and peri-urban fringes of cities </w:t>
      </w:r>
      <w:r w:rsidRPr="00EF252C">
        <w:rPr>
          <w:color w:val="000000" w:themeColor="text1"/>
          <w:lang w:eastAsia="en-GB"/>
        </w:rPr>
        <w:fldChar w:fldCharType="begin"/>
      </w:r>
      <w:r w:rsidRPr="00EF252C">
        <w:rPr>
          <w:color w:val="000000" w:themeColor="text1"/>
          <w:lang w:eastAsia="en-GB"/>
        </w:rPr>
        <w:instrText xml:space="preserve"> ADDIN ZOTERO_ITEM CSL_CITATION {"citationID":"6FqyUkG1","properties":{"formattedCitation":"(Blei &amp; Angel, 2021; Dorward &amp; Fox, 2022)","plainCitation":"(Blei &amp; Angel, 2021; Dorward &amp; Fox, 2022)","noteIndex":0},"citationItems":[{"id":673,"uris":["http://zotero.org/users/11001446/items/5CTA9Q3Y"],"itemData":{"id":673,"type":"article-journal","container-title":"Urban Remote Sensing: Monitoring, Synthesis, and Modeling in the Urban Environment","journalAbbreviation":"Urban Remote Sensing: Monitoring, Synthesis, and Modeling in the Urban Environment","note":"publisher: Wiley Online Library","page":"247-282","title":"Global monitoring with the atlas of urban expansion","author":[{"family":"Blei","given":"Alejandro"},{"family":"Angel","given":"Shlomo"}],"issued":{"date-parts":[["2021"]]}}},{"id":528,"uris":["http://zotero.org/users/11001446/items/5JU4TPAH"],"itemData":{"id":528,"type":"article-journal","container-title":"Political Geography","ISSN":"0962-6298","journalAbbreviation":"Political Geography","note":"publisher: Elsevier","page":"102762","title":"Population pressure, political institutions, and protests: A multilevel analysis of protest events in African cities","volume":"99","author":[{"family":"Dorward","given":"Nick"},{"family":"Fox","given":"Sean"}],"issued":{"date-parts":[["2022"]]}}}],"schema":"https://github.com/citation-style-language/schema/raw/master/csl-citation.json"} </w:instrText>
      </w:r>
      <w:r w:rsidRPr="00EF252C">
        <w:rPr>
          <w:color w:val="000000" w:themeColor="text1"/>
          <w:lang w:eastAsia="en-GB"/>
        </w:rPr>
        <w:fldChar w:fldCharType="separate"/>
      </w:r>
      <w:r w:rsidRPr="00EF252C">
        <w:t>(Blei &amp; Angel, 2021; Dorward &amp; Fox, 2022)</w:t>
      </w:r>
      <w:r w:rsidRPr="00EF252C">
        <w:rPr>
          <w:color w:val="000000" w:themeColor="text1"/>
          <w:lang w:eastAsia="en-GB"/>
        </w:rPr>
        <w:fldChar w:fldCharType="end"/>
      </w:r>
      <w:r w:rsidRPr="00EF252C">
        <w:rPr>
          <w:color w:val="000000" w:themeColor="text1"/>
          <w:lang w:eastAsia="en-GB"/>
        </w:rPr>
        <w:t xml:space="preserve">. This could be of </w:t>
      </w:r>
      <w:proofErr w:type="gramStart"/>
      <w:r w:rsidRPr="00EF252C">
        <w:rPr>
          <w:color w:val="000000" w:themeColor="text1"/>
          <w:lang w:eastAsia="en-GB"/>
        </w:rPr>
        <w:t>particular relevance</w:t>
      </w:r>
      <w:proofErr w:type="gramEnd"/>
      <w:r w:rsidRPr="00EF252C">
        <w:rPr>
          <w:color w:val="000000" w:themeColor="text1"/>
          <w:lang w:eastAsia="en-GB"/>
        </w:rPr>
        <w:t xml:space="preserve"> in the African context. Here, urban growth is typically characterised by lower population densities than those of cities Europe and North America, suggesting that a lower bounding to the population density </w:t>
      </w:r>
      <w:r w:rsidRPr="00EF252C">
        <w:rPr>
          <w:color w:val="000000" w:themeColor="text1"/>
          <w:lang w:eastAsia="en-GB"/>
        </w:rPr>
        <w:lastRenderedPageBreak/>
        <w:t xml:space="preserve">threshold used by the DEGURBA/UCDB would be appropriate </w:t>
      </w:r>
      <w:r w:rsidRPr="00EF252C">
        <w:rPr>
          <w:color w:val="000000" w:themeColor="text1"/>
          <w:lang w:eastAsia="en-GB"/>
        </w:rPr>
        <w:fldChar w:fldCharType="begin"/>
      </w:r>
      <w:r w:rsidRPr="00EF252C">
        <w:rPr>
          <w:color w:val="000000" w:themeColor="text1"/>
          <w:lang w:eastAsia="en-GB"/>
        </w:rPr>
        <w:instrText xml:space="preserve"> ADDIN ZOTERO_ITEM CSL_CITATION {"citationID":"lqMZH3Xz","properties":{"formattedCitation":"(Dorward et al., 2023)","plainCitation":"(Dorward et al., 2023)","noteIndex":0},"citationItems":[{"id":674,"uris":["http://zotero.org/users/11001446/items/8M4E6N9P"],"itemData":{"id":674,"type":"article-journal","container-title":"Environment &amp; Urbanization","ISSN":"0956-2478","issue":"2","journalAbbreviation":"Environment &amp; Urbanization","note":"publisher: SAGE Publications Sage UK: London, England","page":"310-327","title":"A spatial-demographic analysis of Africa’s emerging urban geography","volume":"35","author":[{"family":"Dorward","given":"Nick"},{"family":"Fox","given":"Sean"},{"family":"Statham","given":"Thomas"},{"family":"Wolf","given":"Levi John"}],"issued":{"date-parts":[["2023"]]}}}],"schema":"https://github.com/citation-style-language/schema/raw/master/csl-citation.json"} </w:instrText>
      </w:r>
      <w:r w:rsidRPr="00EF252C">
        <w:rPr>
          <w:color w:val="000000" w:themeColor="text1"/>
          <w:lang w:eastAsia="en-GB"/>
        </w:rPr>
        <w:fldChar w:fldCharType="separate"/>
      </w:r>
      <w:r w:rsidRPr="00EF252C">
        <w:t>(Dorward et al., 2023)</w:t>
      </w:r>
      <w:r w:rsidRPr="00EF252C">
        <w:rPr>
          <w:color w:val="000000" w:themeColor="text1"/>
          <w:lang w:eastAsia="en-GB"/>
        </w:rPr>
        <w:fldChar w:fldCharType="end"/>
      </w:r>
      <w:r w:rsidRPr="00EF252C">
        <w:rPr>
          <w:color w:val="000000" w:themeColor="text1"/>
          <w:lang w:eastAsia="en-GB"/>
        </w:rPr>
        <w:t xml:space="preserve">. This infers that the UCDB parameters we utilise would provide a more conservative estimate of urban areas on the African continent. Consequently, our study will likely provide conservative estimates of the association between urban demographic context and individual political behaviour as it restricts our sample to more established urban centres where urban density ensures that these contextual effects are strongest. How the demographic context may affect an individual’s political behaviour within Africa’s numerous newly emerging towns and smaller urban areas (that are not captured by our empirical approach) remains an outstanding question we are unable to address here. </w:t>
      </w:r>
    </w:p>
    <w:p w14:paraId="3CC35FA3" w14:textId="77777777" w:rsidR="00FB0D92" w:rsidRPr="00EF252C" w:rsidRDefault="00FB0D92" w:rsidP="00FB0D92">
      <w:pPr>
        <w:spacing w:before="100" w:beforeAutospacing="1" w:after="100" w:afterAutospacing="1" w:line="276" w:lineRule="auto"/>
        <w:outlineLvl w:val="1"/>
        <w:rPr>
          <w:b/>
          <w:bCs/>
        </w:rPr>
      </w:pPr>
    </w:p>
    <w:p w14:paraId="2E38C629" w14:textId="77777777" w:rsidR="00FB0D92" w:rsidRPr="00EF252C" w:rsidRDefault="00FB0D92" w:rsidP="00FB0D92">
      <w:pPr>
        <w:spacing w:before="100" w:beforeAutospacing="1" w:after="100" w:afterAutospacing="1" w:line="276" w:lineRule="auto"/>
        <w:outlineLvl w:val="1"/>
        <w:rPr>
          <w:b/>
          <w:bCs/>
        </w:rPr>
      </w:pPr>
    </w:p>
    <w:p w14:paraId="5316D37B" w14:textId="77777777" w:rsidR="00FB0D92" w:rsidRPr="00EF252C" w:rsidRDefault="00FB0D92" w:rsidP="00FB0D92">
      <w:pPr>
        <w:spacing w:before="100" w:beforeAutospacing="1" w:after="100" w:afterAutospacing="1" w:line="276" w:lineRule="auto"/>
        <w:outlineLvl w:val="1"/>
        <w:rPr>
          <w:b/>
          <w:bCs/>
        </w:rPr>
      </w:pPr>
    </w:p>
    <w:p w14:paraId="2DBC058E" w14:textId="77777777" w:rsidR="00FB0D92" w:rsidRDefault="00FB0D92" w:rsidP="00FB0D92">
      <w:pPr>
        <w:spacing w:before="100" w:beforeAutospacing="1" w:after="100" w:afterAutospacing="1" w:line="276" w:lineRule="auto"/>
        <w:outlineLvl w:val="1"/>
        <w:rPr>
          <w:b/>
          <w:bCs/>
        </w:rPr>
      </w:pPr>
    </w:p>
    <w:p w14:paraId="212DD355" w14:textId="77777777" w:rsidR="00FB0D92" w:rsidRDefault="00FB0D92" w:rsidP="00FB0D92">
      <w:pPr>
        <w:spacing w:before="100" w:beforeAutospacing="1" w:after="100" w:afterAutospacing="1" w:line="276" w:lineRule="auto"/>
        <w:outlineLvl w:val="1"/>
        <w:rPr>
          <w:b/>
          <w:bCs/>
        </w:rPr>
      </w:pPr>
    </w:p>
    <w:p w14:paraId="761126F0" w14:textId="77777777" w:rsidR="00FB0D92" w:rsidRDefault="00FB0D92" w:rsidP="00FB0D92">
      <w:pPr>
        <w:spacing w:before="100" w:beforeAutospacing="1" w:after="100" w:afterAutospacing="1" w:line="276" w:lineRule="auto"/>
        <w:outlineLvl w:val="1"/>
        <w:rPr>
          <w:b/>
          <w:bCs/>
        </w:rPr>
      </w:pPr>
    </w:p>
    <w:p w14:paraId="0B0FB4D6" w14:textId="77777777" w:rsidR="00FB0D92" w:rsidRDefault="00FB0D92" w:rsidP="00FB0D92">
      <w:pPr>
        <w:spacing w:before="100" w:beforeAutospacing="1" w:after="100" w:afterAutospacing="1" w:line="276" w:lineRule="auto"/>
        <w:outlineLvl w:val="1"/>
        <w:rPr>
          <w:b/>
          <w:bCs/>
        </w:rPr>
      </w:pPr>
    </w:p>
    <w:p w14:paraId="74991B94" w14:textId="77777777" w:rsidR="00FB0D92" w:rsidRDefault="00FB0D92" w:rsidP="00FB0D92">
      <w:pPr>
        <w:spacing w:before="100" w:beforeAutospacing="1" w:after="100" w:afterAutospacing="1" w:line="276" w:lineRule="auto"/>
        <w:outlineLvl w:val="1"/>
        <w:rPr>
          <w:b/>
          <w:bCs/>
        </w:rPr>
      </w:pPr>
    </w:p>
    <w:p w14:paraId="30C3F28E" w14:textId="77777777" w:rsidR="00FB0D92" w:rsidRDefault="00FB0D92" w:rsidP="00FB0D92">
      <w:pPr>
        <w:spacing w:before="100" w:beforeAutospacing="1" w:after="100" w:afterAutospacing="1" w:line="276" w:lineRule="auto"/>
        <w:outlineLvl w:val="1"/>
        <w:rPr>
          <w:b/>
          <w:bCs/>
        </w:rPr>
      </w:pPr>
    </w:p>
    <w:p w14:paraId="683CF9BD" w14:textId="77777777" w:rsidR="00FB0D92" w:rsidRDefault="00FB0D92" w:rsidP="00FB0D92">
      <w:pPr>
        <w:spacing w:before="100" w:beforeAutospacing="1" w:after="100" w:afterAutospacing="1" w:line="276" w:lineRule="auto"/>
        <w:outlineLvl w:val="1"/>
        <w:rPr>
          <w:b/>
          <w:bCs/>
        </w:rPr>
      </w:pPr>
    </w:p>
    <w:p w14:paraId="0645C4CB" w14:textId="77777777" w:rsidR="00FB0D92" w:rsidRDefault="00FB0D92" w:rsidP="00FB0D92">
      <w:pPr>
        <w:spacing w:before="100" w:beforeAutospacing="1" w:after="100" w:afterAutospacing="1" w:line="276" w:lineRule="auto"/>
        <w:outlineLvl w:val="1"/>
        <w:rPr>
          <w:b/>
          <w:bCs/>
        </w:rPr>
      </w:pPr>
    </w:p>
    <w:p w14:paraId="1E1FF822" w14:textId="77777777" w:rsidR="00FB0D92" w:rsidRDefault="00FB0D92" w:rsidP="00FB0D92">
      <w:pPr>
        <w:spacing w:before="100" w:beforeAutospacing="1" w:after="100" w:afterAutospacing="1" w:line="276" w:lineRule="auto"/>
        <w:outlineLvl w:val="1"/>
        <w:rPr>
          <w:b/>
          <w:bCs/>
        </w:rPr>
      </w:pPr>
    </w:p>
    <w:p w14:paraId="5DEE6E13" w14:textId="77777777" w:rsidR="00FB0D92" w:rsidRDefault="00FB0D92" w:rsidP="00FB0D92">
      <w:pPr>
        <w:spacing w:before="100" w:beforeAutospacing="1" w:after="100" w:afterAutospacing="1" w:line="276" w:lineRule="auto"/>
        <w:outlineLvl w:val="1"/>
        <w:rPr>
          <w:b/>
          <w:bCs/>
        </w:rPr>
      </w:pPr>
    </w:p>
    <w:p w14:paraId="1F7C5E23" w14:textId="77777777" w:rsidR="00FB0D92" w:rsidRDefault="00FB0D92" w:rsidP="00FB0D92">
      <w:pPr>
        <w:spacing w:before="100" w:beforeAutospacing="1" w:after="100" w:afterAutospacing="1" w:line="276" w:lineRule="auto"/>
        <w:outlineLvl w:val="1"/>
        <w:rPr>
          <w:b/>
          <w:bCs/>
        </w:rPr>
      </w:pPr>
    </w:p>
    <w:p w14:paraId="3D9B6043" w14:textId="77777777" w:rsidR="00FB0D92" w:rsidRDefault="00FB0D92" w:rsidP="00FB0D92">
      <w:pPr>
        <w:spacing w:before="100" w:beforeAutospacing="1" w:after="100" w:afterAutospacing="1" w:line="276" w:lineRule="auto"/>
        <w:outlineLvl w:val="1"/>
        <w:rPr>
          <w:b/>
          <w:bCs/>
        </w:rPr>
      </w:pPr>
    </w:p>
    <w:p w14:paraId="0CC8ACE1" w14:textId="77777777" w:rsidR="00FB0D92" w:rsidRDefault="00FB0D92" w:rsidP="00FB0D92">
      <w:pPr>
        <w:spacing w:before="100" w:beforeAutospacing="1" w:after="100" w:afterAutospacing="1" w:line="276" w:lineRule="auto"/>
        <w:outlineLvl w:val="1"/>
        <w:rPr>
          <w:b/>
          <w:bCs/>
        </w:rPr>
      </w:pPr>
    </w:p>
    <w:p w14:paraId="099CF29B" w14:textId="77777777" w:rsidR="00FB0D92" w:rsidRPr="00EF252C" w:rsidRDefault="00FB0D92" w:rsidP="00FB0D92">
      <w:pPr>
        <w:spacing w:before="100" w:beforeAutospacing="1" w:after="100" w:afterAutospacing="1" w:line="276" w:lineRule="auto"/>
        <w:outlineLvl w:val="1"/>
        <w:rPr>
          <w:b/>
          <w:bCs/>
        </w:rPr>
      </w:pPr>
    </w:p>
    <w:p w14:paraId="6513E6FE" w14:textId="77777777" w:rsidR="00FB0D92" w:rsidRPr="00EF252C" w:rsidRDefault="00FB0D92" w:rsidP="00FB0D92">
      <w:pPr>
        <w:spacing w:before="100" w:beforeAutospacing="1" w:after="100" w:afterAutospacing="1" w:line="276" w:lineRule="auto"/>
        <w:outlineLvl w:val="1"/>
        <w:rPr>
          <w:b/>
          <w:bCs/>
        </w:rPr>
      </w:pPr>
    </w:p>
    <w:p w14:paraId="47919170" w14:textId="77777777" w:rsidR="00FB0D92" w:rsidRPr="00EF252C" w:rsidRDefault="00FB0D92" w:rsidP="00FB0D92">
      <w:pPr>
        <w:spacing w:before="100" w:beforeAutospacing="1" w:after="100" w:afterAutospacing="1" w:line="276" w:lineRule="auto"/>
        <w:outlineLvl w:val="1"/>
        <w:rPr>
          <w:b/>
          <w:bCs/>
        </w:rPr>
      </w:pPr>
      <w:r w:rsidRPr="00EF252C">
        <w:rPr>
          <w:b/>
          <w:bCs/>
        </w:rPr>
        <w:lastRenderedPageBreak/>
        <w:t xml:space="preserve">Appendix B: Construction of Age-Sex structures for African cities </w:t>
      </w:r>
    </w:p>
    <w:p w14:paraId="3685567F" w14:textId="77777777" w:rsidR="00FB0D92" w:rsidRDefault="00FB0D92" w:rsidP="00FB0D92">
      <w:pPr>
        <w:spacing w:after="120" w:line="276" w:lineRule="auto"/>
        <w:ind w:firstLine="720"/>
        <w:jc w:val="both"/>
        <w:rPr>
          <w:color w:val="000000" w:themeColor="text1"/>
          <w:lang w:eastAsia="en-GB"/>
        </w:rPr>
      </w:pPr>
      <w:r w:rsidRPr="00EF252C">
        <w:rPr>
          <w:color w:val="000000" w:themeColor="text1"/>
          <w:lang w:eastAsia="en-GB"/>
        </w:rPr>
        <w:t xml:space="preserve">The dataset reveals a high degree of variation in urban demographic structures and youth shares within and between countries. Figure 2 displays country-level trends in youth shares between 2000-2020 for the Central, Eastern, Northern, Southern, and Western regions of Africa. We observe substantial variation in urban youth shares between regions, with Southern and North African countries having lower urban youth shares on average. West African countries generally have higher urban youth shares while Eastern African countries display greater between variation. The temporal trend in youth shares is generally downward for most countries across Africa. However, there are a few notable exceptions where urban youth shares are increasing including Mozambique, Niger, Somalia, and South Sudan. Sudan is the only North African country where urban you shares have increased over the period. </w:t>
      </w:r>
    </w:p>
    <w:p w14:paraId="345413B0" w14:textId="77777777" w:rsidR="00FB0D92" w:rsidRPr="00EF252C" w:rsidRDefault="00FB0D92" w:rsidP="00FB0D92">
      <w:pPr>
        <w:spacing w:after="120" w:line="276" w:lineRule="auto"/>
        <w:ind w:firstLine="720"/>
        <w:jc w:val="both"/>
        <w:rPr>
          <w:color w:val="000000" w:themeColor="text1"/>
          <w:lang w:eastAsia="en-GB"/>
        </w:rPr>
      </w:pPr>
    </w:p>
    <w:p w14:paraId="188420B4" w14:textId="77777777" w:rsidR="00FB0D92" w:rsidRPr="00EF252C" w:rsidRDefault="00FB0D92" w:rsidP="00FB0D92">
      <w:pPr>
        <w:spacing w:after="120" w:line="276" w:lineRule="auto"/>
        <w:jc w:val="both"/>
        <w:rPr>
          <w:color w:val="000000" w:themeColor="text1"/>
          <w:u w:val="single"/>
          <w:lang w:eastAsia="en-GB"/>
        </w:rPr>
      </w:pPr>
      <w:r w:rsidRPr="00EF252C">
        <w:rPr>
          <w:color w:val="000000" w:themeColor="text1"/>
          <w:u w:val="single"/>
          <w:lang w:eastAsia="en-GB"/>
        </w:rPr>
        <w:t xml:space="preserve">Figure 2. Urban youth shares over time, by region. </w:t>
      </w:r>
    </w:p>
    <w:p w14:paraId="1FE76419" w14:textId="77777777" w:rsidR="00FB0D92" w:rsidRPr="00EF252C" w:rsidRDefault="00FB0D92" w:rsidP="00FB0D92">
      <w:pPr>
        <w:spacing w:after="120" w:line="276" w:lineRule="auto"/>
        <w:jc w:val="both"/>
        <w:rPr>
          <w:color w:val="000000" w:themeColor="text1"/>
          <w:lang w:eastAsia="en-GB"/>
        </w:rPr>
      </w:pPr>
      <w:r w:rsidRPr="00EF252C">
        <w:rPr>
          <w:noProof/>
          <w:color w:val="000000" w:themeColor="text1"/>
          <w:lang w:eastAsia="en-GB"/>
        </w:rPr>
        <w:drawing>
          <wp:inline distT="0" distB="0" distL="0" distR="0" wp14:anchorId="569AF961" wp14:editId="125DE618">
            <wp:extent cx="4388925" cy="3657600"/>
            <wp:effectExtent l="0" t="0" r="5715" b="0"/>
            <wp:docPr id="263221019" name="Picture 7" descr="A graph of different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21019" name="Picture 7" descr="A graph of different countries/region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8925" cy="3657600"/>
                    </a:xfrm>
                    <a:prstGeom prst="rect">
                      <a:avLst/>
                    </a:prstGeom>
                  </pic:spPr>
                </pic:pic>
              </a:graphicData>
            </a:graphic>
          </wp:inline>
        </w:drawing>
      </w:r>
    </w:p>
    <w:p w14:paraId="0AF7CA3C" w14:textId="77777777" w:rsidR="00FB0D92" w:rsidRDefault="00FB0D92" w:rsidP="00FB0D92">
      <w:pPr>
        <w:spacing w:after="120" w:line="276" w:lineRule="auto"/>
        <w:jc w:val="both"/>
        <w:rPr>
          <w:color w:val="000000" w:themeColor="text1"/>
          <w:lang w:eastAsia="en-GB"/>
        </w:rPr>
      </w:pPr>
    </w:p>
    <w:p w14:paraId="5F160748" w14:textId="77777777" w:rsidR="00FB0D92" w:rsidRDefault="00FB0D92" w:rsidP="00FB0D92">
      <w:pPr>
        <w:spacing w:after="120" w:line="276" w:lineRule="auto"/>
        <w:jc w:val="both"/>
        <w:rPr>
          <w:color w:val="000000" w:themeColor="text1"/>
          <w:lang w:eastAsia="en-GB"/>
        </w:rPr>
      </w:pPr>
      <w:r w:rsidRPr="00EF252C">
        <w:rPr>
          <w:color w:val="000000" w:themeColor="text1"/>
          <w:lang w:eastAsia="en-GB"/>
        </w:rPr>
        <w:t xml:space="preserve">Importantly, this data show that national level figures can hide significant subnational variation between cities within regions and countries. Figure 3 shows city-level variation in urban youth shares for cities within Africa’s subregions. Each point represents a unique city and the width of the body of the ‘violin’ indicates the density of city points at each value of youth share in the data. The figure reveals substantial variation in youth shares both within and between regions. Again, we see greater variation within Eastern Africa, and North Africa also displays a high degree of variance between cities. Southern African cities have by far the oldest demographic compositions. The bulk of where these cities sit on the youth share distribution is broadly comparable to the least youthful cities of other regions. Similarly, Figure 4 shows </w:t>
      </w:r>
      <w:r w:rsidRPr="00EF252C">
        <w:rPr>
          <w:color w:val="000000" w:themeColor="text1"/>
          <w:lang w:eastAsia="en-GB"/>
        </w:rPr>
        <w:lastRenderedPageBreak/>
        <w:t xml:space="preserve">substantial variation between cities within countries. It confirms that there is also substantial variation in youth shares within countries. Ethiopia and Nigeria in particular display high level of variation. </w:t>
      </w:r>
    </w:p>
    <w:p w14:paraId="6B224ACB" w14:textId="77777777" w:rsidR="00FB0D92" w:rsidRPr="00EF252C" w:rsidRDefault="00FB0D92" w:rsidP="00FB0D92">
      <w:pPr>
        <w:spacing w:after="120" w:line="276" w:lineRule="auto"/>
        <w:jc w:val="both"/>
        <w:rPr>
          <w:color w:val="000000" w:themeColor="text1"/>
          <w:lang w:eastAsia="en-GB"/>
        </w:rPr>
      </w:pPr>
      <w:r w:rsidRPr="00EF252C">
        <w:rPr>
          <w:color w:val="000000" w:themeColor="text1"/>
          <w:lang w:eastAsia="en-GB"/>
        </w:rPr>
        <w:t xml:space="preserve">Overall, these subnational estimates of the age and sex composition of urban populations reveal substantial variation in youth shares both between countries and between cities within countries. This implies markedly different demographic contexts across the spectrum of Africa’s urban settlements. Moreover, we expect this heterogeneity to be associated with local variation in demographic contexts between more and less youthful cities which will plausibly be associated with variation in individual political behaviours between cities. </w:t>
      </w:r>
    </w:p>
    <w:p w14:paraId="1D9C2E55" w14:textId="77777777" w:rsidR="00FB0D92" w:rsidRDefault="00FB0D92" w:rsidP="00FB0D92">
      <w:pPr>
        <w:spacing w:after="120" w:line="276" w:lineRule="auto"/>
        <w:jc w:val="both"/>
        <w:rPr>
          <w:color w:val="000000" w:themeColor="text1"/>
          <w:lang w:eastAsia="en-GB"/>
        </w:rPr>
      </w:pPr>
    </w:p>
    <w:p w14:paraId="0BAA2B9A" w14:textId="77777777" w:rsidR="00FB0D92" w:rsidRPr="00EF252C" w:rsidRDefault="00FB0D92" w:rsidP="00FB0D92">
      <w:pPr>
        <w:spacing w:after="120" w:line="276" w:lineRule="auto"/>
        <w:jc w:val="both"/>
        <w:rPr>
          <w:color w:val="000000" w:themeColor="text1"/>
          <w:u w:val="single"/>
          <w:lang w:eastAsia="en-GB"/>
        </w:rPr>
      </w:pPr>
      <w:r w:rsidRPr="00EF252C">
        <w:rPr>
          <w:color w:val="000000" w:themeColor="text1"/>
          <w:u w:val="single"/>
          <w:lang w:eastAsia="en-GB"/>
        </w:rPr>
        <w:t>City-level variation in urban youth shares by region (2000-2020)</w:t>
      </w:r>
    </w:p>
    <w:p w14:paraId="1A5779AE" w14:textId="77777777" w:rsidR="00FB0D92" w:rsidRPr="00EF252C" w:rsidRDefault="00FB0D92" w:rsidP="00FB0D92">
      <w:pPr>
        <w:spacing w:after="120" w:line="276" w:lineRule="auto"/>
        <w:jc w:val="both"/>
        <w:rPr>
          <w:color w:val="000000" w:themeColor="text1"/>
          <w:lang w:eastAsia="en-GB"/>
        </w:rPr>
      </w:pPr>
      <w:r w:rsidRPr="00EF252C">
        <w:rPr>
          <w:noProof/>
          <w:color w:val="000000" w:themeColor="text1"/>
          <w:lang w:eastAsia="en-GB"/>
        </w:rPr>
        <w:drawing>
          <wp:inline distT="0" distB="0" distL="0" distR="0" wp14:anchorId="3750D0C1" wp14:editId="32655222">
            <wp:extent cx="4388925" cy="3657600"/>
            <wp:effectExtent l="0" t="0" r="5715" b="0"/>
            <wp:docPr id="2139150344" name="Picture 6" descr="A graph of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50344" name="Picture 6" descr="A graph of different shap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8925" cy="3657600"/>
                    </a:xfrm>
                    <a:prstGeom prst="rect">
                      <a:avLst/>
                    </a:prstGeom>
                  </pic:spPr>
                </pic:pic>
              </a:graphicData>
            </a:graphic>
          </wp:inline>
        </w:drawing>
      </w:r>
    </w:p>
    <w:p w14:paraId="28E3CDAC" w14:textId="77777777" w:rsidR="00FB0D92" w:rsidRPr="00EF252C" w:rsidRDefault="00FB0D92" w:rsidP="00FB0D92">
      <w:pPr>
        <w:spacing w:after="120" w:line="276" w:lineRule="auto"/>
        <w:jc w:val="both"/>
        <w:rPr>
          <w:color w:val="000000" w:themeColor="text1"/>
          <w:lang w:eastAsia="en-GB"/>
        </w:rPr>
      </w:pPr>
    </w:p>
    <w:p w14:paraId="46560192" w14:textId="77777777" w:rsidR="00FB0D92" w:rsidRDefault="00FB0D92" w:rsidP="00FB0D92">
      <w:pPr>
        <w:spacing w:after="120" w:line="276" w:lineRule="auto"/>
        <w:jc w:val="both"/>
        <w:rPr>
          <w:color w:val="000000" w:themeColor="text1"/>
          <w:u w:val="single"/>
          <w:lang w:eastAsia="en-GB"/>
        </w:rPr>
      </w:pPr>
    </w:p>
    <w:p w14:paraId="6C871FD1" w14:textId="77777777" w:rsidR="00FB0D92" w:rsidRDefault="00FB0D92" w:rsidP="00FB0D92">
      <w:pPr>
        <w:spacing w:after="120" w:line="276" w:lineRule="auto"/>
        <w:jc w:val="both"/>
        <w:rPr>
          <w:color w:val="000000" w:themeColor="text1"/>
          <w:u w:val="single"/>
          <w:lang w:eastAsia="en-GB"/>
        </w:rPr>
      </w:pPr>
    </w:p>
    <w:p w14:paraId="16DC96B4" w14:textId="77777777" w:rsidR="00FB0D92" w:rsidRDefault="00FB0D92" w:rsidP="00FB0D92">
      <w:pPr>
        <w:spacing w:after="120" w:line="276" w:lineRule="auto"/>
        <w:jc w:val="both"/>
        <w:rPr>
          <w:color w:val="000000" w:themeColor="text1"/>
          <w:u w:val="single"/>
          <w:lang w:eastAsia="en-GB"/>
        </w:rPr>
      </w:pPr>
    </w:p>
    <w:p w14:paraId="30784E7E" w14:textId="77777777" w:rsidR="00FB0D92" w:rsidRDefault="00FB0D92" w:rsidP="00FB0D92">
      <w:pPr>
        <w:spacing w:after="120" w:line="276" w:lineRule="auto"/>
        <w:jc w:val="both"/>
        <w:rPr>
          <w:color w:val="000000" w:themeColor="text1"/>
          <w:u w:val="single"/>
          <w:lang w:eastAsia="en-GB"/>
        </w:rPr>
      </w:pPr>
    </w:p>
    <w:p w14:paraId="3BF7656C" w14:textId="77777777" w:rsidR="00FB0D92" w:rsidRDefault="00FB0D92" w:rsidP="00FB0D92">
      <w:pPr>
        <w:spacing w:after="120" w:line="276" w:lineRule="auto"/>
        <w:jc w:val="both"/>
        <w:rPr>
          <w:color w:val="000000" w:themeColor="text1"/>
          <w:u w:val="single"/>
          <w:lang w:eastAsia="en-GB"/>
        </w:rPr>
      </w:pPr>
    </w:p>
    <w:p w14:paraId="5B3CAB80" w14:textId="77777777" w:rsidR="00FB0D92" w:rsidRDefault="00FB0D92" w:rsidP="00FB0D92">
      <w:pPr>
        <w:spacing w:after="120" w:line="276" w:lineRule="auto"/>
        <w:jc w:val="both"/>
        <w:rPr>
          <w:color w:val="000000" w:themeColor="text1"/>
          <w:u w:val="single"/>
          <w:lang w:eastAsia="en-GB"/>
        </w:rPr>
      </w:pPr>
    </w:p>
    <w:p w14:paraId="3D7410BD" w14:textId="77777777" w:rsidR="00FB0D92" w:rsidRDefault="00FB0D92" w:rsidP="00FB0D92">
      <w:pPr>
        <w:spacing w:after="120" w:line="276" w:lineRule="auto"/>
        <w:jc w:val="both"/>
        <w:rPr>
          <w:color w:val="000000" w:themeColor="text1"/>
          <w:u w:val="single"/>
          <w:lang w:eastAsia="en-GB"/>
        </w:rPr>
      </w:pPr>
    </w:p>
    <w:p w14:paraId="278E41F2" w14:textId="77777777" w:rsidR="00FB0D92" w:rsidRDefault="00FB0D92" w:rsidP="00FB0D92">
      <w:pPr>
        <w:spacing w:after="120" w:line="276" w:lineRule="auto"/>
        <w:jc w:val="both"/>
        <w:rPr>
          <w:color w:val="000000" w:themeColor="text1"/>
          <w:u w:val="single"/>
          <w:lang w:eastAsia="en-GB"/>
        </w:rPr>
      </w:pPr>
    </w:p>
    <w:p w14:paraId="1784B07E" w14:textId="77777777" w:rsidR="00FB0D92" w:rsidRPr="00EF252C" w:rsidRDefault="00FB0D92" w:rsidP="00FB0D92">
      <w:pPr>
        <w:spacing w:after="120" w:line="276" w:lineRule="auto"/>
        <w:jc w:val="both"/>
        <w:rPr>
          <w:color w:val="000000" w:themeColor="text1"/>
          <w:u w:val="single"/>
          <w:lang w:eastAsia="en-GB"/>
        </w:rPr>
      </w:pPr>
      <w:r w:rsidRPr="00EF252C">
        <w:rPr>
          <w:color w:val="000000" w:themeColor="text1"/>
          <w:u w:val="single"/>
          <w:lang w:eastAsia="en-GB"/>
        </w:rPr>
        <w:lastRenderedPageBreak/>
        <w:t>Figure 4. City-level variation in urban youth shares (2000-2020) within and between countries</w:t>
      </w:r>
    </w:p>
    <w:p w14:paraId="58738180" w14:textId="77777777" w:rsidR="00FB0D92" w:rsidRPr="00EF252C" w:rsidRDefault="00FB0D92" w:rsidP="00FB0D92">
      <w:pPr>
        <w:spacing w:after="120" w:line="276" w:lineRule="auto"/>
        <w:jc w:val="both"/>
        <w:rPr>
          <w:color w:val="000000" w:themeColor="text1"/>
          <w:lang w:eastAsia="en-GB"/>
        </w:rPr>
      </w:pPr>
      <w:r w:rsidRPr="00EF252C">
        <w:rPr>
          <w:noProof/>
          <w:color w:val="000000" w:themeColor="text1"/>
          <w:lang w:eastAsia="en-GB"/>
        </w:rPr>
        <w:drawing>
          <wp:inline distT="0" distB="0" distL="0" distR="0" wp14:anchorId="740CA9E8" wp14:editId="24DF1508">
            <wp:extent cx="4388925" cy="3657600"/>
            <wp:effectExtent l="0" t="0" r="5715" b="0"/>
            <wp:docPr id="274101533" name="Picture 5" descr="A graph of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1533" name="Picture 5" descr="A graph of different shap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8925" cy="3657600"/>
                    </a:xfrm>
                    <a:prstGeom prst="rect">
                      <a:avLst/>
                    </a:prstGeom>
                  </pic:spPr>
                </pic:pic>
              </a:graphicData>
            </a:graphic>
          </wp:inline>
        </w:drawing>
      </w:r>
    </w:p>
    <w:p w14:paraId="623C0063" w14:textId="77777777" w:rsidR="00FB0D92" w:rsidRPr="00EF252C" w:rsidRDefault="00FB0D92" w:rsidP="00FB0D92">
      <w:pPr>
        <w:spacing w:before="100" w:beforeAutospacing="1" w:after="100" w:afterAutospacing="1" w:line="276" w:lineRule="auto"/>
        <w:outlineLvl w:val="1"/>
        <w:rPr>
          <w:b/>
          <w:bCs/>
        </w:rPr>
      </w:pPr>
    </w:p>
    <w:p w14:paraId="32E7BD97" w14:textId="77777777" w:rsidR="00FB0D92" w:rsidRPr="00EF252C" w:rsidRDefault="00FB0D92" w:rsidP="00FB0D92">
      <w:pPr>
        <w:spacing w:before="100" w:beforeAutospacing="1" w:after="100" w:afterAutospacing="1" w:line="276" w:lineRule="auto"/>
        <w:outlineLvl w:val="1"/>
        <w:rPr>
          <w:b/>
          <w:bCs/>
        </w:rPr>
      </w:pPr>
    </w:p>
    <w:p w14:paraId="7F612BB5" w14:textId="77777777" w:rsidR="00FB0D92" w:rsidRPr="00EF252C" w:rsidRDefault="00FB0D92" w:rsidP="00FB0D92">
      <w:pPr>
        <w:spacing w:before="100" w:beforeAutospacing="1" w:after="100" w:afterAutospacing="1" w:line="276" w:lineRule="auto"/>
        <w:outlineLvl w:val="1"/>
        <w:rPr>
          <w:b/>
          <w:bCs/>
        </w:rPr>
      </w:pPr>
    </w:p>
    <w:p w14:paraId="4DD6C77F" w14:textId="77777777" w:rsidR="00FB0D92" w:rsidRPr="00EF252C" w:rsidRDefault="00FB0D92" w:rsidP="00FB0D92">
      <w:pPr>
        <w:spacing w:before="100" w:beforeAutospacing="1" w:after="100" w:afterAutospacing="1" w:line="276" w:lineRule="auto"/>
        <w:outlineLvl w:val="1"/>
        <w:rPr>
          <w:b/>
          <w:bCs/>
        </w:rPr>
      </w:pPr>
    </w:p>
    <w:p w14:paraId="43B04002" w14:textId="77777777" w:rsidR="00FB0D92" w:rsidRPr="00EF252C" w:rsidRDefault="00FB0D92" w:rsidP="00FB0D92">
      <w:pPr>
        <w:spacing w:before="100" w:beforeAutospacing="1" w:after="100" w:afterAutospacing="1" w:line="276" w:lineRule="auto"/>
        <w:outlineLvl w:val="1"/>
        <w:rPr>
          <w:b/>
          <w:bCs/>
        </w:rPr>
      </w:pPr>
    </w:p>
    <w:p w14:paraId="5B9463A4" w14:textId="77777777" w:rsidR="00FB0D92" w:rsidRDefault="00FB0D92" w:rsidP="00FB0D92">
      <w:pPr>
        <w:spacing w:before="100" w:beforeAutospacing="1" w:after="100" w:afterAutospacing="1" w:line="276" w:lineRule="auto"/>
        <w:outlineLvl w:val="1"/>
        <w:rPr>
          <w:b/>
          <w:bCs/>
        </w:rPr>
      </w:pPr>
    </w:p>
    <w:p w14:paraId="66BF7F64" w14:textId="77777777" w:rsidR="00FB0D92" w:rsidRDefault="00FB0D92" w:rsidP="00FB0D92">
      <w:pPr>
        <w:spacing w:before="100" w:beforeAutospacing="1" w:after="100" w:afterAutospacing="1" w:line="276" w:lineRule="auto"/>
        <w:outlineLvl w:val="1"/>
        <w:rPr>
          <w:b/>
          <w:bCs/>
        </w:rPr>
      </w:pPr>
    </w:p>
    <w:p w14:paraId="5B86FFFC" w14:textId="77777777" w:rsidR="00FB0D92" w:rsidRDefault="00FB0D92" w:rsidP="00FB0D92">
      <w:pPr>
        <w:spacing w:before="100" w:beforeAutospacing="1" w:after="100" w:afterAutospacing="1" w:line="276" w:lineRule="auto"/>
        <w:outlineLvl w:val="1"/>
        <w:rPr>
          <w:b/>
          <w:bCs/>
        </w:rPr>
      </w:pPr>
    </w:p>
    <w:p w14:paraId="72C4AC3E" w14:textId="77777777" w:rsidR="00FB0D92" w:rsidRDefault="00FB0D92" w:rsidP="00FB0D92">
      <w:pPr>
        <w:spacing w:before="100" w:beforeAutospacing="1" w:after="100" w:afterAutospacing="1" w:line="276" w:lineRule="auto"/>
        <w:outlineLvl w:val="1"/>
        <w:rPr>
          <w:b/>
          <w:bCs/>
        </w:rPr>
      </w:pPr>
    </w:p>
    <w:p w14:paraId="65174C86" w14:textId="77777777" w:rsidR="00FB0D92" w:rsidRDefault="00FB0D92" w:rsidP="00FB0D92">
      <w:pPr>
        <w:spacing w:before="100" w:beforeAutospacing="1" w:after="100" w:afterAutospacing="1" w:line="276" w:lineRule="auto"/>
        <w:outlineLvl w:val="1"/>
        <w:rPr>
          <w:b/>
          <w:bCs/>
        </w:rPr>
      </w:pPr>
    </w:p>
    <w:p w14:paraId="49DF92B0" w14:textId="77777777" w:rsidR="00FB0D92" w:rsidRDefault="00FB0D92" w:rsidP="00FB0D92">
      <w:pPr>
        <w:spacing w:before="100" w:beforeAutospacing="1" w:after="100" w:afterAutospacing="1" w:line="276" w:lineRule="auto"/>
        <w:outlineLvl w:val="1"/>
        <w:rPr>
          <w:b/>
          <w:bCs/>
        </w:rPr>
      </w:pPr>
    </w:p>
    <w:p w14:paraId="210B33E5" w14:textId="77777777" w:rsidR="00FB0D92" w:rsidRDefault="00FB0D92" w:rsidP="00FB0D92">
      <w:pPr>
        <w:spacing w:before="100" w:beforeAutospacing="1" w:after="100" w:afterAutospacing="1" w:line="276" w:lineRule="auto"/>
        <w:outlineLvl w:val="1"/>
        <w:rPr>
          <w:b/>
          <w:bCs/>
        </w:rPr>
      </w:pPr>
    </w:p>
    <w:p w14:paraId="45D29662" w14:textId="77777777" w:rsidR="00FB0D92" w:rsidRPr="00EF252C" w:rsidRDefault="00FB0D92" w:rsidP="00FB0D92">
      <w:pPr>
        <w:spacing w:before="100" w:beforeAutospacing="1" w:after="100" w:afterAutospacing="1" w:line="276" w:lineRule="auto"/>
        <w:outlineLvl w:val="1"/>
        <w:rPr>
          <w:b/>
          <w:bCs/>
        </w:rPr>
      </w:pPr>
      <w:r w:rsidRPr="00EF252C">
        <w:rPr>
          <w:b/>
          <w:bCs/>
        </w:rPr>
        <w:lastRenderedPageBreak/>
        <w:t>Appendix C: Descriptive Statistics</w:t>
      </w:r>
    </w:p>
    <w:tbl>
      <w:tblPr>
        <w:tblW w:w="5000" w:type="pct"/>
        <w:jc w:val="center"/>
        <w:tblLook w:val="04A0" w:firstRow="1" w:lastRow="0" w:firstColumn="1" w:lastColumn="0" w:noHBand="0" w:noVBand="1"/>
      </w:tblPr>
      <w:tblGrid>
        <w:gridCol w:w="2615"/>
        <w:gridCol w:w="867"/>
        <w:gridCol w:w="876"/>
        <w:gridCol w:w="876"/>
        <w:gridCol w:w="996"/>
        <w:gridCol w:w="976"/>
        <w:gridCol w:w="976"/>
        <w:gridCol w:w="844"/>
      </w:tblGrid>
      <w:tr w:rsidR="00FB0D92" w:rsidRPr="00EF252C" w14:paraId="243A4728" w14:textId="77777777" w:rsidTr="00B648EF">
        <w:trPr>
          <w:trHeight w:val="320"/>
          <w:jc w:val="center"/>
        </w:trPr>
        <w:tc>
          <w:tcPr>
            <w:tcW w:w="1293" w:type="pct"/>
            <w:tcBorders>
              <w:top w:val="single" w:sz="4" w:space="0" w:color="auto"/>
              <w:left w:val="nil"/>
              <w:bottom w:val="single" w:sz="4" w:space="0" w:color="auto"/>
              <w:right w:val="nil"/>
            </w:tcBorders>
            <w:noWrap/>
            <w:vAlign w:val="bottom"/>
            <w:hideMark/>
          </w:tcPr>
          <w:p w14:paraId="3ADFFE4D" w14:textId="77777777" w:rsidR="00FB0D92" w:rsidRPr="00EF252C" w:rsidRDefault="00FB0D92" w:rsidP="00B648EF">
            <w:pPr>
              <w:spacing w:line="276" w:lineRule="auto"/>
              <w:rPr>
                <w:b/>
                <w:bCs/>
                <w:color w:val="000000"/>
              </w:rPr>
            </w:pPr>
            <w:r w:rsidRPr="00EF252C">
              <w:rPr>
                <w:b/>
                <w:bCs/>
                <w:color w:val="000000"/>
              </w:rPr>
              <w:t>Name</w:t>
            </w:r>
          </w:p>
        </w:tc>
        <w:tc>
          <w:tcPr>
            <w:tcW w:w="530" w:type="pct"/>
            <w:tcBorders>
              <w:top w:val="single" w:sz="4" w:space="0" w:color="auto"/>
              <w:left w:val="nil"/>
              <w:bottom w:val="single" w:sz="4" w:space="0" w:color="auto"/>
              <w:right w:val="nil"/>
            </w:tcBorders>
            <w:noWrap/>
            <w:vAlign w:val="bottom"/>
            <w:hideMark/>
          </w:tcPr>
          <w:p w14:paraId="3E2B9B80" w14:textId="77777777" w:rsidR="00FB0D92" w:rsidRPr="00EF252C" w:rsidRDefault="00FB0D92" w:rsidP="00B648EF">
            <w:pPr>
              <w:spacing w:line="276" w:lineRule="auto"/>
              <w:jc w:val="center"/>
              <w:rPr>
                <w:b/>
                <w:bCs/>
                <w:color w:val="000000"/>
              </w:rPr>
            </w:pPr>
            <w:r w:rsidRPr="00EF252C">
              <w:rPr>
                <w:b/>
                <w:bCs/>
                <w:color w:val="000000"/>
              </w:rPr>
              <w:t>N</w:t>
            </w:r>
          </w:p>
        </w:tc>
        <w:tc>
          <w:tcPr>
            <w:tcW w:w="530" w:type="pct"/>
            <w:tcBorders>
              <w:top w:val="single" w:sz="4" w:space="0" w:color="auto"/>
              <w:left w:val="nil"/>
              <w:bottom w:val="single" w:sz="4" w:space="0" w:color="auto"/>
              <w:right w:val="nil"/>
            </w:tcBorders>
            <w:noWrap/>
            <w:vAlign w:val="bottom"/>
            <w:hideMark/>
          </w:tcPr>
          <w:p w14:paraId="29F95AF0" w14:textId="77777777" w:rsidR="00FB0D92" w:rsidRPr="00EF252C" w:rsidRDefault="00FB0D92" w:rsidP="00B648EF">
            <w:pPr>
              <w:spacing w:line="276" w:lineRule="auto"/>
              <w:jc w:val="center"/>
              <w:rPr>
                <w:b/>
                <w:bCs/>
                <w:color w:val="000000"/>
              </w:rPr>
            </w:pPr>
            <w:r w:rsidRPr="00EF252C">
              <w:rPr>
                <w:b/>
                <w:bCs/>
                <w:color w:val="000000"/>
              </w:rPr>
              <w:t>Mean</w:t>
            </w:r>
          </w:p>
        </w:tc>
        <w:tc>
          <w:tcPr>
            <w:tcW w:w="530" w:type="pct"/>
            <w:tcBorders>
              <w:top w:val="single" w:sz="4" w:space="0" w:color="auto"/>
              <w:left w:val="nil"/>
              <w:bottom w:val="single" w:sz="4" w:space="0" w:color="auto"/>
              <w:right w:val="nil"/>
            </w:tcBorders>
            <w:noWrap/>
            <w:vAlign w:val="bottom"/>
            <w:hideMark/>
          </w:tcPr>
          <w:p w14:paraId="5E227011" w14:textId="77777777" w:rsidR="00FB0D92" w:rsidRPr="00EF252C" w:rsidRDefault="00FB0D92" w:rsidP="00B648EF">
            <w:pPr>
              <w:spacing w:line="276" w:lineRule="auto"/>
              <w:jc w:val="center"/>
              <w:rPr>
                <w:b/>
                <w:bCs/>
                <w:color w:val="000000"/>
              </w:rPr>
            </w:pPr>
            <w:r w:rsidRPr="00EF252C">
              <w:rPr>
                <w:b/>
                <w:bCs/>
                <w:color w:val="000000"/>
              </w:rPr>
              <w:t>SD</w:t>
            </w:r>
          </w:p>
        </w:tc>
        <w:tc>
          <w:tcPr>
            <w:tcW w:w="530" w:type="pct"/>
            <w:tcBorders>
              <w:top w:val="single" w:sz="4" w:space="0" w:color="auto"/>
              <w:left w:val="nil"/>
              <w:bottom w:val="single" w:sz="4" w:space="0" w:color="auto"/>
              <w:right w:val="nil"/>
            </w:tcBorders>
            <w:noWrap/>
            <w:vAlign w:val="bottom"/>
            <w:hideMark/>
          </w:tcPr>
          <w:p w14:paraId="6A3235EF" w14:textId="77777777" w:rsidR="00FB0D92" w:rsidRPr="00EF252C" w:rsidRDefault="00FB0D92" w:rsidP="00B648EF">
            <w:pPr>
              <w:spacing w:line="276" w:lineRule="auto"/>
              <w:jc w:val="center"/>
              <w:rPr>
                <w:b/>
                <w:bCs/>
                <w:color w:val="000000"/>
              </w:rPr>
            </w:pPr>
            <w:r w:rsidRPr="00EF252C">
              <w:rPr>
                <w:b/>
                <w:bCs/>
                <w:color w:val="000000"/>
              </w:rPr>
              <w:t>Min</w:t>
            </w:r>
          </w:p>
        </w:tc>
        <w:tc>
          <w:tcPr>
            <w:tcW w:w="530" w:type="pct"/>
            <w:tcBorders>
              <w:top w:val="single" w:sz="4" w:space="0" w:color="auto"/>
              <w:left w:val="nil"/>
              <w:bottom w:val="single" w:sz="4" w:space="0" w:color="auto"/>
              <w:right w:val="nil"/>
            </w:tcBorders>
            <w:noWrap/>
            <w:vAlign w:val="bottom"/>
            <w:hideMark/>
          </w:tcPr>
          <w:p w14:paraId="234BF209" w14:textId="77777777" w:rsidR="00FB0D92" w:rsidRPr="00EF252C" w:rsidRDefault="00FB0D92" w:rsidP="00B648EF">
            <w:pPr>
              <w:spacing w:line="276" w:lineRule="auto"/>
              <w:jc w:val="center"/>
              <w:rPr>
                <w:b/>
                <w:bCs/>
                <w:color w:val="000000"/>
              </w:rPr>
            </w:pPr>
            <w:proofErr w:type="spellStart"/>
            <w:r w:rsidRPr="00EF252C">
              <w:rPr>
                <w:b/>
                <w:bCs/>
                <w:color w:val="000000"/>
              </w:rPr>
              <w:t>Pctl</w:t>
            </w:r>
            <w:proofErr w:type="spellEnd"/>
            <w:r w:rsidRPr="00EF252C">
              <w:rPr>
                <w:b/>
                <w:bCs/>
                <w:color w:val="000000"/>
              </w:rPr>
              <w:t>. 25</w:t>
            </w:r>
          </w:p>
        </w:tc>
        <w:tc>
          <w:tcPr>
            <w:tcW w:w="530" w:type="pct"/>
            <w:tcBorders>
              <w:top w:val="single" w:sz="4" w:space="0" w:color="auto"/>
              <w:left w:val="nil"/>
              <w:bottom w:val="single" w:sz="4" w:space="0" w:color="auto"/>
              <w:right w:val="nil"/>
            </w:tcBorders>
            <w:noWrap/>
            <w:vAlign w:val="bottom"/>
            <w:hideMark/>
          </w:tcPr>
          <w:p w14:paraId="3390FF70" w14:textId="77777777" w:rsidR="00FB0D92" w:rsidRPr="00EF252C" w:rsidRDefault="00FB0D92" w:rsidP="00B648EF">
            <w:pPr>
              <w:spacing w:line="276" w:lineRule="auto"/>
              <w:jc w:val="center"/>
              <w:rPr>
                <w:b/>
                <w:bCs/>
                <w:color w:val="000000"/>
              </w:rPr>
            </w:pPr>
            <w:proofErr w:type="spellStart"/>
            <w:r w:rsidRPr="00EF252C">
              <w:rPr>
                <w:b/>
                <w:bCs/>
                <w:color w:val="000000"/>
              </w:rPr>
              <w:t>Pctl</w:t>
            </w:r>
            <w:proofErr w:type="spellEnd"/>
            <w:r w:rsidRPr="00EF252C">
              <w:rPr>
                <w:b/>
                <w:bCs/>
                <w:color w:val="000000"/>
              </w:rPr>
              <w:t>. 75</w:t>
            </w:r>
          </w:p>
        </w:tc>
        <w:tc>
          <w:tcPr>
            <w:tcW w:w="527" w:type="pct"/>
            <w:tcBorders>
              <w:top w:val="single" w:sz="4" w:space="0" w:color="auto"/>
              <w:left w:val="nil"/>
              <w:bottom w:val="single" w:sz="4" w:space="0" w:color="auto"/>
              <w:right w:val="nil"/>
            </w:tcBorders>
            <w:noWrap/>
            <w:vAlign w:val="bottom"/>
            <w:hideMark/>
          </w:tcPr>
          <w:p w14:paraId="5CA4400E" w14:textId="77777777" w:rsidR="00FB0D92" w:rsidRPr="00EF252C" w:rsidRDefault="00FB0D92" w:rsidP="00B648EF">
            <w:pPr>
              <w:spacing w:line="276" w:lineRule="auto"/>
              <w:jc w:val="center"/>
              <w:rPr>
                <w:b/>
                <w:bCs/>
                <w:color w:val="000000"/>
              </w:rPr>
            </w:pPr>
            <w:r w:rsidRPr="00EF252C">
              <w:rPr>
                <w:b/>
                <w:bCs/>
                <w:color w:val="000000"/>
              </w:rPr>
              <w:t>MAX</w:t>
            </w:r>
          </w:p>
        </w:tc>
      </w:tr>
      <w:tr w:rsidR="00FB0D92" w:rsidRPr="00EF252C" w14:paraId="609B52E9" w14:textId="77777777" w:rsidTr="00B648EF">
        <w:trPr>
          <w:trHeight w:val="320"/>
          <w:jc w:val="center"/>
        </w:trPr>
        <w:tc>
          <w:tcPr>
            <w:tcW w:w="1293" w:type="pct"/>
            <w:tcBorders>
              <w:top w:val="single" w:sz="4" w:space="0" w:color="auto"/>
              <w:left w:val="nil"/>
              <w:bottom w:val="nil"/>
              <w:right w:val="nil"/>
            </w:tcBorders>
            <w:noWrap/>
            <w:vAlign w:val="bottom"/>
            <w:hideMark/>
          </w:tcPr>
          <w:p w14:paraId="6AC89CD9" w14:textId="77777777" w:rsidR="00FB0D92" w:rsidRPr="00EF252C" w:rsidRDefault="00FB0D92" w:rsidP="00B648EF">
            <w:pPr>
              <w:spacing w:line="276" w:lineRule="auto"/>
              <w:rPr>
                <w:color w:val="000000"/>
              </w:rPr>
            </w:pPr>
            <w:r w:rsidRPr="00EF252C">
              <w:rPr>
                <w:color w:val="000000"/>
              </w:rPr>
              <w:t>Attend Protest</w:t>
            </w:r>
          </w:p>
        </w:tc>
        <w:tc>
          <w:tcPr>
            <w:tcW w:w="530" w:type="pct"/>
            <w:tcBorders>
              <w:top w:val="single" w:sz="4" w:space="0" w:color="auto"/>
              <w:left w:val="nil"/>
              <w:bottom w:val="nil"/>
              <w:right w:val="nil"/>
            </w:tcBorders>
            <w:noWrap/>
            <w:vAlign w:val="bottom"/>
            <w:hideMark/>
          </w:tcPr>
          <w:p w14:paraId="2D363070" w14:textId="77777777" w:rsidR="00FB0D92" w:rsidRPr="00EF252C" w:rsidRDefault="00FB0D92" w:rsidP="00B648EF">
            <w:pPr>
              <w:spacing w:line="276" w:lineRule="auto"/>
              <w:jc w:val="center"/>
              <w:rPr>
                <w:color w:val="000000"/>
              </w:rPr>
            </w:pPr>
            <w:r w:rsidRPr="00EF252C">
              <w:rPr>
                <w:color w:val="000000"/>
              </w:rPr>
              <w:t>18433</w:t>
            </w:r>
          </w:p>
        </w:tc>
        <w:tc>
          <w:tcPr>
            <w:tcW w:w="530" w:type="pct"/>
            <w:tcBorders>
              <w:top w:val="single" w:sz="4" w:space="0" w:color="auto"/>
              <w:left w:val="nil"/>
              <w:bottom w:val="nil"/>
              <w:right w:val="nil"/>
            </w:tcBorders>
            <w:noWrap/>
            <w:vAlign w:val="bottom"/>
            <w:hideMark/>
          </w:tcPr>
          <w:p w14:paraId="12ECF90E" w14:textId="77777777" w:rsidR="00FB0D92" w:rsidRPr="00EF252C" w:rsidRDefault="00FB0D92" w:rsidP="00B648EF">
            <w:pPr>
              <w:spacing w:line="276" w:lineRule="auto"/>
              <w:jc w:val="center"/>
              <w:rPr>
                <w:color w:val="000000"/>
              </w:rPr>
            </w:pPr>
            <w:r w:rsidRPr="00EF252C">
              <w:rPr>
                <w:color w:val="000000"/>
              </w:rPr>
              <w:t>0.12</w:t>
            </w:r>
          </w:p>
        </w:tc>
        <w:tc>
          <w:tcPr>
            <w:tcW w:w="530" w:type="pct"/>
            <w:tcBorders>
              <w:top w:val="single" w:sz="4" w:space="0" w:color="auto"/>
              <w:left w:val="nil"/>
              <w:bottom w:val="nil"/>
              <w:right w:val="nil"/>
            </w:tcBorders>
            <w:noWrap/>
            <w:vAlign w:val="bottom"/>
            <w:hideMark/>
          </w:tcPr>
          <w:p w14:paraId="281B42B0" w14:textId="77777777" w:rsidR="00FB0D92" w:rsidRPr="00EF252C" w:rsidRDefault="00FB0D92" w:rsidP="00B648EF">
            <w:pPr>
              <w:spacing w:line="276" w:lineRule="auto"/>
              <w:jc w:val="center"/>
              <w:rPr>
                <w:color w:val="000000"/>
              </w:rPr>
            </w:pPr>
            <w:r w:rsidRPr="00EF252C">
              <w:rPr>
                <w:color w:val="000000"/>
              </w:rPr>
              <w:t>0.32</w:t>
            </w:r>
          </w:p>
        </w:tc>
        <w:tc>
          <w:tcPr>
            <w:tcW w:w="530" w:type="pct"/>
            <w:tcBorders>
              <w:top w:val="single" w:sz="4" w:space="0" w:color="auto"/>
              <w:left w:val="nil"/>
              <w:bottom w:val="nil"/>
              <w:right w:val="nil"/>
            </w:tcBorders>
            <w:noWrap/>
            <w:vAlign w:val="bottom"/>
            <w:hideMark/>
          </w:tcPr>
          <w:p w14:paraId="38DA210C" w14:textId="77777777" w:rsidR="00FB0D92" w:rsidRPr="00EF252C" w:rsidRDefault="00FB0D92" w:rsidP="00B648EF">
            <w:pPr>
              <w:spacing w:line="276" w:lineRule="auto"/>
              <w:jc w:val="center"/>
              <w:rPr>
                <w:color w:val="000000"/>
              </w:rPr>
            </w:pPr>
            <w:r w:rsidRPr="00EF252C">
              <w:rPr>
                <w:color w:val="000000"/>
              </w:rPr>
              <w:t>0</w:t>
            </w:r>
          </w:p>
        </w:tc>
        <w:tc>
          <w:tcPr>
            <w:tcW w:w="530" w:type="pct"/>
            <w:tcBorders>
              <w:top w:val="single" w:sz="4" w:space="0" w:color="auto"/>
              <w:left w:val="nil"/>
              <w:bottom w:val="nil"/>
              <w:right w:val="nil"/>
            </w:tcBorders>
            <w:noWrap/>
            <w:vAlign w:val="bottom"/>
            <w:hideMark/>
          </w:tcPr>
          <w:p w14:paraId="23328B4C" w14:textId="77777777" w:rsidR="00FB0D92" w:rsidRPr="00EF252C" w:rsidRDefault="00FB0D92" w:rsidP="00B648EF">
            <w:pPr>
              <w:spacing w:line="276" w:lineRule="auto"/>
              <w:jc w:val="center"/>
              <w:rPr>
                <w:color w:val="000000"/>
              </w:rPr>
            </w:pPr>
            <w:r w:rsidRPr="00EF252C">
              <w:rPr>
                <w:color w:val="000000"/>
              </w:rPr>
              <w:t>0</w:t>
            </w:r>
          </w:p>
        </w:tc>
        <w:tc>
          <w:tcPr>
            <w:tcW w:w="530" w:type="pct"/>
            <w:tcBorders>
              <w:top w:val="single" w:sz="4" w:space="0" w:color="auto"/>
              <w:left w:val="nil"/>
              <w:bottom w:val="nil"/>
              <w:right w:val="nil"/>
            </w:tcBorders>
            <w:noWrap/>
            <w:vAlign w:val="bottom"/>
            <w:hideMark/>
          </w:tcPr>
          <w:p w14:paraId="6516B674" w14:textId="77777777" w:rsidR="00FB0D92" w:rsidRPr="00EF252C" w:rsidRDefault="00FB0D92" w:rsidP="00B648EF">
            <w:pPr>
              <w:spacing w:line="276" w:lineRule="auto"/>
              <w:jc w:val="center"/>
              <w:rPr>
                <w:color w:val="000000"/>
              </w:rPr>
            </w:pPr>
            <w:r w:rsidRPr="00EF252C">
              <w:rPr>
                <w:color w:val="000000"/>
              </w:rPr>
              <w:t>0</w:t>
            </w:r>
          </w:p>
        </w:tc>
        <w:tc>
          <w:tcPr>
            <w:tcW w:w="527" w:type="pct"/>
            <w:tcBorders>
              <w:top w:val="single" w:sz="4" w:space="0" w:color="auto"/>
              <w:left w:val="nil"/>
              <w:bottom w:val="nil"/>
              <w:right w:val="nil"/>
            </w:tcBorders>
            <w:noWrap/>
            <w:vAlign w:val="bottom"/>
            <w:hideMark/>
          </w:tcPr>
          <w:p w14:paraId="336263CC" w14:textId="77777777" w:rsidR="00FB0D92" w:rsidRPr="00EF252C" w:rsidRDefault="00FB0D92" w:rsidP="00B648EF">
            <w:pPr>
              <w:spacing w:line="276" w:lineRule="auto"/>
              <w:jc w:val="center"/>
              <w:rPr>
                <w:color w:val="000000"/>
              </w:rPr>
            </w:pPr>
            <w:r w:rsidRPr="00EF252C">
              <w:rPr>
                <w:color w:val="000000"/>
              </w:rPr>
              <w:t>1</w:t>
            </w:r>
          </w:p>
        </w:tc>
      </w:tr>
      <w:tr w:rsidR="00FB0D92" w:rsidRPr="00EF252C" w14:paraId="34B1FF97" w14:textId="77777777" w:rsidTr="00B648EF">
        <w:trPr>
          <w:trHeight w:val="320"/>
          <w:jc w:val="center"/>
        </w:trPr>
        <w:tc>
          <w:tcPr>
            <w:tcW w:w="1293" w:type="pct"/>
            <w:tcBorders>
              <w:top w:val="nil"/>
              <w:left w:val="nil"/>
              <w:bottom w:val="nil"/>
              <w:right w:val="nil"/>
            </w:tcBorders>
            <w:noWrap/>
            <w:vAlign w:val="bottom"/>
            <w:hideMark/>
          </w:tcPr>
          <w:p w14:paraId="41C8B1A0" w14:textId="77777777" w:rsidR="00FB0D92" w:rsidRPr="00EF252C" w:rsidRDefault="00FB0D92" w:rsidP="00B648EF">
            <w:pPr>
              <w:spacing w:line="276" w:lineRule="auto"/>
              <w:rPr>
                <w:color w:val="000000"/>
              </w:rPr>
            </w:pPr>
            <w:r w:rsidRPr="00EF252C">
              <w:rPr>
                <w:color w:val="000000"/>
              </w:rPr>
              <w:t>Voted</w:t>
            </w:r>
          </w:p>
        </w:tc>
        <w:tc>
          <w:tcPr>
            <w:tcW w:w="530" w:type="pct"/>
            <w:tcBorders>
              <w:top w:val="nil"/>
              <w:left w:val="nil"/>
              <w:bottom w:val="nil"/>
              <w:right w:val="nil"/>
            </w:tcBorders>
            <w:noWrap/>
            <w:vAlign w:val="bottom"/>
            <w:hideMark/>
          </w:tcPr>
          <w:p w14:paraId="4B532011" w14:textId="77777777" w:rsidR="00FB0D92" w:rsidRPr="00EF252C" w:rsidRDefault="00FB0D92" w:rsidP="00B648EF">
            <w:pPr>
              <w:spacing w:line="276" w:lineRule="auto"/>
              <w:jc w:val="center"/>
              <w:rPr>
                <w:color w:val="000000"/>
              </w:rPr>
            </w:pPr>
            <w:r w:rsidRPr="00EF252C">
              <w:rPr>
                <w:color w:val="000000"/>
              </w:rPr>
              <w:t>18433</w:t>
            </w:r>
          </w:p>
        </w:tc>
        <w:tc>
          <w:tcPr>
            <w:tcW w:w="530" w:type="pct"/>
            <w:tcBorders>
              <w:top w:val="nil"/>
              <w:left w:val="nil"/>
              <w:bottom w:val="nil"/>
              <w:right w:val="nil"/>
            </w:tcBorders>
            <w:noWrap/>
            <w:vAlign w:val="bottom"/>
            <w:hideMark/>
          </w:tcPr>
          <w:p w14:paraId="4F01F6F4" w14:textId="77777777" w:rsidR="00FB0D92" w:rsidRPr="00EF252C" w:rsidRDefault="00FB0D92" w:rsidP="00B648EF">
            <w:pPr>
              <w:spacing w:line="276" w:lineRule="auto"/>
              <w:jc w:val="center"/>
              <w:rPr>
                <w:color w:val="000000"/>
              </w:rPr>
            </w:pPr>
            <w:r w:rsidRPr="00EF252C">
              <w:rPr>
                <w:color w:val="000000"/>
              </w:rPr>
              <w:t>0.76</w:t>
            </w:r>
          </w:p>
        </w:tc>
        <w:tc>
          <w:tcPr>
            <w:tcW w:w="530" w:type="pct"/>
            <w:tcBorders>
              <w:top w:val="nil"/>
              <w:left w:val="nil"/>
              <w:bottom w:val="nil"/>
              <w:right w:val="nil"/>
            </w:tcBorders>
            <w:noWrap/>
            <w:vAlign w:val="bottom"/>
            <w:hideMark/>
          </w:tcPr>
          <w:p w14:paraId="196BD31F" w14:textId="77777777" w:rsidR="00FB0D92" w:rsidRPr="00EF252C" w:rsidRDefault="00FB0D92" w:rsidP="00B648EF">
            <w:pPr>
              <w:spacing w:line="276" w:lineRule="auto"/>
              <w:jc w:val="center"/>
              <w:rPr>
                <w:color w:val="000000"/>
              </w:rPr>
            </w:pPr>
            <w:r w:rsidRPr="00EF252C">
              <w:rPr>
                <w:color w:val="000000"/>
              </w:rPr>
              <w:t>0.43</w:t>
            </w:r>
          </w:p>
        </w:tc>
        <w:tc>
          <w:tcPr>
            <w:tcW w:w="530" w:type="pct"/>
            <w:tcBorders>
              <w:top w:val="nil"/>
              <w:left w:val="nil"/>
              <w:bottom w:val="nil"/>
              <w:right w:val="nil"/>
            </w:tcBorders>
            <w:noWrap/>
            <w:vAlign w:val="bottom"/>
            <w:hideMark/>
          </w:tcPr>
          <w:p w14:paraId="588F15FD" w14:textId="77777777" w:rsidR="00FB0D92" w:rsidRPr="00EF252C" w:rsidRDefault="00FB0D92" w:rsidP="00B648EF">
            <w:pPr>
              <w:spacing w:line="276" w:lineRule="auto"/>
              <w:jc w:val="center"/>
              <w:rPr>
                <w:color w:val="000000"/>
              </w:rPr>
            </w:pPr>
            <w:r w:rsidRPr="00EF252C">
              <w:rPr>
                <w:color w:val="000000"/>
              </w:rPr>
              <w:t>0</w:t>
            </w:r>
          </w:p>
        </w:tc>
        <w:tc>
          <w:tcPr>
            <w:tcW w:w="530" w:type="pct"/>
            <w:tcBorders>
              <w:top w:val="nil"/>
              <w:left w:val="nil"/>
              <w:bottom w:val="nil"/>
              <w:right w:val="nil"/>
            </w:tcBorders>
            <w:noWrap/>
            <w:vAlign w:val="bottom"/>
            <w:hideMark/>
          </w:tcPr>
          <w:p w14:paraId="044B80ED" w14:textId="77777777" w:rsidR="00FB0D92" w:rsidRPr="00EF252C" w:rsidRDefault="00FB0D92" w:rsidP="00B648EF">
            <w:pPr>
              <w:spacing w:line="276" w:lineRule="auto"/>
              <w:jc w:val="center"/>
              <w:rPr>
                <w:color w:val="000000"/>
              </w:rPr>
            </w:pPr>
            <w:r w:rsidRPr="00EF252C">
              <w:rPr>
                <w:color w:val="000000"/>
              </w:rPr>
              <w:t>1</w:t>
            </w:r>
          </w:p>
        </w:tc>
        <w:tc>
          <w:tcPr>
            <w:tcW w:w="530" w:type="pct"/>
            <w:tcBorders>
              <w:top w:val="nil"/>
              <w:left w:val="nil"/>
              <w:bottom w:val="nil"/>
              <w:right w:val="nil"/>
            </w:tcBorders>
            <w:noWrap/>
            <w:vAlign w:val="bottom"/>
            <w:hideMark/>
          </w:tcPr>
          <w:p w14:paraId="5F9DBACB" w14:textId="77777777" w:rsidR="00FB0D92" w:rsidRPr="00EF252C" w:rsidRDefault="00FB0D92" w:rsidP="00B648EF">
            <w:pPr>
              <w:spacing w:line="276" w:lineRule="auto"/>
              <w:jc w:val="center"/>
              <w:rPr>
                <w:color w:val="000000"/>
              </w:rPr>
            </w:pPr>
            <w:r w:rsidRPr="00EF252C">
              <w:rPr>
                <w:color w:val="000000"/>
              </w:rPr>
              <w:t>1</w:t>
            </w:r>
          </w:p>
        </w:tc>
        <w:tc>
          <w:tcPr>
            <w:tcW w:w="527" w:type="pct"/>
            <w:tcBorders>
              <w:top w:val="nil"/>
              <w:left w:val="nil"/>
              <w:bottom w:val="nil"/>
              <w:right w:val="nil"/>
            </w:tcBorders>
            <w:noWrap/>
            <w:vAlign w:val="bottom"/>
            <w:hideMark/>
          </w:tcPr>
          <w:p w14:paraId="4113EE83" w14:textId="77777777" w:rsidR="00FB0D92" w:rsidRPr="00EF252C" w:rsidRDefault="00FB0D92" w:rsidP="00B648EF">
            <w:pPr>
              <w:spacing w:line="276" w:lineRule="auto"/>
              <w:jc w:val="center"/>
              <w:rPr>
                <w:color w:val="000000"/>
              </w:rPr>
            </w:pPr>
            <w:r w:rsidRPr="00EF252C">
              <w:rPr>
                <w:color w:val="000000"/>
              </w:rPr>
              <w:t>1</w:t>
            </w:r>
          </w:p>
        </w:tc>
      </w:tr>
      <w:tr w:rsidR="00FB0D92" w:rsidRPr="00EF252C" w14:paraId="79DA7D3C" w14:textId="77777777" w:rsidTr="00B648EF">
        <w:trPr>
          <w:trHeight w:val="320"/>
          <w:jc w:val="center"/>
        </w:trPr>
        <w:tc>
          <w:tcPr>
            <w:tcW w:w="1293" w:type="pct"/>
            <w:tcBorders>
              <w:top w:val="nil"/>
              <w:left w:val="nil"/>
              <w:bottom w:val="nil"/>
              <w:right w:val="nil"/>
            </w:tcBorders>
            <w:noWrap/>
            <w:vAlign w:val="bottom"/>
            <w:hideMark/>
          </w:tcPr>
          <w:p w14:paraId="2BA72231" w14:textId="77777777" w:rsidR="00FB0D92" w:rsidRPr="00EF252C" w:rsidRDefault="00FB0D92" w:rsidP="00B648EF">
            <w:pPr>
              <w:spacing w:line="276" w:lineRule="auto"/>
              <w:rPr>
                <w:color w:val="000000"/>
              </w:rPr>
            </w:pPr>
            <w:r w:rsidRPr="00EF252C">
              <w:rPr>
                <w:color w:val="000000"/>
              </w:rPr>
              <w:t>Youth share (%)</w:t>
            </w:r>
          </w:p>
        </w:tc>
        <w:tc>
          <w:tcPr>
            <w:tcW w:w="530" w:type="pct"/>
            <w:tcBorders>
              <w:top w:val="nil"/>
              <w:left w:val="nil"/>
              <w:bottom w:val="nil"/>
              <w:right w:val="nil"/>
            </w:tcBorders>
            <w:noWrap/>
            <w:vAlign w:val="bottom"/>
            <w:hideMark/>
          </w:tcPr>
          <w:p w14:paraId="45D77F94" w14:textId="77777777" w:rsidR="00FB0D92" w:rsidRPr="00EF252C" w:rsidRDefault="00FB0D92" w:rsidP="00B648EF">
            <w:pPr>
              <w:spacing w:line="276" w:lineRule="auto"/>
              <w:jc w:val="center"/>
              <w:rPr>
                <w:color w:val="000000"/>
              </w:rPr>
            </w:pPr>
            <w:r w:rsidRPr="00EF252C">
              <w:rPr>
                <w:color w:val="000000"/>
              </w:rPr>
              <w:t>18433</w:t>
            </w:r>
          </w:p>
        </w:tc>
        <w:tc>
          <w:tcPr>
            <w:tcW w:w="530" w:type="pct"/>
            <w:tcBorders>
              <w:top w:val="nil"/>
              <w:left w:val="nil"/>
              <w:bottom w:val="nil"/>
              <w:right w:val="nil"/>
            </w:tcBorders>
            <w:noWrap/>
            <w:vAlign w:val="bottom"/>
            <w:hideMark/>
          </w:tcPr>
          <w:p w14:paraId="77461912" w14:textId="77777777" w:rsidR="00FB0D92" w:rsidRPr="00EF252C" w:rsidRDefault="00FB0D92" w:rsidP="00B648EF">
            <w:pPr>
              <w:spacing w:line="276" w:lineRule="auto"/>
              <w:jc w:val="center"/>
              <w:rPr>
                <w:color w:val="000000"/>
              </w:rPr>
            </w:pPr>
            <w:r w:rsidRPr="00EF252C">
              <w:rPr>
                <w:color w:val="000000"/>
              </w:rPr>
              <w:t>0.34</w:t>
            </w:r>
          </w:p>
        </w:tc>
        <w:tc>
          <w:tcPr>
            <w:tcW w:w="530" w:type="pct"/>
            <w:tcBorders>
              <w:top w:val="nil"/>
              <w:left w:val="nil"/>
              <w:bottom w:val="nil"/>
              <w:right w:val="nil"/>
            </w:tcBorders>
            <w:noWrap/>
            <w:vAlign w:val="bottom"/>
            <w:hideMark/>
          </w:tcPr>
          <w:p w14:paraId="573CAC3E" w14:textId="77777777" w:rsidR="00FB0D92" w:rsidRPr="00EF252C" w:rsidRDefault="00FB0D92" w:rsidP="00B648EF">
            <w:pPr>
              <w:spacing w:line="276" w:lineRule="auto"/>
              <w:jc w:val="center"/>
              <w:rPr>
                <w:color w:val="000000"/>
              </w:rPr>
            </w:pPr>
            <w:r w:rsidRPr="00EF252C">
              <w:rPr>
                <w:color w:val="000000"/>
              </w:rPr>
              <w:t>0.055</w:t>
            </w:r>
          </w:p>
        </w:tc>
        <w:tc>
          <w:tcPr>
            <w:tcW w:w="530" w:type="pct"/>
            <w:tcBorders>
              <w:top w:val="nil"/>
              <w:left w:val="nil"/>
              <w:bottom w:val="nil"/>
              <w:right w:val="nil"/>
            </w:tcBorders>
            <w:noWrap/>
            <w:vAlign w:val="bottom"/>
            <w:hideMark/>
          </w:tcPr>
          <w:p w14:paraId="4DA8A528" w14:textId="77777777" w:rsidR="00FB0D92" w:rsidRPr="00EF252C" w:rsidRDefault="00FB0D92" w:rsidP="00B648EF">
            <w:pPr>
              <w:spacing w:line="276" w:lineRule="auto"/>
              <w:jc w:val="center"/>
              <w:rPr>
                <w:color w:val="000000"/>
              </w:rPr>
            </w:pPr>
            <w:r w:rsidRPr="00EF252C">
              <w:rPr>
                <w:color w:val="000000"/>
              </w:rPr>
              <w:t>0.19</w:t>
            </w:r>
          </w:p>
        </w:tc>
        <w:tc>
          <w:tcPr>
            <w:tcW w:w="530" w:type="pct"/>
            <w:tcBorders>
              <w:top w:val="nil"/>
              <w:left w:val="nil"/>
              <w:bottom w:val="nil"/>
              <w:right w:val="nil"/>
            </w:tcBorders>
            <w:noWrap/>
            <w:vAlign w:val="bottom"/>
            <w:hideMark/>
          </w:tcPr>
          <w:p w14:paraId="59D4D92E" w14:textId="77777777" w:rsidR="00FB0D92" w:rsidRPr="00EF252C" w:rsidRDefault="00FB0D92" w:rsidP="00B648EF">
            <w:pPr>
              <w:spacing w:line="276" w:lineRule="auto"/>
              <w:jc w:val="center"/>
              <w:rPr>
                <w:color w:val="000000"/>
              </w:rPr>
            </w:pPr>
            <w:r w:rsidRPr="00EF252C">
              <w:rPr>
                <w:color w:val="000000"/>
              </w:rPr>
              <w:t>0.32</w:t>
            </w:r>
          </w:p>
        </w:tc>
        <w:tc>
          <w:tcPr>
            <w:tcW w:w="530" w:type="pct"/>
            <w:tcBorders>
              <w:top w:val="nil"/>
              <w:left w:val="nil"/>
              <w:bottom w:val="nil"/>
              <w:right w:val="nil"/>
            </w:tcBorders>
            <w:noWrap/>
            <w:vAlign w:val="bottom"/>
            <w:hideMark/>
          </w:tcPr>
          <w:p w14:paraId="559C97E5" w14:textId="77777777" w:rsidR="00FB0D92" w:rsidRPr="00EF252C" w:rsidRDefault="00FB0D92" w:rsidP="00B648EF">
            <w:pPr>
              <w:spacing w:line="276" w:lineRule="auto"/>
              <w:jc w:val="center"/>
              <w:rPr>
                <w:color w:val="000000"/>
              </w:rPr>
            </w:pPr>
            <w:r w:rsidRPr="00EF252C">
              <w:rPr>
                <w:color w:val="000000"/>
              </w:rPr>
              <w:t>0.38</w:t>
            </w:r>
          </w:p>
        </w:tc>
        <w:tc>
          <w:tcPr>
            <w:tcW w:w="527" w:type="pct"/>
            <w:tcBorders>
              <w:top w:val="nil"/>
              <w:left w:val="nil"/>
              <w:bottom w:val="nil"/>
              <w:right w:val="nil"/>
            </w:tcBorders>
            <w:noWrap/>
            <w:vAlign w:val="bottom"/>
            <w:hideMark/>
          </w:tcPr>
          <w:p w14:paraId="737C1264" w14:textId="77777777" w:rsidR="00FB0D92" w:rsidRPr="00EF252C" w:rsidRDefault="00FB0D92" w:rsidP="00B648EF">
            <w:pPr>
              <w:spacing w:line="276" w:lineRule="auto"/>
              <w:jc w:val="center"/>
              <w:rPr>
                <w:color w:val="000000"/>
              </w:rPr>
            </w:pPr>
            <w:r w:rsidRPr="00EF252C">
              <w:rPr>
                <w:color w:val="000000"/>
              </w:rPr>
              <w:t>0.51</w:t>
            </w:r>
          </w:p>
        </w:tc>
      </w:tr>
      <w:tr w:rsidR="00FB0D92" w:rsidRPr="00EF252C" w14:paraId="68804CDA" w14:textId="77777777" w:rsidTr="00B648EF">
        <w:trPr>
          <w:trHeight w:val="320"/>
          <w:jc w:val="center"/>
        </w:trPr>
        <w:tc>
          <w:tcPr>
            <w:tcW w:w="1293" w:type="pct"/>
            <w:tcBorders>
              <w:top w:val="nil"/>
              <w:left w:val="nil"/>
              <w:bottom w:val="nil"/>
              <w:right w:val="nil"/>
            </w:tcBorders>
            <w:noWrap/>
            <w:vAlign w:val="bottom"/>
            <w:hideMark/>
          </w:tcPr>
          <w:p w14:paraId="4E037130" w14:textId="77777777" w:rsidR="00FB0D92" w:rsidRPr="00EF252C" w:rsidRDefault="00FB0D92" w:rsidP="00B648EF">
            <w:pPr>
              <w:spacing w:line="276" w:lineRule="auto"/>
              <w:rPr>
                <w:color w:val="000000"/>
              </w:rPr>
            </w:pPr>
            <w:r w:rsidRPr="00EF252C">
              <w:rPr>
                <w:color w:val="000000"/>
              </w:rPr>
              <w:t>Total population (ln)</w:t>
            </w:r>
          </w:p>
        </w:tc>
        <w:tc>
          <w:tcPr>
            <w:tcW w:w="530" w:type="pct"/>
            <w:tcBorders>
              <w:top w:val="nil"/>
              <w:left w:val="nil"/>
              <w:bottom w:val="nil"/>
              <w:right w:val="nil"/>
            </w:tcBorders>
            <w:noWrap/>
            <w:vAlign w:val="bottom"/>
            <w:hideMark/>
          </w:tcPr>
          <w:p w14:paraId="751A2B28" w14:textId="77777777" w:rsidR="00FB0D92" w:rsidRPr="00EF252C" w:rsidRDefault="00FB0D92" w:rsidP="00B648EF">
            <w:pPr>
              <w:spacing w:line="276" w:lineRule="auto"/>
              <w:jc w:val="center"/>
              <w:rPr>
                <w:color w:val="000000"/>
              </w:rPr>
            </w:pPr>
            <w:r w:rsidRPr="00EF252C">
              <w:rPr>
                <w:color w:val="000000"/>
              </w:rPr>
              <w:t>18433</w:t>
            </w:r>
          </w:p>
        </w:tc>
        <w:tc>
          <w:tcPr>
            <w:tcW w:w="530" w:type="pct"/>
            <w:tcBorders>
              <w:top w:val="nil"/>
              <w:left w:val="nil"/>
              <w:bottom w:val="nil"/>
              <w:right w:val="nil"/>
            </w:tcBorders>
            <w:noWrap/>
            <w:vAlign w:val="bottom"/>
            <w:hideMark/>
          </w:tcPr>
          <w:p w14:paraId="07F68CE1" w14:textId="77777777" w:rsidR="00FB0D92" w:rsidRPr="00EF252C" w:rsidRDefault="00FB0D92" w:rsidP="00B648EF">
            <w:pPr>
              <w:spacing w:line="276" w:lineRule="auto"/>
              <w:jc w:val="center"/>
              <w:rPr>
                <w:color w:val="000000"/>
              </w:rPr>
            </w:pPr>
            <w:r w:rsidRPr="00EF252C">
              <w:rPr>
                <w:color w:val="000000"/>
              </w:rPr>
              <w:t>13</w:t>
            </w:r>
          </w:p>
        </w:tc>
        <w:tc>
          <w:tcPr>
            <w:tcW w:w="530" w:type="pct"/>
            <w:tcBorders>
              <w:top w:val="nil"/>
              <w:left w:val="nil"/>
              <w:bottom w:val="nil"/>
              <w:right w:val="nil"/>
            </w:tcBorders>
            <w:noWrap/>
            <w:vAlign w:val="bottom"/>
            <w:hideMark/>
          </w:tcPr>
          <w:p w14:paraId="18874412" w14:textId="77777777" w:rsidR="00FB0D92" w:rsidRPr="00EF252C" w:rsidRDefault="00FB0D92" w:rsidP="00B648EF">
            <w:pPr>
              <w:spacing w:line="276" w:lineRule="auto"/>
              <w:jc w:val="center"/>
              <w:rPr>
                <w:color w:val="000000"/>
              </w:rPr>
            </w:pPr>
            <w:r w:rsidRPr="00EF252C">
              <w:rPr>
                <w:color w:val="000000"/>
              </w:rPr>
              <w:t>1.7</w:t>
            </w:r>
          </w:p>
        </w:tc>
        <w:tc>
          <w:tcPr>
            <w:tcW w:w="530" w:type="pct"/>
            <w:tcBorders>
              <w:top w:val="nil"/>
              <w:left w:val="nil"/>
              <w:bottom w:val="nil"/>
              <w:right w:val="nil"/>
            </w:tcBorders>
            <w:noWrap/>
            <w:vAlign w:val="bottom"/>
            <w:hideMark/>
          </w:tcPr>
          <w:p w14:paraId="184B2016" w14:textId="77777777" w:rsidR="00FB0D92" w:rsidRPr="00EF252C" w:rsidRDefault="00FB0D92" w:rsidP="00B648EF">
            <w:pPr>
              <w:spacing w:line="276" w:lineRule="auto"/>
              <w:jc w:val="center"/>
              <w:rPr>
                <w:color w:val="000000"/>
              </w:rPr>
            </w:pPr>
            <w:r w:rsidRPr="00EF252C">
              <w:rPr>
                <w:color w:val="000000"/>
              </w:rPr>
              <w:t>7</w:t>
            </w:r>
          </w:p>
        </w:tc>
        <w:tc>
          <w:tcPr>
            <w:tcW w:w="530" w:type="pct"/>
            <w:tcBorders>
              <w:top w:val="nil"/>
              <w:left w:val="nil"/>
              <w:bottom w:val="nil"/>
              <w:right w:val="nil"/>
            </w:tcBorders>
            <w:noWrap/>
            <w:vAlign w:val="bottom"/>
            <w:hideMark/>
          </w:tcPr>
          <w:p w14:paraId="151AB2A7" w14:textId="77777777" w:rsidR="00FB0D92" w:rsidRPr="00EF252C" w:rsidRDefault="00FB0D92" w:rsidP="00B648EF">
            <w:pPr>
              <w:spacing w:line="276" w:lineRule="auto"/>
              <w:jc w:val="center"/>
              <w:rPr>
                <w:color w:val="000000"/>
              </w:rPr>
            </w:pPr>
            <w:r w:rsidRPr="00EF252C">
              <w:rPr>
                <w:color w:val="000000"/>
              </w:rPr>
              <w:t>12</w:t>
            </w:r>
          </w:p>
        </w:tc>
        <w:tc>
          <w:tcPr>
            <w:tcW w:w="530" w:type="pct"/>
            <w:tcBorders>
              <w:top w:val="nil"/>
              <w:left w:val="nil"/>
              <w:bottom w:val="nil"/>
              <w:right w:val="nil"/>
            </w:tcBorders>
            <w:noWrap/>
            <w:vAlign w:val="bottom"/>
            <w:hideMark/>
          </w:tcPr>
          <w:p w14:paraId="3C446F29" w14:textId="77777777" w:rsidR="00FB0D92" w:rsidRPr="00EF252C" w:rsidRDefault="00FB0D92" w:rsidP="00B648EF">
            <w:pPr>
              <w:spacing w:line="276" w:lineRule="auto"/>
              <w:jc w:val="center"/>
              <w:rPr>
                <w:color w:val="000000"/>
              </w:rPr>
            </w:pPr>
            <w:r w:rsidRPr="00EF252C">
              <w:rPr>
                <w:color w:val="000000"/>
              </w:rPr>
              <w:t>15</w:t>
            </w:r>
          </w:p>
        </w:tc>
        <w:tc>
          <w:tcPr>
            <w:tcW w:w="527" w:type="pct"/>
            <w:tcBorders>
              <w:top w:val="nil"/>
              <w:left w:val="nil"/>
              <w:bottom w:val="nil"/>
              <w:right w:val="nil"/>
            </w:tcBorders>
            <w:noWrap/>
            <w:vAlign w:val="bottom"/>
            <w:hideMark/>
          </w:tcPr>
          <w:p w14:paraId="28693E1B" w14:textId="77777777" w:rsidR="00FB0D92" w:rsidRPr="00EF252C" w:rsidRDefault="00FB0D92" w:rsidP="00B648EF">
            <w:pPr>
              <w:spacing w:line="276" w:lineRule="auto"/>
              <w:jc w:val="center"/>
              <w:rPr>
                <w:color w:val="000000"/>
              </w:rPr>
            </w:pPr>
            <w:r w:rsidRPr="00EF252C">
              <w:rPr>
                <w:color w:val="000000"/>
              </w:rPr>
              <w:t>16</w:t>
            </w:r>
          </w:p>
        </w:tc>
      </w:tr>
      <w:tr w:rsidR="00FB0D92" w:rsidRPr="00EF252C" w14:paraId="357E2D56" w14:textId="77777777" w:rsidTr="00B648EF">
        <w:trPr>
          <w:trHeight w:val="320"/>
          <w:jc w:val="center"/>
        </w:trPr>
        <w:tc>
          <w:tcPr>
            <w:tcW w:w="1293" w:type="pct"/>
            <w:tcBorders>
              <w:top w:val="nil"/>
              <w:left w:val="nil"/>
              <w:bottom w:val="nil"/>
              <w:right w:val="nil"/>
            </w:tcBorders>
            <w:noWrap/>
            <w:vAlign w:val="bottom"/>
            <w:hideMark/>
          </w:tcPr>
          <w:p w14:paraId="1D112622" w14:textId="77777777" w:rsidR="00FB0D92" w:rsidRPr="00EF252C" w:rsidRDefault="00FB0D92" w:rsidP="00B648EF">
            <w:pPr>
              <w:spacing w:line="276" w:lineRule="auto"/>
              <w:rPr>
                <w:color w:val="000000"/>
              </w:rPr>
            </w:pPr>
            <w:r w:rsidRPr="00EF252C">
              <w:rPr>
                <w:color w:val="000000"/>
              </w:rPr>
              <w:t>Population density</w:t>
            </w:r>
          </w:p>
        </w:tc>
        <w:tc>
          <w:tcPr>
            <w:tcW w:w="530" w:type="pct"/>
            <w:tcBorders>
              <w:top w:val="nil"/>
              <w:left w:val="nil"/>
              <w:bottom w:val="nil"/>
              <w:right w:val="nil"/>
            </w:tcBorders>
            <w:noWrap/>
            <w:vAlign w:val="bottom"/>
            <w:hideMark/>
          </w:tcPr>
          <w:p w14:paraId="35F09F26" w14:textId="77777777" w:rsidR="00FB0D92" w:rsidRPr="00EF252C" w:rsidRDefault="00FB0D92" w:rsidP="00B648EF">
            <w:pPr>
              <w:spacing w:line="276" w:lineRule="auto"/>
              <w:jc w:val="center"/>
              <w:rPr>
                <w:color w:val="000000"/>
              </w:rPr>
            </w:pPr>
            <w:r w:rsidRPr="00EF252C">
              <w:rPr>
                <w:color w:val="000000"/>
              </w:rPr>
              <w:t>18433</w:t>
            </w:r>
          </w:p>
        </w:tc>
        <w:tc>
          <w:tcPr>
            <w:tcW w:w="530" w:type="pct"/>
            <w:tcBorders>
              <w:top w:val="nil"/>
              <w:left w:val="nil"/>
              <w:bottom w:val="nil"/>
              <w:right w:val="nil"/>
            </w:tcBorders>
            <w:noWrap/>
            <w:vAlign w:val="bottom"/>
            <w:hideMark/>
          </w:tcPr>
          <w:p w14:paraId="6B164281" w14:textId="77777777" w:rsidR="00FB0D92" w:rsidRPr="00EF252C" w:rsidRDefault="00FB0D92" w:rsidP="00B648EF">
            <w:pPr>
              <w:spacing w:line="276" w:lineRule="auto"/>
              <w:jc w:val="center"/>
              <w:rPr>
                <w:color w:val="000000"/>
              </w:rPr>
            </w:pPr>
            <w:r w:rsidRPr="00EF252C">
              <w:rPr>
                <w:color w:val="000000"/>
              </w:rPr>
              <w:t>0.0052</w:t>
            </w:r>
          </w:p>
        </w:tc>
        <w:tc>
          <w:tcPr>
            <w:tcW w:w="530" w:type="pct"/>
            <w:tcBorders>
              <w:top w:val="nil"/>
              <w:left w:val="nil"/>
              <w:bottom w:val="nil"/>
              <w:right w:val="nil"/>
            </w:tcBorders>
            <w:noWrap/>
            <w:vAlign w:val="bottom"/>
            <w:hideMark/>
          </w:tcPr>
          <w:p w14:paraId="50023690" w14:textId="77777777" w:rsidR="00FB0D92" w:rsidRPr="00EF252C" w:rsidRDefault="00FB0D92" w:rsidP="00B648EF">
            <w:pPr>
              <w:spacing w:line="276" w:lineRule="auto"/>
              <w:jc w:val="center"/>
              <w:rPr>
                <w:color w:val="000000"/>
              </w:rPr>
            </w:pPr>
            <w:r w:rsidRPr="00EF252C">
              <w:rPr>
                <w:color w:val="000000"/>
              </w:rPr>
              <w:t>0.0029</w:t>
            </w:r>
          </w:p>
        </w:tc>
        <w:tc>
          <w:tcPr>
            <w:tcW w:w="530" w:type="pct"/>
            <w:tcBorders>
              <w:top w:val="nil"/>
              <w:left w:val="nil"/>
              <w:bottom w:val="nil"/>
              <w:right w:val="nil"/>
            </w:tcBorders>
            <w:noWrap/>
            <w:vAlign w:val="bottom"/>
            <w:hideMark/>
          </w:tcPr>
          <w:p w14:paraId="7FF41B22" w14:textId="77777777" w:rsidR="00FB0D92" w:rsidRPr="00EF252C" w:rsidRDefault="00FB0D92" w:rsidP="00B648EF">
            <w:pPr>
              <w:spacing w:line="276" w:lineRule="auto"/>
              <w:jc w:val="center"/>
              <w:rPr>
                <w:color w:val="000000"/>
              </w:rPr>
            </w:pPr>
            <w:r w:rsidRPr="00EF252C">
              <w:rPr>
                <w:color w:val="000000"/>
              </w:rPr>
              <w:t>0.00016</w:t>
            </w:r>
          </w:p>
        </w:tc>
        <w:tc>
          <w:tcPr>
            <w:tcW w:w="530" w:type="pct"/>
            <w:tcBorders>
              <w:top w:val="nil"/>
              <w:left w:val="nil"/>
              <w:bottom w:val="nil"/>
              <w:right w:val="nil"/>
            </w:tcBorders>
            <w:noWrap/>
            <w:vAlign w:val="bottom"/>
            <w:hideMark/>
          </w:tcPr>
          <w:p w14:paraId="52C1EBF9" w14:textId="77777777" w:rsidR="00FB0D92" w:rsidRPr="00EF252C" w:rsidRDefault="00FB0D92" w:rsidP="00B648EF">
            <w:pPr>
              <w:spacing w:line="276" w:lineRule="auto"/>
              <w:jc w:val="center"/>
              <w:rPr>
                <w:color w:val="000000"/>
              </w:rPr>
            </w:pPr>
            <w:r w:rsidRPr="00EF252C">
              <w:rPr>
                <w:color w:val="000000"/>
              </w:rPr>
              <w:t>0.0031</w:t>
            </w:r>
          </w:p>
        </w:tc>
        <w:tc>
          <w:tcPr>
            <w:tcW w:w="530" w:type="pct"/>
            <w:tcBorders>
              <w:top w:val="nil"/>
              <w:left w:val="nil"/>
              <w:bottom w:val="nil"/>
              <w:right w:val="nil"/>
            </w:tcBorders>
            <w:noWrap/>
            <w:vAlign w:val="bottom"/>
            <w:hideMark/>
          </w:tcPr>
          <w:p w14:paraId="74869CA0" w14:textId="77777777" w:rsidR="00FB0D92" w:rsidRPr="00EF252C" w:rsidRDefault="00FB0D92" w:rsidP="00B648EF">
            <w:pPr>
              <w:spacing w:line="276" w:lineRule="auto"/>
              <w:jc w:val="center"/>
              <w:rPr>
                <w:color w:val="000000"/>
              </w:rPr>
            </w:pPr>
            <w:r w:rsidRPr="00EF252C">
              <w:rPr>
                <w:color w:val="000000"/>
              </w:rPr>
              <w:t>0.0067</w:t>
            </w:r>
          </w:p>
        </w:tc>
        <w:tc>
          <w:tcPr>
            <w:tcW w:w="527" w:type="pct"/>
            <w:tcBorders>
              <w:top w:val="nil"/>
              <w:left w:val="nil"/>
              <w:bottom w:val="nil"/>
              <w:right w:val="nil"/>
            </w:tcBorders>
            <w:noWrap/>
            <w:vAlign w:val="bottom"/>
            <w:hideMark/>
          </w:tcPr>
          <w:p w14:paraId="6B3398EA" w14:textId="77777777" w:rsidR="00FB0D92" w:rsidRPr="00EF252C" w:rsidRDefault="00FB0D92" w:rsidP="00B648EF">
            <w:pPr>
              <w:spacing w:line="276" w:lineRule="auto"/>
              <w:jc w:val="center"/>
              <w:rPr>
                <w:color w:val="000000"/>
              </w:rPr>
            </w:pPr>
            <w:r w:rsidRPr="00EF252C">
              <w:rPr>
                <w:color w:val="000000"/>
              </w:rPr>
              <w:t>0.015</w:t>
            </w:r>
          </w:p>
        </w:tc>
      </w:tr>
      <w:tr w:rsidR="00FB0D92" w:rsidRPr="00EF252C" w14:paraId="14213FC6" w14:textId="77777777" w:rsidTr="00B648EF">
        <w:trPr>
          <w:trHeight w:val="320"/>
          <w:jc w:val="center"/>
        </w:trPr>
        <w:tc>
          <w:tcPr>
            <w:tcW w:w="1293" w:type="pct"/>
            <w:tcBorders>
              <w:top w:val="nil"/>
              <w:left w:val="nil"/>
              <w:bottom w:val="nil"/>
              <w:right w:val="nil"/>
            </w:tcBorders>
            <w:noWrap/>
            <w:vAlign w:val="bottom"/>
            <w:hideMark/>
          </w:tcPr>
          <w:p w14:paraId="449E1E79" w14:textId="77777777" w:rsidR="00FB0D92" w:rsidRPr="00EF252C" w:rsidRDefault="00FB0D92" w:rsidP="00B648EF">
            <w:pPr>
              <w:spacing w:line="276" w:lineRule="auto"/>
              <w:rPr>
                <w:color w:val="000000"/>
              </w:rPr>
            </w:pPr>
            <w:r w:rsidRPr="00EF252C">
              <w:rPr>
                <w:color w:val="000000"/>
              </w:rPr>
              <w:t>GDP (ln)</w:t>
            </w:r>
          </w:p>
        </w:tc>
        <w:tc>
          <w:tcPr>
            <w:tcW w:w="530" w:type="pct"/>
            <w:tcBorders>
              <w:top w:val="nil"/>
              <w:left w:val="nil"/>
              <w:bottom w:val="nil"/>
              <w:right w:val="nil"/>
            </w:tcBorders>
            <w:noWrap/>
            <w:vAlign w:val="bottom"/>
            <w:hideMark/>
          </w:tcPr>
          <w:p w14:paraId="0103E6D2" w14:textId="77777777" w:rsidR="00FB0D92" w:rsidRPr="00EF252C" w:rsidRDefault="00FB0D92" w:rsidP="00B648EF">
            <w:pPr>
              <w:spacing w:line="276" w:lineRule="auto"/>
              <w:jc w:val="center"/>
              <w:rPr>
                <w:color w:val="000000"/>
              </w:rPr>
            </w:pPr>
            <w:r w:rsidRPr="00EF252C">
              <w:rPr>
                <w:color w:val="000000"/>
              </w:rPr>
              <w:t>18433</w:t>
            </w:r>
          </w:p>
        </w:tc>
        <w:tc>
          <w:tcPr>
            <w:tcW w:w="530" w:type="pct"/>
            <w:tcBorders>
              <w:top w:val="nil"/>
              <w:left w:val="nil"/>
              <w:bottom w:val="nil"/>
              <w:right w:val="nil"/>
            </w:tcBorders>
            <w:noWrap/>
            <w:vAlign w:val="bottom"/>
            <w:hideMark/>
          </w:tcPr>
          <w:p w14:paraId="0DBAB81F" w14:textId="77777777" w:rsidR="00FB0D92" w:rsidRPr="00EF252C" w:rsidRDefault="00FB0D92" w:rsidP="00B648EF">
            <w:pPr>
              <w:spacing w:line="276" w:lineRule="auto"/>
              <w:jc w:val="center"/>
              <w:rPr>
                <w:color w:val="000000"/>
              </w:rPr>
            </w:pPr>
            <w:r w:rsidRPr="00EF252C">
              <w:rPr>
                <w:color w:val="000000"/>
              </w:rPr>
              <w:t>1.9</w:t>
            </w:r>
          </w:p>
        </w:tc>
        <w:tc>
          <w:tcPr>
            <w:tcW w:w="530" w:type="pct"/>
            <w:tcBorders>
              <w:top w:val="nil"/>
              <w:left w:val="nil"/>
              <w:bottom w:val="nil"/>
              <w:right w:val="nil"/>
            </w:tcBorders>
            <w:noWrap/>
            <w:vAlign w:val="bottom"/>
            <w:hideMark/>
          </w:tcPr>
          <w:p w14:paraId="4F3628B8" w14:textId="77777777" w:rsidR="00FB0D92" w:rsidRPr="00EF252C" w:rsidRDefault="00FB0D92" w:rsidP="00B648EF">
            <w:pPr>
              <w:spacing w:line="276" w:lineRule="auto"/>
              <w:jc w:val="center"/>
              <w:rPr>
                <w:color w:val="000000"/>
              </w:rPr>
            </w:pPr>
            <w:r w:rsidRPr="00EF252C">
              <w:rPr>
                <w:color w:val="000000"/>
              </w:rPr>
              <w:t>1.3</w:t>
            </w:r>
          </w:p>
        </w:tc>
        <w:tc>
          <w:tcPr>
            <w:tcW w:w="530" w:type="pct"/>
            <w:tcBorders>
              <w:top w:val="nil"/>
              <w:left w:val="nil"/>
              <w:bottom w:val="nil"/>
              <w:right w:val="nil"/>
            </w:tcBorders>
            <w:noWrap/>
            <w:vAlign w:val="bottom"/>
            <w:hideMark/>
          </w:tcPr>
          <w:p w14:paraId="6BC50DAB" w14:textId="77777777" w:rsidR="00FB0D92" w:rsidRPr="00EF252C" w:rsidRDefault="00FB0D92" w:rsidP="00B648EF">
            <w:pPr>
              <w:spacing w:line="276" w:lineRule="auto"/>
              <w:jc w:val="center"/>
              <w:rPr>
                <w:color w:val="000000"/>
              </w:rPr>
            </w:pPr>
            <w:r w:rsidRPr="00EF252C">
              <w:rPr>
                <w:color w:val="000000"/>
              </w:rPr>
              <w:t>-2.2</w:t>
            </w:r>
          </w:p>
        </w:tc>
        <w:tc>
          <w:tcPr>
            <w:tcW w:w="530" w:type="pct"/>
            <w:tcBorders>
              <w:top w:val="nil"/>
              <w:left w:val="nil"/>
              <w:bottom w:val="nil"/>
              <w:right w:val="nil"/>
            </w:tcBorders>
            <w:noWrap/>
            <w:vAlign w:val="bottom"/>
            <w:hideMark/>
          </w:tcPr>
          <w:p w14:paraId="01AA5428" w14:textId="77777777" w:rsidR="00FB0D92" w:rsidRPr="00EF252C" w:rsidRDefault="00FB0D92" w:rsidP="00B648EF">
            <w:pPr>
              <w:spacing w:line="276" w:lineRule="auto"/>
              <w:jc w:val="center"/>
              <w:rPr>
                <w:color w:val="000000"/>
              </w:rPr>
            </w:pPr>
            <w:r w:rsidRPr="00EF252C">
              <w:rPr>
                <w:color w:val="000000"/>
              </w:rPr>
              <w:t>0.9</w:t>
            </w:r>
          </w:p>
        </w:tc>
        <w:tc>
          <w:tcPr>
            <w:tcW w:w="530" w:type="pct"/>
            <w:tcBorders>
              <w:top w:val="nil"/>
              <w:left w:val="nil"/>
              <w:bottom w:val="nil"/>
              <w:right w:val="nil"/>
            </w:tcBorders>
            <w:noWrap/>
            <w:vAlign w:val="bottom"/>
            <w:hideMark/>
          </w:tcPr>
          <w:p w14:paraId="7E6B3FBF" w14:textId="77777777" w:rsidR="00FB0D92" w:rsidRPr="00EF252C" w:rsidRDefault="00FB0D92" w:rsidP="00B648EF">
            <w:pPr>
              <w:spacing w:line="276" w:lineRule="auto"/>
              <w:jc w:val="center"/>
              <w:rPr>
                <w:color w:val="000000"/>
              </w:rPr>
            </w:pPr>
            <w:r w:rsidRPr="00EF252C">
              <w:rPr>
                <w:color w:val="000000"/>
              </w:rPr>
              <w:t>3</w:t>
            </w:r>
          </w:p>
        </w:tc>
        <w:tc>
          <w:tcPr>
            <w:tcW w:w="527" w:type="pct"/>
            <w:tcBorders>
              <w:top w:val="nil"/>
              <w:left w:val="nil"/>
              <w:bottom w:val="nil"/>
              <w:right w:val="nil"/>
            </w:tcBorders>
            <w:noWrap/>
            <w:vAlign w:val="bottom"/>
            <w:hideMark/>
          </w:tcPr>
          <w:p w14:paraId="73796B96" w14:textId="77777777" w:rsidR="00FB0D92" w:rsidRPr="00EF252C" w:rsidRDefault="00FB0D92" w:rsidP="00B648EF">
            <w:pPr>
              <w:spacing w:line="276" w:lineRule="auto"/>
              <w:jc w:val="center"/>
              <w:rPr>
                <w:color w:val="000000"/>
              </w:rPr>
            </w:pPr>
            <w:r w:rsidRPr="00EF252C">
              <w:rPr>
                <w:color w:val="000000"/>
              </w:rPr>
              <w:t>3.5</w:t>
            </w:r>
          </w:p>
        </w:tc>
      </w:tr>
      <w:tr w:rsidR="00FB0D92" w:rsidRPr="00EF252C" w14:paraId="331959E6" w14:textId="77777777" w:rsidTr="00B648EF">
        <w:trPr>
          <w:trHeight w:val="320"/>
          <w:jc w:val="center"/>
        </w:trPr>
        <w:tc>
          <w:tcPr>
            <w:tcW w:w="1293" w:type="pct"/>
            <w:tcBorders>
              <w:top w:val="nil"/>
              <w:left w:val="nil"/>
              <w:bottom w:val="nil"/>
              <w:right w:val="nil"/>
            </w:tcBorders>
            <w:noWrap/>
            <w:vAlign w:val="bottom"/>
          </w:tcPr>
          <w:p w14:paraId="5A984028" w14:textId="77777777" w:rsidR="00FB0D92" w:rsidRPr="00EF252C" w:rsidRDefault="00FB0D92" w:rsidP="00B648EF">
            <w:pPr>
              <w:spacing w:line="276" w:lineRule="auto"/>
              <w:rPr>
                <w:color w:val="000000"/>
              </w:rPr>
            </w:pPr>
            <w:r w:rsidRPr="00EF252C">
              <w:rPr>
                <w:color w:val="000000"/>
              </w:rPr>
              <w:t>Age group</w:t>
            </w:r>
          </w:p>
        </w:tc>
        <w:tc>
          <w:tcPr>
            <w:tcW w:w="530" w:type="pct"/>
            <w:tcBorders>
              <w:top w:val="nil"/>
              <w:left w:val="nil"/>
              <w:bottom w:val="nil"/>
              <w:right w:val="nil"/>
            </w:tcBorders>
            <w:noWrap/>
            <w:vAlign w:val="bottom"/>
          </w:tcPr>
          <w:p w14:paraId="1DE22556" w14:textId="77777777" w:rsidR="00FB0D92" w:rsidRPr="00EF252C" w:rsidRDefault="00FB0D92" w:rsidP="00B648EF">
            <w:pPr>
              <w:spacing w:line="276" w:lineRule="auto"/>
              <w:jc w:val="center"/>
              <w:rPr>
                <w:color w:val="000000"/>
              </w:rPr>
            </w:pPr>
            <w:r w:rsidRPr="00EF252C">
              <w:rPr>
                <w:color w:val="000000"/>
              </w:rPr>
              <w:t>18433</w:t>
            </w:r>
          </w:p>
        </w:tc>
        <w:tc>
          <w:tcPr>
            <w:tcW w:w="530" w:type="pct"/>
            <w:tcBorders>
              <w:top w:val="nil"/>
              <w:left w:val="nil"/>
              <w:bottom w:val="nil"/>
              <w:right w:val="nil"/>
            </w:tcBorders>
            <w:noWrap/>
            <w:vAlign w:val="bottom"/>
          </w:tcPr>
          <w:p w14:paraId="07BF0FD0" w14:textId="77777777" w:rsidR="00FB0D92" w:rsidRPr="00EF252C" w:rsidRDefault="00FB0D92" w:rsidP="00B648EF">
            <w:pPr>
              <w:spacing w:line="276" w:lineRule="auto"/>
              <w:jc w:val="center"/>
              <w:rPr>
                <w:color w:val="000000"/>
              </w:rPr>
            </w:pPr>
          </w:p>
        </w:tc>
        <w:tc>
          <w:tcPr>
            <w:tcW w:w="530" w:type="pct"/>
            <w:tcBorders>
              <w:top w:val="nil"/>
              <w:left w:val="nil"/>
              <w:bottom w:val="nil"/>
              <w:right w:val="nil"/>
            </w:tcBorders>
            <w:noWrap/>
            <w:vAlign w:val="bottom"/>
          </w:tcPr>
          <w:p w14:paraId="47CE618C" w14:textId="77777777" w:rsidR="00FB0D92" w:rsidRPr="00EF252C" w:rsidRDefault="00FB0D92" w:rsidP="00B648EF">
            <w:pPr>
              <w:spacing w:line="276" w:lineRule="auto"/>
              <w:jc w:val="center"/>
              <w:rPr>
                <w:color w:val="000000"/>
              </w:rPr>
            </w:pPr>
          </w:p>
        </w:tc>
        <w:tc>
          <w:tcPr>
            <w:tcW w:w="530" w:type="pct"/>
            <w:tcBorders>
              <w:top w:val="nil"/>
              <w:left w:val="nil"/>
              <w:bottom w:val="nil"/>
              <w:right w:val="nil"/>
            </w:tcBorders>
            <w:noWrap/>
            <w:vAlign w:val="bottom"/>
          </w:tcPr>
          <w:p w14:paraId="53812089" w14:textId="77777777" w:rsidR="00FB0D92" w:rsidRPr="00EF252C" w:rsidRDefault="00FB0D92" w:rsidP="00B648EF">
            <w:pPr>
              <w:spacing w:line="276" w:lineRule="auto"/>
              <w:jc w:val="center"/>
              <w:rPr>
                <w:color w:val="000000"/>
              </w:rPr>
            </w:pPr>
          </w:p>
        </w:tc>
        <w:tc>
          <w:tcPr>
            <w:tcW w:w="530" w:type="pct"/>
            <w:tcBorders>
              <w:top w:val="nil"/>
              <w:left w:val="nil"/>
              <w:bottom w:val="nil"/>
              <w:right w:val="nil"/>
            </w:tcBorders>
            <w:noWrap/>
            <w:vAlign w:val="bottom"/>
          </w:tcPr>
          <w:p w14:paraId="1BC9F818" w14:textId="77777777" w:rsidR="00FB0D92" w:rsidRPr="00EF252C" w:rsidRDefault="00FB0D92" w:rsidP="00B648EF">
            <w:pPr>
              <w:spacing w:line="276" w:lineRule="auto"/>
              <w:jc w:val="center"/>
              <w:rPr>
                <w:color w:val="000000"/>
              </w:rPr>
            </w:pPr>
          </w:p>
        </w:tc>
        <w:tc>
          <w:tcPr>
            <w:tcW w:w="530" w:type="pct"/>
            <w:tcBorders>
              <w:top w:val="nil"/>
              <w:left w:val="nil"/>
              <w:bottom w:val="nil"/>
              <w:right w:val="nil"/>
            </w:tcBorders>
            <w:noWrap/>
            <w:vAlign w:val="bottom"/>
          </w:tcPr>
          <w:p w14:paraId="2E3F7FC5" w14:textId="77777777" w:rsidR="00FB0D92" w:rsidRPr="00EF252C" w:rsidRDefault="00FB0D92" w:rsidP="00B648EF">
            <w:pPr>
              <w:spacing w:line="276" w:lineRule="auto"/>
              <w:jc w:val="center"/>
              <w:rPr>
                <w:color w:val="000000"/>
              </w:rPr>
            </w:pPr>
          </w:p>
        </w:tc>
        <w:tc>
          <w:tcPr>
            <w:tcW w:w="527" w:type="pct"/>
            <w:tcBorders>
              <w:top w:val="nil"/>
              <w:left w:val="nil"/>
              <w:bottom w:val="nil"/>
              <w:right w:val="nil"/>
            </w:tcBorders>
            <w:noWrap/>
            <w:vAlign w:val="bottom"/>
          </w:tcPr>
          <w:p w14:paraId="5515743E" w14:textId="77777777" w:rsidR="00FB0D92" w:rsidRPr="00EF252C" w:rsidRDefault="00FB0D92" w:rsidP="00B648EF">
            <w:pPr>
              <w:spacing w:line="276" w:lineRule="auto"/>
              <w:jc w:val="center"/>
              <w:rPr>
                <w:color w:val="000000"/>
              </w:rPr>
            </w:pPr>
          </w:p>
        </w:tc>
      </w:tr>
      <w:tr w:rsidR="00FB0D92" w:rsidRPr="00EF252C" w14:paraId="7D2D695B" w14:textId="77777777" w:rsidTr="00B648EF">
        <w:trPr>
          <w:trHeight w:val="320"/>
          <w:jc w:val="center"/>
        </w:trPr>
        <w:tc>
          <w:tcPr>
            <w:tcW w:w="1293" w:type="pct"/>
            <w:tcBorders>
              <w:top w:val="nil"/>
              <w:left w:val="nil"/>
              <w:bottom w:val="nil"/>
              <w:right w:val="nil"/>
            </w:tcBorders>
            <w:noWrap/>
            <w:vAlign w:val="bottom"/>
          </w:tcPr>
          <w:p w14:paraId="6E9A8B31" w14:textId="77777777" w:rsidR="00FB0D92" w:rsidRPr="00EF252C" w:rsidRDefault="00FB0D92" w:rsidP="00B648EF">
            <w:pPr>
              <w:spacing w:line="276" w:lineRule="auto"/>
              <w:rPr>
                <w:color w:val="000000"/>
              </w:rPr>
            </w:pPr>
            <w:r w:rsidRPr="00EF252C">
              <w:rPr>
                <w:color w:val="000000"/>
              </w:rPr>
              <w:t>Young adult</w:t>
            </w:r>
          </w:p>
        </w:tc>
        <w:tc>
          <w:tcPr>
            <w:tcW w:w="530" w:type="pct"/>
            <w:tcBorders>
              <w:top w:val="nil"/>
              <w:left w:val="nil"/>
              <w:bottom w:val="nil"/>
              <w:right w:val="nil"/>
            </w:tcBorders>
            <w:noWrap/>
            <w:vAlign w:val="bottom"/>
          </w:tcPr>
          <w:p w14:paraId="39DAD14F" w14:textId="77777777" w:rsidR="00FB0D92" w:rsidRPr="00EF252C" w:rsidRDefault="00FB0D92" w:rsidP="00B648EF">
            <w:pPr>
              <w:spacing w:line="276" w:lineRule="auto"/>
              <w:jc w:val="center"/>
              <w:rPr>
                <w:color w:val="000000"/>
              </w:rPr>
            </w:pPr>
            <w:r w:rsidRPr="00EF252C">
              <w:rPr>
                <w:color w:val="000000"/>
              </w:rPr>
              <w:t>6701</w:t>
            </w:r>
          </w:p>
        </w:tc>
        <w:tc>
          <w:tcPr>
            <w:tcW w:w="530" w:type="pct"/>
            <w:tcBorders>
              <w:top w:val="nil"/>
              <w:left w:val="nil"/>
              <w:bottom w:val="nil"/>
              <w:right w:val="nil"/>
            </w:tcBorders>
            <w:noWrap/>
            <w:vAlign w:val="bottom"/>
          </w:tcPr>
          <w:p w14:paraId="1A9C9CF1" w14:textId="77777777" w:rsidR="00FB0D92" w:rsidRPr="00EF252C" w:rsidRDefault="00FB0D92" w:rsidP="00B648EF">
            <w:pPr>
              <w:spacing w:line="276" w:lineRule="auto"/>
              <w:jc w:val="center"/>
              <w:rPr>
                <w:color w:val="000000"/>
              </w:rPr>
            </w:pPr>
            <w:r w:rsidRPr="00EF252C">
              <w:rPr>
                <w:color w:val="000000"/>
              </w:rPr>
              <w:t>37%</w:t>
            </w:r>
          </w:p>
        </w:tc>
        <w:tc>
          <w:tcPr>
            <w:tcW w:w="530" w:type="pct"/>
            <w:tcBorders>
              <w:top w:val="nil"/>
              <w:left w:val="nil"/>
              <w:bottom w:val="nil"/>
              <w:right w:val="nil"/>
            </w:tcBorders>
            <w:noWrap/>
            <w:vAlign w:val="bottom"/>
          </w:tcPr>
          <w:p w14:paraId="053D89D8" w14:textId="77777777" w:rsidR="00FB0D92" w:rsidRPr="00EF252C" w:rsidRDefault="00FB0D92" w:rsidP="00B648EF">
            <w:pPr>
              <w:spacing w:line="276" w:lineRule="auto"/>
              <w:jc w:val="center"/>
              <w:rPr>
                <w:color w:val="000000"/>
              </w:rPr>
            </w:pPr>
          </w:p>
        </w:tc>
        <w:tc>
          <w:tcPr>
            <w:tcW w:w="530" w:type="pct"/>
            <w:tcBorders>
              <w:top w:val="nil"/>
              <w:left w:val="nil"/>
              <w:bottom w:val="nil"/>
              <w:right w:val="nil"/>
            </w:tcBorders>
            <w:noWrap/>
            <w:vAlign w:val="bottom"/>
          </w:tcPr>
          <w:p w14:paraId="24DDD11A" w14:textId="77777777" w:rsidR="00FB0D92" w:rsidRPr="00EF252C" w:rsidRDefault="00FB0D92" w:rsidP="00B648EF">
            <w:pPr>
              <w:spacing w:line="276" w:lineRule="auto"/>
              <w:jc w:val="center"/>
              <w:rPr>
                <w:color w:val="000000"/>
              </w:rPr>
            </w:pPr>
          </w:p>
        </w:tc>
        <w:tc>
          <w:tcPr>
            <w:tcW w:w="530" w:type="pct"/>
            <w:tcBorders>
              <w:top w:val="nil"/>
              <w:left w:val="nil"/>
              <w:bottom w:val="nil"/>
              <w:right w:val="nil"/>
            </w:tcBorders>
            <w:noWrap/>
            <w:vAlign w:val="bottom"/>
          </w:tcPr>
          <w:p w14:paraId="6CAB9DAC" w14:textId="77777777" w:rsidR="00FB0D92" w:rsidRPr="00EF252C" w:rsidRDefault="00FB0D92" w:rsidP="00B648EF">
            <w:pPr>
              <w:spacing w:line="276" w:lineRule="auto"/>
              <w:jc w:val="center"/>
              <w:rPr>
                <w:color w:val="000000"/>
              </w:rPr>
            </w:pPr>
          </w:p>
        </w:tc>
        <w:tc>
          <w:tcPr>
            <w:tcW w:w="530" w:type="pct"/>
            <w:tcBorders>
              <w:top w:val="nil"/>
              <w:left w:val="nil"/>
              <w:bottom w:val="nil"/>
              <w:right w:val="nil"/>
            </w:tcBorders>
            <w:noWrap/>
            <w:vAlign w:val="bottom"/>
          </w:tcPr>
          <w:p w14:paraId="0ECCB76A" w14:textId="77777777" w:rsidR="00FB0D92" w:rsidRPr="00EF252C" w:rsidRDefault="00FB0D92" w:rsidP="00B648EF">
            <w:pPr>
              <w:spacing w:line="276" w:lineRule="auto"/>
              <w:jc w:val="center"/>
              <w:rPr>
                <w:color w:val="000000"/>
              </w:rPr>
            </w:pPr>
          </w:p>
        </w:tc>
        <w:tc>
          <w:tcPr>
            <w:tcW w:w="527" w:type="pct"/>
            <w:tcBorders>
              <w:top w:val="nil"/>
              <w:left w:val="nil"/>
              <w:bottom w:val="nil"/>
              <w:right w:val="nil"/>
            </w:tcBorders>
            <w:noWrap/>
            <w:vAlign w:val="bottom"/>
          </w:tcPr>
          <w:p w14:paraId="5EA50E96" w14:textId="77777777" w:rsidR="00FB0D92" w:rsidRPr="00EF252C" w:rsidRDefault="00FB0D92" w:rsidP="00B648EF">
            <w:pPr>
              <w:spacing w:line="276" w:lineRule="auto"/>
              <w:jc w:val="center"/>
              <w:rPr>
                <w:color w:val="000000"/>
              </w:rPr>
            </w:pPr>
          </w:p>
        </w:tc>
      </w:tr>
      <w:tr w:rsidR="00FB0D92" w:rsidRPr="00EF252C" w14:paraId="7BBB02EB" w14:textId="77777777" w:rsidTr="00B648EF">
        <w:trPr>
          <w:trHeight w:val="320"/>
          <w:jc w:val="center"/>
        </w:trPr>
        <w:tc>
          <w:tcPr>
            <w:tcW w:w="1293" w:type="pct"/>
            <w:tcBorders>
              <w:top w:val="nil"/>
              <w:left w:val="nil"/>
              <w:bottom w:val="nil"/>
              <w:right w:val="nil"/>
            </w:tcBorders>
            <w:noWrap/>
            <w:vAlign w:val="bottom"/>
          </w:tcPr>
          <w:p w14:paraId="522FB23B" w14:textId="77777777" w:rsidR="00FB0D92" w:rsidRPr="00EF252C" w:rsidRDefault="00FB0D92" w:rsidP="00B648EF">
            <w:pPr>
              <w:spacing w:line="276" w:lineRule="auto"/>
              <w:rPr>
                <w:color w:val="000000"/>
              </w:rPr>
            </w:pPr>
            <w:r w:rsidRPr="00EF252C">
              <w:rPr>
                <w:color w:val="000000"/>
              </w:rPr>
              <w:t>Mid adult</w:t>
            </w:r>
          </w:p>
        </w:tc>
        <w:tc>
          <w:tcPr>
            <w:tcW w:w="530" w:type="pct"/>
            <w:tcBorders>
              <w:top w:val="nil"/>
              <w:left w:val="nil"/>
              <w:bottom w:val="nil"/>
              <w:right w:val="nil"/>
            </w:tcBorders>
            <w:noWrap/>
            <w:vAlign w:val="bottom"/>
          </w:tcPr>
          <w:p w14:paraId="0AD56A1D" w14:textId="77777777" w:rsidR="00FB0D92" w:rsidRPr="00EF252C" w:rsidRDefault="00FB0D92" w:rsidP="00B648EF">
            <w:pPr>
              <w:spacing w:line="276" w:lineRule="auto"/>
              <w:jc w:val="center"/>
              <w:rPr>
                <w:color w:val="000000"/>
              </w:rPr>
            </w:pPr>
            <w:r w:rsidRPr="00EF252C">
              <w:rPr>
                <w:color w:val="000000"/>
              </w:rPr>
              <w:t>8519</w:t>
            </w:r>
          </w:p>
        </w:tc>
        <w:tc>
          <w:tcPr>
            <w:tcW w:w="530" w:type="pct"/>
            <w:tcBorders>
              <w:top w:val="nil"/>
              <w:left w:val="nil"/>
              <w:bottom w:val="nil"/>
              <w:right w:val="nil"/>
            </w:tcBorders>
            <w:noWrap/>
            <w:vAlign w:val="bottom"/>
          </w:tcPr>
          <w:p w14:paraId="3854847F" w14:textId="77777777" w:rsidR="00FB0D92" w:rsidRPr="00EF252C" w:rsidRDefault="00FB0D92" w:rsidP="00B648EF">
            <w:pPr>
              <w:spacing w:line="276" w:lineRule="auto"/>
              <w:jc w:val="center"/>
              <w:rPr>
                <w:color w:val="000000"/>
              </w:rPr>
            </w:pPr>
            <w:r w:rsidRPr="00EF252C">
              <w:rPr>
                <w:color w:val="000000"/>
              </w:rPr>
              <w:t>46%</w:t>
            </w:r>
          </w:p>
        </w:tc>
        <w:tc>
          <w:tcPr>
            <w:tcW w:w="530" w:type="pct"/>
            <w:tcBorders>
              <w:top w:val="nil"/>
              <w:left w:val="nil"/>
              <w:bottom w:val="nil"/>
              <w:right w:val="nil"/>
            </w:tcBorders>
            <w:noWrap/>
            <w:vAlign w:val="bottom"/>
          </w:tcPr>
          <w:p w14:paraId="1D6BCB30" w14:textId="77777777" w:rsidR="00FB0D92" w:rsidRPr="00EF252C" w:rsidRDefault="00FB0D92" w:rsidP="00B648EF">
            <w:pPr>
              <w:spacing w:line="276" w:lineRule="auto"/>
              <w:jc w:val="center"/>
              <w:rPr>
                <w:color w:val="000000"/>
              </w:rPr>
            </w:pPr>
          </w:p>
        </w:tc>
        <w:tc>
          <w:tcPr>
            <w:tcW w:w="530" w:type="pct"/>
            <w:tcBorders>
              <w:top w:val="nil"/>
              <w:left w:val="nil"/>
              <w:bottom w:val="nil"/>
              <w:right w:val="nil"/>
            </w:tcBorders>
            <w:noWrap/>
            <w:vAlign w:val="bottom"/>
          </w:tcPr>
          <w:p w14:paraId="4B5EBC1D" w14:textId="77777777" w:rsidR="00FB0D92" w:rsidRPr="00EF252C" w:rsidRDefault="00FB0D92" w:rsidP="00B648EF">
            <w:pPr>
              <w:spacing w:line="276" w:lineRule="auto"/>
              <w:jc w:val="center"/>
              <w:rPr>
                <w:color w:val="000000"/>
              </w:rPr>
            </w:pPr>
          </w:p>
        </w:tc>
        <w:tc>
          <w:tcPr>
            <w:tcW w:w="530" w:type="pct"/>
            <w:tcBorders>
              <w:top w:val="nil"/>
              <w:left w:val="nil"/>
              <w:bottom w:val="nil"/>
              <w:right w:val="nil"/>
            </w:tcBorders>
            <w:noWrap/>
            <w:vAlign w:val="bottom"/>
          </w:tcPr>
          <w:p w14:paraId="0C638FE9" w14:textId="77777777" w:rsidR="00FB0D92" w:rsidRPr="00EF252C" w:rsidRDefault="00FB0D92" w:rsidP="00B648EF">
            <w:pPr>
              <w:spacing w:line="276" w:lineRule="auto"/>
              <w:jc w:val="center"/>
              <w:rPr>
                <w:color w:val="000000"/>
              </w:rPr>
            </w:pPr>
          </w:p>
        </w:tc>
        <w:tc>
          <w:tcPr>
            <w:tcW w:w="530" w:type="pct"/>
            <w:tcBorders>
              <w:top w:val="nil"/>
              <w:left w:val="nil"/>
              <w:bottom w:val="nil"/>
              <w:right w:val="nil"/>
            </w:tcBorders>
            <w:noWrap/>
            <w:vAlign w:val="bottom"/>
          </w:tcPr>
          <w:p w14:paraId="62949C48" w14:textId="77777777" w:rsidR="00FB0D92" w:rsidRPr="00EF252C" w:rsidRDefault="00FB0D92" w:rsidP="00B648EF">
            <w:pPr>
              <w:spacing w:line="276" w:lineRule="auto"/>
              <w:jc w:val="center"/>
              <w:rPr>
                <w:color w:val="000000"/>
              </w:rPr>
            </w:pPr>
          </w:p>
        </w:tc>
        <w:tc>
          <w:tcPr>
            <w:tcW w:w="527" w:type="pct"/>
            <w:tcBorders>
              <w:top w:val="nil"/>
              <w:left w:val="nil"/>
              <w:bottom w:val="nil"/>
              <w:right w:val="nil"/>
            </w:tcBorders>
            <w:noWrap/>
            <w:vAlign w:val="bottom"/>
          </w:tcPr>
          <w:p w14:paraId="7A3C70A9" w14:textId="77777777" w:rsidR="00FB0D92" w:rsidRPr="00EF252C" w:rsidRDefault="00FB0D92" w:rsidP="00B648EF">
            <w:pPr>
              <w:spacing w:line="276" w:lineRule="auto"/>
              <w:jc w:val="center"/>
              <w:rPr>
                <w:color w:val="000000"/>
              </w:rPr>
            </w:pPr>
          </w:p>
        </w:tc>
      </w:tr>
      <w:tr w:rsidR="00FB0D92" w:rsidRPr="00EF252C" w14:paraId="19ACE354" w14:textId="77777777" w:rsidTr="00B648EF">
        <w:trPr>
          <w:trHeight w:val="320"/>
          <w:jc w:val="center"/>
        </w:trPr>
        <w:tc>
          <w:tcPr>
            <w:tcW w:w="1293" w:type="pct"/>
            <w:tcBorders>
              <w:top w:val="nil"/>
              <w:left w:val="nil"/>
              <w:bottom w:val="nil"/>
              <w:right w:val="nil"/>
            </w:tcBorders>
            <w:noWrap/>
            <w:vAlign w:val="bottom"/>
          </w:tcPr>
          <w:p w14:paraId="506BF76B" w14:textId="77777777" w:rsidR="00FB0D92" w:rsidRPr="00EF252C" w:rsidRDefault="00FB0D92" w:rsidP="00B648EF">
            <w:pPr>
              <w:spacing w:line="276" w:lineRule="auto"/>
              <w:rPr>
                <w:color w:val="000000"/>
              </w:rPr>
            </w:pPr>
            <w:r w:rsidRPr="00EF252C">
              <w:rPr>
                <w:color w:val="000000"/>
              </w:rPr>
              <w:t>Older Adult</w:t>
            </w:r>
          </w:p>
        </w:tc>
        <w:tc>
          <w:tcPr>
            <w:tcW w:w="530" w:type="pct"/>
            <w:tcBorders>
              <w:top w:val="nil"/>
              <w:left w:val="nil"/>
              <w:bottom w:val="nil"/>
              <w:right w:val="nil"/>
            </w:tcBorders>
            <w:noWrap/>
            <w:vAlign w:val="bottom"/>
          </w:tcPr>
          <w:p w14:paraId="58FF9C0F" w14:textId="77777777" w:rsidR="00FB0D92" w:rsidRPr="00EF252C" w:rsidRDefault="00FB0D92" w:rsidP="00B648EF">
            <w:pPr>
              <w:spacing w:line="276" w:lineRule="auto"/>
              <w:jc w:val="center"/>
              <w:rPr>
                <w:color w:val="000000"/>
              </w:rPr>
            </w:pPr>
            <w:r w:rsidRPr="00EF252C">
              <w:rPr>
                <w:color w:val="000000"/>
              </w:rPr>
              <w:t>3010</w:t>
            </w:r>
          </w:p>
        </w:tc>
        <w:tc>
          <w:tcPr>
            <w:tcW w:w="530" w:type="pct"/>
            <w:tcBorders>
              <w:top w:val="nil"/>
              <w:left w:val="nil"/>
              <w:bottom w:val="nil"/>
              <w:right w:val="nil"/>
            </w:tcBorders>
            <w:noWrap/>
            <w:vAlign w:val="bottom"/>
          </w:tcPr>
          <w:p w14:paraId="6112E3A2" w14:textId="77777777" w:rsidR="00FB0D92" w:rsidRPr="00EF252C" w:rsidRDefault="00FB0D92" w:rsidP="00B648EF">
            <w:pPr>
              <w:spacing w:line="276" w:lineRule="auto"/>
              <w:jc w:val="center"/>
              <w:rPr>
                <w:color w:val="000000"/>
              </w:rPr>
            </w:pPr>
            <w:r w:rsidRPr="00EF252C">
              <w:rPr>
                <w:color w:val="000000"/>
              </w:rPr>
              <w:t>17%</w:t>
            </w:r>
          </w:p>
        </w:tc>
        <w:tc>
          <w:tcPr>
            <w:tcW w:w="530" w:type="pct"/>
            <w:tcBorders>
              <w:top w:val="nil"/>
              <w:left w:val="nil"/>
              <w:bottom w:val="nil"/>
              <w:right w:val="nil"/>
            </w:tcBorders>
            <w:noWrap/>
            <w:vAlign w:val="bottom"/>
          </w:tcPr>
          <w:p w14:paraId="2CB3A52E" w14:textId="77777777" w:rsidR="00FB0D92" w:rsidRPr="00EF252C" w:rsidRDefault="00FB0D92" w:rsidP="00B648EF">
            <w:pPr>
              <w:spacing w:line="276" w:lineRule="auto"/>
              <w:jc w:val="center"/>
              <w:rPr>
                <w:color w:val="000000"/>
              </w:rPr>
            </w:pPr>
          </w:p>
        </w:tc>
        <w:tc>
          <w:tcPr>
            <w:tcW w:w="530" w:type="pct"/>
            <w:tcBorders>
              <w:top w:val="nil"/>
              <w:left w:val="nil"/>
              <w:bottom w:val="nil"/>
              <w:right w:val="nil"/>
            </w:tcBorders>
            <w:noWrap/>
            <w:vAlign w:val="bottom"/>
          </w:tcPr>
          <w:p w14:paraId="02D49BB3" w14:textId="77777777" w:rsidR="00FB0D92" w:rsidRPr="00EF252C" w:rsidRDefault="00FB0D92" w:rsidP="00B648EF">
            <w:pPr>
              <w:spacing w:line="276" w:lineRule="auto"/>
              <w:jc w:val="center"/>
              <w:rPr>
                <w:color w:val="000000"/>
              </w:rPr>
            </w:pPr>
          </w:p>
        </w:tc>
        <w:tc>
          <w:tcPr>
            <w:tcW w:w="530" w:type="pct"/>
            <w:tcBorders>
              <w:top w:val="nil"/>
              <w:left w:val="nil"/>
              <w:bottom w:val="nil"/>
              <w:right w:val="nil"/>
            </w:tcBorders>
            <w:noWrap/>
            <w:vAlign w:val="bottom"/>
          </w:tcPr>
          <w:p w14:paraId="3165C82B" w14:textId="77777777" w:rsidR="00FB0D92" w:rsidRPr="00EF252C" w:rsidRDefault="00FB0D92" w:rsidP="00B648EF">
            <w:pPr>
              <w:spacing w:line="276" w:lineRule="auto"/>
              <w:jc w:val="center"/>
              <w:rPr>
                <w:color w:val="000000"/>
              </w:rPr>
            </w:pPr>
          </w:p>
        </w:tc>
        <w:tc>
          <w:tcPr>
            <w:tcW w:w="530" w:type="pct"/>
            <w:tcBorders>
              <w:top w:val="nil"/>
              <w:left w:val="nil"/>
              <w:bottom w:val="nil"/>
              <w:right w:val="nil"/>
            </w:tcBorders>
            <w:noWrap/>
            <w:vAlign w:val="bottom"/>
          </w:tcPr>
          <w:p w14:paraId="28BCDE8F" w14:textId="77777777" w:rsidR="00FB0D92" w:rsidRPr="00EF252C" w:rsidRDefault="00FB0D92" w:rsidP="00B648EF">
            <w:pPr>
              <w:spacing w:line="276" w:lineRule="auto"/>
              <w:jc w:val="center"/>
              <w:rPr>
                <w:color w:val="000000"/>
              </w:rPr>
            </w:pPr>
          </w:p>
        </w:tc>
        <w:tc>
          <w:tcPr>
            <w:tcW w:w="527" w:type="pct"/>
            <w:tcBorders>
              <w:top w:val="nil"/>
              <w:left w:val="nil"/>
              <w:bottom w:val="nil"/>
              <w:right w:val="nil"/>
            </w:tcBorders>
            <w:noWrap/>
            <w:vAlign w:val="bottom"/>
          </w:tcPr>
          <w:p w14:paraId="70B2E29F" w14:textId="77777777" w:rsidR="00FB0D92" w:rsidRPr="00EF252C" w:rsidRDefault="00FB0D92" w:rsidP="00B648EF">
            <w:pPr>
              <w:spacing w:line="276" w:lineRule="auto"/>
              <w:jc w:val="center"/>
              <w:rPr>
                <w:color w:val="000000"/>
              </w:rPr>
            </w:pPr>
          </w:p>
        </w:tc>
      </w:tr>
      <w:tr w:rsidR="00FB0D92" w:rsidRPr="00EF252C" w14:paraId="4B27A892" w14:textId="77777777" w:rsidTr="00B648EF">
        <w:trPr>
          <w:trHeight w:val="320"/>
          <w:jc w:val="center"/>
        </w:trPr>
        <w:tc>
          <w:tcPr>
            <w:tcW w:w="1293" w:type="pct"/>
            <w:tcBorders>
              <w:top w:val="nil"/>
              <w:left w:val="nil"/>
              <w:bottom w:val="nil"/>
              <w:right w:val="nil"/>
            </w:tcBorders>
            <w:noWrap/>
            <w:vAlign w:val="bottom"/>
            <w:hideMark/>
          </w:tcPr>
          <w:p w14:paraId="1899C0D8" w14:textId="77777777" w:rsidR="00FB0D92" w:rsidRPr="00EF252C" w:rsidRDefault="00FB0D92" w:rsidP="00B648EF">
            <w:pPr>
              <w:spacing w:line="276" w:lineRule="auto"/>
              <w:rPr>
                <w:color w:val="000000"/>
              </w:rPr>
            </w:pPr>
            <w:r w:rsidRPr="00EF252C">
              <w:rPr>
                <w:color w:val="000000"/>
              </w:rPr>
              <w:t>Education</w:t>
            </w:r>
          </w:p>
        </w:tc>
        <w:tc>
          <w:tcPr>
            <w:tcW w:w="530" w:type="pct"/>
            <w:tcBorders>
              <w:top w:val="nil"/>
              <w:left w:val="nil"/>
              <w:bottom w:val="nil"/>
              <w:right w:val="nil"/>
            </w:tcBorders>
            <w:noWrap/>
            <w:vAlign w:val="bottom"/>
            <w:hideMark/>
          </w:tcPr>
          <w:p w14:paraId="5D87E234" w14:textId="77777777" w:rsidR="00FB0D92" w:rsidRPr="00EF252C" w:rsidRDefault="00FB0D92" w:rsidP="00B648EF">
            <w:pPr>
              <w:spacing w:line="276" w:lineRule="auto"/>
              <w:jc w:val="center"/>
              <w:rPr>
                <w:color w:val="000000"/>
              </w:rPr>
            </w:pPr>
            <w:r w:rsidRPr="00EF252C">
              <w:rPr>
                <w:color w:val="000000"/>
              </w:rPr>
              <w:t>18433</w:t>
            </w:r>
          </w:p>
        </w:tc>
        <w:tc>
          <w:tcPr>
            <w:tcW w:w="530" w:type="pct"/>
            <w:tcBorders>
              <w:top w:val="nil"/>
              <w:left w:val="nil"/>
              <w:bottom w:val="nil"/>
              <w:right w:val="nil"/>
            </w:tcBorders>
            <w:noWrap/>
            <w:vAlign w:val="bottom"/>
            <w:hideMark/>
          </w:tcPr>
          <w:p w14:paraId="40FDC686" w14:textId="77777777" w:rsidR="00FB0D92" w:rsidRPr="00EF252C" w:rsidRDefault="00FB0D92" w:rsidP="00B648EF">
            <w:pPr>
              <w:spacing w:line="276" w:lineRule="auto"/>
              <w:jc w:val="center"/>
              <w:rPr>
                <w:color w:val="000000"/>
              </w:rPr>
            </w:pPr>
            <w:r w:rsidRPr="00EF252C">
              <w:rPr>
                <w:color w:val="000000"/>
              </w:rPr>
              <w:t>4.4</w:t>
            </w:r>
          </w:p>
        </w:tc>
        <w:tc>
          <w:tcPr>
            <w:tcW w:w="530" w:type="pct"/>
            <w:tcBorders>
              <w:top w:val="nil"/>
              <w:left w:val="nil"/>
              <w:bottom w:val="nil"/>
              <w:right w:val="nil"/>
            </w:tcBorders>
            <w:noWrap/>
            <w:vAlign w:val="bottom"/>
            <w:hideMark/>
          </w:tcPr>
          <w:p w14:paraId="62B5D027" w14:textId="77777777" w:rsidR="00FB0D92" w:rsidRPr="00EF252C" w:rsidRDefault="00FB0D92" w:rsidP="00B648EF">
            <w:pPr>
              <w:spacing w:line="276" w:lineRule="auto"/>
              <w:jc w:val="center"/>
              <w:rPr>
                <w:color w:val="000000"/>
              </w:rPr>
            </w:pPr>
            <w:r w:rsidRPr="00EF252C">
              <w:rPr>
                <w:color w:val="000000"/>
              </w:rPr>
              <w:t>2.2</w:t>
            </w:r>
          </w:p>
        </w:tc>
        <w:tc>
          <w:tcPr>
            <w:tcW w:w="530" w:type="pct"/>
            <w:tcBorders>
              <w:top w:val="nil"/>
              <w:left w:val="nil"/>
              <w:bottom w:val="nil"/>
              <w:right w:val="nil"/>
            </w:tcBorders>
            <w:noWrap/>
            <w:vAlign w:val="bottom"/>
            <w:hideMark/>
          </w:tcPr>
          <w:p w14:paraId="73FF6153" w14:textId="77777777" w:rsidR="00FB0D92" w:rsidRPr="00EF252C" w:rsidRDefault="00FB0D92" w:rsidP="00B648EF">
            <w:pPr>
              <w:spacing w:line="276" w:lineRule="auto"/>
              <w:jc w:val="center"/>
              <w:rPr>
                <w:color w:val="000000"/>
              </w:rPr>
            </w:pPr>
            <w:r w:rsidRPr="00EF252C">
              <w:rPr>
                <w:color w:val="000000"/>
              </w:rPr>
              <w:t>0</w:t>
            </w:r>
          </w:p>
        </w:tc>
        <w:tc>
          <w:tcPr>
            <w:tcW w:w="530" w:type="pct"/>
            <w:tcBorders>
              <w:top w:val="nil"/>
              <w:left w:val="nil"/>
              <w:bottom w:val="nil"/>
              <w:right w:val="nil"/>
            </w:tcBorders>
            <w:noWrap/>
            <w:vAlign w:val="bottom"/>
            <w:hideMark/>
          </w:tcPr>
          <w:p w14:paraId="2745A258" w14:textId="77777777" w:rsidR="00FB0D92" w:rsidRPr="00EF252C" w:rsidRDefault="00FB0D92" w:rsidP="00B648EF">
            <w:pPr>
              <w:spacing w:line="276" w:lineRule="auto"/>
              <w:jc w:val="center"/>
              <w:rPr>
                <w:color w:val="000000"/>
              </w:rPr>
            </w:pPr>
            <w:r w:rsidRPr="00EF252C">
              <w:rPr>
                <w:color w:val="000000"/>
              </w:rPr>
              <w:t>3</w:t>
            </w:r>
          </w:p>
        </w:tc>
        <w:tc>
          <w:tcPr>
            <w:tcW w:w="530" w:type="pct"/>
            <w:tcBorders>
              <w:top w:val="nil"/>
              <w:left w:val="nil"/>
              <w:bottom w:val="nil"/>
              <w:right w:val="nil"/>
            </w:tcBorders>
            <w:noWrap/>
            <w:vAlign w:val="bottom"/>
            <w:hideMark/>
          </w:tcPr>
          <w:p w14:paraId="3571C0BE" w14:textId="77777777" w:rsidR="00FB0D92" w:rsidRPr="00EF252C" w:rsidRDefault="00FB0D92" w:rsidP="00B648EF">
            <w:pPr>
              <w:spacing w:line="276" w:lineRule="auto"/>
              <w:jc w:val="center"/>
              <w:rPr>
                <w:color w:val="000000"/>
              </w:rPr>
            </w:pPr>
            <w:r w:rsidRPr="00EF252C">
              <w:rPr>
                <w:color w:val="000000"/>
              </w:rPr>
              <w:t>6</w:t>
            </w:r>
          </w:p>
        </w:tc>
        <w:tc>
          <w:tcPr>
            <w:tcW w:w="527" w:type="pct"/>
            <w:tcBorders>
              <w:top w:val="nil"/>
              <w:left w:val="nil"/>
              <w:bottom w:val="nil"/>
              <w:right w:val="nil"/>
            </w:tcBorders>
            <w:noWrap/>
            <w:vAlign w:val="bottom"/>
            <w:hideMark/>
          </w:tcPr>
          <w:p w14:paraId="67FC0A65" w14:textId="77777777" w:rsidR="00FB0D92" w:rsidRPr="00EF252C" w:rsidRDefault="00FB0D92" w:rsidP="00B648EF">
            <w:pPr>
              <w:spacing w:line="276" w:lineRule="auto"/>
              <w:jc w:val="center"/>
              <w:rPr>
                <w:color w:val="000000"/>
              </w:rPr>
            </w:pPr>
            <w:r w:rsidRPr="00EF252C">
              <w:rPr>
                <w:color w:val="000000"/>
              </w:rPr>
              <w:t>9</w:t>
            </w:r>
          </w:p>
        </w:tc>
      </w:tr>
      <w:tr w:rsidR="00FB0D92" w:rsidRPr="00EF252C" w14:paraId="297C84CA" w14:textId="77777777" w:rsidTr="00B648EF">
        <w:trPr>
          <w:trHeight w:val="320"/>
          <w:jc w:val="center"/>
        </w:trPr>
        <w:tc>
          <w:tcPr>
            <w:tcW w:w="1293" w:type="pct"/>
            <w:tcBorders>
              <w:top w:val="nil"/>
              <w:left w:val="nil"/>
              <w:bottom w:val="nil"/>
              <w:right w:val="nil"/>
            </w:tcBorders>
            <w:noWrap/>
            <w:vAlign w:val="bottom"/>
            <w:hideMark/>
          </w:tcPr>
          <w:p w14:paraId="4B7AC7C0" w14:textId="77777777" w:rsidR="00FB0D92" w:rsidRPr="00EF252C" w:rsidRDefault="00FB0D92" w:rsidP="00B648EF">
            <w:pPr>
              <w:spacing w:line="276" w:lineRule="auto"/>
              <w:rPr>
                <w:color w:val="000000"/>
              </w:rPr>
            </w:pPr>
            <w:r w:rsidRPr="00EF252C">
              <w:rPr>
                <w:color w:val="000000"/>
              </w:rPr>
              <w:t>Gender</w:t>
            </w:r>
          </w:p>
        </w:tc>
        <w:tc>
          <w:tcPr>
            <w:tcW w:w="530" w:type="pct"/>
            <w:tcBorders>
              <w:top w:val="nil"/>
              <w:left w:val="nil"/>
              <w:bottom w:val="nil"/>
              <w:right w:val="nil"/>
            </w:tcBorders>
            <w:noWrap/>
            <w:vAlign w:val="bottom"/>
            <w:hideMark/>
          </w:tcPr>
          <w:p w14:paraId="404DDB01" w14:textId="77777777" w:rsidR="00FB0D92" w:rsidRPr="00EF252C" w:rsidRDefault="00FB0D92" w:rsidP="00B648EF">
            <w:pPr>
              <w:spacing w:line="276" w:lineRule="auto"/>
              <w:jc w:val="center"/>
              <w:rPr>
                <w:color w:val="000000"/>
              </w:rPr>
            </w:pPr>
            <w:r w:rsidRPr="00EF252C">
              <w:rPr>
                <w:color w:val="000000"/>
              </w:rPr>
              <w:t>18433</w:t>
            </w:r>
          </w:p>
        </w:tc>
        <w:tc>
          <w:tcPr>
            <w:tcW w:w="530" w:type="pct"/>
            <w:tcBorders>
              <w:top w:val="nil"/>
              <w:left w:val="nil"/>
              <w:bottom w:val="nil"/>
              <w:right w:val="nil"/>
            </w:tcBorders>
            <w:noWrap/>
            <w:vAlign w:val="bottom"/>
            <w:hideMark/>
          </w:tcPr>
          <w:p w14:paraId="05D78F6E" w14:textId="77777777" w:rsidR="00FB0D92" w:rsidRPr="00EF252C" w:rsidRDefault="00FB0D92" w:rsidP="00B648EF">
            <w:pPr>
              <w:spacing w:line="276" w:lineRule="auto"/>
              <w:jc w:val="center"/>
              <w:rPr>
                <w:color w:val="000000"/>
              </w:rPr>
            </w:pPr>
            <w:r w:rsidRPr="00EF252C">
              <w:rPr>
                <w:color w:val="000000"/>
              </w:rPr>
              <w:t>0.48</w:t>
            </w:r>
          </w:p>
        </w:tc>
        <w:tc>
          <w:tcPr>
            <w:tcW w:w="530" w:type="pct"/>
            <w:tcBorders>
              <w:top w:val="nil"/>
              <w:left w:val="nil"/>
              <w:bottom w:val="nil"/>
              <w:right w:val="nil"/>
            </w:tcBorders>
            <w:noWrap/>
            <w:vAlign w:val="bottom"/>
            <w:hideMark/>
          </w:tcPr>
          <w:p w14:paraId="39A62F2D" w14:textId="77777777" w:rsidR="00FB0D92" w:rsidRPr="00EF252C" w:rsidRDefault="00FB0D92" w:rsidP="00B648EF">
            <w:pPr>
              <w:spacing w:line="276" w:lineRule="auto"/>
              <w:jc w:val="center"/>
              <w:rPr>
                <w:color w:val="000000"/>
              </w:rPr>
            </w:pPr>
            <w:r w:rsidRPr="00EF252C">
              <w:rPr>
                <w:color w:val="000000"/>
              </w:rPr>
              <w:t>0.5</w:t>
            </w:r>
          </w:p>
        </w:tc>
        <w:tc>
          <w:tcPr>
            <w:tcW w:w="530" w:type="pct"/>
            <w:tcBorders>
              <w:top w:val="nil"/>
              <w:left w:val="nil"/>
              <w:bottom w:val="nil"/>
              <w:right w:val="nil"/>
            </w:tcBorders>
            <w:noWrap/>
            <w:vAlign w:val="bottom"/>
            <w:hideMark/>
          </w:tcPr>
          <w:p w14:paraId="376C9E60" w14:textId="77777777" w:rsidR="00FB0D92" w:rsidRPr="00EF252C" w:rsidRDefault="00FB0D92" w:rsidP="00B648EF">
            <w:pPr>
              <w:spacing w:line="276" w:lineRule="auto"/>
              <w:jc w:val="center"/>
              <w:rPr>
                <w:color w:val="000000"/>
              </w:rPr>
            </w:pPr>
            <w:r w:rsidRPr="00EF252C">
              <w:rPr>
                <w:color w:val="000000"/>
              </w:rPr>
              <w:t>0</w:t>
            </w:r>
          </w:p>
        </w:tc>
        <w:tc>
          <w:tcPr>
            <w:tcW w:w="530" w:type="pct"/>
            <w:tcBorders>
              <w:top w:val="nil"/>
              <w:left w:val="nil"/>
              <w:bottom w:val="nil"/>
              <w:right w:val="nil"/>
            </w:tcBorders>
            <w:noWrap/>
            <w:vAlign w:val="bottom"/>
            <w:hideMark/>
          </w:tcPr>
          <w:p w14:paraId="5D049839" w14:textId="77777777" w:rsidR="00FB0D92" w:rsidRPr="00EF252C" w:rsidRDefault="00FB0D92" w:rsidP="00B648EF">
            <w:pPr>
              <w:spacing w:line="276" w:lineRule="auto"/>
              <w:jc w:val="center"/>
              <w:rPr>
                <w:color w:val="000000"/>
              </w:rPr>
            </w:pPr>
            <w:r w:rsidRPr="00EF252C">
              <w:rPr>
                <w:color w:val="000000"/>
              </w:rPr>
              <w:t>0</w:t>
            </w:r>
          </w:p>
        </w:tc>
        <w:tc>
          <w:tcPr>
            <w:tcW w:w="530" w:type="pct"/>
            <w:tcBorders>
              <w:top w:val="nil"/>
              <w:left w:val="nil"/>
              <w:bottom w:val="nil"/>
              <w:right w:val="nil"/>
            </w:tcBorders>
            <w:noWrap/>
            <w:vAlign w:val="bottom"/>
            <w:hideMark/>
          </w:tcPr>
          <w:p w14:paraId="1450AA43" w14:textId="77777777" w:rsidR="00FB0D92" w:rsidRPr="00EF252C" w:rsidRDefault="00FB0D92" w:rsidP="00B648EF">
            <w:pPr>
              <w:spacing w:line="276" w:lineRule="auto"/>
              <w:jc w:val="center"/>
              <w:rPr>
                <w:color w:val="000000"/>
              </w:rPr>
            </w:pPr>
            <w:r w:rsidRPr="00EF252C">
              <w:rPr>
                <w:color w:val="000000"/>
              </w:rPr>
              <w:t>1</w:t>
            </w:r>
          </w:p>
        </w:tc>
        <w:tc>
          <w:tcPr>
            <w:tcW w:w="527" w:type="pct"/>
            <w:tcBorders>
              <w:top w:val="nil"/>
              <w:left w:val="nil"/>
              <w:bottom w:val="nil"/>
              <w:right w:val="nil"/>
            </w:tcBorders>
            <w:noWrap/>
            <w:vAlign w:val="bottom"/>
            <w:hideMark/>
          </w:tcPr>
          <w:p w14:paraId="75A080DD" w14:textId="77777777" w:rsidR="00FB0D92" w:rsidRPr="00EF252C" w:rsidRDefault="00FB0D92" w:rsidP="00B648EF">
            <w:pPr>
              <w:spacing w:line="276" w:lineRule="auto"/>
              <w:jc w:val="center"/>
              <w:rPr>
                <w:color w:val="000000"/>
              </w:rPr>
            </w:pPr>
            <w:r w:rsidRPr="00EF252C">
              <w:rPr>
                <w:color w:val="000000"/>
              </w:rPr>
              <w:t>1</w:t>
            </w:r>
          </w:p>
        </w:tc>
      </w:tr>
      <w:tr w:rsidR="00FB0D92" w:rsidRPr="00EF252C" w14:paraId="64B1F8A5" w14:textId="77777777" w:rsidTr="00B648EF">
        <w:trPr>
          <w:trHeight w:val="320"/>
          <w:jc w:val="center"/>
        </w:trPr>
        <w:tc>
          <w:tcPr>
            <w:tcW w:w="1293" w:type="pct"/>
            <w:tcBorders>
              <w:top w:val="nil"/>
              <w:left w:val="nil"/>
              <w:right w:val="nil"/>
            </w:tcBorders>
            <w:noWrap/>
            <w:vAlign w:val="bottom"/>
            <w:hideMark/>
          </w:tcPr>
          <w:p w14:paraId="28FEFF71" w14:textId="77777777" w:rsidR="00FB0D92" w:rsidRPr="00EF252C" w:rsidRDefault="00FB0D92" w:rsidP="00B648EF">
            <w:pPr>
              <w:spacing w:line="276" w:lineRule="auto"/>
              <w:rPr>
                <w:color w:val="000000"/>
              </w:rPr>
            </w:pPr>
            <w:r w:rsidRPr="00EF252C">
              <w:rPr>
                <w:color w:val="000000"/>
              </w:rPr>
              <w:t>Experienced poverty (ln)</w:t>
            </w:r>
          </w:p>
        </w:tc>
        <w:tc>
          <w:tcPr>
            <w:tcW w:w="530" w:type="pct"/>
            <w:tcBorders>
              <w:top w:val="nil"/>
              <w:left w:val="nil"/>
              <w:right w:val="nil"/>
            </w:tcBorders>
            <w:noWrap/>
            <w:vAlign w:val="bottom"/>
            <w:hideMark/>
          </w:tcPr>
          <w:p w14:paraId="599A6585" w14:textId="77777777" w:rsidR="00FB0D92" w:rsidRPr="00EF252C" w:rsidRDefault="00FB0D92" w:rsidP="00B648EF">
            <w:pPr>
              <w:spacing w:line="276" w:lineRule="auto"/>
              <w:jc w:val="center"/>
              <w:rPr>
                <w:color w:val="000000"/>
              </w:rPr>
            </w:pPr>
            <w:r w:rsidRPr="00EF252C">
              <w:rPr>
                <w:color w:val="000000"/>
              </w:rPr>
              <w:t>18433</w:t>
            </w:r>
          </w:p>
        </w:tc>
        <w:tc>
          <w:tcPr>
            <w:tcW w:w="530" w:type="pct"/>
            <w:tcBorders>
              <w:top w:val="nil"/>
              <w:left w:val="nil"/>
              <w:right w:val="nil"/>
            </w:tcBorders>
            <w:noWrap/>
            <w:vAlign w:val="bottom"/>
            <w:hideMark/>
          </w:tcPr>
          <w:p w14:paraId="1335867F" w14:textId="77777777" w:rsidR="00FB0D92" w:rsidRPr="00EF252C" w:rsidRDefault="00FB0D92" w:rsidP="00B648EF">
            <w:pPr>
              <w:spacing w:line="276" w:lineRule="auto"/>
              <w:jc w:val="center"/>
              <w:rPr>
                <w:color w:val="000000"/>
              </w:rPr>
            </w:pPr>
            <w:r w:rsidRPr="00EF252C">
              <w:rPr>
                <w:color w:val="000000"/>
              </w:rPr>
              <w:t>0.57</w:t>
            </w:r>
          </w:p>
        </w:tc>
        <w:tc>
          <w:tcPr>
            <w:tcW w:w="530" w:type="pct"/>
            <w:tcBorders>
              <w:top w:val="nil"/>
              <w:left w:val="nil"/>
              <w:right w:val="nil"/>
            </w:tcBorders>
            <w:noWrap/>
            <w:vAlign w:val="bottom"/>
            <w:hideMark/>
          </w:tcPr>
          <w:p w14:paraId="07756E30" w14:textId="77777777" w:rsidR="00FB0D92" w:rsidRPr="00EF252C" w:rsidRDefault="00FB0D92" w:rsidP="00B648EF">
            <w:pPr>
              <w:spacing w:line="276" w:lineRule="auto"/>
              <w:jc w:val="center"/>
              <w:rPr>
                <w:color w:val="000000"/>
              </w:rPr>
            </w:pPr>
            <w:r w:rsidRPr="00EF252C">
              <w:rPr>
                <w:color w:val="000000"/>
              </w:rPr>
              <w:t>0.45</w:t>
            </w:r>
          </w:p>
        </w:tc>
        <w:tc>
          <w:tcPr>
            <w:tcW w:w="530" w:type="pct"/>
            <w:tcBorders>
              <w:top w:val="nil"/>
              <w:left w:val="nil"/>
              <w:right w:val="nil"/>
            </w:tcBorders>
            <w:noWrap/>
            <w:vAlign w:val="bottom"/>
            <w:hideMark/>
          </w:tcPr>
          <w:p w14:paraId="3F10D5D2" w14:textId="77777777" w:rsidR="00FB0D92" w:rsidRPr="00EF252C" w:rsidRDefault="00FB0D92" w:rsidP="00B648EF">
            <w:pPr>
              <w:spacing w:line="276" w:lineRule="auto"/>
              <w:jc w:val="center"/>
              <w:rPr>
                <w:color w:val="000000"/>
              </w:rPr>
            </w:pPr>
            <w:r w:rsidRPr="00EF252C">
              <w:rPr>
                <w:color w:val="000000"/>
              </w:rPr>
              <w:t>0</w:t>
            </w:r>
          </w:p>
        </w:tc>
        <w:tc>
          <w:tcPr>
            <w:tcW w:w="530" w:type="pct"/>
            <w:tcBorders>
              <w:top w:val="nil"/>
              <w:left w:val="nil"/>
              <w:right w:val="nil"/>
            </w:tcBorders>
            <w:noWrap/>
            <w:vAlign w:val="bottom"/>
            <w:hideMark/>
          </w:tcPr>
          <w:p w14:paraId="03E79D7A" w14:textId="77777777" w:rsidR="00FB0D92" w:rsidRPr="00EF252C" w:rsidRDefault="00FB0D92" w:rsidP="00B648EF">
            <w:pPr>
              <w:spacing w:line="276" w:lineRule="auto"/>
              <w:jc w:val="center"/>
              <w:rPr>
                <w:color w:val="000000"/>
              </w:rPr>
            </w:pPr>
            <w:r w:rsidRPr="00EF252C">
              <w:rPr>
                <w:color w:val="000000"/>
              </w:rPr>
              <w:t>0.14</w:t>
            </w:r>
          </w:p>
        </w:tc>
        <w:tc>
          <w:tcPr>
            <w:tcW w:w="530" w:type="pct"/>
            <w:tcBorders>
              <w:top w:val="nil"/>
              <w:left w:val="nil"/>
              <w:right w:val="nil"/>
            </w:tcBorders>
            <w:noWrap/>
            <w:vAlign w:val="bottom"/>
            <w:hideMark/>
          </w:tcPr>
          <w:p w14:paraId="67911009" w14:textId="77777777" w:rsidR="00FB0D92" w:rsidRPr="00EF252C" w:rsidRDefault="00FB0D92" w:rsidP="00B648EF">
            <w:pPr>
              <w:spacing w:line="276" w:lineRule="auto"/>
              <w:jc w:val="center"/>
              <w:rPr>
                <w:color w:val="000000"/>
              </w:rPr>
            </w:pPr>
            <w:r w:rsidRPr="00EF252C">
              <w:rPr>
                <w:color w:val="000000"/>
              </w:rPr>
              <w:t>0.96</w:t>
            </w:r>
          </w:p>
        </w:tc>
        <w:tc>
          <w:tcPr>
            <w:tcW w:w="527" w:type="pct"/>
            <w:tcBorders>
              <w:top w:val="nil"/>
              <w:left w:val="nil"/>
              <w:right w:val="nil"/>
            </w:tcBorders>
            <w:noWrap/>
            <w:vAlign w:val="bottom"/>
            <w:hideMark/>
          </w:tcPr>
          <w:p w14:paraId="43210462" w14:textId="77777777" w:rsidR="00FB0D92" w:rsidRPr="00EF252C" w:rsidRDefault="00FB0D92" w:rsidP="00B648EF">
            <w:pPr>
              <w:spacing w:line="276" w:lineRule="auto"/>
              <w:jc w:val="center"/>
              <w:rPr>
                <w:color w:val="000000"/>
              </w:rPr>
            </w:pPr>
            <w:r w:rsidRPr="00EF252C">
              <w:rPr>
                <w:color w:val="000000"/>
              </w:rPr>
              <w:t>1.6</w:t>
            </w:r>
          </w:p>
        </w:tc>
      </w:tr>
      <w:tr w:rsidR="00FB0D92" w:rsidRPr="00EF252C" w14:paraId="322A0E6D" w14:textId="77777777" w:rsidTr="00B648EF">
        <w:trPr>
          <w:trHeight w:val="320"/>
          <w:jc w:val="center"/>
        </w:trPr>
        <w:tc>
          <w:tcPr>
            <w:tcW w:w="1293" w:type="pct"/>
            <w:tcBorders>
              <w:top w:val="nil"/>
              <w:left w:val="nil"/>
              <w:bottom w:val="single" w:sz="4" w:space="0" w:color="auto"/>
              <w:right w:val="nil"/>
            </w:tcBorders>
            <w:noWrap/>
            <w:vAlign w:val="bottom"/>
            <w:hideMark/>
          </w:tcPr>
          <w:p w14:paraId="1A9CB201" w14:textId="77777777" w:rsidR="00FB0D92" w:rsidRPr="00EF252C" w:rsidRDefault="00FB0D92" w:rsidP="00B648EF">
            <w:pPr>
              <w:spacing w:line="276" w:lineRule="auto"/>
              <w:rPr>
                <w:color w:val="000000"/>
              </w:rPr>
            </w:pPr>
            <w:r w:rsidRPr="00EF252C">
              <w:rPr>
                <w:color w:val="000000"/>
              </w:rPr>
              <w:t>Employment status</w:t>
            </w:r>
          </w:p>
        </w:tc>
        <w:tc>
          <w:tcPr>
            <w:tcW w:w="530" w:type="pct"/>
            <w:tcBorders>
              <w:top w:val="nil"/>
              <w:left w:val="nil"/>
              <w:bottom w:val="single" w:sz="4" w:space="0" w:color="auto"/>
              <w:right w:val="nil"/>
            </w:tcBorders>
            <w:noWrap/>
            <w:vAlign w:val="bottom"/>
            <w:hideMark/>
          </w:tcPr>
          <w:p w14:paraId="08657E99" w14:textId="77777777" w:rsidR="00FB0D92" w:rsidRPr="00EF252C" w:rsidRDefault="00FB0D92" w:rsidP="00B648EF">
            <w:pPr>
              <w:spacing w:line="276" w:lineRule="auto"/>
              <w:jc w:val="center"/>
              <w:rPr>
                <w:color w:val="000000"/>
              </w:rPr>
            </w:pPr>
            <w:r w:rsidRPr="00EF252C">
              <w:rPr>
                <w:color w:val="000000"/>
              </w:rPr>
              <w:t>18433</w:t>
            </w:r>
          </w:p>
        </w:tc>
        <w:tc>
          <w:tcPr>
            <w:tcW w:w="530" w:type="pct"/>
            <w:tcBorders>
              <w:top w:val="nil"/>
              <w:left w:val="nil"/>
              <w:bottom w:val="single" w:sz="4" w:space="0" w:color="auto"/>
              <w:right w:val="nil"/>
            </w:tcBorders>
            <w:noWrap/>
            <w:vAlign w:val="bottom"/>
            <w:hideMark/>
          </w:tcPr>
          <w:p w14:paraId="38B669D5" w14:textId="77777777" w:rsidR="00FB0D92" w:rsidRPr="00EF252C" w:rsidRDefault="00FB0D92" w:rsidP="00B648EF">
            <w:pPr>
              <w:spacing w:line="276" w:lineRule="auto"/>
              <w:jc w:val="center"/>
              <w:rPr>
                <w:color w:val="000000"/>
              </w:rPr>
            </w:pPr>
            <w:r w:rsidRPr="00EF252C">
              <w:rPr>
                <w:color w:val="000000"/>
              </w:rPr>
              <w:t>0.46</w:t>
            </w:r>
          </w:p>
        </w:tc>
        <w:tc>
          <w:tcPr>
            <w:tcW w:w="530" w:type="pct"/>
            <w:tcBorders>
              <w:top w:val="nil"/>
              <w:left w:val="nil"/>
              <w:bottom w:val="single" w:sz="4" w:space="0" w:color="auto"/>
              <w:right w:val="nil"/>
            </w:tcBorders>
            <w:noWrap/>
            <w:vAlign w:val="bottom"/>
            <w:hideMark/>
          </w:tcPr>
          <w:p w14:paraId="4906D756" w14:textId="77777777" w:rsidR="00FB0D92" w:rsidRPr="00EF252C" w:rsidRDefault="00FB0D92" w:rsidP="00B648EF">
            <w:pPr>
              <w:spacing w:line="276" w:lineRule="auto"/>
              <w:jc w:val="center"/>
              <w:rPr>
                <w:color w:val="000000"/>
              </w:rPr>
            </w:pPr>
            <w:r w:rsidRPr="00EF252C">
              <w:rPr>
                <w:color w:val="000000"/>
              </w:rPr>
              <w:t>0.5</w:t>
            </w:r>
          </w:p>
        </w:tc>
        <w:tc>
          <w:tcPr>
            <w:tcW w:w="530" w:type="pct"/>
            <w:tcBorders>
              <w:top w:val="nil"/>
              <w:left w:val="nil"/>
              <w:bottom w:val="single" w:sz="4" w:space="0" w:color="auto"/>
              <w:right w:val="nil"/>
            </w:tcBorders>
            <w:noWrap/>
            <w:vAlign w:val="bottom"/>
            <w:hideMark/>
          </w:tcPr>
          <w:p w14:paraId="267FD89C" w14:textId="77777777" w:rsidR="00FB0D92" w:rsidRPr="00EF252C" w:rsidRDefault="00FB0D92" w:rsidP="00B648EF">
            <w:pPr>
              <w:spacing w:line="276" w:lineRule="auto"/>
              <w:jc w:val="center"/>
              <w:rPr>
                <w:color w:val="000000"/>
              </w:rPr>
            </w:pPr>
            <w:r w:rsidRPr="00EF252C">
              <w:rPr>
                <w:color w:val="000000"/>
              </w:rPr>
              <w:t>0</w:t>
            </w:r>
          </w:p>
        </w:tc>
        <w:tc>
          <w:tcPr>
            <w:tcW w:w="530" w:type="pct"/>
            <w:tcBorders>
              <w:top w:val="nil"/>
              <w:left w:val="nil"/>
              <w:bottom w:val="single" w:sz="4" w:space="0" w:color="auto"/>
              <w:right w:val="nil"/>
            </w:tcBorders>
            <w:noWrap/>
            <w:vAlign w:val="bottom"/>
            <w:hideMark/>
          </w:tcPr>
          <w:p w14:paraId="11A58E66" w14:textId="77777777" w:rsidR="00FB0D92" w:rsidRPr="00EF252C" w:rsidRDefault="00FB0D92" w:rsidP="00B648EF">
            <w:pPr>
              <w:spacing w:line="276" w:lineRule="auto"/>
              <w:jc w:val="center"/>
              <w:rPr>
                <w:color w:val="000000"/>
              </w:rPr>
            </w:pPr>
            <w:r w:rsidRPr="00EF252C">
              <w:rPr>
                <w:color w:val="000000"/>
              </w:rPr>
              <w:t>0</w:t>
            </w:r>
          </w:p>
        </w:tc>
        <w:tc>
          <w:tcPr>
            <w:tcW w:w="530" w:type="pct"/>
            <w:tcBorders>
              <w:top w:val="nil"/>
              <w:left w:val="nil"/>
              <w:bottom w:val="single" w:sz="4" w:space="0" w:color="auto"/>
              <w:right w:val="nil"/>
            </w:tcBorders>
            <w:noWrap/>
            <w:vAlign w:val="bottom"/>
            <w:hideMark/>
          </w:tcPr>
          <w:p w14:paraId="17549B99" w14:textId="77777777" w:rsidR="00FB0D92" w:rsidRPr="00EF252C" w:rsidRDefault="00FB0D92" w:rsidP="00B648EF">
            <w:pPr>
              <w:spacing w:line="276" w:lineRule="auto"/>
              <w:jc w:val="center"/>
              <w:rPr>
                <w:color w:val="000000"/>
              </w:rPr>
            </w:pPr>
            <w:r w:rsidRPr="00EF252C">
              <w:rPr>
                <w:color w:val="000000"/>
              </w:rPr>
              <w:t>1</w:t>
            </w:r>
          </w:p>
        </w:tc>
        <w:tc>
          <w:tcPr>
            <w:tcW w:w="527" w:type="pct"/>
            <w:tcBorders>
              <w:top w:val="nil"/>
              <w:left w:val="nil"/>
              <w:bottom w:val="single" w:sz="4" w:space="0" w:color="auto"/>
              <w:right w:val="nil"/>
            </w:tcBorders>
            <w:noWrap/>
            <w:vAlign w:val="bottom"/>
            <w:hideMark/>
          </w:tcPr>
          <w:p w14:paraId="23E20D6F" w14:textId="77777777" w:rsidR="00FB0D92" w:rsidRPr="00EF252C" w:rsidRDefault="00FB0D92" w:rsidP="00B648EF">
            <w:pPr>
              <w:spacing w:line="276" w:lineRule="auto"/>
              <w:jc w:val="center"/>
              <w:rPr>
                <w:color w:val="000000"/>
              </w:rPr>
            </w:pPr>
            <w:r w:rsidRPr="00EF252C">
              <w:rPr>
                <w:color w:val="000000"/>
              </w:rPr>
              <w:t>1</w:t>
            </w:r>
          </w:p>
        </w:tc>
      </w:tr>
    </w:tbl>
    <w:p w14:paraId="127840CB" w14:textId="77777777" w:rsidR="00FB0D92" w:rsidRPr="00EF252C" w:rsidRDefault="00FB0D92" w:rsidP="00FB0D92">
      <w:pPr>
        <w:spacing w:before="100" w:beforeAutospacing="1" w:after="100" w:afterAutospacing="1" w:line="276" w:lineRule="auto"/>
        <w:outlineLvl w:val="1"/>
        <w:rPr>
          <w:b/>
          <w:bCs/>
        </w:rPr>
      </w:pPr>
    </w:p>
    <w:p w14:paraId="2A5A7361" w14:textId="77777777" w:rsidR="00FB0D92" w:rsidRPr="00EF252C" w:rsidRDefault="00FB0D92" w:rsidP="00FB0D92">
      <w:pPr>
        <w:spacing w:before="100" w:beforeAutospacing="1" w:after="100" w:afterAutospacing="1" w:line="276" w:lineRule="auto"/>
        <w:outlineLvl w:val="1"/>
        <w:rPr>
          <w:b/>
          <w:bCs/>
        </w:rPr>
      </w:pPr>
    </w:p>
    <w:p w14:paraId="6B091C97" w14:textId="77777777" w:rsidR="00FB0D92" w:rsidRPr="00EF252C" w:rsidRDefault="00FB0D92" w:rsidP="00FB0D92">
      <w:pPr>
        <w:spacing w:before="100" w:beforeAutospacing="1" w:after="100" w:afterAutospacing="1" w:line="276" w:lineRule="auto"/>
        <w:outlineLvl w:val="1"/>
        <w:rPr>
          <w:b/>
          <w:bCs/>
        </w:rPr>
      </w:pPr>
    </w:p>
    <w:p w14:paraId="579AAA37" w14:textId="77777777" w:rsidR="00FB0D92" w:rsidRPr="00EF252C" w:rsidRDefault="00FB0D92" w:rsidP="00FB0D92">
      <w:pPr>
        <w:spacing w:before="100" w:beforeAutospacing="1" w:after="100" w:afterAutospacing="1" w:line="276" w:lineRule="auto"/>
        <w:outlineLvl w:val="1"/>
        <w:rPr>
          <w:b/>
          <w:bCs/>
        </w:rPr>
      </w:pPr>
    </w:p>
    <w:p w14:paraId="6380E641" w14:textId="77777777" w:rsidR="00FB0D92" w:rsidRPr="00EF252C" w:rsidRDefault="00FB0D92" w:rsidP="00FB0D92">
      <w:pPr>
        <w:spacing w:before="100" w:beforeAutospacing="1" w:after="100" w:afterAutospacing="1" w:line="276" w:lineRule="auto"/>
        <w:outlineLvl w:val="1"/>
        <w:rPr>
          <w:b/>
          <w:bCs/>
        </w:rPr>
      </w:pPr>
    </w:p>
    <w:p w14:paraId="630E497E" w14:textId="77777777" w:rsidR="00FB0D92" w:rsidRPr="00EF252C" w:rsidRDefault="00FB0D92" w:rsidP="00FB0D92">
      <w:pPr>
        <w:spacing w:before="100" w:beforeAutospacing="1" w:after="100" w:afterAutospacing="1" w:line="276" w:lineRule="auto"/>
        <w:outlineLvl w:val="1"/>
        <w:rPr>
          <w:b/>
          <w:bCs/>
        </w:rPr>
      </w:pPr>
    </w:p>
    <w:p w14:paraId="3626469C" w14:textId="77777777" w:rsidR="00FB0D92" w:rsidRPr="00EF252C" w:rsidRDefault="00FB0D92" w:rsidP="00FB0D92">
      <w:pPr>
        <w:spacing w:before="100" w:beforeAutospacing="1" w:after="100" w:afterAutospacing="1" w:line="276" w:lineRule="auto"/>
        <w:outlineLvl w:val="1"/>
        <w:rPr>
          <w:b/>
          <w:bCs/>
        </w:rPr>
      </w:pPr>
    </w:p>
    <w:p w14:paraId="756F8E5C" w14:textId="77777777" w:rsidR="00FB0D92" w:rsidRPr="00EF252C" w:rsidRDefault="00FB0D92" w:rsidP="00FB0D92">
      <w:pPr>
        <w:spacing w:before="100" w:beforeAutospacing="1" w:after="100" w:afterAutospacing="1" w:line="276" w:lineRule="auto"/>
        <w:outlineLvl w:val="1"/>
        <w:rPr>
          <w:b/>
          <w:bCs/>
        </w:rPr>
      </w:pPr>
    </w:p>
    <w:p w14:paraId="53B54865" w14:textId="77777777" w:rsidR="00FB0D92" w:rsidRPr="00EF252C" w:rsidRDefault="00FB0D92" w:rsidP="00FB0D92">
      <w:pPr>
        <w:spacing w:before="100" w:beforeAutospacing="1" w:after="100" w:afterAutospacing="1" w:line="276" w:lineRule="auto"/>
        <w:outlineLvl w:val="1"/>
        <w:rPr>
          <w:b/>
          <w:bCs/>
        </w:rPr>
      </w:pPr>
    </w:p>
    <w:p w14:paraId="6CA736F6" w14:textId="77777777" w:rsidR="00FB0D92" w:rsidRDefault="00FB0D92" w:rsidP="00FB0D92">
      <w:pPr>
        <w:spacing w:before="100" w:beforeAutospacing="1" w:after="100" w:afterAutospacing="1" w:line="276" w:lineRule="auto"/>
        <w:outlineLvl w:val="1"/>
        <w:rPr>
          <w:b/>
          <w:bCs/>
        </w:rPr>
      </w:pPr>
    </w:p>
    <w:p w14:paraId="628277E3" w14:textId="77777777" w:rsidR="00FB0D92" w:rsidRDefault="00FB0D92" w:rsidP="00FB0D92">
      <w:pPr>
        <w:spacing w:before="100" w:beforeAutospacing="1" w:after="100" w:afterAutospacing="1" w:line="276" w:lineRule="auto"/>
        <w:outlineLvl w:val="1"/>
        <w:rPr>
          <w:b/>
          <w:bCs/>
        </w:rPr>
      </w:pPr>
    </w:p>
    <w:p w14:paraId="66B63077" w14:textId="77777777" w:rsidR="00FB0D92" w:rsidRPr="00EF252C" w:rsidRDefault="00FB0D92" w:rsidP="00FB0D92">
      <w:pPr>
        <w:spacing w:before="100" w:beforeAutospacing="1" w:after="100" w:afterAutospacing="1" w:line="276" w:lineRule="auto"/>
        <w:outlineLvl w:val="1"/>
        <w:rPr>
          <w:b/>
          <w:bCs/>
        </w:rPr>
      </w:pPr>
    </w:p>
    <w:p w14:paraId="65F46743" w14:textId="77777777" w:rsidR="00FB0D92" w:rsidRDefault="00FB0D92" w:rsidP="00FB0D92">
      <w:pPr>
        <w:spacing w:before="100" w:beforeAutospacing="1" w:after="100" w:afterAutospacing="1" w:line="276" w:lineRule="auto"/>
        <w:outlineLvl w:val="1"/>
        <w:rPr>
          <w:b/>
          <w:bCs/>
        </w:rPr>
      </w:pPr>
    </w:p>
    <w:p w14:paraId="6C2A64C1" w14:textId="77777777" w:rsidR="00FB0D92" w:rsidRDefault="00FB0D92" w:rsidP="00FB0D92">
      <w:pPr>
        <w:spacing w:before="100" w:beforeAutospacing="1" w:after="100" w:afterAutospacing="1" w:line="276" w:lineRule="auto"/>
        <w:outlineLvl w:val="1"/>
        <w:rPr>
          <w:b/>
          <w:bCs/>
        </w:rPr>
      </w:pPr>
    </w:p>
    <w:p w14:paraId="31684423" w14:textId="77777777" w:rsidR="00FB0D92" w:rsidRPr="00EF252C" w:rsidRDefault="00FB0D92" w:rsidP="00FB0D92">
      <w:pPr>
        <w:spacing w:before="100" w:beforeAutospacing="1" w:after="100" w:afterAutospacing="1" w:line="276" w:lineRule="auto"/>
        <w:outlineLvl w:val="1"/>
        <w:rPr>
          <w:b/>
          <w:bCs/>
        </w:rPr>
      </w:pPr>
      <w:r w:rsidRPr="00EF252C">
        <w:rPr>
          <w:b/>
          <w:bCs/>
        </w:rPr>
        <w:lastRenderedPageBreak/>
        <w:t xml:space="preserve">Appendix D: Bayesian model diagnostics </w:t>
      </w:r>
    </w:p>
    <w:p w14:paraId="080ACE81" w14:textId="77777777" w:rsidR="00FB0D92" w:rsidRPr="00EF252C" w:rsidRDefault="00FB0D92" w:rsidP="00FB0D92">
      <w:pPr>
        <w:spacing w:before="100" w:beforeAutospacing="1" w:after="100" w:afterAutospacing="1" w:line="276" w:lineRule="auto"/>
        <w:outlineLvl w:val="1"/>
      </w:pPr>
      <w:r w:rsidRPr="00EF252C">
        <w:t xml:space="preserve">Voting (Model 3) </w:t>
      </w:r>
    </w:p>
    <w:p w14:paraId="21A0F1E6" w14:textId="77777777" w:rsidR="00FB0D92" w:rsidRPr="00EF252C" w:rsidRDefault="00FB0D92" w:rsidP="00FB0D92">
      <w:pPr>
        <w:spacing w:before="100" w:beforeAutospacing="1" w:after="100" w:afterAutospacing="1" w:line="276" w:lineRule="auto"/>
        <w:outlineLvl w:val="1"/>
      </w:pPr>
      <w:r w:rsidRPr="00EF252C">
        <w:rPr>
          <w:noProof/>
        </w:rPr>
        <w:drawing>
          <wp:inline distT="0" distB="0" distL="0" distR="0" wp14:anchorId="1D368F07" wp14:editId="5119BF15">
            <wp:extent cx="5400000" cy="7200000"/>
            <wp:effectExtent l="0" t="0" r="0" b="1270"/>
            <wp:docPr id="1240900437"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00437" name="Picture 3" descr="A screenshot of a computer scree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7200000"/>
                    </a:xfrm>
                    <a:prstGeom prst="rect">
                      <a:avLst/>
                    </a:prstGeom>
                  </pic:spPr>
                </pic:pic>
              </a:graphicData>
            </a:graphic>
          </wp:inline>
        </w:drawing>
      </w:r>
    </w:p>
    <w:p w14:paraId="7F48068B" w14:textId="77777777" w:rsidR="00FB0D92" w:rsidRDefault="00FB0D92" w:rsidP="00FB0D92">
      <w:pPr>
        <w:spacing w:before="100" w:beforeAutospacing="1" w:after="100" w:afterAutospacing="1" w:line="276" w:lineRule="auto"/>
        <w:outlineLvl w:val="1"/>
      </w:pPr>
    </w:p>
    <w:p w14:paraId="137C8C6A" w14:textId="77777777" w:rsidR="00FB0D92" w:rsidRDefault="00FB0D92" w:rsidP="00FB0D92">
      <w:pPr>
        <w:spacing w:before="100" w:beforeAutospacing="1" w:after="100" w:afterAutospacing="1" w:line="276" w:lineRule="auto"/>
        <w:outlineLvl w:val="1"/>
      </w:pPr>
    </w:p>
    <w:p w14:paraId="366CBF86" w14:textId="09300D58" w:rsidR="00FB0D92" w:rsidRPr="00EF252C" w:rsidRDefault="00FB0D92" w:rsidP="00FB0D92">
      <w:pPr>
        <w:spacing w:before="100" w:beforeAutospacing="1" w:after="100" w:afterAutospacing="1" w:line="276" w:lineRule="auto"/>
        <w:outlineLvl w:val="1"/>
      </w:pPr>
      <w:r w:rsidRPr="00EF252C">
        <w:lastRenderedPageBreak/>
        <w:t>Protest (Model 6)</w:t>
      </w:r>
    </w:p>
    <w:p w14:paraId="04FC4FA6" w14:textId="77777777" w:rsidR="00FB0D92" w:rsidRPr="00EF252C" w:rsidRDefault="00FB0D92" w:rsidP="00FB0D92">
      <w:pPr>
        <w:spacing w:before="100" w:beforeAutospacing="1" w:after="100" w:afterAutospacing="1" w:line="276" w:lineRule="auto"/>
        <w:outlineLvl w:val="1"/>
        <w:rPr>
          <w:b/>
          <w:bCs/>
        </w:rPr>
      </w:pPr>
      <w:r w:rsidRPr="00EF252C">
        <w:rPr>
          <w:b/>
          <w:bCs/>
          <w:noProof/>
        </w:rPr>
        <w:drawing>
          <wp:inline distT="0" distB="0" distL="0" distR="0" wp14:anchorId="63C463AA" wp14:editId="00306533">
            <wp:extent cx="5509367" cy="7200000"/>
            <wp:effectExtent l="0" t="0" r="0" b="0"/>
            <wp:docPr id="872697185"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97185" name="Picture 2" descr="A screenshot of a computer scree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9367" cy="7200000"/>
                    </a:xfrm>
                    <a:prstGeom prst="rect">
                      <a:avLst/>
                    </a:prstGeom>
                  </pic:spPr>
                </pic:pic>
              </a:graphicData>
            </a:graphic>
          </wp:inline>
        </w:drawing>
      </w:r>
    </w:p>
    <w:p w14:paraId="5E885038" w14:textId="77777777" w:rsidR="00FB0D92" w:rsidRPr="00EF252C" w:rsidRDefault="00FB0D92" w:rsidP="00FB0D92">
      <w:pPr>
        <w:spacing w:before="100" w:beforeAutospacing="1" w:after="100" w:afterAutospacing="1" w:line="276" w:lineRule="auto"/>
        <w:outlineLvl w:val="1"/>
        <w:rPr>
          <w:b/>
          <w:bCs/>
        </w:rPr>
      </w:pPr>
    </w:p>
    <w:p w14:paraId="665D07C7" w14:textId="77777777" w:rsidR="00FB0D92" w:rsidRDefault="00FB0D92" w:rsidP="00FB0D92">
      <w:pPr>
        <w:spacing w:before="100" w:beforeAutospacing="1" w:after="100" w:afterAutospacing="1" w:line="276" w:lineRule="auto"/>
        <w:outlineLvl w:val="1"/>
        <w:rPr>
          <w:b/>
          <w:bCs/>
        </w:rPr>
      </w:pPr>
    </w:p>
    <w:p w14:paraId="18CDDCCE" w14:textId="77777777" w:rsidR="00FB0D92" w:rsidRDefault="00FB0D92" w:rsidP="00FB0D92">
      <w:pPr>
        <w:spacing w:before="100" w:beforeAutospacing="1" w:after="100" w:afterAutospacing="1" w:line="276" w:lineRule="auto"/>
        <w:outlineLvl w:val="1"/>
        <w:rPr>
          <w:b/>
          <w:bCs/>
        </w:rPr>
      </w:pPr>
    </w:p>
    <w:p w14:paraId="2E7A6809" w14:textId="1A004E70" w:rsidR="00FB0D92" w:rsidRPr="00EF252C" w:rsidRDefault="00FB0D92" w:rsidP="00FB0D92">
      <w:pPr>
        <w:spacing w:before="100" w:beforeAutospacing="1" w:after="100" w:afterAutospacing="1" w:line="276" w:lineRule="auto"/>
        <w:outlineLvl w:val="1"/>
        <w:rPr>
          <w:b/>
          <w:bCs/>
        </w:rPr>
      </w:pPr>
      <w:r w:rsidRPr="00EF252C">
        <w:rPr>
          <w:b/>
          <w:bCs/>
        </w:rPr>
        <w:lastRenderedPageBreak/>
        <w:t>Appendix E: Robustness checks with Correlated Random Effects (CRE) models</w:t>
      </w:r>
    </w:p>
    <w:p w14:paraId="28F5E621" w14:textId="77777777" w:rsidR="00FB0D92" w:rsidRPr="00EF252C" w:rsidRDefault="00FB0D92" w:rsidP="00FB0D92">
      <w:pPr>
        <w:pStyle w:val="NormalWeb"/>
        <w:spacing w:line="276" w:lineRule="auto"/>
        <w:rPr>
          <w:lang/>
        </w:rPr>
      </w:pPr>
      <w:r w:rsidRPr="00EF252C">
        <w:rPr>
          <w:rStyle w:val="citation-38"/>
          <w:rFonts w:eastAsiaTheme="majorEastAsia"/>
        </w:rPr>
        <w:t xml:space="preserve">Multilevel models of the kind we </w:t>
      </w:r>
      <w:proofErr w:type="gramStart"/>
      <w:r w:rsidRPr="00EF252C">
        <w:rPr>
          <w:rStyle w:val="citation-38"/>
          <w:rFonts w:eastAsiaTheme="majorEastAsia"/>
        </w:rPr>
        <w:t>using</w:t>
      </w:r>
      <w:proofErr w:type="gramEnd"/>
      <w:r w:rsidRPr="00EF252C">
        <w:rPr>
          <w:rStyle w:val="citation-38"/>
          <w:rFonts w:eastAsiaTheme="majorEastAsia"/>
        </w:rPr>
        <w:t xml:space="preserve"> in this paper implicitly </w:t>
      </w:r>
      <w:proofErr w:type="gramStart"/>
      <w:r w:rsidRPr="00EF252C">
        <w:rPr>
          <w:rStyle w:val="citation-38"/>
          <w:rFonts w:eastAsiaTheme="majorEastAsia"/>
        </w:rPr>
        <w:t>assumes</w:t>
      </w:r>
      <w:proofErr w:type="gramEnd"/>
      <w:r w:rsidRPr="00EF252C">
        <w:rPr>
          <w:rStyle w:val="citation-38"/>
          <w:rFonts w:eastAsiaTheme="majorEastAsia"/>
        </w:rPr>
        <w:t xml:space="preserve"> that unobserved cluster-level random effects (individual city intercepts) are uncorrelated with the Level 1 regressors (individual level characteristics e.g., age, gender., education)</w:t>
      </w:r>
      <w:r w:rsidRPr="00EF252C">
        <w:t xml:space="preserve">. </w:t>
      </w:r>
      <w:r w:rsidRPr="00EF252C">
        <w:rPr>
          <w:rStyle w:val="citation-37"/>
          <w:rFonts w:eastAsiaTheme="majorEastAsia"/>
        </w:rPr>
        <w:t xml:space="preserve">Violating </w:t>
      </w:r>
      <w:proofErr w:type="gramStart"/>
      <w:r w:rsidRPr="00EF252C">
        <w:rPr>
          <w:rStyle w:val="citation-37"/>
          <w:rFonts w:eastAsiaTheme="majorEastAsia"/>
        </w:rPr>
        <w:t>this so-called random effects</w:t>
      </w:r>
      <w:proofErr w:type="gramEnd"/>
      <w:r w:rsidRPr="00EF252C">
        <w:rPr>
          <w:rStyle w:val="citation-37"/>
          <w:rFonts w:eastAsiaTheme="majorEastAsia"/>
        </w:rPr>
        <w:t xml:space="preserve"> assumption can introduce endogeneity bias, making the model coefficients inconsistent and preventing causal interpretations</w:t>
      </w:r>
      <w:r w:rsidRPr="00EF252C">
        <w:t>.</w:t>
      </w:r>
    </w:p>
    <w:p w14:paraId="7C8A570D" w14:textId="77777777" w:rsidR="00FB0D92" w:rsidRPr="00EF252C" w:rsidRDefault="00FB0D92" w:rsidP="00FB0D92">
      <w:pPr>
        <w:pStyle w:val="NormalWeb"/>
        <w:spacing w:line="276" w:lineRule="auto"/>
      </w:pPr>
      <w:r w:rsidRPr="00EF252C">
        <w:rPr>
          <w:rStyle w:val="citation-36"/>
          <w:rFonts w:eastAsiaTheme="majorEastAsia"/>
        </w:rPr>
        <w:t>The Correlated Random Effects (CRE) approach addresses this by explicitly modelling the correlation between the random effects and individual level regressors</w:t>
      </w:r>
      <w:r w:rsidRPr="00EF252C">
        <w:t xml:space="preserve">. </w:t>
      </w:r>
      <w:r w:rsidRPr="00EF252C">
        <w:rPr>
          <w:rStyle w:val="citation-35"/>
          <w:rFonts w:eastAsiaTheme="majorEastAsia"/>
        </w:rPr>
        <w:t xml:space="preserve">This is done by adding the cluster means of all Level 1 explanatory variables as additional fixed effects to the model (see Antonakis, </w:t>
      </w:r>
      <w:proofErr w:type="spellStart"/>
      <w:r w:rsidRPr="00EF252C">
        <w:rPr>
          <w:rStyle w:val="citation-35"/>
          <w:rFonts w:eastAsiaTheme="majorEastAsia"/>
        </w:rPr>
        <w:t>Bastardoz</w:t>
      </w:r>
      <w:proofErr w:type="spellEnd"/>
      <w:r w:rsidRPr="00EF252C">
        <w:rPr>
          <w:rStyle w:val="citation-35"/>
          <w:rFonts w:eastAsiaTheme="majorEastAsia"/>
        </w:rPr>
        <w:t xml:space="preserve">, and </w:t>
      </w:r>
      <w:proofErr w:type="spellStart"/>
      <w:r w:rsidRPr="00EF252C">
        <w:rPr>
          <w:rStyle w:val="citation-35"/>
          <w:rFonts w:eastAsiaTheme="majorEastAsia"/>
        </w:rPr>
        <w:t>Rönkko</w:t>
      </w:r>
      <w:proofErr w:type="spellEnd"/>
      <w:r w:rsidRPr="00EF252C">
        <w:rPr>
          <w:rStyle w:val="citation-35"/>
          <w:rFonts w:eastAsiaTheme="majorEastAsia"/>
        </w:rPr>
        <w:t>, 2021)</w:t>
      </w:r>
      <w:r w:rsidRPr="00EF252C">
        <w:t>.</w:t>
      </w:r>
    </w:p>
    <w:p w14:paraId="623A9079" w14:textId="77777777" w:rsidR="00FB0D92" w:rsidRPr="00EF252C" w:rsidRDefault="00FB0D92" w:rsidP="00FB0D92">
      <w:pPr>
        <w:pStyle w:val="NormalWeb"/>
        <w:spacing w:line="276" w:lineRule="auto"/>
      </w:pPr>
      <w:r w:rsidRPr="00EF252C">
        <w:t>By including these cluster means, the CRE approach</w:t>
      </w:r>
      <w:r w:rsidRPr="00EF252C">
        <w:rPr>
          <w:rStyle w:val="citation-34"/>
          <w:rFonts w:eastAsiaTheme="majorEastAsia"/>
        </w:rPr>
        <w:t xml:space="preserve"> provides consistent estimates for the level 1 (within-cluster) effects</w:t>
      </w:r>
      <w:r>
        <w:rPr>
          <w:rStyle w:val="citation-34"/>
          <w:rFonts w:eastAsiaTheme="majorEastAsia"/>
        </w:rPr>
        <w:t xml:space="preserve">. </w:t>
      </w:r>
      <w:r w:rsidRPr="00EF252C">
        <w:rPr>
          <w:rFonts w:eastAsiaTheme="majorEastAsia"/>
        </w:rPr>
        <w:t>Furthermore, it</w:t>
      </w:r>
      <w:r w:rsidRPr="00EF252C">
        <w:rPr>
          <w:rStyle w:val="citation-33"/>
          <w:rFonts w:eastAsiaTheme="majorEastAsia"/>
        </w:rPr>
        <w:t xml:space="preserve"> simultaneously allows for the estimation of Level 2 (between-cluster) and contextual effects, which FE models cannot</w:t>
      </w:r>
      <w:r w:rsidRPr="00EF252C">
        <w:t>.</w:t>
      </w:r>
    </w:p>
    <w:p w14:paraId="7BC54A72" w14:textId="77777777" w:rsidR="00FB0D92" w:rsidRPr="00EF252C" w:rsidRDefault="00FB0D92" w:rsidP="00FB0D92">
      <w:pPr>
        <w:pStyle w:val="NormalWeb"/>
        <w:spacing w:line="276" w:lineRule="auto"/>
        <w:rPr>
          <w:color w:val="000000" w:themeColor="text1"/>
        </w:rPr>
      </w:pPr>
      <w:r w:rsidRPr="00EF252C">
        <w:t xml:space="preserve">We re-estimated the models in Table 1 of the main manuscript including a vector of cluster means for all individual level variables, </w:t>
      </w:r>
      <m:oMath>
        <m:r>
          <w:rPr>
            <w:rFonts w:ascii="Cambria Math" w:hAnsi="Cambria Math"/>
            <w:color w:val="000000" w:themeColor="text1"/>
          </w:rPr>
          <m:t>β</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j</m:t>
            </m:r>
          </m:sub>
        </m:sSub>
      </m:oMath>
      <w:r w:rsidRPr="00EF252C">
        <w:rPr>
          <w:color w:val="000000" w:themeColor="text1"/>
        </w:rPr>
        <w:t xml:space="preserve">, such that: </w:t>
      </w:r>
    </w:p>
    <w:p w14:paraId="5AC5E51C" w14:textId="77777777" w:rsidR="00FB0D92" w:rsidRPr="00EF252C" w:rsidRDefault="00FB0D92" w:rsidP="00FB0D92">
      <w:pPr>
        <w:pStyle w:val="NormalWeb"/>
        <w:spacing w:line="276" w:lineRule="auto"/>
      </w:pPr>
      <m:oMathPara>
        <m:oMath>
          <m:r>
            <w:rPr>
              <w:rFonts w:ascii="Cambria Math" w:hAnsi="Cambria Math"/>
              <w:color w:val="000000" w:themeColor="text1"/>
            </w:rPr>
            <m:t>logit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ijk</m:t>
                  </m:r>
                </m:sub>
              </m:sSub>
            </m:e>
          </m:d>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0</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1</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Youth share</m:t>
                  </m:r>
                </m:e>
                <m:sub>
                  <m:r>
                    <w:rPr>
                      <w:rFonts w:ascii="Cambria Math" w:hAnsi="Cambria Math"/>
                      <w:color w:val="000000" w:themeColor="text1"/>
                    </w:rPr>
                    <m:t>jk</m:t>
                  </m:r>
                </m:sub>
              </m:sSub>
            </m:e>
          </m:d>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2</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Age</m:t>
                  </m:r>
                </m:e>
                <m:sub>
                  <m:r>
                    <w:rPr>
                      <w:rFonts w:ascii="Cambria Math" w:hAnsi="Cambria Math"/>
                      <w:color w:val="000000" w:themeColor="text1"/>
                    </w:rPr>
                    <m:t>ijk</m:t>
                  </m:r>
                </m:sub>
              </m:sSub>
            </m:e>
          </m:d>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3</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Youth share</m:t>
                  </m:r>
                </m:e>
                <m:sub>
                  <m:r>
                    <w:rPr>
                      <w:rFonts w:ascii="Cambria Math" w:hAnsi="Cambria Math"/>
                      <w:color w:val="000000" w:themeColor="text1"/>
                    </w:rPr>
                    <m:t>jk</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Age</m:t>
                  </m:r>
                </m:e>
                <m:sub>
                  <m:r>
                    <w:rPr>
                      <w:rFonts w:ascii="Cambria Math" w:hAnsi="Cambria Math"/>
                      <w:color w:val="000000" w:themeColor="text1"/>
                    </w:rPr>
                    <m:t>ijk</m:t>
                  </m:r>
                </m:sub>
              </m:sSub>
            </m:e>
          </m:d>
          <m:r>
            <m:rPr>
              <m:sty m:val="p"/>
            </m:rPr>
            <w:rPr>
              <w:rFonts w:ascii="Cambria Math" w:hAnsi="Cambria Math"/>
              <w:color w:val="000000" w:themeColor="text1"/>
            </w:rPr>
            <m:t xml:space="preserve">+ </m:t>
          </m:r>
          <m:r>
            <w:rPr>
              <w:rFonts w:ascii="Cambria Math" w:hAnsi="Cambria Math"/>
              <w:color w:val="000000" w:themeColor="text1"/>
            </w:rPr>
            <m:t>β</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ijk</m:t>
              </m:r>
            </m:sub>
          </m:sSub>
          <m:r>
            <w:rPr>
              <w:rFonts w:ascii="Cambria Math" w:hAnsi="Cambria Math"/>
              <w:color w:val="000000" w:themeColor="text1"/>
            </w:rPr>
            <m:t>+ β</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jk</m:t>
              </m:r>
            </m:sub>
          </m:sSub>
          <m:r>
            <m:rPr>
              <m:sty m:val="p"/>
            </m:rPr>
            <w:rPr>
              <w:rFonts w:ascii="Cambria Math" w:hAnsi="Cambria Math"/>
              <w:color w:val="000000" w:themeColor="text1"/>
            </w:rPr>
            <m:t xml:space="preserve">+ </m:t>
          </m:r>
          <m:r>
            <w:rPr>
              <w:rFonts w:ascii="Cambria Math" w:hAnsi="Cambria Math"/>
              <w:color w:val="000000" w:themeColor="text1"/>
            </w:rPr>
            <m:t>β</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jk</m:t>
              </m:r>
            </m:sub>
          </m:sSub>
          <m:r>
            <w:rPr>
              <w:rFonts w:ascii="Cambria Math" w:hAnsi="Cambria Math"/>
              <w:color w:val="000000" w:themeColor="text1"/>
            </w:rPr>
            <m:t>+</m:t>
          </m:r>
          <m:nary>
            <m:naryPr>
              <m:chr m:val="∑"/>
              <m:limLoc m:val="subSup"/>
              <m:ctrlPr>
                <w:rPr>
                  <w:rFonts w:ascii="Cambria Math" w:hAnsi="Cambria Math"/>
                  <w:color w:val="000000" w:themeColor="text1"/>
                </w:rPr>
              </m:ctrlPr>
            </m:naryPr>
            <m:sub>
              <m:r>
                <w:rPr>
                  <w:rFonts w:ascii="Cambria Math" w:hAnsi="Cambria Math"/>
                  <w:color w:val="000000" w:themeColor="text1"/>
                </w:rPr>
                <m:t>r=3</m:t>
              </m:r>
            </m:sub>
            <m:sup>
              <m:r>
                <w:rPr>
                  <w:rFonts w:ascii="Cambria Math" w:hAnsi="Cambria Math"/>
                  <w:color w:val="000000" w:themeColor="text1"/>
                </w:rPr>
                <m:t>R</m:t>
              </m:r>
            </m:sup>
            <m:e>
              <m:r>
                <w:rPr>
                  <w:rFonts w:ascii="Cambria Math" w:hAnsi="Cambria Math"/>
                  <w:color w:val="000000" w:themeColor="text1"/>
                </w:rPr>
                <m:t>γ(</m:t>
              </m:r>
              <m:sSub>
                <m:sSubPr>
                  <m:ctrlPr>
                    <w:rPr>
                      <w:rFonts w:ascii="Cambria Math" w:hAnsi="Cambria Math"/>
                      <w:i/>
                      <w:color w:val="000000" w:themeColor="text1"/>
                    </w:rPr>
                  </m:ctrlPr>
                </m:sSubPr>
                <m:e>
                  <m:r>
                    <w:rPr>
                      <w:rFonts w:ascii="Cambria Math" w:hAnsi="Cambria Math"/>
                      <w:color w:val="000000" w:themeColor="text1"/>
                    </w:rPr>
                    <m:t>round</m:t>
                  </m:r>
                </m:e>
                <m:sub>
                  <m:r>
                    <w:rPr>
                      <w:rFonts w:ascii="Cambria Math" w:hAnsi="Cambria Math"/>
                      <w:color w:val="000000" w:themeColor="text1"/>
                    </w:rPr>
                    <m:t>r</m:t>
                  </m:r>
                </m:sub>
              </m:sSub>
              <m:r>
                <w:rPr>
                  <w:rFonts w:ascii="Cambria Math" w:hAnsi="Cambria Math"/>
                  <w:color w:val="000000" w:themeColor="text1"/>
                </w:rPr>
                <m:t>)</m:t>
              </m:r>
            </m:e>
          </m:nary>
          <m:r>
            <m:rPr>
              <m:sty m:val="p"/>
            </m:rP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jk</m:t>
              </m:r>
            </m:sub>
          </m:sSub>
          <m:r>
            <m:rPr>
              <m:sty m:val="p"/>
            </m:rP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ϵ</m:t>
              </m:r>
            </m:e>
            <m:sub>
              <m:r>
                <w:rPr>
                  <w:rFonts w:ascii="Cambria Math" w:hAnsi="Cambria Math"/>
                  <w:color w:val="000000" w:themeColor="text1"/>
                </w:rPr>
                <m:t>ijk</m:t>
              </m:r>
            </m:sub>
          </m:sSub>
        </m:oMath>
      </m:oMathPara>
    </w:p>
    <w:p w14:paraId="74F33A03" w14:textId="77777777" w:rsidR="00FB0D92" w:rsidRPr="00EF252C" w:rsidRDefault="00FB0D92" w:rsidP="00FB0D92">
      <w:pPr>
        <w:spacing w:before="100" w:beforeAutospacing="1" w:after="100" w:afterAutospacing="1" w:line="276" w:lineRule="auto"/>
      </w:pPr>
      <w:r w:rsidRPr="00EF252C">
        <w:t>The results are shown in the table below. The results are broadly consistent with those of our main analysis. However, calculating city means for individual variables forced us to collapse the categorical age variable into a binary outcome, shrinking the information and nuance contained within hat categorisation</w:t>
      </w:r>
      <w:r>
        <w:t xml:space="preserve">. </w:t>
      </w:r>
      <w:r w:rsidRPr="00EF252C">
        <w:t xml:space="preserve">This means that the interaction effect in Model 6, which is statistically significant for both age categories in our main results, is no longer statistically significant. </w:t>
      </w:r>
    </w:p>
    <w:p w14:paraId="320572F0" w14:textId="77777777" w:rsidR="00FB0D92" w:rsidRPr="00EF252C" w:rsidRDefault="00FB0D92" w:rsidP="00FB0D92">
      <w:pPr>
        <w:spacing w:line="276" w:lineRule="auto"/>
      </w:pPr>
    </w:p>
    <w:p w14:paraId="16171F9B" w14:textId="77777777" w:rsidR="00FB0D92" w:rsidRPr="00EF252C" w:rsidRDefault="00FB0D92" w:rsidP="00FB0D92">
      <w:pPr>
        <w:spacing w:line="276" w:lineRule="auto"/>
      </w:pPr>
    </w:p>
    <w:p w14:paraId="10243C8D" w14:textId="77777777" w:rsidR="00FB0D92" w:rsidRPr="00EF252C" w:rsidRDefault="00FB0D92" w:rsidP="00FB0D92">
      <w:pPr>
        <w:spacing w:line="276" w:lineRule="auto"/>
      </w:pPr>
    </w:p>
    <w:p w14:paraId="5933AC63" w14:textId="77777777" w:rsidR="00FB0D92" w:rsidRPr="00EF252C" w:rsidRDefault="00FB0D92" w:rsidP="00FB0D92">
      <w:pPr>
        <w:spacing w:line="276" w:lineRule="auto"/>
      </w:pPr>
    </w:p>
    <w:p w14:paraId="2E693087" w14:textId="77777777" w:rsidR="00FB0D92" w:rsidRPr="00EF252C" w:rsidRDefault="00FB0D92" w:rsidP="00FB0D92">
      <w:pPr>
        <w:spacing w:line="276" w:lineRule="auto"/>
      </w:pPr>
    </w:p>
    <w:p w14:paraId="1477675D" w14:textId="77777777" w:rsidR="00FB0D92" w:rsidRPr="00EF252C" w:rsidRDefault="00FB0D92" w:rsidP="00FB0D92">
      <w:pPr>
        <w:spacing w:line="276" w:lineRule="auto"/>
      </w:pPr>
    </w:p>
    <w:p w14:paraId="43C516BA" w14:textId="77777777" w:rsidR="00FB0D92" w:rsidRDefault="00FB0D92" w:rsidP="00FB0D92">
      <w:pPr>
        <w:spacing w:line="276" w:lineRule="auto"/>
      </w:pPr>
    </w:p>
    <w:p w14:paraId="0DFC4E54" w14:textId="77777777" w:rsidR="00FB0D92" w:rsidRDefault="00FB0D92" w:rsidP="00FB0D92">
      <w:pPr>
        <w:spacing w:line="276" w:lineRule="auto"/>
      </w:pPr>
    </w:p>
    <w:p w14:paraId="27633F63" w14:textId="77777777" w:rsidR="00FB0D92" w:rsidRDefault="00FB0D92" w:rsidP="00FB0D92">
      <w:pPr>
        <w:spacing w:line="276" w:lineRule="auto"/>
      </w:pPr>
    </w:p>
    <w:p w14:paraId="40034448" w14:textId="77777777" w:rsidR="00FB0D92" w:rsidRDefault="00FB0D92" w:rsidP="00FB0D92">
      <w:pPr>
        <w:spacing w:line="276" w:lineRule="auto"/>
      </w:pPr>
    </w:p>
    <w:p w14:paraId="5AF0D821" w14:textId="77777777" w:rsidR="00FB0D92" w:rsidRDefault="00FB0D92" w:rsidP="00FB0D92">
      <w:pPr>
        <w:spacing w:line="276" w:lineRule="auto"/>
      </w:pPr>
    </w:p>
    <w:p w14:paraId="74F7BAEF" w14:textId="77777777" w:rsidR="00FB0D92" w:rsidRDefault="00FB0D92" w:rsidP="00FB0D92">
      <w:pPr>
        <w:spacing w:line="276" w:lineRule="auto"/>
      </w:pPr>
    </w:p>
    <w:p w14:paraId="7B05C365" w14:textId="77777777" w:rsidR="00FB0D92" w:rsidRPr="00EF252C" w:rsidRDefault="00FB0D92" w:rsidP="00FB0D92">
      <w:pPr>
        <w:spacing w:line="276" w:lineRule="auto"/>
      </w:pPr>
    </w:p>
    <w:tbl>
      <w:tblPr>
        <w:tblW w:w="0" w:type="auto"/>
        <w:tblCellMar>
          <w:top w:w="15" w:type="dxa"/>
          <w:left w:w="15" w:type="dxa"/>
          <w:bottom w:w="15" w:type="dxa"/>
          <w:right w:w="15" w:type="dxa"/>
        </w:tblCellMar>
        <w:tblLook w:val="04A0" w:firstRow="1" w:lastRow="0" w:firstColumn="1" w:lastColumn="0" w:noHBand="0" w:noVBand="1"/>
      </w:tblPr>
      <w:tblGrid>
        <w:gridCol w:w="1732"/>
        <w:gridCol w:w="1141"/>
        <w:gridCol w:w="1291"/>
        <w:gridCol w:w="1142"/>
        <w:gridCol w:w="1292"/>
        <w:gridCol w:w="1139"/>
        <w:gridCol w:w="1289"/>
      </w:tblGrid>
      <w:tr w:rsidR="00FB0D92" w:rsidRPr="003E4C57" w14:paraId="761341D2" w14:textId="77777777" w:rsidTr="00B648EF">
        <w:tc>
          <w:tcPr>
            <w:tcW w:w="0" w:type="auto"/>
            <w:gridSpan w:val="7"/>
            <w:tcBorders>
              <w:top w:val="nil"/>
              <w:left w:val="nil"/>
              <w:bottom w:val="single" w:sz="4" w:space="0" w:color="auto"/>
              <w:right w:val="nil"/>
            </w:tcBorders>
            <w:tcMar>
              <w:top w:w="17" w:type="dxa"/>
              <w:left w:w="17" w:type="dxa"/>
              <w:bottom w:w="17" w:type="dxa"/>
              <w:right w:w="17" w:type="dxa"/>
            </w:tcMar>
            <w:vAlign w:val="center"/>
            <w:hideMark/>
          </w:tcPr>
          <w:p w14:paraId="2725F420" w14:textId="278E55B5" w:rsidR="00FB0D92" w:rsidRPr="003E4C57" w:rsidRDefault="00FB0D92" w:rsidP="00B648EF">
            <w:pPr>
              <w:spacing w:line="276" w:lineRule="auto"/>
              <w:rPr>
                <w:b/>
                <w:bCs/>
                <w:sz w:val="20"/>
                <w:szCs w:val="20"/>
              </w:rPr>
            </w:pPr>
            <w:r w:rsidRPr="003E4C57">
              <w:rPr>
                <w:b/>
                <w:bCs/>
                <w:sz w:val="20"/>
                <w:szCs w:val="20"/>
              </w:rPr>
              <w:lastRenderedPageBreak/>
              <w:t>Bayesian (brms) CRE Models Summary</w:t>
            </w:r>
          </w:p>
        </w:tc>
      </w:tr>
      <w:tr w:rsidR="00FB0D92" w:rsidRPr="003E4C57" w14:paraId="3483D0E3" w14:textId="77777777" w:rsidTr="00B648EF">
        <w:tc>
          <w:tcPr>
            <w:tcW w:w="0" w:type="auto"/>
            <w:tcBorders>
              <w:top w:val="single" w:sz="4" w:space="0" w:color="auto"/>
              <w:bottom w:val="single" w:sz="6" w:space="0" w:color="000000"/>
            </w:tcBorders>
            <w:tcMar>
              <w:top w:w="17" w:type="dxa"/>
              <w:left w:w="17" w:type="dxa"/>
              <w:bottom w:w="17" w:type="dxa"/>
              <w:right w:w="17" w:type="dxa"/>
            </w:tcMar>
            <w:vAlign w:val="center"/>
            <w:hideMark/>
          </w:tcPr>
          <w:p w14:paraId="5BD0F918" w14:textId="77777777" w:rsidR="00FB0D92" w:rsidRPr="003E4C57" w:rsidRDefault="00FB0D92" w:rsidP="00B648EF">
            <w:pPr>
              <w:spacing w:line="276" w:lineRule="auto"/>
              <w:rPr>
                <w:b/>
                <w:bCs/>
                <w:sz w:val="20"/>
                <w:szCs w:val="20"/>
              </w:rPr>
            </w:pPr>
            <w:r w:rsidRPr="003E4C57">
              <w:rPr>
                <w:b/>
                <w:bCs/>
                <w:sz w:val="20"/>
                <w:szCs w:val="20"/>
              </w:rPr>
              <w:t> </w:t>
            </w:r>
          </w:p>
        </w:tc>
        <w:tc>
          <w:tcPr>
            <w:tcW w:w="0" w:type="auto"/>
            <w:tcBorders>
              <w:top w:val="single" w:sz="4" w:space="0" w:color="auto"/>
              <w:bottom w:val="single" w:sz="6" w:space="0" w:color="000000"/>
            </w:tcBorders>
            <w:tcMar>
              <w:top w:w="17" w:type="dxa"/>
              <w:left w:w="17" w:type="dxa"/>
              <w:bottom w:w="17" w:type="dxa"/>
              <w:right w:w="17" w:type="dxa"/>
            </w:tcMar>
            <w:vAlign w:val="center"/>
            <w:hideMark/>
          </w:tcPr>
          <w:p w14:paraId="7AF0E575" w14:textId="77777777" w:rsidR="00FB0D92" w:rsidRPr="003E4C57" w:rsidRDefault="00FB0D92" w:rsidP="00B648EF">
            <w:pPr>
              <w:spacing w:line="276" w:lineRule="auto"/>
              <w:jc w:val="center"/>
              <w:rPr>
                <w:b/>
                <w:bCs/>
                <w:sz w:val="20"/>
                <w:szCs w:val="20"/>
              </w:rPr>
            </w:pPr>
            <w:r w:rsidRPr="003E4C57">
              <w:rPr>
                <w:b/>
                <w:bCs/>
                <w:sz w:val="20"/>
                <w:szCs w:val="20"/>
              </w:rPr>
              <w:t>Voted (Model 1a)</w:t>
            </w:r>
          </w:p>
        </w:tc>
        <w:tc>
          <w:tcPr>
            <w:tcW w:w="0" w:type="auto"/>
            <w:tcBorders>
              <w:top w:val="single" w:sz="4" w:space="0" w:color="auto"/>
              <w:bottom w:val="single" w:sz="6" w:space="0" w:color="000000"/>
            </w:tcBorders>
            <w:tcMar>
              <w:top w:w="17" w:type="dxa"/>
              <w:left w:w="17" w:type="dxa"/>
              <w:bottom w:w="17" w:type="dxa"/>
              <w:right w:w="17" w:type="dxa"/>
            </w:tcMar>
            <w:vAlign w:val="center"/>
            <w:hideMark/>
          </w:tcPr>
          <w:p w14:paraId="069FAE3F" w14:textId="77777777" w:rsidR="00FB0D92" w:rsidRPr="003E4C57" w:rsidRDefault="00FB0D92" w:rsidP="00B648EF">
            <w:pPr>
              <w:spacing w:line="276" w:lineRule="auto"/>
              <w:jc w:val="center"/>
              <w:rPr>
                <w:b/>
                <w:bCs/>
                <w:sz w:val="20"/>
                <w:szCs w:val="20"/>
              </w:rPr>
            </w:pPr>
            <w:r w:rsidRPr="003E4C57">
              <w:rPr>
                <w:b/>
                <w:bCs/>
                <w:sz w:val="20"/>
                <w:szCs w:val="20"/>
              </w:rPr>
              <w:t>Attended Protest (Model 2a)</w:t>
            </w:r>
          </w:p>
        </w:tc>
        <w:tc>
          <w:tcPr>
            <w:tcW w:w="0" w:type="auto"/>
            <w:tcBorders>
              <w:top w:val="single" w:sz="4" w:space="0" w:color="auto"/>
              <w:bottom w:val="single" w:sz="6" w:space="0" w:color="000000"/>
            </w:tcBorders>
            <w:tcMar>
              <w:top w:w="17" w:type="dxa"/>
              <w:left w:w="17" w:type="dxa"/>
              <w:bottom w:w="17" w:type="dxa"/>
              <w:right w:w="17" w:type="dxa"/>
            </w:tcMar>
            <w:vAlign w:val="center"/>
            <w:hideMark/>
          </w:tcPr>
          <w:p w14:paraId="36EC5A37" w14:textId="77777777" w:rsidR="00FB0D92" w:rsidRPr="003E4C57" w:rsidRDefault="00FB0D92" w:rsidP="00B648EF">
            <w:pPr>
              <w:spacing w:line="276" w:lineRule="auto"/>
              <w:jc w:val="center"/>
              <w:rPr>
                <w:b/>
                <w:bCs/>
                <w:sz w:val="20"/>
                <w:szCs w:val="20"/>
              </w:rPr>
            </w:pPr>
            <w:r w:rsidRPr="003E4C57">
              <w:rPr>
                <w:b/>
                <w:bCs/>
                <w:sz w:val="20"/>
                <w:szCs w:val="20"/>
              </w:rPr>
              <w:t>Voted (Model 1b)</w:t>
            </w:r>
          </w:p>
        </w:tc>
        <w:tc>
          <w:tcPr>
            <w:tcW w:w="0" w:type="auto"/>
            <w:tcBorders>
              <w:top w:val="single" w:sz="4" w:space="0" w:color="auto"/>
              <w:bottom w:val="single" w:sz="6" w:space="0" w:color="000000"/>
            </w:tcBorders>
            <w:tcMar>
              <w:top w:w="17" w:type="dxa"/>
              <w:left w:w="17" w:type="dxa"/>
              <w:bottom w:w="17" w:type="dxa"/>
              <w:right w:w="17" w:type="dxa"/>
            </w:tcMar>
            <w:vAlign w:val="center"/>
            <w:hideMark/>
          </w:tcPr>
          <w:p w14:paraId="244DB3B8" w14:textId="77777777" w:rsidR="00FB0D92" w:rsidRPr="003E4C57" w:rsidRDefault="00FB0D92" w:rsidP="00B648EF">
            <w:pPr>
              <w:spacing w:line="276" w:lineRule="auto"/>
              <w:jc w:val="center"/>
              <w:rPr>
                <w:b/>
                <w:bCs/>
                <w:sz w:val="20"/>
                <w:szCs w:val="20"/>
              </w:rPr>
            </w:pPr>
            <w:r w:rsidRPr="003E4C57">
              <w:rPr>
                <w:b/>
                <w:bCs/>
                <w:sz w:val="20"/>
                <w:szCs w:val="20"/>
              </w:rPr>
              <w:t>Attended Protest (Model 2b)</w:t>
            </w:r>
          </w:p>
        </w:tc>
        <w:tc>
          <w:tcPr>
            <w:tcW w:w="0" w:type="auto"/>
            <w:tcBorders>
              <w:top w:val="single" w:sz="4" w:space="0" w:color="auto"/>
              <w:bottom w:val="single" w:sz="6" w:space="0" w:color="000000"/>
            </w:tcBorders>
            <w:tcMar>
              <w:top w:w="17" w:type="dxa"/>
              <w:left w:w="17" w:type="dxa"/>
              <w:bottom w:w="17" w:type="dxa"/>
              <w:right w:w="17" w:type="dxa"/>
            </w:tcMar>
            <w:vAlign w:val="center"/>
            <w:hideMark/>
          </w:tcPr>
          <w:p w14:paraId="53F4551C" w14:textId="77777777" w:rsidR="00FB0D92" w:rsidRPr="003E4C57" w:rsidRDefault="00FB0D92" w:rsidP="00B648EF">
            <w:pPr>
              <w:spacing w:line="276" w:lineRule="auto"/>
              <w:jc w:val="center"/>
              <w:rPr>
                <w:b/>
                <w:bCs/>
                <w:sz w:val="20"/>
                <w:szCs w:val="20"/>
              </w:rPr>
            </w:pPr>
            <w:r w:rsidRPr="003E4C57">
              <w:rPr>
                <w:b/>
                <w:bCs/>
                <w:sz w:val="20"/>
                <w:szCs w:val="20"/>
              </w:rPr>
              <w:t>Voted (Model 1c)</w:t>
            </w:r>
          </w:p>
        </w:tc>
        <w:tc>
          <w:tcPr>
            <w:tcW w:w="0" w:type="auto"/>
            <w:tcBorders>
              <w:top w:val="single" w:sz="4" w:space="0" w:color="auto"/>
              <w:bottom w:val="single" w:sz="6" w:space="0" w:color="000000"/>
            </w:tcBorders>
            <w:tcMar>
              <w:top w:w="17" w:type="dxa"/>
              <w:left w:w="17" w:type="dxa"/>
              <w:bottom w:w="17" w:type="dxa"/>
              <w:right w:w="17" w:type="dxa"/>
            </w:tcMar>
            <w:vAlign w:val="center"/>
            <w:hideMark/>
          </w:tcPr>
          <w:p w14:paraId="5F720702" w14:textId="77777777" w:rsidR="00FB0D92" w:rsidRPr="003E4C57" w:rsidRDefault="00FB0D92" w:rsidP="00B648EF">
            <w:pPr>
              <w:spacing w:line="276" w:lineRule="auto"/>
              <w:jc w:val="center"/>
              <w:rPr>
                <w:b/>
                <w:bCs/>
                <w:sz w:val="20"/>
                <w:szCs w:val="20"/>
              </w:rPr>
            </w:pPr>
            <w:r w:rsidRPr="003E4C57">
              <w:rPr>
                <w:b/>
                <w:bCs/>
                <w:sz w:val="20"/>
                <w:szCs w:val="20"/>
              </w:rPr>
              <w:t>Attended Protest (Model 2c)</w:t>
            </w:r>
          </w:p>
        </w:tc>
      </w:tr>
      <w:tr w:rsidR="00FB0D92" w:rsidRPr="003E4C57" w14:paraId="24C8001C" w14:textId="77777777" w:rsidTr="00B648EF">
        <w:tc>
          <w:tcPr>
            <w:tcW w:w="0" w:type="auto"/>
            <w:tcBorders>
              <w:bottom w:val="single" w:sz="6" w:space="0" w:color="auto"/>
            </w:tcBorders>
            <w:vAlign w:val="center"/>
            <w:hideMark/>
          </w:tcPr>
          <w:p w14:paraId="3FF1634A" w14:textId="77777777" w:rsidR="00FB0D92" w:rsidRPr="003E4C57" w:rsidRDefault="00FB0D92" w:rsidP="00B648EF">
            <w:pPr>
              <w:spacing w:line="276" w:lineRule="auto"/>
              <w:rPr>
                <w:i/>
                <w:iCs/>
                <w:sz w:val="20"/>
                <w:szCs w:val="20"/>
              </w:rPr>
            </w:pPr>
            <w:r w:rsidRPr="003E4C57">
              <w:rPr>
                <w:i/>
                <w:iCs/>
                <w:sz w:val="20"/>
                <w:szCs w:val="20"/>
              </w:rPr>
              <w:t>Predictors</w:t>
            </w:r>
          </w:p>
        </w:tc>
        <w:tc>
          <w:tcPr>
            <w:tcW w:w="0" w:type="auto"/>
            <w:tcBorders>
              <w:bottom w:val="single" w:sz="6" w:space="0" w:color="auto"/>
            </w:tcBorders>
            <w:vAlign w:val="center"/>
            <w:hideMark/>
          </w:tcPr>
          <w:p w14:paraId="2A7AEB05" w14:textId="77777777" w:rsidR="00FB0D92" w:rsidRPr="003E4C57" w:rsidRDefault="00FB0D92" w:rsidP="00B648EF">
            <w:pPr>
              <w:spacing w:line="276" w:lineRule="auto"/>
              <w:jc w:val="center"/>
              <w:rPr>
                <w:i/>
                <w:iCs/>
                <w:sz w:val="20"/>
                <w:szCs w:val="20"/>
              </w:rPr>
            </w:pPr>
            <w:r w:rsidRPr="003E4C57">
              <w:rPr>
                <w:i/>
                <w:iCs/>
                <w:sz w:val="20"/>
                <w:szCs w:val="20"/>
              </w:rPr>
              <w:t>Odds Ratios</w:t>
            </w:r>
          </w:p>
        </w:tc>
        <w:tc>
          <w:tcPr>
            <w:tcW w:w="0" w:type="auto"/>
            <w:tcBorders>
              <w:bottom w:val="single" w:sz="6" w:space="0" w:color="auto"/>
            </w:tcBorders>
            <w:vAlign w:val="center"/>
            <w:hideMark/>
          </w:tcPr>
          <w:p w14:paraId="4896F030" w14:textId="77777777" w:rsidR="00FB0D92" w:rsidRPr="003E4C57" w:rsidRDefault="00FB0D92" w:rsidP="00B648EF">
            <w:pPr>
              <w:spacing w:line="276" w:lineRule="auto"/>
              <w:jc w:val="center"/>
              <w:rPr>
                <w:i/>
                <w:iCs/>
                <w:sz w:val="20"/>
                <w:szCs w:val="20"/>
              </w:rPr>
            </w:pPr>
            <w:r w:rsidRPr="003E4C57">
              <w:rPr>
                <w:i/>
                <w:iCs/>
                <w:sz w:val="20"/>
                <w:szCs w:val="20"/>
              </w:rPr>
              <w:t>Odds Ratios</w:t>
            </w:r>
          </w:p>
        </w:tc>
        <w:tc>
          <w:tcPr>
            <w:tcW w:w="0" w:type="auto"/>
            <w:tcBorders>
              <w:bottom w:val="single" w:sz="6" w:space="0" w:color="auto"/>
            </w:tcBorders>
            <w:vAlign w:val="center"/>
            <w:hideMark/>
          </w:tcPr>
          <w:p w14:paraId="61894551" w14:textId="77777777" w:rsidR="00FB0D92" w:rsidRPr="003E4C57" w:rsidRDefault="00FB0D92" w:rsidP="00B648EF">
            <w:pPr>
              <w:spacing w:line="276" w:lineRule="auto"/>
              <w:jc w:val="center"/>
              <w:rPr>
                <w:i/>
                <w:iCs/>
                <w:sz w:val="20"/>
                <w:szCs w:val="20"/>
              </w:rPr>
            </w:pPr>
            <w:r w:rsidRPr="003E4C57">
              <w:rPr>
                <w:i/>
                <w:iCs/>
                <w:sz w:val="20"/>
                <w:szCs w:val="20"/>
              </w:rPr>
              <w:t>Odds Ratios</w:t>
            </w:r>
          </w:p>
        </w:tc>
        <w:tc>
          <w:tcPr>
            <w:tcW w:w="0" w:type="auto"/>
            <w:tcBorders>
              <w:bottom w:val="single" w:sz="6" w:space="0" w:color="auto"/>
            </w:tcBorders>
            <w:vAlign w:val="center"/>
            <w:hideMark/>
          </w:tcPr>
          <w:p w14:paraId="6A351322" w14:textId="77777777" w:rsidR="00FB0D92" w:rsidRPr="003E4C57" w:rsidRDefault="00FB0D92" w:rsidP="00B648EF">
            <w:pPr>
              <w:spacing w:line="276" w:lineRule="auto"/>
              <w:jc w:val="center"/>
              <w:rPr>
                <w:i/>
                <w:iCs/>
                <w:sz w:val="20"/>
                <w:szCs w:val="20"/>
              </w:rPr>
            </w:pPr>
            <w:r w:rsidRPr="003E4C57">
              <w:rPr>
                <w:i/>
                <w:iCs/>
                <w:sz w:val="20"/>
                <w:szCs w:val="20"/>
              </w:rPr>
              <w:t>Odds Ratios</w:t>
            </w:r>
          </w:p>
        </w:tc>
        <w:tc>
          <w:tcPr>
            <w:tcW w:w="0" w:type="auto"/>
            <w:tcBorders>
              <w:bottom w:val="single" w:sz="6" w:space="0" w:color="auto"/>
            </w:tcBorders>
            <w:vAlign w:val="center"/>
            <w:hideMark/>
          </w:tcPr>
          <w:p w14:paraId="112BEFF9" w14:textId="77777777" w:rsidR="00FB0D92" w:rsidRPr="003E4C57" w:rsidRDefault="00FB0D92" w:rsidP="00B648EF">
            <w:pPr>
              <w:spacing w:line="276" w:lineRule="auto"/>
              <w:jc w:val="center"/>
              <w:rPr>
                <w:i/>
                <w:iCs/>
                <w:sz w:val="20"/>
                <w:szCs w:val="20"/>
              </w:rPr>
            </w:pPr>
            <w:r w:rsidRPr="003E4C57">
              <w:rPr>
                <w:i/>
                <w:iCs/>
                <w:sz w:val="20"/>
                <w:szCs w:val="20"/>
              </w:rPr>
              <w:t>Odds Ratios</w:t>
            </w:r>
          </w:p>
        </w:tc>
        <w:tc>
          <w:tcPr>
            <w:tcW w:w="0" w:type="auto"/>
            <w:tcBorders>
              <w:bottom w:val="single" w:sz="6" w:space="0" w:color="auto"/>
            </w:tcBorders>
            <w:vAlign w:val="center"/>
            <w:hideMark/>
          </w:tcPr>
          <w:p w14:paraId="5DA1D728" w14:textId="77777777" w:rsidR="00FB0D92" w:rsidRPr="003E4C57" w:rsidRDefault="00FB0D92" w:rsidP="00B648EF">
            <w:pPr>
              <w:spacing w:line="276" w:lineRule="auto"/>
              <w:jc w:val="center"/>
              <w:rPr>
                <w:i/>
                <w:iCs/>
                <w:sz w:val="20"/>
                <w:szCs w:val="20"/>
              </w:rPr>
            </w:pPr>
            <w:r w:rsidRPr="003E4C57">
              <w:rPr>
                <w:i/>
                <w:iCs/>
                <w:sz w:val="20"/>
                <w:szCs w:val="20"/>
              </w:rPr>
              <w:t>Odds Ratios</w:t>
            </w:r>
          </w:p>
        </w:tc>
      </w:tr>
      <w:tr w:rsidR="00FB0D92" w:rsidRPr="003E4C57" w14:paraId="2FFE0DE6" w14:textId="77777777" w:rsidTr="00B648EF">
        <w:tc>
          <w:tcPr>
            <w:tcW w:w="0" w:type="auto"/>
            <w:tcMar>
              <w:top w:w="17" w:type="dxa"/>
              <w:left w:w="17" w:type="dxa"/>
              <w:bottom w:w="17" w:type="dxa"/>
              <w:right w:w="17" w:type="dxa"/>
            </w:tcMar>
            <w:vAlign w:val="center"/>
            <w:hideMark/>
          </w:tcPr>
          <w:p w14:paraId="27B8FF33" w14:textId="77777777" w:rsidR="00FB0D92" w:rsidRPr="003E4C57" w:rsidRDefault="00FB0D92" w:rsidP="00B648EF">
            <w:pPr>
              <w:spacing w:line="276" w:lineRule="auto"/>
              <w:rPr>
                <w:sz w:val="20"/>
                <w:szCs w:val="20"/>
              </w:rPr>
            </w:pPr>
            <w:r w:rsidRPr="003E4C57">
              <w:rPr>
                <w:sz w:val="20"/>
                <w:szCs w:val="20"/>
              </w:rPr>
              <w:t>Intercept</w:t>
            </w:r>
          </w:p>
        </w:tc>
        <w:tc>
          <w:tcPr>
            <w:tcW w:w="0" w:type="auto"/>
            <w:tcMar>
              <w:top w:w="17" w:type="dxa"/>
              <w:left w:w="17" w:type="dxa"/>
              <w:bottom w:w="17" w:type="dxa"/>
              <w:right w:w="17" w:type="dxa"/>
            </w:tcMar>
            <w:vAlign w:val="center"/>
            <w:hideMark/>
          </w:tcPr>
          <w:p w14:paraId="7F2316DF" w14:textId="77777777" w:rsidR="00FB0D92" w:rsidRPr="003E4C57" w:rsidRDefault="00FB0D92" w:rsidP="00B648EF">
            <w:pPr>
              <w:spacing w:line="276" w:lineRule="auto"/>
              <w:jc w:val="center"/>
              <w:rPr>
                <w:sz w:val="20"/>
                <w:szCs w:val="20"/>
              </w:rPr>
            </w:pPr>
            <w:r w:rsidRPr="003E4C57">
              <w:rPr>
                <w:sz w:val="20"/>
                <w:szCs w:val="20"/>
              </w:rPr>
              <w:t>5.05</w:t>
            </w:r>
            <w:r w:rsidRPr="003E4C57">
              <w:rPr>
                <w:sz w:val="20"/>
                <w:szCs w:val="20"/>
              </w:rPr>
              <w:br/>
              <w:t>(4.40 – 5.83)</w:t>
            </w:r>
          </w:p>
        </w:tc>
        <w:tc>
          <w:tcPr>
            <w:tcW w:w="0" w:type="auto"/>
            <w:tcMar>
              <w:top w:w="17" w:type="dxa"/>
              <w:left w:w="17" w:type="dxa"/>
              <w:bottom w:w="17" w:type="dxa"/>
              <w:right w:w="17" w:type="dxa"/>
            </w:tcMar>
            <w:vAlign w:val="center"/>
            <w:hideMark/>
          </w:tcPr>
          <w:p w14:paraId="003176EE" w14:textId="77777777" w:rsidR="00FB0D92" w:rsidRPr="003E4C57" w:rsidRDefault="00FB0D92" w:rsidP="00B648EF">
            <w:pPr>
              <w:spacing w:line="276" w:lineRule="auto"/>
              <w:jc w:val="center"/>
              <w:rPr>
                <w:sz w:val="20"/>
                <w:szCs w:val="20"/>
              </w:rPr>
            </w:pPr>
            <w:r w:rsidRPr="003E4C57">
              <w:rPr>
                <w:sz w:val="20"/>
                <w:szCs w:val="20"/>
              </w:rPr>
              <w:t>4.94</w:t>
            </w:r>
            <w:r w:rsidRPr="003E4C57">
              <w:rPr>
                <w:sz w:val="20"/>
                <w:szCs w:val="20"/>
              </w:rPr>
              <w:br/>
              <w:t>(4.32 – 5.65)</w:t>
            </w:r>
          </w:p>
        </w:tc>
        <w:tc>
          <w:tcPr>
            <w:tcW w:w="0" w:type="auto"/>
            <w:tcMar>
              <w:top w:w="17" w:type="dxa"/>
              <w:left w:w="17" w:type="dxa"/>
              <w:bottom w:w="17" w:type="dxa"/>
              <w:right w:w="17" w:type="dxa"/>
            </w:tcMar>
            <w:vAlign w:val="center"/>
            <w:hideMark/>
          </w:tcPr>
          <w:p w14:paraId="04AC3CFD" w14:textId="77777777" w:rsidR="00FB0D92" w:rsidRPr="003E4C57" w:rsidRDefault="00FB0D92" w:rsidP="00B648EF">
            <w:pPr>
              <w:spacing w:line="276" w:lineRule="auto"/>
              <w:jc w:val="center"/>
              <w:rPr>
                <w:sz w:val="20"/>
                <w:szCs w:val="20"/>
              </w:rPr>
            </w:pPr>
            <w:r w:rsidRPr="003E4C57">
              <w:rPr>
                <w:sz w:val="20"/>
                <w:szCs w:val="20"/>
              </w:rPr>
              <w:t>4.93</w:t>
            </w:r>
            <w:r w:rsidRPr="003E4C57">
              <w:rPr>
                <w:sz w:val="20"/>
                <w:szCs w:val="20"/>
              </w:rPr>
              <w:br/>
              <w:t>(4.30 – 5.61)</w:t>
            </w:r>
          </w:p>
        </w:tc>
        <w:tc>
          <w:tcPr>
            <w:tcW w:w="0" w:type="auto"/>
            <w:tcMar>
              <w:top w:w="17" w:type="dxa"/>
              <w:left w:w="17" w:type="dxa"/>
              <w:bottom w:w="17" w:type="dxa"/>
              <w:right w:w="17" w:type="dxa"/>
            </w:tcMar>
            <w:vAlign w:val="center"/>
            <w:hideMark/>
          </w:tcPr>
          <w:p w14:paraId="5EAC760C" w14:textId="77777777" w:rsidR="00FB0D92" w:rsidRPr="003E4C57" w:rsidRDefault="00FB0D92" w:rsidP="00B648EF">
            <w:pPr>
              <w:spacing w:line="276" w:lineRule="auto"/>
              <w:jc w:val="center"/>
              <w:rPr>
                <w:sz w:val="20"/>
                <w:szCs w:val="20"/>
              </w:rPr>
            </w:pPr>
            <w:r w:rsidRPr="003E4C57">
              <w:rPr>
                <w:sz w:val="20"/>
                <w:szCs w:val="20"/>
              </w:rPr>
              <w:t>0.10</w:t>
            </w:r>
            <w:r w:rsidRPr="003E4C57">
              <w:rPr>
                <w:sz w:val="20"/>
                <w:szCs w:val="20"/>
              </w:rPr>
              <w:br/>
              <w:t>(0.08 – 0.11)</w:t>
            </w:r>
          </w:p>
        </w:tc>
        <w:tc>
          <w:tcPr>
            <w:tcW w:w="0" w:type="auto"/>
            <w:tcMar>
              <w:top w:w="17" w:type="dxa"/>
              <w:left w:w="17" w:type="dxa"/>
              <w:bottom w:w="17" w:type="dxa"/>
              <w:right w:w="17" w:type="dxa"/>
            </w:tcMar>
            <w:vAlign w:val="center"/>
            <w:hideMark/>
          </w:tcPr>
          <w:p w14:paraId="1939A528" w14:textId="77777777" w:rsidR="00FB0D92" w:rsidRPr="003E4C57" w:rsidRDefault="00FB0D92" w:rsidP="00B648EF">
            <w:pPr>
              <w:spacing w:line="276" w:lineRule="auto"/>
              <w:jc w:val="center"/>
              <w:rPr>
                <w:sz w:val="20"/>
                <w:szCs w:val="20"/>
              </w:rPr>
            </w:pPr>
            <w:r w:rsidRPr="003E4C57">
              <w:rPr>
                <w:sz w:val="20"/>
                <w:szCs w:val="20"/>
              </w:rPr>
              <w:t>0.09</w:t>
            </w:r>
            <w:r w:rsidRPr="003E4C57">
              <w:rPr>
                <w:sz w:val="20"/>
                <w:szCs w:val="20"/>
              </w:rPr>
              <w:br/>
              <w:t>(0.08 – 0.11)</w:t>
            </w:r>
          </w:p>
        </w:tc>
        <w:tc>
          <w:tcPr>
            <w:tcW w:w="0" w:type="auto"/>
            <w:tcMar>
              <w:top w:w="17" w:type="dxa"/>
              <w:left w:w="17" w:type="dxa"/>
              <w:bottom w:w="17" w:type="dxa"/>
              <w:right w:w="17" w:type="dxa"/>
            </w:tcMar>
            <w:vAlign w:val="center"/>
            <w:hideMark/>
          </w:tcPr>
          <w:p w14:paraId="5381A75A" w14:textId="77777777" w:rsidR="00FB0D92" w:rsidRPr="003E4C57" w:rsidRDefault="00FB0D92" w:rsidP="00B648EF">
            <w:pPr>
              <w:spacing w:line="276" w:lineRule="auto"/>
              <w:jc w:val="center"/>
              <w:rPr>
                <w:sz w:val="20"/>
                <w:szCs w:val="20"/>
              </w:rPr>
            </w:pPr>
            <w:r w:rsidRPr="003E4C57">
              <w:rPr>
                <w:sz w:val="20"/>
                <w:szCs w:val="20"/>
              </w:rPr>
              <w:t>0.09</w:t>
            </w:r>
            <w:r w:rsidRPr="003E4C57">
              <w:rPr>
                <w:sz w:val="20"/>
                <w:szCs w:val="20"/>
              </w:rPr>
              <w:br/>
              <w:t>(0.08 – 0.11)</w:t>
            </w:r>
          </w:p>
        </w:tc>
      </w:tr>
      <w:tr w:rsidR="00FB0D92" w:rsidRPr="003E4C57" w14:paraId="48374798" w14:textId="77777777" w:rsidTr="00B648EF">
        <w:tc>
          <w:tcPr>
            <w:tcW w:w="0" w:type="auto"/>
            <w:tcMar>
              <w:top w:w="17" w:type="dxa"/>
              <w:left w:w="17" w:type="dxa"/>
              <w:bottom w:w="17" w:type="dxa"/>
              <w:right w:w="17" w:type="dxa"/>
            </w:tcMar>
            <w:vAlign w:val="center"/>
            <w:hideMark/>
          </w:tcPr>
          <w:p w14:paraId="4068011A" w14:textId="77777777" w:rsidR="00FB0D92" w:rsidRPr="003E4C57" w:rsidRDefault="00FB0D92" w:rsidP="00B648EF">
            <w:pPr>
              <w:spacing w:line="276" w:lineRule="auto"/>
              <w:rPr>
                <w:sz w:val="20"/>
                <w:szCs w:val="20"/>
              </w:rPr>
            </w:pPr>
            <w:r w:rsidRPr="003E4C57">
              <w:rPr>
                <w:sz w:val="20"/>
                <w:szCs w:val="20"/>
              </w:rPr>
              <w:t>youth bulge share</w:t>
            </w:r>
          </w:p>
        </w:tc>
        <w:tc>
          <w:tcPr>
            <w:tcW w:w="0" w:type="auto"/>
            <w:tcMar>
              <w:top w:w="17" w:type="dxa"/>
              <w:left w:w="17" w:type="dxa"/>
              <w:bottom w:w="17" w:type="dxa"/>
              <w:right w:w="17" w:type="dxa"/>
            </w:tcMar>
            <w:vAlign w:val="center"/>
            <w:hideMark/>
          </w:tcPr>
          <w:p w14:paraId="70FF2666" w14:textId="77777777" w:rsidR="00FB0D92" w:rsidRPr="003E4C57" w:rsidRDefault="00FB0D92" w:rsidP="00B648EF">
            <w:pPr>
              <w:spacing w:line="276" w:lineRule="auto"/>
              <w:jc w:val="center"/>
              <w:rPr>
                <w:sz w:val="20"/>
                <w:szCs w:val="20"/>
              </w:rPr>
            </w:pPr>
            <w:r w:rsidRPr="003E4C57">
              <w:rPr>
                <w:sz w:val="20"/>
                <w:szCs w:val="20"/>
              </w:rPr>
              <w:t>0.99</w:t>
            </w:r>
            <w:r w:rsidRPr="003E4C57">
              <w:rPr>
                <w:sz w:val="20"/>
                <w:szCs w:val="20"/>
              </w:rPr>
              <w:br/>
              <w:t>(0.90 – 1.10)</w:t>
            </w:r>
          </w:p>
        </w:tc>
        <w:tc>
          <w:tcPr>
            <w:tcW w:w="0" w:type="auto"/>
            <w:tcMar>
              <w:top w:w="17" w:type="dxa"/>
              <w:left w:w="17" w:type="dxa"/>
              <w:bottom w:w="17" w:type="dxa"/>
              <w:right w:w="17" w:type="dxa"/>
            </w:tcMar>
            <w:vAlign w:val="center"/>
            <w:hideMark/>
          </w:tcPr>
          <w:p w14:paraId="0770FCBC" w14:textId="77777777" w:rsidR="00FB0D92" w:rsidRPr="003E4C57" w:rsidRDefault="00FB0D92" w:rsidP="00B648EF">
            <w:pPr>
              <w:spacing w:line="276" w:lineRule="auto"/>
              <w:jc w:val="center"/>
              <w:rPr>
                <w:sz w:val="20"/>
                <w:szCs w:val="20"/>
              </w:rPr>
            </w:pPr>
            <w:r w:rsidRPr="003E4C57">
              <w:rPr>
                <w:sz w:val="20"/>
                <w:szCs w:val="20"/>
              </w:rPr>
              <w:t>1.04</w:t>
            </w:r>
            <w:r w:rsidRPr="003E4C57">
              <w:rPr>
                <w:sz w:val="20"/>
                <w:szCs w:val="20"/>
              </w:rPr>
              <w:br/>
              <w:t>(0.94 – 1.15)</w:t>
            </w:r>
          </w:p>
        </w:tc>
        <w:tc>
          <w:tcPr>
            <w:tcW w:w="0" w:type="auto"/>
            <w:tcMar>
              <w:top w:w="17" w:type="dxa"/>
              <w:left w:w="17" w:type="dxa"/>
              <w:bottom w:w="17" w:type="dxa"/>
              <w:right w:w="17" w:type="dxa"/>
            </w:tcMar>
            <w:vAlign w:val="center"/>
            <w:hideMark/>
          </w:tcPr>
          <w:p w14:paraId="149C7E82" w14:textId="77777777" w:rsidR="00FB0D92" w:rsidRPr="003E4C57" w:rsidRDefault="00FB0D92" w:rsidP="00B648EF">
            <w:pPr>
              <w:spacing w:line="276" w:lineRule="auto"/>
              <w:jc w:val="center"/>
              <w:rPr>
                <w:sz w:val="20"/>
                <w:szCs w:val="20"/>
              </w:rPr>
            </w:pPr>
            <w:r w:rsidRPr="003E4C57">
              <w:rPr>
                <w:sz w:val="20"/>
                <w:szCs w:val="20"/>
              </w:rPr>
              <w:t>1.04</w:t>
            </w:r>
            <w:r w:rsidRPr="003E4C57">
              <w:rPr>
                <w:sz w:val="20"/>
                <w:szCs w:val="20"/>
              </w:rPr>
              <w:br/>
              <w:t>(0.93 – 1.15)</w:t>
            </w:r>
          </w:p>
        </w:tc>
        <w:tc>
          <w:tcPr>
            <w:tcW w:w="0" w:type="auto"/>
            <w:tcMar>
              <w:top w:w="17" w:type="dxa"/>
              <w:left w:w="17" w:type="dxa"/>
              <w:bottom w:w="17" w:type="dxa"/>
              <w:right w:w="17" w:type="dxa"/>
            </w:tcMar>
            <w:vAlign w:val="center"/>
            <w:hideMark/>
          </w:tcPr>
          <w:p w14:paraId="52ADFC45" w14:textId="77777777" w:rsidR="00FB0D92" w:rsidRPr="003E4C57" w:rsidRDefault="00FB0D92" w:rsidP="00B648EF">
            <w:pPr>
              <w:spacing w:line="276" w:lineRule="auto"/>
              <w:jc w:val="center"/>
              <w:rPr>
                <w:b/>
                <w:bCs/>
                <w:sz w:val="20"/>
                <w:szCs w:val="20"/>
              </w:rPr>
            </w:pPr>
            <w:r w:rsidRPr="003E4C57">
              <w:rPr>
                <w:b/>
                <w:bCs/>
                <w:sz w:val="20"/>
                <w:szCs w:val="20"/>
              </w:rPr>
              <w:t>0.79</w:t>
            </w:r>
            <w:r w:rsidRPr="003E4C57">
              <w:rPr>
                <w:b/>
                <w:bCs/>
                <w:sz w:val="20"/>
                <w:szCs w:val="20"/>
              </w:rPr>
              <w:br/>
              <w:t>(0.70 – 0.88)</w:t>
            </w:r>
          </w:p>
        </w:tc>
        <w:tc>
          <w:tcPr>
            <w:tcW w:w="0" w:type="auto"/>
            <w:tcMar>
              <w:top w:w="17" w:type="dxa"/>
              <w:left w:w="17" w:type="dxa"/>
              <w:bottom w:w="17" w:type="dxa"/>
              <w:right w:w="17" w:type="dxa"/>
            </w:tcMar>
            <w:vAlign w:val="center"/>
            <w:hideMark/>
          </w:tcPr>
          <w:p w14:paraId="77B3C1FF" w14:textId="77777777" w:rsidR="00FB0D92" w:rsidRPr="003E4C57" w:rsidRDefault="00FB0D92" w:rsidP="00B648EF">
            <w:pPr>
              <w:spacing w:line="276" w:lineRule="auto"/>
              <w:jc w:val="center"/>
              <w:rPr>
                <w:b/>
                <w:bCs/>
                <w:sz w:val="20"/>
                <w:szCs w:val="20"/>
              </w:rPr>
            </w:pPr>
            <w:r w:rsidRPr="003E4C57">
              <w:rPr>
                <w:b/>
                <w:bCs/>
                <w:sz w:val="20"/>
                <w:szCs w:val="20"/>
              </w:rPr>
              <w:t>0.81</w:t>
            </w:r>
            <w:r w:rsidRPr="003E4C57">
              <w:rPr>
                <w:b/>
                <w:bCs/>
                <w:sz w:val="20"/>
                <w:szCs w:val="20"/>
              </w:rPr>
              <w:br/>
              <w:t>(0.72 – 0.92)</w:t>
            </w:r>
          </w:p>
        </w:tc>
        <w:tc>
          <w:tcPr>
            <w:tcW w:w="0" w:type="auto"/>
            <w:tcMar>
              <w:top w:w="17" w:type="dxa"/>
              <w:left w:w="17" w:type="dxa"/>
              <w:bottom w:w="17" w:type="dxa"/>
              <w:right w:w="17" w:type="dxa"/>
            </w:tcMar>
            <w:vAlign w:val="center"/>
            <w:hideMark/>
          </w:tcPr>
          <w:p w14:paraId="46265929" w14:textId="77777777" w:rsidR="00FB0D92" w:rsidRPr="003E4C57" w:rsidRDefault="00FB0D92" w:rsidP="00B648EF">
            <w:pPr>
              <w:spacing w:line="276" w:lineRule="auto"/>
              <w:jc w:val="center"/>
              <w:rPr>
                <w:b/>
                <w:bCs/>
                <w:sz w:val="20"/>
                <w:szCs w:val="20"/>
              </w:rPr>
            </w:pPr>
            <w:r w:rsidRPr="003E4C57">
              <w:rPr>
                <w:b/>
                <w:bCs/>
                <w:sz w:val="20"/>
                <w:szCs w:val="20"/>
              </w:rPr>
              <w:t>0.80</w:t>
            </w:r>
            <w:r w:rsidRPr="003E4C57">
              <w:rPr>
                <w:b/>
                <w:bCs/>
                <w:sz w:val="20"/>
                <w:szCs w:val="20"/>
              </w:rPr>
              <w:br/>
              <w:t>(0.71 – 0.91)</w:t>
            </w:r>
          </w:p>
        </w:tc>
      </w:tr>
      <w:tr w:rsidR="00FB0D92" w:rsidRPr="003E4C57" w14:paraId="7D0FA268" w14:textId="77777777" w:rsidTr="00B648EF">
        <w:tc>
          <w:tcPr>
            <w:tcW w:w="0" w:type="auto"/>
            <w:tcMar>
              <w:top w:w="17" w:type="dxa"/>
              <w:left w:w="17" w:type="dxa"/>
              <w:bottom w:w="17" w:type="dxa"/>
              <w:right w:w="17" w:type="dxa"/>
            </w:tcMar>
            <w:vAlign w:val="center"/>
            <w:hideMark/>
          </w:tcPr>
          <w:p w14:paraId="0BC279EC" w14:textId="77777777" w:rsidR="00FB0D92" w:rsidRPr="003E4C57" w:rsidRDefault="00FB0D92" w:rsidP="00B648EF">
            <w:pPr>
              <w:spacing w:line="276" w:lineRule="auto"/>
              <w:rPr>
                <w:sz w:val="20"/>
                <w:szCs w:val="20"/>
              </w:rPr>
            </w:pPr>
            <w:r w:rsidRPr="003E4C57">
              <w:rPr>
                <w:sz w:val="20"/>
                <w:szCs w:val="20"/>
              </w:rPr>
              <w:t>total pop log</w:t>
            </w:r>
          </w:p>
        </w:tc>
        <w:tc>
          <w:tcPr>
            <w:tcW w:w="0" w:type="auto"/>
            <w:tcMar>
              <w:top w:w="17" w:type="dxa"/>
              <w:left w:w="17" w:type="dxa"/>
              <w:bottom w:w="17" w:type="dxa"/>
              <w:right w:w="17" w:type="dxa"/>
            </w:tcMar>
            <w:vAlign w:val="center"/>
            <w:hideMark/>
          </w:tcPr>
          <w:p w14:paraId="3ECC1532" w14:textId="77777777" w:rsidR="00FB0D92" w:rsidRPr="003E4C57" w:rsidRDefault="00FB0D92" w:rsidP="00B648EF">
            <w:pPr>
              <w:spacing w:line="276" w:lineRule="auto"/>
              <w:jc w:val="center"/>
              <w:rPr>
                <w:sz w:val="20"/>
                <w:szCs w:val="20"/>
              </w:rPr>
            </w:pPr>
            <w:r w:rsidRPr="003E4C57">
              <w:rPr>
                <w:sz w:val="20"/>
                <w:szCs w:val="20"/>
              </w:rPr>
              <w:t>1.05</w:t>
            </w:r>
            <w:r w:rsidRPr="003E4C57">
              <w:rPr>
                <w:sz w:val="20"/>
                <w:szCs w:val="20"/>
              </w:rPr>
              <w:br/>
              <w:t>(0.91 – 1.21)</w:t>
            </w:r>
          </w:p>
        </w:tc>
        <w:tc>
          <w:tcPr>
            <w:tcW w:w="0" w:type="auto"/>
            <w:tcMar>
              <w:top w:w="17" w:type="dxa"/>
              <w:left w:w="17" w:type="dxa"/>
              <w:bottom w:w="17" w:type="dxa"/>
              <w:right w:w="17" w:type="dxa"/>
            </w:tcMar>
            <w:vAlign w:val="center"/>
            <w:hideMark/>
          </w:tcPr>
          <w:p w14:paraId="3655FD6D" w14:textId="77777777" w:rsidR="00FB0D92" w:rsidRPr="003E4C57" w:rsidRDefault="00FB0D92" w:rsidP="00B648EF">
            <w:pPr>
              <w:spacing w:line="276" w:lineRule="auto"/>
              <w:jc w:val="center"/>
              <w:rPr>
                <w:sz w:val="20"/>
                <w:szCs w:val="20"/>
              </w:rPr>
            </w:pPr>
            <w:r w:rsidRPr="003E4C57">
              <w:rPr>
                <w:sz w:val="20"/>
                <w:szCs w:val="20"/>
              </w:rPr>
              <w:t>1.04</w:t>
            </w:r>
            <w:r w:rsidRPr="003E4C57">
              <w:rPr>
                <w:sz w:val="20"/>
                <w:szCs w:val="20"/>
              </w:rPr>
              <w:br/>
              <w:t>(0.91 – 1.20)</w:t>
            </w:r>
          </w:p>
        </w:tc>
        <w:tc>
          <w:tcPr>
            <w:tcW w:w="0" w:type="auto"/>
            <w:tcMar>
              <w:top w:w="17" w:type="dxa"/>
              <w:left w:w="17" w:type="dxa"/>
              <w:bottom w:w="17" w:type="dxa"/>
              <w:right w:w="17" w:type="dxa"/>
            </w:tcMar>
            <w:vAlign w:val="center"/>
            <w:hideMark/>
          </w:tcPr>
          <w:p w14:paraId="1BE80568" w14:textId="77777777" w:rsidR="00FB0D92" w:rsidRPr="003E4C57" w:rsidRDefault="00FB0D92" w:rsidP="00B648EF">
            <w:pPr>
              <w:spacing w:line="276" w:lineRule="auto"/>
              <w:jc w:val="center"/>
              <w:rPr>
                <w:sz w:val="20"/>
                <w:szCs w:val="20"/>
              </w:rPr>
            </w:pPr>
            <w:r w:rsidRPr="003E4C57">
              <w:rPr>
                <w:sz w:val="20"/>
                <w:szCs w:val="20"/>
              </w:rPr>
              <w:t>1.04</w:t>
            </w:r>
            <w:r w:rsidRPr="003E4C57">
              <w:rPr>
                <w:sz w:val="20"/>
                <w:szCs w:val="20"/>
              </w:rPr>
              <w:br/>
              <w:t>(0.91 – 1.21)</w:t>
            </w:r>
          </w:p>
        </w:tc>
        <w:tc>
          <w:tcPr>
            <w:tcW w:w="0" w:type="auto"/>
            <w:tcMar>
              <w:top w:w="17" w:type="dxa"/>
              <w:left w:w="17" w:type="dxa"/>
              <w:bottom w:w="17" w:type="dxa"/>
              <w:right w:w="17" w:type="dxa"/>
            </w:tcMar>
            <w:vAlign w:val="center"/>
            <w:hideMark/>
          </w:tcPr>
          <w:p w14:paraId="2F243336" w14:textId="77777777" w:rsidR="00FB0D92" w:rsidRPr="003E4C57" w:rsidRDefault="00FB0D92" w:rsidP="00B648EF">
            <w:pPr>
              <w:spacing w:line="276" w:lineRule="auto"/>
              <w:jc w:val="center"/>
              <w:rPr>
                <w:sz w:val="20"/>
                <w:szCs w:val="20"/>
              </w:rPr>
            </w:pPr>
            <w:r w:rsidRPr="003E4C57">
              <w:rPr>
                <w:sz w:val="20"/>
                <w:szCs w:val="20"/>
              </w:rPr>
              <w:t>1.15</w:t>
            </w:r>
            <w:r w:rsidRPr="003E4C57">
              <w:rPr>
                <w:sz w:val="20"/>
                <w:szCs w:val="20"/>
              </w:rPr>
              <w:br/>
              <w:t>(0.97 – 1.37)</w:t>
            </w:r>
          </w:p>
        </w:tc>
        <w:tc>
          <w:tcPr>
            <w:tcW w:w="0" w:type="auto"/>
            <w:tcMar>
              <w:top w:w="17" w:type="dxa"/>
              <w:left w:w="17" w:type="dxa"/>
              <w:bottom w:w="17" w:type="dxa"/>
              <w:right w:w="17" w:type="dxa"/>
            </w:tcMar>
            <w:vAlign w:val="center"/>
            <w:hideMark/>
          </w:tcPr>
          <w:p w14:paraId="1ACD5C96" w14:textId="77777777" w:rsidR="00FB0D92" w:rsidRPr="003E4C57" w:rsidRDefault="00FB0D92" w:rsidP="00B648EF">
            <w:pPr>
              <w:spacing w:line="276" w:lineRule="auto"/>
              <w:jc w:val="center"/>
              <w:rPr>
                <w:sz w:val="20"/>
                <w:szCs w:val="20"/>
              </w:rPr>
            </w:pPr>
            <w:r w:rsidRPr="003E4C57">
              <w:rPr>
                <w:sz w:val="20"/>
                <w:szCs w:val="20"/>
              </w:rPr>
              <w:t>1.10</w:t>
            </w:r>
            <w:r w:rsidRPr="003E4C57">
              <w:rPr>
                <w:sz w:val="20"/>
                <w:szCs w:val="20"/>
              </w:rPr>
              <w:br/>
              <w:t>(0.92 – 1.33)</w:t>
            </w:r>
          </w:p>
        </w:tc>
        <w:tc>
          <w:tcPr>
            <w:tcW w:w="0" w:type="auto"/>
            <w:tcMar>
              <w:top w:w="17" w:type="dxa"/>
              <w:left w:w="17" w:type="dxa"/>
              <w:bottom w:w="17" w:type="dxa"/>
              <w:right w:w="17" w:type="dxa"/>
            </w:tcMar>
            <w:vAlign w:val="center"/>
            <w:hideMark/>
          </w:tcPr>
          <w:p w14:paraId="5365A249" w14:textId="77777777" w:rsidR="00FB0D92" w:rsidRPr="003E4C57" w:rsidRDefault="00FB0D92" w:rsidP="00B648EF">
            <w:pPr>
              <w:spacing w:line="276" w:lineRule="auto"/>
              <w:jc w:val="center"/>
              <w:rPr>
                <w:sz w:val="20"/>
                <w:szCs w:val="20"/>
              </w:rPr>
            </w:pPr>
            <w:r w:rsidRPr="003E4C57">
              <w:rPr>
                <w:sz w:val="20"/>
                <w:szCs w:val="20"/>
              </w:rPr>
              <w:t>1.11</w:t>
            </w:r>
            <w:r w:rsidRPr="003E4C57">
              <w:rPr>
                <w:sz w:val="20"/>
                <w:szCs w:val="20"/>
              </w:rPr>
              <w:br/>
              <w:t>(0.93 – 1.33)</w:t>
            </w:r>
          </w:p>
        </w:tc>
      </w:tr>
      <w:tr w:rsidR="00FB0D92" w:rsidRPr="003E4C57" w14:paraId="1967BBBF" w14:textId="77777777" w:rsidTr="00B648EF">
        <w:tc>
          <w:tcPr>
            <w:tcW w:w="0" w:type="auto"/>
            <w:tcMar>
              <w:top w:w="17" w:type="dxa"/>
              <w:left w:w="17" w:type="dxa"/>
              <w:bottom w:w="17" w:type="dxa"/>
              <w:right w:w="17" w:type="dxa"/>
            </w:tcMar>
            <w:vAlign w:val="center"/>
            <w:hideMark/>
          </w:tcPr>
          <w:p w14:paraId="5BD67274" w14:textId="77777777" w:rsidR="00FB0D92" w:rsidRPr="003E4C57" w:rsidRDefault="00FB0D92" w:rsidP="00B648EF">
            <w:pPr>
              <w:spacing w:line="276" w:lineRule="auto"/>
              <w:rPr>
                <w:sz w:val="20"/>
                <w:szCs w:val="20"/>
              </w:rPr>
            </w:pPr>
            <w:r w:rsidRPr="003E4C57">
              <w:rPr>
                <w:sz w:val="20"/>
                <w:szCs w:val="20"/>
              </w:rPr>
              <w:t>pop dens</w:t>
            </w:r>
          </w:p>
        </w:tc>
        <w:tc>
          <w:tcPr>
            <w:tcW w:w="0" w:type="auto"/>
            <w:tcMar>
              <w:top w:w="17" w:type="dxa"/>
              <w:left w:w="17" w:type="dxa"/>
              <w:bottom w:w="17" w:type="dxa"/>
              <w:right w:w="17" w:type="dxa"/>
            </w:tcMar>
            <w:vAlign w:val="center"/>
            <w:hideMark/>
          </w:tcPr>
          <w:p w14:paraId="4CF1C3F3" w14:textId="77777777" w:rsidR="00FB0D92" w:rsidRPr="003E4C57" w:rsidRDefault="00FB0D92" w:rsidP="00B648EF">
            <w:pPr>
              <w:spacing w:line="276" w:lineRule="auto"/>
              <w:jc w:val="center"/>
              <w:rPr>
                <w:sz w:val="20"/>
                <w:szCs w:val="20"/>
              </w:rPr>
            </w:pPr>
            <w:r w:rsidRPr="003E4C57">
              <w:rPr>
                <w:sz w:val="20"/>
                <w:szCs w:val="20"/>
              </w:rPr>
              <w:t>0.95</w:t>
            </w:r>
            <w:r w:rsidRPr="003E4C57">
              <w:rPr>
                <w:sz w:val="20"/>
                <w:szCs w:val="20"/>
              </w:rPr>
              <w:br/>
              <w:t>(0.82 – 1.08)</w:t>
            </w:r>
          </w:p>
        </w:tc>
        <w:tc>
          <w:tcPr>
            <w:tcW w:w="0" w:type="auto"/>
            <w:tcMar>
              <w:top w:w="17" w:type="dxa"/>
              <w:left w:w="17" w:type="dxa"/>
              <w:bottom w:w="17" w:type="dxa"/>
              <w:right w:w="17" w:type="dxa"/>
            </w:tcMar>
            <w:vAlign w:val="center"/>
            <w:hideMark/>
          </w:tcPr>
          <w:p w14:paraId="71F72C1F" w14:textId="77777777" w:rsidR="00FB0D92" w:rsidRPr="003E4C57" w:rsidRDefault="00FB0D92" w:rsidP="00B648EF">
            <w:pPr>
              <w:spacing w:line="276" w:lineRule="auto"/>
              <w:jc w:val="center"/>
              <w:rPr>
                <w:sz w:val="20"/>
                <w:szCs w:val="20"/>
              </w:rPr>
            </w:pPr>
            <w:r w:rsidRPr="003E4C57">
              <w:rPr>
                <w:sz w:val="20"/>
                <w:szCs w:val="20"/>
              </w:rPr>
              <w:t>0.94</w:t>
            </w:r>
            <w:r w:rsidRPr="003E4C57">
              <w:rPr>
                <w:sz w:val="20"/>
                <w:szCs w:val="20"/>
              </w:rPr>
              <w:br/>
              <w:t>(0.82 – 1.07)</w:t>
            </w:r>
          </w:p>
        </w:tc>
        <w:tc>
          <w:tcPr>
            <w:tcW w:w="0" w:type="auto"/>
            <w:tcMar>
              <w:top w:w="17" w:type="dxa"/>
              <w:left w:w="17" w:type="dxa"/>
              <w:bottom w:w="17" w:type="dxa"/>
              <w:right w:w="17" w:type="dxa"/>
            </w:tcMar>
            <w:vAlign w:val="center"/>
            <w:hideMark/>
          </w:tcPr>
          <w:p w14:paraId="3264A237" w14:textId="77777777" w:rsidR="00FB0D92" w:rsidRPr="003E4C57" w:rsidRDefault="00FB0D92" w:rsidP="00B648EF">
            <w:pPr>
              <w:spacing w:line="276" w:lineRule="auto"/>
              <w:jc w:val="center"/>
              <w:rPr>
                <w:sz w:val="20"/>
                <w:szCs w:val="20"/>
              </w:rPr>
            </w:pPr>
            <w:r w:rsidRPr="003E4C57">
              <w:rPr>
                <w:sz w:val="20"/>
                <w:szCs w:val="20"/>
              </w:rPr>
              <w:t>0.93</w:t>
            </w:r>
            <w:r w:rsidRPr="003E4C57">
              <w:rPr>
                <w:sz w:val="20"/>
                <w:szCs w:val="20"/>
              </w:rPr>
              <w:br/>
              <w:t>(0.82 – 1.07)</w:t>
            </w:r>
          </w:p>
        </w:tc>
        <w:tc>
          <w:tcPr>
            <w:tcW w:w="0" w:type="auto"/>
            <w:tcMar>
              <w:top w:w="17" w:type="dxa"/>
              <w:left w:w="17" w:type="dxa"/>
              <w:bottom w:w="17" w:type="dxa"/>
              <w:right w:w="17" w:type="dxa"/>
            </w:tcMar>
            <w:vAlign w:val="center"/>
            <w:hideMark/>
          </w:tcPr>
          <w:p w14:paraId="59AFE2AF" w14:textId="77777777" w:rsidR="00FB0D92" w:rsidRPr="003E4C57" w:rsidRDefault="00FB0D92" w:rsidP="00B648EF">
            <w:pPr>
              <w:spacing w:line="276" w:lineRule="auto"/>
              <w:jc w:val="center"/>
              <w:rPr>
                <w:sz w:val="20"/>
                <w:szCs w:val="20"/>
              </w:rPr>
            </w:pPr>
            <w:r w:rsidRPr="003E4C57">
              <w:rPr>
                <w:b/>
                <w:bCs/>
                <w:sz w:val="20"/>
                <w:szCs w:val="20"/>
              </w:rPr>
              <w:t>0.82</w:t>
            </w:r>
            <w:r w:rsidRPr="003E4C57">
              <w:rPr>
                <w:b/>
                <w:bCs/>
                <w:sz w:val="20"/>
                <w:szCs w:val="20"/>
              </w:rPr>
              <w:br/>
              <w:t>(0.69 – 0.97</w:t>
            </w:r>
            <w:r w:rsidRPr="003E4C57">
              <w:rPr>
                <w:sz w:val="20"/>
                <w:szCs w:val="20"/>
              </w:rPr>
              <w:t>)</w:t>
            </w:r>
          </w:p>
        </w:tc>
        <w:tc>
          <w:tcPr>
            <w:tcW w:w="0" w:type="auto"/>
            <w:tcMar>
              <w:top w:w="17" w:type="dxa"/>
              <w:left w:w="17" w:type="dxa"/>
              <w:bottom w:w="17" w:type="dxa"/>
              <w:right w:w="17" w:type="dxa"/>
            </w:tcMar>
            <w:vAlign w:val="center"/>
            <w:hideMark/>
          </w:tcPr>
          <w:p w14:paraId="4B983116" w14:textId="77777777" w:rsidR="00FB0D92" w:rsidRPr="003E4C57" w:rsidRDefault="00FB0D92" w:rsidP="00B648EF">
            <w:pPr>
              <w:spacing w:line="276" w:lineRule="auto"/>
              <w:jc w:val="center"/>
              <w:rPr>
                <w:sz w:val="20"/>
                <w:szCs w:val="20"/>
              </w:rPr>
            </w:pPr>
            <w:r w:rsidRPr="003E4C57">
              <w:rPr>
                <w:sz w:val="20"/>
                <w:szCs w:val="20"/>
              </w:rPr>
              <w:t>0.85</w:t>
            </w:r>
            <w:r w:rsidRPr="003E4C57">
              <w:rPr>
                <w:sz w:val="20"/>
                <w:szCs w:val="20"/>
              </w:rPr>
              <w:br/>
              <w:t>(0.72 – 1.00)</w:t>
            </w:r>
          </w:p>
        </w:tc>
        <w:tc>
          <w:tcPr>
            <w:tcW w:w="0" w:type="auto"/>
            <w:tcMar>
              <w:top w:w="17" w:type="dxa"/>
              <w:left w:w="17" w:type="dxa"/>
              <w:bottom w:w="17" w:type="dxa"/>
              <w:right w:w="17" w:type="dxa"/>
            </w:tcMar>
            <w:vAlign w:val="center"/>
            <w:hideMark/>
          </w:tcPr>
          <w:p w14:paraId="289FE6D8" w14:textId="77777777" w:rsidR="00FB0D92" w:rsidRPr="003E4C57" w:rsidRDefault="00FB0D92" w:rsidP="00B648EF">
            <w:pPr>
              <w:spacing w:line="276" w:lineRule="auto"/>
              <w:jc w:val="center"/>
              <w:rPr>
                <w:sz w:val="20"/>
                <w:szCs w:val="20"/>
              </w:rPr>
            </w:pPr>
            <w:r w:rsidRPr="003E4C57">
              <w:rPr>
                <w:b/>
                <w:bCs/>
                <w:sz w:val="20"/>
                <w:szCs w:val="20"/>
              </w:rPr>
              <w:t>0.84</w:t>
            </w:r>
            <w:r w:rsidRPr="003E4C57">
              <w:rPr>
                <w:b/>
                <w:bCs/>
                <w:sz w:val="20"/>
                <w:szCs w:val="20"/>
              </w:rPr>
              <w:br/>
              <w:t>(0.71 – 0.99</w:t>
            </w:r>
            <w:r w:rsidRPr="003E4C57">
              <w:rPr>
                <w:sz w:val="20"/>
                <w:szCs w:val="20"/>
              </w:rPr>
              <w:t>)</w:t>
            </w:r>
          </w:p>
        </w:tc>
      </w:tr>
      <w:tr w:rsidR="00FB0D92" w:rsidRPr="003E4C57" w14:paraId="0EED929E" w14:textId="77777777" w:rsidTr="00B648EF">
        <w:tc>
          <w:tcPr>
            <w:tcW w:w="0" w:type="auto"/>
            <w:tcMar>
              <w:top w:w="17" w:type="dxa"/>
              <w:left w:w="17" w:type="dxa"/>
              <w:bottom w:w="17" w:type="dxa"/>
              <w:right w:w="17" w:type="dxa"/>
            </w:tcMar>
            <w:vAlign w:val="center"/>
            <w:hideMark/>
          </w:tcPr>
          <w:p w14:paraId="3B9A489B" w14:textId="77777777" w:rsidR="00FB0D92" w:rsidRPr="003E4C57" w:rsidRDefault="00FB0D92" w:rsidP="00B648EF">
            <w:pPr>
              <w:spacing w:line="276" w:lineRule="auto"/>
              <w:rPr>
                <w:sz w:val="20"/>
                <w:szCs w:val="20"/>
              </w:rPr>
            </w:pPr>
            <w:r w:rsidRPr="003E4C57">
              <w:rPr>
                <w:sz w:val="20"/>
                <w:szCs w:val="20"/>
              </w:rPr>
              <w:t xml:space="preserve">real </w:t>
            </w:r>
            <w:proofErr w:type="spellStart"/>
            <w:r w:rsidRPr="003E4C57">
              <w:rPr>
                <w:sz w:val="20"/>
                <w:szCs w:val="20"/>
              </w:rPr>
              <w:t>gdp</w:t>
            </w:r>
            <w:proofErr w:type="spellEnd"/>
            <w:r w:rsidRPr="003E4C57">
              <w:rPr>
                <w:sz w:val="20"/>
                <w:szCs w:val="20"/>
              </w:rPr>
              <w:t xml:space="preserve"> log</w:t>
            </w:r>
          </w:p>
        </w:tc>
        <w:tc>
          <w:tcPr>
            <w:tcW w:w="0" w:type="auto"/>
            <w:tcMar>
              <w:top w:w="17" w:type="dxa"/>
              <w:left w:w="17" w:type="dxa"/>
              <w:bottom w:w="17" w:type="dxa"/>
              <w:right w:w="17" w:type="dxa"/>
            </w:tcMar>
            <w:vAlign w:val="center"/>
            <w:hideMark/>
          </w:tcPr>
          <w:p w14:paraId="28E04152" w14:textId="77777777" w:rsidR="00FB0D92" w:rsidRPr="003E4C57" w:rsidRDefault="00FB0D92" w:rsidP="00B648EF">
            <w:pPr>
              <w:spacing w:line="276" w:lineRule="auto"/>
              <w:jc w:val="center"/>
              <w:rPr>
                <w:b/>
                <w:bCs/>
                <w:sz w:val="20"/>
                <w:szCs w:val="20"/>
              </w:rPr>
            </w:pPr>
            <w:r w:rsidRPr="003E4C57">
              <w:rPr>
                <w:b/>
                <w:bCs/>
                <w:sz w:val="20"/>
                <w:szCs w:val="20"/>
              </w:rPr>
              <w:t>0.83</w:t>
            </w:r>
            <w:r w:rsidRPr="003E4C57">
              <w:rPr>
                <w:b/>
                <w:bCs/>
                <w:sz w:val="20"/>
                <w:szCs w:val="20"/>
              </w:rPr>
              <w:br/>
              <w:t>(0.74 – 0.93)</w:t>
            </w:r>
          </w:p>
        </w:tc>
        <w:tc>
          <w:tcPr>
            <w:tcW w:w="0" w:type="auto"/>
            <w:tcMar>
              <w:top w:w="17" w:type="dxa"/>
              <w:left w:w="17" w:type="dxa"/>
              <w:bottom w:w="17" w:type="dxa"/>
              <w:right w:w="17" w:type="dxa"/>
            </w:tcMar>
            <w:vAlign w:val="center"/>
            <w:hideMark/>
          </w:tcPr>
          <w:p w14:paraId="3E36A68E" w14:textId="77777777" w:rsidR="00FB0D92" w:rsidRPr="003E4C57" w:rsidRDefault="00FB0D92" w:rsidP="00B648EF">
            <w:pPr>
              <w:spacing w:line="276" w:lineRule="auto"/>
              <w:jc w:val="center"/>
              <w:rPr>
                <w:b/>
                <w:bCs/>
                <w:sz w:val="20"/>
                <w:szCs w:val="20"/>
              </w:rPr>
            </w:pPr>
            <w:r w:rsidRPr="003E4C57">
              <w:rPr>
                <w:b/>
                <w:bCs/>
                <w:sz w:val="20"/>
                <w:szCs w:val="20"/>
              </w:rPr>
              <w:t>0.83</w:t>
            </w:r>
            <w:r w:rsidRPr="003E4C57">
              <w:rPr>
                <w:b/>
                <w:bCs/>
                <w:sz w:val="20"/>
                <w:szCs w:val="20"/>
              </w:rPr>
              <w:br/>
              <w:t>(0.74 – 0.93)</w:t>
            </w:r>
          </w:p>
        </w:tc>
        <w:tc>
          <w:tcPr>
            <w:tcW w:w="0" w:type="auto"/>
            <w:tcMar>
              <w:top w:w="17" w:type="dxa"/>
              <w:left w:w="17" w:type="dxa"/>
              <w:bottom w:w="17" w:type="dxa"/>
              <w:right w:w="17" w:type="dxa"/>
            </w:tcMar>
            <w:vAlign w:val="center"/>
            <w:hideMark/>
          </w:tcPr>
          <w:p w14:paraId="51A05F2A" w14:textId="77777777" w:rsidR="00FB0D92" w:rsidRPr="003E4C57" w:rsidRDefault="00FB0D92" w:rsidP="00B648EF">
            <w:pPr>
              <w:spacing w:line="276" w:lineRule="auto"/>
              <w:jc w:val="center"/>
              <w:rPr>
                <w:b/>
                <w:bCs/>
                <w:sz w:val="20"/>
                <w:szCs w:val="20"/>
              </w:rPr>
            </w:pPr>
            <w:r w:rsidRPr="003E4C57">
              <w:rPr>
                <w:b/>
                <w:bCs/>
                <w:sz w:val="20"/>
                <w:szCs w:val="20"/>
              </w:rPr>
              <w:t>0.83</w:t>
            </w:r>
            <w:r w:rsidRPr="003E4C57">
              <w:rPr>
                <w:b/>
                <w:bCs/>
                <w:sz w:val="20"/>
                <w:szCs w:val="20"/>
              </w:rPr>
              <w:br/>
              <w:t>(0.74 – 0.93)</w:t>
            </w:r>
          </w:p>
        </w:tc>
        <w:tc>
          <w:tcPr>
            <w:tcW w:w="0" w:type="auto"/>
            <w:tcMar>
              <w:top w:w="17" w:type="dxa"/>
              <w:left w:w="17" w:type="dxa"/>
              <w:bottom w:w="17" w:type="dxa"/>
              <w:right w:w="17" w:type="dxa"/>
            </w:tcMar>
            <w:vAlign w:val="center"/>
            <w:hideMark/>
          </w:tcPr>
          <w:p w14:paraId="106FB656" w14:textId="77777777" w:rsidR="00FB0D92" w:rsidRPr="003E4C57" w:rsidRDefault="00FB0D92" w:rsidP="00B648EF">
            <w:pPr>
              <w:spacing w:line="276" w:lineRule="auto"/>
              <w:jc w:val="center"/>
              <w:rPr>
                <w:sz w:val="20"/>
                <w:szCs w:val="20"/>
              </w:rPr>
            </w:pPr>
            <w:r w:rsidRPr="003E4C57">
              <w:rPr>
                <w:sz w:val="20"/>
                <w:szCs w:val="20"/>
              </w:rPr>
              <w:t>0.91</w:t>
            </w:r>
            <w:r w:rsidRPr="003E4C57">
              <w:rPr>
                <w:sz w:val="20"/>
                <w:szCs w:val="20"/>
              </w:rPr>
              <w:br/>
              <w:t>(0.80 – 1.04)</w:t>
            </w:r>
          </w:p>
        </w:tc>
        <w:tc>
          <w:tcPr>
            <w:tcW w:w="0" w:type="auto"/>
            <w:tcMar>
              <w:top w:w="17" w:type="dxa"/>
              <w:left w:w="17" w:type="dxa"/>
              <w:bottom w:w="17" w:type="dxa"/>
              <w:right w:w="17" w:type="dxa"/>
            </w:tcMar>
            <w:vAlign w:val="center"/>
            <w:hideMark/>
          </w:tcPr>
          <w:p w14:paraId="28B2C02F" w14:textId="77777777" w:rsidR="00FB0D92" w:rsidRPr="003E4C57" w:rsidRDefault="00FB0D92" w:rsidP="00B648EF">
            <w:pPr>
              <w:spacing w:line="276" w:lineRule="auto"/>
              <w:jc w:val="center"/>
              <w:rPr>
                <w:sz w:val="20"/>
                <w:szCs w:val="20"/>
              </w:rPr>
            </w:pPr>
            <w:r w:rsidRPr="003E4C57">
              <w:rPr>
                <w:sz w:val="20"/>
                <w:szCs w:val="20"/>
              </w:rPr>
              <w:t>0.90</w:t>
            </w:r>
            <w:r w:rsidRPr="003E4C57">
              <w:rPr>
                <w:sz w:val="20"/>
                <w:szCs w:val="20"/>
              </w:rPr>
              <w:br/>
              <w:t>(0.79 – 1.03)</w:t>
            </w:r>
          </w:p>
        </w:tc>
        <w:tc>
          <w:tcPr>
            <w:tcW w:w="0" w:type="auto"/>
            <w:tcMar>
              <w:top w:w="17" w:type="dxa"/>
              <w:left w:w="17" w:type="dxa"/>
              <w:bottom w:w="17" w:type="dxa"/>
              <w:right w:w="17" w:type="dxa"/>
            </w:tcMar>
            <w:vAlign w:val="center"/>
            <w:hideMark/>
          </w:tcPr>
          <w:p w14:paraId="6C8394BA" w14:textId="77777777" w:rsidR="00FB0D92" w:rsidRPr="003E4C57" w:rsidRDefault="00FB0D92" w:rsidP="00B648EF">
            <w:pPr>
              <w:spacing w:line="276" w:lineRule="auto"/>
              <w:jc w:val="center"/>
              <w:rPr>
                <w:sz w:val="20"/>
                <w:szCs w:val="20"/>
              </w:rPr>
            </w:pPr>
            <w:r w:rsidRPr="003E4C57">
              <w:rPr>
                <w:sz w:val="20"/>
                <w:szCs w:val="20"/>
              </w:rPr>
              <w:t>0.90</w:t>
            </w:r>
            <w:r w:rsidRPr="003E4C57">
              <w:rPr>
                <w:sz w:val="20"/>
                <w:szCs w:val="20"/>
              </w:rPr>
              <w:br/>
              <w:t>(0.78 – 1.03)</w:t>
            </w:r>
          </w:p>
        </w:tc>
      </w:tr>
      <w:tr w:rsidR="00FB0D92" w:rsidRPr="003E4C57" w14:paraId="60B0AE22" w14:textId="77777777" w:rsidTr="00B648EF">
        <w:tc>
          <w:tcPr>
            <w:tcW w:w="0" w:type="auto"/>
            <w:tcMar>
              <w:top w:w="17" w:type="dxa"/>
              <w:left w:w="17" w:type="dxa"/>
              <w:bottom w:w="17" w:type="dxa"/>
              <w:right w:w="17" w:type="dxa"/>
            </w:tcMar>
            <w:vAlign w:val="center"/>
            <w:hideMark/>
          </w:tcPr>
          <w:p w14:paraId="4B1E7238" w14:textId="77777777" w:rsidR="00FB0D92" w:rsidRPr="003E4C57" w:rsidRDefault="00FB0D92" w:rsidP="00B648EF">
            <w:pPr>
              <w:spacing w:line="276" w:lineRule="auto"/>
              <w:rPr>
                <w:sz w:val="20"/>
                <w:szCs w:val="20"/>
              </w:rPr>
            </w:pPr>
            <w:r w:rsidRPr="003E4C57">
              <w:rPr>
                <w:sz w:val="20"/>
                <w:szCs w:val="20"/>
              </w:rPr>
              <w:t xml:space="preserve">age cat </w:t>
            </w:r>
            <w:proofErr w:type="spellStart"/>
            <w:r w:rsidRPr="003E4C57">
              <w:rPr>
                <w:sz w:val="20"/>
                <w:szCs w:val="20"/>
              </w:rPr>
              <w:t>centered</w:t>
            </w:r>
            <w:proofErr w:type="spellEnd"/>
          </w:p>
        </w:tc>
        <w:tc>
          <w:tcPr>
            <w:tcW w:w="0" w:type="auto"/>
            <w:tcMar>
              <w:top w:w="17" w:type="dxa"/>
              <w:left w:w="17" w:type="dxa"/>
              <w:bottom w:w="17" w:type="dxa"/>
              <w:right w:w="17" w:type="dxa"/>
            </w:tcMar>
            <w:vAlign w:val="center"/>
            <w:hideMark/>
          </w:tcPr>
          <w:p w14:paraId="6A10985F" w14:textId="77777777" w:rsidR="00FB0D92" w:rsidRPr="003E4C57" w:rsidRDefault="00FB0D92" w:rsidP="00B648EF">
            <w:pPr>
              <w:spacing w:line="276" w:lineRule="auto"/>
              <w:jc w:val="center"/>
              <w:rPr>
                <w:b/>
                <w:bCs/>
                <w:sz w:val="20"/>
                <w:szCs w:val="20"/>
              </w:rPr>
            </w:pPr>
            <w:r w:rsidRPr="003E4C57">
              <w:rPr>
                <w:b/>
                <w:bCs/>
                <w:sz w:val="20"/>
                <w:szCs w:val="20"/>
              </w:rPr>
              <w:t>1.41</w:t>
            </w:r>
            <w:r w:rsidRPr="003E4C57">
              <w:rPr>
                <w:b/>
                <w:bCs/>
                <w:sz w:val="20"/>
                <w:szCs w:val="20"/>
              </w:rPr>
              <w:br/>
              <w:t>(1.36 – 1.47)</w:t>
            </w:r>
          </w:p>
        </w:tc>
        <w:tc>
          <w:tcPr>
            <w:tcW w:w="0" w:type="auto"/>
            <w:tcMar>
              <w:top w:w="17" w:type="dxa"/>
              <w:left w:w="17" w:type="dxa"/>
              <w:bottom w:w="17" w:type="dxa"/>
              <w:right w:w="17" w:type="dxa"/>
            </w:tcMar>
            <w:vAlign w:val="center"/>
            <w:hideMark/>
          </w:tcPr>
          <w:p w14:paraId="19B26009" w14:textId="77777777" w:rsidR="00FB0D92" w:rsidRPr="003E4C57" w:rsidRDefault="00FB0D92" w:rsidP="00B648EF">
            <w:pPr>
              <w:spacing w:line="276" w:lineRule="auto"/>
              <w:jc w:val="center"/>
              <w:rPr>
                <w:b/>
                <w:bCs/>
                <w:sz w:val="20"/>
                <w:szCs w:val="20"/>
              </w:rPr>
            </w:pPr>
            <w:r w:rsidRPr="003E4C57">
              <w:rPr>
                <w:b/>
                <w:bCs/>
                <w:sz w:val="20"/>
                <w:szCs w:val="20"/>
              </w:rPr>
              <w:t>1.42</w:t>
            </w:r>
            <w:r w:rsidRPr="003E4C57">
              <w:rPr>
                <w:b/>
                <w:bCs/>
                <w:sz w:val="20"/>
                <w:szCs w:val="20"/>
              </w:rPr>
              <w:br/>
              <w:t>(1.37 – 1.48)</w:t>
            </w:r>
          </w:p>
        </w:tc>
        <w:tc>
          <w:tcPr>
            <w:tcW w:w="0" w:type="auto"/>
            <w:tcMar>
              <w:top w:w="17" w:type="dxa"/>
              <w:left w:w="17" w:type="dxa"/>
              <w:bottom w:w="17" w:type="dxa"/>
              <w:right w:w="17" w:type="dxa"/>
            </w:tcMar>
            <w:vAlign w:val="center"/>
            <w:hideMark/>
          </w:tcPr>
          <w:p w14:paraId="6B1B05D8" w14:textId="77777777" w:rsidR="00FB0D92" w:rsidRPr="003E4C57" w:rsidRDefault="00FB0D92" w:rsidP="00B648EF">
            <w:pPr>
              <w:spacing w:line="276" w:lineRule="auto"/>
              <w:jc w:val="center"/>
              <w:rPr>
                <w:b/>
                <w:bCs/>
                <w:sz w:val="20"/>
                <w:szCs w:val="20"/>
              </w:rPr>
            </w:pPr>
            <w:r w:rsidRPr="003E4C57">
              <w:rPr>
                <w:b/>
                <w:bCs/>
                <w:sz w:val="20"/>
                <w:szCs w:val="20"/>
              </w:rPr>
              <w:t>1.42</w:t>
            </w:r>
            <w:r w:rsidRPr="003E4C57">
              <w:rPr>
                <w:b/>
                <w:bCs/>
                <w:sz w:val="20"/>
                <w:szCs w:val="20"/>
              </w:rPr>
              <w:br/>
              <w:t>(1.37 – 1.48)</w:t>
            </w:r>
          </w:p>
        </w:tc>
        <w:tc>
          <w:tcPr>
            <w:tcW w:w="0" w:type="auto"/>
            <w:tcMar>
              <w:top w:w="17" w:type="dxa"/>
              <w:left w:w="17" w:type="dxa"/>
              <w:bottom w:w="17" w:type="dxa"/>
              <w:right w:w="17" w:type="dxa"/>
            </w:tcMar>
            <w:vAlign w:val="center"/>
            <w:hideMark/>
          </w:tcPr>
          <w:p w14:paraId="06BC21BD" w14:textId="77777777" w:rsidR="00FB0D92" w:rsidRPr="003E4C57" w:rsidRDefault="00FB0D92" w:rsidP="00B648EF">
            <w:pPr>
              <w:spacing w:line="276" w:lineRule="auto"/>
              <w:jc w:val="center"/>
              <w:rPr>
                <w:b/>
                <w:bCs/>
                <w:sz w:val="20"/>
                <w:szCs w:val="20"/>
              </w:rPr>
            </w:pPr>
            <w:r w:rsidRPr="003E4C57">
              <w:rPr>
                <w:b/>
                <w:bCs/>
                <w:sz w:val="20"/>
                <w:szCs w:val="20"/>
              </w:rPr>
              <w:t>0.84</w:t>
            </w:r>
            <w:r w:rsidRPr="003E4C57">
              <w:rPr>
                <w:b/>
                <w:bCs/>
                <w:sz w:val="20"/>
                <w:szCs w:val="20"/>
              </w:rPr>
              <w:br/>
              <w:t>(0.80 – 0.88)</w:t>
            </w:r>
          </w:p>
        </w:tc>
        <w:tc>
          <w:tcPr>
            <w:tcW w:w="0" w:type="auto"/>
            <w:tcMar>
              <w:top w:w="17" w:type="dxa"/>
              <w:left w:w="17" w:type="dxa"/>
              <w:bottom w:w="17" w:type="dxa"/>
              <w:right w:w="17" w:type="dxa"/>
            </w:tcMar>
            <w:vAlign w:val="center"/>
            <w:hideMark/>
          </w:tcPr>
          <w:p w14:paraId="7A670348" w14:textId="77777777" w:rsidR="00FB0D92" w:rsidRPr="003E4C57" w:rsidRDefault="00FB0D92" w:rsidP="00B648EF">
            <w:pPr>
              <w:spacing w:line="276" w:lineRule="auto"/>
              <w:jc w:val="center"/>
              <w:rPr>
                <w:b/>
                <w:bCs/>
                <w:sz w:val="20"/>
                <w:szCs w:val="20"/>
              </w:rPr>
            </w:pPr>
            <w:r w:rsidRPr="003E4C57">
              <w:rPr>
                <w:b/>
                <w:bCs/>
                <w:sz w:val="20"/>
                <w:szCs w:val="20"/>
              </w:rPr>
              <w:t>0.86</w:t>
            </w:r>
            <w:r w:rsidRPr="003E4C57">
              <w:rPr>
                <w:b/>
                <w:bCs/>
                <w:sz w:val="20"/>
                <w:szCs w:val="20"/>
              </w:rPr>
              <w:br/>
              <w:t>(0.82 – 0.90)</w:t>
            </w:r>
          </w:p>
        </w:tc>
        <w:tc>
          <w:tcPr>
            <w:tcW w:w="0" w:type="auto"/>
            <w:tcMar>
              <w:top w:w="17" w:type="dxa"/>
              <w:left w:w="17" w:type="dxa"/>
              <w:bottom w:w="17" w:type="dxa"/>
              <w:right w:w="17" w:type="dxa"/>
            </w:tcMar>
            <w:vAlign w:val="center"/>
            <w:hideMark/>
          </w:tcPr>
          <w:p w14:paraId="5CF5E720" w14:textId="77777777" w:rsidR="00FB0D92" w:rsidRPr="003E4C57" w:rsidRDefault="00FB0D92" w:rsidP="00B648EF">
            <w:pPr>
              <w:spacing w:line="276" w:lineRule="auto"/>
              <w:jc w:val="center"/>
              <w:rPr>
                <w:b/>
                <w:bCs/>
                <w:sz w:val="20"/>
                <w:szCs w:val="20"/>
              </w:rPr>
            </w:pPr>
            <w:r w:rsidRPr="003E4C57">
              <w:rPr>
                <w:b/>
                <w:bCs/>
                <w:sz w:val="20"/>
                <w:szCs w:val="20"/>
              </w:rPr>
              <w:t>0.86</w:t>
            </w:r>
            <w:r w:rsidRPr="003E4C57">
              <w:rPr>
                <w:b/>
                <w:bCs/>
                <w:sz w:val="20"/>
                <w:szCs w:val="20"/>
              </w:rPr>
              <w:br/>
              <w:t>(0.82 – 0.90)</w:t>
            </w:r>
          </w:p>
        </w:tc>
      </w:tr>
      <w:tr w:rsidR="00FB0D92" w:rsidRPr="003E4C57" w14:paraId="5172C21C" w14:textId="77777777" w:rsidTr="00B648EF">
        <w:tc>
          <w:tcPr>
            <w:tcW w:w="0" w:type="auto"/>
            <w:tcMar>
              <w:top w:w="17" w:type="dxa"/>
              <w:left w:w="17" w:type="dxa"/>
              <w:bottom w:w="17" w:type="dxa"/>
              <w:right w:w="17" w:type="dxa"/>
            </w:tcMar>
            <w:vAlign w:val="center"/>
            <w:hideMark/>
          </w:tcPr>
          <w:p w14:paraId="751543B0" w14:textId="77777777" w:rsidR="00FB0D92" w:rsidRPr="003E4C57" w:rsidRDefault="00FB0D92" w:rsidP="00B648EF">
            <w:pPr>
              <w:spacing w:line="276" w:lineRule="auto"/>
              <w:rPr>
                <w:sz w:val="20"/>
                <w:szCs w:val="20"/>
              </w:rPr>
            </w:pPr>
            <w:r w:rsidRPr="003E4C57">
              <w:rPr>
                <w:sz w:val="20"/>
                <w:szCs w:val="20"/>
              </w:rPr>
              <w:t xml:space="preserve">gender </w:t>
            </w:r>
            <w:proofErr w:type="spellStart"/>
            <w:r w:rsidRPr="003E4C57">
              <w:rPr>
                <w:sz w:val="20"/>
                <w:szCs w:val="20"/>
              </w:rPr>
              <w:t>centered</w:t>
            </w:r>
            <w:proofErr w:type="spellEnd"/>
          </w:p>
        </w:tc>
        <w:tc>
          <w:tcPr>
            <w:tcW w:w="0" w:type="auto"/>
            <w:tcMar>
              <w:top w:w="17" w:type="dxa"/>
              <w:left w:w="17" w:type="dxa"/>
              <w:bottom w:w="17" w:type="dxa"/>
              <w:right w:w="17" w:type="dxa"/>
            </w:tcMar>
            <w:vAlign w:val="center"/>
            <w:hideMark/>
          </w:tcPr>
          <w:p w14:paraId="4BD2A202" w14:textId="77777777" w:rsidR="00FB0D92" w:rsidRPr="003E4C57" w:rsidRDefault="00FB0D92" w:rsidP="00B648EF">
            <w:pPr>
              <w:spacing w:line="276" w:lineRule="auto"/>
              <w:jc w:val="center"/>
              <w:rPr>
                <w:b/>
                <w:bCs/>
                <w:sz w:val="20"/>
                <w:szCs w:val="20"/>
              </w:rPr>
            </w:pPr>
            <w:r w:rsidRPr="003E4C57">
              <w:rPr>
                <w:b/>
                <w:bCs/>
                <w:sz w:val="20"/>
                <w:szCs w:val="20"/>
              </w:rPr>
              <w:t>0.94</w:t>
            </w:r>
            <w:r w:rsidRPr="003E4C57">
              <w:rPr>
                <w:b/>
                <w:bCs/>
                <w:sz w:val="20"/>
                <w:szCs w:val="20"/>
              </w:rPr>
              <w:br/>
              <w:t>(0.91 – 0.97)</w:t>
            </w:r>
          </w:p>
        </w:tc>
        <w:tc>
          <w:tcPr>
            <w:tcW w:w="0" w:type="auto"/>
            <w:tcMar>
              <w:top w:w="17" w:type="dxa"/>
              <w:left w:w="17" w:type="dxa"/>
              <w:bottom w:w="17" w:type="dxa"/>
              <w:right w:w="17" w:type="dxa"/>
            </w:tcMar>
            <w:vAlign w:val="center"/>
            <w:hideMark/>
          </w:tcPr>
          <w:p w14:paraId="6A9E164B" w14:textId="77777777" w:rsidR="00FB0D92" w:rsidRPr="003E4C57" w:rsidRDefault="00FB0D92" w:rsidP="00B648EF">
            <w:pPr>
              <w:spacing w:line="276" w:lineRule="auto"/>
              <w:jc w:val="center"/>
              <w:rPr>
                <w:b/>
                <w:bCs/>
                <w:sz w:val="20"/>
                <w:szCs w:val="20"/>
              </w:rPr>
            </w:pPr>
            <w:r w:rsidRPr="003E4C57">
              <w:rPr>
                <w:b/>
                <w:bCs/>
                <w:sz w:val="20"/>
                <w:szCs w:val="20"/>
              </w:rPr>
              <w:t>0.95</w:t>
            </w:r>
            <w:r w:rsidRPr="003E4C57">
              <w:rPr>
                <w:b/>
                <w:bCs/>
                <w:sz w:val="20"/>
                <w:szCs w:val="20"/>
              </w:rPr>
              <w:br/>
              <w:t>(0.92 – 0.99)</w:t>
            </w:r>
          </w:p>
        </w:tc>
        <w:tc>
          <w:tcPr>
            <w:tcW w:w="0" w:type="auto"/>
            <w:tcMar>
              <w:top w:w="17" w:type="dxa"/>
              <w:left w:w="17" w:type="dxa"/>
              <w:bottom w:w="17" w:type="dxa"/>
              <w:right w:w="17" w:type="dxa"/>
            </w:tcMar>
            <w:vAlign w:val="center"/>
            <w:hideMark/>
          </w:tcPr>
          <w:p w14:paraId="4DCA26D8" w14:textId="77777777" w:rsidR="00FB0D92" w:rsidRPr="003E4C57" w:rsidRDefault="00FB0D92" w:rsidP="00B648EF">
            <w:pPr>
              <w:spacing w:line="276" w:lineRule="auto"/>
              <w:jc w:val="center"/>
              <w:rPr>
                <w:b/>
                <w:bCs/>
                <w:sz w:val="20"/>
                <w:szCs w:val="20"/>
              </w:rPr>
            </w:pPr>
            <w:r w:rsidRPr="003E4C57">
              <w:rPr>
                <w:b/>
                <w:bCs/>
                <w:sz w:val="20"/>
                <w:szCs w:val="20"/>
              </w:rPr>
              <w:t>0.95</w:t>
            </w:r>
            <w:r w:rsidRPr="003E4C57">
              <w:rPr>
                <w:b/>
                <w:bCs/>
                <w:sz w:val="20"/>
                <w:szCs w:val="20"/>
              </w:rPr>
              <w:br/>
              <w:t>(0.92 – 0.99)</w:t>
            </w:r>
          </w:p>
        </w:tc>
        <w:tc>
          <w:tcPr>
            <w:tcW w:w="0" w:type="auto"/>
            <w:tcMar>
              <w:top w:w="17" w:type="dxa"/>
              <w:left w:w="17" w:type="dxa"/>
              <w:bottom w:w="17" w:type="dxa"/>
              <w:right w:w="17" w:type="dxa"/>
            </w:tcMar>
            <w:vAlign w:val="center"/>
            <w:hideMark/>
          </w:tcPr>
          <w:p w14:paraId="5F410003" w14:textId="77777777" w:rsidR="00FB0D92" w:rsidRPr="003E4C57" w:rsidRDefault="00FB0D92" w:rsidP="00B648EF">
            <w:pPr>
              <w:spacing w:line="276" w:lineRule="auto"/>
              <w:jc w:val="center"/>
              <w:rPr>
                <w:b/>
                <w:bCs/>
                <w:sz w:val="20"/>
                <w:szCs w:val="20"/>
              </w:rPr>
            </w:pPr>
            <w:r w:rsidRPr="003E4C57">
              <w:rPr>
                <w:b/>
                <w:bCs/>
                <w:sz w:val="20"/>
                <w:szCs w:val="20"/>
              </w:rPr>
              <w:t>0.78</w:t>
            </w:r>
            <w:r w:rsidRPr="003E4C57">
              <w:rPr>
                <w:b/>
                <w:bCs/>
                <w:sz w:val="20"/>
                <w:szCs w:val="20"/>
              </w:rPr>
              <w:br/>
              <w:t>(0.75 – 0.82)</w:t>
            </w:r>
          </w:p>
        </w:tc>
        <w:tc>
          <w:tcPr>
            <w:tcW w:w="0" w:type="auto"/>
            <w:tcMar>
              <w:top w:w="17" w:type="dxa"/>
              <w:left w:w="17" w:type="dxa"/>
              <w:bottom w:w="17" w:type="dxa"/>
              <w:right w:w="17" w:type="dxa"/>
            </w:tcMar>
            <w:vAlign w:val="center"/>
            <w:hideMark/>
          </w:tcPr>
          <w:p w14:paraId="5BAA613C" w14:textId="77777777" w:rsidR="00FB0D92" w:rsidRPr="003E4C57" w:rsidRDefault="00FB0D92" w:rsidP="00B648EF">
            <w:pPr>
              <w:spacing w:line="276" w:lineRule="auto"/>
              <w:jc w:val="center"/>
              <w:rPr>
                <w:b/>
                <w:bCs/>
                <w:sz w:val="20"/>
                <w:szCs w:val="20"/>
              </w:rPr>
            </w:pPr>
            <w:r w:rsidRPr="003E4C57">
              <w:rPr>
                <w:b/>
                <w:bCs/>
                <w:sz w:val="20"/>
                <w:szCs w:val="20"/>
              </w:rPr>
              <w:t>0.80</w:t>
            </w:r>
            <w:r w:rsidRPr="003E4C57">
              <w:rPr>
                <w:b/>
                <w:bCs/>
                <w:sz w:val="20"/>
                <w:szCs w:val="20"/>
              </w:rPr>
              <w:br/>
              <w:t>(0.77 – 0.84)</w:t>
            </w:r>
          </w:p>
        </w:tc>
        <w:tc>
          <w:tcPr>
            <w:tcW w:w="0" w:type="auto"/>
            <w:tcMar>
              <w:top w:w="17" w:type="dxa"/>
              <w:left w:w="17" w:type="dxa"/>
              <w:bottom w:w="17" w:type="dxa"/>
              <w:right w:w="17" w:type="dxa"/>
            </w:tcMar>
            <w:vAlign w:val="center"/>
            <w:hideMark/>
          </w:tcPr>
          <w:p w14:paraId="32611516" w14:textId="77777777" w:rsidR="00FB0D92" w:rsidRPr="003E4C57" w:rsidRDefault="00FB0D92" w:rsidP="00B648EF">
            <w:pPr>
              <w:spacing w:line="276" w:lineRule="auto"/>
              <w:jc w:val="center"/>
              <w:rPr>
                <w:b/>
                <w:bCs/>
                <w:sz w:val="20"/>
                <w:szCs w:val="20"/>
              </w:rPr>
            </w:pPr>
            <w:r w:rsidRPr="003E4C57">
              <w:rPr>
                <w:b/>
                <w:bCs/>
                <w:sz w:val="20"/>
                <w:szCs w:val="20"/>
              </w:rPr>
              <w:t>0.80</w:t>
            </w:r>
            <w:r w:rsidRPr="003E4C57">
              <w:rPr>
                <w:b/>
                <w:bCs/>
                <w:sz w:val="20"/>
                <w:szCs w:val="20"/>
              </w:rPr>
              <w:br/>
              <w:t>(0.77 – 0.84)</w:t>
            </w:r>
          </w:p>
        </w:tc>
      </w:tr>
      <w:tr w:rsidR="00FB0D92" w:rsidRPr="003E4C57" w14:paraId="6B2DFB1E" w14:textId="77777777" w:rsidTr="00B648EF">
        <w:tc>
          <w:tcPr>
            <w:tcW w:w="0" w:type="auto"/>
            <w:tcMar>
              <w:top w:w="17" w:type="dxa"/>
              <w:left w:w="17" w:type="dxa"/>
              <w:bottom w:w="17" w:type="dxa"/>
              <w:right w:w="17" w:type="dxa"/>
            </w:tcMar>
            <w:vAlign w:val="center"/>
            <w:hideMark/>
          </w:tcPr>
          <w:p w14:paraId="3A8D9333" w14:textId="77777777" w:rsidR="00FB0D92" w:rsidRPr="003E4C57" w:rsidRDefault="00FB0D92" w:rsidP="00B648EF">
            <w:pPr>
              <w:spacing w:line="276" w:lineRule="auto"/>
              <w:rPr>
                <w:sz w:val="20"/>
                <w:szCs w:val="20"/>
              </w:rPr>
            </w:pPr>
            <w:r w:rsidRPr="003E4C57">
              <w:rPr>
                <w:sz w:val="20"/>
                <w:szCs w:val="20"/>
              </w:rPr>
              <w:t>age mean</w:t>
            </w:r>
          </w:p>
        </w:tc>
        <w:tc>
          <w:tcPr>
            <w:tcW w:w="0" w:type="auto"/>
            <w:tcMar>
              <w:top w:w="17" w:type="dxa"/>
              <w:left w:w="17" w:type="dxa"/>
              <w:bottom w:w="17" w:type="dxa"/>
              <w:right w:w="17" w:type="dxa"/>
            </w:tcMar>
            <w:vAlign w:val="center"/>
            <w:hideMark/>
          </w:tcPr>
          <w:p w14:paraId="6454DC00" w14:textId="77777777" w:rsidR="00FB0D92" w:rsidRPr="003E4C57" w:rsidRDefault="00FB0D92" w:rsidP="00B648EF">
            <w:pPr>
              <w:spacing w:line="276" w:lineRule="auto"/>
              <w:jc w:val="center"/>
              <w:rPr>
                <w:sz w:val="20"/>
                <w:szCs w:val="20"/>
              </w:rPr>
            </w:pPr>
            <w:r w:rsidRPr="003E4C57">
              <w:rPr>
                <w:sz w:val="20"/>
                <w:szCs w:val="20"/>
              </w:rPr>
              <w:t>1.06</w:t>
            </w:r>
            <w:r w:rsidRPr="003E4C57">
              <w:rPr>
                <w:sz w:val="20"/>
                <w:szCs w:val="20"/>
              </w:rPr>
              <w:br/>
              <w:t>(0.99 – 1.13)</w:t>
            </w:r>
          </w:p>
        </w:tc>
        <w:tc>
          <w:tcPr>
            <w:tcW w:w="0" w:type="auto"/>
            <w:tcMar>
              <w:top w:w="17" w:type="dxa"/>
              <w:left w:w="17" w:type="dxa"/>
              <w:bottom w:w="17" w:type="dxa"/>
              <w:right w:w="17" w:type="dxa"/>
            </w:tcMar>
            <w:vAlign w:val="center"/>
            <w:hideMark/>
          </w:tcPr>
          <w:p w14:paraId="2688C8FD" w14:textId="77777777" w:rsidR="00FB0D92" w:rsidRPr="003E4C57" w:rsidRDefault="00FB0D92" w:rsidP="00B648EF">
            <w:pPr>
              <w:spacing w:line="276" w:lineRule="auto"/>
              <w:jc w:val="center"/>
              <w:rPr>
                <w:sz w:val="20"/>
                <w:szCs w:val="20"/>
              </w:rPr>
            </w:pPr>
            <w:r w:rsidRPr="003E4C57">
              <w:rPr>
                <w:sz w:val="20"/>
                <w:szCs w:val="20"/>
              </w:rPr>
              <w:t>1.04</w:t>
            </w:r>
            <w:r w:rsidRPr="003E4C57">
              <w:rPr>
                <w:sz w:val="20"/>
                <w:szCs w:val="20"/>
              </w:rPr>
              <w:br/>
              <w:t>(0.97 – 1.11)</w:t>
            </w:r>
          </w:p>
        </w:tc>
        <w:tc>
          <w:tcPr>
            <w:tcW w:w="0" w:type="auto"/>
            <w:tcMar>
              <w:top w:w="17" w:type="dxa"/>
              <w:left w:w="17" w:type="dxa"/>
              <w:bottom w:w="17" w:type="dxa"/>
              <w:right w:w="17" w:type="dxa"/>
            </w:tcMar>
            <w:vAlign w:val="center"/>
            <w:hideMark/>
          </w:tcPr>
          <w:p w14:paraId="68935558" w14:textId="77777777" w:rsidR="00FB0D92" w:rsidRPr="003E4C57" w:rsidRDefault="00FB0D92" w:rsidP="00B648EF">
            <w:pPr>
              <w:spacing w:line="276" w:lineRule="auto"/>
              <w:jc w:val="center"/>
              <w:rPr>
                <w:sz w:val="20"/>
                <w:szCs w:val="20"/>
              </w:rPr>
            </w:pPr>
            <w:r w:rsidRPr="003E4C57">
              <w:rPr>
                <w:sz w:val="20"/>
                <w:szCs w:val="20"/>
              </w:rPr>
              <w:t>1.04</w:t>
            </w:r>
            <w:r w:rsidRPr="003E4C57">
              <w:rPr>
                <w:sz w:val="20"/>
                <w:szCs w:val="20"/>
              </w:rPr>
              <w:br/>
              <w:t>(0.97 – 1.11)</w:t>
            </w:r>
          </w:p>
        </w:tc>
        <w:tc>
          <w:tcPr>
            <w:tcW w:w="0" w:type="auto"/>
            <w:tcMar>
              <w:top w:w="17" w:type="dxa"/>
              <w:left w:w="17" w:type="dxa"/>
              <w:bottom w:w="17" w:type="dxa"/>
              <w:right w:w="17" w:type="dxa"/>
            </w:tcMar>
            <w:vAlign w:val="center"/>
            <w:hideMark/>
          </w:tcPr>
          <w:p w14:paraId="773DFD16" w14:textId="77777777" w:rsidR="00FB0D92" w:rsidRPr="003E4C57" w:rsidRDefault="00FB0D92" w:rsidP="00B648EF">
            <w:pPr>
              <w:spacing w:line="276" w:lineRule="auto"/>
              <w:jc w:val="center"/>
              <w:rPr>
                <w:sz w:val="20"/>
                <w:szCs w:val="20"/>
              </w:rPr>
            </w:pPr>
            <w:r w:rsidRPr="003E4C57">
              <w:rPr>
                <w:sz w:val="20"/>
                <w:szCs w:val="20"/>
              </w:rPr>
              <w:t>0.92</w:t>
            </w:r>
            <w:r w:rsidRPr="003E4C57">
              <w:rPr>
                <w:sz w:val="20"/>
                <w:szCs w:val="20"/>
              </w:rPr>
              <w:br/>
              <w:t>(0.86 – 1.00)</w:t>
            </w:r>
          </w:p>
        </w:tc>
        <w:tc>
          <w:tcPr>
            <w:tcW w:w="0" w:type="auto"/>
            <w:tcMar>
              <w:top w:w="17" w:type="dxa"/>
              <w:left w:w="17" w:type="dxa"/>
              <w:bottom w:w="17" w:type="dxa"/>
              <w:right w:w="17" w:type="dxa"/>
            </w:tcMar>
            <w:vAlign w:val="center"/>
            <w:hideMark/>
          </w:tcPr>
          <w:p w14:paraId="20233951" w14:textId="77777777" w:rsidR="00FB0D92" w:rsidRPr="003E4C57" w:rsidRDefault="00FB0D92" w:rsidP="00B648EF">
            <w:pPr>
              <w:spacing w:line="276" w:lineRule="auto"/>
              <w:jc w:val="center"/>
              <w:rPr>
                <w:sz w:val="20"/>
                <w:szCs w:val="20"/>
              </w:rPr>
            </w:pPr>
            <w:r w:rsidRPr="003E4C57">
              <w:rPr>
                <w:sz w:val="20"/>
                <w:szCs w:val="20"/>
              </w:rPr>
              <w:t>0.98</w:t>
            </w:r>
            <w:r w:rsidRPr="003E4C57">
              <w:rPr>
                <w:sz w:val="20"/>
                <w:szCs w:val="20"/>
              </w:rPr>
              <w:br/>
              <w:t>(0.90 – 1.07)</w:t>
            </w:r>
          </w:p>
        </w:tc>
        <w:tc>
          <w:tcPr>
            <w:tcW w:w="0" w:type="auto"/>
            <w:tcMar>
              <w:top w:w="17" w:type="dxa"/>
              <w:left w:w="17" w:type="dxa"/>
              <w:bottom w:w="17" w:type="dxa"/>
              <w:right w:w="17" w:type="dxa"/>
            </w:tcMar>
            <w:vAlign w:val="center"/>
            <w:hideMark/>
          </w:tcPr>
          <w:p w14:paraId="025AA9BA" w14:textId="77777777" w:rsidR="00FB0D92" w:rsidRPr="003E4C57" w:rsidRDefault="00FB0D92" w:rsidP="00B648EF">
            <w:pPr>
              <w:spacing w:line="276" w:lineRule="auto"/>
              <w:jc w:val="center"/>
              <w:rPr>
                <w:sz w:val="20"/>
                <w:szCs w:val="20"/>
              </w:rPr>
            </w:pPr>
            <w:r w:rsidRPr="003E4C57">
              <w:rPr>
                <w:sz w:val="20"/>
                <w:szCs w:val="20"/>
              </w:rPr>
              <w:t>0.98</w:t>
            </w:r>
            <w:r w:rsidRPr="003E4C57">
              <w:rPr>
                <w:sz w:val="20"/>
                <w:szCs w:val="20"/>
              </w:rPr>
              <w:br/>
              <w:t>(0.90 – 1.06)</w:t>
            </w:r>
          </w:p>
        </w:tc>
      </w:tr>
      <w:tr w:rsidR="00FB0D92" w:rsidRPr="003E4C57" w14:paraId="502D211A" w14:textId="77777777" w:rsidTr="00B648EF">
        <w:tc>
          <w:tcPr>
            <w:tcW w:w="0" w:type="auto"/>
            <w:tcMar>
              <w:top w:w="17" w:type="dxa"/>
              <w:left w:w="17" w:type="dxa"/>
              <w:bottom w:w="17" w:type="dxa"/>
              <w:right w:w="17" w:type="dxa"/>
            </w:tcMar>
            <w:vAlign w:val="center"/>
            <w:hideMark/>
          </w:tcPr>
          <w:p w14:paraId="5E0790BB" w14:textId="77777777" w:rsidR="00FB0D92" w:rsidRPr="003E4C57" w:rsidRDefault="00FB0D92" w:rsidP="00B648EF">
            <w:pPr>
              <w:spacing w:line="276" w:lineRule="auto"/>
              <w:rPr>
                <w:sz w:val="20"/>
                <w:szCs w:val="20"/>
              </w:rPr>
            </w:pPr>
            <w:r w:rsidRPr="003E4C57">
              <w:rPr>
                <w:sz w:val="20"/>
                <w:szCs w:val="20"/>
              </w:rPr>
              <w:t>gender mean</w:t>
            </w:r>
          </w:p>
        </w:tc>
        <w:tc>
          <w:tcPr>
            <w:tcW w:w="0" w:type="auto"/>
            <w:tcMar>
              <w:top w:w="17" w:type="dxa"/>
              <w:left w:w="17" w:type="dxa"/>
              <w:bottom w:w="17" w:type="dxa"/>
              <w:right w:w="17" w:type="dxa"/>
            </w:tcMar>
            <w:vAlign w:val="center"/>
            <w:hideMark/>
          </w:tcPr>
          <w:p w14:paraId="634836D0" w14:textId="77777777" w:rsidR="00FB0D92" w:rsidRPr="003E4C57" w:rsidRDefault="00FB0D92" w:rsidP="00B648EF">
            <w:pPr>
              <w:spacing w:line="276" w:lineRule="auto"/>
              <w:jc w:val="center"/>
              <w:rPr>
                <w:sz w:val="20"/>
                <w:szCs w:val="20"/>
              </w:rPr>
            </w:pPr>
            <w:r w:rsidRPr="003E4C57">
              <w:rPr>
                <w:sz w:val="20"/>
                <w:szCs w:val="20"/>
              </w:rPr>
              <w:t>0.98</w:t>
            </w:r>
            <w:r w:rsidRPr="003E4C57">
              <w:rPr>
                <w:sz w:val="20"/>
                <w:szCs w:val="20"/>
              </w:rPr>
              <w:br/>
              <w:t>(0.93 – 1.03)</w:t>
            </w:r>
          </w:p>
        </w:tc>
        <w:tc>
          <w:tcPr>
            <w:tcW w:w="0" w:type="auto"/>
            <w:tcMar>
              <w:top w:w="17" w:type="dxa"/>
              <w:left w:w="17" w:type="dxa"/>
              <w:bottom w:w="17" w:type="dxa"/>
              <w:right w:w="17" w:type="dxa"/>
            </w:tcMar>
            <w:vAlign w:val="center"/>
            <w:hideMark/>
          </w:tcPr>
          <w:p w14:paraId="646BC471" w14:textId="77777777" w:rsidR="00FB0D92" w:rsidRPr="003E4C57" w:rsidRDefault="00FB0D92" w:rsidP="00B648EF">
            <w:pPr>
              <w:spacing w:line="276" w:lineRule="auto"/>
              <w:jc w:val="center"/>
              <w:rPr>
                <w:sz w:val="20"/>
                <w:szCs w:val="20"/>
              </w:rPr>
            </w:pPr>
            <w:r w:rsidRPr="003E4C57">
              <w:rPr>
                <w:sz w:val="20"/>
                <w:szCs w:val="20"/>
              </w:rPr>
              <w:t>0.98</w:t>
            </w:r>
            <w:r w:rsidRPr="003E4C57">
              <w:rPr>
                <w:sz w:val="20"/>
                <w:szCs w:val="20"/>
              </w:rPr>
              <w:br/>
              <w:t>(0.93 – 1.03)</w:t>
            </w:r>
          </w:p>
        </w:tc>
        <w:tc>
          <w:tcPr>
            <w:tcW w:w="0" w:type="auto"/>
            <w:tcMar>
              <w:top w:w="17" w:type="dxa"/>
              <w:left w:w="17" w:type="dxa"/>
              <w:bottom w:w="17" w:type="dxa"/>
              <w:right w:w="17" w:type="dxa"/>
            </w:tcMar>
            <w:vAlign w:val="center"/>
            <w:hideMark/>
          </w:tcPr>
          <w:p w14:paraId="155C1F0F" w14:textId="77777777" w:rsidR="00FB0D92" w:rsidRPr="003E4C57" w:rsidRDefault="00FB0D92" w:rsidP="00B648EF">
            <w:pPr>
              <w:spacing w:line="276" w:lineRule="auto"/>
              <w:jc w:val="center"/>
              <w:rPr>
                <w:sz w:val="20"/>
                <w:szCs w:val="20"/>
              </w:rPr>
            </w:pPr>
            <w:r w:rsidRPr="003E4C57">
              <w:rPr>
                <w:sz w:val="20"/>
                <w:szCs w:val="20"/>
              </w:rPr>
              <w:t>0.98</w:t>
            </w:r>
            <w:r w:rsidRPr="003E4C57">
              <w:rPr>
                <w:sz w:val="20"/>
                <w:szCs w:val="20"/>
              </w:rPr>
              <w:br/>
              <w:t>(0.93 – 1.03)</w:t>
            </w:r>
          </w:p>
        </w:tc>
        <w:tc>
          <w:tcPr>
            <w:tcW w:w="0" w:type="auto"/>
            <w:tcMar>
              <w:top w:w="17" w:type="dxa"/>
              <w:left w:w="17" w:type="dxa"/>
              <w:bottom w:w="17" w:type="dxa"/>
              <w:right w:w="17" w:type="dxa"/>
            </w:tcMar>
            <w:vAlign w:val="center"/>
            <w:hideMark/>
          </w:tcPr>
          <w:p w14:paraId="0A204D88" w14:textId="77777777" w:rsidR="00FB0D92" w:rsidRPr="003E4C57" w:rsidRDefault="00FB0D92" w:rsidP="00B648EF">
            <w:pPr>
              <w:spacing w:line="276" w:lineRule="auto"/>
              <w:jc w:val="center"/>
              <w:rPr>
                <w:sz w:val="20"/>
                <w:szCs w:val="20"/>
              </w:rPr>
            </w:pPr>
            <w:r w:rsidRPr="003E4C57">
              <w:rPr>
                <w:sz w:val="20"/>
                <w:szCs w:val="20"/>
              </w:rPr>
              <w:t>1.01</w:t>
            </w:r>
            <w:r w:rsidRPr="003E4C57">
              <w:rPr>
                <w:sz w:val="20"/>
                <w:szCs w:val="20"/>
              </w:rPr>
              <w:br/>
              <w:t>(0.95 – 1.08)</w:t>
            </w:r>
          </w:p>
        </w:tc>
        <w:tc>
          <w:tcPr>
            <w:tcW w:w="0" w:type="auto"/>
            <w:tcMar>
              <w:top w:w="17" w:type="dxa"/>
              <w:left w:w="17" w:type="dxa"/>
              <w:bottom w:w="17" w:type="dxa"/>
              <w:right w:w="17" w:type="dxa"/>
            </w:tcMar>
            <w:vAlign w:val="center"/>
            <w:hideMark/>
          </w:tcPr>
          <w:p w14:paraId="144B0E09" w14:textId="77777777" w:rsidR="00FB0D92" w:rsidRPr="003E4C57" w:rsidRDefault="00FB0D92" w:rsidP="00B648EF">
            <w:pPr>
              <w:spacing w:line="276" w:lineRule="auto"/>
              <w:jc w:val="center"/>
              <w:rPr>
                <w:sz w:val="20"/>
                <w:szCs w:val="20"/>
              </w:rPr>
            </w:pPr>
            <w:r w:rsidRPr="003E4C57">
              <w:rPr>
                <w:sz w:val="20"/>
                <w:szCs w:val="20"/>
              </w:rPr>
              <w:t>1.02</w:t>
            </w:r>
            <w:r w:rsidRPr="003E4C57">
              <w:rPr>
                <w:sz w:val="20"/>
                <w:szCs w:val="20"/>
              </w:rPr>
              <w:br/>
              <w:t>(0.96 – 1.08)</w:t>
            </w:r>
          </w:p>
        </w:tc>
        <w:tc>
          <w:tcPr>
            <w:tcW w:w="0" w:type="auto"/>
            <w:tcMar>
              <w:top w:w="17" w:type="dxa"/>
              <w:left w:w="17" w:type="dxa"/>
              <w:bottom w:w="17" w:type="dxa"/>
              <w:right w:w="17" w:type="dxa"/>
            </w:tcMar>
            <w:vAlign w:val="center"/>
            <w:hideMark/>
          </w:tcPr>
          <w:p w14:paraId="1E662884" w14:textId="77777777" w:rsidR="00FB0D92" w:rsidRPr="003E4C57" w:rsidRDefault="00FB0D92" w:rsidP="00B648EF">
            <w:pPr>
              <w:spacing w:line="276" w:lineRule="auto"/>
              <w:jc w:val="center"/>
              <w:rPr>
                <w:sz w:val="20"/>
                <w:szCs w:val="20"/>
              </w:rPr>
            </w:pPr>
            <w:r w:rsidRPr="003E4C57">
              <w:rPr>
                <w:sz w:val="20"/>
                <w:szCs w:val="20"/>
              </w:rPr>
              <w:t>1.02</w:t>
            </w:r>
            <w:r w:rsidRPr="003E4C57">
              <w:rPr>
                <w:sz w:val="20"/>
                <w:szCs w:val="20"/>
              </w:rPr>
              <w:br/>
              <w:t>(0.95 – 1.08)</w:t>
            </w:r>
          </w:p>
        </w:tc>
      </w:tr>
      <w:tr w:rsidR="00FB0D92" w:rsidRPr="003E4C57" w14:paraId="50967773" w14:textId="77777777" w:rsidTr="00B648EF">
        <w:tc>
          <w:tcPr>
            <w:tcW w:w="0" w:type="auto"/>
            <w:tcMar>
              <w:top w:w="17" w:type="dxa"/>
              <w:left w:w="17" w:type="dxa"/>
              <w:bottom w:w="17" w:type="dxa"/>
              <w:right w:w="17" w:type="dxa"/>
            </w:tcMar>
            <w:vAlign w:val="center"/>
            <w:hideMark/>
          </w:tcPr>
          <w:p w14:paraId="6E5BB16B" w14:textId="77777777" w:rsidR="00FB0D92" w:rsidRPr="003E4C57" w:rsidRDefault="00FB0D92" w:rsidP="00B648EF">
            <w:pPr>
              <w:spacing w:line="276" w:lineRule="auto"/>
              <w:rPr>
                <w:sz w:val="20"/>
                <w:szCs w:val="20"/>
              </w:rPr>
            </w:pPr>
            <w:r w:rsidRPr="003E4C57">
              <w:rPr>
                <w:sz w:val="20"/>
                <w:szCs w:val="20"/>
              </w:rPr>
              <w:t>round: round 6</w:t>
            </w:r>
          </w:p>
        </w:tc>
        <w:tc>
          <w:tcPr>
            <w:tcW w:w="0" w:type="auto"/>
            <w:tcMar>
              <w:top w:w="17" w:type="dxa"/>
              <w:left w:w="17" w:type="dxa"/>
              <w:bottom w:w="17" w:type="dxa"/>
              <w:right w:w="17" w:type="dxa"/>
            </w:tcMar>
            <w:vAlign w:val="center"/>
            <w:hideMark/>
          </w:tcPr>
          <w:p w14:paraId="4EB240F1" w14:textId="77777777" w:rsidR="00FB0D92" w:rsidRPr="003E4C57" w:rsidRDefault="00FB0D92" w:rsidP="00B648EF">
            <w:pPr>
              <w:spacing w:line="276" w:lineRule="auto"/>
              <w:jc w:val="center"/>
              <w:rPr>
                <w:b/>
                <w:bCs/>
                <w:sz w:val="20"/>
                <w:szCs w:val="20"/>
              </w:rPr>
            </w:pPr>
            <w:r w:rsidRPr="003E4C57">
              <w:rPr>
                <w:b/>
                <w:bCs/>
                <w:sz w:val="20"/>
                <w:szCs w:val="20"/>
              </w:rPr>
              <w:t>0.63</w:t>
            </w:r>
            <w:r w:rsidRPr="003E4C57">
              <w:rPr>
                <w:b/>
                <w:bCs/>
                <w:sz w:val="20"/>
                <w:szCs w:val="20"/>
              </w:rPr>
              <w:br/>
              <w:t>(0.57 – 0.70)</w:t>
            </w:r>
          </w:p>
        </w:tc>
        <w:tc>
          <w:tcPr>
            <w:tcW w:w="0" w:type="auto"/>
            <w:tcMar>
              <w:top w:w="17" w:type="dxa"/>
              <w:left w:w="17" w:type="dxa"/>
              <w:bottom w:w="17" w:type="dxa"/>
              <w:right w:w="17" w:type="dxa"/>
            </w:tcMar>
            <w:vAlign w:val="center"/>
            <w:hideMark/>
          </w:tcPr>
          <w:p w14:paraId="27724D1F" w14:textId="77777777" w:rsidR="00FB0D92" w:rsidRPr="003E4C57" w:rsidRDefault="00FB0D92" w:rsidP="00B648EF">
            <w:pPr>
              <w:spacing w:line="276" w:lineRule="auto"/>
              <w:jc w:val="center"/>
              <w:rPr>
                <w:b/>
                <w:bCs/>
                <w:sz w:val="20"/>
                <w:szCs w:val="20"/>
              </w:rPr>
            </w:pPr>
            <w:r w:rsidRPr="003E4C57">
              <w:rPr>
                <w:b/>
                <w:bCs/>
                <w:sz w:val="20"/>
                <w:szCs w:val="20"/>
              </w:rPr>
              <w:t>0.63</w:t>
            </w:r>
            <w:r w:rsidRPr="003E4C57">
              <w:rPr>
                <w:b/>
                <w:bCs/>
                <w:sz w:val="20"/>
                <w:szCs w:val="20"/>
              </w:rPr>
              <w:br/>
              <w:t>(0.56 – 0.70)</w:t>
            </w:r>
          </w:p>
        </w:tc>
        <w:tc>
          <w:tcPr>
            <w:tcW w:w="0" w:type="auto"/>
            <w:tcMar>
              <w:top w:w="17" w:type="dxa"/>
              <w:left w:w="17" w:type="dxa"/>
              <w:bottom w:w="17" w:type="dxa"/>
              <w:right w:w="17" w:type="dxa"/>
            </w:tcMar>
            <w:vAlign w:val="center"/>
            <w:hideMark/>
          </w:tcPr>
          <w:p w14:paraId="6705637E" w14:textId="77777777" w:rsidR="00FB0D92" w:rsidRPr="003E4C57" w:rsidRDefault="00FB0D92" w:rsidP="00B648EF">
            <w:pPr>
              <w:spacing w:line="276" w:lineRule="auto"/>
              <w:jc w:val="center"/>
              <w:rPr>
                <w:b/>
                <w:bCs/>
                <w:sz w:val="20"/>
                <w:szCs w:val="20"/>
              </w:rPr>
            </w:pPr>
            <w:r w:rsidRPr="003E4C57">
              <w:rPr>
                <w:b/>
                <w:bCs/>
                <w:sz w:val="20"/>
                <w:szCs w:val="20"/>
              </w:rPr>
              <w:t>0.63</w:t>
            </w:r>
            <w:r w:rsidRPr="003E4C57">
              <w:rPr>
                <w:b/>
                <w:bCs/>
                <w:sz w:val="20"/>
                <w:szCs w:val="20"/>
              </w:rPr>
              <w:br/>
              <w:t>(0.56 – 0.69)</w:t>
            </w:r>
          </w:p>
        </w:tc>
        <w:tc>
          <w:tcPr>
            <w:tcW w:w="0" w:type="auto"/>
            <w:tcMar>
              <w:top w:w="17" w:type="dxa"/>
              <w:left w:w="17" w:type="dxa"/>
              <w:bottom w:w="17" w:type="dxa"/>
              <w:right w:w="17" w:type="dxa"/>
            </w:tcMar>
            <w:vAlign w:val="center"/>
            <w:hideMark/>
          </w:tcPr>
          <w:p w14:paraId="54C6D2AE" w14:textId="77777777" w:rsidR="00FB0D92" w:rsidRPr="003E4C57" w:rsidRDefault="00FB0D92" w:rsidP="00B648EF">
            <w:pPr>
              <w:spacing w:line="276" w:lineRule="auto"/>
              <w:jc w:val="center"/>
              <w:rPr>
                <w:b/>
                <w:bCs/>
                <w:sz w:val="20"/>
                <w:szCs w:val="20"/>
              </w:rPr>
            </w:pPr>
            <w:r w:rsidRPr="003E4C57">
              <w:rPr>
                <w:b/>
                <w:bCs/>
                <w:sz w:val="20"/>
                <w:szCs w:val="20"/>
              </w:rPr>
              <w:t>1.22</w:t>
            </w:r>
            <w:r w:rsidRPr="003E4C57">
              <w:rPr>
                <w:b/>
                <w:bCs/>
                <w:sz w:val="20"/>
                <w:szCs w:val="20"/>
              </w:rPr>
              <w:br/>
              <w:t>(1.07 – 1.40)</w:t>
            </w:r>
          </w:p>
        </w:tc>
        <w:tc>
          <w:tcPr>
            <w:tcW w:w="0" w:type="auto"/>
            <w:tcMar>
              <w:top w:w="17" w:type="dxa"/>
              <w:left w:w="17" w:type="dxa"/>
              <w:bottom w:w="17" w:type="dxa"/>
              <w:right w:w="17" w:type="dxa"/>
            </w:tcMar>
            <w:vAlign w:val="center"/>
            <w:hideMark/>
          </w:tcPr>
          <w:p w14:paraId="6A8D4B5A" w14:textId="77777777" w:rsidR="00FB0D92" w:rsidRPr="003E4C57" w:rsidRDefault="00FB0D92" w:rsidP="00B648EF">
            <w:pPr>
              <w:spacing w:line="276" w:lineRule="auto"/>
              <w:jc w:val="center"/>
              <w:rPr>
                <w:b/>
                <w:bCs/>
                <w:sz w:val="20"/>
                <w:szCs w:val="20"/>
              </w:rPr>
            </w:pPr>
            <w:r w:rsidRPr="003E4C57">
              <w:rPr>
                <w:b/>
                <w:bCs/>
                <w:sz w:val="20"/>
                <w:szCs w:val="20"/>
              </w:rPr>
              <w:t>1.26</w:t>
            </w:r>
            <w:r w:rsidRPr="003E4C57">
              <w:rPr>
                <w:b/>
                <w:bCs/>
                <w:sz w:val="20"/>
                <w:szCs w:val="20"/>
              </w:rPr>
              <w:br/>
              <w:t>(1.11 – 1.45)</w:t>
            </w:r>
          </w:p>
        </w:tc>
        <w:tc>
          <w:tcPr>
            <w:tcW w:w="0" w:type="auto"/>
            <w:tcMar>
              <w:top w:w="17" w:type="dxa"/>
              <w:left w:w="17" w:type="dxa"/>
              <w:bottom w:w="17" w:type="dxa"/>
              <w:right w:w="17" w:type="dxa"/>
            </w:tcMar>
            <w:vAlign w:val="center"/>
            <w:hideMark/>
          </w:tcPr>
          <w:p w14:paraId="4990BC59" w14:textId="77777777" w:rsidR="00FB0D92" w:rsidRPr="003E4C57" w:rsidRDefault="00FB0D92" w:rsidP="00B648EF">
            <w:pPr>
              <w:spacing w:line="276" w:lineRule="auto"/>
              <w:jc w:val="center"/>
              <w:rPr>
                <w:b/>
                <w:bCs/>
                <w:sz w:val="20"/>
                <w:szCs w:val="20"/>
              </w:rPr>
            </w:pPr>
            <w:r w:rsidRPr="003E4C57">
              <w:rPr>
                <w:b/>
                <w:bCs/>
                <w:sz w:val="20"/>
                <w:szCs w:val="20"/>
              </w:rPr>
              <w:t>1.27</w:t>
            </w:r>
            <w:r w:rsidRPr="003E4C57">
              <w:rPr>
                <w:b/>
                <w:bCs/>
                <w:sz w:val="20"/>
                <w:szCs w:val="20"/>
              </w:rPr>
              <w:br/>
              <w:t>(1.11 – 1.44)</w:t>
            </w:r>
          </w:p>
        </w:tc>
      </w:tr>
      <w:tr w:rsidR="00FB0D92" w:rsidRPr="003E4C57" w14:paraId="15E36ED6" w14:textId="77777777" w:rsidTr="00B648EF">
        <w:tc>
          <w:tcPr>
            <w:tcW w:w="0" w:type="auto"/>
            <w:tcMar>
              <w:top w:w="17" w:type="dxa"/>
              <w:left w:w="17" w:type="dxa"/>
              <w:bottom w:w="17" w:type="dxa"/>
              <w:right w:w="17" w:type="dxa"/>
            </w:tcMar>
            <w:vAlign w:val="center"/>
            <w:hideMark/>
          </w:tcPr>
          <w:p w14:paraId="37715DCE" w14:textId="77777777" w:rsidR="00FB0D92" w:rsidRPr="003E4C57" w:rsidRDefault="00FB0D92" w:rsidP="00B648EF">
            <w:pPr>
              <w:spacing w:line="276" w:lineRule="auto"/>
              <w:rPr>
                <w:sz w:val="20"/>
                <w:szCs w:val="20"/>
              </w:rPr>
            </w:pPr>
            <w:r w:rsidRPr="003E4C57">
              <w:rPr>
                <w:sz w:val="20"/>
                <w:szCs w:val="20"/>
              </w:rPr>
              <w:t>round: round 7</w:t>
            </w:r>
          </w:p>
        </w:tc>
        <w:tc>
          <w:tcPr>
            <w:tcW w:w="0" w:type="auto"/>
            <w:tcMar>
              <w:top w:w="17" w:type="dxa"/>
              <w:left w:w="17" w:type="dxa"/>
              <w:bottom w:w="17" w:type="dxa"/>
              <w:right w:w="17" w:type="dxa"/>
            </w:tcMar>
            <w:vAlign w:val="center"/>
            <w:hideMark/>
          </w:tcPr>
          <w:p w14:paraId="13287850" w14:textId="77777777" w:rsidR="00FB0D92" w:rsidRPr="003E4C57" w:rsidRDefault="00FB0D92" w:rsidP="00B648EF">
            <w:pPr>
              <w:spacing w:line="276" w:lineRule="auto"/>
              <w:jc w:val="center"/>
              <w:rPr>
                <w:b/>
                <w:bCs/>
                <w:sz w:val="20"/>
                <w:szCs w:val="20"/>
              </w:rPr>
            </w:pPr>
            <w:r w:rsidRPr="003E4C57">
              <w:rPr>
                <w:b/>
                <w:bCs/>
                <w:sz w:val="20"/>
                <w:szCs w:val="20"/>
              </w:rPr>
              <w:t>0.59</w:t>
            </w:r>
            <w:r w:rsidRPr="003E4C57">
              <w:rPr>
                <w:b/>
                <w:bCs/>
                <w:sz w:val="20"/>
                <w:szCs w:val="20"/>
              </w:rPr>
              <w:br/>
              <w:t>(0.53 – 0.66)</w:t>
            </w:r>
          </w:p>
        </w:tc>
        <w:tc>
          <w:tcPr>
            <w:tcW w:w="0" w:type="auto"/>
            <w:tcMar>
              <w:top w:w="17" w:type="dxa"/>
              <w:left w:w="17" w:type="dxa"/>
              <w:bottom w:w="17" w:type="dxa"/>
              <w:right w:w="17" w:type="dxa"/>
            </w:tcMar>
            <w:vAlign w:val="center"/>
            <w:hideMark/>
          </w:tcPr>
          <w:p w14:paraId="129C4BB0" w14:textId="77777777" w:rsidR="00FB0D92" w:rsidRPr="003E4C57" w:rsidRDefault="00FB0D92" w:rsidP="00B648EF">
            <w:pPr>
              <w:spacing w:line="276" w:lineRule="auto"/>
              <w:jc w:val="center"/>
              <w:rPr>
                <w:b/>
                <w:bCs/>
                <w:sz w:val="20"/>
                <w:szCs w:val="20"/>
              </w:rPr>
            </w:pPr>
            <w:r w:rsidRPr="003E4C57">
              <w:rPr>
                <w:b/>
                <w:bCs/>
                <w:sz w:val="20"/>
                <w:szCs w:val="20"/>
              </w:rPr>
              <w:t>0.60</w:t>
            </w:r>
            <w:r w:rsidRPr="003E4C57">
              <w:rPr>
                <w:b/>
                <w:bCs/>
                <w:sz w:val="20"/>
                <w:szCs w:val="20"/>
              </w:rPr>
              <w:br/>
              <w:t>(0.53 – 0.67)</w:t>
            </w:r>
          </w:p>
        </w:tc>
        <w:tc>
          <w:tcPr>
            <w:tcW w:w="0" w:type="auto"/>
            <w:tcMar>
              <w:top w:w="17" w:type="dxa"/>
              <w:left w:w="17" w:type="dxa"/>
              <w:bottom w:w="17" w:type="dxa"/>
              <w:right w:w="17" w:type="dxa"/>
            </w:tcMar>
            <w:vAlign w:val="center"/>
            <w:hideMark/>
          </w:tcPr>
          <w:p w14:paraId="11106260" w14:textId="77777777" w:rsidR="00FB0D92" w:rsidRPr="003E4C57" w:rsidRDefault="00FB0D92" w:rsidP="00B648EF">
            <w:pPr>
              <w:spacing w:line="276" w:lineRule="auto"/>
              <w:jc w:val="center"/>
              <w:rPr>
                <w:b/>
                <w:bCs/>
                <w:sz w:val="20"/>
                <w:szCs w:val="20"/>
              </w:rPr>
            </w:pPr>
            <w:r w:rsidRPr="003E4C57">
              <w:rPr>
                <w:b/>
                <w:bCs/>
                <w:sz w:val="20"/>
                <w:szCs w:val="20"/>
              </w:rPr>
              <w:t>0.60</w:t>
            </w:r>
            <w:r w:rsidRPr="003E4C57">
              <w:rPr>
                <w:b/>
                <w:bCs/>
                <w:sz w:val="20"/>
                <w:szCs w:val="20"/>
              </w:rPr>
              <w:br/>
              <w:t>(0.54 – 0.67)</w:t>
            </w:r>
          </w:p>
        </w:tc>
        <w:tc>
          <w:tcPr>
            <w:tcW w:w="0" w:type="auto"/>
            <w:tcMar>
              <w:top w:w="17" w:type="dxa"/>
              <w:left w:w="17" w:type="dxa"/>
              <w:bottom w:w="17" w:type="dxa"/>
              <w:right w:w="17" w:type="dxa"/>
            </w:tcMar>
            <w:vAlign w:val="center"/>
            <w:hideMark/>
          </w:tcPr>
          <w:p w14:paraId="3C9AC2A2" w14:textId="77777777" w:rsidR="00FB0D92" w:rsidRPr="003E4C57" w:rsidRDefault="00FB0D92" w:rsidP="00B648EF">
            <w:pPr>
              <w:spacing w:line="276" w:lineRule="auto"/>
              <w:jc w:val="center"/>
              <w:rPr>
                <w:b/>
                <w:bCs/>
                <w:sz w:val="20"/>
                <w:szCs w:val="20"/>
              </w:rPr>
            </w:pPr>
            <w:r w:rsidRPr="003E4C57">
              <w:rPr>
                <w:b/>
                <w:bCs/>
                <w:sz w:val="20"/>
                <w:szCs w:val="20"/>
              </w:rPr>
              <w:t>1.40</w:t>
            </w:r>
            <w:r w:rsidRPr="003E4C57">
              <w:rPr>
                <w:b/>
                <w:bCs/>
                <w:sz w:val="20"/>
                <w:szCs w:val="20"/>
              </w:rPr>
              <w:br/>
              <w:t>(1.22 – 1.59)</w:t>
            </w:r>
          </w:p>
        </w:tc>
        <w:tc>
          <w:tcPr>
            <w:tcW w:w="0" w:type="auto"/>
            <w:tcMar>
              <w:top w:w="17" w:type="dxa"/>
              <w:left w:w="17" w:type="dxa"/>
              <w:bottom w:w="17" w:type="dxa"/>
              <w:right w:w="17" w:type="dxa"/>
            </w:tcMar>
            <w:vAlign w:val="center"/>
            <w:hideMark/>
          </w:tcPr>
          <w:p w14:paraId="18299ED0" w14:textId="77777777" w:rsidR="00FB0D92" w:rsidRPr="003E4C57" w:rsidRDefault="00FB0D92" w:rsidP="00B648EF">
            <w:pPr>
              <w:spacing w:line="276" w:lineRule="auto"/>
              <w:jc w:val="center"/>
              <w:rPr>
                <w:b/>
                <w:bCs/>
                <w:sz w:val="20"/>
                <w:szCs w:val="20"/>
              </w:rPr>
            </w:pPr>
            <w:r w:rsidRPr="003E4C57">
              <w:rPr>
                <w:b/>
                <w:bCs/>
                <w:sz w:val="20"/>
                <w:szCs w:val="20"/>
              </w:rPr>
              <w:t>1.35</w:t>
            </w:r>
            <w:r w:rsidRPr="003E4C57">
              <w:rPr>
                <w:b/>
                <w:bCs/>
                <w:sz w:val="20"/>
                <w:szCs w:val="20"/>
              </w:rPr>
              <w:br/>
              <w:t>(1.18 – 1.55)</w:t>
            </w:r>
          </w:p>
        </w:tc>
        <w:tc>
          <w:tcPr>
            <w:tcW w:w="0" w:type="auto"/>
            <w:tcMar>
              <w:top w:w="17" w:type="dxa"/>
              <w:left w:w="17" w:type="dxa"/>
              <w:bottom w:w="17" w:type="dxa"/>
              <w:right w:w="17" w:type="dxa"/>
            </w:tcMar>
            <w:vAlign w:val="center"/>
            <w:hideMark/>
          </w:tcPr>
          <w:p w14:paraId="0FBE62DD" w14:textId="77777777" w:rsidR="00FB0D92" w:rsidRPr="003E4C57" w:rsidRDefault="00FB0D92" w:rsidP="00B648EF">
            <w:pPr>
              <w:spacing w:line="276" w:lineRule="auto"/>
              <w:jc w:val="center"/>
              <w:rPr>
                <w:b/>
                <w:bCs/>
                <w:sz w:val="20"/>
                <w:szCs w:val="20"/>
              </w:rPr>
            </w:pPr>
            <w:r w:rsidRPr="003E4C57">
              <w:rPr>
                <w:b/>
                <w:bCs/>
                <w:sz w:val="20"/>
                <w:szCs w:val="20"/>
              </w:rPr>
              <w:t>1.35</w:t>
            </w:r>
            <w:r w:rsidRPr="003E4C57">
              <w:rPr>
                <w:b/>
                <w:bCs/>
                <w:sz w:val="20"/>
                <w:szCs w:val="20"/>
              </w:rPr>
              <w:br/>
              <w:t>(1.18 – 1.54)</w:t>
            </w:r>
          </w:p>
        </w:tc>
      </w:tr>
      <w:tr w:rsidR="00FB0D92" w:rsidRPr="003E4C57" w14:paraId="0FA9DFC6" w14:textId="77777777" w:rsidTr="00B648EF">
        <w:tc>
          <w:tcPr>
            <w:tcW w:w="0" w:type="auto"/>
            <w:tcMar>
              <w:top w:w="17" w:type="dxa"/>
              <w:left w:w="17" w:type="dxa"/>
              <w:bottom w:w="17" w:type="dxa"/>
              <w:right w:w="17" w:type="dxa"/>
            </w:tcMar>
            <w:vAlign w:val="center"/>
            <w:hideMark/>
          </w:tcPr>
          <w:p w14:paraId="511FC435" w14:textId="77777777" w:rsidR="00FB0D92" w:rsidRPr="003E4C57" w:rsidRDefault="00FB0D92" w:rsidP="00B648EF">
            <w:pPr>
              <w:spacing w:line="276" w:lineRule="auto"/>
              <w:rPr>
                <w:sz w:val="20"/>
                <w:szCs w:val="20"/>
              </w:rPr>
            </w:pPr>
            <w:r w:rsidRPr="003E4C57">
              <w:rPr>
                <w:sz w:val="20"/>
                <w:szCs w:val="20"/>
              </w:rPr>
              <w:t xml:space="preserve">education </w:t>
            </w:r>
            <w:proofErr w:type="spellStart"/>
            <w:r w:rsidRPr="003E4C57">
              <w:rPr>
                <w:sz w:val="20"/>
                <w:szCs w:val="20"/>
              </w:rPr>
              <w:t>centered</w:t>
            </w:r>
            <w:proofErr w:type="spellEnd"/>
          </w:p>
        </w:tc>
        <w:tc>
          <w:tcPr>
            <w:tcW w:w="0" w:type="auto"/>
            <w:tcMar>
              <w:top w:w="17" w:type="dxa"/>
              <w:left w:w="17" w:type="dxa"/>
              <w:bottom w:w="17" w:type="dxa"/>
              <w:right w:w="17" w:type="dxa"/>
            </w:tcMar>
            <w:vAlign w:val="center"/>
            <w:hideMark/>
          </w:tcPr>
          <w:p w14:paraId="4AB7157F" w14:textId="77777777" w:rsidR="00FB0D92" w:rsidRPr="003E4C57" w:rsidRDefault="00FB0D92" w:rsidP="00B648EF">
            <w:pPr>
              <w:spacing w:line="276" w:lineRule="auto"/>
              <w:rPr>
                <w:sz w:val="20"/>
                <w:szCs w:val="20"/>
              </w:rPr>
            </w:pPr>
          </w:p>
        </w:tc>
        <w:tc>
          <w:tcPr>
            <w:tcW w:w="0" w:type="auto"/>
            <w:tcMar>
              <w:top w:w="17" w:type="dxa"/>
              <w:left w:w="17" w:type="dxa"/>
              <w:bottom w:w="17" w:type="dxa"/>
              <w:right w:w="17" w:type="dxa"/>
            </w:tcMar>
            <w:vAlign w:val="center"/>
            <w:hideMark/>
          </w:tcPr>
          <w:p w14:paraId="6CC086B8" w14:textId="77777777" w:rsidR="00FB0D92" w:rsidRPr="003E4C57" w:rsidRDefault="00FB0D92" w:rsidP="00B648EF">
            <w:pPr>
              <w:spacing w:line="276" w:lineRule="auto"/>
              <w:jc w:val="center"/>
              <w:rPr>
                <w:b/>
                <w:bCs/>
                <w:sz w:val="20"/>
                <w:szCs w:val="20"/>
              </w:rPr>
            </w:pPr>
            <w:r w:rsidRPr="003E4C57">
              <w:rPr>
                <w:b/>
                <w:bCs/>
                <w:sz w:val="20"/>
                <w:szCs w:val="20"/>
              </w:rPr>
              <w:t>1.05</w:t>
            </w:r>
            <w:r w:rsidRPr="003E4C57">
              <w:rPr>
                <w:b/>
                <w:bCs/>
                <w:sz w:val="20"/>
                <w:szCs w:val="20"/>
              </w:rPr>
              <w:br/>
              <w:t>(1.01 – 1.09)</w:t>
            </w:r>
          </w:p>
        </w:tc>
        <w:tc>
          <w:tcPr>
            <w:tcW w:w="0" w:type="auto"/>
            <w:tcMar>
              <w:top w:w="17" w:type="dxa"/>
              <w:left w:w="17" w:type="dxa"/>
              <w:bottom w:w="17" w:type="dxa"/>
              <w:right w:w="17" w:type="dxa"/>
            </w:tcMar>
            <w:vAlign w:val="center"/>
            <w:hideMark/>
          </w:tcPr>
          <w:p w14:paraId="30FD3C07" w14:textId="77777777" w:rsidR="00FB0D92" w:rsidRPr="003E4C57" w:rsidRDefault="00FB0D92" w:rsidP="00B648EF">
            <w:pPr>
              <w:spacing w:line="276" w:lineRule="auto"/>
              <w:jc w:val="center"/>
              <w:rPr>
                <w:b/>
                <w:bCs/>
                <w:sz w:val="20"/>
                <w:szCs w:val="20"/>
              </w:rPr>
            </w:pPr>
            <w:r w:rsidRPr="003E4C57">
              <w:rPr>
                <w:b/>
                <w:bCs/>
                <w:sz w:val="20"/>
                <w:szCs w:val="20"/>
              </w:rPr>
              <w:t>1.05</w:t>
            </w:r>
            <w:r w:rsidRPr="003E4C57">
              <w:rPr>
                <w:b/>
                <w:bCs/>
                <w:sz w:val="20"/>
                <w:szCs w:val="20"/>
              </w:rPr>
              <w:br/>
              <w:t>(1.00 – 1.09)</w:t>
            </w:r>
          </w:p>
        </w:tc>
        <w:tc>
          <w:tcPr>
            <w:tcW w:w="0" w:type="auto"/>
            <w:tcMar>
              <w:top w:w="17" w:type="dxa"/>
              <w:left w:w="17" w:type="dxa"/>
              <w:bottom w:w="17" w:type="dxa"/>
              <w:right w:w="17" w:type="dxa"/>
            </w:tcMar>
            <w:vAlign w:val="center"/>
            <w:hideMark/>
          </w:tcPr>
          <w:p w14:paraId="7DF4A3B1" w14:textId="77777777" w:rsidR="00FB0D92" w:rsidRPr="003E4C57" w:rsidRDefault="00FB0D92" w:rsidP="00B648EF">
            <w:pPr>
              <w:spacing w:line="276" w:lineRule="auto"/>
              <w:jc w:val="center"/>
              <w:rPr>
                <w:b/>
                <w:bCs/>
                <w:sz w:val="20"/>
                <w:szCs w:val="20"/>
              </w:rPr>
            </w:pPr>
          </w:p>
        </w:tc>
        <w:tc>
          <w:tcPr>
            <w:tcW w:w="0" w:type="auto"/>
            <w:tcMar>
              <w:top w:w="17" w:type="dxa"/>
              <w:left w:w="17" w:type="dxa"/>
              <w:bottom w:w="17" w:type="dxa"/>
              <w:right w:w="17" w:type="dxa"/>
            </w:tcMar>
            <w:vAlign w:val="center"/>
            <w:hideMark/>
          </w:tcPr>
          <w:p w14:paraId="2D38C49F" w14:textId="77777777" w:rsidR="00FB0D92" w:rsidRPr="003E4C57" w:rsidRDefault="00FB0D92" w:rsidP="00B648EF">
            <w:pPr>
              <w:spacing w:line="276" w:lineRule="auto"/>
              <w:jc w:val="center"/>
              <w:rPr>
                <w:b/>
                <w:bCs/>
                <w:sz w:val="20"/>
                <w:szCs w:val="20"/>
              </w:rPr>
            </w:pPr>
            <w:r w:rsidRPr="003E4C57">
              <w:rPr>
                <w:b/>
                <w:bCs/>
                <w:sz w:val="20"/>
                <w:szCs w:val="20"/>
              </w:rPr>
              <w:t>1.29</w:t>
            </w:r>
            <w:r w:rsidRPr="003E4C57">
              <w:rPr>
                <w:b/>
                <w:bCs/>
                <w:sz w:val="20"/>
                <w:szCs w:val="20"/>
              </w:rPr>
              <w:br/>
              <w:t>(1.23 – 1.36)</w:t>
            </w:r>
          </w:p>
        </w:tc>
        <w:tc>
          <w:tcPr>
            <w:tcW w:w="0" w:type="auto"/>
            <w:tcMar>
              <w:top w:w="17" w:type="dxa"/>
              <w:left w:w="17" w:type="dxa"/>
              <w:bottom w:w="17" w:type="dxa"/>
              <w:right w:w="17" w:type="dxa"/>
            </w:tcMar>
            <w:vAlign w:val="center"/>
            <w:hideMark/>
          </w:tcPr>
          <w:p w14:paraId="75DBE33F" w14:textId="77777777" w:rsidR="00FB0D92" w:rsidRPr="003E4C57" w:rsidRDefault="00FB0D92" w:rsidP="00B648EF">
            <w:pPr>
              <w:spacing w:line="276" w:lineRule="auto"/>
              <w:jc w:val="center"/>
              <w:rPr>
                <w:b/>
                <w:bCs/>
                <w:sz w:val="20"/>
                <w:szCs w:val="20"/>
              </w:rPr>
            </w:pPr>
            <w:r w:rsidRPr="003E4C57">
              <w:rPr>
                <w:b/>
                <w:bCs/>
                <w:sz w:val="20"/>
                <w:szCs w:val="20"/>
              </w:rPr>
              <w:t>1.29</w:t>
            </w:r>
            <w:r w:rsidRPr="003E4C57">
              <w:rPr>
                <w:b/>
                <w:bCs/>
                <w:sz w:val="20"/>
                <w:szCs w:val="20"/>
              </w:rPr>
              <w:br/>
              <w:t>(1.23 – 1.36)</w:t>
            </w:r>
          </w:p>
        </w:tc>
      </w:tr>
      <w:tr w:rsidR="00FB0D92" w:rsidRPr="003E4C57" w14:paraId="7F52C59C" w14:textId="77777777" w:rsidTr="00B648EF">
        <w:tc>
          <w:tcPr>
            <w:tcW w:w="0" w:type="auto"/>
            <w:tcMar>
              <w:top w:w="17" w:type="dxa"/>
              <w:left w:w="17" w:type="dxa"/>
              <w:bottom w:w="17" w:type="dxa"/>
              <w:right w:w="17" w:type="dxa"/>
            </w:tcMar>
            <w:vAlign w:val="center"/>
            <w:hideMark/>
          </w:tcPr>
          <w:p w14:paraId="02FA7A63" w14:textId="77777777" w:rsidR="00FB0D92" w:rsidRPr="003E4C57" w:rsidRDefault="00FB0D92" w:rsidP="00B648EF">
            <w:pPr>
              <w:spacing w:line="276" w:lineRule="auto"/>
              <w:rPr>
                <w:sz w:val="20"/>
                <w:szCs w:val="20"/>
              </w:rPr>
            </w:pPr>
            <w:r w:rsidRPr="003E4C57">
              <w:rPr>
                <w:sz w:val="20"/>
                <w:szCs w:val="20"/>
              </w:rPr>
              <w:t>experienced poverty log</w:t>
            </w:r>
            <w:r w:rsidRPr="003E4C57">
              <w:rPr>
                <w:sz w:val="20"/>
                <w:szCs w:val="20"/>
              </w:rPr>
              <w:br/>
            </w:r>
            <w:proofErr w:type="spellStart"/>
            <w:r w:rsidRPr="003E4C57">
              <w:rPr>
                <w:sz w:val="20"/>
                <w:szCs w:val="20"/>
              </w:rPr>
              <w:t>centered</w:t>
            </w:r>
            <w:proofErr w:type="spellEnd"/>
          </w:p>
        </w:tc>
        <w:tc>
          <w:tcPr>
            <w:tcW w:w="0" w:type="auto"/>
            <w:tcMar>
              <w:top w:w="17" w:type="dxa"/>
              <w:left w:w="17" w:type="dxa"/>
              <w:bottom w:w="17" w:type="dxa"/>
              <w:right w:w="17" w:type="dxa"/>
            </w:tcMar>
            <w:vAlign w:val="center"/>
            <w:hideMark/>
          </w:tcPr>
          <w:p w14:paraId="5E35D811" w14:textId="77777777" w:rsidR="00FB0D92" w:rsidRPr="003E4C57" w:rsidRDefault="00FB0D92" w:rsidP="00B648EF">
            <w:pPr>
              <w:spacing w:line="276" w:lineRule="auto"/>
              <w:rPr>
                <w:sz w:val="20"/>
                <w:szCs w:val="20"/>
              </w:rPr>
            </w:pPr>
          </w:p>
        </w:tc>
        <w:tc>
          <w:tcPr>
            <w:tcW w:w="0" w:type="auto"/>
            <w:tcMar>
              <w:top w:w="17" w:type="dxa"/>
              <w:left w:w="17" w:type="dxa"/>
              <w:bottom w:w="17" w:type="dxa"/>
              <w:right w:w="17" w:type="dxa"/>
            </w:tcMar>
            <w:vAlign w:val="center"/>
            <w:hideMark/>
          </w:tcPr>
          <w:p w14:paraId="52AEF58B" w14:textId="77777777" w:rsidR="00FB0D92" w:rsidRPr="003E4C57" w:rsidRDefault="00FB0D92" w:rsidP="00B648EF">
            <w:pPr>
              <w:spacing w:line="276" w:lineRule="auto"/>
              <w:jc w:val="center"/>
              <w:rPr>
                <w:sz w:val="20"/>
                <w:szCs w:val="20"/>
              </w:rPr>
            </w:pPr>
            <w:r w:rsidRPr="003E4C57">
              <w:rPr>
                <w:sz w:val="20"/>
                <w:szCs w:val="20"/>
              </w:rPr>
              <w:t>0.96</w:t>
            </w:r>
            <w:r w:rsidRPr="003E4C57">
              <w:rPr>
                <w:sz w:val="20"/>
                <w:szCs w:val="20"/>
              </w:rPr>
              <w:br/>
              <w:t>(0.92 – 1.00)</w:t>
            </w:r>
          </w:p>
        </w:tc>
        <w:tc>
          <w:tcPr>
            <w:tcW w:w="0" w:type="auto"/>
            <w:tcMar>
              <w:top w:w="17" w:type="dxa"/>
              <w:left w:w="17" w:type="dxa"/>
              <w:bottom w:w="17" w:type="dxa"/>
              <w:right w:w="17" w:type="dxa"/>
            </w:tcMar>
            <w:vAlign w:val="center"/>
            <w:hideMark/>
          </w:tcPr>
          <w:p w14:paraId="1D0EBF86" w14:textId="77777777" w:rsidR="00FB0D92" w:rsidRPr="003E4C57" w:rsidRDefault="00FB0D92" w:rsidP="00B648EF">
            <w:pPr>
              <w:spacing w:line="276" w:lineRule="auto"/>
              <w:jc w:val="center"/>
              <w:rPr>
                <w:sz w:val="20"/>
                <w:szCs w:val="20"/>
              </w:rPr>
            </w:pPr>
            <w:r w:rsidRPr="003E4C57">
              <w:rPr>
                <w:sz w:val="20"/>
                <w:szCs w:val="20"/>
              </w:rPr>
              <w:t>0.96</w:t>
            </w:r>
            <w:r w:rsidRPr="003E4C57">
              <w:rPr>
                <w:sz w:val="20"/>
                <w:szCs w:val="20"/>
              </w:rPr>
              <w:br/>
              <w:t>(0.93 – 1.00)</w:t>
            </w:r>
          </w:p>
        </w:tc>
        <w:tc>
          <w:tcPr>
            <w:tcW w:w="0" w:type="auto"/>
            <w:tcMar>
              <w:top w:w="17" w:type="dxa"/>
              <w:left w:w="17" w:type="dxa"/>
              <w:bottom w:w="17" w:type="dxa"/>
              <w:right w:w="17" w:type="dxa"/>
            </w:tcMar>
            <w:vAlign w:val="center"/>
            <w:hideMark/>
          </w:tcPr>
          <w:p w14:paraId="59D62BFA" w14:textId="77777777" w:rsidR="00FB0D92" w:rsidRPr="003E4C57" w:rsidRDefault="00FB0D92" w:rsidP="00B648EF">
            <w:pPr>
              <w:spacing w:line="276" w:lineRule="auto"/>
              <w:jc w:val="center"/>
              <w:rPr>
                <w:sz w:val="20"/>
                <w:szCs w:val="20"/>
              </w:rPr>
            </w:pPr>
          </w:p>
        </w:tc>
        <w:tc>
          <w:tcPr>
            <w:tcW w:w="0" w:type="auto"/>
            <w:tcMar>
              <w:top w:w="17" w:type="dxa"/>
              <w:left w:w="17" w:type="dxa"/>
              <w:bottom w:w="17" w:type="dxa"/>
              <w:right w:w="17" w:type="dxa"/>
            </w:tcMar>
            <w:vAlign w:val="center"/>
            <w:hideMark/>
          </w:tcPr>
          <w:p w14:paraId="08620DC9" w14:textId="77777777" w:rsidR="00FB0D92" w:rsidRPr="003E4C57" w:rsidRDefault="00FB0D92" w:rsidP="00B648EF">
            <w:pPr>
              <w:spacing w:line="276" w:lineRule="auto"/>
              <w:jc w:val="center"/>
              <w:rPr>
                <w:b/>
                <w:bCs/>
                <w:sz w:val="20"/>
                <w:szCs w:val="20"/>
              </w:rPr>
            </w:pPr>
            <w:r w:rsidRPr="003E4C57">
              <w:rPr>
                <w:b/>
                <w:bCs/>
                <w:sz w:val="20"/>
                <w:szCs w:val="20"/>
              </w:rPr>
              <w:t>1.24</w:t>
            </w:r>
            <w:r w:rsidRPr="003E4C57">
              <w:rPr>
                <w:b/>
                <w:bCs/>
                <w:sz w:val="20"/>
                <w:szCs w:val="20"/>
              </w:rPr>
              <w:br/>
              <w:t>(1.19 – 1.30)</w:t>
            </w:r>
          </w:p>
        </w:tc>
        <w:tc>
          <w:tcPr>
            <w:tcW w:w="0" w:type="auto"/>
            <w:tcMar>
              <w:top w:w="17" w:type="dxa"/>
              <w:left w:w="17" w:type="dxa"/>
              <w:bottom w:w="17" w:type="dxa"/>
              <w:right w:w="17" w:type="dxa"/>
            </w:tcMar>
            <w:vAlign w:val="center"/>
            <w:hideMark/>
          </w:tcPr>
          <w:p w14:paraId="34B78414" w14:textId="77777777" w:rsidR="00FB0D92" w:rsidRPr="003E4C57" w:rsidRDefault="00FB0D92" w:rsidP="00B648EF">
            <w:pPr>
              <w:spacing w:line="276" w:lineRule="auto"/>
              <w:jc w:val="center"/>
              <w:rPr>
                <w:b/>
                <w:bCs/>
                <w:sz w:val="20"/>
                <w:szCs w:val="20"/>
              </w:rPr>
            </w:pPr>
            <w:r w:rsidRPr="003E4C57">
              <w:rPr>
                <w:b/>
                <w:bCs/>
                <w:sz w:val="20"/>
                <w:szCs w:val="20"/>
              </w:rPr>
              <w:t>1.24</w:t>
            </w:r>
            <w:r w:rsidRPr="003E4C57">
              <w:rPr>
                <w:b/>
                <w:bCs/>
                <w:sz w:val="20"/>
                <w:szCs w:val="20"/>
              </w:rPr>
              <w:br/>
              <w:t>(1.19 – 1.30)</w:t>
            </w:r>
          </w:p>
        </w:tc>
      </w:tr>
      <w:tr w:rsidR="00FB0D92" w:rsidRPr="003E4C57" w14:paraId="6D45C69F" w14:textId="77777777" w:rsidTr="00B648EF">
        <w:tc>
          <w:tcPr>
            <w:tcW w:w="0" w:type="auto"/>
            <w:tcMar>
              <w:top w:w="17" w:type="dxa"/>
              <w:left w:w="17" w:type="dxa"/>
              <w:bottom w:w="17" w:type="dxa"/>
              <w:right w:w="17" w:type="dxa"/>
            </w:tcMar>
            <w:vAlign w:val="center"/>
            <w:hideMark/>
          </w:tcPr>
          <w:p w14:paraId="2573E36A" w14:textId="77777777" w:rsidR="00FB0D92" w:rsidRPr="003E4C57" w:rsidRDefault="00FB0D92" w:rsidP="00B648EF">
            <w:pPr>
              <w:spacing w:line="276" w:lineRule="auto"/>
              <w:rPr>
                <w:sz w:val="20"/>
                <w:szCs w:val="20"/>
              </w:rPr>
            </w:pPr>
            <w:r w:rsidRPr="003E4C57">
              <w:rPr>
                <w:sz w:val="20"/>
                <w:szCs w:val="20"/>
              </w:rPr>
              <w:t>employment status</w:t>
            </w:r>
            <w:r w:rsidRPr="003E4C57">
              <w:rPr>
                <w:sz w:val="20"/>
                <w:szCs w:val="20"/>
              </w:rPr>
              <w:br/>
            </w:r>
            <w:proofErr w:type="spellStart"/>
            <w:r w:rsidRPr="003E4C57">
              <w:rPr>
                <w:sz w:val="20"/>
                <w:szCs w:val="20"/>
              </w:rPr>
              <w:t>centered</w:t>
            </w:r>
            <w:proofErr w:type="spellEnd"/>
          </w:p>
        </w:tc>
        <w:tc>
          <w:tcPr>
            <w:tcW w:w="0" w:type="auto"/>
            <w:tcMar>
              <w:top w:w="17" w:type="dxa"/>
              <w:left w:w="17" w:type="dxa"/>
              <w:bottom w:w="17" w:type="dxa"/>
              <w:right w:w="17" w:type="dxa"/>
            </w:tcMar>
            <w:vAlign w:val="center"/>
            <w:hideMark/>
          </w:tcPr>
          <w:p w14:paraId="69E82901" w14:textId="77777777" w:rsidR="00FB0D92" w:rsidRPr="003E4C57" w:rsidRDefault="00FB0D92" w:rsidP="00B648EF">
            <w:pPr>
              <w:spacing w:line="276" w:lineRule="auto"/>
              <w:rPr>
                <w:sz w:val="20"/>
                <w:szCs w:val="20"/>
              </w:rPr>
            </w:pPr>
          </w:p>
        </w:tc>
        <w:tc>
          <w:tcPr>
            <w:tcW w:w="0" w:type="auto"/>
            <w:tcMar>
              <w:top w:w="17" w:type="dxa"/>
              <w:left w:w="17" w:type="dxa"/>
              <w:bottom w:w="17" w:type="dxa"/>
              <w:right w:w="17" w:type="dxa"/>
            </w:tcMar>
            <w:vAlign w:val="center"/>
            <w:hideMark/>
          </w:tcPr>
          <w:p w14:paraId="0A7A00DB" w14:textId="77777777" w:rsidR="00FB0D92" w:rsidRPr="003E4C57" w:rsidRDefault="00FB0D92" w:rsidP="00B648EF">
            <w:pPr>
              <w:spacing w:line="276" w:lineRule="auto"/>
              <w:jc w:val="center"/>
              <w:rPr>
                <w:b/>
                <w:bCs/>
                <w:sz w:val="20"/>
                <w:szCs w:val="20"/>
              </w:rPr>
            </w:pPr>
            <w:r w:rsidRPr="003E4C57">
              <w:rPr>
                <w:b/>
                <w:bCs/>
                <w:sz w:val="20"/>
                <w:szCs w:val="20"/>
              </w:rPr>
              <w:t>1.04</w:t>
            </w:r>
            <w:r w:rsidRPr="003E4C57">
              <w:rPr>
                <w:b/>
                <w:bCs/>
                <w:sz w:val="20"/>
                <w:szCs w:val="20"/>
              </w:rPr>
              <w:br/>
              <w:t>(1.01 – 1.08)</w:t>
            </w:r>
          </w:p>
        </w:tc>
        <w:tc>
          <w:tcPr>
            <w:tcW w:w="0" w:type="auto"/>
            <w:tcMar>
              <w:top w:w="17" w:type="dxa"/>
              <w:left w:w="17" w:type="dxa"/>
              <w:bottom w:w="17" w:type="dxa"/>
              <w:right w:w="17" w:type="dxa"/>
            </w:tcMar>
            <w:vAlign w:val="center"/>
            <w:hideMark/>
          </w:tcPr>
          <w:p w14:paraId="057F7DD8" w14:textId="77777777" w:rsidR="00FB0D92" w:rsidRPr="003E4C57" w:rsidRDefault="00FB0D92" w:rsidP="00B648EF">
            <w:pPr>
              <w:spacing w:line="276" w:lineRule="auto"/>
              <w:jc w:val="center"/>
              <w:rPr>
                <w:b/>
                <w:bCs/>
                <w:sz w:val="20"/>
                <w:szCs w:val="20"/>
              </w:rPr>
            </w:pPr>
            <w:r w:rsidRPr="003E4C57">
              <w:rPr>
                <w:b/>
                <w:bCs/>
                <w:sz w:val="20"/>
                <w:szCs w:val="20"/>
              </w:rPr>
              <w:t>1.04</w:t>
            </w:r>
            <w:r w:rsidRPr="003E4C57">
              <w:rPr>
                <w:b/>
                <w:bCs/>
                <w:sz w:val="20"/>
                <w:szCs w:val="20"/>
              </w:rPr>
              <w:br/>
              <w:t>(1.01 – 1.08)</w:t>
            </w:r>
          </w:p>
        </w:tc>
        <w:tc>
          <w:tcPr>
            <w:tcW w:w="0" w:type="auto"/>
            <w:tcMar>
              <w:top w:w="17" w:type="dxa"/>
              <w:left w:w="17" w:type="dxa"/>
              <w:bottom w:w="17" w:type="dxa"/>
              <w:right w:w="17" w:type="dxa"/>
            </w:tcMar>
            <w:vAlign w:val="center"/>
            <w:hideMark/>
          </w:tcPr>
          <w:p w14:paraId="070B885C" w14:textId="77777777" w:rsidR="00FB0D92" w:rsidRPr="003E4C57" w:rsidRDefault="00FB0D92" w:rsidP="00B648EF">
            <w:pPr>
              <w:spacing w:line="276" w:lineRule="auto"/>
              <w:jc w:val="center"/>
              <w:rPr>
                <w:sz w:val="20"/>
                <w:szCs w:val="20"/>
              </w:rPr>
            </w:pPr>
          </w:p>
        </w:tc>
        <w:tc>
          <w:tcPr>
            <w:tcW w:w="0" w:type="auto"/>
            <w:tcMar>
              <w:top w:w="17" w:type="dxa"/>
              <w:left w:w="17" w:type="dxa"/>
              <w:bottom w:w="17" w:type="dxa"/>
              <w:right w:w="17" w:type="dxa"/>
            </w:tcMar>
            <w:vAlign w:val="center"/>
            <w:hideMark/>
          </w:tcPr>
          <w:p w14:paraId="607AF06F" w14:textId="77777777" w:rsidR="00FB0D92" w:rsidRPr="003E4C57" w:rsidRDefault="00FB0D92" w:rsidP="00B648EF">
            <w:pPr>
              <w:spacing w:line="276" w:lineRule="auto"/>
              <w:jc w:val="center"/>
              <w:rPr>
                <w:sz w:val="20"/>
                <w:szCs w:val="20"/>
              </w:rPr>
            </w:pPr>
            <w:r w:rsidRPr="003E4C57">
              <w:rPr>
                <w:sz w:val="20"/>
                <w:szCs w:val="20"/>
              </w:rPr>
              <w:t>0.98</w:t>
            </w:r>
            <w:r w:rsidRPr="003E4C57">
              <w:rPr>
                <w:sz w:val="20"/>
                <w:szCs w:val="20"/>
              </w:rPr>
              <w:br/>
              <w:t>(0.93 – 1.02)</w:t>
            </w:r>
          </w:p>
        </w:tc>
        <w:tc>
          <w:tcPr>
            <w:tcW w:w="0" w:type="auto"/>
            <w:tcMar>
              <w:top w:w="17" w:type="dxa"/>
              <w:left w:w="17" w:type="dxa"/>
              <w:bottom w:w="17" w:type="dxa"/>
              <w:right w:w="17" w:type="dxa"/>
            </w:tcMar>
            <w:vAlign w:val="center"/>
            <w:hideMark/>
          </w:tcPr>
          <w:p w14:paraId="6766C94F" w14:textId="77777777" w:rsidR="00FB0D92" w:rsidRPr="003E4C57" w:rsidRDefault="00FB0D92" w:rsidP="00B648EF">
            <w:pPr>
              <w:spacing w:line="276" w:lineRule="auto"/>
              <w:jc w:val="center"/>
              <w:rPr>
                <w:sz w:val="20"/>
                <w:szCs w:val="20"/>
              </w:rPr>
            </w:pPr>
            <w:r w:rsidRPr="003E4C57">
              <w:rPr>
                <w:sz w:val="20"/>
                <w:szCs w:val="20"/>
              </w:rPr>
              <w:t>0.98</w:t>
            </w:r>
            <w:r w:rsidRPr="003E4C57">
              <w:rPr>
                <w:sz w:val="20"/>
                <w:szCs w:val="20"/>
              </w:rPr>
              <w:br/>
              <w:t>(0.93 – 1.02)</w:t>
            </w:r>
          </w:p>
        </w:tc>
      </w:tr>
      <w:tr w:rsidR="00FB0D92" w:rsidRPr="003E4C57" w14:paraId="01115A53" w14:textId="77777777" w:rsidTr="00B648EF">
        <w:tc>
          <w:tcPr>
            <w:tcW w:w="0" w:type="auto"/>
            <w:tcMar>
              <w:top w:w="17" w:type="dxa"/>
              <w:left w:w="17" w:type="dxa"/>
              <w:bottom w:w="17" w:type="dxa"/>
              <w:right w:w="17" w:type="dxa"/>
            </w:tcMar>
            <w:vAlign w:val="center"/>
            <w:hideMark/>
          </w:tcPr>
          <w:p w14:paraId="28E1A352" w14:textId="77777777" w:rsidR="00FB0D92" w:rsidRPr="003E4C57" w:rsidRDefault="00FB0D92" w:rsidP="00B648EF">
            <w:pPr>
              <w:spacing w:line="276" w:lineRule="auto"/>
              <w:rPr>
                <w:sz w:val="20"/>
                <w:szCs w:val="20"/>
              </w:rPr>
            </w:pPr>
            <w:r w:rsidRPr="003E4C57">
              <w:rPr>
                <w:sz w:val="20"/>
                <w:szCs w:val="20"/>
              </w:rPr>
              <w:t>education mean</w:t>
            </w:r>
          </w:p>
        </w:tc>
        <w:tc>
          <w:tcPr>
            <w:tcW w:w="0" w:type="auto"/>
            <w:tcMar>
              <w:top w:w="17" w:type="dxa"/>
              <w:left w:w="17" w:type="dxa"/>
              <w:bottom w:w="17" w:type="dxa"/>
              <w:right w:w="17" w:type="dxa"/>
            </w:tcMar>
            <w:vAlign w:val="center"/>
            <w:hideMark/>
          </w:tcPr>
          <w:p w14:paraId="7343474B" w14:textId="77777777" w:rsidR="00FB0D92" w:rsidRPr="003E4C57" w:rsidRDefault="00FB0D92" w:rsidP="00B648EF">
            <w:pPr>
              <w:spacing w:line="276" w:lineRule="auto"/>
              <w:rPr>
                <w:sz w:val="20"/>
                <w:szCs w:val="20"/>
              </w:rPr>
            </w:pPr>
          </w:p>
        </w:tc>
        <w:tc>
          <w:tcPr>
            <w:tcW w:w="0" w:type="auto"/>
            <w:tcMar>
              <w:top w:w="17" w:type="dxa"/>
              <w:left w:w="17" w:type="dxa"/>
              <w:bottom w:w="17" w:type="dxa"/>
              <w:right w:w="17" w:type="dxa"/>
            </w:tcMar>
            <w:vAlign w:val="center"/>
            <w:hideMark/>
          </w:tcPr>
          <w:p w14:paraId="77130586" w14:textId="77777777" w:rsidR="00FB0D92" w:rsidRPr="003E4C57" w:rsidRDefault="00FB0D92" w:rsidP="00B648EF">
            <w:pPr>
              <w:spacing w:line="276" w:lineRule="auto"/>
              <w:jc w:val="center"/>
              <w:rPr>
                <w:sz w:val="20"/>
                <w:szCs w:val="20"/>
              </w:rPr>
            </w:pPr>
            <w:r w:rsidRPr="003E4C57">
              <w:rPr>
                <w:sz w:val="20"/>
                <w:szCs w:val="20"/>
              </w:rPr>
              <w:t>0.92</w:t>
            </w:r>
            <w:r w:rsidRPr="003E4C57">
              <w:rPr>
                <w:sz w:val="20"/>
                <w:szCs w:val="20"/>
              </w:rPr>
              <w:br/>
              <w:t>(0.84 – 1.00)</w:t>
            </w:r>
          </w:p>
        </w:tc>
        <w:tc>
          <w:tcPr>
            <w:tcW w:w="0" w:type="auto"/>
            <w:tcMar>
              <w:top w:w="17" w:type="dxa"/>
              <w:left w:w="17" w:type="dxa"/>
              <w:bottom w:w="17" w:type="dxa"/>
              <w:right w:w="17" w:type="dxa"/>
            </w:tcMar>
            <w:vAlign w:val="center"/>
            <w:hideMark/>
          </w:tcPr>
          <w:p w14:paraId="2FC7DA7F" w14:textId="77777777" w:rsidR="00FB0D92" w:rsidRPr="003E4C57" w:rsidRDefault="00FB0D92" w:rsidP="00B648EF">
            <w:pPr>
              <w:spacing w:line="276" w:lineRule="auto"/>
              <w:jc w:val="center"/>
              <w:rPr>
                <w:sz w:val="20"/>
                <w:szCs w:val="20"/>
              </w:rPr>
            </w:pPr>
            <w:r w:rsidRPr="003E4C57">
              <w:rPr>
                <w:sz w:val="20"/>
                <w:szCs w:val="20"/>
              </w:rPr>
              <w:t>0.92</w:t>
            </w:r>
            <w:r w:rsidRPr="003E4C57">
              <w:rPr>
                <w:sz w:val="20"/>
                <w:szCs w:val="20"/>
              </w:rPr>
              <w:br/>
              <w:t>(0.85 – 1.00)</w:t>
            </w:r>
          </w:p>
        </w:tc>
        <w:tc>
          <w:tcPr>
            <w:tcW w:w="0" w:type="auto"/>
            <w:tcMar>
              <w:top w:w="17" w:type="dxa"/>
              <w:left w:w="17" w:type="dxa"/>
              <w:bottom w:w="17" w:type="dxa"/>
              <w:right w:w="17" w:type="dxa"/>
            </w:tcMar>
            <w:vAlign w:val="center"/>
            <w:hideMark/>
          </w:tcPr>
          <w:p w14:paraId="2115F482" w14:textId="77777777" w:rsidR="00FB0D92" w:rsidRPr="003E4C57" w:rsidRDefault="00FB0D92" w:rsidP="00B648EF">
            <w:pPr>
              <w:spacing w:line="276" w:lineRule="auto"/>
              <w:jc w:val="center"/>
              <w:rPr>
                <w:sz w:val="20"/>
                <w:szCs w:val="20"/>
              </w:rPr>
            </w:pPr>
          </w:p>
        </w:tc>
        <w:tc>
          <w:tcPr>
            <w:tcW w:w="0" w:type="auto"/>
            <w:tcMar>
              <w:top w:w="17" w:type="dxa"/>
              <w:left w:w="17" w:type="dxa"/>
              <w:bottom w:w="17" w:type="dxa"/>
              <w:right w:w="17" w:type="dxa"/>
            </w:tcMar>
            <w:vAlign w:val="center"/>
            <w:hideMark/>
          </w:tcPr>
          <w:p w14:paraId="6251E5CF" w14:textId="77777777" w:rsidR="00FB0D92" w:rsidRPr="003E4C57" w:rsidRDefault="00FB0D92" w:rsidP="00B648EF">
            <w:pPr>
              <w:spacing w:line="276" w:lineRule="auto"/>
              <w:jc w:val="center"/>
              <w:rPr>
                <w:b/>
                <w:bCs/>
                <w:sz w:val="20"/>
                <w:szCs w:val="20"/>
              </w:rPr>
            </w:pPr>
            <w:r w:rsidRPr="003E4C57">
              <w:rPr>
                <w:b/>
                <w:bCs/>
                <w:sz w:val="20"/>
                <w:szCs w:val="20"/>
              </w:rPr>
              <w:t>1.20</w:t>
            </w:r>
            <w:r w:rsidRPr="003E4C57">
              <w:rPr>
                <w:b/>
                <w:bCs/>
                <w:sz w:val="20"/>
                <w:szCs w:val="20"/>
              </w:rPr>
              <w:br/>
              <w:t>(1.08 – 1.33)</w:t>
            </w:r>
          </w:p>
        </w:tc>
        <w:tc>
          <w:tcPr>
            <w:tcW w:w="0" w:type="auto"/>
            <w:tcMar>
              <w:top w:w="17" w:type="dxa"/>
              <w:left w:w="17" w:type="dxa"/>
              <w:bottom w:w="17" w:type="dxa"/>
              <w:right w:w="17" w:type="dxa"/>
            </w:tcMar>
            <w:vAlign w:val="center"/>
            <w:hideMark/>
          </w:tcPr>
          <w:p w14:paraId="7AEA1415" w14:textId="77777777" w:rsidR="00FB0D92" w:rsidRPr="003E4C57" w:rsidRDefault="00FB0D92" w:rsidP="00B648EF">
            <w:pPr>
              <w:spacing w:line="276" w:lineRule="auto"/>
              <w:jc w:val="center"/>
              <w:rPr>
                <w:b/>
                <w:bCs/>
                <w:sz w:val="20"/>
                <w:szCs w:val="20"/>
              </w:rPr>
            </w:pPr>
            <w:r w:rsidRPr="003E4C57">
              <w:rPr>
                <w:b/>
                <w:bCs/>
                <w:sz w:val="20"/>
                <w:szCs w:val="20"/>
              </w:rPr>
              <w:t>1.20</w:t>
            </w:r>
            <w:r w:rsidRPr="003E4C57">
              <w:rPr>
                <w:b/>
                <w:bCs/>
                <w:sz w:val="20"/>
                <w:szCs w:val="20"/>
              </w:rPr>
              <w:br/>
              <w:t>(1.08 – 1.33)</w:t>
            </w:r>
          </w:p>
        </w:tc>
      </w:tr>
      <w:tr w:rsidR="00FB0D92" w:rsidRPr="003E4C57" w14:paraId="52AAEA1E" w14:textId="77777777" w:rsidTr="00B648EF">
        <w:tc>
          <w:tcPr>
            <w:tcW w:w="0" w:type="auto"/>
            <w:tcMar>
              <w:top w:w="17" w:type="dxa"/>
              <w:left w:w="17" w:type="dxa"/>
              <w:bottom w:w="17" w:type="dxa"/>
              <w:right w:w="17" w:type="dxa"/>
            </w:tcMar>
            <w:vAlign w:val="center"/>
            <w:hideMark/>
          </w:tcPr>
          <w:p w14:paraId="11C2DCD3" w14:textId="77777777" w:rsidR="00FB0D92" w:rsidRPr="003E4C57" w:rsidRDefault="00FB0D92" w:rsidP="00B648EF">
            <w:pPr>
              <w:spacing w:line="276" w:lineRule="auto"/>
              <w:rPr>
                <w:sz w:val="20"/>
                <w:szCs w:val="20"/>
              </w:rPr>
            </w:pPr>
            <w:r w:rsidRPr="003E4C57">
              <w:rPr>
                <w:sz w:val="20"/>
                <w:szCs w:val="20"/>
              </w:rPr>
              <w:t>experienced poverty log</w:t>
            </w:r>
            <w:r w:rsidRPr="003E4C57">
              <w:rPr>
                <w:sz w:val="20"/>
                <w:szCs w:val="20"/>
              </w:rPr>
              <w:br/>
              <w:t>mean</w:t>
            </w:r>
          </w:p>
        </w:tc>
        <w:tc>
          <w:tcPr>
            <w:tcW w:w="0" w:type="auto"/>
            <w:tcMar>
              <w:top w:w="17" w:type="dxa"/>
              <w:left w:w="17" w:type="dxa"/>
              <w:bottom w:w="17" w:type="dxa"/>
              <w:right w:w="17" w:type="dxa"/>
            </w:tcMar>
            <w:vAlign w:val="center"/>
            <w:hideMark/>
          </w:tcPr>
          <w:p w14:paraId="7B9E46BE" w14:textId="77777777" w:rsidR="00FB0D92" w:rsidRPr="003E4C57" w:rsidRDefault="00FB0D92" w:rsidP="00B648EF">
            <w:pPr>
              <w:spacing w:line="276" w:lineRule="auto"/>
              <w:rPr>
                <w:sz w:val="20"/>
                <w:szCs w:val="20"/>
              </w:rPr>
            </w:pPr>
          </w:p>
        </w:tc>
        <w:tc>
          <w:tcPr>
            <w:tcW w:w="0" w:type="auto"/>
            <w:tcMar>
              <w:top w:w="17" w:type="dxa"/>
              <w:left w:w="17" w:type="dxa"/>
              <w:bottom w:w="17" w:type="dxa"/>
              <w:right w:w="17" w:type="dxa"/>
            </w:tcMar>
            <w:vAlign w:val="center"/>
            <w:hideMark/>
          </w:tcPr>
          <w:p w14:paraId="020CE64B" w14:textId="77777777" w:rsidR="00FB0D92" w:rsidRPr="003E4C57" w:rsidRDefault="00FB0D92" w:rsidP="00B648EF">
            <w:pPr>
              <w:spacing w:line="276" w:lineRule="auto"/>
              <w:jc w:val="center"/>
              <w:rPr>
                <w:b/>
                <w:bCs/>
                <w:sz w:val="20"/>
                <w:szCs w:val="20"/>
              </w:rPr>
            </w:pPr>
            <w:r w:rsidRPr="003E4C57">
              <w:rPr>
                <w:b/>
                <w:bCs/>
                <w:sz w:val="20"/>
                <w:szCs w:val="20"/>
              </w:rPr>
              <w:t>0.86</w:t>
            </w:r>
            <w:r w:rsidRPr="003E4C57">
              <w:rPr>
                <w:b/>
                <w:bCs/>
                <w:sz w:val="20"/>
                <w:szCs w:val="20"/>
              </w:rPr>
              <w:br/>
              <w:t>(0.79 – 0.94)</w:t>
            </w:r>
          </w:p>
        </w:tc>
        <w:tc>
          <w:tcPr>
            <w:tcW w:w="0" w:type="auto"/>
            <w:tcMar>
              <w:top w:w="17" w:type="dxa"/>
              <w:left w:w="17" w:type="dxa"/>
              <w:bottom w:w="17" w:type="dxa"/>
              <w:right w:w="17" w:type="dxa"/>
            </w:tcMar>
            <w:vAlign w:val="center"/>
            <w:hideMark/>
          </w:tcPr>
          <w:p w14:paraId="43EB7F52" w14:textId="77777777" w:rsidR="00FB0D92" w:rsidRPr="003E4C57" w:rsidRDefault="00FB0D92" w:rsidP="00B648EF">
            <w:pPr>
              <w:spacing w:line="276" w:lineRule="auto"/>
              <w:jc w:val="center"/>
              <w:rPr>
                <w:b/>
                <w:bCs/>
                <w:sz w:val="20"/>
                <w:szCs w:val="20"/>
              </w:rPr>
            </w:pPr>
            <w:r w:rsidRPr="003E4C57">
              <w:rPr>
                <w:b/>
                <w:bCs/>
                <w:sz w:val="20"/>
                <w:szCs w:val="20"/>
              </w:rPr>
              <w:t>0.86</w:t>
            </w:r>
            <w:r w:rsidRPr="003E4C57">
              <w:rPr>
                <w:b/>
                <w:bCs/>
                <w:sz w:val="20"/>
                <w:szCs w:val="20"/>
              </w:rPr>
              <w:br/>
              <w:t>(0.79 – 0.94)</w:t>
            </w:r>
          </w:p>
        </w:tc>
        <w:tc>
          <w:tcPr>
            <w:tcW w:w="0" w:type="auto"/>
            <w:tcMar>
              <w:top w:w="17" w:type="dxa"/>
              <w:left w:w="17" w:type="dxa"/>
              <w:bottom w:w="17" w:type="dxa"/>
              <w:right w:w="17" w:type="dxa"/>
            </w:tcMar>
            <w:vAlign w:val="center"/>
            <w:hideMark/>
          </w:tcPr>
          <w:p w14:paraId="3C804FD9" w14:textId="77777777" w:rsidR="00FB0D92" w:rsidRPr="003E4C57" w:rsidRDefault="00FB0D92" w:rsidP="00B648EF">
            <w:pPr>
              <w:spacing w:line="276" w:lineRule="auto"/>
              <w:jc w:val="center"/>
              <w:rPr>
                <w:sz w:val="20"/>
                <w:szCs w:val="20"/>
              </w:rPr>
            </w:pPr>
          </w:p>
        </w:tc>
        <w:tc>
          <w:tcPr>
            <w:tcW w:w="0" w:type="auto"/>
            <w:tcMar>
              <w:top w:w="17" w:type="dxa"/>
              <w:left w:w="17" w:type="dxa"/>
              <w:bottom w:w="17" w:type="dxa"/>
              <w:right w:w="17" w:type="dxa"/>
            </w:tcMar>
            <w:vAlign w:val="center"/>
            <w:hideMark/>
          </w:tcPr>
          <w:p w14:paraId="21840742" w14:textId="77777777" w:rsidR="00FB0D92" w:rsidRPr="003E4C57" w:rsidRDefault="00FB0D92" w:rsidP="00B648EF">
            <w:pPr>
              <w:spacing w:line="276" w:lineRule="auto"/>
              <w:jc w:val="center"/>
              <w:rPr>
                <w:sz w:val="20"/>
                <w:szCs w:val="20"/>
              </w:rPr>
            </w:pPr>
            <w:r w:rsidRPr="003E4C57">
              <w:rPr>
                <w:sz w:val="20"/>
                <w:szCs w:val="20"/>
              </w:rPr>
              <w:t>1.03</w:t>
            </w:r>
            <w:r w:rsidRPr="003E4C57">
              <w:rPr>
                <w:sz w:val="20"/>
                <w:szCs w:val="20"/>
              </w:rPr>
              <w:br/>
              <w:t>(0.92 – 1.15)</w:t>
            </w:r>
          </w:p>
        </w:tc>
        <w:tc>
          <w:tcPr>
            <w:tcW w:w="0" w:type="auto"/>
            <w:tcMar>
              <w:top w:w="17" w:type="dxa"/>
              <w:left w:w="17" w:type="dxa"/>
              <w:bottom w:w="17" w:type="dxa"/>
              <w:right w:w="17" w:type="dxa"/>
            </w:tcMar>
            <w:vAlign w:val="center"/>
            <w:hideMark/>
          </w:tcPr>
          <w:p w14:paraId="61173721" w14:textId="77777777" w:rsidR="00FB0D92" w:rsidRPr="003E4C57" w:rsidRDefault="00FB0D92" w:rsidP="00B648EF">
            <w:pPr>
              <w:spacing w:line="276" w:lineRule="auto"/>
              <w:jc w:val="center"/>
              <w:rPr>
                <w:sz w:val="20"/>
                <w:szCs w:val="20"/>
              </w:rPr>
            </w:pPr>
            <w:r w:rsidRPr="003E4C57">
              <w:rPr>
                <w:sz w:val="20"/>
                <w:szCs w:val="20"/>
              </w:rPr>
              <w:t>1.03</w:t>
            </w:r>
            <w:r w:rsidRPr="003E4C57">
              <w:rPr>
                <w:sz w:val="20"/>
                <w:szCs w:val="20"/>
              </w:rPr>
              <w:br/>
              <w:t>(0.93 – 1.15)</w:t>
            </w:r>
          </w:p>
        </w:tc>
      </w:tr>
      <w:tr w:rsidR="00FB0D92" w:rsidRPr="003E4C57" w14:paraId="14B8A0C3" w14:textId="77777777" w:rsidTr="00B648EF">
        <w:tc>
          <w:tcPr>
            <w:tcW w:w="0" w:type="auto"/>
            <w:tcMar>
              <w:top w:w="17" w:type="dxa"/>
              <w:left w:w="17" w:type="dxa"/>
              <w:bottom w:w="17" w:type="dxa"/>
              <w:right w:w="17" w:type="dxa"/>
            </w:tcMar>
            <w:vAlign w:val="center"/>
            <w:hideMark/>
          </w:tcPr>
          <w:p w14:paraId="01E467C7" w14:textId="77777777" w:rsidR="00FB0D92" w:rsidRPr="003E4C57" w:rsidRDefault="00FB0D92" w:rsidP="00B648EF">
            <w:pPr>
              <w:spacing w:line="276" w:lineRule="auto"/>
              <w:rPr>
                <w:sz w:val="20"/>
                <w:szCs w:val="20"/>
              </w:rPr>
            </w:pPr>
            <w:r w:rsidRPr="003E4C57">
              <w:rPr>
                <w:sz w:val="20"/>
                <w:szCs w:val="20"/>
              </w:rPr>
              <w:t>employment status mean</w:t>
            </w:r>
          </w:p>
        </w:tc>
        <w:tc>
          <w:tcPr>
            <w:tcW w:w="0" w:type="auto"/>
            <w:tcMar>
              <w:top w:w="17" w:type="dxa"/>
              <w:left w:w="17" w:type="dxa"/>
              <w:bottom w:w="17" w:type="dxa"/>
              <w:right w:w="17" w:type="dxa"/>
            </w:tcMar>
            <w:vAlign w:val="center"/>
            <w:hideMark/>
          </w:tcPr>
          <w:p w14:paraId="326DFFD5" w14:textId="77777777" w:rsidR="00FB0D92" w:rsidRPr="003E4C57" w:rsidRDefault="00FB0D92" w:rsidP="00B648EF">
            <w:pPr>
              <w:spacing w:line="276" w:lineRule="auto"/>
              <w:rPr>
                <w:sz w:val="20"/>
                <w:szCs w:val="20"/>
              </w:rPr>
            </w:pPr>
          </w:p>
        </w:tc>
        <w:tc>
          <w:tcPr>
            <w:tcW w:w="0" w:type="auto"/>
            <w:tcMar>
              <w:top w:w="17" w:type="dxa"/>
              <w:left w:w="17" w:type="dxa"/>
              <w:bottom w:w="17" w:type="dxa"/>
              <w:right w:w="17" w:type="dxa"/>
            </w:tcMar>
            <w:vAlign w:val="center"/>
            <w:hideMark/>
          </w:tcPr>
          <w:p w14:paraId="40FC4D3F" w14:textId="77777777" w:rsidR="00FB0D92" w:rsidRPr="003E4C57" w:rsidRDefault="00FB0D92" w:rsidP="00B648EF">
            <w:pPr>
              <w:spacing w:line="276" w:lineRule="auto"/>
              <w:jc w:val="center"/>
              <w:rPr>
                <w:sz w:val="20"/>
                <w:szCs w:val="20"/>
              </w:rPr>
            </w:pPr>
            <w:r w:rsidRPr="003E4C57">
              <w:rPr>
                <w:sz w:val="20"/>
                <w:szCs w:val="20"/>
              </w:rPr>
              <w:t>1.04</w:t>
            </w:r>
            <w:r w:rsidRPr="003E4C57">
              <w:rPr>
                <w:sz w:val="20"/>
                <w:szCs w:val="20"/>
              </w:rPr>
              <w:br/>
              <w:t>(0.96 – 1.12)</w:t>
            </w:r>
          </w:p>
        </w:tc>
        <w:tc>
          <w:tcPr>
            <w:tcW w:w="0" w:type="auto"/>
            <w:tcMar>
              <w:top w:w="17" w:type="dxa"/>
              <w:left w:w="17" w:type="dxa"/>
              <w:bottom w:w="17" w:type="dxa"/>
              <w:right w:w="17" w:type="dxa"/>
            </w:tcMar>
            <w:vAlign w:val="center"/>
            <w:hideMark/>
          </w:tcPr>
          <w:p w14:paraId="2A2C4394" w14:textId="77777777" w:rsidR="00FB0D92" w:rsidRPr="003E4C57" w:rsidRDefault="00FB0D92" w:rsidP="00B648EF">
            <w:pPr>
              <w:spacing w:line="276" w:lineRule="auto"/>
              <w:jc w:val="center"/>
              <w:rPr>
                <w:sz w:val="20"/>
                <w:szCs w:val="20"/>
              </w:rPr>
            </w:pPr>
            <w:r w:rsidRPr="003E4C57">
              <w:rPr>
                <w:sz w:val="20"/>
                <w:szCs w:val="20"/>
              </w:rPr>
              <w:t>1.04</w:t>
            </w:r>
            <w:r w:rsidRPr="003E4C57">
              <w:rPr>
                <w:sz w:val="20"/>
                <w:szCs w:val="20"/>
              </w:rPr>
              <w:br/>
              <w:t>(0.96 – 1.12)</w:t>
            </w:r>
          </w:p>
        </w:tc>
        <w:tc>
          <w:tcPr>
            <w:tcW w:w="0" w:type="auto"/>
            <w:tcMar>
              <w:top w:w="17" w:type="dxa"/>
              <w:left w:w="17" w:type="dxa"/>
              <w:bottom w:w="17" w:type="dxa"/>
              <w:right w:w="17" w:type="dxa"/>
            </w:tcMar>
            <w:vAlign w:val="center"/>
            <w:hideMark/>
          </w:tcPr>
          <w:p w14:paraId="7F29487F" w14:textId="77777777" w:rsidR="00FB0D92" w:rsidRPr="003E4C57" w:rsidRDefault="00FB0D92" w:rsidP="00B648EF">
            <w:pPr>
              <w:spacing w:line="276" w:lineRule="auto"/>
              <w:jc w:val="center"/>
              <w:rPr>
                <w:sz w:val="20"/>
                <w:szCs w:val="20"/>
              </w:rPr>
            </w:pPr>
          </w:p>
        </w:tc>
        <w:tc>
          <w:tcPr>
            <w:tcW w:w="0" w:type="auto"/>
            <w:tcMar>
              <w:top w:w="17" w:type="dxa"/>
              <w:left w:w="17" w:type="dxa"/>
              <w:bottom w:w="17" w:type="dxa"/>
              <w:right w:w="17" w:type="dxa"/>
            </w:tcMar>
            <w:vAlign w:val="center"/>
            <w:hideMark/>
          </w:tcPr>
          <w:p w14:paraId="6DCF3821" w14:textId="77777777" w:rsidR="00FB0D92" w:rsidRPr="003E4C57" w:rsidRDefault="00FB0D92" w:rsidP="00B648EF">
            <w:pPr>
              <w:spacing w:line="276" w:lineRule="auto"/>
              <w:jc w:val="center"/>
              <w:rPr>
                <w:b/>
                <w:bCs/>
                <w:sz w:val="20"/>
                <w:szCs w:val="20"/>
              </w:rPr>
            </w:pPr>
            <w:r w:rsidRPr="003E4C57">
              <w:rPr>
                <w:b/>
                <w:bCs/>
                <w:sz w:val="20"/>
                <w:szCs w:val="20"/>
              </w:rPr>
              <w:t>0.89</w:t>
            </w:r>
            <w:r w:rsidRPr="003E4C57">
              <w:rPr>
                <w:b/>
                <w:bCs/>
                <w:sz w:val="20"/>
                <w:szCs w:val="20"/>
              </w:rPr>
              <w:br/>
              <w:t>(0.81 – 0.98)</w:t>
            </w:r>
          </w:p>
        </w:tc>
        <w:tc>
          <w:tcPr>
            <w:tcW w:w="0" w:type="auto"/>
            <w:tcMar>
              <w:top w:w="17" w:type="dxa"/>
              <w:left w:w="17" w:type="dxa"/>
              <w:bottom w:w="17" w:type="dxa"/>
              <w:right w:w="17" w:type="dxa"/>
            </w:tcMar>
            <w:vAlign w:val="center"/>
            <w:hideMark/>
          </w:tcPr>
          <w:p w14:paraId="41A93DE7" w14:textId="77777777" w:rsidR="00FB0D92" w:rsidRPr="003E4C57" w:rsidRDefault="00FB0D92" w:rsidP="00B648EF">
            <w:pPr>
              <w:spacing w:line="276" w:lineRule="auto"/>
              <w:jc w:val="center"/>
              <w:rPr>
                <w:b/>
                <w:bCs/>
                <w:sz w:val="20"/>
                <w:szCs w:val="20"/>
              </w:rPr>
            </w:pPr>
            <w:r w:rsidRPr="003E4C57">
              <w:rPr>
                <w:b/>
                <w:bCs/>
                <w:sz w:val="20"/>
                <w:szCs w:val="20"/>
              </w:rPr>
              <w:t>0.89</w:t>
            </w:r>
            <w:r w:rsidRPr="003E4C57">
              <w:rPr>
                <w:b/>
                <w:bCs/>
                <w:sz w:val="20"/>
                <w:szCs w:val="20"/>
              </w:rPr>
              <w:br/>
              <w:t>(0.81 – 0.97)</w:t>
            </w:r>
          </w:p>
        </w:tc>
      </w:tr>
      <w:tr w:rsidR="00FB0D92" w:rsidRPr="003E4C57" w14:paraId="178E037B" w14:textId="77777777" w:rsidTr="00B648EF">
        <w:tc>
          <w:tcPr>
            <w:tcW w:w="0" w:type="auto"/>
            <w:tcMar>
              <w:top w:w="17" w:type="dxa"/>
              <w:left w:w="17" w:type="dxa"/>
              <w:bottom w:w="17" w:type="dxa"/>
              <w:right w:w="17" w:type="dxa"/>
            </w:tcMar>
            <w:vAlign w:val="center"/>
            <w:hideMark/>
          </w:tcPr>
          <w:p w14:paraId="09FC0427" w14:textId="77777777" w:rsidR="00FB0D92" w:rsidRPr="003E4C57" w:rsidRDefault="00FB0D92" w:rsidP="00B648EF">
            <w:pPr>
              <w:spacing w:line="276" w:lineRule="auto"/>
              <w:rPr>
                <w:sz w:val="20"/>
                <w:szCs w:val="20"/>
              </w:rPr>
            </w:pPr>
            <w:proofErr w:type="spellStart"/>
            <w:r w:rsidRPr="003E4C57">
              <w:rPr>
                <w:sz w:val="20"/>
                <w:szCs w:val="20"/>
              </w:rPr>
              <w:t>youth_bulge_share</w:t>
            </w:r>
            <w:proofErr w:type="spellEnd"/>
            <w:r w:rsidRPr="003E4C57">
              <w:rPr>
                <w:sz w:val="20"/>
                <w:szCs w:val="20"/>
              </w:rPr>
              <w:t>:</w:t>
            </w:r>
          </w:p>
          <w:p w14:paraId="2437FF32" w14:textId="77777777" w:rsidR="00FB0D92" w:rsidRPr="003E4C57" w:rsidRDefault="00FB0D92" w:rsidP="00B648EF">
            <w:pPr>
              <w:spacing w:line="276" w:lineRule="auto"/>
              <w:rPr>
                <w:sz w:val="20"/>
                <w:szCs w:val="20"/>
              </w:rPr>
            </w:pPr>
            <w:proofErr w:type="spellStart"/>
            <w:r w:rsidRPr="003E4C57">
              <w:rPr>
                <w:sz w:val="20"/>
                <w:szCs w:val="20"/>
              </w:rPr>
              <w:t>age_cat_centered</w:t>
            </w:r>
            <w:proofErr w:type="spellEnd"/>
          </w:p>
        </w:tc>
        <w:tc>
          <w:tcPr>
            <w:tcW w:w="0" w:type="auto"/>
            <w:tcMar>
              <w:top w:w="17" w:type="dxa"/>
              <w:left w:w="17" w:type="dxa"/>
              <w:bottom w:w="17" w:type="dxa"/>
              <w:right w:w="17" w:type="dxa"/>
            </w:tcMar>
            <w:vAlign w:val="center"/>
            <w:hideMark/>
          </w:tcPr>
          <w:p w14:paraId="1345EF64" w14:textId="77777777" w:rsidR="00FB0D92" w:rsidRPr="003E4C57" w:rsidRDefault="00FB0D92" w:rsidP="00B648EF">
            <w:pPr>
              <w:spacing w:line="276" w:lineRule="auto"/>
              <w:rPr>
                <w:sz w:val="20"/>
                <w:szCs w:val="20"/>
              </w:rPr>
            </w:pPr>
          </w:p>
        </w:tc>
        <w:tc>
          <w:tcPr>
            <w:tcW w:w="0" w:type="auto"/>
            <w:tcMar>
              <w:top w:w="17" w:type="dxa"/>
              <w:left w:w="17" w:type="dxa"/>
              <w:bottom w:w="17" w:type="dxa"/>
              <w:right w:w="17" w:type="dxa"/>
            </w:tcMar>
            <w:vAlign w:val="center"/>
            <w:hideMark/>
          </w:tcPr>
          <w:p w14:paraId="7CFD9B14" w14:textId="77777777" w:rsidR="00FB0D92" w:rsidRPr="003E4C57" w:rsidRDefault="00FB0D92" w:rsidP="00B648EF">
            <w:pPr>
              <w:spacing w:line="276" w:lineRule="auto"/>
              <w:jc w:val="center"/>
              <w:rPr>
                <w:sz w:val="20"/>
                <w:szCs w:val="20"/>
              </w:rPr>
            </w:pPr>
          </w:p>
        </w:tc>
        <w:tc>
          <w:tcPr>
            <w:tcW w:w="0" w:type="auto"/>
            <w:tcMar>
              <w:top w:w="17" w:type="dxa"/>
              <w:left w:w="17" w:type="dxa"/>
              <w:bottom w:w="17" w:type="dxa"/>
              <w:right w:w="17" w:type="dxa"/>
            </w:tcMar>
            <w:vAlign w:val="center"/>
            <w:hideMark/>
          </w:tcPr>
          <w:p w14:paraId="2833409C" w14:textId="77777777" w:rsidR="00FB0D92" w:rsidRPr="003E4C57" w:rsidRDefault="00FB0D92" w:rsidP="00B648EF">
            <w:pPr>
              <w:spacing w:line="276" w:lineRule="auto"/>
              <w:jc w:val="center"/>
              <w:rPr>
                <w:sz w:val="20"/>
                <w:szCs w:val="20"/>
              </w:rPr>
            </w:pPr>
            <w:r w:rsidRPr="003E4C57">
              <w:rPr>
                <w:sz w:val="20"/>
                <w:szCs w:val="20"/>
              </w:rPr>
              <w:t>0.99</w:t>
            </w:r>
            <w:r w:rsidRPr="003E4C57">
              <w:rPr>
                <w:sz w:val="20"/>
                <w:szCs w:val="20"/>
              </w:rPr>
              <w:br/>
              <w:t>(0.95 – 1.02)</w:t>
            </w:r>
          </w:p>
        </w:tc>
        <w:tc>
          <w:tcPr>
            <w:tcW w:w="0" w:type="auto"/>
            <w:tcMar>
              <w:top w:w="17" w:type="dxa"/>
              <w:left w:w="17" w:type="dxa"/>
              <w:bottom w:w="17" w:type="dxa"/>
              <w:right w:w="17" w:type="dxa"/>
            </w:tcMar>
            <w:vAlign w:val="center"/>
            <w:hideMark/>
          </w:tcPr>
          <w:p w14:paraId="51425B31" w14:textId="77777777" w:rsidR="00FB0D92" w:rsidRPr="003E4C57" w:rsidRDefault="00FB0D92" w:rsidP="00B648EF">
            <w:pPr>
              <w:spacing w:line="276" w:lineRule="auto"/>
              <w:jc w:val="center"/>
              <w:rPr>
                <w:sz w:val="20"/>
                <w:szCs w:val="20"/>
              </w:rPr>
            </w:pPr>
          </w:p>
        </w:tc>
        <w:tc>
          <w:tcPr>
            <w:tcW w:w="0" w:type="auto"/>
            <w:tcMar>
              <w:top w:w="17" w:type="dxa"/>
              <w:left w:w="17" w:type="dxa"/>
              <w:bottom w:w="17" w:type="dxa"/>
              <w:right w:w="17" w:type="dxa"/>
            </w:tcMar>
            <w:vAlign w:val="center"/>
            <w:hideMark/>
          </w:tcPr>
          <w:p w14:paraId="79B13B51" w14:textId="77777777" w:rsidR="00FB0D92" w:rsidRPr="003E4C57" w:rsidRDefault="00FB0D92" w:rsidP="00B648EF">
            <w:pPr>
              <w:spacing w:line="276" w:lineRule="auto"/>
              <w:jc w:val="center"/>
              <w:rPr>
                <w:sz w:val="20"/>
                <w:szCs w:val="20"/>
              </w:rPr>
            </w:pPr>
          </w:p>
        </w:tc>
        <w:tc>
          <w:tcPr>
            <w:tcW w:w="0" w:type="auto"/>
            <w:tcMar>
              <w:top w:w="17" w:type="dxa"/>
              <w:left w:w="17" w:type="dxa"/>
              <w:bottom w:w="17" w:type="dxa"/>
              <w:right w:w="17" w:type="dxa"/>
            </w:tcMar>
            <w:vAlign w:val="center"/>
            <w:hideMark/>
          </w:tcPr>
          <w:p w14:paraId="1F3D8E6F" w14:textId="77777777" w:rsidR="00FB0D92" w:rsidRPr="003E4C57" w:rsidRDefault="00FB0D92" w:rsidP="00B648EF">
            <w:pPr>
              <w:spacing w:line="276" w:lineRule="auto"/>
              <w:jc w:val="center"/>
              <w:rPr>
                <w:sz w:val="20"/>
                <w:szCs w:val="20"/>
              </w:rPr>
            </w:pPr>
            <w:r w:rsidRPr="003E4C57">
              <w:rPr>
                <w:sz w:val="20"/>
                <w:szCs w:val="20"/>
              </w:rPr>
              <w:t>0.96</w:t>
            </w:r>
            <w:r w:rsidRPr="003E4C57">
              <w:rPr>
                <w:sz w:val="20"/>
                <w:szCs w:val="20"/>
              </w:rPr>
              <w:br/>
              <w:t>(0.92 – 1.00)</w:t>
            </w:r>
          </w:p>
        </w:tc>
      </w:tr>
      <w:tr w:rsidR="00FB0D92" w:rsidRPr="003E4C57" w14:paraId="5D31B076" w14:textId="77777777" w:rsidTr="00B648EF">
        <w:tc>
          <w:tcPr>
            <w:tcW w:w="0" w:type="auto"/>
            <w:tcBorders>
              <w:top w:val="single" w:sz="6" w:space="0" w:color="auto"/>
            </w:tcBorders>
            <w:tcMar>
              <w:top w:w="57" w:type="dxa"/>
              <w:left w:w="17" w:type="dxa"/>
              <w:bottom w:w="57" w:type="dxa"/>
              <w:right w:w="17" w:type="dxa"/>
            </w:tcMar>
            <w:vAlign w:val="center"/>
            <w:hideMark/>
          </w:tcPr>
          <w:p w14:paraId="3E284047" w14:textId="77777777" w:rsidR="00FB0D92" w:rsidRPr="003E4C57" w:rsidRDefault="00FB0D92" w:rsidP="00B648EF">
            <w:pPr>
              <w:spacing w:line="276" w:lineRule="auto"/>
              <w:rPr>
                <w:sz w:val="20"/>
                <w:szCs w:val="20"/>
              </w:rPr>
            </w:pPr>
            <w:r w:rsidRPr="003E4C57">
              <w:rPr>
                <w:sz w:val="20"/>
                <w:szCs w:val="20"/>
              </w:rPr>
              <w:t>Observations</w:t>
            </w:r>
          </w:p>
        </w:tc>
        <w:tc>
          <w:tcPr>
            <w:tcW w:w="0" w:type="auto"/>
            <w:tcBorders>
              <w:top w:val="single" w:sz="6" w:space="0" w:color="auto"/>
            </w:tcBorders>
            <w:tcMar>
              <w:top w:w="57" w:type="dxa"/>
              <w:left w:w="17" w:type="dxa"/>
              <w:bottom w:w="57" w:type="dxa"/>
              <w:right w:w="17" w:type="dxa"/>
            </w:tcMar>
            <w:vAlign w:val="center"/>
            <w:hideMark/>
          </w:tcPr>
          <w:p w14:paraId="2936BF48" w14:textId="77777777" w:rsidR="00FB0D92" w:rsidRPr="003E4C57" w:rsidRDefault="00FB0D92" w:rsidP="00B648EF">
            <w:pPr>
              <w:spacing w:line="276" w:lineRule="auto"/>
              <w:jc w:val="center"/>
              <w:rPr>
                <w:sz w:val="20"/>
                <w:szCs w:val="20"/>
              </w:rPr>
            </w:pPr>
            <w:r w:rsidRPr="003E4C57">
              <w:rPr>
                <w:sz w:val="20"/>
                <w:szCs w:val="20"/>
              </w:rPr>
              <w:t>18321</w:t>
            </w:r>
          </w:p>
        </w:tc>
        <w:tc>
          <w:tcPr>
            <w:tcW w:w="0" w:type="auto"/>
            <w:tcBorders>
              <w:top w:val="single" w:sz="6" w:space="0" w:color="auto"/>
            </w:tcBorders>
            <w:tcMar>
              <w:top w:w="57" w:type="dxa"/>
              <w:left w:w="17" w:type="dxa"/>
              <w:bottom w:w="57" w:type="dxa"/>
              <w:right w:w="17" w:type="dxa"/>
            </w:tcMar>
            <w:vAlign w:val="center"/>
            <w:hideMark/>
          </w:tcPr>
          <w:p w14:paraId="3454FEAE" w14:textId="77777777" w:rsidR="00FB0D92" w:rsidRPr="003E4C57" w:rsidRDefault="00FB0D92" w:rsidP="00B648EF">
            <w:pPr>
              <w:spacing w:line="276" w:lineRule="auto"/>
              <w:jc w:val="center"/>
              <w:rPr>
                <w:sz w:val="20"/>
                <w:szCs w:val="20"/>
              </w:rPr>
            </w:pPr>
            <w:r w:rsidRPr="003E4C57">
              <w:rPr>
                <w:sz w:val="20"/>
                <w:szCs w:val="20"/>
              </w:rPr>
              <w:t>18321</w:t>
            </w:r>
          </w:p>
        </w:tc>
        <w:tc>
          <w:tcPr>
            <w:tcW w:w="0" w:type="auto"/>
            <w:tcBorders>
              <w:top w:val="single" w:sz="6" w:space="0" w:color="auto"/>
            </w:tcBorders>
            <w:tcMar>
              <w:top w:w="57" w:type="dxa"/>
              <w:left w:w="17" w:type="dxa"/>
              <w:bottom w:w="57" w:type="dxa"/>
              <w:right w:w="17" w:type="dxa"/>
            </w:tcMar>
            <w:vAlign w:val="center"/>
            <w:hideMark/>
          </w:tcPr>
          <w:p w14:paraId="3BBB24AA" w14:textId="77777777" w:rsidR="00FB0D92" w:rsidRPr="003E4C57" w:rsidRDefault="00FB0D92" w:rsidP="00B648EF">
            <w:pPr>
              <w:spacing w:line="276" w:lineRule="auto"/>
              <w:jc w:val="center"/>
              <w:rPr>
                <w:sz w:val="20"/>
                <w:szCs w:val="20"/>
              </w:rPr>
            </w:pPr>
            <w:r w:rsidRPr="003E4C57">
              <w:rPr>
                <w:sz w:val="20"/>
                <w:szCs w:val="20"/>
              </w:rPr>
              <w:t>18321</w:t>
            </w:r>
          </w:p>
        </w:tc>
        <w:tc>
          <w:tcPr>
            <w:tcW w:w="0" w:type="auto"/>
            <w:tcBorders>
              <w:top w:val="single" w:sz="6" w:space="0" w:color="auto"/>
            </w:tcBorders>
            <w:tcMar>
              <w:top w:w="57" w:type="dxa"/>
              <w:left w:w="17" w:type="dxa"/>
              <w:bottom w:w="57" w:type="dxa"/>
              <w:right w:w="17" w:type="dxa"/>
            </w:tcMar>
            <w:vAlign w:val="center"/>
            <w:hideMark/>
          </w:tcPr>
          <w:p w14:paraId="157A643A" w14:textId="77777777" w:rsidR="00FB0D92" w:rsidRPr="003E4C57" w:rsidRDefault="00FB0D92" w:rsidP="00B648EF">
            <w:pPr>
              <w:spacing w:line="276" w:lineRule="auto"/>
              <w:jc w:val="center"/>
              <w:rPr>
                <w:sz w:val="20"/>
                <w:szCs w:val="20"/>
              </w:rPr>
            </w:pPr>
            <w:r w:rsidRPr="003E4C57">
              <w:rPr>
                <w:sz w:val="20"/>
                <w:szCs w:val="20"/>
              </w:rPr>
              <w:t>18321</w:t>
            </w:r>
          </w:p>
        </w:tc>
        <w:tc>
          <w:tcPr>
            <w:tcW w:w="0" w:type="auto"/>
            <w:tcBorders>
              <w:top w:val="single" w:sz="6" w:space="0" w:color="auto"/>
            </w:tcBorders>
            <w:tcMar>
              <w:top w:w="57" w:type="dxa"/>
              <w:left w:w="17" w:type="dxa"/>
              <w:bottom w:w="57" w:type="dxa"/>
              <w:right w:w="17" w:type="dxa"/>
            </w:tcMar>
            <w:vAlign w:val="center"/>
            <w:hideMark/>
          </w:tcPr>
          <w:p w14:paraId="1363D014" w14:textId="77777777" w:rsidR="00FB0D92" w:rsidRPr="003E4C57" w:rsidRDefault="00FB0D92" w:rsidP="00B648EF">
            <w:pPr>
              <w:spacing w:line="276" w:lineRule="auto"/>
              <w:jc w:val="center"/>
              <w:rPr>
                <w:sz w:val="20"/>
                <w:szCs w:val="20"/>
              </w:rPr>
            </w:pPr>
            <w:r w:rsidRPr="003E4C57">
              <w:rPr>
                <w:sz w:val="20"/>
                <w:szCs w:val="20"/>
              </w:rPr>
              <w:t>18321</w:t>
            </w:r>
          </w:p>
        </w:tc>
        <w:tc>
          <w:tcPr>
            <w:tcW w:w="0" w:type="auto"/>
            <w:tcBorders>
              <w:top w:val="single" w:sz="6" w:space="0" w:color="auto"/>
            </w:tcBorders>
            <w:tcMar>
              <w:top w:w="57" w:type="dxa"/>
              <w:left w:w="17" w:type="dxa"/>
              <w:bottom w:w="57" w:type="dxa"/>
              <w:right w:w="17" w:type="dxa"/>
            </w:tcMar>
            <w:vAlign w:val="center"/>
            <w:hideMark/>
          </w:tcPr>
          <w:p w14:paraId="77323BEB" w14:textId="77777777" w:rsidR="00FB0D92" w:rsidRPr="003E4C57" w:rsidRDefault="00FB0D92" w:rsidP="00B648EF">
            <w:pPr>
              <w:spacing w:line="276" w:lineRule="auto"/>
              <w:jc w:val="center"/>
              <w:rPr>
                <w:sz w:val="20"/>
                <w:szCs w:val="20"/>
              </w:rPr>
            </w:pPr>
            <w:r w:rsidRPr="003E4C57">
              <w:rPr>
                <w:sz w:val="20"/>
                <w:szCs w:val="20"/>
              </w:rPr>
              <w:t>18321</w:t>
            </w:r>
          </w:p>
        </w:tc>
      </w:tr>
      <w:tr w:rsidR="00FB0D92" w:rsidRPr="003E4C57" w14:paraId="0353F7EC" w14:textId="77777777" w:rsidTr="00B648EF">
        <w:tc>
          <w:tcPr>
            <w:tcW w:w="0" w:type="auto"/>
            <w:tcMar>
              <w:top w:w="57" w:type="dxa"/>
              <w:left w:w="17" w:type="dxa"/>
              <w:bottom w:w="57" w:type="dxa"/>
              <w:right w:w="17" w:type="dxa"/>
            </w:tcMar>
            <w:vAlign w:val="center"/>
            <w:hideMark/>
          </w:tcPr>
          <w:p w14:paraId="564B9614" w14:textId="77777777" w:rsidR="00FB0D92" w:rsidRPr="003E4C57" w:rsidRDefault="00FB0D92" w:rsidP="00B648EF">
            <w:pPr>
              <w:spacing w:line="276" w:lineRule="auto"/>
              <w:rPr>
                <w:sz w:val="20"/>
                <w:szCs w:val="20"/>
              </w:rPr>
            </w:pPr>
            <w:r w:rsidRPr="003E4C57">
              <w:rPr>
                <w:sz w:val="20"/>
                <w:szCs w:val="20"/>
              </w:rPr>
              <w:t>Marginal R</w:t>
            </w:r>
            <w:r w:rsidRPr="003E4C57">
              <w:rPr>
                <w:sz w:val="20"/>
                <w:szCs w:val="20"/>
                <w:vertAlign w:val="superscript"/>
              </w:rPr>
              <w:t>2</w:t>
            </w:r>
            <w:r w:rsidRPr="003E4C57">
              <w:rPr>
                <w:sz w:val="20"/>
                <w:szCs w:val="20"/>
              </w:rPr>
              <w:t> / Conditional R</w:t>
            </w:r>
            <w:r w:rsidRPr="003E4C57">
              <w:rPr>
                <w:sz w:val="20"/>
                <w:szCs w:val="20"/>
                <w:vertAlign w:val="superscript"/>
              </w:rPr>
              <w:t>2</w:t>
            </w:r>
          </w:p>
        </w:tc>
        <w:tc>
          <w:tcPr>
            <w:tcW w:w="0" w:type="auto"/>
            <w:tcMar>
              <w:top w:w="57" w:type="dxa"/>
              <w:left w:w="17" w:type="dxa"/>
              <w:bottom w:w="57" w:type="dxa"/>
              <w:right w:w="17" w:type="dxa"/>
            </w:tcMar>
            <w:vAlign w:val="center"/>
            <w:hideMark/>
          </w:tcPr>
          <w:p w14:paraId="2CC956BB" w14:textId="77777777" w:rsidR="00FB0D92" w:rsidRPr="003E4C57" w:rsidRDefault="00FB0D92" w:rsidP="00B648EF">
            <w:pPr>
              <w:spacing w:line="276" w:lineRule="auto"/>
              <w:jc w:val="center"/>
              <w:rPr>
                <w:sz w:val="20"/>
                <w:szCs w:val="20"/>
              </w:rPr>
            </w:pPr>
            <w:r w:rsidRPr="003E4C57">
              <w:rPr>
                <w:sz w:val="20"/>
                <w:szCs w:val="20"/>
              </w:rPr>
              <w:t>0.035 / 0.095</w:t>
            </w:r>
          </w:p>
        </w:tc>
        <w:tc>
          <w:tcPr>
            <w:tcW w:w="0" w:type="auto"/>
            <w:tcMar>
              <w:top w:w="57" w:type="dxa"/>
              <w:left w:w="17" w:type="dxa"/>
              <w:bottom w:w="57" w:type="dxa"/>
              <w:right w:w="17" w:type="dxa"/>
            </w:tcMar>
            <w:vAlign w:val="center"/>
            <w:hideMark/>
          </w:tcPr>
          <w:p w14:paraId="43111921" w14:textId="77777777" w:rsidR="00FB0D92" w:rsidRPr="003E4C57" w:rsidRDefault="00FB0D92" w:rsidP="00B648EF">
            <w:pPr>
              <w:spacing w:line="276" w:lineRule="auto"/>
              <w:jc w:val="center"/>
              <w:rPr>
                <w:sz w:val="20"/>
                <w:szCs w:val="20"/>
              </w:rPr>
            </w:pPr>
            <w:r w:rsidRPr="003E4C57">
              <w:rPr>
                <w:sz w:val="20"/>
                <w:szCs w:val="20"/>
              </w:rPr>
              <w:t>0.043 / 0.096</w:t>
            </w:r>
          </w:p>
        </w:tc>
        <w:tc>
          <w:tcPr>
            <w:tcW w:w="0" w:type="auto"/>
            <w:tcMar>
              <w:top w:w="57" w:type="dxa"/>
              <w:left w:w="17" w:type="dxa"/>
              <w:bottom w:w="57" w:type="dxa"/>
              <w:right w:w="17" w:type="dxa"/>
            </w:tcMar>
            <w:vAlign w:val="center"/>
            <w:hideMark/>
          </w:tcPr>
          <w:p w14:paraId="01FDCEA0" w14:textId="77777777" w:rsidR="00FB0D92" w:rsidRPr="003E4C57" w:rsidRDefault="00FB0D92" w:rsidP="00B648EF">
            <w:pPr>
              <w:spacing w:line="276" w:lineRule="auto"/>
              <w:jc w:val="center"/>
              <w:rPr>
                <w:sz w:val="20"/>
                <w:szCs w:val="20"/>
              </w:rPr>
            </w:pPr>
            <w:r w:rsidRPr="003E4C57">
              <w:rPr>
                <w:sz w:val="20"/>
                <w:szCs w:val="20"/>
              </w:rPr>
              <w:t>0.044 / 0.096</w:t>
            </w:r>
          </w:p>
        </w:tc>
        <w:tc>
          <w:tcPr>
            <w:tcW w:w="0" w:type="auto"/>
            <w:tcMar>
              <w:top w:w="57" w:type="dxa"/>
              <w:left w:w="17" w:type="dxa"/>
              <w:bottom w:w="57" w:type="dxa"/>
              <w:right w:w="17" w:type="dxa"/>
            </w:tcMar>
            <w:vAlign w:val="center"/>
            <w:hideMark/>
          </w:tcPr>
          <w:p w14:paraId="00EC761E" w14:textId="77777777" w:rsidR="00FB0D92" w:rsidRPr="003E4C57" w:rsidRDefault="00FB0D92" w:rsidP="00B648EF">
            <w:pPr>
              <w:spacing w:line="276" w:lineRule="auto"/>
              <w:jc w:val="center"/>
              <w:rPr>
                <w:sz w:val="20"/>
                <w:szCs w:val="20"/>
              </w:rPr>
            </w:pPr>
            <w:r w:rsidRPr="003E4C57">
              <w:rPr>
                <w:sz w:val="20"/>
                <w:szCs w:val="20"/>
              </w:rPr>
              <w:t>0.017 / 0.048</w:t>
            </w:r>
          </w:p>
        </w:tc>
        <w:tc>
          <w:tcPr>
            <w:tcW w:w="0" w:type="auto"/>
            <w:tcMar>
              <w:top w:w="57" w:type="dxa"/>
              <w:left w:w="17" w:type="dxa"/>
              <w:bottom w:w="57" w:type="dxa"/>
              <w:right w:w="17" w:type="dxa"/>
            </w:tcMar>
            <w:vAlign w:val="center"/>
            <w:hideMark/>
          </w:tcPr>
          <w:p w14:paraId="0A7C13E7" w14:textId="77777777" w:rsidR="00FB0D92" w:rsidRPr="003E4C57" w:rsidRDefault="00FB0D92" w:rsidP="00B648EF">
            <w:pPr>
              <w:spacing w:line="276" w:lineRule="auto"/>
              <w:jc w:val="center"/>
              <w:rPr>
                <w:sz w:val="20"/>
                <w:szCs w:val="20"/>
              </w:rPr>
            </w:pPr>
            <w:r w:rsidRPr="003E4C57">
              <w:rPr>
                <w:sz w:val="20"/>
                <w:szCs w:val="20"/>
              </w:rPr>
              <w:t>0.029 / 0.060</w:t>
            </w:r>
          </w:p>
        </w:tc>
        <w:tc>
          <w:tcPr>
            <w:tcW w:w="0" w:type="auto"/>
            <w:tcMar>
              <w:top w:w="57" w:type="dxa"/>
              <w:left w:w="17" w:type="dxa"/>
              <w:bottom w:w="57" w:type="dxa"/>
              <w:right w:w="17" w:type="dxa"/>
            </w:tcMar>
            <w:vAlign w:val="center"/>
            <w:hideMark/>
          </w:tcPr>
          <w:p w14:paraId="55143577" w14:textId="77777777" w:rsidR="00FB0D92" w:rsidRPr="003E4C57" w:rsidRDefault="00FB0D92" w:rsidP="00B648EF">
            <w:pPr>
              <w:spacing w:line="276" w:lineRule="auto"/>
              <w:jc w:val="center"/>
              <w:rPr>
                <w:sz w:val="20"/>
                <w:szCs w:val="20"/>
              </w:rPr>
            </w:pPr>
            <w:r w:rsidRPr="003E4C57">
              <w:rPr>
                <w:sz w:val="20"/>
                <w:szCs w:val="20"/>
              </w:rPr>
              <w:t>0.029 / 0.060</w:t>
            </w:r>
          </w:p>
        </w:tc>
      </w:tr>
    </w:tbl>
    <w:p w14:paraId="475ACEAF" w14:textId="77777777" w:rsidR="00FB0D92" w:rsidRDefault="00FB0D92" w:rsidP="00FB0D92">
      <w:pPr>
        <w:spacing w:line="276" w:lineRule="auto"/>
      </w:pPr>
    </w:p>
    <w:p w14:paraId="01B7E107" w14:textId="77777777" w:rsidR="00FB0D92" w:rsidRDefault="00FB0D92" w:rsidP="00FB0D92">
      <w:pPr>
        <w:spacing w:line="276" w:lineRule="auto"/>
      </w:pPr>
    </w:p>
    <w:p w14:paraId="65D13552" w14:textId="77777777" w:rsidR="00FB0D92" w:rsidRPr="00465D35" w:rsidRDefault="00FB0D92" w:rsidP="00FB0D92">
      <w:pPr>
        <w:spacing w:line="276" w:lineRule="auto"/>
        <w:rPr>
          <w:b/>
          <w:bCs/>
        </w:rPr>
      </w:pPr>
      <w:r w:rsidRPr="00465D35">
        <w:rPr>
          <w:b/>
          <w:bCs/>
        </w:rPr>
        <w:lastRenderedPageBreak/>
        <w:t xml:space="preserve">References </w:t>
      </w:r>
    </w:p>
    <w:p w14:paraId="25F766A7" w14:textId="77777777" w:rsidR="00FB0D92" w:rsidRPr="00465D35" w:rsidRDefault="00FB0D92" w:rsidP="00FB0D92">
      <w:pPr>
        <w:pStyle w:val="Bibliography"/>
        <w:rPr>
          <w:color w:val="222222"/>
          <w:shd w:val="clear" w:color="auto" w:fill="FFFFFF"/>
        </w:rPr>
      </w:pPr>
      <w:r w:rsidRPr="00465D35">
        <w:rPr>
          <w:color w:val="222222"/>
          <w:shd w:val="clear" w:color="auto" w:fill="FFFFFF"/>
        </w:rPr>
        <w:t xml:space="preserve">Antonakis, J., </w:t>
      </w:r>
      <w:proofErr w:type="spellStart"/>
      <w:r w:rsidRPr="00465D35">
        <w:rPr>
          <w:color w:val="222222"/>
          <w:shd w:val="clear" w:color="auto" w:fill="FFFFFF"/>
        </w:rPr>
        <w:t>Bastardoz</w:t>
      </w:r>
      <w:proofErr w:type="spellEnd"/>
      <w:r w:rsidRPr="00465D35">
        <w:rPr>
          <w:color w:val="222222"/>
          <w:shd w:val="clear" w:color="auto" w:fill="FFFFFF"/>
        </w:rPr>
        <w:t>, N. and Rönkkö, M., 2021. On ignoring the random effects assumption in multilevel models: Review, critique, and recommendations. </w:t>
      </w:r>
      <w:r w:rsidRPr="00465D35">
        <w:rPr>
          <w:i/>
          <w:iCs/>
          <w:color w:val="222222"/>
          <w:shd w:val="clear" w:color="auto" w:fill="FFFFFF"/>
        </w:rPr>
        <w:t>Organizational Research Methods</w:t>
      </w:r>
      <w:r w:rsidRPr="00465D35">
        <w:rPr>
          <w:color w:val="222222"/>
          <w:shd w:val="clear" w:color="auto" w:fill="FFFFFF"/>
        </w:rPr>
        <w:t>, </w:t>
      </w:r>
      <w:r w:rsidRPr="00465D35">
        <w:rPr>
          <w:i/>
          <w:iCs/>
          <w:color w:val="222222"/>
          <w:shd w:val="clear" w:color="auto" w:fill="FFFFFF"/>
        </w:rPr>
        <w:t>24</w:t>
      </w:r>
      <w:r w:rsidRPr="00465D35">
        <w:rPr>
          <w:color w:val="222222"/>
          <w:shd w:val="clear" w:color="auto" w:fill="FFFFFF"/>
        </w:rPr>
        <w:t>(2), pp.443-483.</w:t>
      </w:r>
    </w:p>
    <w:p w14:paraId="1F29E2AC" w14:textId="77777777" w:rsidR="00FB0D92" w:rsidRPr="00465D35" w:rsidRDefault="00FB0D92" w:rsidP="00FB0D92">
      <w:pPr>
        <w:pStyle w:val="Bibliography"/>
      </w:pPr>
      <w:r w:rsidRPr="00465D35">
        <w:t xml:space="preserve">Blei, A., &amp; Angel, S. (2021). Global monitoring with the atlas of urban expansion. </w:t>
      </w:r>
      <w:r w:rsidRPr="00465D35">
        <w:rPr>
          <w:i/>
          <w:iCs/>
        </w:rPr>
        <w:t>Urban Remote Sensing: Monitoring, Synthesis, and Modeling in the Urban Environment</w:t>
      </w:r>
      <w:r w:rsidRPr="00465D35">
        <w:t>, 247–282.</w:t>
      </w:r>
    </w:p>
    <w:p w14:paraId="24E99755" w14:textId="77777777" w:rsidR="00FB0D92" w:rsidRPr="00465D35" w:rsidRDefault="00FB0D92" w:rsidP="00FB0D92">
      <w:pPr>
        <w:pStyle w:val="Bibliography"/>
      </w:pPr>
      <w:r w:rsidRPr="00465D35">
        <w:t xml:space="preserve">Dijkstra, L., Florczyk, A. J., Freire, S., Kemper, T., Melchiorri, M., Pesaresi, M., &amp; </w:t>
      </w:r>
      <w:proofErr w:type="spellStart"/>
      <w:r w:rsidRPr="00465D35">
        <w:t>Schiavina</w:t>
      </w:r>
      <w:proofErr w:type="spellEnd"/>
      <w:r w:rsidRPr="00465D35">
        <w:t xml:space="preserve">, M. (2021). Applying the degree of </w:t>
      </w:r>
      <w:proofErr w:type="spellStart"/>
      <w:r w:rsidRPr="00465D35">
        <w:t>urbanisation</w:t>
      </w:r>
      <w:proofErr w:type="spellEnd"/>
      <w:r w:rsidRPr="00465D35">
        <w:t xml:space="preserve"> to the globe: A new </w:t>
      </w:r>
      <w:proofErr w:type="spellStart"/>
      <w:r w:rsidRPr="00465D35">
        <w:t>harmonised</w:t>
      </w:r>
      <w:proofErr w:type="spellEnd"/>
      <w:r w:rsidRPr="00465D35">
        <w:t xml:space="preserve"> definition reveals a different picture of global </w:t>
      </w:r>
      <w:proofErr w:type="spellStart"/>
      <w:r w:rsidRPr="00465D35">
        <w:t>urbanisation</w:t>
      </w:r>
      <w:proofErr w:type="spellEnd"/>
      <w:r w:rsidRPr="00465D35">
        <w:t xml:space="preserve">. </w:t>
      </w:r>
      <w:r w:rsidRPr="00465D35">
        <w:rPr>
          <w:i/>
          <w:iCs/>
        </w:rPr>
        <w:t>Journal of Urban Economics</w:t>
      </w:r>
      <w:r w:rsidRPr="00465D35">
        <w:t xml:space="preserve">, </w:t>
      </w:r>
      <w:r w:rsidRPr="00465D35">
        <w:rPr>
          <w:i/>
          <w:iCs/>
        </w:rPr>
        <w:t>125</w:t>
      </w:r>
      <w:r w:rsidRPr="00465D35">
        <w:t>, 103312.</w:t>
      </w:r>
    </w:p>
    <w:p w14:paraId="305F7038" w14:textId="77777777" w:rsidR="00FB0D92" w:rsidRPr="00465D35" w:rsidRDefault="00FB0D92" w:rsidP="00FB0D92">
      <w:pPr>
        <w:pStyle w:val="Bibliography"/>
      </w:pPr>
      <w:r w:rsidRPr="00465D35">
        <w:t xml:space="preserve">Dorward, N., &amp; Fox, S. (2022). Population pressure, political institutions, and protests: A multilevel analysis of protest events in African cities. </w:t>
      </w:r>
      <w:r w:rsidRPr="00465D35">
        <w:rPr>
          <w:i/>
          <w:iCs/>
        </w:rPr>
        <w:t>Political Geography</w:t>
      </w:r>
      <w:r w:rsidRPr="00465D35">
        <w:t xml:space="preserve">, </w:t>
      </w:r>
      <w:r w:rsidRPr="00465D35">
        <w:rPr>
          <w:i/>
          <w:iCs/>
        </w:rPr>
        <w:t>99</w:t>
      </w:r>
      <w:r w:rsidRPr="00465D35">
        <w:t>, 102762.</w:t>
      </w:r>
    </w:p>
    <w:p w14:paraId="5860F41A" w14:textId="77777777" w:rsidR="00FB0D92" w:rsidRPr="00465D35" w:rsidRDefault="00FB0D92" w:rsidP="00FB0D92">
      <w:pPr>
        <w:pStyle w:val="Bibliography"/>
      </w:pPr>
      <w:r w:rsidRPr="00465D35">
        <w:t xml:space="preserve">Dorward, N., Fox, S., Statham, T., &amp; Wolf, L. J. (2023). A spatial-demographic analysis of Africa’s emerging urban geography. </w:t>
      </w:r>
      <w:r w:rsidRPr="00465D35">
        <w:rPr>
          <w:i/>
          <w:iCs/>
        </w:rPr>
        <w:t>Environment &amp; Urbanization</w:t>
      </w:r>
      <w:r w:rsidRPr="00465D35">
        <w:t xml:space="preserve">, </w:t>
      </w:r>
      <w:r w:rsidRPr="00465D35">
        <w:rPr>
          <w:i/>
          <w:iCs/>
        </w:rPr>
        <w:t>35</w:t>
      </w:r>
      <w:r w:rsidRPr="00465D35">
        <w:t>(2), 310–327.</w:t>
      </w:r>
    </w:p>
    <w:p w14:paraId="1A816888" w14:textId="77777777" w:rsidR="00FB0D92" w:rsidRPr="00465D35" w:rsidRDefault="00FB0D92" w:rsidP="00FB0D92">
      <w:pPr>
        <w:pStyle w:val="Bibliography"/>
      </w:pPr>
      <w:r w:rsidRPr="00465D35">
        <w:t xml:space="preserve">Koechlin, L., &amp; Förster, T. (2018). Secondary cities and the formation of political space in West and East Africa. </w:t>
      </w:r>
      <w:r w:rsidRPr="00465D35">
        <w:rPr>
          <w:i/>
          <w:iCs/>
        </w:rPr>
        <w:t>The Palgrave Handbook of Urban Ethnography</w:t>
      </w:r>
      <w:r w:rsidRPr="00465D35">
        <w:t>, 351–368.</w:t>
      </w:r>
    </w:p>
    <w:p w14:paraId="7193F023" w14:textId="77777777" w:rsidR="00FB0D92" w:rsidRPr="00465D35" w:rsidRDefault="00FB0D92" w:rsidP="00FB0D92">
      <w:pPr>
        <w:pStyle w:val="Bibliography"/>
      </w:pPr>
      <w:r w:rsidRPr="00465D35">
        <w:t xml:space="preserve">Kumar, T., &amp; Stenberg, M. (2023). Why political scientists should study smaller cities. </w:t>
      </w:r>
      <w:r w:rsidRPr="00465D35">
        <w:rPr>
          <w:i/>
          <w:iCs/>
        </w:rPr>
        <w:t>Urban Affairs Review</w:t>
      </w:r>
      <w:r w:rsidRPr="00465D35">
        <w:t xml:space="preserve">, </w:t>
      </w:r>
      <w:r w:rsidRPr="00465D35">
        <w:rPr>
          <w:i/>
          <w:iCs/>
        </w:rPr>
        <w:t>59</w:t>
      </w:r>
      <w:r w:rsidRPr="00465D35">
        <w:t>(6), 2005–2042.</w:t>
      </w:r>
    </w:p>
    <w:p w14:paraId="53705A89" w14:textId="77777777" w:rsidR="00FB0D92" w:rsidRPr="00465D35" w:rsidRDefault="00FB0D92" w:rsidP="00FB0D92">
      <w:pPr>
        <w:pStyle w:val="Bibliography"/>
      </w:pPr>
      <w:r w:rsidRPr="00465D35">
        <w:t xml:space="preserve">Melchiorri, M., Freire, S., </w:t>
      </w:r>
      <w:proofErr w:type="spellStart"/>
      <w:r w:rsidRPr="00465D35">
        <w:t>Schiavina</w:t>
      </w:r>
      <w:proofErr w:type="spellEnd"/>
      <w:r w:rsidRPr="00465D35">
        <w:t xml:space="preserve">, M., Florczyk, A., </w:t>
      </w:r>
      <w:proofErr w:type="spellStart"/>
      <w:r w:rsidRPr="00465D35">
        <w:t>Corbane</w:t>
      </w:r>
      <w:proofErr w:type="spellEnd"/>
      <w:r w:rsidRPr="00465D35">
        <w:t xml:space="preserve">, C., </w:t>
      </w:r>
      <w:proofErr w:type="spellStart"/>
      <w:r w:rsidRPr="00465D35">
        <w:t>Maffenini</w:t>
      </w:r>
      <w:proofErr w:type="spellEnd"/>
      <w:r w:rsidRPr="00465D35">
        <w:t xml:space="preserve">, L., Pesaresi, M., Politis, P., Szabo, F., &amp; Ehrlich, D. (2024). The Multi-temporal and Multi-dimensional Global Urban Centre Database to Delineate and </w:t>
      </w:r>
      <w:proofErr w:type="spellStart"/>
      <w:r w:rsidRPr="00465D35">
        <w:t>Analyse</w:t>
      </w:r>
      <w:proofErr w:type="spellEnd"/>
      <w:r w:rsidRPr="00465D35">
        <w:t xml:space="preserve"> World Cities. </w:t>
      </w:r>
      <w:r w:rsidRPr="00465D35">
        <w:rPr>
          <w:i/>
          <w:iCs/>
        </w:rPr>
        <w:t>Scientific Data</w:t>
      </w:r>
      <w:r w:rsidRPr="00465D35">
        <w:t xml:space="preserve">, </w:t>
      </w:r>
      <w:r w:rsidRPr="00465D35">
        <w:rPr>
          <w:i/>
          <w:iCs/>
        </w:rPr>
        <w:t>11</w:t>
      </w:r>
      <w:r w:rsidRPr="00465D35">
        <w:t>(1), 82.</w:t>
      </w:r>
    </w:p>
    <w:p w14:paraId="184E224C" w14:textId="77777777" w:rsidR="00FB0D92" w:rsidRPr="00465D35" w:rsidRDefault="00FB0D92" w:rsidP="00FB0D92"/>
    <w:p w14:paraId="08868000" w14:textId="77777777" w:rsidR="00FB0D92" w:rsidRPr="00EF252C" w:rsidRDefault="00FB0D92" w:rsidP="00FB0D92">
      <w:pPr>
        <w:spacing w:line="276" w:lineRule="auto"/>
      </w:pPr>
    </w:p>
    <w:p w14:paraId="202E8516" w14:textId="77777777" w:rsidR="00FB0D92" w:rsidRPr="00A90CCE" w:rsidRDefault="00FB0D92" w:rsidP="000D057A">
      <w:pPr>
        <w:spacing w:after="120" w:line="480" w:lineRule="auto"/>
        <w:jc w:val="both"/>
        <w:rPr>
          <w:color w:val="000000" w:themeColor="text1"/>
          <w:lang w:eastAsia="en-GB"/>
        </w:rPr>
      </w:pPr>
    </w:p>
    <w:sectPr w:rsidR="00FB0D92" w:rsidRPr="00A90CCE">
      <w:footerReference w:type="even"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BACA6" w14:textId="77777777" w:rsidR="00B237C6" w:rsidRDefault="00B237C6" w:rsidP="009E5B3F">
      <w:r>
        <w:separator/>
      </w:r>
    </w:p>
  </w:endnote>
  <w:endnote w:type="continuationSeparator" w:id="0">
    <w:p w14:paraId="78BF0D9F" w14:textId="77777777" w:rsidR="00B237C6" w:rsidRDefault="00B237C6" w:rsidP="009E5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8057682"/>
      <w:docPartObj>
        <w:docPartGallery w:val="Page Numbers (Bottom of Page)"/>
        <w:docPartUnique/>
      </w:docPartObj>
    </w:sdtPr>
    <w:sdtContent>
      <w:p w14:paraId="12333D09" w14:textId="2621CB22" w:rsidR="00236ADB" w:rsidRDefault="00236ADB" w:rsidP="00021E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ABC1B7" w14:textId="77777777" w:rsidR="00236ADB" w:rsidRDefault="00236ADB" w:rsidP="00236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309218"/>
      <w:docPartObj>
        <w:docPartGallery w:val="Page Numbers (Bottom of Page)"/>
        <w:docPartUnique/>
      </w:docPartObj>
    </w:sdtPr>
    <w:sdtContent>
      <w:p w14:paraId="78D447C3" w14:textId="45DB8F22" w:rsidR="00236ADB" w:rsidRDefault="00236ADB" w:rsidP="00021E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AD70FB" w14:textId="77777777" w:rsidR="00236ADB" w:rsidRDefault="00236ADB" w:rsidP="00236A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66F2D" w14:textId="77777777" w:rsidR="00B237C6" w:rsidRDefault="00B237C6" w:rsidP="009E5B3F">
      <w:r>
        <w:separator/>
      </w:r>
    </w:p>
  </w:footnote>
  <w:footnote w:type="continuationSeparator" w:id="0">
    <w:p w14:paraId="5B00A681" w14:textId="77777777" w:rsidR="00B237C6" w:rsidRDefault="00B237C6" w:rsidP="009E5B3F">
      <w:r>
        <w:continuationSeparator/>
      </w:r>
    </w:p>
  </w:footnote>
  <w:footnote w:id="1">
    <w:p w14:paraId="1FBAB7E0" w14:textId="3E2BD03A" w:rsidR="003E4C57" w:rsidRDefault="003E4C57" w:rsidP="003E4C57">
      <w:pPr>
        <w:pStyle w:val="FootnoteText"/>
      </w:pPr>
      <w:r>
        <w:rPr>
          <w:rStyle w:val="FootnoteReference"/>
        </w:rPr>
        <w:footnoteRef/>
      </w:r>
      <w:r>
        <w:t xml:space="preserve"> School of Geography and Environmental Science, University of Southampton. </w:t>
      </w:r>
    </w:p>
  </w:footnote>
  <w:footnote w:id="2">
    <w:p w14:paraId="592CD92D" w14:textId="77777777" w:rsidR="003E4C57" w:rsidRDefault="003E4C57" w:rsidP="003E4C57">
      <w:pPr>
        <w:pStyle w:val="FootnoteText"/>
      </w:pPr>
      <w:r>
        <w:rPr>
          <w:rStyle w:val="FootnoteReference"/>
        </w:rPr>
        <w:footnoteRef/>
      </w:r>
      <w:r>
        <w:t xml:space="preserve"> Peace Research Institute Oslo</w:t>
      </w:r>
    </w:p>
  </w:footnote>
  <w:footnote w:id="3">
    <w:p w14:paraId="2932E605" w14:textId="5438EAAA" w:rsidR="00F64B90" w:rsidRPr="00CE19D9" w:rsidRDefault="00F64B90" w:rsidP="006260EE">
      <w:pPr>
        <w:pStyle w:val="FootnoteText"/>
        <w:spacing w:line="480" w:lineRule="auto"/>
        <w:jc w:val="both"/>
        <w:rPr>
          <w:lang w:val="en-GB"/>
        </w:rPr>
      </w:pPr>
      <w:r w:rsidRPr="005750D4">
        <w:rPr>
          <w:rStyle w:val="FootnoteReference"/>
        </w:rPr>
        <w:footnoteRef/>
      </w:r>
      <w:r w:rsidRPr="00CE19D9">
        <w:rPr>
          <w:lang w:val="en-GB"/>
        </w:rPr>
        <w:t xml:space="preserve"> </w:t>
      </w:r>
      <w:r w:rsidR="00694FF1">
        <w:rPr>
          <w:lang w:val="en-GB"/>
        </w:rPr>
        <w:t>T</w:t>
      </w:r>
      <w:r w:rsidRPr="00CE19D9">
        <w:rPr>
          <w:color w:val="000000"/>
          <w:lang w:val="en-GB" w:eastAsia="en-GB"/>
        </w:rPr>
        <w:t xml:space="preserve">he index was computed using inverse distance weighting and the </w:t>
      </w:r>
      <w:r w:rsidR="00C80582" w:rsidRPr="00CE19D9">
        <w:rPr>
          <w:color w:val="000000"/>
          <w:lang w:val="en-GB" w:eastAsia="en-GB"/>
        </w:rPr>
        <w:t>components</w:t>
      </w:r>
      <w:r w:rsidRPr="00CE19D9">
        <w:rPr>
          <w:color w:val="000000"/>
          <w:lang w:val="en-GB" w:eastAsia="en-GB"/>
        </w:rPr>
        <w:t xml:space="preserve"> show</w:t>
      </w:r>
      <w:r w:rsidR="00C80582" w:rsidRPr="00CE19D9">
        <w:rPr>
          <w:color w:val="000000"/>
          <w:lang w:val="en-GB" w:eastAsia="en-GB"/>
        </w:rPr>
        <w:t>ing</w:t>
      </w:r>
      <w:r w:rsidRPr="00CE19D9">
        <w:rPr>
          <w:color w:val="000000"/>
          <w:lang w:val="en-GB" w:eastAsia="en-GB"/>
        </w:rPr>
        <w:t xml:space="preserve"> a high degree of internal </w:t>
      </w:r>
      <w:r w:rsidR="00C80582" w:rsidRPr="00CE19D9">
        <w:rPr>
          <w:color w:val="000000"/>
          <w:lang w:val="en-GB" w:eastAsia="en-GB"/>
        </w:rPr>
        <w:t>consistency</w:t>
      </w:r>
      <w:r w:rsidRPr="00CE19D9">
        <w:rPr>
          <w:color w:val="000000"/>
          <w:lang w:val="en-GB" w:eastAsia="en-GB"/>
        </w:rPr>
        <w:t xml:space="preserve"> with a coefficient alpha of </w:t>
      </w:r>
      <w:r w:rsidRPr="00CE19D9">
        <w:rPr>
          <w:color w:val="000000"/>
          <w:lang w:val="en-GB" w:eastAsia="en-GB"/>
        </w:rPr>
        <w:sym w:font="Symbol" w:char="F061"/>
      </w:r>
      <w:r w:rsidRPr="00CE19D9">
        <w:rPr>
          <w:color w:val="000000"/>
          <w:lang w:val="en-GB" w:eastAsia="en-GB"/>
        </w:rPr>
        <w:t xml:space="preserve"> = </w:t>
      </w:r>
      <w:r w:rsidR="00C80582" w:rsidRPr="00CE19D9">
        <w:rPr>
          <w:color w:val="000000"/>
          <w:lang w:val="en-GB" w:eastAsia="en-GB"/>
        </w:rPr>
        <w:t>0.79.</w:t>
      </w:r>
    </w:p>
  </w:footnote>
  <w:footnote w:id="4">
    <w:p w14:paraId="39B67A6A" w14:textId="77777777" w:rsidR="00DC5844" w:rsidRPr="00CE19D9" w:rsidRDefault="00DC5844" w:rsidP="00DC5844">
      <w:pPr>
        <w:pStyle w:val="FootnoteText"/>
        <w:spacing w:line="480" w:lineRule="auto"/>
        <w:jc w:val="both"/>
        <w:rPr>
          <w:lang w:val="en-GB"/>
        </w:rPr>
      </w:pPr>
      <w:r w:rsidRPr="005750D4">
        <w:rPr>
          <w:rStyle w:val="FootnoteReference"/>
        </w:rPr>
        <w:footnoteRef/>
      </w:r>
      <w:r w:rsidRPr="00CE19D9">
        <w:rPr>
          <w:lang w:val="en-GB"/>
        </w:rPr>
        <w:t xml:space="preserve"> </w:t>
      </w:r>
      <w:r>
        <w:rPr>
          <w:lang w:val="en-GB"/>
        </w:rPr>
        <w:t>All cities with a population less than 50,000 people have been dropped as these are settlements for which measurement errors in the UCDB and WorldPop data are likely to be higher (Blei and Angel, 2021). Furthermore, a</w:t>
      </w:r>
      <w:r w:rsidRPr="00CE19D9">
        <w:rPr>
          <w:lang w:val="en-GB"/>
        </w:rPr>
        <w:t>ll cities with fewer than three responses have been dropped from the sample ensuring that there is enough within city information for model convergence. The countries covered are Algeria, Cameroon, Morocco, Nigeria, South Africa, Tanzania, Uganda, Zambia, Ghana, Kenya, Mozambique, Burkina Faso, Burundi, Niger, Togo, Madagascar, Benin, Mali, Tunisia, Guinea, Sudan, Côte d'Ivoire, Sierra Leone, Zimbabwe, Botswana, Lesotho, Namibia, Liberia, and Gabon.</w:t>
      </w:r>
    </w:p>
  </w:footnote>
  <w:footnote w:id="5">
    <w:p w14:paraId="18D9FFD3" w14:textId="740792C4" w:rsidR="00E41B77" w:rsidRDefault="00E41B77">
      <w:pPr>
        <w:pStyle w:val="FootnoteText"/>
      </w:pPr>
      <w:r>
        <w:rPr>
          <w:rStyle w:val="FootnoteReference"/>
        </w:rPr>
        <w:footnoteRef/>
      </w:r>
      <w:r>
        <w:t xml:space="preserve"> The random effects model implicitly assumes no correlation between the individual level regressors and the random intercept. A violation of this assumption would bias our interpretation of those parameters. In Appendix E we conduct robustness checks explicitly model this assumption using a Correlated Random Effects model. The results of these models are consistent with our main analysis. </w:t>
      </w:r>
    </w:p>
  </w:footnote>
  <w:footnote w:id="6">
    <w:p w14:paraId="6CF77475" w14:textId="77777777" w:rsidR="00F97142" w:rsidRPr="00AB4846" w:rsidRDefault="00F97142" w:rsidP="00F97142">
      <w:pPr>
        <w:spacing w:after="120" w:line="480" w:lineRule="auto"/>
        <w:jc w:val="both"/>
        <w:rPr>
          <w:color w:val="000000" w:themeColor="text1"/>
          <w:sz w:val="20"/>
          <w:szCs w:val="20"/>
          <w:lang w:eastAsia="en-GB"/>
        </w:rPr>
      </w:pPr>
      <w:r w:rsidRPr="00AB4846">
        <w:rPr>
          <w:rStyle w:val="FootnoteReference"/>
          <w:sz w:val="20"/>
          <w:szCs w:val="20"/>
        </w:rPr>
        <w:footnoteRef/>
      </w:r>
      <w:r w:rsidRPr="00AB4846">
        <w:rPr>
          <w:sz w:val="20"/>
          <w:szCs w:val="20"/>
        </w:rPr>
        <w:t xml:space="preserve"> </w:t>
      </w:r>
      <w:r>
        <w:rPr>
          <w:color w:val="000000" w:themeColor="text1"/>
          <w:sz w:val="20"/>
          <w:szCs w:val="20"/>
          <w:lang w:eastAsia="en-GB"/>
        </w:rPr>
        <w:t>For age and voting</w:t>
      </w:r>
      <w:r w:rsidRPr="00AB4846">
        <w:rPr>
          <w:color w:val="000000" w:themeColor="text1"/>
          <w:sz w:val="20"/>
          <w:szCs w:val="20"/>
          <w:lang w:eastAsia="en-GB"/>
        </w:rPr>
        <w:t xml:space="preserve">, </w:t>
      </w:r>
      <w:r>
        <w:rPr>
          <w:color w:val="000000" w:themeColor="text1"/>
          <w:sz w:val="20"/>
          <w:szCs w:val="20"/>
          <w:lang w:eastAsia="en-GB"/>
        </w:rPr>
        <w:t xml:space="preserve">our findings contrast slightly with </w:t>
      </w:r>
      <w:r w:rsidRPr="00AB4846">
        <w:rPr>
          <w:color w:val="000000" w:themeColor="text1"/>
          <w:sz w:val="20"/>
          <w:szCs w:val="20"/>
          <w:lang w:eastAsia="en-GB"/>
        </w:rPr>
        <w:t xml:space="preserve">evidence from Europe and North America suggesting a curvilinear relationship between age and voting, with highest rates in the mid-age groups </w:t>
      </w:r>
      <w:r w:rsidRPr="00AB4846">
        <w:rPr>
          <w:color w:val="000000" w:themeColor="text1"/>
          <w:sz w:val="20"/>
          <w:szCs w:val="20"/>
          <w:lang w:eastAsia="en-GB"/>
        </w:rPr>
        <w:fldChar w:fldCharType="begin"/>
      </w:r>
      <w:r w:rsidRPr="00AB4846">
        <w:rPr>
          <w:color w:val="000000" w:themeColor="text1"/>
          <w:sz w:val="20"/>
          <w:szCs w:val="20"/>
          <w:lang w:eastAsia="en-GB"/>
        </w:rPr>
        <w:instrText xml:space="preserve"> ADDIN ZOTERO_ITEM CSL_CITATION {"citationID":"7Ib9e0yk","properties":{"formattedCitation":"(Franklin, 2004; Henn &amp; Foard, 2012; Wattenberg, 2003)","plainCitation":"(Franklin, 2004; Henn &amp; Foard, 2012; Wattenberg, 2003)","noteIndex":0},"citationItems":[{"id":449,"uris":["http://zotero.org/users/11001446/items/NN2PEUW5"],"itemData":{"id":449,"type":"book","ISBN":"0-521-54147-6","publisher":"Cambridge University Press","title":"Voter turnout and the dynamics of electoral competition in established democracies since 1945","author":[{"family":"Franklin","given":"Mark N"}],"issued":{"date-parts":[["2004"]]}}},{"id":738,"uris":["http://zotero.org/users/11001446/items/M2QVG98M"],"itemData":{"id":738,"type":"article-journal","container-title":"Parliamentary affairs","ISSN":"1460-2482","issue":"1","journalAbbreviation":"Parliamentary affairs","note":"publisher: Oxford University Press","page":"47-67","title":"Young people, political participation and trust in Britain","volume":"65","author":[{"family":"Henn","given":"Matt"},{"family":"Foard","given":"Nick"}],"issued":{"date-parts":[["2012"]]}}},{"id":434,"uris":["http://zotero.org/users/11001446/items/53GFCL3M"],"itemData":{"id":434,"type":"article-journal","container-title":"British Elections &amp; Parties Review","DOI":"10.1080/13689880308413092","ISSN":"1368-9886","issue":"1","journalAbbreviation":"British Elections &amp; Parties Review","note":"publisher: Routledge","page":"159-173","title":"Electoral turnout: The new generation gap","volume":"13","author":[{"family":"Wattenberg","given":"Martin P."}],"issued":{"date-parts":[["2003",1,1]]}}}],"schema":"https://github.com/citation-style-language/schema/raw/master/csl-citation.json"} </w:instrText>
      </w:r>
      <w:r w:rsidRPr="00AB4846">
        <w:rPr>
          <w:color w:val="000000" w:themeColor="text1"/>
          <w:sz w:val="20"/>
          <w:szCs w:val="20"/>
          <w:lang w:eastAsia="en-GB"/>
        </w:rPr>
        <w:fldChar w:fldCharType="separate"/>
      </w:r>
      <w:r w:rsidRPr="00AB4846">
        <w:rPr>
          <w:sz w:val="20"/>
          <w:szCs w:val="20"/>
        </w:rPr>
        <w:t>(Franklin, 2004; Henn &amp; Foard, 2012; Wattenberg, 2003)</w:t>
      </w:r>
      <w:r w:rsidRPr="00AB4846">
        <w:rPr>
          <w:color w:val="000000" w:themeColor="text1"/>
          <w:sz w:val="20"/>
          <w:szCs w:val="20"/>
          <w:lang w:eastAsia="en-GB"/>
        </w:rPr>
        <w:fldChar w:fldCharType="end"/>
      </w:r>
      <w:r w:rsidRPr="00AB4846">
        <w:rPr>
          <w:color w:val="000000" w:themeColor="text1"/>
          <w:sz w:val="20"/>
          <w:szCs w:val="20"/>
          <w:lang w:eastAsia="en-GB"/>
        </w:rPr>
        <w:t xml:space="preserve">  </w:t>
      </w:r>
    </w:p>
    <w:p w14:paraId="6C3B8B10" w14:textId="77777777" w:rsidR="00F97142" w:rsidRPr="00AB4846" w:rsidRDefault="00F97142" w:rsidP="00F97142">
      <w:pPr>
        <w:pStyle w:val="FootnoteText"/>
        <w:rPr>
          <w:lang w:val="en-GB"/>
        </w:rPr>
      </w:pPr>
    </w:p>
  </w:footnote>
  <w:footnote w:id="7">
    <w:p w14:paraId="5BA71358" w14:textId="77777777" w:rsidR="00FB0D92" w:rsidRPr="00CE19D9" w:rsidRDefault="00FB0D92" w:rsidP="00FB0D92">
      <w:pPr>
        <w:pStyle w:val="FootnoteText"/>
        <w:spacing w:line="480" w:lineRule="auto"/>
        <w:jc w:val="both"/>
        <w:rPr>
          <w:lang w:val="en-GB"/>
        </w:rPr>
      </w:pPr>
      <w:r w:rsidRPr="009C4294">
        <w:rPr>
          <w:rStyle w:val="FootnoteReference"/>
        </w:rPr>
        <w:footnoteRef/>
      </w:r>
      <w:r w:rsidRPr="00CE19D9">
        <w:rPr>
          <w:lang w:val="en-GB"/>
        </w:rPr>
        <w:t xml:space="preserve"> Each urban centre must have a minimum of four cells.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16E1C"/>
    <w:multiLevelType w:val="hybridMultilevel"/>
    <w:tmpl w:val="BDFC0C6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C03480"/>
    <w:multiLevelType w:val="multilevel"/>
    <w:tmpl w:val="C49C4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D11C0"/>
    <w:multiLevelType w:val="hybridMultilevel"/>
    <w:tmpl w:val="67A4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22972"/>
    <w:multiLevelType w:val="multilevel"/>
    <w:tmpl w:val="15C8DB1C"/>
    <w:lvl w:ilvl="0">
      <w:start w:val="1"/>
      <w:numFmt w:val="decimal"/>
      <w:lvlText w:val="%1."/>
      <w:lvlJc w:val="left"/>
      <w:pPr>
        <w:ind w:left="720" w:hanging="360"/>
      </w:pPr>
      <w:rPr>
        <w:rFonts w:ascii="Times New Roman" w:hAnsi="Times New Roman" w:cs="Times New Roman" w:hint="default"/>
        <w:b/>
        <w:color w:val="212121"/>
        <w:sz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AE339F9"/>
    <w:multiLevelType w:val="multilevel"/>
    <w:tmpl w:val="88AA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980E09"/>
    <w:multiLevelType w:val="multilevel"/>
    <w:tmpl w:val="356E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227FA1"/>
    <w:multiLevelType w:val="multilevel"/>
    <w:tmpl w:val="2324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F4615F"/>
    <w:multiLevelType w:val="multilevel"/>
    <w:tmpl w:val="96F4B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C305C3"/>
    <w:multiLevelType w:val="hybridMultilevel"/>
    <w:tmpl w:val="9888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CF39B8"/>
    <w:multiLevelType w:val="multilevel"/>
    <w:tmpl w:val="2146E49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2E73747"/>
    <w:multiLevelType w:val="hybridMultilevel"/>
    <w:tmpl w:val="D2E6470C"/>
    <w:lvl w:ilvl="0" w:tplc="1870F64E">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6523F67"/>
    <w:multiLevelType w:val="multilevel"/>
    <w:tmpl w:val="31A8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C03846"/>
    <w:multiLevelType w:val="multilevel"/>
    <w:tmpl w:val="1636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0456D8"/>
    <w:multiLevelType w:val="multilevel"/>
    <w:tmpl w:val="CFF0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6564AD"/>
    <w:multiLevelType w:val="multilevel"/>
    <w:tmpl w:val="5D6ECA6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CF6CE8"/>
    <w:multiLevelType w:val="hybridMultilevel"/>
    <w:tmpl w:val="8FDC7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0B34F3"/>
    <w:multiLevelType w:val="hybridMultilevel"/>
    <w:tmpl w:val="DC368758"/>
    <w:lvl w:ilvl="0" w:tplc="36A4A00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B36A29"/>
    <w:multiLevelType w:val="multilevel"/>
    <w:tmpl w:val="CE46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4725928">
    <w:abstractNumId w:val="3"/>
  </w:num>
  <w:num w:numId="2" w16cid:durableId="1436290046">
    <w:abstractNumId w:val="14"/>
  </w:num>
  <w:num w:numId="3" w16cid:durableId="2122145426">
    <w:abstractNumId w:val="0"/>
  </w:num>
  <w:num w:numId="4" w16cid:durableId="234243939">
    <w:abstractNumId w:val="15"/>
  </w:num>
  <w:num w:numId="5" w16cid:durableId="1685090151">
    <w:abstractNumId w:val="2"/>
  </w:num>
  <w:num w:numId="6" w16cid:durableId="1964648523">
    <w:abstractNumId w:val="9"/>
  </w:num>
  <w:num w:numId="7" w16cid:durableId="1443046">
    <w:abstractNumId w:val="10"/>
  </w:num>
  <w:num w:numId="8" w16cid:durableId="1340231003">
    <w:abstractNumId w:val="7"/>
  </w:num>
  <w:num w:numId="9" w16cid:durableId="772869049">
    <w:abstractNumId w:val="13"/>
  </w:num>
  <w:num w:numId="10" w16cid:durableId="1122068876">
    <w:abstractNumId w:val="12"/>
  </w:num>
  <w:num w:numId="11" w16cid:durableId="601844617">
    <w:abstractNumId w:val="1"/>
  </w:num>
  <w:num w:numId="12" w16cid:durableId="1843474443">
    <w:abstractNumId w:val="17"/>
  </w:num>
  <w:num w:numId="13" w16cid:durableId="925383664">
    <w:abstractNumId w:val="11"/>
  </w:num>
  <w:num w:numId="14" w16cid:durableId="542788149">
    <w:abstractNumId w:val="6"/>
  </w:num>
  <w:num w:numId="15" w16cid:durableId="1727027515">
    <w:abstractNumId w:val="5"/>
  </w:num>
  <w:num w:numId="16" w16cid:durableId="1554534647">
    <w:abstractNumId w:val="4"/>
  </w:num>
  <w:num w:numId="17" w16cid:durableId="2127431703">
    <w:abstractNumId w:val="16"/>
  </w:num>
  <w:num w:numId="18" w16cid:durableId="173666463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D33"/>
    <w:rsid w:val="00003CAB"/>
    <w:rsid w:val="00003EDD"/>
    <w:rsid w:val="00006CCD"/>
    <w:rsid w:val="0001053F"/>
    <w:rsid w:val="00012D9B"/>
    <w:rsid w:val="00021EC0"/>
    <w:rsid w:val="00023052"/>
    <w:rsid w:val="00034DE7"/>
    <w:rsid w:val="000353D5"/>
    <w:rsid w:val="000360E6"/>
    <w:rsid w:val="0004049C"/>
    <w:rsid w:val="00040DF2"/>
    <w:rsid w:val="00044E84"/>
    <w:rsid w:val="00046300"/>
    <w:rsid w:val="00046E96"/>
    <w:rsid w:val="00050641"/>
    <w:rsid w:val="00050F8D"/>
    <w:rsid w:val="00052341"/>
    <w:rsid w:val="0005341F"/>
    <w:rsid w:val="00054779"/>
    <w:rsid w:val="00060682"/>
    <w:rsid w:val="00062FAA"/>
    <w:rsid w:val="000660FA"/>
    <w:rsid w:val="00066B2A"/>
    <w:rsid w:val="00067F1C"/>
    <w:rsid w:val="0007243F"/>
    <w:rsid w:val="00082323"/>
    <w:rsid w:val="000846E7"/>
    <w:rsid w:val="000A3648"/>
    <w:rsid w:val="000B42F5"/>
    <w:rsid w:val="000B5BBF"/>
    <w:rsid w:val="000C4665"/>
    <w:rsid w:val="000C5D7A"/>
    <w:rsid w:val="000D057A"/>
    <w:rsid w:val="000D18F0"/>
    <w:rsid w:val="000D1CBB"/>
    <w:rsid w:val="000D311B"/>
    <w:rsid w:val="000D43B9"/>
    <w:rsid w:val="000D7B0C"/>
    <w:rsid w:val="000E071C"/>
    <w:rsid w:val="000E4609"/>
    <w:rsid w:val="000E5390"/>
    <w:rsid w:val="000E57BB"/>
    <w:rsid w:val="000E5DEC"/>
    <w:rsid w:val="000F306A"/>
    <w:rsid w:val="000F3329"/>
    <w:rsid w:val="000F60A0"/>
    <w:rsid w:val="00110F73"/>
    <w:rsid w:val="00113509"/>
    <w:rsid w:val="00114221"/>
    <w:rsid w:val="0011567B"/>
    <w:rsid w:val="00116782"/>
    <w:rsid w:val="00120F49"/>
    <w:rsid w:val="001241EB"/>
    <w:rsid w:val="001244A4"/>
    <w:rsid w:val="001320C4"/>
    <w:rsid w:val="00134ABE"/>
    <w:rsid w:val="0013586E"/>
    <w:rsid w:val="00140038"/>
    <w:rsid w:val="00140FE5"/>
    <w:rsid w:val="00146DFC"/>
    <w:rsid w:val="001471C7"/>
    <w:rsid w:val="001473C9"/>
    <w:rsid w:val="001606D3"/>
    <w:rsid w:val="00161289"/>
    <w:rsid w:val="001621D7"/>
    <w:rsid w:val="00164E53"/>
    <w:rsid w:val="0016542F"/>
    <w:rsid w:val="001662D8"/>
    <w:rsid w:val="00174BD3"/>
    <w:rsid w:val="00176837"/>
    <w:rsid w:val="0018046C"/>
    <w:rsid w:val="00181F36"/>
    <w:rsid w:val="00183C43"/>
    <w:rsid w:val="001905D5"/>
    <w:rsid w:val="00193B50"/>
    <w:rsid w:val="001A1111"/>
    <w:rsid w:val="001A20A8"/>
    <w:rsid w:val="001A2FC7"/>
    <w:rsid w:val="001A32C8"/>
    <w:rsid w:val="001A358C"/>
    <w:rsid w:val="001B0B83"/>
    <w:rsid w:val="001B1000"/>
    <w:rsid w:val="001B22ED"/>
    <w:rsid w:val="001B44B0"/>
    <w:rsid w:val="001B4F09"/>
    <w:rsid w:val="001B57B5"/>
    <w:rsid w:val="001C0A3E"/>
    <w:rsid w:val="001C1804"/>
    <w:rsid w:val="001C2DBD"/>
    <w:rsid w:val="001C38C9"/>
    <w:rsid w:val="001C437E"/>
    <w:rsid w:val="001C747D"/>
    <w:rsid w:val="001C7A4D"/>
    <w:rsid w:val="001D301E"/>
    <w:rsid w:val="001D421B"/>
    <w:rsid w:val="001E24A8"/>
    <w:rsid w:val="001E345C"/>
    <w:rsid w:val="001E45B3"/>
    <w:rsid w:val="001E6556"/>
    <w:rsid w:val="001E717A"/>
    <w:rsid w:val="001E7ADF"/>
    <w:rsid w:val="001F232B"/>
    <w:rsid w:val="001F2529"/>
    <w:rsid w:val="001F39C3"/>
    <w:rsid w:val="001F4F2E"/>
    <w:rsid w:val="002026EB"/>
    <w:rsid w:val="00203C46"/>
    <w:rsid w:val="00205372"/>
    <w:rsid w:val="00206284"/>
    <w:rsid w:val="0020643E"/>
    <w:rsid w:val="00207A9F"/>
    <w:rsid w:val="0021587A"/>
    <w:rsid w:val="002177DF"/>
    <w:rsid w:val="002206F7"/>
    <w:rsid w:val="00225D9C"/>
    <w:rsid w:val="00226A32"/>
    <w:rsid w:val="00232C1C"/>
    <w:rsid w:val="00232DD5"/>
    <w:rsid w:val="00232F18"/>
    <w:rsid w:val="002339E6"/>
    <w:rsid w:val="0023569D"/>
    <w:rsid w:val="00235864"/>
    <w:rsid w:val="00236530"/>
    <w:rsid w:val="00236ADB"/>
    <w:rsid w:val="00237837"/>
    <w:rsid w:val="0024251B"/>
    <w:rsid w:val="00242C05"/>
    <w:rsid w:val="00243B6A"/>
    <w:rsid w:val="002455C5"/>
    <w:rsid w:val="00246A4E"/>
    <w:rsid w:val="00247177"/>
    <w:rsid w:val="00247B3E"/>
    <w:rsid w:val="002515A4"/>
    <w:rsid w:val="002540E9"/>
    <w:rsid w:val="00256CD2"/>
    <w:rsid w:val="00257685"/>
    <w:rsid w:val="00261523"/>
    <w:rsid w:val="00267029"/>
    <w:rsid w:val="002676FE"/>
    <w:rsid w:val="002800E4"/>
    <w:rsid w:val="00280510"/>
    <w:rsid w:val="00280CB9"/>
    <w:rsid w:val="002815E4"/>
    <w:rsid w:val="002836BD"/>
    <w:rsid w:val="002842CB"/>
    <w:rsid w:val="00284790"/>
    <w:rsid w:val="00290D16"/>
    <w:rsid w:val="00292424"/>
    <w:rsid w:val="00294692"/>
    <w:rsid w:val="00295CE5"/>
    <w:rsid w:val="002A0504"/>
    <w:rsid w:val="002A1706"/>
    <w:rsid w:val="002A1FB8"/>
    <w:rsid w:val="002A2E7A"/>
    <w:rsid w:val="002A38D3"/>
    <w:rsid w:val="002A422A"/>
    <w:rsid w:val="002A44DA"/>
    <w:rsid w:val="002A57C6"/>
    <w:rsid w:val="002B09FC"/>
    <w:rsid w:val="002B2115"/>
    <w:rsid w:val="002B5B51"/>
    <w:rsid w:val="002B5C14"/>
    <w:rsid w:val="002B61CF"/>
    <w:rsid w:val="002B6C6E"/>
    <w:rsid w:val="002C48E8"/>
    <w:rsid w:val="002D4093"/>
    <w:rsid w:val="002D733A"/>
    <w:rsid w:val="002D78B5"/>
    <w:rsid w:val="002E34B6"/>
    <w:rsid w:val="002E3DD1"/>
    <w:rsid w:val="002F057B"/>
    <w:rsid w:val="002F1F8C"/>
    <w:rsid w:val="002F2FF1"/>
    <w:rsid w:val="002F6092"/>
    <w:rsid w:val="002F6B4F"/>
    <w:rsid w:val="002F6D70"/>
    <w:rsid w:val="00300EC4"/>
    <w:rsid w:val="00301BBB"/>
    <w:rsid w:val="00305FF0"/>
    <w:rsid w:val="00306CCE"/>
    <w:rsid w:val="003071F7"/>
    <w:rsid w:val="003103EA"/>
    <w:rsid w:val="0031689F"/>
    <w:rsid w:val="003210DF"/>
    <w:rsid w:val="00326393"/>
    <w:rsid w:val="003302EE"/>
    <w:rsid w:val="0033200D"/>
    <w:rsid w:val="00336E39"/>
    <w:rsid w:val="00340E95"/>
    <w:rsid w:val="00341714"/>
    <w:rsid w:val="00342C52"/>
    <w:rsid w:val="003443D3"/>
    <w:rsid w:val="0034442F"/>
    <w:rsid w:val="0035098C"/>
    <w:rsid w:val="00350E80"/>
    <w:rsid w:val="00352B38"/>
    <w:rsid w:val="00354FCC"/>
    <w:rsid w:val="00355913"/>
    <w:rsid w:val="0036127A"/>
    <w:rsid w:val="00361370"/>
    <w:rsid w:val="00366747"/>
    <w:rsid w:val="00372B8A"/>
    <w:rsid w:val="003732A5"/>
    <w:rsid w:val="003738E7"/>
    <w:rsid w:val="00374B5F"/>
    <w:rsid w:val="00375EF5"/>
    <w:rsid w:val="00375F3C"/>
    <w:rsid w:val="00376335"/>
    <w:rsid w:val="0037738A"/>
    <w:rsid w:val="00382C47"/>
    <w:rsid w:val="00382F89"/>
    <w:rsid w:val="00385ED7"/>
    <w:rsid w:val="00386C3E"/>
    <w:rsid w:val="00387B89"/>
    <w:rsid w:val="00392E91"/>
    <w:rsid w:val="003948A7"/>
    <w:rsid w:val="00394FE2"/>
    <w:rsid w:val="003A0542"/>
    <w:rsid w:val="003A0FF1"/>
    <w:rsid w:val="003A3023"/>
    <w:rsid w:val="003A4E94"/>
    <w:rsid w:val="003B05B1"/>
    <w:rsid w:val="003C7591"/>
    <w:rsid w:val="003D2DE6"/>
    <w:rsid w:val="003D3A69"/>
    <w:rsid w:val="003E316F"/>
    <w:rsid w:val="003E4C57"/>
    <w:rsid w:val="003E5D1A"/>
    <w:rsid w:val="003E61AF"/>
    <w:rsid w:val="003E7371"/>
    <w:rsid w:val="003F1AB0"/>
    <w:rsid w:val="003F1B02"/>
    <w:rsid w:val="003F27B6"/>
    <w:rsid w:val="003F3CDC"/>
    <w:rsid w:val="003F589D"/>
    <w:rsid w:val="003F6383"/>
    <w:rsid w:val="00400DA4"/>
    <w:rsid w:val="0040308A"/>
    <w:rsid w:val="00404418"/>
    <w:rsid w:val="00404FB2"/>
    <w:rsid w:val="00405318"/>
    <w:rsid w:val="00411082"/>
    <w:rsid w:val="0041383E"/>
    <w:rsid w:val="00414259"/>
    <w:rsid w:val="0041426E"/>
    <w:rsid w:val="004148D3"/>
    <w:rsid w:val="004163A5"/>
    <w:rsid w:val="004200D4"/>
    <w:rsid w:val="00420EB2"/>
    <w:rsid w:val="00423FE8"/>
    <w:rsid w:val="00425E8A"/>
    <w:rsid w:val="00426611"/>
    <w:rsid w:val="0043085A"/>
    <w:rsid w:val="00433207"/>
    <w:rsid w:val="00433664"/>
    <w:rsid w:val="00434D78"/>
    <w:rsid w:val="0044231C"/>
    <w:rsid w:val="00447D47"/>
    <w:rsid w:val="004501BF"/>
    <w:rsid w:val="0045182A"/>
    <w:rsid w:val="004568AF"/>
    <w:rsid w:val="00461964"/>
    <w:rsid w:val="004630DE"/>
    <w:rsid w:val="004676D8"/>
    <w:rsid w:val="00467EE5"/>
    <w:rsid w:val="00471D53"/>
    <w:rsid w:val="00476F3D"/>
    <w:rsid w:val="004858DB"/>
    <w:rsid w:val="0048659A"/>
    <w:rsid w:val="00490DE7"/>
    <w:rsid w:val="004917B6"/>
    <w:rsid w:val="0049206C"/>
    <w:rsid w:val="004927BA"/>
    <w:rsid w:val="00493BCB"/>
    <w:rsid w:val="00493F84"/>
    <w:rsid w:val="00494285"/>
    <w:rsid w:val="00494988"/>
    <w:rsid w:val="00495460"/>
    <w:rsid w:val="00495E61"/>
    <w:rsid w:val="004B0609"/>
    <w:rsid w:val="004B61B3"/>
    <w:rsid w:val="004C16F0"/>
    <w:rsid w:val="004C1941"/>
    <w:rsid w:val="004C337E"/>
    <w:rsid w:val="004C4B72"/>
    <w:rsid w:val="004C4E01"/>
    <w:rsid w:val="004E4003"/>
    <w:rsid w:val="004E55FE"/>
    <w:rsid w:val="004E595F"/>
    <w:rsid w:val="004E7E9F"/>
    <w:rsid w:val="004F1B8F"/>
    <w:rsid w:val="004F47DB"/>
    <w:rsid w:val="004F7709"/>
    <w:rsid w:val="005007BE"/>
    <w:rsid w:val="00500D63"/>
    <w:rsid w:val="005028B7"/>
    <w:rsid w:val="0050452C"/>
    <w:rsid w:val="00511D03"/>
    <w:rsid w:val="00521F38"/>
    <w:rsid w:val="0053322F"/>
    <w:rsid w:val="00537D05"/>
    <w:rsid w:val="00541027"/>
    <w:rsid w:val="00541B08"/>
    <w:rsid w:val="005427F0"/>
    <w:rsid w:val="00545081"/>
    <w:rsid w:val="00546531"/>
    <w:rsid w:val="0054711B"/>
    <w:rsid w:val="005512BF"/>
    <w:rsid w:val="005540F2"/>
    <w:rsid w:val="00554CE8"/>
    <w:rsid w:val="00557E2A"/>
    <w:rsid w:val="00561E20"/>
    <w:rsid w:val="00562BD4"/>
    <w:rsid w:val="00571AF5"/>
    <w:rsid w:val="00573975"/>
    <w:rsid w:val="005750D4"/>
    <w:rsid w:val="00575D3C"/>
    <w:rsid w:val="00580B7D"/>
    <w:rsid w:val="00580E9C"/>
    <w:rsid w:val="005836EF"/>
    <w:rsid w:val="00585751"/>
    <w:rsid w:val="00585EE0"/>
    <w:rsid w:val="00586CE6"/>
    <w:rsid w:val="00587242"/>
    <w:rsid w:val="0059106C"/>
    <w:rsid w:val="005956F5"/>
    <w:rsid w:val="005A0B83"/>
    <w:rsid w:val="005A36CA"/>
    <w:rsid w:val="005A3B51"/>
    <w:rsid w:val="005A6B2D"/>
    <w:rsid w:val="005B10C1"/>
    <w:rsid w:val="005B1BAA"/>
    <w:rsid w:val="005B4B25"/>
    <w:rsid w:val="005B5FBF"/>
    <w:rsid w:val="005B6D0C"/>
    <w:rsid w:val="005D077C"/>
    <w:rsid w:val="005D4FBC"/>
    <w:rsid w:val="005D5BE9"/>
    <w:rsid w:val="005D69AC"/>
    <w:rsid w:val="005E265A"/>
    <w:rsid w:val="005E2C3D"/>
    <w:rsid w:val="005E33DC"/>
    <w:rsid w:val="005E39AD"/>
    <w:rsid w:val="005F16FC"/>
    <w:rsid w:val="005F71B6"/>
    <w:rsid w:val="00605753"/>
    <w:rsid w:val="0061661F"/>
    <w:rsid w:val="0062280E"/>
    <w:rsid w:val="00622B60"/>
    <w:rsid w:val="006260EE"/>
    <w:rsid w:val="006269F5"/>
    <w:rsid w:val="006321CA"/>
    <w:rsid w:val="00635AC2"/>
    <w:rsid w:val="0063795D"/>
    <w:rsid w:val="00641AEF"/>
    <w:rsid w:val="00651346"/>
    <w:rsid w:val="00651C8F"/>
    <w:rsid w:val="0065409D"/>
    <w:rsid w:val="006552D8"/>
    <w:rsid w:val="00660C7A"/>
    <w:rsid w:val="00662CC6"/>
    <w:rsid w:val="00663484"/>
    <w:rsid w:val="00663958"/>
    <w:rsid w:val="00664FBB"/>
    <w:rsid w:val="006669ED"/>
    <w:rsid w:val="00671B87"/>
    <w:rsid w:val="00685A43"/>
    <w:rsid w:val="00690E53"/>
    <w:rsid w:val="00694FF1"/>
    <w:rsid w:val="00697A75"/>
    <w:rsid w:val="006A550F"/>
    <w:rsid w:val="006A6108"/>
    <w:rsid w:val="006B2687"/>
    <w:rsid w:val="006B2E61"/>
    <w:rsid w:val="006C06BD"/>
    <w:rsid w:val="006C077E"/>
    <w:rsid w:val="006C307A"/>
    <w:rsid w:val="006C45BD"/>
    <w:rsid w:val="006C5A66"/>
    <w:rsid w:val="006C5A8B"/>
    <w:rsid w:val="006C69D0"/>
    <w:rsid w:val="006C7424"/>
    <w:rsid w:val="006D0A00"/>
    <w:rsid w:val="006D2C15"/>
    <w:rsid w:val="006E1844"/>
    <w:rsid w:val="006E2302"/>
    <w:rsid w:val="006E77E1"/>
    <w:rsid w:val="006F69D9"/>
    <w:rsid w:val="00700CD3"/>
    <w:rsid w:val="00703BA8"/>
    <w:rsid w:val="0070570D"/>
    <w:rsid w:val="00713EAE"/>
    <w:rsid w:val="007244A7"/>
    <w:rsid w:val="007246DA"/>
    <w:rsid w:val="00725D04"/>
    <w:rsid w:val="00727F9F"/>
    <w:rsid w:val="007418F3"/>
    <w:rsid w:val="0074569D"/>
    <w:rsid w:val="0074613D"/>
    <w:rsid w:val="007466B4"/>
    <w:rsid w:val="00747F8D"/>
    <w:rsid w:val="007501D8"/>
    <w:rsid w:val="00750A13"/>
    <w:rsid w:val="00751954"/>
    <w:rsid w:val="007536BA"/>
    <w:rsid w:val="00756E34"/>
    <w:rsid w:val="007572D2"/>
    <w:rsid w:val="00764BF9"/>
    <w:rsid w:val="007764B6"/>
    <w:rsid w:val="0077657A"/>
    <w:rsid w:val="007802E9"/>
    <w:rsid w:val="00783A78"/>
    <w:rsid w:val="00784807"/>
    <w:rsid w:val="00785C18"/>
    <w:rsid w:val="007864F0"/>
    <w:rsid w:val="00786665"/>
    <w:rsid w:val="007872F0"/>
    <w:rsid w:val="00790DC9"/>
    <w:rsid w:val="007A357A"/>
    <w:rsid w:val="007A56DB"/>
    <w:rsid w:val="007A635E"/>
    <w:rsid w:val="007A730F"/>
    <w:rsid w:val="007B05CE"/>
    <w:rsid w:val="007B27E4"/>
    <w:rsid w:val="007B4F58"/>
    <w:rsid w:val="007B60AE"/>
    <w:rsid w:val="007B7CF0"/>
    <w:rsid w:val="007C17B1"/>
    <w:rsid w:val="007C43B0"/>
    <w:rsid w:val="007C5273"/>
    <w:rsid w:val="007E59B8"/>
    <w:rsid w:val="007E5F56"/>
    <w:rsid w:val="007F3006"/>
    <w:rsid w:val="007F3A1D"/>
    <w:rsid w:val="007F3E88"/>
    <w:rsid w:val="00801AD7"/>
    <w:rsid w:val="00802F76"/>
    <w:rsid w:val="00804002"/>
    <w:rsid w:val="00814943"/>
    <w:rsid w:val="00816E38"/>
    <w:rsid w:val="0082002E"/>
    <w:rsid w:val="00823ED1"/>
    <w:rsid w:val="00826EE9"/>
    <w:rsid w:val="0082745B"/>
    <w:rsid w:val="008276B2"/>
    <w:rsid w:val="00827EEA"/>
    <w:rsid w:val="00830F98"/>
    <w:rsid w:val="00832993"/>
    <w:rsid w:val="00834A44"/>
    <w:rsid w:val="0083569B"/>
    <w:rsid w:val="00836F49"/>
    <w:rsid w:val="00837508"/>
    <w:rsid w:val="00843301"/>
    <w:rsid w:val="00852AAE"/>
    <w:rsid w:val="0085563B"/>
    <w:rsid w:val="00861484"/>
    <w:rsid w:val="00863A9B"/>
    <w:rsid w:val="0086793B"/>
    <w:rsid w:val="00867C80"/>
    <w:rsid w:val="00871B68"/>
    <w:rsid w:val="00880007"/>
    <w:rsid w:val="00881BDC"/>
    <w:rsid w:val="00884C34"/>
    <w:rsid w:val="00885486"/>
    <w:rsid w:val="00890670"/>
    <w:rsid w:val="008A3F73"/>
    <w:rsid w:val="008B01F6"/>
    <w:rsid w:val="008B1424"/>
    <w:rsid w:val="008B65C1"/>
    <w:rsid w:val="008B737B"/>
    <w:rsid w:val="008C2FB3"/>
    <w:rsid w:val="008C6F79"/>
    <w:rsid w:val="008C7A86"/>
    <w:rsid w:val="008D3D5F"/>
    <w:rsid w:val="008D4DDC"/>
    <w:rsid w:val="008D796F"/>
    <w:rsid w:val="008D7AAD"/>
    <w:rsid w:val="008E35A0"/>
    <w:rsid w:val="008F57F7"/>
    <w:rsid w:val="008F6C58"/>
    <w:rsid w:val="0090201A"/>
    <w:rsid w:val="00902405"/>
    <w:rsid w:val="00903AE9"/>
    <w:rsid w:val="00906126"/>
    <w:rsid w:val="00913987"/>
    <w:rsid w:val="00914A83"/>
    <w:rsid w:val="00915CEF"/>
    <w:rsid w:val="00923ABC"/>
    <w:rsid w:val="00925282"/>
    <w:rsid w:val="00925429"/>
    <w:rsid w:val="00931491"/>
    <w:rsid w:val="0093293D"/>
    <w:rsid w:val="00933535"/>
    <w:rsid w:val="0094161F"/>
    <w:rsid w:val="0094207E"/>
    <w:rsid w:val="0094298A"/>
    <w:rsid w:val="00942A7C"/>
    <w:rsid w:val="0094664D"/>
    <w:rsid w:val="009471F7"/>
    <w:rsid w:val="00953C2B"/>
    <w:rsid w:val="00956869"/>
    <w:rsid w:val="00960DED"/>
    <w:rsid w:val="009622D0"/>
    <w:rsid w:val="0096411B"/>
    <w:rsid w:val="009643FD"/>
    <w:rsid w:val="0096777D"/>
    <w:rsid w:val="009718C7"/>
    <w:rsid w:val="009737A4"/>
    <w:rsid w:val="009749E8"/>
    <w:rsid w:val="00975364"/>
    <w:rsid w:val="009763C0"/>
    <w:rsid w:val="00991D99"/>
    <w:rsid w:val="009962FE"/>
    <w:rsid w:val="00996B39"/>
    <w:rsid w:val="009A1194"/>
    <w:rsid w:val="009A1C17"/>
    <w:rsid w:val="009A3716"/>
    <w:rsid w:val="009A40BE"/>
    <w:rsid w:val="009C005D"/>
    <w:rsid w:val="009C05DD"/>
    <w:rsid w:val="009C358E"/>
    <w:rsid w:val="009C4294"/>
    <w:rsid w:val="009D4D90"/>
    <w:rsid w:val="009D69B7"/>
    <w:rsid w:val="009D6BAB"/>
    <w:rsid w:val="009E1BC4"/>
    <w:rsid w:val="009E2135"/>
    <w:rsid w:val="009E2421"/>
    <w:rsid w:val="009E39AA"/>
    <w:rsid w:val="009E4456"/>
    <w:rsid w:val="009E543D"/>
    <w:rsid w:val="009E5600"/>
    <w:rsid w:val="009E5B3F"/>
    <w:rsid w:val="009E5DC4"/>
    <w:rsid w:val="009E78AF"/>
    <w:rsid w:val="009F4A18"/>
    <w:rsid w:val="009F5EA0"/>
    <w:rsid w:val="009F6AD3"/>
    <w:rsid w:val="009F7AAC"/>
    <w:rsid w:val="00A00ED7"/>
    <w:rsid w:val="00A06842"/>
    <w:rsid w:val="00A1006C"/>
    <w:rsid w:val="00A16C81"/>
    <w:rsid w:val="00A17F17"/>
    <w:rsid w:val="00A22D37"/>
    <w:rsid w:val="00A257D3"/>
    <w:rsid w:val="00A25D1F"/>
    <w:rsid w:val="00A26EB6"/>
    <w:rsid w:val="00A339A6"/>
    <w:rsid w:val="00A34EE4"/>
    <w:rsid w:val="00A40458"/>
    <w:rsid w:val="00A438C5"/>
    <w:rsid w:val="00A52A99"/>
    <w:rsid w:val="00A53360"/>
    <w:rsid w:val="00A54FF2"/>
    <w:rsid w:val="00A562E6"/>
    <w:rsid w:val="00A615B8"/>
    <w:rsid w:val="00A627DD"/>
    <w:rsid w:val="00A63184"/>
    <w:rsid w:val="00A63C66"/>
    <w:rsid w:val="00A67F35"/>
    <w:rsid w:val="00A73046"/>
    <w:rsid w:val="00A74A74"/>
    <w:rsid w:val="00A7541E"/>
    <w:rsid w:val="00A75B51"/>
    <w:rsid w:val="00A774EA"/>
    <w:rsid w:val="00A81847"/>
    <w:rsid w:val="00A8698B"/>
    <w:rsid w:val="00A90CCE"/>
    <w:rsid w:val="00A93703"/>
    <w:rsid w:val="00A93D71"/>
    <w:rsid w:val="00A93E9F"/>
    <w:rsid w:val="00A94B9D"/>
    <w:rsid w:val="00A94D76"/>
    <w:rsid w:val="00AA07F0"/>
    <w:rsid w:val="00AA11CE"/>
    <w:rsid w:val="00AA1326"/>
    <w:rsid w:val="00AB0CEA"/>
    <w:rsid w:val="00AB61AE"/>
    <w:rsid w:val="00AB6C20"/>
    <w:rsid w:val="00AB7759"/>
    <w:rsid w:val="00AC18C7"/>
    <w:rsid w:val="00AC70CB"/>
    <w:rsid w:val="00AC7F49"/>
    <w:rsid w:val="00AD00B3"/>
    <w:rsid w:val="00AD5564"/>
    <w:rsid w:val="00AE03D5"/>
    <w:rsid w:val="00AE56C8"/>
    <w:rsid w:val="00AE5BCE"/>
    <w:rsid w:val="00AE787E"/>
    <w:rsid w:val="00AF0A49"/>
    <w:rsid w:val="00AF0DC7"/>
    <w:rsid w:val="00AF1C79"/>
    <w:rsid w:val="00AF2731"/>
    <w:rsid w:val="00AF5FDE"/>
    <w:rsid w:val="00B06990"/>
    <w:rsid w:val="00B12F74"/>
    <w:rsid w:val="00B15247"/>
    <w:rsid w:val="00B201C0"/>
    <w:rsid w:val="00B210FE"/>
    <w:rsid w:val="00B237C6"/>
    <w:rsid w:val="00B260C8"/>
    <w:rsid w:val="00B30420"/>
    <w:rsid w:val="00B31830"/>
    <w:rsid w:val="00B3348C"/>
    <w:rsid w:val="00B339DC"/>
    <w:rsid w:val="00B356BC"/>
    <w:rsid w:val="00B36000"/>
    <w:rsid w:val="00B424B1"/>
    <w:rsid w:val="00B479C7"/>
    <w:rsid w:val="00B47DFF"/>
    <w:rsid w:val="00B517CB"/>
    <w:rsid w:val="00B51B9E"/>
    <w:rsid w:val="00B521C7"/>
    <w:rsid w:val="00B52409"/>
    <w:rsid w:val="00B527F1"/>
    <w:rsid w:val="00B557F0"/>
    <w:rsid w:val="00B5619C"/>
    <w:rsid w:val="00B5661D"/>
    <w:rsid w:val="00B57081"/>
    <w:rsid w:val="00B6084B"/>
    <w:rsid w:val="00B61AC7"/>
    <w:rsid w:val="00B64D51"/>
    <w:rsid w:val="00B65876"/>
    <w:rsid w:val="00B704BB"/>
    <w:rsid w:val="00B71F2B"/>
    <w:rsid w:val="00B748D2"/>
    <w:rsid w:val="00B77E1F"/>
    <w:rsid w:val="00B83B1D"/>
    <w:rsid w:val="00B94526"/>
    <w:rsid w:val="00B953AE"/>
    <w:rsid w:val="00B962B2"/>
    <w:rsid w:val="00B96994"/>
    <w:rsid w:val="00BA4412"/>
    <w:rsid w:val="00BB1F0B"/>
    <w:rsid w:val="00BC1184"/>
    <w:rsid w:val="00BC2A56"/>
    <w:rsid w:val="00BC3E93"/>
    <w:rsid w:val="00BC5F58"/>
    <w:rsid w:val="00BC644B"/>
    <w:rsid w:val="00BC6B29"/>
    <w:rsid w:val="00BC7436"/>
    <w:rsid w:val="00BD42D7"/>
    <w:rsid w:val="00BD4473"/>
    <w:rsid w:val="00BD7393"/>
    <w:rsid w:val="00BE14BD"/>
    <w:rsid w:val="00BE6CB8"/>
    <w:rsid w:val="00BF0BD8"/>
    <w:rsid w:val="00BF34DC"/>
    <w:rsid w:val="00BF3F69"/>
    <w:rsid w:val="00BF4A64"/>
    <w:rsid w:val="00BF6875"/>
    <w:rsid w:val="00C008B5"/>
    <w:rsid w:val="00C04FDD"/>
    <w:rsid w:val="00C06E6F"/>
    <w:rsid w:val="00C11BA0"/>
    <w:rsid w:val="00C11D54"/>
    <w:rsid w:val="00C13E58"/>
    <w:rsid w:val="00C20996"/>
    <w:rsid w:val="00C23802"/>
    <w:rsid w:val="00C24101"/>
    <w:rsid w:val="00C26CCE"/>
    <w:rsid w:val="00C27974"/>
    <w:rsid w:val="00C301DC"/>
    <w:rsid w:val="00C317EF"/>
    <w:rsid w:val="00C36530"/>
    <w:rsid w:val="00C411BC"/>
    <w:rsid w:val="00C417FE"/>
    <w:rsid w:val="00C430CD"/>
    <w:rsid w:val="00C4344B"/>
    <w:rsid w:val="00C4487B"/>
    <w:rsid w:val="00C4577C"/>
    <w:rsid w:val="00C56A71"/>
    <w:rsid w:val="00C60A1F"/>
    <w:rsid w:val="00C648EE"/>
    <w:rsid w:val="00C662F2"/>
    <w:rsid w:val="00C67842"/>
    <w:rsid w:val="00C67F16"/>
    <w:rsid w:val="00C71201"/>
    <w:rsid w:val="00C77BA2"/>
    <w:rsid w:val="00C80582"/>
    <w:rsid w:val="00C8314F"/>
    <w:rsid w:val="00C84F68"/>
    <w:rsid w:val="00C856F1"/>
    <w:rsid w:val="00C87A96"/>
    <w:rsid w:val="00C90932"/>
    <w:rsid w:val="00C96CA8"/>
    <w:rsid w:val="00C970A0"/>
    <w:rsid w:val="00CB382A"/>
    <w:rsid w:val="00CB449F"/>
    <w:rsid w:val="00CB6741"/>
    <w:rsid w:val="00CB6C25"/>
    <w:rsid w:val="00CC1968"/>
    <w:rsid w:val="00CC2D88"/>
    <w:rsid w:val="00CC2D94"/>
    <w:rsid w:val="00CC3E3F"/>
    <w:rsid w:val="00CC50E4"/>
    <w:rsid w:val="00CC7732"/>
    <w:rsid w:val="00CD073D"/>
    <w:rsid w:val="00CD3E23"/>
    <w:rsid w:val="00CD4B67"/>
    <w:rsid w:val="00CE19D9"/>
    <w:rsid w:val="00CF1BEA"/>
    <w:rsid w:val="00CF381C"/>
    <w:rsid w:val="00D03976"/>
    <w:rsid w:val="00D0413E"/>
    <w:rsid w:val="00D04952"/>
    <w:rsid w:val="00D06F14"/>
    <w:rsid w:val="00D10CB9"/>
    <w:rsid w:val="00D12458"/>
    <w:rsid w:val="00D13692"/>
    <w:rsid w:val="00D16304"/>
    <w:rsid w:val="00D1682F"/>
    <w:rsid w:val="00D171F0"/>
    <w:rsid w:val="00D17414"/>
    <w:rsid w:val="00D218E5"/>
    <w:rsid w:val="00D27333"/>
    <w:rsid w:val="00D3161B"/>
    <w:rsid w:val="00D32722"/>
    <w:rsid w:val="00D34687"/>
    <w:rsid w:val="00D34D68"/>
    <w:rsid w:val="00D363C7"/>
    <w:rsid w:val="00D37883"/>
    <w:rsid w:val="00D37D7C"/>
    <w:rsid w:val="00D408A4"/>
    <w:rsid w:val="00D41FA9"/>
    <w:rsid w:val="00D423A0"/>
    <w:rsid w:val="00D43D06"/>
    <w:rsid w:val="00D50655"/>
    <w:rsid w:val="00D53439"/>
    <w:rsid w:val="00D60672"/>
    <w:rsid w:val="00D625BB"/>
    <w:rsid w:val="00D66826"/>
    <w:rsid w:val="00D705D6"/>
    <w:rsid w:val="00D72259"/>
    <w:rsid w:val="00D81405"/>
    <w:rsid w:val="00D834E9"/>
    <w:rsid w:val="00D85ADD"/>
    <w:rsid w:val="00D873E3"/>
    <w:rsid w:val="00D919E3"/>
    <w:rsid w:val="00D91C0E"/>
    <w:rsid w:val="00D96FFA"/>
    <w:rsid w:val="00DA1368"/>
    <w:rsid w:val="00DA30C1"/>
    <w:rsid w:val="00DA6981"/>
    <w:rsid w:val="00DB0A22"/>
    <w:rsid w:val="00DB18DC"/>
    <w:rsid w:val="00DB44D6"/>
    <w:rsid w:val="00DB5152"/>
    <w:rsid w:val="00DB51EC"/>
    <w:rsid w:val="00DB6C3C"/>
    <w:rsid w:val="00DC0067"/>
    <w:rsid w:val="00DC0F57"/>
    <w:rsid w:val="00DC169E"/>
    <w:rsid w:val="00DC5844"/>
    <w:rsid w:val="00DC58DB"/>
    <w:rsid w:val="00DD28C1"/>
    <w:rsid w:val="00DD4509"/>
    <w:rsid w:val="00DD64F3"/>
    <w:rsid w:val="00DE0D42"/>
    <w:rsid w:val="00DE4567"/>
    <w:rsid w:val="00DE5BE6"/>
    <w:rsid w:val="00DE6952"/>
    <w:rsid w:val="00DF04C3"/>
    <w:rsid w:val="00DF143E"/>
    <w:rsid w:val="00DF1C28"/>
    <w:rsid w:val="00E02073"/>
    <w:rsid w:val="00E02791"/>
    <w:rsid w:val="00E02802"/>
    <w:rsid w:val="00E0370B"/>
    <w:rsid w:val="00E04022"/>
    <w:rsid w:val="00E04A41"/>
    <w:rsid w:val="00E05A4D"/>
    <w:rsid w:val="00E10142"/>
    <w:rsid w:val="00E14234"/>
    <w:rsid w:val="00E207A4"/>
    <w:rsid w:val="00E20E0E"/>
    <w:rsid w:val="00E217DA"/>
    <w:rsid w:val="00E23B8F"/>
    <w:rsid w:val="00E255C0"/>
    <w:rsid w:val="00E3186E"/>
    <w:rsid w:val="00E31ED7"/>
    <w:rsid w:val="00E34161"/>
    <w:rsid w:val="00E35BCD"/>
    <w:rsid w:val="00E37A76"/>
    <w:rsid w:val="00E40624"/>
    <w:rsid w:val="00E40D58"/>
    <w:rsid w:val="00E41B77"/>
    <w:rsid w:val="00E42010"/>
    <w:rsid w:val="00E4322A"/>
    <w:rsid w:val="00E4793C"/>
    <w:rsid w:val="00E5111B"/>
    <w:rsid w:val="00E53574"/>
    <w:rsid w:val="00E535D9"/>
    <w:rsid w:val="00E56AE4"/>
    <w:rsid w:val="00E56E1B"/>
    <w:rsid w:val="00E5732D"/>
    <w:rsid w:val="00E60140"/>
    <w:rsid w:val="00E60D95"/>
    <w:rsid w:val="00E62ED1"/>
    <w:rsid w:val="00E632F6"/>
    <w:rsid w:val="00E730FA"/>
    <w:rsid w:val="00E76568"/>
    <w:rsid w:val="00E80601"/>
    <w:rsid w:val="00E80EED"/>
    <w:rsid w:val="00E83F6E"/>
    <w:rsid w:val="00E87818"/>
    <w:rsid w:val="00E9045D"/>
    <w:rsid w:val="00E94077"/>
    <w:rsid w:val="00E96B36"/>
    <w:rsid w:val="00EA33A3"/>
    <w:rsid w:val="00EA4215"/>
    <w:rsid w:val="00EB0A23"/>
    <w:rsid w:val="00EB3856"/>
    <w:rsid w:val="00EC08D6"/>
    <w:rsid w:val="00EC3F09"/>
    <w:rsid w:val="00EC56C4"/>
    <w:rsid w:val="00ED2E81"/>
    <w:rsid w:val="00ED3348"/>
    <w:rsid w:val="00ED56B2"/>
    <w:rsid w:val="00ED6CD0"/>
    <w:rsid w:val="00EE069B"/>
    <w:rsid w:val="00EE0EAD"/>
    <w:rsid w:val="00EE18A1"/>
    <w:rsid w:val="00EE1BD1"/>
    <w:rsid w:val="00EE2647"/>
    <w:rsid w:val="00EF44BD"/>
    <w:rsid w:val="00F00711"/>
    <w:rsid w:val="00F02A1D"/>
    <w:rsid w:val="00F03012"/>
    <w:rsid w:val="00F058ED"/>
    <w:rsid w:val="00F06967"/>
    <w:rsid w:val="00F10318"/>
    <w:rsid w:val="00F11BEB"/>
    <w:rsid w:val="00F11CC4"/>
    <w:rsid w:val="00F17A9A"/>
    <w:rsid w:val="00F20842"/>
    <w:rsid w:val="00F21529"/>
    <w:rsid w:val="00F217C8"/>
    <w:rsid w:val="00F219E7"/>
    <w:rsid w:val="00F21D95"/>
    <w:rsid w:val="00F23EAD"/>
    <w:rsid w:val="00F303D0"/>
    <w:rsid w:val="00F30671"/>
    <w:rsid w:val="00F30791"/>
    <w:rsid w:val="00F367E0"/>
    <w:rsid w:val="00F400B7"/>
    <w:rsid w:val="00F41472"/>
    <w:rsid w:val="00F44BC4"/>
    <w:rsid w:val="00F44F7B"/>
    <w:rsid w:val="00F460C3"/>
    <w:rsid w:val="00F46AD6"/>
    <w:rsid w:val="00F54F46"/>
    <w:rsid w:val="00F55055"/>
    <w:rsid w:val="00F57BE3"/>
    <w:rsid w:val="00F603A1"/>
    <w:rsid w:val="00F62B89"/>
    <w:rsid w:val="00F64B90"/>
    <w:rsid w:val="00F71315"/>
    <w:rsid w:val="00F71417"/>
    <w:rsid w:val="00F72241"/>
    <w:rsid w:val="00F72B88"/>
    <w:rsid w:val="00F75B00"/>
    <w:rsid w:val="00F760CF"/>
    <w:rsid w:val="00F76AD1"/>
    <w:rsid w:val="00F76ED0"/>
    <w:rsid w:val="00F77A0F"/>
    <w:rsid w:val="00F813AA"/>
    <w:rsid w:val="00F813C2"/>
    <w:rsid w:val="00F81D3B"/>
    <w:rsid w:val="00F8278A"/>
    <w:rsid w:val="00F82B8F"/>
    <w:rsid w:val="00F85098"/>
    <w:rsid w:val="00F853B2"/>
    <w:rsid w:val="00F86010"/>
    <w:rsid w:val="00F86781"/>
    <w:rsid w:val="00F87C3C"/>
    <w:rsid w:val="00F909EB"/>
    <w:rsid w:val="00F91255"/>
    <w:rsid w:val="00F91EDF"/>
    <w:rsid w:val="00F97142"/>
    <w:rsid w:val="00F974A8"/>
    <w:rsid w:val="00F97C06"/>
    <w:rsid w:val="00FA04F3"/>
    <w:rsid w:val="00FA43F3"/>
    <w:rsid w:val="00FB0D92"/>
    <w:rsid w:val="00FB4D33"/>
    <w:rsid w:val="00FB516D"/>
    <w:rsid w:val="00FB5620"/>
    <w:rsid w:val="00FB66DB"/>
    <w:rsid w:val="00FC2CCF"/>
    <w:rsid w:val="00FC5DE3"/>
    <w:rsid w:val="00FC6062"/>
    <w:rsid w:val="00FC7386"/>
    <w:rsid w:val="00FC74EA"/>
    <w:rsid w:val="00FD1BE5"/>
    <w:rsid w:val="00FD4A18"/>
    <w:rsid w:val="00FE2F5E"/>
    <w:rsid w:val="00FE63B7"/>
    <w:rsid w:val="00FF0A13"/>
    <w:rsid w:val="00FF165D"/>
    <w:rsid w:val="00FF2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7E3AC"/>
  <w15:docId w15:val="{517E5D54-9BF3-403F-9553-45DAFAAC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844"/>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4D33"/>
    <w:pPr>
      <w:spacing w:before="100" w:beforeAutospacing="1" w:after="100" w:afterAutospacing="1"/>
    </w:pPr>
    <w:rPr>
      <w:lang w:val="en-US" w:eastAsia="en-GB"/>
    </w:rPr>
  </w:style>
  <w:style w:type="character" w:styleId="Hyperlink">
    <w:name w:val="Hyperlink"/>
    <w:basedOn w:val="DefaultParagraphFont"/>
    <w:uiPriority w:val="99"/>
    <w:unhideWhenUsed/>
    <w:rsid w:val="00FB4D33"/>
    <w:rPr>
      <w:color w:val="0000FF"/>
      <w:u w:val="single"/>
    </w:rPr>
  </w:style>
  <w:style w:type="paragraph" w:styleId="ListParagraph">
    <w:name w:val="List Paragraph"/>
    <w:basedOn w:val="Normal"/>
    <w:uiPriority w:val="34"/>
    <w:qFormat/>
    <w:rsid w:val="00FB4D33"/>
    <w:pPr>
      <w:ind w:left="720"/>
      <w:contextualSpacing/>
    </w:pPr>
    <w:rPr>
      <w:lang w:val="en-US"/>
    </w:rPr>
  </w:style>
  <w:style w:type="paragraph" w:customStyle="1" w:styleId="msonormal0">
    <w:name w:val="msonormal"/>
    <w:basedOn w:val="Normal"/>
    <w:rsid w:val="006C06BD"/>
    <w:pPr>
      <w:spacing w:before="100" w:beforeAutospacing="1" w:after="100" w:afterAutospacing="1"/>
    </w:pPr>
    <w:rPr>
      <w:lang w:val="en-US" w:eastAsia="en-GB"/>
    </w:rPr>
  </w:style>
  <w:style w:type="character" w:customStyle="1" w:styleId="apple-tab-span">
    <w:name w:val="apple-tab-span"/>
    <w:basedOn w:val="DefaultParagraphFont"/>
    <w:rsid w:val="006C06BD"/>
  </w:style>
  <w:style w:type="character" w:styleId="CommentReference">
    <w:name w:val="annotation reference"/>
    <w:basedOn w:val="DefaultParagraphFont"/>
    <w:uiPriority w:val="99"/>
    <w:semiHidden/>
    <w:unhideWhenUsed/>
    <w:rsid w:val="00EA33A3"/>
    <w:rPr>
      <w:sz w:val="16"/>
      <w:szCs w:val="16"/>
    </w:rPr>
  </w:style>
  <w:style w:type="paragraph" w:styleId="CommentText">
    <w:name w:val="annotation text"/>
    <w:basedOn w:val="Normal"/>
    <w:link w:val="CommentTextChar"/>
    <w:uiPriority w:val="99"/>
    <w:unhideWhenUsed/>
    <w:rsid w:val="00EA33A3"/>
    <w:rPr>
      <w:sz w:val="20"/>
      <w:szCs w:val="20"/>
      <w:lang w:val="en-US"/>
    </w:rPr>
  </w:style>
  <w:style w:type="character" w:customStyle="1" w:styleId="CommentTextChar">
    <w:name w:val="Comment Text Char"/>
    <w:basedOn w:val="DefaultParagraphFont"/>
    <w:link w:val="CommentText"/>
    <w:uiPriority w:val="99"/>
    <w:rsid w:val="00EA33A3"/>
    <w:rPr>
      <w:sz w:val="20"/>
      <w:szCs w:val="20"/>
    </w:rPr>
  </w:style>
  <w:style w:type="paragraph" w:styleId="CommentSubject">
    <w:name w:val="annotation subject"/>
    <w:basedOn w:val="CommentText"/>
    <w:next w:val="CommentText"/>
    <w:link w:val="CommentSubjectChar"/>
    <w:uiPriority w:val="99"/>
    <w:semiHidden/>
    <w:unhideWhenUsed/>
    <w:rsid w:val="00EA33A3"/>
    <w:rPr>
      <w:b/>
      <w:bCs/>
    </w:rPr>
  </w:style>
  <w:style w:type="character" w:customStyle="1" w:styleId="CommentSubjectChar">
    <w:name w:val="Comment Subject Char"/>
    <w:basedOn w:val="CommentTextChar"/>
    <w:link w:val="CommentSubject"/>
    <w:uiPriority w:val="99"/>
    <w:semiHidden/>
    <w:rsid w:val="00EA33A3"/>
    <w:rPr>
      <w:b/>
      <w:bCs/>
      <w:sz w:val="20"/>
      <w:szCs w:val="20"/>
    </w:rPr>
  </w:style>
  <w:style w:type="paragraph" w:styleId="Header">
    <w:name w:val="header"/>
    <w:basedOn w:val="Normal"/>
    <w:link w:val="HeaderChar"/>
    <w:uiPriority w:val="99"/>
    <w:unhideWhenUsed/>
    <w:rsid w:val="009E5B3F"/>
    <w:pPr>
      <w:tabs>
        <w:tab w:val="center" w:pos="4513"/>
        <w:tab w:val="right" w:pos="9026"/>
      </w:tabs>
    </w:pPr>
    <w:rPr>
      <w:lang w:val="en-US"/>
    </w:rPr>
  </w:style>
  <w:style w:type="character" w:customStyle="1" w:styleId="HeaderChar">
    <w:name w:val="Header Char"/>
    <w:basedOn w:val="DefaultParagraphFont"/>
    <w:link w:val="Header"/>
    <w:uiPriority w:val="99"/>
    <w:rsid w:val="009E5B3F"/>
  </w:style>
  <w:style w:type="paragraph" w:styleId="Footer">
    <w:name w:val="footer"/>
    <w:basedOn w:val="Normal"/>
    <w:link w:val="FooterChar"/>
    <w:uiPriority w:val="99"/>
    <w:unhideWhenUsed/>
    <w:rsid w:val="009E5B3F"/>
    <w:pPr>
      <w:tabs>
        <w:tab w:val="center" w:pos="4513"/>
        <w:tab w:val="right" w:pos="9026"/>
      </w:tabs>
    </w:pPr>
    <w:rPr>
      <w:lang w:val="en-US"/>
    </w:rPr>
  </w:style>
  <w:style w:type="character" w:customStyle="1" w:styleId="FooterChar">
    <w:name w:val="Footer Char"/>
    <w:basedOn w:val="DefaultParagraphFont"/>
    <w:link w:val="Footer"/>
    <w:uiPriority w:val="99"/>
    <w:rsid w:val="009E5B3F"/>
  </w:style>
  <w:style w:type="paragraph" w:styleId="Bibliography">
    <w:name w:val="Bibliography"/>
    <w:basedOn w:val="Normal"/>
    <w:next w:val="Normal"/>
    <w:uiPriority w:val="37"/>
    <w:unhideWhenUsed/>
    <w:rsid w:val="00C26CCE"/>
    <w:pPr>
      <w:spacing w:line="480" w:lineRule="auto"/>
      <w:ind w:left="720" w:hanging="720"/>
    </w:pPr>
    <w:rPr>
      <w:lang w:val="en-US"/>
    </w:rPr>
  </w:style>
  <w:style w:type="character" w:styleId="Emphasis">
    <w:name w:val="Emphasis"/>
    <w:basedOn w:val="DefaultParagraphFont"/>
    <w:uiPriority w:val="20"/>
    <w:qFormat/>
    <w:rsid w:val="00300EC4"/>
    <w:rPr>
      <w:i/>
      <w:iCs/>
    </w:rPr>
  </w:style>
  <w:style w:type="paragraph" w:styleId="FootnoteText">
    <w:name w:val="footnote text"/>
    <w:basedOn w:val="Normal"/>
    <w:link w:val="FootnoteTextChar"/>
    <w:uiPriority w:val="99"/>
    <w:semiHidden/>
    <w:unhideWhenUsed/>
    <w:rsid w:val="005D4FBC"/>
    <w:rPr>
      <w:sz w:val="20"/>
      <w:szCs w:val="20"/>
      <w:lang w:val="en-US"/>
    </w:rPr>
  </w:style>
  <w:style w:type="character" w:customStyle="1" w:styleId="FootnoteTextChar">
    <w:name w:val="Footnote Text Char"/>
    <w:basedOn w:val="DefaultParagraphFont"/>
    <w:link w:val="FootnoteText"/>
    <w:uiPriority w:val="99"/>
    <w:semiHidden/>
    <w:rsid w:val="005D4FBC"/>
    <w:rPr>
      <w:sz w:val="20"/>
      <w:szCs w:val="20"/>
    </w:rPr>
  </w:style>
  <w:style w:type="character" w:styleId="FootnoteReference">
    <w:name w:val="footnote reference"/>
    <w:basedOn w:val="DefaultParagraphFont"/>
    <w:uiPriority w:val="99"/>
    <w:semiHidden/>
    <w:unhideWhenUsed/>
    <w:rsid w:val="005D4FBC"/>
    <w:rPr>
      <w:vertAlign w:val="superscript"/>
    </w:rPr>
  </w:style>
  <w:style w:type="character" w:styleId="PlaceholderText">
    <w:name w:val="Placeholder Text"/>
    <w:basedOn w:val="DefaultParagraphFont"/>
    <w:uiPriority w:val="99"/>
    <w:semiHidden/>
    <w:rsid w:val="0018046C"/>
    <w:rPr>
      <w:color w:val="808080"/>
    </w:rPr>
  </w:style>
  <w:style w:type="character" w:customStyle="1" w:styleId="cf01">
    <w:name w:val="cf01"/>
    <w:basedOn w:val="DefaultParagraphFont"/>
    <w:rsid w:val="009E2135"/>
    <w:rPr>
      <w:rFonts w:ascii="Segoe UI" w:hAnsi="Segoe UI" w:cs="Segoe UI" w:hint="default"/>
      <w:sz w:val="18"/>
      <w:szCs w:val="18"/>
    </w:rPr>
  </w:style>
  <w:style w:type="paragraph" w:styleId="Revision">
    <w:name w:val="Revision"/>
    <w:hidden/>
    <w:uiPriority w:val="99"/>
    <w:semiHidden/>
    <w:rsid w:val="00DB18DC"/>
    <w:pPr>
      <w:spacing w:after="0" w:line="240" w:lineRule="auto"/>
    </w:pPr>
  </w:style>
  <w:style w:type="character" w:styleId="PageNumber">
    <w:name w:val="page number"/>
    <w:basedOn w:val="DefaultParagraphFont"/>
    <w:uiPriority w:val="99"/>
    <w:semiHidden/>
    <w:unhideWhenUsed/>
    <w:rsid w:val="00236ADB"/>
  </w:style>
  <w:style w:type="character" w:styleId="UnresolvedMention">
    <w:name w:val="Unresolved Mention"/>
    <w:basedOn w:val="DefaultParagraphFont"/>
    <w:uiPriority w:val="99"/>
    <w:semiHidden/>
    <w:unhideWhenUsed/>
    <w:rsid w:val="00B962B2"/>
    <w:rPr>
      <w:color w:val="605E5C"/>
      <w:shd w:val="clear" w:color="auto" w:fill="E1DFDD"/>
    </w:rPr>
  </w:style>
  <w:style w:type="character" w:styleId="EndnoteReference">
    <w:name w:val="endnote reference"/>
    <w:basedOn w:val="DefaultParagraphFont"/>
    <w:uiPriority w:val="99"/>
    <w:semiHidden/>
    <w:unhideWhenUsed/>
    <w:rsid w:val="009C4294"/>
    <w:rPr>
      <w:vertAlign w:val="superscript"/>
    </w:rPr>
  </w:style>
  <w:style w:type="character" w:styleId="Strong">
    <w:name w:val="Strong"/>
    <w:basedOn w:val="DefaultParagraphFont"/>
    <w:uiPriority w:val="22"/>
    <w:qFormat/>
    <w:rsid w:val="009471F7"/>
    <w:rPr>
      <w:b/>
      <w:bCs/>
    </w:rPr>
  </w:style>
  <w:style w:type="character" w:styleId="HTMLCode">
    <w:name w:val="HTML Code"/>
    <w:basedOn w:val="DefaultParagraphFont"/>
    <w:uiPriority w:val="99"/>
    <w:semiHidden/>
    <w:unhideWhenUsed/>
    <w:rsid w:val="00447D47"/>
    <w:rPr>
      <w:rFonts w:ascii="Courier New" w:eastAsia="Times New Roman" w:hAnsi="Courier New" w:cs="Courier New"/>
      <w:sz w:val="20"/>
      <w:szCs w:val="20"/>
    </w:rPr>
  </w:style>
  <w:style w:type="character" w:customStyle="1" w:styleId="mord">
    <w:name w:val="mord"/>
    <w:basedOn w:val="DefaultParagraphFont"/>
    <w:rsid w:val="00DC5844"/>
  </w:style>
  <w:style w:type="character" w:customStyle="1" w:styleId="mopen">
    <w:name w:val="mopen"/>
    <w:basedOn w:val="DefaultParagraphFont"/>
    <w:rsid w:val="00DC5844"/>
  </w:style>
  <w:style w:type="character" w:customStyle="1" w:styleId="vlist-s">
    <w:name w:val="vlist-s"/>
    <w:basedOn w:val="DefaultParagraphFont"/>
    <w:rsid w:val="00DC5844"/>
  </w:style>
  <w:style w:type="character" w:customStyle="1" w:styleId="mclose">
    <w:name w:val="mclose"/>
    <w:basedOn w:val="DefaultParagraphFont"/>
    <w:rsid w:val="00DC5844"/>
  </w:style>
  <w:style w:type="character" w:customStyle="1" w:styleId="mrel">
    <w:name w:val="mrel"/>
    <w:basedOn w:val="DefaultParagraphFont"/>
    <w:rsid w:val="00DC5844"/>
  </w:style>
  <w:style w:type="character" w:customStyle="1" w:styleId="mbin">
    <w:name w:val="mbin"/>
    <w:basedOn w:val="DefaultParagraphFont"/>
    <w:rsid w:val="00DC5844"/>
  </w:style>
  <w:style w:type="character" w:customStyle="1" w:styleId="mop">
    <w:name w:val="mop"/>
    <w:basedOn w:val="DefaultParagraphFont"/>
    <w:rsid w:val="00DC5844"/>
  </w:style>
  <w:style w:type="table" w:styleId="TableGrid">
    <w:name w:val="Table Grid"/>
    <w:basedOn w:val="TableNormal"/>
    <w:uiPriority w:val="39"/>
    <w:rsid w:val="00B15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k-visually-hidden">
    <w:name w:val="cdk-visually-hidden"/>
    <w:basedOn w:val="DefaultParagraphFont"/>
    <w:rsid w:val="00DE6952"/>
  </w:style>
  <w:style w:type="character" w:styleId="FollowedHyperlink">
    <w:name w:val="FollowedHyperlink"/>
    <w:basedOn w:val="DefaultParagraphFont"/>
    <w:uiPriority w:val="99"/>
    <w:semiHidden/>
    <w:unhideWhenUsed/>
    <w:rsid w:val="00852AAE"/>
    <w:rPr>
      <w:color w:val="954F72" w:themeColor="followedHyperlink"/>
      <w:u w:val="single"/>
    </w:rPr>
  </w:style>
  <w:style w:type="paragraph" w:customStyle="1" w:styleId="pf0">
    <w:name w:val="pf0"/>
    <w:basedOn w:val="Normal"/>
    <w:rsid w:val="00232F18"/>
    <w:pPr>
      <w:spacing w:before="100" w:beforeAutospacing="1" w:after="100" w:afterAutospacing="1"/>
    </w:pPr>
    <w:rPr>
      <w:lang w:eastAsia="en-GB"/>
    </w:rPr>
  </w:style>
  <w:style w:type="character" w:customStyle="1" w:styleId="citation-54">
    <w:name w:val="citation-54"/>
    <w:basedOn w:val="DefaultParagraphFont"/>
    <w:rsid w:val="001905D5"/>
  </w:style>
  <w:style w:type="character" w:customStyle="1" w:styleId="citation-53">
    <w:name w:val="citation-53"/>
    <w:basedOn w:val="DefaultParagraphFont"/>
    <w:rsid w:val="001905D5"/>
  </w:style>
  <w:style w:type="character" w:customStyle="1" w:styleId="citation-52">
    <w:name w:val="citation-52"/>
    <w:basedOn w:val="DefaultParagraphFont"/>
    <w:rsid w:val="001905D5"/>
  </w:style>
  <w:style w:type="character" w:customStyle="1" w:styleId="citation-51">
    <w:name w:val="citation-51"/>
    <w:basedOn w:val="DefaultParagraphFont"/>
    <w:rsid w:val="001905D5"/>
  </w:style>
  <w:style w:type="character" w:customStyle="1" w:styleId="citation-47">
    <w:name w:val="citation-47"/>
    <w:basedOn w:val="DefaultParagraphFont"/>
    <w:rsid w:val="004676D8"/>
  </w:style>
  <w:style w:type="character" w:customStyle="1" w:styleId="citation-46">
    <w:name w:val="citation-46"/>
    <w:basedOn w:val="DefaultParagraphFont"/>
    <w:rsid w:val="004676D8"/>
  </w:style>
  <w:style w:type="character" w:customStyle="1" w:styleId="citation-45">
    <w:name w:val="citation-45"/>
    <w:basedOn w:val="DefaultParagraphFont"/>
    <w:rsid w:val="004676D8"/>
  </w:style>
  <w:style w:type="character" w:customStyle="1" w:styleId="citation-44">
    <w:name w:val="citation-44"/>
    <w:basedOn w:val="DefaultParagraphFont"/>
    <w:rsid w:val="004676D8"/>
  </w:style>
  <w:style w:type="character" w:customStyle="1" w:styleId="citation-119">
    <w:name w:val="citation-119"/>
    <w:basedOn w:val="DefaultParagraphFont"/>
    <w:rsid w:val="00C20996"/>
  </w:style>
  <w:style w:type="character" w:customStyle="1" w:styleId="citation-118">
    <w:name w:val="citation-118"/>
    <w:basedOn w:val="DefaultParagraphFont"/>
    <w:rsid w:val="00C20996"/>
  </w:style>
  <w:style w:type="character" w:customStyle="1" w:styleId="citation-117">
    <w:name w:val="citation-117"/>
    <w:basedOn w:val="DefaultParagraphFont"/>
    <w:rsid w:val="00C20996"/>
  </w:style>
  <w:style w:type="character" w:customStyle="1" w:styleId="citation-116">
    <w:name w:val="citation-116"/>
    <w:basedOn w:val="DefaultParagraphFont"/>
    <w:rsid w:val="00C20996"/>
  </w:style>
  <w:style w:type="character" w:customStyle="1" w:styleId="citation-156">
    <w:name w:val="citation-156"/>
    <w:basedOn w:val="DefaultParagraphFont"/>
    <w:rsid w:val="00D41FA9"/>
  </w:style>
  <w:style w:type="character" w:customStyle="1" w:styleId="citation-155">
    <w:name w:val="citation-155"/>
    <w:basedOn w:val="DefaultParagraphFont"/>
    <w:rsid w:val="00D41FA9"/>
  </w:style>
  <w:style w:type="character" w:customStyle="1" w:styleId="citation-154">
    <w:name w:val="citation-154"/>
    <w:basedOn w:val="DefaultParagraphFont"/>
    <w:rsid w:val="00D41FA9"/>
  </w:style>
  <w:style w:type="character" w:customStyle="1" w:styleId="citation-153">
    <w:name w:val="citation-153"/>
    <w:basedOn w:val="DefaultParagraphFont"/>
    <w:rsid w:val="00D41FA9"/>
  </w:style>
  <w:style w:type="character" w:customStyle="1" w:styleId="citation-150">
    <w:name w:val="citation-150"/>
    <w:basedOn w:val="DefaultParagraphFont"/>
    <w:rsid w:val="00D41FA9"/>
  </w:style>
  <w:style w:type="character" w:customStyle="1" w:styleId="citation-38">
    <w:name w:val="citation-38"/>
    <w:basedOn w:val="DefaultParagraphFont"/>
    <w:rsid w:val="00FB0D92"/>
  </w:style>
  <w:style w:type="character" w:customStyle="1" w:styleId="citation-37">
    <w:name w:val="citation-37"/>
    <w:basedOn w:val="DefaultParagraphFont"/>
    <w:rsid w:val="00FB0D92"/>
  </w:style>
  <w:style w:type="character" w:customStyle="1" w:styleId="citation-36">
    <w:name w:val="citation-36"/>
    <w:basedOn w:val="DefaultParagraphFont"/>
    <w:rsid w:val="00FB0D92"/>
  </w:style>
  <w:style w:type="character" w:customStyle="1" w:styleId="citation-35">
    <w:name w:val="citation-35"/>
    <w:basedOn w:val="DefaultParagraphFont"/>
    <w:rsid w:val="00FB0D92"/>
  </w:style>
  <w:style w:type="character" w:customStyle="1" w:styleId="citation-34">
    <w:name w:val="citation-34"/>
    <w:basedOn w:val="DefaultParagraphFont"/>
    <w:rsid w:val="00FB0D92"/>
  </w:style>
  <w:style w:type="character" w:customStyle="1" w:styleId="citation-33">
    <w:name w:val="citation-33"/>
    <w:basedOn w:val="DefaultParagraphFont"/>
    <w:rsid w:val="00FB0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6089">
      <w:bodyDiv w:val="1"/>
      <w:marLeft w:val="0"/>
      <w:marRight w:val="0"/>
      <w:marTop w:val="0"/>
      <w:marBottom w:val="0"/>
      <w:divBdr>
        <w:top w:val="none" w:sz="0" w:space="0" w:color="auto"/>
        <w:left w:val="none" w:sz="0" w:space="0" w:color="auto"/>
        <w:bottom w:val="none" w:sz="0" w:space="0" w:color="auto"/>
        <w:right w:val="none" w:sz="0" w:space="0" w:color="auto"/>
      </w:divBdr>
    </w:div>
    <w:div w:id="14160358">
      <w:bodyDiv w:val="1"/>
      <w:marLeft w:val="0"/>
      <w:marRight w:val="0"/>
      <w:marTop w:val="0"/>
      <w:marBottom w:val="0"/>
      <w:divBdr>
        <w:top w:val="none" w:sz="0" w:space="0" w:color="auto"/>
        <w:left w:val="none" w:sz="0" w:space="0" w:color="auto"/>
        <w:bottom w:val="none" w:sz="0" w:space="0" w:color="auto"/>
        <w:right w:val="none" w:sz="0" w:space="0" w:color="auto"/>
      </w:divBdr>
    </w:div>
    <w:div w:id="34236780">
      <w:bodyDiv w:val="1"/>
      <w:marLeft w:val="0"/>
      <w:marRight w:val="0"/>
      <w:marTop w:val="0"/>
      <w:marBottom w:val="0"/>
      <w:divBdr>
        <w:top w:val="none" w:sz="0" w:space="0" w:color="auto"/>
        <w:left w:val="none" w:sz="0" w:space="0" w:color="auto"/>
        <w:bottom w:val="none" w:sz="0" w:space="0" w:color="auto"/>
        <w:right w:val="none" w:sz="0" w:space="0" w:color="auto"/>
      </w:divBdr>
    </w:div>
    <w:div w:id="189418001">
      <w:bodyDiv w:val="1"/>
      <w:marLeft w:val="0"/>
      <w:marRight w:val="0"/>
      <w:marTop w:val="0"/>
      <w:marBottom w:val="0"/>
      <w:divBdr>
        <w:top w:val="none" w:sz="0" w:space="0" w:color="auto"/>
        <w:left w:val="none" w:sz="0" w:space="0" w:color="auto"/>
        <w:bottom w:val="none" w:sz="0" w:space="0" w:color="auto"/>
        <w:right w:val="none" w:sz="0" w:space="0" w:color="auto"/>
      </w:divBdr>
    </w:div>
    <w:div w:id="192772422">
      <w:bodyDiv w:val="1"/>
      <w:marLeft w:val="0"/>
      <w:marRight w:val="0"/>
      <w:marTop w:val="0"/>
      <w:marBottom w:val="0"/>
      <w:divBdr>
        <w:top w:val="none" w:sz="0" w:space="0" w:color="auto"/>
        <w:left w:val="none" w:sz="0" w:space="0" w:color="auto"/>
        <w:bottom w:val="none" w:sz="0" w:space="0" w:color="auto"/>
        <w:right w:val="none" w:sz="0" w:space="0" w:color="auto"/>
      </w:divBdr>
    </w:div>
    <w:div w:id="222565887">
      <w:bodyDiv w:val="1"/>
      <w:marLeft w:val="0"/>
      <w:marRight w:val="0"/>
      <w:marTop w:val="0"/>
      <w:marBottom w:val="0"/>
      <w:divBdr>
        <w:top w:val="none" w:sz="0" w:space="0" w:color="auto"/>
        <w:left w:val="none" w:sz="0" w:space="0" w:color="auto"/>
        <w:bottom w:val="none" w:sz="0" w:space="0" w:color="auto"/>
        <w:right w:val="none" w:sz="0" w:space="0" w:color="auto"/>
      </w:divBdr>
    </w:div>
    <w:div w:id="283581502">
      <w:bodyDiv w:val="1"/>
      <w:marLeft w:val="0"/>
      <w:marRight w:val="0"/>
      <w:marTop w:val="0"/>
      <w:marBottom w:val="0"/>
      <w:divBdr>
        <w:top w:val="none" w:sz="0" w:space="0" w:color="auto"/>
        <w:left w:val="none" w:sz="0" w:space="0" w:color="auto"/>
        <w:bottom w:val="none" w:sz="0" w:space="0" w:color="auto"/>
        <w:right w:val="none" w:sz="0" w:space="0" w:color="auto"/>
      </w:divBdr>
    </w:div>
    <w:div w:id="309791231">
      <w:bodyDiv w:val="1"/>
      <w:marLeft w:val="0"/>
      <w:marRight w:val="0"/>
      <w:marTop w:val="0"/>
      <w:marBottom w:val="0"/>
      <w:divBdr>
        <w:top w:val="none" w:sz="0" w:space="0" w:color="auto"/>
        <w:left w:val="none" w:sz="0" w:space="0" w:color="auto"/>
        <w:bottom w:val="none" w:sz="0" w:space="0" w:color="auto"/>
        <w:right w:val="none" w:sz="0" w:space="0" w:color="auto"/>
      </w:divBdr>
    </w:div>
    <w:div w:id="387726467">
      <w:bodyDiv w:val="1"/>
      <w:marLeft w:val="0"/>
      <w:marRight w:val="0"/>
      <w:marTop w:val="0"/>
      <w:marBottom w:val="0"/>
      <w:divBdr>
        <w:top w:val="none" w:sz="0" w:space="0" w:color="auto"/>
        <w:left w:val="none" w:sz="0" w:space="0" w:color="auto"/>
        <w:bottom w:val="none" w:sz="0" w:space="0" w:color="auto"/>
        <w:right w:val="none" w:sz="0" w:space="0" w:color="auto"/>
      </w:divBdr>
    </w:div>
    <w:div w:id="396787699">
      <w:bodyDiv w:val="1"/>
      <w:marLeft w:val="0"/>
      <w:marRight w:val="0"/>
      <w:marTop w:val="0"/>
      <w:marBottom w:val="0"/>
      <w:divBdr>
        <w:top w:val="none" w:sz="0" w:space="0" w:color="auto"/>
        <w:left w:val="none" w:sz="0" w:space="0" w:color="auto"/>
        <w:bottom w:val="none" w:sz="0" w:space="0" w:color="auto"/>
        <w:right w:val="none" w:sz="0" w:space="0" w:color="auto"/>
      </w:divBdr>
    </w:div>
    <w:div w:id="399864843">
      <w:bodyDiv w:val="1"/>
      <w:marLeft w:val="0"/>
      <w:marRight w:val="0"/>
      <w:marTop w:val="0"/>
      <w:marBottom w:val="0"/>
      <w:divBdr>
        <w:top w:val="none" w:sz="0" w:space="0" w:color="auto"/>
        <w:left w:val="none" w:sz="0" w:space="0" w:color="auto"/>
        <w:bottom w:val="none" w:sz="0" w:space="0" w:color="auto"/>
        <w:right w:val="none" w:sz="0" w:space="0" w:color="auto"/>
      </w:divBdr>
    </w:div>
    <w:div w:id="474639334">
      <w:bodyDiv w:val="1"/>
      <w:marLeft w:val="0"/>
      <w:marRight w:val="0"/>
      <w:marTop w:val="0"/>
      <w:marBottom w:val="0"/>
      <w:divBdr>
        <w:top w:val="none" w:sz="0" w:space="0" w:color="auto"/>
        <w:left w:val="none" w:sz="0" w:space="0" w:color="auto"/>
        <w:bottom w:val="none" w:sz="0" w:space="0" w:color="auto"/>
        <w:right w:val="none" w:sz="0" w:space="0" w:color="auto"/>
      </w:divBdr>
    </w:div>
    <w:div w:id="494616172">
      <w:bodyDiv w:val="1"/>
      <w:marLeft w:val="0"/>
      <w:marRight w:val="0"/>
      <w:marTop w:val="0"/>
      <w:marBottom w:val="0"/>
      <w:divBdr>
        <w:top w:val="none" w:sz="0" w:space="0" w:color="auto"/>
        <w:left w:val="none" w:sz="0" w:space="0" w:color="auto"/>
        <w:bottom w:val="none" w:sz="0" w:space="0" w:color="auto"/>
        <w:right w:val="none" w:sz="0" w:space="0" w:color="auto"/>
      </w:divBdr>
    </w:div>
    <w:div w:id="523635906">
      <w:bodyDiv w:val="1"/>
      <w:marLeft w:val="0"/>
      <w:marRight w:val="0"/>
      <w:marTop w:val="0"/>
      <w:marBottom w:val="0"/>
      <w:divBdr>
        <w:top w:val="none" w:sz="0" w:space="0" w:color="auto"/>
        <w:left w:val="none" w:sz="0" w:space="0" w:color="auto"/>
        <w:bottom w:val="none" w:sz="0" w:space="0" w:color="auto"/>
        <w:right w:val="none" w:sz="0" w:space="0" w:color="auto"/>
      </w:divBdr>
    </w:div>
    <w:div w:id="533347109">
      <w:bodyDiv w:val="1"/>
      <w:marLeft w:val="0"/>
      <w:marRight w:val="0"/>
      <w:marTop w:val="0"/>
      <w:marBottom w:val="0"/>
      <w:divBdr>
        <w:top w:val="none" w:sz="0" w:space="0" w:color="auto"/>
        <w:left w:val="none" w:sz="0" w:space="0" w:color="auto"/>
        <w:bottom w:val="none" w:sz="0" w:space="0" w:color="auto"/>
        <w:right w:val="none" w:sz="0" w:space="0" w:color="auto"/>
      </w:divBdr>
    </w:div>
    <w:div w:id="568613785">
      <w:bodyDiv w:val="1"/>
      <w:marLeft w:val="0"/>
      <w:marRight w:val="0"/>
      <w:marTop w:val="0"/>
      <w:marBottom w:val="0"/>
      <w:divBdr>
        <w:top w:val="none" w:sz="0" w:space="0" w:color="auto"/>
        <w:left w:val="none" w:sz="0" w:space="0" w:color="auto"/>
        <w:bottom w:val="none" w:sz="0" w:space="0" w:color="auto"/>
        <w:right w:val="none" w:sz="0" w:space="0" w:color="auto"/>
      </w:divBdr>
    </w:div>
    <w:div w:id="587348408">
      <w:bodyDiv w:val="1"/>
      <w:marLeft w:val="0"/>
      <w:marRight w:val="0"/>
      <w:marTop w:val="0"/>
      <w:marBottom w:val="0"/>
      <w:divBdr>
        <w:top w:val="none" w:sz="0" w:space="0" w:color="auto"/>
        <w:left w:val="none" w:sz="0" w:space="0" w:color="auto"/>
        <w:bottom w:val="none" w:sz="0" w:space="0" w:color="auto"/>
        <w:right w:val="none" w:sz="0" w:space="0" w:color="auto"/>
      </w:divBdr>
    </w:div>
    <w:div w:id="594365251">
      <w:bodyDiv w:val="1"/>
      <w:marLeft w:val="0"/>
      <w:marRight w:val="0"/>
      <w:marTop w:val="0"/>
      <w:marBottom w:val="0"/>
      <w:divBdr>
        <w:top w:val="none" w:sz="0" w:space="0" w:color="auto"/>
        <w:left w:val="none" w:sz="0" w:space="0" w:color="auto"/>
        <w:bottom w:val="none" w:sz="0" w:space="0" w:color="auto"/>
        <w:right w:val="none" w:sz="0" w:space="0" w:color="auto"/>
      </w:divBdr>
    </w:div>
    <w:div w:id="690492959">
      <w:bodyDiv w:val="1"/>
      <w:marLeft w:val="0"/>
      <w:marRight w:val="0"/>
      <w:marTop w:val="0"/>
      <w:marBottom w:val="0"/>
      <w:divBdr>
        <w:top w:val="none" w:sz="0" w:space="0" w:color="auto"/>
        <w:left w:val="none" w:sz="0" w:space="0" w:color="auto"/>
        <w:bottom w:val="none" w:sz="0" w:space="0" w:color="auto"/>
        <w:right w:val="none" w:sz="0" w:space="0" w:color="auto"/>
      </w:divBdr>
    </w:div>
    <w:div w:id="729354073">
      <w:bodyDiv w:val="1"/>
      <w:marLeft w:val="0"/>
      <w:marRight w:val="0"/>
      <w:marTop w:val="0"/>
      <w:marBottom w:val="0"/>
      <w:divBdr>
        <w:top w:val="none" w:sz="0" w:space="0" w:color="auto"/>
        <w:left w:val="none" w:sz="0" w:space="0" w:color="auto"/>
        <w:bottom w:val="none" w:sz="0" w:space="0" w:color="auto"/>
        <w:right w:val="none" w:sz="0" w:space="0" w:color="auto"/>
      </w:divBdr>
    </w:div>
    <w:div w:id="732000214">
      <w:bodyDiv w:val="1"/>
      <w:marLeft w:val="0"/>
      <w:marRight w:val="0"/>
      <w:marTop w:val="0"/>
      <w:marBottom w:val="0"/>
      <w:divBdr>
        <w:top w:val="none" w:sz="0" w:space="0" w:color="auto"/>
        <w:left w:val="none" w:sz="0" w:space="0" w:color="auto"/>
        <w:bottom w:val="none" w:sz="0" w:space="0" w:color="auto"/>
        <w:right w:val="none" w:sz="0" w:space="0" w:color="auto"/>
      </w:divBdr>
    </w:div>
    <w:div w:id="743377432">
      <w:bodyDiv w:val="1"/>
      <w:marLeft w:val="0"/>
      <w:marRight w:val="0"/>
      <w:marTop w:val="0"/>
      <w:marBottom w:val="0"/>
      <w:divBdr>
        <w:top w:val="none" w:sz="0" w:space="0" w:color="auto"/>
        <w:left w:val="none" w:sz="0" w:space="0" w:color="auto"/>
        <w:bottom w:val="none" w:sz="0" w:space="0" w:color="auto"/>
        <w:right w:val="none" w:sz="0" w:space="0" w:color="auto"/>
      </w:divBdr>
    </w:div>
    <w:div w:id="751590189">
      <w:bodyDiv w:val="1"/>
      <w:marLeft w:val="0"/>
      <w:marRight w:val="0"/>
      <w:marTop w:val="0"/>
      <w:marBottom w:val="0"/>
      <w:divBdr>
        <w:top w:val="none" w:sz="0" w:space="0" w:color="auto"/>
        <w:left w:val="none" w:sz="0" w:space="0" w:color="auto"/>
        <w:bottom w:val="none" w:sz="0" w:space="0" w:color="auto"/>
        <w:right w:val="none" w:sz="0" w:space="0" w:color="auto"/>
      </w:divBdr>
    </w:div>
    <w:div w:id="764227001">
      <w:bodyDiv w:val="1"/>
      <w:marLeft w:val="0"/>
      <w:marRight w:val="0"/>
      <w:marTop w:val="0"/>
      <w:marBottom w:val="0"/>
      <w:divBdr>
        <w:top w:val="none" w:sz="0" w:space="0" w:color="auto"/>
        <w:left w:val="none" w:sz="0" w:space="0" w:color="auto"/>
        <w:bottom w:val="none" w:sz="0" w:space="0" w:color="auto"/>
        <w:right w:val="none" w:sz="0" w:space="0" w:color="auto"/>
      </w:divBdr>
    </w:div>
    <w:div w:id="886062844">
      <w:bodyDiv w:val="1"/>
      <w:marLeft w:val="0"/>
      <w:marRight w:val="0"/>
      <w:marTop w:val="0"/>
      <w:marBottom w:val="0"/>
      <w:divBdr>
        <w:top w:val="none" w:sz="0" w:space="0" w:color="auto"/>
        <w:left w:val="none" w:sz="0" w:space="0" w:color="auto"/>
        <w:bottom w:val="none" w:sz="0" w:space="0" w:color="auto"/>
        <w:right w:val="none" w:sz="0" w:space="0" w:color="auto"/>
      </w:divBdr>
    </w:div>
    <w:div w:id="1051154876">
      <w:bodyDiv w:val="1"/>
      <w:marLeft w:val="0"/>
      <w:marRight w:val="0"/>
      <w:marTop w:val="0"/>
      <w:marBottom w:val="0"/>
      <w:divBdr>
        <w:top w:val="none" w:sz="0" w:space="0" w:color="auto"/>
        <w:left w:val="none" w:sz="0" w:space="0" w:color="auto"/>
        <w:bottom w:val="none" w:sz="0" w:space="0" w:color="auto"/>
        <w:right w:val="none" w:sz="0" w:space="0" w:color="auto"/>
      </w:divBdr>
    </w:div>
    <w:div w:id="1074821126">
      <w:bodyDiv w:val="1"/>
      <w:marLeft w:val="0"/>
      <w:marRight w:val="0"/>
      <w:marTop w:val="0"/>
      <w:marBottom w:val="0"/>
      <w:divBdr>
        <w:top w:val="none" w:sz="0" w:space="0" w:color="auto"/>
        <w:left w:val="none" w:sz="0" w:space="0" w:color="auto"/>
        <w:bottom w:val="none" w:sz="0" w:space="0" w:color="auto"/>
        <w:right w:val="none" w:sz="0" w:space="0" w:color="auto"/>
      </w:divBdr>
    </w:div>
    <w:div w:id="1076434416">
      <w:bodyDiv w:val="1"/>
      <w:marLeft w:val="0"/>
      <w:marRight w:val="0"/>
      <w:marTop w:val="0"/>
      <w:marBottom w:val="0"/>
      <w:divBdr>
        <w:top w:val="none" w:sz="0" w:space="0" w:color="auto"/>
        <w:left w:val="none" w:sz="0" w:space="0" w:color="auto"/>
        <w:bottom w:val="none" w:sz="0" w:space="0" w:color="auto"/>
        <w:right w:val="none" w:sz="0" w:space="0" w:color="auto"/>
      </w:divBdr>
    </w:div>
    <w:div w:id="1081101394">
      <w:bodyDiv w:val="1"/>
      <w:marLeft w:val="0"/>
      <w:marRight w:val="0"/>
      <w:marTop w:val="0"/>
      <w:marBottom w:val="0"/>
      <w:divBdr>
        <w:top w:val="none" w:sz="0" w:space="0" w:color="auto"/>
        <w:left w:val="none" w:sz="0" w:space="0" w:color="auto"/>
        <w:bottom w:val="none" w:sz="0" w:space="0" w:color="auto"/>
        <w:right w:val="none" w:sz="0" w:space="0" w:color="auto"/>
      </w:divBdr>
    </w:div>
    <w:div w:id="1142311712">
      <w:bodyDiv w:val="1"/>
      <w:marLeft w:val="0"/>
      <w:marRight w:val="0"/>
      <w:marTop w:val="0"/>
      <w:marBottom w:val="0"/>
      <w:divBdr>
        <w:top w:val="none" w:sz="0" w:space="0" w:color="auto"/>
        <w:left w:val="none" w:sz="0" w:space="0" w:color="auto"/>
        <w:bottom w:val="none" w:sz="0" w:space="0" w:color="auto"/>
        <w:right w:val="none" w:sz="0" w:space="0" w:color="auto"/>
      </w:divBdr>
    </w:div>
    <w:div w:id="1183861144">
      <w:bodyDiv w:val="1"/>
      <w:marLeft w:val="0"/>
      <w:marRight w:val="0"/>
      <w:marTop w:val="0"/>
      <w:marBottom w:val="0"/>
      <w:divBdr>
        <w:top w:val="none" w:sz="0" w:space="0" w:color="auto"/>
        <w:left w:val="none" w:sz="0" w:space="0" w:color="auto"/>
        <w:bottom w:val="none" w:sz="0" w:space="0" w:color="auto"/>
        <w:right w:val="none" w:sz="0" w:space="0" w:color="auto"/>
      </w:divBdr>
    </w:div>
    <w:div w:id="1198277928">
      <w:bodyDiv w:val="1"/>
      <w:marLeft w:val="0"/>
      <w:marRight w:val="0"/>
      <w:marTop w:val="0"/>
      <w:marBottom w:val="0"/>
      <w:divBdr>
        <w:top w:val="none" w:sz="0" w:space="0" w:color="auto"/>
        <w:left w:val="none" w:sz="0" w:space="0" w:color="auto"/>
        <w:bottom w:val="none" w:sz="0" w:space="0" w:color="auto"/>
        <w:right w:val="none" w:sz="0" w:space="0" w:color="auto"/>
      </w:divBdr>
    </w:div>
    <w:div w:id="1333408583">
      <w:bodyDiv w:val="1"/>
      <w:marLeft w:val="0"/>
      <w:marRight w:val="0"/>
      <w:marTop w:val="0"/>
      <w:marBottom w:val="0"/>
      <w:divBdr>
        <w:top w:val="none" w:sz="0" w:space="0" w:color="auto"/>
        <w:left w:val="none" w:sz="0" w:space="0" w:color="auto"/>
        <w:bottom w:val="none" w:sz="0" w:space="0" w:color="auto"/>
        <w:right w:val="none" w:sz="0" w:space="0" w:color="auto"/>
      </w:divBdr>
    </w:div>
    <w:div w:id="1408963369">
      <w:bodyDiv w:val="1"/>
      <w:marLeft w:val="0"/>
      <w:marRight w:val="0"/>
      <w:marTop w:val="0"/>
      <w:marBottom w:val="0"/>
      <w:divBdr>
        <w:top w:val="none" w:sz="0" w:space="0" w:color="auto"/>
        <w:left w:val="none" w:sz="0" w:space="0" w:color="auto"/>
        <w:bottom w:val="none" w:sz="0" w:space="0" w:color="auto"/>
        <w:right w:val="none" w:sz="0" w:space="0" w:color="auto"/>
      </w:divBdr>
    </w:div>
    <w:div w:id="1485782764">
      <w:bodyDiv w:val="1"/>
      <w:marLeft w:val="0"/>
      <w:marRight w:val="0"/>
      <w:marTop w:val="0"/>
      <w:marBottom w:val="0"/>
      <w:divBdr>
        <w:top w:val="none" w:sz="0" w:space="0" w:color="auto"/>
        <w:left w:val="none" w:sz="0" w:space="0" w:color="auto"/>
        <w:bottom w:val="none" w:sz="0" w:space="0" w:color="auto"/>
        <w:right w:val="none" w:sz="0" w:space="0" w:color="auto"/>
      </w:divBdr>
    </w:div>
    <w:div w:id="1505627704">
      <w:bodyDiv w:val="1"/>
      <w:marLeft w:val="0"/>
      <w:marRight w:val="0"/>
      <w:marTop w:val="0"/>
      <w:marBottom w:val="0"/>
      <w:divBdr>
        <w:top w:val="none" w:sz="0" w:space="0" w:color="auto"/>
        <w:left w:val="none" w:sz="0" w:space="0" w:color="auto"/>
        <w:bottom w:val="none" w:sz="0" w:space="0" w:color="auto"/>
        <w:right w:val="none" w:sz="0" w:space="0" w:color="auto"/>
      </w:divBdr>
    </w:div>
    <w:div w:id="1514880328">
      <w:bodyDiv w:val="1"/>
      <w:marLeft w:val="0"/>
      <w:marRight w:val="0"/>
      <w:marTop w:val="0"/>
      <w:marBottom w:val="0"/>
      <w:divBdr>
        <w:top w:val="none" w:sz="0" w:space="0" w:color="auto"/>
        <w:left w:val="none" w:sz="0" w:space="0" w:color="auto"/>
        <w:bottom w:val="none" w:sz="0" w:space="0" w:color="auto"/>
        <w:right w:val="none" w:sz="0" w:space="0" w:color="auto"/>
      </w:divBdr>
    </w:div>
    <w:div w:id="1560479742">
      <w:bodyDiv w:val="1"/>
      <w:marLeft w:val="0"/>
      <w:marRight w:val="0"/>
      <w:marTop w:val="0"/>
      <w:marBottom w:val="0"/>
      <w:divBdr>
        <w:top w:val="none" w:sz="0" w:space="0" w:color="auto"/>
        <w:left w:val="none" w:sz="0" w:space="0" w:color="auto"/>
        <w:bottom w:val="none" w:sz="0" w:space="0" w:color="auto"/>
        <w:right w:val="none" w:sz="0" w:space="0" w:color="auto"/>
      </w:divBdr>
    </w:div>
    <w:div w:id="1632637270">
      <w:bodyDiv w:val="1"/>
      <w:marLeft w:val="0"/>
      <w:marRight w:val="0"/>
      <w:marTop w:val="0"/>
      <w:marBottom w:val="0"/>
      <w:divBdr>
        <w:top w:val="none" w:sz="0" w:space="0" w:color="auto"/>
        <w:left w:val="none" w:sz="0" w:space="0" w:color="auto"/>
        <w:bottom w:val="none" w:sz="0" w:space="0" w:color="auto"/>
        <w:right w:val="none" w:sz="0" w:space="0" w:color="auto"/>
      </w:divBdr>
    </w:div>
    <w:div w:id="1654992866">
      <w:bodyDiv w:val="1"/>
      <w:marLeft w:val="0"/>
      <w:marRight w:val="0"/>
      <w:marTop w:val="0"/>
      <w:marBottom w:val="0"/>
      <w:divBdr>
        <w:top w:val="none" w:sz="0" w:space="0" w:color="auto"/>
        <w:left w:val="none" w:sz="0" w:space="0" w:color="auto"/>
        <w:bottom w:val="none" w:sz="0" w:space="0" w:color="auto"/>
        <w:right w:val="none" w:sz="0" w:space="0" w:color="auto"/>
      </w:divBdr>
    </w:div>
    <w:div w:id="1661419908">
      <w:bodyDiv w:val="1"/>
      <w:marLeft w:val="0"/>
      <w:marRight w:val="0"/>
      <w:marTop w:val="0"/>
      <w:marBottom w:val="0"/>
      <w:divBdr>
        <w:top w:val="none" w:sz="0" w:space="0" w:color="auto"/>
        <w:left w:val="none" w:sz="0" w:space="0" w:color="auto"/>
        <w:bottom w:val="none" w:sz="0" w:space="0" w:color="auto"/>
        <w:right w:val="none" w:sz="0" w:space="0" w:color="auto"/>
      </w:divBdr>
    </w:div>
    <w:div w:id="1693410332">
      <w:bodyDiv w:val="1"/>
      <w:marLeft w:val="0"/>
      <w:marRight w:val="0"/>
      <w:marTop w:val="0"/>
      <w:marBottom w:val="0"/>
      <w:divBdr>
        <w:top w:val="none" w:sz="0" w:space="0" w:color="auto"/>
        <w:left w:val="none" w:sz="0" w:space="0" w:color="auto"/>
        <w:bottom w:val="none" w:sz="0" w:space="0" w:color="auto"/>
        <w:right w:val="none" w:sz="0" w:space="0" w:color="auto"/>
      </w:divBdr>
    </w:div>
    <w:div w:id="1715421778">
      <w:bodyDiv w:val="1"/>
      <w:marLeft w:val="0"/>
      <w:marRight w:val="0"/>
      <w:marTop w:val="0"/>
      <w:marBottom w:val="0"/>
      <w:divBdr>
        <w:top w:val="none" w:sz="0" w:space="0" w:color="auto"/>
        <w:left w:val="none" w:sz="0" w:space="0" w:color="auto"/>
        <w:bottom w:val="none" w:sz="0" w:space="0" w:color="auto"/>
        <w:right w:val="none" w:sz="0" w:space="0" w:color="auto"/>
      </w:divBdr>
      <w:divsChild>
        <w:div w:id="214397405">
          <w:marLeft w:val="0"/>
          <w:marRight w:val="0"/>
          <w:marTop w:val="0"/>
          <w:marBottom w:val="0"/>
          <w:divBdr>
            <w:top w:val="none" w:sz="0" w:space="0" w:color="auto"/>
            <w:left w:val="none" w:sz="0" w:space="0" w:color="auto"/>
            <w:bottom w:val="none" w:sz="0" w:space="0" w:color="auto"/>
            <w:right w:val="none" w:sz="0" w:space="0" w:color="auto"/>
          </w:divBdr>
          <w:divsChild>
            <w:div w:id="2087262807">
              <w:marLeft w:val="0"/>
              <w:marRight w:val="0"/>
              <w:marTop w:val="0"/>
              <w:marBottom w:val="0"/>
              <w:divBdr>
                <w:top w:val="none" w:sz="0" w:space="0" w:color="auto"/>
                <w:left w:val="none" w:sz="0" w:space="0" w:color="auto"/>
                <w:bottom w:val="none" w:sz="0" w:space="0" w:color="auto"/>
                <w:right w:val="none" w:sz="0" w:space="0" w:color="auto"/>
              </w:divBdr>
              <w:divsChild>
                <w:div w:id="1933196449">
                  <w:marLeft w:val="0"/>
                  <w:marRight w:val="0"/>
                  <w:marTop w:val="0"/>
                  <w:marBottom w:val="0"/>
                  <w:divBdr>
                    <w:top w:val="none" w:sz="0" w:space="0" w:color="auto"/>
                    <w:left w:val="none" w:sz="0" w:space="0" w:color="auto"/>
                    <w:bottom w:val="none" w:sz="0" w:space="0" w:color="auto"/>
                    <w:right w:val="none" w:sz="0" w:space="0" w:color="auto"/>
                  </w:divBdr>
                  <w:divsChild>
                    <w:div w:id="1404718932">
                      <w:marLeft w:val="0"/>
                      <w:marRight w:val="0"/>
                      <w:marTop w:val="0"/>
                      <w:marBottom w:val="0"/>
                      <w:divBdr>
                        <w:top w:val="none" w:sz="0" w:space="0" w:color="auto"/>
                        <w:left w:val="none" w:sz="0" w:space="0" w:color="auto"/>
                        <w:bottom w:val="none" w:sz="0" w:space="0" w:color="auto"/>
                        <w:right w:val="none" w:sz="0" w:space="0" w:color="auto"/>
                      </w:divBdr>
                      <w:divsChild>
                        <w:div w:id="997881833">
                          <w:marLeft w:val="0"/>
                          <w:marRight w:val="0"/>
                          <w:marTop w:val="0"/>
                          <w:marBottom w:val="0"/>
                          <w:divBdr>
                            <w:top w:val="none" w:sz="0" w:space="0" w:color="auto"/>
                            <w:left w:val="none" w:sz="0" w:space="0" w:color="auto"/>
                            <w:bottom w:val="none" w:sz="0" w:space="0" w:color="auto"/>
                            <w:right w:val="none" w:sz="0" w:space="0" w:color="auto"/>
                          </w:divBdr>
                          <w:divsChild>
                            <w:div w:id="6375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287614">
          <w:marLeft w:val="0"/>
          <w:marRight w:val="0"/>
          <w:marTop w:val="0"/>
          <w:marBottom w:val="0"/>
          <w:divBdr>
            <w:top w:val="none" w:sz="0" w:space="0" w:color="auto"/>
            <w:left w:val="none" w:sz="0" w:space="0" w:color="auto"/>
            <w:bottom w:val="none" w:sz="0" w:space="0" w:color="auto"/>
            <w:right w:val="none" w:sz="0" w:space="0" w:color="auto"/>
          </w:divBdr>
          <w:divsChild>
            <w:div w:id="885989496">
              <w:marLeft w:val="0"/>
              <w:marRight w:val="0"/>
              <w:marTop w:val="0"/>
              <w:marBottom w:val="0"/>
              <w:divBdr>
                <w:top w:val="none" w:sz="0" w:space="0" w:color="auto"/>
                <w:left w:val="none" w:sz="0" w:space="0" w:color="auto"/>
                <w:bottom w:val="none" w:sz="0" w:space="0" w:color="auto"/>
                <w:right w:val="none" w:sz="0" w:space="0" w:color="auto"/>
              </w:divBdr>
              <w:divsChild>
                <w:div w:id="1399783512">
                  <w:marLeft w:val="0"/>
                  <w:marRight w:val="0"/>
                  <w:marTop w:val="0"/>
                  <w:marBottom w:val="0"/>
                  <w:divBdr>
                    <w:top w:val="none" w:sz="0" w:space="0" w:color="auto"/>
                    <w:left w:val="none" w:sz="0" w:space="0" w:color="auto"/>
                    <w:bottom w:val="none" w:sz="0" w:space="0" w:color="auto"/>
                    <w:right w:val="none" w:sz="0" w:space="0" w:color="auto"/>
                  </w:divBdr>
                  <w:divsChild>
                    <w:div w:id="77676027">
                      <w:marLeft w:val="0"/>
                      <w:marRight w:val="0"/>
                      <w:marTop w:val="0"/>
                      <w:marBottom w:val="0"/>
                      <w:divBdr>
                        <w:top w:val="none" w:sz="0" w:space="0" w:color="auto"/>
                        <w:left w:val="none" w:sz="0" w:space="0" w:color="auto"/>
                        <w:bottom w:val="none" w:sz="0" w:space="0" w:color="auto"/>
                        <w:right w:val="none" w:sz="0" w:space="0" w:color="auto"/>
                      </w:divBdr>
                      <w:divsChild>
                        <w:div w:id="506558836">
                          <w:marLeft w:val="0"/>
                          <w:marRight w:val="0"/>
                          <w:marTop w:val="0"/>
                          <w:marBottom w:val="0"/>
                          <w:divBdr>
                            <w:top w:val="none" w:sz="0" w:space="0" w:color="auto"/>
                            <w:left w:val="none" w:sz="0" w:space="0" w:color="auto"/>
                            <w:bottom w:val="none" w:sz="0" w:space="0" w:color="auto"/>
                            <w:right w:val="none" w:sz="0" w:space="0" w:color="auto"/>
                          </w:divBdr>
                          <w:divsChild>
                            <w:div w:id="655106264">
                              <w:marLeft w:val="0"/>
                              <w:marRight w:val="0"/>
                              <w:marTop w:val="0"/>
                              <w:marBottom w:val="0"/>
                              <w:divBdr>
                                <w:top w:val="none" w:sz="0" w:space="0" w:color="auto"/>
                                <w:left w:val="none" w:sz="0" w:space="0" w:color="auto"/>
                                <w:bottom w:val="none" w:sz="0" w:space="0" w:color="auto"/>
                                <w:right w:val="none" w:sz="0" w:space="0" w:color="auto"/>
                              </w:divBdr>
                              <w:divsChild>
                                <w:div w:id="116216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280894">
      <w:bodyDiv w:val="1"/>
      <w:marLeft w:val="0"/>
      <w:marRight w:val="0"/>
      <w:marTop w:val="0"/>
      <w:marBottom w:val="0"/>
      <w:divBdr>
        <w:top w:val="none" w:sz="0" w:space="0" w:color="auto"/>
        <w:left w:val="none" w:sz="0" w:space="0" w:color="auto"/>
        <w:bottom w:val="none" w:sz="0" w:space="0" w:color="auto"/>
        <w:right w:val="none" w:sz="0" w:space="0" w:color="auto"/>
      </w:divBdr>
    </w:div>
    <w:div w:id="1796095758">
      <w:bodyDiv w:val="1"/>
      <w:marLeft w:val="0"/>
      <w:marRight w:val="0"/>
      <w:marTop w:val="0"/>
      <w:marBottom w:val="0"/>
      <w:divBdr>
        <w:top w:val="none" w:sz="0" w:space="0" w:color="auto"/>
        <w:left w:val="none" w:sz="0" w:space="0" w:color="auto"/>
        <w:bottom w:val="none" w:sz="0" w:space="0" w:color="auto"/>
        <w:right w:val="none" w:sz="0" w:space="0" w:color="auto"/>
      </w:divBdr>
    </w:div>
    <w:div w:id="1813912479">
      <w:bodyDiv w:val="1"/>
      <w:marLeft w:val="0"/>
      <w:marRight w:val="0"/>
      <w:marTop w:val="0"/>
      <w:marBottom w:val="0"/>
      <w:divBdr>
        <w:top w:val="none" w:sz="0" w:space="0" w:color="auto"/>
        <w:left w:val="none" w:sz="0" w:space="0" w:color="auto"/>
        <w:bottom w:val="none" w:sz="0" w:space="0" w:color="auto"/>
        <w:right w:val="none" w:sz="0" w:space="0" w:color="auto"/>
      </w:divBdr>
    </w:div>
    <w:div w:id="1814132798">
      <w:bodyDiv w:val="1"/>
      <w:marLeft w:val="0"/>
      <w:marRight w:val="0"/>
      <w:marTop w:val="0"/>
      <w:marBottom w:val="0"/>
      <w:divBdr>
        <w:top w:val="none" w:sz="0" w:space="0" w:color="auto"/>
        <w:left w:val="none" w:sz="0" w:space="0" w:color="auto"/>
        <w:bottom w:val="none" w:sz="0" w:space="0" w:color="auto"/>
        <w:right w:val="none" w:sz="0" w:space="0" w:color="auto"/>
      </w:divBdr>
    </w:div>
    <w:div w:id="1847356578">
      <w:bodyDiv w:val="1"/>
      <w:marLeft w:val="0"/>
      <w:marRight w:val="0"/>
      <w:marTop w:val="0"/>
      <w:marBottom w:val="0"/>
      <w:divBdr>
        <w:top w:val="none" w:sz="0" w:space="0" w:color="auto"/>
        <w:left w:val="none" w:sz="0" w:space="0" w:color="auto"/>
        <w:bottom w:val="none" w:sz="0" w:space="0" w:color="auto"/>
        <w:right w:val="none" w:sz="0" w:space="0" w:color="auto"/>
      </w:divBdr>
    </w:div>
    <w:div w:id="1847479148">
      <w:bodyDiv w:val="1"/>
      <w:marLeft w:val="0"/>
      <w:marRight w:val="0"/>
      <w:marTop w:val="0"/>
      <w:marBottom w:val="0"/>
      <w:divBdr>
        <w:top w:val="none" w:sz="0" w:space="0" w:color="auto"/>
        <w:left w:val="none" w:sz="0" w:space="0" w:color="auto"/>
        <w:bottom w:val="none" w:sz="0" w:space="0" w:color="auto"/>
        <w:right w:val="none" w:sz="0" w:space="0" w:color="auto"/>
      </w:divBdr>
    </w:div>
    <w:div w:id="1851749914">
      <w:bodyDiv w:val="1"/>
      <w:marLeft w:val="0"/>
      <w:marRight w:val="0"/>
      <w:marTop w:val="0"/>
      <w:marBottom w:val="0"/>
      <w:divBdr>
        <w:top w:val="none" w:sz="0" w:space="0" w:color="auto"/>
        <w:left w:val="none" w:sz="0" w:space="0" w:color="auto"/>
        <w:bottom w:val="none" w:sz="0" w:space="0" w:color="auto"/>
        <w:right w:val="none" w:sz="0" w:space="0" w:color="auto"/>
      </w:divBdr>
    </w:div>
    <w:div w:id="1922446299">
      <w:bodyDiv w:val="1"/>
      <w:marLeft w:val="0"/>
      <w:marRight w:val="0"/>
      <w:marTop w:val="0"/>
      <w:marBottom w:val="0"/>
      <w:divBdr>
        <w:top w:val="none" w:sz="0" w:space="0" w:color="auto"/>
        <w:left w:val="none" w:sz="0" w:space="0" w:color="auto"/>
        <w:bottom w:val="none" w:sz="0" w:space="0" w:color="auto"/>
        <w:right w:val="none" w:sz="0" w:space="0" w:color="auto"/>
      </w:divBdr>
    </w:div>
    <w:div w:id="1967421494">
      <w:bodyDiv w:val="1"/>
      <w:marLeft w:val="0"/>
      <w:marRight w:val="0"/>
      <w:marTop w:val="0"/>
      <w:marBottom w:val="0"/>
      <w:divBdr>
        <w:top w:val="none" w:sz="0" w:space="0" w:color="auto"/>
        <w:left w:val="none" w:sz="0" w:space="0" w:color="auto"/>
        <w:bottom w:val="none" w:sz="0" w:space="0" w:color="auto"/>
        <w:right w:val="none" w:sz="0" w:space="0" w:color="auto"/>
      </w:divBdr>
    </w:div>
    <w:div w:id="2021930418">
      <w:bodyDiv w:val="1"/>
      <w:marLeft w:val="0"/>
      <w:marRight w:val="0"/>
      <w:marTop w:val="0"/>
      <w:marBottom w:val="0"/>
      <w:divBdr>
        <w:top w:val="none" w:sz="0" w:space="0" w:color="auto"/>
        <w:left w:val="none" w:sz="0" w:space="0" w:color="auto"/>
        <w:bottom w:val="none" w:sz="0" w:space="0" w:color="auto"/>
        <w:right w:val="none" w:sz="0" w:space="0" w:color="auto"/>
      </w:divBdr>
    </w:div>
    <w:div w:id="2075541735">
      <w:bodyDiv w:val="1"/>
      <w:marLeft w:val="0"/>
      <w:marRight w:val="0"/>
      <w:marTop w:val="0"/>
      <w:marBottom w:val="0"/>
      <w:divBdr>
        <w:top w:val="none" w:sz="0" w:space="0" w:color="auto"/>
        <w:left w:val="none" w:sz="0" w:space="0" w:color="auto"/>
        <w:bottom w:val="none" w:sz="0" w:space="0" w:color="auto"/>
        <w:right w:val="none" w:sz="0" w:space="0" w:color="auto"/>
      </w:divBdr>
    </w:div>
    <w:div w:id="2147358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539CB-E6BA-471D-92F2-700678739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30423</Words>
  <Characters>173414</Characters>
  <Application>Microsoft Office Word</Application>
  <DocSecurity>0</DocSecurity>
  <Lines>1445</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Hoelscher</dc:creator>
  <cp:keywords/>
  <dc:description/>
  <cp:lastModifiedBy>Kristian Hoelscher</cp:lastModifiedBy>
  <cp:revision>3</cp:revision>
  <cp:lastPrinted>2025-09-03T11:42:00Z</cp:lastPrinted>
  <dcterms:created xsi:type="dcterms:W3CDTF">2025-11-28T14:29:00Z</dcterms:created>
  <dcterms:modified xsi:type="dcterms:W3CDTF">2025-11-28T14:32:00Z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id="Ofrbxql3"/&gt;&lt;style id="http://www.zotero.org/styles/apa" locale="en-GB" hasBibliography="1" bibliographyStyleHasBeenSet="1"/&gt;&lt;prefs&gt;&lt;pref name="fieldType" value="Field"/&gt;&lt;/prefs&gt;&lt;/data&gt;</vt:lpwstr>
  </property>
</Properties>
</file>