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E3A9" w14:textId="77777777" w:rsidR="00ED572F" w:rsidRDefault="00ED572F" w:rsidP="00ED572F">
      <w:pPr>
        <w:pStyle w:val="Title"/>
        <w:jc w:val="center"/>
      </w:pPr>
      <w:r>
        <w:t>Quality of Life of X-Linked Agammaglobulinaemia patients in the United Kingdom</w:t>
      </w:r>
    </w:p>
    <w:p w14:paraId="7000C161" w14:textId="77777777" w:rsidR="00ED572F" w:rsidRPr="00B505A7" w:rsidRDefault="00ED572F" w:rsidP="00ED572F"/>
    <w:p w14:paraId="68079129" w14:textId="6D8C92E1" w:rsidR="00ED572F" w:rsidRDefault="00ED572F" w:rsidP="0057637C">
      <w:pPr>
        <w:pStyle w:val="Heading2"/>
        <w:tabs>
          <w:tab w:val="left" w:pos="5685"/>
        </w:tabs>
      </w:pPr>
      <w:r>
        <w:t>Authors and institutions</w:t>
      </w:r>
      <w:r w:rsidR="00FC3BD6">
        <w:tab/>
      </w:r>
    </w:p>
    <w:p w14:paraId="0558B388" w14:textId="6221052E" w:rsidR="00ED572F" w:rsidRPr="00C5310E" w:rsidRDefault="00ED572F" w:rsidP="00ED572F">
      <w:r w:rsidRPr="00C5310E">
        <w:t>Ben Shillitoe</w:t>
      </w:r>
      <w:r w:rsidRPr="00C5310E">
        <w:rPr>
          <w:vertAlign w:val="superscript"/>
        </w:rPr>
        <w:t>1</w:t>
      </w:r>
      <w:r w:rsidRPr="00C5310E">
        <w:t>, Helen Bourne</w:t>
      </w:r>
      <w:r w:rsidRPr="00C5310E">
        <w:rPr>
          <w:vertAlign w:val="superscript"/>
        </w:rPr>
        <w:t>2</w:t>
      </w:r>
      <w:r w:rsidRPr="00C5310E">
        <w:t>, Catherine Stroud</w:t>
      </w:r>
      <w:r w:rsidRPr="00C5310E">
        <w:rPr>
          <w:vertAlign w:val="superscript"/>
        </w:rPr>
        <w:t>2</w:t>
      </w:r>
      <w:r w:rsidRPr="00C5310E">
        <w:t>, Terry Flood</w:t>
      </w:r>
      <w:r w:rsidR="00682510">
        <w:rPr>
          <w:vertAlign w:val="superscript"/>
        </w:rPr>
        <w:t>3</w:t>
      </w:r>
      <w:r w:rsidRPr="00C5310E">
        <w:t>, Matthew Buckland</w:t>
      </w:r>
      <w:r w:rsidR="00682510">
        <w:rPr>
          <w:vertAlign w:val="superscript"/>
        </w:rPr>
        <w:t>4</w:t>
      </w:r>
      <w:r w:rsidR="00B86CF6" w:rsidRPr="00C5310E">
        <w:rPr>
          <w:vertAlign w:val="superscript"/>
        </w:rPr>
        <w:t xml:space="preserve"> </w:t>
      </w:r>
      <w:r w:rsidR="00682510">
        <w:rPr>
          <w:vertAlign w:val="superscript"/>
        </w:rPr>
        <w:t>5</w:t>
      </w:r>
      <w:r w:rsidRPr="00C5310E">
        <w:t>, Winnie Ip</w:t>
      </w:r>
      <w:r w:rsidR="00682510">
        <w:rPr>
          <w:vertAlign w:val="superscript"/>
        </w:rPr>
        <w:t>5</w:t>
      </w:r>
      <w:r w:rsidRPr="00C5310E">
        <w:t>, Austen Worth</w:t>
      </w:r>
      <w:r w:rsidR="00682510">
        <w:rPr>
          <w:vertAlign w:val="superscript"/>
        </w:rPr>
        <w:t>5</w:t>
      </w:r>
      <w:r w:rsidRPr="00C5310E">
        <w:t>, Scott Hackett</w:t>
      </w:r>
      <w:r w:rsidR="00682510" w:rsidRPr="009F0F5F">
        <w:rPr>
          <w:vertAlign w:val="superscript"/>
        </w:rPr>
        <w:t>6</w:t>
      </w:r>
      <w:r w:rsidRPr="00C5310E">
        <w:t>, Archana Herwadkar</w:t>
      </w:r>
      <w:r w:rsidR="009F0F5F">
        <w:rPr>
          <w:vertAlign w:val="superscript"/>
        </w:rPr>
        <w:t>7</w:t>
      </w:r>
      <w:r w:rsidRPr="00C5310E">
        <w:t>, Tanya Coulter</w:t>
      </w:r>
      <w:r w:rsidR="009F0F5F">
        <w:rPr>
          <w:vertAlign w:val="superscript"/>
        </w:rPr>
        <w:t>8</w:t>
      </w:r>
      <w:r w:rsidRPr="00C5310E">
        <w:t xml:space="preserve">, </w:t>
      </w:r>
      <w:r w:rsidR="00CE2494">
        <w:t xml:space="preserve">Stephen </w:t>
      </w:r>
      <w:r w:rsidRPr="00C5310E">
        <w:t>Jolles</w:t>
      </w:r>
      <w:r w:rsidR="009F0F5F">
        <w:rPr>
          <w:vertAlign w:val="superscript"/>
        </w:rPr>
        <w:t>9</w:t>
      </w:r>
      <w:r w:rsidRPr="00C5310E">
        <w:t>, Tomaz Garcez</w:t>
      </w:r>
      <w:r w:rsidR="009F0F5F">
        <w:rPr>
          <w:vertAlign w:val="superscript"/>
        </w:rPr>
        <w:t>10</w:t>
      </w:r>
      <w:r w:rsidRPr="00C5310E">
        <w:t>, Eduardo Moya</w:t>
      </w:r>
      <w:r w:rsidRPr="00C5310E">
        <w:rPr>
          <w:vertAlign w:val="superscript"/>
        </w:rPr>
        <w:t>1</w:t>
      </w:r>
      <w:r w:rsidR="009F0F5F">
        <w:rPr>
          <w:vertAlign w:val="superscript"/>
        </w:rPr>
        <w:t>1</w:t>
      </w:r>
      <w:r w:rsidRPr="00C5310E">
        <w:t>, Saul</w:t>
      </w:r>
      <w:r w:rsidR="00987AE3">
        <w:t xml:space="preserve"> N.</w:t>
      </w:r>
      <w:r w:rsidRPr="00C5310E">
        <w:t xml:space="preserve"> Faust</w:t>
      </w:r>
      <w:r w:rsidRPr="00C5310E">
        <w:rPr>
          <w:vertAlign w:val="superscript"/>
        </w:rPr>
        <w:t>1</w:t>
      </w:r>
      <w:r w:rsidR="009F0F5F">
        <w:rPr>
          <w:vertAlign w:val="superscript"/>
        </w:rPr>
        <w:t>2</w:t>
      </w:r>
      <w:r w:rsidR="001900B7">
        <w:rPr>
          <w:vertAlign w:val="superscript"/>
        </w:rPr>
        <w:t xml:space="preserve"> 1</w:t>
      </w:r>
      <w:r w:rsidR="009F0F5F">
        <w:rPr>
          <w:vertAlign w:val="superscript"/>
        </w:rPr>
        <w:t>3</w:t>
      </w:r>
      <w:r w:rsidRPr="00C5310E">
        <w:t>, Mark S. Pearce</w:t>
      </w:r>
      <w:r w:rsidRPr="00C5310E">
        <w:rPr>
          <w:vertAlign w:val="superscript"/>
        </w:rPr>
        <w:t>1</w:t>
      </w:r>
      <w:r w:rsidR="009F0F5F">
        <w:rPr>
          <w:vertAlign w:val="superscript"/>
        </w:rPr>
        <w:t>4</w:t>
      </w:r>
      <w:r w:rsidRPr="00C5310E">
        <w:t>, Andrew</w:t>
      </w:r>
      <w:r w:rsidR="00D85766">
        <w:t xml:space="preserve"> R.</w:t>
      </w:r>
      <w:r w:rsidRPr="00C5310E">
        <w:t xml:space="preserve"> Gennery</w:t>
      </w:r>
      <w:r w:rsidR="0003785D">
        <w:rPr>
          <w:vertAlign w:val="superscript"/>
        </w:rPr>
        <w:t>3</w:t>
      </w:r>
      <w:r w:rsidRPr="00C5310E">
        <w:rPr>
          <w:vertAlign w:val="superscript"/>
        </w:rPr>
        <w:t xml:space="preserve"> 1</w:t>
      </w:r>
      <w:r w:rsidR="0003785D">
        <w:rPr>
          <w:vertAlign w:val="superscript"/>
        </w:rPr>
        <w:t>5</w:t>
      </w:r>
    </w:p>
    <w:p w14:paraId="36EC0F85" w14:textId="77777777" w:rsidR="00ED572F" w:rsidRDefault="00ED572F" w:rsidP="00ED572F">
      <w:pPr>
        <w:pStyle w:val="ListParagraph"/>
        <w:numPr>
          <w:ilvl w:val="0"/>
          <w:numId w:val="11"/>
        </w:numPr>
      </w:pPr>
      <w:r w:rsidRPr="00C5310E">
        <w:t>Sheffield Children’s NHS Foundation Trust, UK</w:t>
      </w:r>
    </w:p>
    <w:p w14:paraId="05D33BB4" w14:textId="52D5BDD6" w:rsidR="00E93B94" w:rsidRPr="00C5310E" w:rsidRDefault="00E93B94" w:rsidP="00ED572F">
      <w:pPr>
        <w:pStyle w:val="ListParagraph"/>
        <w:numPr>
          <w:ilvl w:val="0"/>
          <w:numId w:val="11"/>
        </w:numPr>
      </w:pPr>
      <w:r>
        <w:t>Royal Victoria Infirmary, Newcastle upon Tyne, UK</w:t>
      </w:r>
    </w:p>
    <w:p w14:paraId="191C341D" w14:textId="2FB6F62A" w:rsidR="00ED572F" w:rsidRPr="00C5310E" w:rsidRDefault="00D85766" w:rsidP="00ED572F">
      <w:pPr>
        <w:pStyle w:val="ListParagraph"/>
        <w:numPr>
          <w:ilvl w:val="0"/>
          <w:numId w:val="11"/>
        </w:numPr>
      </w:pPr>
      <w:r>
        <w:t>Great North Children’s Hospital</w:t>
      </w:r>
      <w:r w:rsidR="00ED572F" w:rsidRPr="00C5310E">
        <w:t xml:space="preserve">, </w:t>
      </w:r>
      <w:r>
        <w:t xml:space="preserve">Newcastle upon Tyne, </w:t>
      </w:r>
      <w:r w:rsidR="00ED572F" w:rsidRPr="00C5310E">
        <w:t>UK</w:t>
      </w:r>
    </w:p>
    <w:p w14:paraId="6A080B5C" w14:textId="77777777" w:rsidR="00ED572F" w:rsidRPr="00C5310E" w:rsidRDefault="00ED572F" w:rsidP="00ED572F">
      <w:pPr>
        <w:pStyle w:val="ListParagraph"/>
        <w:numPr>
          <w:ilvl w:val="0"/>
          <w:numId w:val="11"/>
        </w:numPr>
      </w:pPr>
      <w:r w:rsidRPr="00C5310E">
        <w:t>Institute of Child Health, UCL, UK</w:t>
      </w:r>
    </w:p>
    <w:p w14:paraId="4DE43052" w14:textId="2915CE4E" w:rsidR="00ED572F" w:rsidRPr="00C5310E" w:rsidRDefault="00D223AA" w:rsidP="00ED572F">
      <w:pPr>
        <w:pStyle w:val="ListParagraph"/>
        <w:numPr>
          <w:ilvl w:val="0"/>
          <w:numId w:val="11"/>
        </w:numPr>
      </w:pPr>
      <w:r>
        <w:t xml:space="preserve">Department of Immunology and Gene Therapy, </w:t>
      </w:r>
      <w:r w:rsidR="00ED572F" w:rsidRPr="00C5310E">
        <w:t>Great Ormond Street Hospital for Children NHS Foundation Trust, UK</w:t>
      </w:r>
    </w:p>
    <w:p w14:paraId="461E9DAB" w14:textId="77777777" w:rsidR="00ED572F" w:rsidRPr="00C5310E" w:rsidRDefault="00ED572F" w:rsidP="00ED572F">
      <w:pPr>
        <w:pStyle w:val="ListParagraph"/>
        <w:numPr>
          <w:ilvl w:val="0"/>
          <w:numId w:val="11"/>
        </w:numPr>
      </w:pPr>
      <w:r w:rsidRPr="00C5310E">
        <w:t>University Hospitals Birmingham NHS Foundation Trust, UK</w:t>
      </w:r>
    </w:p>
    <w:p w14:paraId="1F9387D5" w14:textId="4F0B9573" w:rsidR="00ED572F" w:rsidRPr="00C5310E" w:rsidRDefault="00427654" w:rsidP="00ED572F">
      <w:pPr>
        <w:pStyle w:val="ListParagraph"/>
        <w:numPr>
          <w:ilvl w:val="0"/>
          <w:numId w:val="11"/>
        </w:numPr>
      </w:pPr>
      <w:r w:rsidRPr="00BA3BC4">
        <w:t>Salford Care Organisation, Northern Care Alliance NHS Trust</w:t>
      </w:r>
      <w:r w:rsidR="00ED572F" w:rsidRPr="00C5310E">
        <w:t>, UK</w:t>
      </w:r>
    </w:p>
    <w:p w14:paraId="79CEC0A1" w14:textId="77777777" w:rsidR="00ED572F" w:rsidRPr="00C5310E" w:rsidRDefault="00ED572F" w:rsidP="00ED572F">
      <w:pPr>
        <w:pStyle w:val="ListParagraph"/>
        <w:numPr>
          <w:ilvl w:val="0"/>
          <w:numId w:val="11"/>
        </w:numPr>
      </w:pPr>
      <w:r w:rsidRPr="00C5310E">
        <w:t>Belfast Health and Social Care Trust, UK</w:t>
      </w:r>
    </w:p>
    <w:p w14:paraId="0BC0E0EB" w14:textId="77777777" w:rsidR="00ED572F" w:rsidRPr="00C5310E" w:rsidRDefault="00ED572F" w:rsidP="00ED572F">
      <w:pPr>
        <w:pStyle w:val="ListParagraph"/>
        <w:numPr>
          <w:ilvl w:val="0"/>
          <w:numId w:val="11"/>
        </w:numPr>
      </w:pPr>
      <w:r w:rsidRPr="00C5310E">
        <w:t>Immunodeficiency Centre for Wales, University Hospital of Wales, Cardiff, UK.</w:t>
      </w:r>
    </w:p>
    <w:p w14:paraId="5A0FA242" w14:textId="77777777" w:rsidR="00ED572F" w:rsidRPr="00C5310E" w:rsidRDefault="00ED572F" w:rsidP="00ED572F">
      <w:pPr>
        <w:pStyle w:val="ListParagraph"/>
        <w:numPr>
          <w:ilvl w:val="0"/>
          <w:numId w:val="11"/>
        </w:numPr>
      </w:pPr>
      <w:r w:rsidRPr="00C5310E">
        <w:t>Manchester University NHS Foundation Trust, UK</w:t>
      </w:r>
    </w:p>
    <w:p w14:paraId="744E282D" w14:textId="77777777" w:rsidR="00ED572F" w:rsidRPr="00C5310E" w:rsidRDefault="00ED572F" w:rsidP="00ED572F">
      <w:pPr>
        <w:pStyle w:val="ListParagraph"/>
        <w:numPr>
          <w:ilvl w:val="0"/>
          <w:numId w:val="11"/>
        </w:numPr>
      </w:pPr>
      <w:r w:rsidRPr="00C5310E">
        <w:t>Bradford Teaching Hospitals NHS Foundation Trust, UK</w:t>
      </w:r>
    </w:p>
    <w:p w14:paraId="3991CDCC" w14:textId="337BB476" w:rsidR="001900B7" w:rsidRDefault="001900B7" w:rsidP="00ED572F">
      <w:pPr>
        <w:pStyle w:val="ListParagraph"/>
        <w:numPr>
          <w:ilvl w:val="0"/>
          <w:numId w:val="11"/>
        </w:numPr>
      </w:pPr>
      <w:r w:rsidRPr="001900B7">
        <w:t>NIHR Southampton Clinical Research Facility and Biomedical Research Centre, University Hospital Southampton NHS Foundation Trust</w:t>
      </w:r>
    </w:p>
    <w:p w14:paraId="5D6C530F" w14:textId="1D21ED1A" w:rsidR="001900B7" w:rsidRPr="001900B7" w:rsidRDefault="001900B7" w:rsidP="00ED572F">
      <w:pPr>
        <w:pStyle w:val="ListParagraph"/>
        <w:numPr>
          <w:ilvl w:val="0"/>
          <w:numId w:val="11"/>
        </w:numPr>
      </w:pPr>
      <w:r w:rsidRPr="001900B7">
        <w:t>Faculty of Medicine and Institute for Life Sciences, University of Southampton</w:t>
      </w:r>
    </w:p>
    <w:p w14:paraId="3A4DD914" w14:textId="6A7674D1" w:rsidR="00ED572F" w:rsidRPr="00C5310E" w:rsidRDefault="00ED572F" w:rsidP="00ED572F">
      <w:pPr>
        <w:pStyle w:val="ListParagraph"/>
        <w:numPr>
          <w:ilvl w:val="0"/>
          <w:numId w:val="11"/>
        </w:numPr>
      </w:pPr>
      <w:r w:rsidRPr="00C5310E">
        <w:t>Population Health Sciences Institute, Newcastle University, UK</w:t>
      </w:r>
    </w:p>
    <w:p w14:paraId="578DB11A" w14:textId="77777777" w:rsidR="00ED572F" w:rsidRPr="00C5310E" w:rsidRDefault="00ED572F" w:rsidP="00ED572F">
      <w:pPr>
        <w:pStyle w:val="ListParagraph"/>
        <w:numPr>
          <w:ilvl w:val="0"/>
          <w:numId w:val="11"/>
        </w:numPr>
      </w:pPr>
      <w:r w:rsidRPr="00C5310E">
        <w:t>Newcastle University Translational and Clinical Research Institute, Newcastle University, UK</w:t>
      </w:r>
    </w:p>
    <w:p w14:paraId="71D00E4E" w14:textId="77777777" w:rsidR="00ED572F" w:rsidRPr="00161826" w:rsidRDefault="00ED572F" w:rsidP="00ED572F">
      <w:pPr>
        <w:pStyle w:val="Heading2"/>
      </w:pPr>
      <w:r w:rsidRPr="00B505A7">
        <w:t>Corresponding author</w:t>
      </w:r>
    </w:p>
    <w:p w14:paraId="55C1BAB3" w14:textId="77777777" w:rsidR="00ED572F" w:rsidRDefault="00ED572F" w:rsidP="00ED572F">
      <w:pPr>
        <w:pStyle w:val="NoSpacing"/>
      </w:pPr>
      <w:r>
        <w:t>Ben Shillitoe</w:t>
      </w:r>
    </w:p>
    <w:p w14:paraId="04244251" w14:textId="77777777" w:rsidR="00ED572F" w:rsidRDefault="00ED572F" w:rsidP="00ED572F">
      <w:pPr>
        <w:pStyle w:val="NoSpacing"/>
      </w:pPr>
      <w:hyperlink r:id="rId6" w:history="1">
        <w:r w:rsidRPr="00F71248">
          <w:rPr>
            <w:rStyle w:val="Hyperlink"/>
          </w:rPr>
          <w:t>Benjamin.shillitoe@nhs.net</w:t>
        </w:r>
      </w:hyperlink>
    </w:p>
    <w:p w14:paraId="7E10D65E" w14:textId="77777777" w:rsidR="00ED572F" w:rsidRDefault="00ED572F" w:rsidP="00ED572F">
      <w:pPr>
        <w:pStyle w:val="NoSpacing"/>
      </w:pPr>
    </w:p>
    <w:p w14:paraId="66FCD626" w14:textId="77777777" w:rsidR="00ED572F" w:rsidRDefault="00ED572F" w:rsidP="00ED572F">
      <w:pPr>
        <w:pStyle w:val="Heading2"/>
        <w:sectPr w:rsidR="00ED572F" w:rsidSect="00FF1EBD">
          <w:type w:val="continuous"/>
          <w:pgSz w:w="11906" w:h="16838"/>
          <w:pgMar w:top="1440" w:right="1440" w:bottom="1440" w:left="1440" w:header="709" w:footer="709" w:gutter="0"/>
          <w:cols w:space="708"/>
          <w:docGrid w:linePitch="360"/>
        </w:sectPr>
      </w:pPr>
    </w:p>
    <w:p w14:paraId="0CB04F57" w14:textId="77777777" w:rsidR="00ED572F" w:rsidRPr="00CC13E3" w:rsidRDefault="00ED572F" w:rsidP="00ED572F">
      <w:pPr>
        <w:pStyle w:val="Heading2"/>
      </w:pPr>
      <w:r w:rsidRPr="00CC13E3">
        <w:t>Abbreviations</w:t>
      </w:r>
    </w:p>
    <w:p w14:paraId="62E086C8" w14:textId="77777777" w:rsidR="00ED572F" w:rsidRPr="00CC13E3" w:rsidRDefault="00ED572F" w:rsidP="00ED572F">
      <w:pPr>
        <w:pStyle w:val="NoSpacing"/>
      </w:pPr>
      <w:r w:rsidRPr="00CC13E3">
        <w:t>XLA – X-linked Agammaglobulinaemia</w:t>
      </w:r>
      <w:r w:rsidRPr="00CC13E3">
        <w:tab/>
      </w:r>
    </w:p>
    <w:p w14:paraId="5A9FA01D" w14:textId="77777777" w:rsidR="00ED572F" w:rsidRPr="00CC13E3" w:rsidRDefault="00ED572F" w:rsidP="00ED572F">
      <w:pPr>
        <w:pStyle w:val="NoSpacing"/>
      </w:pPr>
      <w:r w:rsidRPr="00CC13E3">
        <w:t>BTK – Bruton Tyrosine Kinase</w:t>
      </w:r>
    </w:p>
    <w:p w14:paraId="38CE633C" w14:textId="77777777" w:rsidR="00ED572F" w:rsidRPr="00CC13E3" w:rsidRDefault="00ED572F" w:rsidP="00ED572F">
      <w:pPr>
        <w:pStyle w:val="NoSpacing"/>
      </w:pPr>
      <w:r w:rsidRPr="00CC13E3">
        <w:lastRenderedPageBreak/>
        <w:t>IgRT – Immunoglobulin replacement therapy</w:t>
      </w:r>
    </w:p>
    <w:p w14:paraId="60C1C172" w14:textId="77777777" w:rsidR="00ED572F" w:rsidRPr="00CC13E3" w:rsidRDefault="00ED572F" w:rsidP="00ED572F">
      <w:pPr>
        <w:pStyle w:val="NoSpacing"/>
      </w:pPr>
      <w:r w:rsidRPr="00CC13E3">
        <w:t>IV - Intravenous</w:t>
      </w:r>
    </w:p>
    <w:p w14:paraId="04272BA7" w14:textId="77777777" w:rsidR="00ED572F" w:rsidRPr="00CC13E3" w:rsidRDefault="00ED572F" w:rsidP="00ED572F">
      <w:pPr>
        <w:pStyle w:val="NoSpacing"/>
      </w:pPr>
      <w:r w:rsidRPr="00CC13E3">
        <w:t>SC - Subcutaneous</w:t>
      </w:r>
    </w:p>
    <w:p w14:paraId="6DC25518" w14:textId="77777777" w:rsidR="00ED572F" w:rsidRPr="00CC13E3" w:rsidRDefault="00ED572F" w:rsidP="00ED572F">
      <w:pPr>
        <w:pStyle w:val="NoSpacing"/>
      </w:pPr>
      <w:r w:rsidRPr="00CC13E3">
        <w:t>IVIG – Intravenous immunoglobulin</w:t>
      </w:r>
    </w:p>
    <w:p w14:paraId="53477919" w14:textId="77777777" w:rsidR="00ED572F" w:rsidRPr="00CC13E3" w:rsidRDefault="00ED572F" w:rsidP="00ED572F">
      <w:pPr>
        <w:pStyle w:val="NoSpacing"/>
      </w:pPr>
      <w:r w:rsidRPr="00CC13E3">
        <w:t>SCIG – Subcutaneous immunoglobulin</w:t>
      </w:r>
    </w:p>
    <w:p w14:paraId="77FD85D3" w14:textId="77777777" w:rsidR="00ED572F" w:rsidRPr="00CC13E3" w:rsidRDefault="00ED572F" w:rsidP="00ED572F">
      <w:pPr>
        <w:pStyle w:val="NoSpacing"/>
      </w:pPr>
      <w:r w:rsidRPr="00CC13E3">
        <w:t xml:space="preserve">ESID - </w:t>
      </w:r>
      <w:r w:rsidRPr="00CC13E3">
        <w:rPr>
          <w:color w:val="000000"/>
        </w:rPr>
        <w:t>European Society for Immunodeficiencies</w:t>
      </w:r>
    </w:p>
    <w:p w14:paraId="5403F65F" w14:textId="77777777" w:rsidR="00ED572F" w:rsidRPr="00CC13E3" w:rsidRDefault="00ED572F" w:rsidP="00ED572F">
      <w:pPr>
        <w:pStyle w:val="NoSpacing"/>
      </w:pPr>
      <w:r w:rsidRPr="00CC13E3">
        <w:t>UKPID – UK Primary Immunodeficiency Network</w:t>
      </w:r>
    </w:p>
    <w:p w14:paraId="370F8B21" w14:textId="77777777" w:rsidR="00ED572F" w:rsidRPr="00CC13E3" w:rsidRDefault="00ED572F" w:rsidP="00ED572F">
      <w:pPr>
        <w:pStyle w:val="NoSpacing"/>
      </w:pPr>
      <w:r w:rsidRPr="00CC13E3">
        <w:t>IQR - Interquartile range</w:t>
      </w:r>
    </w:p>
    <w:p w14:paraId="6A594B0D" w14:textId="77777777" w:rsidR="00ED572F" w:rsidRPr="00CC13E3" w:rsidRDefault="00ED572F" w:rsidP="00ED572F">
      <w:pPr>
        <w:pStyle w:val="NoSpacing"/>
      </w:pPr>
      <w:r w:rsidRPr="00CC13E3">
        <w:t>FEV – Forced expiratory volume</w:t>
      </w:r>
    </w:p>
    <w:p w14:paraId="7EA1184C" w14:textId="77777777" w:rsidR="00ED572F" w:rsidRPr="00CC13E3" w:rsidRDefault="00ED572F" w:rsidP="00ED572F">
      <w:pPr>
        <w:pStyle w:val="NoSpacing"/>
      </w:pPr>
      <w:r w:rsidRPr="00CC13E3">
        <w:t xml:space="preserve">HSCT - </w:t>
      </w:r>
      <w:r w:rsidRPr="00CC13E3">
        <w:rPr>
          <w:rStyle w:val="hgkelc"/>
          <w:rFonts w:cs="Times New Roman"/>
          <w:sz w:val="24"/>
          <w:szCs w:val="24"/>
          <w:lang w:val="en"/>
        </w:rPr>
        <w:t>haematopoietic stem cell transplantation</w:t>
      </w:r>
    </w:p>
    <w:p w14:paraId="052E0F01" w14:textId="77777777" w:rsidR="00ED572F" w:rsidRDefault="00ED572F" w:rsidP="00ED572F">
      <w:pPr>
        <w:pStyle w:val="NoSpacing"/>
      </w:pPr>
      <w:r>
        <w:t>IEI – Inborn errors of immunity</w:t>
      </w:r>
    </w:p>
    <w:p w14:paraId="53024259" w14:textId="77777777" w:rsidR="00ED572F" w:rsidRDefault="00ED572F" w:rsidP="00ED572F">
      <w:pPr>
        <w:pStyle w:val="NoSpacing"/>
      </w:pPr>
      <w:r>
        <w:t>PID – Primary immune deficiency</w:t>
      </w:r>
    </w:p>
    <w:p w14:paraId="18B837E3" w14:textId="77777777" w:rsidR="00ED572F" w:rsidRDefault="00ED572F" w:rsidP="00ED572F">
      <w:pPr>
        <w:pStyle w:val="NoSpacing"/>
      </w:pPr>
      <w:r>
        <w:t>QoL – Quality of life</w:t>
      </w:r>
    </w:p>
    <w:p w14:paraId="6E44B3FD" w14:textId="77777777" w:rsidR="00ED572F" w:rsidRDefault="00ED572F" w:rsidP="00ED572F">
      <w:pPr>
        <w:pStyle w:val="NoSpacing"/>
      </w:pPr>
      <w:r>
        <w:t>HRQoL – Health related quality of life</w:t>
      </w:r>
    </w:p>
    <w:p w14:paraId="5CB9D769" w14:textId="77777777" w:rsidR="00ED572F" w:rsidRDefault="00ED572F" w:rsidP="00ED572F">
      <w:pPr>
        <w:pStyle w:val="NoSpacing"/>
      </w:pPr>
      <w:r>
        <w:t xml:space="preserve">KREC - </w:t>
      </w:r>
      <w:r w:rsidRPr="00757704">
        <w:t>kappa-deleting recombination excision circle</w:t>
      </w:r>
    </w:p>
    <w:p w14:paraId="7249A4C0" w14:textId="77777777" w:rsidR="004668A3" w:rsidRDefault="004668A3" w:rsidP="004668A3">
      <w:pPr>
        <w:pStyle w:val="Heading2"/>
        <w:sectPr w:rsidR="004668A3" w:rsidSect="00FF1EBD">
          <w:type w:val="continuous"/>
          <w:pgSz w:w="11906" w:h="16838"/>
          <w:pgMar w:top="1440" w:right="1440" w:bottom="1440" w:left="1440" w:header="709" w:footer="709" w:gutter="0"/>
          <w:cols w:space="708"/>
          <w:docGrid w:linePitch="360"/>
        </w:sectPr>
      </w:pPr>
    </w:p>
    <w:p w14:paraId="4F46EA48" w14:textId="77777777" w:rsidR="00E61BA0" w:rsidRDefault="00E61BA0" w:rsidP="0057637C">
      <w:pPr>
        <w:pStyle w:val="Heading2"/>
        <w:sectPr w:rsidR="00E61BA0" w:rsidSect="00FF1EBD">
          <w:type w:val="continuous"/>
          <w:pgSz w:w="11906" w:h="16838"/>
          <w:pgMar w:top="1440" w:right="1440" w:bottom="1440" w:left="1440" w:header="709" w:footer="709" w:gutter="0"/>
          <w:cols w:space="708"/>
          <w:docGrid w:linePitch="360"/>
        </w:sectPr>
      </w:pPr>
    </w:p>
    <w:p w14:paraId="52605981" w14:textId="77777777" w:rsidR="004668A3" w:rsidRPr="004668A3" w:rsidRDefault="004668A3" w:rsidP="0057637C">
      <w:pPr>
        <w:pStyle w:val="Heading2"/>
      </w:pPr>
      <w:r w:rsidRPr="004668A3">
        <w:lastRenderedPageBreak/>
        <w:t>Summary</w:t>
      </w:r>
    </w:p>
    <w:p w14:paraId="6917D5CF" w14:textId="23586554" w:rsidR="004668A3" w:rsidRPr="004D0BE8" w:rsidRDefault="004D0BE8" w:rsidP="0057637C">
      <w:r w:rsidRPr="0057637C">
        <w:t>Assessment of UK XLA patients reveals that bronchiectasis, present in the majority of adults, is strongly associated with diminished quality of life. Without lung disease, patients experience largely normal QoL, emphasizing the critical role of respiratory health in outcomes.</w:t>
      </w:r>
    </w:p>
    <w:p w14:paraId="6089C390" w14:textId="77777777" w:rsidR="00ED572F" w:rsidRDefault="00ED572F" w:rsidP="00ED572F">
      <w:pPr>
        <w:pStyle w:val="NoSpacing"/>
        <w:rPr>
          <w:rFonts w:cs="Times New Roman"/>
          <w:sz w:val="24"/>
          <w:szCs w:val="24"/>
        </w:rPr>
      </w:pPr>
    </w:p>
    <w:p w14:paraId="20206526" w14:textId="77777777" w:rsidR="00ED572F" w:rsidRDefault="00ED572F" w:rsidP="00ED572F">
      <w:pPr>
        <w:pStyle w:val="NoSpacing"/>
        <w:rPr>
          <w:rFonts w:cs="Times New Roman"/>
          <w:sz w:val="24"/>
          <w:szCs w:val="24"/>
        </w:rPr>
      </w:pPr>
    </w:p>
    <w:p w14:paraId="217ADE13" w14:textId="77777777" w:rsidR="00CB1EA7" w:rsidRDefault="00CB1EA7" w:rsidP="00ED572F">
      <w:pPr>
        <w:pStyle w:val="Heading1"/>
        <w:ind w:left="432" w:hanging="432"/>
        <w:sectPr w:rsidR="00CB1EA7" w:rsidSect="00FF1EBD">
          <w:pgSz w:w="11906" w:h="16838"/>
          <w:pgMar w:top="1440" w:right="1440" w:bottom="1440" w:left="1440" w:header="709" w:footer="709" w:gutter="0"/>
          <w:cols w:space="708"/>
          <w:docGrid w:linePitch="360"/>
        </w:sectPr>
      </w:pPr>
    </w:p>
    <w:p w14:paraId="73CCC63A" w14:textId="77777777" w:rsidR="00E61BA0" w:rsidRDefault="00E61BA0" w:rsidP="00ED572F">
      <w:pPr>
        <w:pStyle w:val="Heading1"/>
        <w:ind w:left="432" w:hanging="432"/>
        <w:sectPr w:rsidR="00E61BA0" w:rsidSect="00FF1EBD">
          <w:type w:val="continuous"/>
          <w:pgSz w:w="11906" w:h="16838"/>
          <w:pgMar w:top="1440" w:right="1440" w:bottom="1440" w:left="1440" w:header="709" w:footer="709" w:gutter="0"/>
          <w:cols w:space="708"/>
          <w:docGrid w:linePitch="360"/>
        </w:sectPr>
      </w:pPr>
    </w:p>
    <w:p w14:paraId="3A893145" w14:textId="77777777" w:rsidR="00ED572F" w:rsidRDefault="00ED572F" w:rsidP="00ED572F">
      <w:pPr>
        <w:pStyle w:val="Heading1"/>
        <w:ind w:left="432" w:hanging="432"/>
      </w:pPr>
      <w:r>
        <w:lastRenderedPageBreak/>
        <w:t>Abstract</w:t>
      </w:r>
    </w:p>
    <w:p w14:paraId="51C92294" w14:textId="1CE38DE4" w:rsidR="004E54D7" w:rsidRPr="004E54D7" w:rsidRDefault="00EB32E5" w:rsidP="004E54D7">
      <w:pPr>
        <w:sectPr w:rsidR="004E54D7" w:rsidRPr="004E54D7" w:rsidSect="00FF1EBD">
          <w:pgSz w:w="11906" w:h="16838"/>
          <w:pgMar w:top="1440" w:right="1440" w:bottom="1440" w:left="1440" w:header="709" w:footer="709" w:gutter="0"/>
          <w:cols w:space="708"/>
          <w:docGrid w:linePitch="360"/>
        </w:sectPr>
      </w:pPr>
      <w:r>
        <w:t xml:space="preserve">Due </w:t>
      </w:r>
      <w:r w:rsidR="00CB1EA7">
        <w:t xml:space="preserve">to limitations in </w:t>
      </w:r>
      <w:r w:rsidR="001438DA">
        <w:t xml:space="preserve">current </w:t>
      </w:r>
      <w:r w:rsidR="00CB1EA7">
        <w:t>therap</w:t>
      </w:r>
      <w:r w:rsidR="001438DA">
        <w:t>ies (immunoglobulin replacement therapy)</w:t>
      </w:r>
      <w:r w:rsidR="00CB1EA7">
        <w:t xml:space="preserve">, complications in XLA </w:t>
      </w:r>
      <w:r>
        <w:t xml:space="preserve">such as bronchiectasis may </w:t>
      </w:r>
      <w:r w:rsidR="00CB1EA7">
        <w:t>continue to occur</w:t>
      </w:r>
      <w:r w:rsidR="00221462">
        <w:t>,</w:t>
      </w:r>
      <w:r w:rsidR="00CB1EA7">
        <w:t xml:space="preserve"> with subsequent significant impacts on </w:t>
      </w:r>
      <w:r w:rsidR="00641EC0">
        <w:t>health-related</w:t>
      </w:r>
      <w:r w:rsidR="00CB1EA7">
        <w:t xml:space="preserve"> quality of life (HRQoL).</w:t>
      </w:r>
      <w:r w:rsidR="0073390C">
        <w:t xml:space="preserve">  </w:t>
      </w:r>
      <w:r w:rsidR="00A91947">
        <w:t xml:space="preserve">There were no </w:t>
      </w:r>
      <w:r w:rsidR="00C16603">
        <w:t>significant</w:t>
      </w:r>
      <w:r w:rsidR="00A91947">
        <w:t xml:space="preserve"> </w:t>
      </w:r>
      <w:r w:rsidR="00C16603">
        <w:t>differences</w:t>
      </w:r>
      <w:r w:rsidR="00A91947">
        <w:t xml:space="preserve"> in PedsQL 4.0 total scores against UK healthy norms (</w:t>
      </w:r>
      <w:r w:rsidR="0076062B">
        <w:t>self 80.98, p = 0.277; parent</w:t>
      </w:r>
      <w:r w:rsidR="00C16603">
        <w:t xml:space="preserve"> 79.76, p = 0.465).  </w:t>
      </w:r>
      <w:r w:rsidR="00A76F4F">
        <w:t xml:space="preserve">There were no significant </w:t>
      </w:r>
      <w:r w:rsidR="00DE67C1">
        <w:t>differences</w:t>
      </w:r>
      <w:r w:rsidR="00A76F4F">
        <w:t xml:space="preserve"> in</w:t>
      </w:r>
      <w:r w:rsidR="00DE67C1">
        <w:t xml:space="preserve"> the</w:t>
      </w:r>
      <w:r w:rsidR="00A76F4F">
        <w:t xml:space="preserve"> SF36v2 </w:t>
      </w:r>
      <w:r w:rsidR="00DE67C1">
        <w:t>physical</w:t>
      </w:r>
      <w:r w:rsidR="00A76F4F">
        <w:t xml:space="preserve"> </w:t>
      </w:r>
      <w:r w:rsidR="00DE67C1">
        <w:t>component</w:t>
      </w:r>
      <w:r w:rsidR="00A76F4F">
        <w:t xml:space="preserve"> score (PCS) against UK healthy norms</w:t>
      </w:r>
      <w:r w:rsidR="004E54D7">
        <w:t xml:space="preserve"> (49.10, p = 0.712).  However, XLA patients with bronchiectasis had </w:t>
      </w:r>
      <w:r w:rsidR="00DE67C1">
        <w:t>significantly</w:t>
      </w:r>
      <w:r w:rsidR="004E54D7">
        <w:t xml:space="preserve"> worse PCS than patients without (47.88 vs 55.1</w:t>
      </w:r>
      <w:r w:rsidR="00FE718F">
        <w:t>4</w:t>
      </w:r>
      <w:r w:rsidR="004E54D7">
        <w:t>, p &lt;0.001)</w:t>
      </w:r>
      <w:r w:rsidR="00FD1BEA">
        <w:t xml:space="preserve">, and </w:t>
      </w:r>
      <w:r w:rsidR="00DE67C1">
        <w:t>significantly</w:t>
      </w:r>
      <w:r w:rsidR="004E54D7">
        <w:t xml:space="preserve"> </w:t>
      </w:r>
      <w:r w:rsidR="00DE67C1">
        <w:t>worse</w:t>
      </w:r>
      <w:r w:rsidR="004E54D7">
        <w:t xml:space="preserve"> PCS than UK healthy norms (p = 0.004).</w:t>
      </w:r>
      <w:r w:rsidR="0073390C">
        <w:t xml:space="preserve">  </w:t>
      </w:r>
      <w:r w:rsidR="004E54D7">
        <w:t xml:space="preserve">In the </w:t>
      </w:r>
      <w:r w:rsidR="00DE67C1">
        <w:t>absence</w:t>
      </w:r>
      <w:r w:rsidR="004E54D7">
        <w:t xml:space="preserve"> of </w:t>
      </w:r>
      <w:r w:rsidR="00DE67C1">
        <w:t>bronchiectasis</w:t>
      </w:r>
      <w:r w:rsidR="004E54D7">
        <w:t>, HRQoL</w:t>
      </w:r>
      <w:r w:rsidR="00044942">
        <w:t xml:space="preserve"> is </w:t>
      </w:r>
      <w:r w:rsidR="00DE67C1">
        <w:t>comparable</w:t>
      </w:r>
      <w:r w:rsidR="00044942">
        <w:t xml:space="preserve"> </w:t>
      </w:r>
      <w:r w:rsidR="00DE67C1">
        <w:t>t</w:t>
      </w:r>
      <w:r w:rsidR="00044942">
        <w:t xml:space="preserve">o UK healthy norms.  However, XLA patients with </w:t>
      </w:r>
      <w:r w:rsidR="00DE67C1">
        <w:t>bronchiectasis</w:t>
      </w:r>
      <w:r w:rsidR="00044942">
        <w:t xml:space="preserve"> have </w:t>
      </w:r>
      <w:r w:rsidR="00DE67C1">
        <w:t>significantly worse</w:t>
      </w:r>
      <w:r w:rsidR="00044942">
        <w:t xml:space="preserve"> HRQoL than patients </w:t>
      </w:r>
      <w:r w:rsidR="00CA4588">
        <w:t xml:space="preserve">without </w:t>
      </w:r>
      <w:r w:rsidR="00DE67C1">
        <w:t xml:space="preserve">bronchiectasis </w:t>
      </w:r>
      <w:r w:rsidR="00CA4588">
        <w:t>and UK</w:t>
      </w:r>
      <w:r w:rsidR="00DE67C1">
        <w:t xml:space="preserve"> </w:t>
      </w:r>
      <w:r w:rsidR="00CA4588">
        <w:t>healthy norms.</w:t>
      </w:r>
      <w:r w:rsidR="009C4156">
        <w:t xml:space="preserve">  </w:t>
      </w:r>
      <w:r w:rsidR="00CA4588">
        <w:t xml:space="preserve">These data </w:t>
      </w:r>
      <w:r w:rsidR="00DE67C1">
        <w:t xml:space="preserve">demonstrate that further work into novel therapies </w:t>
      </w:r>
      <w:r w:rsidR="006D2A5B">
        <w:t>are needed</w:t>
      </w:r>
      <w:r w:rsidR="00DE67C1">
        <w:t xml:space="preserve"> to prevent </w:t>
      </w:r>
      <w:r w:rsidR="003F594D">
        <w:t xml:space="preserve">bronchiectasis </w:t>
      </w:r>
      <w:r w:rsidR="00DE67C1">
        <w:t>to enable XLA patients to have a normal</w:t>
      </w:r>
      <w:r w:rsidR="006F09F8">
        <w:t xml:space="preserve"> quality of life</w:t>
      </w:r>
      <w:r w:rsidR="00DE67C1">
        <w:t>.</w:t>
      </w:r>
    </w:p>
    <w:p w14:paraId="1F326FBB" w14:textId="77777777" w:rsidR="00E61BA0" w:rsidRDefault="00E61BA0" w:rsidP="00ED572F">
      <w:pPr>
        <w:pStyle w:val="Heading2"/>
        <w:ind w:left="576" w:hanging="576"/>
        <w:sectPr w:rsidR="00E61BA0" w:rsidSect="00FF1EBD">
          <w:type w:val="continuous"/>
          <w:pgSz w:w="11906" w:h="16838"/>
          <w:pgMar w:top="1440" w:right="1440" w:bottom="1440" w:left="1440" w:header="709" w:footer="709" w:gutter="0"/>
          <w:cols w:space="708"/>
          <w:docGrid w:linePitch="360"/>
        </w:sectPr>
      </w:pPr>
    </w:p>
    <w:p w14:paraId="2C406AF9" w14:textId="77777777" w:rsidR="00ED572F" w:rsidRDefault="00ED572F" w:rsidP="00ED572F">
      <w:pPr>
        <w:pStyle w:val="Heading2"/>
        <w:ind w:left="576" w:hanging="576"/>
      </w:pPr>
      <w:r>
        <w:lastRenderedPageBreak/>
        <w:t>Introduction</w:t>
      </w:r>
    </w:p>
    <w:p w14:paraId="3E5498D1" w14:textId="2C590C3B" w:rsidR="00ED572F" w:rsidRPr="00757704" w:rsidRDefault="00ED572F" w:rsidP="00ED572F">
      <w:pPr>
        <w:rPr>
          <w:rFonts w:cs="Times New Roman"/>
        </w:rPr>
      </w:pPr>
      <w:r>
        <w:t xml:space="preserve">The discovery of X-Linked agammaglobulinaemia (XLA) by Bruton in 1952, and </w:t>
      </w:r>
      <w:r w:rsidR="006F114E">
        <w:t xml:space="preserve">the </w:t>
      </w:r>
      <w:r>
        <w:t xml:space="preserve">subsequent treatment </w:t>
      </w:r>
      <w:r w:rsidR="006F114E">
        <w:t xml:space="preserve">using </w:t>
      </w:r>
      <w:r>
        <w:t xml:space="preserve">immunoglobulin replacement therapy </w:t>
      </w:r>
      <w:r>
        <w:fldChar w:fldCharType="begin"/>
      </w:r>
      <w:r w:rsidR="00B17661">
        <w:instrText xml:space="preserve"> ADDIN ZOTERO_ITEM CSL_CITATION {"citationID":"mJsMwKPF","properties":{"formattedCitation":"(1)","plainCitation":"(1)","noteIndex":0},"citationItems":[{"id":224,"uris":["http://zotero.org/users/12098505/items/DRVAR9U9"],"itemData":{"id":224,"type":"article-journal","container-title":"Pediatrics","issue":"6","page":"722-8","title":"Agammaglobulinemia.","volume":"9","author":[{"family":"Bruton","given":"O C"}],"issued":{"date-parts":[["1952"]]}}}],"schema":"https://github.com/citation-style-language/schema/raw/master/csl-citation.json"} </w:instrText>
      </w:r>
      <w:r>
        <w:fldChar w:fldCharType="separate"/>
      </w:r>
      <w:r w:rsidRPr="00705E05">
        <w:rPr>
          <w:rFonts w:cs="Times New Roman"/>
        </w:rPr>
        <w:t>(1)</w:t>
      </w:r>
      <w:r>
        <w:fldChar w:fldCharType="end"/>
      </w:r>
      <w:r>
        <w:t>, is often cited as the birth of clinical immunology</w:t>
      </w:r>
      <w:r w:rsidR="006666AC">
        <w:t xml:space="preserve"> </w:t>
      </w:r>
      <w:r w:rsidR="006666AC">
        <w:fldChar w:fldCharType="begin"/>
      </w:r>
      <w:r w:rsidR="00D106AB">
        <w:instrText xml:space="preserve"> ADDIN ZOTERO_ITEM CSL_CITATION {"citationID":"JNvUsPYg","properties":{"formattedCitation":"(2)","plainCitation":"(2)","noteIndex":0},"citationItems":[{"id":509,"uris":["http://zotero.org/users/12098505/items/F644BAKI"],"itemData":{"id":509,"type":"article-journal","abstract":"Immunology has played a prominent role in the history of medicine. Pediatric immunologists have focused on immune aberrations in pediatric disorders, particularly those involving host defense mechanisms. These efforts have paid rich dividends in terms of fundamental knowledge of the immune system and major therapeutic advances, including 1) i.v. immunoglobulin therapy, 2) hematopoietic stem cell transplantation, and 3) gene therapy. Pediatric immunology as an organized discipline emerged in the early 1950s, when pediatricians and their basic scientist colleagues began to focus on clinical and basic research related to immunodeficiency. Since then, key organizations and infrastructure have been developed to support this research and the clinical care of immunodeficient patients. We review here the evolution of contemporary pediatric immunology, particularly in North America, from its roots in 19th-century Europe to its current expression as one of the fundamental scientific and clinical disciplines of pediatrics.","container-title":"Pediatric Research","DOI":"10.1203/01.PDR.0000151692.05422.4C","ISSN":"1530-0447","issue":"3","journalAbbreviation":"Pediatr Res","language":"en","license":"2005 International Pediatrics Research Foundation, Inc.","page":"458-467","publisher":"Nature Publishing Group","source":"www.nature.com","title":"A History of Pediatric Immunology","volume":"57","author":[{"family":"Stiehm","given":"E. Richard"},{"family":"Johnston","given":"Richard B."}],"issued":{"date-parts":[["2005",3]]}}}],"schema":"https://github.com/citation-style-language/schema/raw/master/csl-citation.json"} </w:instrText>
      </w:r>
      <w:r w:rsidR="006666AC">
        <w:fldChar w:fldCharType="separate"/>
      </w:r>
      <w:r w:rsidR="006666AC" w:rsidRPr="006666AC">
        <w:rPr>
          <w:rFonts w:cs="Times New Roman"/>
        </w:rPr>
        <w:t>(2)</w:t>
      </w:r>
      <w:r w:rsidR="006666AC">
        <w:fldChar w:fldCharType="end"/>
      </w:r>
      <w:r>
        <w:t xml:space="preserve">.  XLA is caused by defects in the </w:t>
      </w:r>
      <w:r w:rsidRPr="00D97F7B">
        <w:rPr>
          <w:i/>
        </w:rPr>
        <w:t>BTK</w:t>
      </w:r>
      <w:r>
        <w:t xml:space="preserve"> (Bruton Tyrosine Kinase) gene, causing B-</w:t>
      </w:r>
      <w:r w:rsidRPr="00757704">
        <w:rPr>
          <w:rFonts w:cs="Times New Roman"/>
        </w:rPr>
        <w:t>lymphocyte maturation arrest</w:t>
      </w:r>
      <w:r w:rsidR="00D21859">
        <w:rPr>
          <w:rFonts w:cs="Times New Roman"/>
        </w:rPr>
        <w:t xml:space="preserve"> at the pro-B to pre-B developmental stage</w:t>
      </w:r>
      <w:r w:rsidRPr="00757704">
        <w:rPr>
          <w:rFonts w:cs="Times New Roman"/>
        </w:rPr>
        <w:t xml:space="preserve">, a significant reduction in circulating CD19+ B-lymphocytes and subsequent agammaglobulinaemia </w:t>
      </w:r>
      <w:r w:rsidRPr="00757704">
        <w:rPr>
          <w:rFonts w:cs="Times New Roman"/>
        </w:rPr>
        <w:fldChar w:fldCharType="begin"/>
      </w:r>
      <w:r w:rsidR="00D106AB">
        <w:rPr>
          <w:rFonts w:cs="Times New Roman"/>
        </w:rPr>
        <w:instrText xml:space="preserve"> ADDIN ZOTERO_ITEM CSL_CITATION {"citationID":"WdfLSJau","properties":{"formattedCitation":"(3\\uc0\\u8211{}9)","plainCitation":"(3–9)","noteIndex":0},"citationItems":[{"id":872,"uris":["http://zotero.org/users/12098505/items/X58ZVE77"],"itemData":{"id":872,"type":"article-journal","container-title":"European Journal of Immunology","DOI":"10.1002/eji.1830010615","issue":"6","page":"482-486","publisher":"WILEY‐VCH Verlag GmbH","title":"Lymphocytes in human immunodeficiency states: a study of membrane-associated immunoglobulins","volume":"1","author":[{"family":"Siegal","given":"F. P."},{"family":"Pernis","given":"B."},{"family":"Kunkel","given":"H. G."}],"issued":{"date-parts":[["1971",1]]}}},{"id":865,"uris":["http://zotero.org/users/12098505/items/EKDTIGWL"],"itemData":{"id":865,"type":"article-journal","abstract":"THE RECOGNITION OF A NATURAL DIVISION of the lvmphoid system into T and B lines of immunocompetent cells and the availa-bilitv of rudimentarv information on their development, migratory-hab-its and functions have improved analvsis and treatment of immuno-deficient patients.'2 This perspective has been sharpened fturther by the recent identification of surface antigens on lymphocytes which can be used to determine the direction and stage of lvmphoid differentia-tion.34 Most of these antigens have been defined in experimental ani-mals; their identification in man and use in exploring normal and abnormal development of the immune system are just beginning. Nevertheless, it is already clear that valuable theoretical and practical benefits mav be gained from this line of research. B-lymphocytes, the precursors of plasma cells, can be identified by the presence of surface immunoglobulins,4 S complement receptors 9 and cell line specific antigens.34 Surface immunoglobulins are the first of these markers to be employed in a comparative analysis of B-lymphocyte development in normal and immunodeficient individu-als; results of these studies are the focal point of this review. Since B-Iymphocytes represent only one phase in the life history of the plasma cell line, their analysis must be integrated with information on other phases of this differentiation pathway. WVe have found the use of a two-stage model of plasma cell differentiation helpful in this regard. Model of B-Lymphocyte Development and Plasma Cell Differentiation The model (Text-figure 1) and its derivation have been described elsewhere.Y In brief, the first stage is the stepwise generation of mul-tiple clones of B-lymphocytes, beginning with conversion of stem cells into lvmphoid cells synthesizing small amounts of IgNM to be incorporated into their surface membrane. In subsequent generations, some of the","container-title":"The American journal of pathology","issue":"3","page":"513-28","publisher":"American Society for Investigative Pathology","title":"Circulating B-cells in patients with immunodeficiency.","volume":"69","author":[{"family":"Cooper","given":"Max D"},{"family":"Lawton","given":"A R"}],"issued":{"date-parts":[["1972",12]]}}},{"id":861,"uris":["http://zotero.org/users/12098505/items/67RYYAKM"],"itemData":{"id":861,"type":"article-journal","abstract":"Normal human peripheral blood lymphocytes were separated on discontinuous gradients of 17-35% bovine serum albumin (BSA) into nine fractions. Three subpopulations of lymphocytes were obtained. One occupies the top third of the gradient (fractions 1-3, 17-23% BSA) and is rich in cells characterized by a high spontaneous rate of DNA synthesis and by the ability to give rise to colony-forming units. The middle portion of the gradient (fractions 4 and 5, 23-27% BSA) is rich in thymus-derived (T) lymphocytes identified by their vigorous response to mitogens and by their ability to form rosettes with sheep erythrocytes (E). The third subpopulation at the bottom of the gradient (fractions 6-9, 27-35% BSA) is rich in bone marrow-derived (B) lymphocytes capable of staining with fluorescent antiimmunoglobulin antisera and of forming rosettes with EAC1423. The peripheral blood lymphocytes of five boys with proved X-linked agammaglobulinemia and two with probable X-linked agammaglobulinemia were found to be totally deficient in B lymphocytes (fractions 6-9) and lacked the subpopulation identified by immunofluorescent staining or rosette formation with EAC1423. One boy with proved X-linked agammaglobulinemia and two with probable X-linked agammaglobulinemia possessed a normal amount of circulating B lymphocytes.","container-title":"Journal of Clinical Investigation","DOI":"10.1172/JCI107354","issue":"7","page":"1726-1734","publisher":"American Society for Clinical Investigation","title":"Identification and Characterization of Subpopulations of Lymphocytes in Human Peripheral Blood after Fractionation on Discontinuous Gradients of Albumin: The Cellular Defect in X-Linked Agammaglobulinaemia","volume":"52","author":[{"family":"Geha","given":"R S"},{"family":"Rosen","given":"F S"},{"family":"Merler","given":"E"}],"issued":{"date-parts":[["1973",7]]}}},{"id":860,"uris":["http://zotero.org/users/12098505/items/3GDB9Z9X"],"itemData":{"id":860,"type":"article-journal","abstract":"Surface immunoglobulins were studied by immunofluorescence on the lymphocytes of 50 patients with primary immunodeficiencies. Immunoglobulin-bearing lymphocytes were practically not detectable in sex-linked agammaglobulinemia and in several cases of variable immunodeficiencies with humoral predominance, irrespective of the degree of infection. Normal or increased numbers of lymphocytes carrying immunoglobulins in the absence of the corresponding plasma cells were found in several cases of variable immunodeficiencies, particularly in those with node follicular hyperplasia and during infections, suggesting a block in the maturation of B lymphocytes into plasma cells. Similar results were obtained in selective IgA deficiency and ataxia-telangiectasia whereas the findings in Wiskott-Aldrich syndrome reflected the serum immunoglobulin pattern. Very high numbers of immunoglobulin-bearing lymphocytes were a striking finding in a neonate with severe combined immunodeficiency. The significance of these data with respect to disease pathogenesis and normal immune response is outlined. © 1973.","container-title":"Clinical Immunology and Immunopathology","DOI":"10.1016/0090-1229(73)90025-1","issue":"2","page":"241-256","title":"Immunoglobulins on the surface of lymphocytes in fifty patients with primary immunodeficiency diseases","volume":"1","author":[{"family":"Preud'Homme","given":"J.L."},{"family":"Griscelli","given":"C."},{"family":"Seligmann","given":"M."}],"issued":{"date-parts":[["1973",1]]}}},{"id":864,"uris":["http://zotero.org/users/12098505/items/TXHHX8C5"],"itemData":{"id":864,"type":"article-journal","abstract":"Lymphoid cells containing cytoplasmic IgM but lacking stable surface IgM are believed to be the direct precursors of B lymphocytes. We have characterized these pre-B cells in the bone marrow of normal individuals and patients with a variety of immunoglobulin deficiencies or hematologic disorders by using immunofluorescence and autoradiography. Pre-B cells comprised 5.8 +/- 5.7% of lymphoid cells in normal bone marrow. Eleven patients with infantile X-linked agammaglobulinemia (X-LA) lacked B lymphocytes but had a normal frequency (3.8 +/- 3.6%) of bone marrow pre-B cells. A smaller proportion of marrow pre-B cells from patients with X-LA were engaged in spontaneous DNA synthesis than was found for normal controls. In individuals other than the group with X-LA, the number of circulating B cells was positively correlated with the frequency of marrow pre-B cells. These results indicate that patients with X-LA have a defect in maturation of pre-B cells, and suggest that some patients with acquired B lymphocyte deficiency may have lost the capacity to generate pre-B cells from stem cells.","container-title":"The Journal of Immunology","issue":"4","page":"1169-1175","title":"B Lymphocyte Precursors in Human Bone Marrow: An Analysis of Normal Individuals and Patients with Antibody-Deficiency States","volume":"120","author":[{"family":"Pearl","given":"Elliott R"},{"family":"Vogler","given":"Larry B"},{"family":"Okos","given":"Anthony J"},{"family":"Crist","given":"William M"},{"family":"Lawton","given":"Alexander R"},{"family":"Cooper","given":"Max D"}],"issued":{"date-parts":[["1978",4]]}}},{"id":343,"uris":["http://zotero.org/users/12098505/items/F59W6SD5"],"itemData":{"id":343,"type":"article-journal","abstract":"We describe a novel cytoplasmic tyrosine kinase, termed BPK (B cell progenitor kinase), which is expressed in all stages of the B lineage and in myeloid cells. BPK has classic SH1, SH2, and SH3 domains, but lacks myristylation signals and a regulatory phosphorylation site corresponding to tyrosine 527 of c-src. BPK has a long, basic amino-terminal region upstream of the SH3 domain. BPK was evaluated as a candidate for human X-linked agammaglobulinemia (XLA), an inherited immunodeficiency characterized by a severe deficit of B and plasma cells and profound hypogammaglobulinemia. BPK mapped to within 100 kb of a probe defining the polymorphism most closely linked to XLA at DXS178. Reduction in or the absence of BPK mRNA, protein expression, and kinase activity was observed in XLA pre-B and B cell lines. BPK is likely the XLA gene and functions in pathways critical to B cell expansion.","container-title":"Cell","DOI":"10.1016/0092-8674(93)90667-F","ISSN":"0092-8674 (Print) 0092-8674 (Linking)","issue":"2","page":"279-290","title":"Deficient expression of a B cell cytoplasmic tyrosine kinase in human X-linked agammaglobulinemia.","volume":"72","author":[{"family":"Tsukada","given":"S"},{"family":"Saffran","given":"D C"},{"family":"Rawlings","given":"D J"},{"family":"Parolini","given":"O"},{"family":"Allen","given":"R C"},{"family":"Klisak","given":"I"},{"family":"Sparkes","given":"R S"},{"family":"Kubagawa","given":"H"},{"family":"Mohandas","given":"T"},{"family":"Quan","given":"S"}],"issued":{"date-parts":[["1993"]]}}},{"id":345,"uris":["http://zotero.org/users/12098505/items/DMF8EXF7"],"itemData":{"id":345,"type":"article-journal","abstract":"X-linked agammaglobulinaemia (XLA) is a human immunodeficiency caused by failure of pre-B cells in the bone marrow to develop into circulating mature B cells. A novel gene has been isolated which maps to the XLA locus, is expressed in B cells, and shows mutations in families with the disorder. The gene is a member of the src family of proto-oncogenes which encode protein-tyrosine kinases. This is, to our knowledge, the first evidence that mutations in a src-related gene are involved in human genetic disease.","container-title":"Nature","DOI":"10.1136/jmg.30.5.444-b","ISSN":"0028-0836","issue":"6409","page":"226-233","title":"The gene involved in X-linked agammaglobulinaemia is a member of the src family of protein-tyrosine kinases.","volume":"361","author":[{"family":"Vetrie","given":"D"},{"family":"Vorechovský","given":"I"},{"family":"Sideras","given":"P"},{"family":"Holland","given":"J"},{"family":"Davies","given":"A"},{"family":"Flinter","given":"F"},{"family":"Hammarström","given":"Lennart"},{"family":"Kinnon","given":"C"},{"family":"Levinsky","given":"Roland"},{"family":"Bobrow","given":"Martin"}],"issued":{"date-parts":[["1993"]]}}}],"schema":"https://github.com/citation-style-language/schema/raw/master/csl-citation.json"} </w:instrText>
      </w:r>
      <w:r w:rsidRPr="00757704">
        <w:rPr>
          <w:rFonts w:cs="Times New Roman"/>
        </w:rPr>
        <w:fldChar w:fldCharType="separate"/>
      </w:r>
      <w:r w:rsidR="006666AC" w:rsidRPr="006666AC">
        <w:rPr>
          <w:rFonts w:cs="Times New Roman"/>
          <w:kern w:val="0"/>
        </w:rPr>
        <w:t>(3–9)</w:t>
      </w:r>
      <w:r w:rsidRPr="00757704">
        <w:rPr>
          <w:rFonts w:cs="Times New Roman"/>
        </w:rPr>
        <w:fldChar w:fldCharType="end"/>
      </w:r>
      <w:r w:rsidRPr="00757704">
        <w:rPr>
          <w:rFonts w:cs="Times New Roman"/>
        </w:rPr>
        <w:t xml:space="preserve">. </w:t>
      </w:r>
    </w:p>
    <w:p w14:paraId="4E7752E8" w14:textId="618065D5" w:rsidR="00ED572F" w:rsidRPr="00757704" w:rsidRDefault="00BB1A9F" w:rsidP="00ED572F">
      <w:pPr>
        <w:rPr>
          <w:rFonts w:cs="Times New Roman"/>
        </w:rPr>
      </w:pPr>
      <w:r>
        <w:rPr>
          <w:rFonts w:cs="Times New Roman"/>
        </w:rPr>
        <w:t>S</w:t>
      </w:r>
      <w:r w:rsidRPr="00757704">
        <w:rPr>
          <w:rFonts w:cs="Times New Roman"/>
        </w:rPr>
        <w:t xml:space="preserve">ignificant </w:t>
      </w:r>
      <w:r w:rsidR="00ED572F" w:rsidRPr="00757704">
        <w:rPr>
          <w:rFonts w:cs="Times New Roman"/>
        </w:rPr>
        <w:t>improvements in immunoglobulin replacement therapy (IgRT) have been made</w:t>
      </w:r>
      <w:r>
        <w:rPr>
          <w:rFonts w:cs="Times New Roman"/>
        </w:rPr>
        <w:t xml:space="preserve"> via</w:t>
      </w:r>
      <w:r w:rsidR="00ED572F" w:rsidRPr="00757704">
        <w:rPr>
          <w:rFonts w:cs="Times New Roman"/>
        </w:rPr>
        <w:t xml:space="preserve"> the development of modern subcutaneous (SC) and intravenous (IV) preparations in the 1980s </w:t>
      </w:r>
      <w:r>
        <w:rPr>
          <w:rFonts w:cs="Times New Roman"/>
        </w:rPr>
        <w:t xml:space="preserve">which </w:t>
      </w:r>
      <w:r w:rsidRPr="00757704">
        <w:rPr>
          <w:rFonts w:cs="Times New Roman"/>
        </w:rPr>
        <w:t>allow</w:t>
      </w:r>
      <w:r>
        <w:rPr>
          <w:rFonts w:cs="Times New Roman"/>
        </w:rPr>
        <w:t xml:space="preserve">ed </w:t>
      </w:r>
      <w:r w:rsidR="00ED572F" w:rsidRPr="00757704">
        <w:rPr>
          <w:rFonts w:cs="Times New Roman"/>
        </w:rPr>
        <w:t>longer term survival into adulthood</w:t>
      </w:r>
      <w:r w:rsidR="009C3BC8">
        <w:rPr>
          <w:rFonts w:cs="Times New Roman"/>
        </w:rPr>
        <w:t>. However,</w:t>
      </w:r>
      <w:r w:rsidR="009C3BC8" w:rsidRPr="00757704">
        <w:rPr>
          <w:rFonts w:cs="Times New Roman"/>
        </w:rPr>
        <w:t xml:space="preserve"> </w:t>
      </w:r>
      <w:r w:rsidR="00ED572F" w:rsidRPr="00757704">
        <w:rPr>
          <w:rFonts w:cs="Times New Roman"/>
        </w:rPr>
        <w:t xml:space="preserve">the foundation of treatment </w:t>
      </w:r>
      <w:r w:rsidR="009C3BC8">
        <w:rPr>
          <w:rFonts w:cs="Times New Roman"/>
        </w:rPr>
        <w:t>has not changed in over 70 years</w:t>
      </w:r>
      <w:r w:rsidR="00ED572F" w:rsidRPr="00757704">
        <w:rPr>
          <w:rFonts w:cs="Times New Roman"/>
        </w:rPr>
        <w:t xml:space="preserve"> </w:t>
      </w:r>
      <w:r w:rsidR="00ED572F" w:rsidRPr="00757704">
        <w:rPr>
          <w:rFonts w:cs="Times New Roman"/>
        </w:rPr>
        <w:fldChar w:fldCharType="begin"/>
      </w:r>
      <w:r w:rsidR="00961680">
        <w:rPr>
          <w:rFonts w:cs="Times New Roman"/>
        </w:rPr>
        <w:instrText xml:space="preserve"> ADDIN ZOTERO_ITEM CSL_CITATION {"citationID":"bbbw3Drc","properties":{"formattedCitation":"(1,10,11)","plainCitation":"(1,10,11)","noteIndex":0},"citationItems":[{"id":224,"uris":["http://zotero.org/users/12098505/items/DRVAR9U9"],"itemData":{"id":224,"type":"article-journal","container-title":"Pediatrics","issue":"6","page":"722-8","title":"Agammaglobulinemia.","volume":"9","author":[{"family":"Bruton","given":"O C"}],"issued":{"date-parts":[["1952"]]}}},{"id":791,"uris":["http://zotero.org/users/12098505/items/BX8G4Q9E"],"itemData":{"id":791,"type":"article-journal","abstract":"Subjects with primary immunodeficiency received modified immune serum globulin (IGIV) intravenously at various dose levels in long-term therapeutic studies. Therapy was effective and essentially free from adverse reactions. Two pertinent observations were made relating to the attained levels of serum IGG. Over a dose range of 100-225 mg/kg, the serum IgG level directly reflects the dosage administered. Sequential analysis of serum levels of IgG demonstrated three patient populations in 14 subjects receiving 150 mg/kg. The largest group, nine patients, had progressive reduction of serum IgG values compatible with the half-life of the reagent, with a return to the original serum IgG level in four weeks. A second population of four patients had a slower reduction of serum IgG over the four-week period. IgG values were significantly elevated over baseline values at the time of the next due infusion. In one subject serum IgG values varied greatly with rapid drops and elevations unrelated to the infusion.","container-title":"Journal of clinical immunology","issue":"2 Suppl","page":"7S-14S","title":"Individual patient variations in the kinetics of intravenous immune globulin administration.","volume":"2","author":[{"family":"Pirofsky","given":"B"},{"family":"Campbell","given":"S M"},{"family":"Montanaro","given":"A"}],"issued":{"date-parts":[["1982",4]]}}},{"id":790,"uris":["http://zotero.org/users/12098505/items/CHFXCVZ9"],"itemData":{"id":790,"type":"article-journal","abstract":"A prospective, randomized, cross-over study was performed to evaluate the safety and clinical efficacy of an immunoglobulin preparation for intravenous use (Intraglobin F) in comparison with the standard intra-muscular preparation. Twelve patients with idiopathic adult-onset panhypogammaglobulinaemia received intravenous Intraglobin F infusions of 300 mg/kg body weight every 4 weeks, or standard intramuscular injections of 25 mg/kg body weight every week (following a 4-week loading phase of 50 mg/kg/week) in random order for 24 weeks each with a 'washout' period between. At the end of this comparative trial eight of the patients received a further 24 weeks treatment with Intraglobin F at 300 mg/kg body weight every 3 weeks. Patients were assessed by diary cards, interview, laboratory screening (including assessment of serum opsonic capacity), chest and sinus radiographs, and full lung function tests. There were statistically significant, favourable changes in clinical parameters and trough serum IgG levels using the intravenous preparation but no other significant differences with respect to the two preparations. The eight patients who subsequently received the 3-weekly intravenous regimen improved further in these parameters, including serum IgG levels and serum opsonic capacity. Thirty per cent of infusions were associated with mild adverse reactions related to the rate of administration but one patient was withdrawn due to anaphylactoid reaction to her fifth infusion. Ten of the eleven remaining patients elected to continue intravenous therapy at the end of the trial. We conclude that Intraglobin F is preferable to the standard intramuscular preparations for control of idiopathic adult-onset panhypogammaglobulinaemia but that infusion intervals should be tailored to the individual's clinical response and results of appropriate functional in vitro assays, eg. opsonization.","container-title":"Clinical and Experimental Immunology","issue":"1","page":"1-7","title":"Comparison of the clinical efficacy and safety of an intramuscular and an intravenous immunoglobulin preparation for replacement therapy in idiopathic adult onset panhypogammaglobulinaemia.","volume":"76","author":[{"family":"Garbett","given":"N D"},{"family":"Currie","given":"D C"},{"family":"Cole","given":"P J"}],"issued":{"date-parts":[["1989",4]]}}}],"schema":"https://github.com/citation-style-language/schema/raw/master/csl-citation.json"} </w:instrText>
      </w:r>
      <w:r w:rsidR="00ED572F" w:rsidRPr="00757704">
        <w:rPr>
          <w:rFonts w:cs="Times New Roman"/>
        </w:rPr>
        <w:fldChar w:fldCharType="separate"/>
      </w:r>
      <w:r w:rsidR="006666AC" w:rsidRPr="006666AC">
        <w:rPr>
          <w:rFonts w:cs="Times New Roman"/>
        </w:rPr>
        <w:t>(1,10,11)</w:t>
      </w:r>
      <w:r w:rsidR="00ED572F" w:rsidRPr="00757704">
        <w:rPr>
          <w:rFonts w:cs="Times New Roman"/>
        </w:rPr>
        <w:fldChar w:fldCharType="end"/>
      </w:r>
      <w:r w:rsidR="00ED572F" w:rsidRPr="00757704">
        <w:rPr>
          <w:rFonts w:cs="Times New Roman"/>
        </w:rPr>
        <w:t xml:space="preserve">. </w:t>
      </w:r>
    </w:p>
    <w:p w14:paraId="52B464F9" w14:textId="1DAF6133" w:rsidR="00ED572F" w:rsidRPr="00757704" w:rsidRDefault="009C3BC8" w:rsidP="00ED572F">
      <w:pPr>
        <w:rPr>
          <w:rFonts w:cs="Times New Roman"/>
        </w:rPr>
      </w:pPr>
      <w:r>
        <w:rPr>
          <w:rFonts w:cs="Times New Roman"/>
        </w:rPr>
        <w:t>D</w:t>
      </w:r>
      <w:r w:rsidRPr="00757704">
        <w:rPr>
          <w:rFonts w:cs="Times New Roman"/>
        </w:rPr>
        <w:t xml:space="preserve">espite </w:t>
      </w:r>
      <w:r w:rsidR="00ED572F" w:rsidRPr="00757704">
        <w:rPr>
          <w:rFonts w:cs="Times New Roman"/>
        </w:rPr>
        <w:t xml:space="preserve">IgRT, complications </w:t>
      </w:r>
      <w:r w:rsidR="006F114E">
        <w:rPr>
          <w:rFonts w:cs="Times New Roman"/>
        </w:rPr>
        <w:t>of</w:t>
      </w:r>
      <w:r w:rsidR="006F114E" w:rsidRPr="00757704">
        <w:rPr>
          <w:rFonts w:cs="Times New Roman"/>
        </w:rPr>
        <w:t xml:space="preserve"> </w:t>
      </w:r>
      <w:r w:rsidR="00ED572F" w:rsidRPr="00757704">
        <w:rPr>
          <w:rFonts w:cs="Times New Roman"/>
        </w:rPr>
        <w:t>XLA may still occur</w:t>
      </w:r>
      <w:r w:rsidR="00DC2AF1">
        <w:rPr>
          <w:rFonts w:cs="Times New Roman"/>
        </w:rPr>
        <w:t>.</w:t>
      </w:r>
      <w:r w:rsidR="00E4546F">
        <w:rPr>
          <w:rFonts w:cs="Times New Roman"/>
        </w:rPr>
        <w:t xml:space="preserve">  </w:t>
      </w:r>
      <w:r w:rsidR="00DC2AF1" w:rsidRPr="00757704">
        <w:rPr>
          <w:rFonts w:cs="Times New Roman"/>
        </w:rPr>
        <w:t xml:space="preserve">Plebani et al., reported </w:t>
      </w:r>
      <w:r w:rsidR="00E0583B" w:rsidRPr="00757704">
        <w:rPr>
          <w:rFonts w:cs="Times New Roman"/>
        </w:rPr>
        <w:t xml:space="preserve">chronic lung disease in 33% of their cohort (24/73) </w:t>
      </w:r>
      <w:r w:rsidR="00DC2AF1">
        <w:rPr>
          <w:rFonts w:cs="Times New Roman"/>
        </w:rPr>
        <w:t>in 2002</w:t>
      </w:r>
      <w:r w:rsidR="00EB4EB1">
        <w:rPr>
          <w:rFonts w:cs="Times New Roman"/>
        </w:rPr>
        <w:t xml:space="preserve">, </w:t>
      </w:r>
      <w:r w:rsidR="00DC2AF1" w:rsidRPr="00757704">
        <w:rPr>
          <w:rFonts w:cs="Times New Roman"/>
        </w:rPr>
        <w:t>with a calculated 25 year post diagnosis risk of develop</w:t>
      </w:r>
      <w:r w:rsidR="00DC2AF1">
        <w:rPr>
          <w:rFonts w:cs="Times New Roman"/>
        </w:rPr>
        <w:t>ing</w:t>
      </w:r>
      <w:r w:rsidR="00DC2AF1" w:rsidRPr="00757704">
        <w:rPr>
          <w:rFonts w:cs="Times New Roman"/>
        </w:rPr>
        <w:t xml:space="preserve"> chronic lung disease of 92% </w:t>
      </w:r>
      <w:r w:rsidR="00DC2AF1" w:rsidRPr="00757704">
        <w:rPr>
          <w:rFonts w:cs="Times New Roman"/>
        </w:rPr>
        <w:fldChar w:fldCharType="begin"/>
      </w:r>
      <w:r w:rsidR="00B17661">
        <w:rPr>
          <w:rFonts w:cs="Times New Roman"/>
        </w:rPr>
        <w:instrText xml:space="preserve"> ADDIN ZOTERO_ITEM CSL_CITATION {"citationID":"D9pim0nf","properties":{"formattedCitation":"(12)","plainCitation":"(12)","noteIndex":0},"citationItems":[{"id":391,"uris":["http://zotero.org/users/12098505/items/TUSDCDMD"],"itemData":{"id":391,"type":"article-journal","abstract":"A questionnaire-based retrospective clinical and immunological survey was conducted in 73 males with a definite diagnosis of X-linked agammaglobulinemia based on BTK sequence analysis. Forty-four were sporadic and 29 familial cases. At December 2000, the patients' ages ranged from 2 to 33 years; mean age at diagnosis and mean duration of follow-up were 3.5 and 10 years respectively. After the mid-1980s all but 2 were on intravenous immunoglobulin (IVIG) substitution therapy, with residual IgG &gt;500 mg/dl in 94% of the patients at the time of enrollment. Respiratory infections were the most frequent manifestation both prior to diagnosis and over follow-up. Chronic lung disease (CLD) was present in 24 patients, in 15 already at diagnosis and in 9 more by 2000. The cumulative risk to present at diagnosis with CLD increased from 0.17 to 0.40 and 0.78 when the diagnosis was made at the ages of 5, 10, and 15 years respectively. For the 9 patients who developed CLD during follow-up, the duration of follow-up, rather than age at diagnosis; previous administration of intramuscular immunoglobulin; and residual IgG levels had a significant effect on the development of CLD. Chronic sinusitis was present in 35 patients (48%), in 15 already at diagnosis and in 20 by 2000. Sistemic infections such as sepsis and meningitis/meningoencephalitis decreased over follow-up, probably due to optimal protection provided by high circulating IgG levels reached with IVIG.","container-title":"Clin Immunol","DOI":"10.1006/clim.2002.5241","ISSN":"1521-6616 (Print)\\n1521-6616 (Linking)","issue":"3","page":"221-230","title":"Clinical, immunological, and molecular analysis in a large cohort of patients with X-linked agammaglobulinemia: an Italian multicenter study","volume":"104","author":[{"family":"Plebani","given":"Alessandro"},{"family":"Soresina","given":"Annarosa"},{"family":"Rondelli","given":"Roberto"},{"family":"Amato","given":"Giorgio M"},{"family":"Azzari","given":"Chiara"},{"family":"Cardinale","given":"Fabio"},{"family":"Cazzola","given":"Gianantonio"},{"family":"Consolini","given":"Rita"},{"family":"De Mattia","given":"D"},{"family":"Dell'Erba","given":"G"},{"family":"Duse","given":"Marzia"},{"family":"Fiorini","given":"Maurilia"},{"family":"Martino","given":"Silvana"},{"family":"Martire","given":"Baldassarre"},{"family":"Masi","given":"Massimo"},{"family":"Monafo","given":"Virginia"},{"family":"Moschese","given":"Viviana"},{"family":"Notarangelo","given":"Luigi D"},{"family":"Orlandi","given":"Paola"},{"family":"Panei","given":"Pietro"},{"family":"Pession","given":"Andrea"},{"family":"Pietrogrande","given":"Maria C"},{"family":"Pignata","given":"Claudio"},{"family":"Quinti","given":"Isabella"},{"family":"Ragno","given":"Vanda"},{"family":"Rossi","given":"Paolo"},{"family":"Sciotto","given":"A"},{"family":"Stabile","given":"A"}],"issued":{"date-parts":[["2002"]]}}}],"schema":"https://github.com/citation-style-language/schema/raw/master/csl-citation.json"} </w:instrText>
      </w:r>
      <w:r w:rsidR="00DC2AF1" w:rsidRPr="00757704">
        <w:rPr>
          <w:rFonts w:cs="Times New Roman"/>
        </w:rPr>
        <w:fldChar w:fldCharType="separate"/>
      </w:r>
      <w:r w:rsidR="006666AC" w:rsidRPr="006666AC">
        <w:rPr>
          <w:rFonts w:cs="Times New Roman"/>
        </w:rPr>
        <w:t>(12)</w:t>
      </w:r>
      <w:r w:rsidR="00DC2AF1" w:rsidRPr="00757704">
        <w:rPr>
          <w:rFonts w:cs="Times New Roman"/>
        </w:rPr>
        <w:fldChar w:fldCharType="end"/>
      </w:r>
      <w:r w:rsidR="00DC2AF1" w:rsidRPr="00757704">
        <w:rPr>
          <w:rFonts w:cs="Times New Roman"/>
        </w:rPr>
        <w:t>.</w:t>
      </w:r>
      <w:r w:rsidR="005D2742">
        <w:rPr>
          <w:rFonts w:cs="Times New Roman"/>
        </w:rPr>
        <w:t xml:space="preserve">  </w:t>
      </w:r>
      <w:r w:rsidR="00EB4EB1">
        <w:rPr>
          <w:rFonts w:cs="Times New Roman"/>
        </w:rPr>
        <w:t xml:space="preserve">Bronchiectasis may be </w:t>
      </w:r>
      <w:r w:rsidR="00ED572F" w:rsidRPr="00757704">
        <w:rPr>
          <w:rFonts w:cs="Times New Roman"/>
        </w:rPr>
        <w:t xml:space="preserve">due to the lost BTK functions </w:t>
      </w:r>
      <w:r w:rsidR="00F6137D">
        <w:rPr>
          <w:rFonts w:cs="Times New Roman"/>
        </w:rPr>
        <w:t>beyond</w:t>
      </w:r>
      <w:r w:rsidR="006F114E" w:rsidRPr="00757704">
        <w:rPr>
          <w:rFonts w:cs="Times New Roman"/>
        </w:rPr>
        <w:t xml:space="preserve"> </w:t>
      </w:r>
      <w:r w:rsidR="00ED572F" w:rsidRPr="00757704">
        <w:rPr>
          <w:rFonts w:cs="Times New Roman"/>
        </w:rPr>
        <w:t>B</w:t>
      </w:r>
      <w:r w:rsidR="00226DF2">
        <w:rPr>
          <w:rFonts w:cs="Times New Roman"/>
        </w:rPr>
        <w:t>-lymphocyte</w:t>
      </w:r>
      <w:r w:rsidR="00ED572F" w:rsidRPr="00757704">
        <w:rPr>
          <w:rFonts w:cs="Times New Roman"/>
        </w:rPr>
        <w:t xml:space="preserve"> development</w:t>
      </w:r>
      <w:r w:rsidR="00F6137D">
        <w:rPr>
          <w:rFonts w:cs="Times New Roman"/>
        </w:rPr>
        <w:t>;</w:t>
      </w:r>
      <w:r w:rsidR="00ED572F" w:rsidRPr="00757704">
        <w:rPr>
          <w:rFonts w:cs="Times New Roman"/>
        </w:rPr>
        <w:t xml:space="preserve"> or </w:t>
      </w:r>
      <w:r w:rsidR="008F6D2F">
        <w:rPr>
          <w:rFonts w:cs="Times New Roman"/>
        </w:rPr>
        <w:t xml:space="preserve">to </w:t>
      </w:r>
      <w:r w:rsidR="00ED572F" w:rsidRPr="00757704">
        <w:rPr>
          <w:rFonts w:cs="Times New Roman"/>
        </w:rPr>
        <w:t xml:space="preserve">the lack of IgA and IgM replacement which play important roles in protection of mucosal surfaces </w:t>
      </w:r>
      <w:r w:rsidR="00ED572F" w:rsidRPr="00757704">
        <w:rPr>
          <w:rFonts w:cs="Times New Roman"/>
        </w:rPr>
        <w:fldChar w:fldCharType="begin"/>
      </w:r>
      <w:r w:rsidR="00961680">
        <w:rPr>
          <w:rFonts w:cs="Times New Roman"/>
        </w:rPr>
        <w:instrText xml:space="preserve"> ADDIN ZOTERO_ITEM CSL_CITATION {"citationID":"rjiQsduW","properties":{"formattedCitation":"(13\\uc0\\u8211{}17)","plainCitation":"(13–17)","noteIndex":0},"citationItems":[{"id":1433,"uris":["http://zotero.org/users/12098505/items/2P8VITXH"],"itemData":{"id":1433,"type":"article-journal","abstract":"Introduction: X-linked agammaglobulinemia (XLA) is the most common primary immunodeficiency in man, and is caused by a single genetic defect. Inactivating mutations in the Bruton's tyrosine kinase (BTK) gene are invariably the cause of XLA,. XLA is characterized by a differentiation arrest at the pre-B cell stage, the absence of immunoglobulins and recurrent bacterial infections, making it an insidious disease that gradually disables the patient, and can result in death due to chronic lung disease. Current treatment involves prophylactic antibiotics and immunoglobulin infusions, which are non-curative. This disease is a good candidate for curative hematopoietic stem cell (HSC)-based gene therapy, which could correct the B cell and myeloid deficiencies. Areas covered: This paper reviews the basic biology of BTK in B cell development, the clinical features of XLA, and the possibilities of gene therapy for XLA, covering the literature from 1995 to 2010. Expert opinion: Work from various laboratories demonstrates the feasibility of using gene-corrected HSCs to complement the immune defects of Btk-deficiency in mice. We propose that it is timely to start clinical programs to develop stem cell based therapy for XLA, using gene-corrected autologous HSC.","container-title":"Expert Opinion on Therapeutic Targets","DOI":"10.1517/14728222.2011.585971","ISSN":"10.1517/14728222.2011.585971","issue":"December 2015","page":"9-18","title":"Biology and novel treatment options for XLA, the most common monogenetic immunodeficiency in man.","volume":"8222","author":[{"family":"Hendriks","given":"Rudi W"},{"family":"Bredius","given":"Robbert GM"},{"family":"Pike-Overzet","given":"Karin"},{"family":"Staal","given":"Frank JT"}],"issued":{"date-parts":[["2011",8]]}}},{"id":844,"uris":["http://zotero.org/users/12098505/items/NWWS5RDF"],"itemData":{"id":844,"type":"article-journal","abstract":"The discovery that lymphocyte subpopulations participate in distinct components of the immune response focused attention onto the origins and function of lymphocytes more than 40 years ago. Studies in the 1960s and 1970s demonstrated that B and T lymphocytes were responsible primarily for the basic functions of antibody production and cell-mediated immune responses, respectively. The decades that followed have witnessed a continuum of unfolding complexities in B-cell development, subsets, and function that could not have been predicted. Some of the landmark discoveries that led to our current understanding of B lymphocytes as the source of protective innate and adaptive antibodies are highlighted in this essay. The phenotypic and functional diversity of B lymphocytes, their regulatory roles independent of antibody production, and the molecular events that make this lineage unique are also considered. Finally, perturbations in B-cell development that give rise to certain types of congenital immunodeficiency, leukemia/lymphoma, and autoimmune disease are discussed in the context of normal B-cell development and selection. Despite the significant advances that have been made at the cellular and molecular levels, there is much more to learn, and cross-disciplinary studies in hematology and immunology will continue to pave the way for new discoveries.","container-title":"The american society of hematology","DOI":"10.1182/blood-2008-02-078071","issue":"5","page":"1570-1580","title":"B lymphocytes : how they develop and function","volume":"112","author":[{"family":"LeBien","given":"Tucker W."},{"family":"Tedder","given":"Thomas F"}],"issued":{"date-parts":[["2008",9]]}}},{"id":1016,"uris":["http://zotero.org/users/12098505/items/K7GWWRY7"],"itemData":{"id":1016,"type":"article-journal","abstract":"Bruton’s Tyrosine kinase (BTK) was initially discovered as a critical mediator of B cell receptor signaling in the development and functioning of adaptive immunity. Growing evidence also suggests multiple roles for BTK in mononuclear cells of the innate immune system, especially in dendritic cells (DC) and macrophages. For example, BTK has been shown to function in Toll-like receptor-mediated recognition of infectious agents, cellular maturation and recruitment processes, and Fc receptor signaling. Most recently, BTK was additionally identified as a direct regulator of a key innate inflammatory machinery, the NLRP3 inflammasome. BTK has thus attracted interest not only for gaining a more thorough basic understanding of the human innate immune system but also as a target to therapeutically modulate innate immunity. We here review the latest developments on the role of BTK in mononuclear innate immune cells in mouse versus man, with specific emphasis on the sensing of infectious agents and the induction of inflammation. Therapeutic implications for modulating innate immunity and critical open questions are also discussed.","container-title":"Frontiers in Immunology","DOI":"10.3389/fimmu.2017.01454","page":"1454-1454","title":"Bruton’s Tyrosine Kinase: An Emerging Key Player in Innate Immunity","volume":"8","author":[{"family":"Weber","given":"Alexander N. R."},{"family":"Bittner","given":"Zsofia"},{"family":"Liu","given":"Xiao"},{"family":"Dang","given":"Truong-Minh"},{"family":"Radsak","given":"Markus Philipp"},{"family":"Brunner","given":"Cornelia"}],"issued":{"date-parts":[["2017",11]]}},"locator":"20"},{"id":1146,"uris":["http://zotero.org/users/12098505/items/P8CIIIGT"],"itemData":{"id":1146,"type":"article-journal","abstract":"Several pathogens have acquired the capacity to bind immunoglobulins in a nonimmune manner, that is, the binding does not involve the normal antigen-binding sites of the antibodies. In contrast to gram-positive bacteria, for example Staphylococus aureus, nonimmune binding to gram-negative bacteria is rare. Moraxella catarrhalis outer membrane protein MID is the first to date known IgD-binding protein. MID is a 200-kDa autotransporter protein that exists as an oligomer and is governed at the transcriptional level. The majority of M. catarrhalis clinical isolates expresses MID. Two functional domains have been attributed to MID. MID764-913 functions as an adhesin and promotes the bacteria to attach to epithelial cells. The IgD-binding domain is located within MID962-1200 and the IgD-binding is related to the secondary and tertiary structure, that is, an oligomer is required for an optimal interaction. In parallel, M. catarrhalis activates B lymphocytes through the IgD B-cell receptor. This stimulatory capacity can be blocked by anti-IgD polyclonal antibodies, and M. catarrhalis mutants devoid of MID do not stimulate B cells. Moreover, MID and MID962-1200 activates B lymphocytes in the presence of T-helper 2 cytokines or soluble CD40L. Thus, available data suggest that MID is a T-cell-independent antigen.","container-title":"Journal of Allergy and Clinical Immunology","DOI":"10.1016/j.jaci.2009.09.046","issue":"2","page":"S41-S52","title":"Structure and function of immunoglobulins","volume":"125","author":[{"family":"Schroeder","given":"Harry W."},{"family":"Cavacini","given":"Lisa"}],"issued":{"date-parts":[["2010",2]]}}},{"id":1255,"uris":["http://zotero.org/users/12098505/items/7BCKG2VA"],"itemData":{"id":1255,"type":"article-journal","abstract":"Due to their vast surface area, the mucosal surfaces of the body represent a major site of potential attack by invading pathogens. The secretions that bathe mucosal surfaces contain significant levels of immunoglobulins (Igs), which play key roles in immune defense of these surfaces. IgA is the predominant antibody class in many external secretions and has many functional attributes, both direct and indirect, that serve to prevent infective agents such as bacteria and viruses from breaching the mucosal barrier. This review details current understanding of the structural and functional characteristics of IgA, including interaction with specific receptors (such as Fc(alpha)RI, Fc(alpha)/microR, and CD71) and presents examples of the means by which certain pathogens circumvent the protective properties of this important Ig.","container-title":"Immunological Reviews","DOI":"10.1111/j.0105-2896.2005.00290.x","issue":"1","page":"64-82","title":"Mucosal immunoglobulins","volume":"206","author":[{"family":"Woof","given":"Jenny M."},{"family":"Mestecky","given":"Jiri"}],"issued":{"date-parts":[["2005",8]]}}}],"schema":"https://github.com/citation-style-language/schema/raw/master/csl-citation.json"} </w:instrText>
      </w:r>
      <w:r w:rsidR="00ED572F" w:rsidRPr="00757704">
        <w:rPr>
          <w:rFonts w:cs="Times New Roman"/>
        </w:rPr>
        <w:fldChar w:fldCharType="separate"/>
      </w:r>
      <w:r w:rsidR="006666AC" w:rsidRPr="006666AC">
        <w:rPr>
          <w:rFonts w:cs="Times New Roman"/>
          <w:kern w:val="0"/>
          <w:sz w:val="24"/>
        </w:rPr>
        <w:t>(13–17)</w:t>
      </w:r>
      <w:r w:rsidR="00ED572F" w:rsidRPr="00757704">
        <w:rPr>
          <w:rFonts w:cs="Times New Roman"/>
        </w:rPr>
        <w:fldChar w:fldCharType="end"/>
      </w:r>
      <w:r w:rsidR="00ED572F" w:rsidRPr="00757704">
        <w:rPr>
          <w:rFonts w:cs="Times New Roman"/>
        </w:rPr>
        <w:t xml:space="preserve">.  </w:t>
      </w:r>
    </w:p>
    <w:p w14:paraId="6D92845D" w14:textId="19D6025F" w:rsidR="00ED572F" w:rsidRPr="00757704" w:rsidRDefault="00ED572F" w:rsidP="00ED572F">
      <w:pPr>
        <w:rPr>
          <w:rFonts w:cs="Times New Roman"/>
        </w:rPr>
      </w:pPr>
      <w:r w:rsidRPr="00757704">
        <w:rPr>
          <w:rFonts w:cs="Times New Roman"/>
        </w:rPr>
        <w:t>With these limitations in mind, there are potential advances in management including newborn screen</w:t>
      </w:r>
      <w:r w:rsidR="00234252">
        <w:rPr>
          <w:rFonts w:cs="Times New Roman"/>
        </w:rPr>
        <w:t>ing</w:t>
      </w:r>
      <w:r w:rsidRPr="00757704">
        <w:rPr>
          <w:rFonts w:cs="Times New Roman"/>
        </w:rPr>
        <w:t xml:space="preserve"> </w:t>
      </w:r>
      <w:r w:rsidR="00234252">
        <w:rPr>
          <w:rFonts w:cs="Times New Roman"/>
        </w:rPr>
        <w:t>by</w:t>
      </w:r>
      <w:r w:rsidR="00234252" w:rsidRPr="00757704">
        <w:rPr>
          <w:rFonts w:cs="Times New Roman"/>
        </w:rPr>
        <w:t xml:space="preserve"> </w:t>
      </w:r>
      <w:r w:rsidRPr="00757704">
        <w:rPr>
          <w:rFonts w:cs="Times New Roman"/>
        </w:rPr>
        <w:t xml:space="preserve">measurement of kappa-deleting recombination excision circles (KREC), curative haemopoietic stem cell transplantation (HSCT) and gene therapy </w:t>
      </w:r>
      <w:r w:rsidRPr="00757704">
        <w:rPr>
          <w:rFonts w:cs="Times New Roman"/>
        </w:rPr>
        <w:fldChar w:fldCharType="begin"/>
      </w:r>
      <w:r w:rsidR="00D106AB">
        <w:rPr>
          <w:rFonts w:cs="Times New Roman"/>
        </w:rPr>
        <w:instrText xml:space="preserve"> ADDIN ZOTERO_ITEM CSL_CITATION {"citationID":"TnabFH4r","properties":{"formattedCitation":"(18\\uc0\\u8211{}20)","plainCitation":"(18–20)","noteIndex":0},"citationItems":[{"id":1576,"uris":["http://zotero.org/users/12098505/items/QCEKWMC2"],"itemData":{"id":1576,"type":"article-journal","container-title":"Journal of Allergy and Clinical Immunology","DOI":"10.1016/j.jaci.2011.01.052","ISSN":"1097-6825 (Electronic)0091-6749 (Linking)","issue":"1","page":"223-225","publisher":"Elsevier","title":"Quantification of k-deleting recombination excision circles in Guthrie cards for the identification of early B-cell maturation defects","volume":"128","author":[{"family":"Nakagawa","given":"Noriko"},{"family":"Imai","given":"Kohsuke"},{"family":"Kanegane","given":"Hirokazu"},{"family":"Sato","given":"Hiroki"},{"family":"Yamada","given":"Masafumi"},{"family":"Kondoh","given":"Kensuke"},{"family":"Okada","given":"Satoshi"},{"family":"Kobayashi","given":"Masao"},{"family":"Agematsu","given":"Kazunaga"},{"family":"Takada","given":"Hidetoshi"},{"family":"Mitsuiki","given":"Noriko"},{"family":"Oshima","given":"Koichi"},{"family":"Ohara","given":"Osamu"},{"family":"Suri","given":"Deepti"},{"family":"Rawat","given":"Amit"},{"family":"Singh","given":"Surjit"},{"family":"Pan-Hammarström","given":"Qiang"},{"family":"Hammarström","given":"Lennart"},{"family":"Reichenbach","given":"Janine"},{"family":"Seger","given":"Reinhard"},{"family":"Ariga","given":"Tadashi"},{"family":"Hara","given":"Toshiro"},{"family":"Miyawaki","given":"Toshio"},{"family":"Nonoyama","given":"Shigeaki"}],"issued":{"date-parts":[["2011",12]]}}},{"id":851,"uris":["http://zotero.org/users/12098505/items/ZR4GGGHW"],"itemData":{"id":851,"type":"article-journal","abstract":"Further development of haematopoietic stem cell (HSC) gene therapy will depend on enhancement of gene transfer safety: ad hoc improvement of vector design relating to each particular disease is thus a crucial issue for HSC gene therapy. We modified a previously described lentiviral vector by adding the Emumar B-specific enhancer to a human CD19 promoter-derived sequence (Mol Ther 2004;10:45-56). We thus significantly improved the level of expression of the green fluorescent protein (GFP) reporter gene while retaining the specificity of expression in B-cell progeny of transduced human CD34+ progenitor cells obtained from cord blood or adult bone marrow. Indeed, GFP was strongly expressed from early medullary pro-B cells to splenic mature B cells whereas transgene expression remained low in transduced immature progenitors as in myeloid and T-lymphoid progeny retrieved from xenografted NOD/SCID/gammac(null) mice. Using this lentiviral vector, we further demonstrated the possibility to express a functional human BTK protein in long-term human CD34+ cell B-lymphoid progeny. This newly designed lentiviral vector fulfils one of the pre-requisites for the development of efficient and safe gene therapy for X-linked agammaglobulinaemia, the most common primary humoral immunodeficiency disorder.","container-title":"Gene therapy","DOI":"10.1038/gt.2008.17","ISSN":"1476-5462 (Electronic)\\r0969-7128 (Linking)","issue":"12","page":"942-52","title":"Development of an enhanced B-specific lentiviral vector expressing BTK: a tool for gene therapy of XLA.","volume":"15","author":[{"family":"Moreau","given":"T"},{"family":"Barlogis","given":"V"},{"family":"Bardin","given":"F"},{"family":"Nunes","given":"J","dropping-particle":"a"},{"family":"Calmels","given":"B"},{"family":"Chabannon","given":"C"},{"family":"Tonnelle","given":"C"}],"issued":{"date-parts":[["2008"]]}}},{"id":583,"uris":["http://zotero.org/users/12098505/items/JW9A4B7R"],"itemData":{"id":583,"type":"article-journal","abstract":"Since the first clinical description in 1952, immunoglobulin replacement therapy remains the mainstay of treatment of patients with X-linked agammaglobulinemia (XLA). However, this therapy only replaces IgG isotype and does not compensate for the loss of Bruton tyrosine kinase in non-B-lymphocytes. Patients may still therefore develop complications despite current standard of care. Here, we describe an XLA patient with persistent chronic norovirus infection, refractory to treatment and causing intestinal failure. The patient underwent haematopoietic stem cell transplantation, curing XLA and allowed clearance of norovirus prior to humoral immunoreconstitution, suggesting non-humoral immunodeficiency in these patients.","container-title":"Journal of Clinical Immunology","DOI":"10.1007/s10875-021-01088-2","ISSN":"1573-2592","issue":"7","journalAbbreviation":"J Clin Immunol","language":"eng","page":"1574-1581","PMID":"34164761","PMCID":"PMC8221090","source":"PubMed","title":"Haematopoietic Stem Cell Transplant for Norovirus-Induced Intestinal Failure in X-linked Agammaglobulinemia","volume":"41","author":[{"family":"Shillitoe","given":"Ben M. J."},{"family":"Ponsford","given":"Mark"},{"family":"Slatter","given":"Mary A."},{"family":"Evans","given":"Jennifer"},{"family":"Struik","given":"Siske"},{"family":"Cosgrove","given":"Mike"},{"family":"Doull","given":"Iolo"},{"family":"Jolles","given":"Stephen"},{"family":"Gennery","given":"Andrew R."}],"issued":{"date-parts":[["2021",10]]}}}],"schema":"https://github.com/citation-style-language/schema/raw/master/csl-citation.json"} </w:instrText>
      </w:r>
      <w:r w:rsidRPr="00757704">
        <w:rPr>
          <w:rFonts w:cs="Times New Roman"/>
        </w:rPr>
        <w:fldChar w:fldCharType="separate"/>
      </w:r>
      <w:r w:rsidR="006666AC" w:rsidRPr="006666AC">
        <w:rPr>
          <w:rFonts w:cs="Times New Roman"/>
          <w:kern w:val="0"/>
        </w:rPr>
        <w:t>(18–20)</w:t>
      </w:r>
      <w:r w:rsidRPr="00757704">
        <w:rPr>
          <w:rFonts w:cs="Times New Roman"/>
        </w:rPr>
        <w:fldChar w:fldCharType="end"/>
      </w:r>
      <w:r w:rsidRPr="00757704">
        <w:rPr>
          <w:rFonts w:cs="Times New Roman"/>
        </w:rPr>
        <w:t xml:space="preserve">.  None of these strategies have entered routine clinical practice, requiring more accurate assessment of current XLA outcomes, including </w:t>
      </w:r>
      <w:r>
        <w:rPr>
          <w:rFonts w:cs="Times New Roman"/>
        </w:rPr>
        <w:t>quality of life (QoL)</w:t>
      </w:r>
      <w:r w:rsidRPr="00757704">
        <w:rPr>
          <w:rFonts w:cs="Times New Roman"/>
        </w:rPr>
        <w:t>.</w:t>
      </w:r>
    </w:p>
    <w:p w14:paraId="28ECD0CF" w14:textId="33AB5CEC" w:rsidR="00ED572F" w:rsidRPr="00367D62" w:rsidRDefault="00ED572F" w:rsidP="00ED572F">
      <w:r w:rsidRPr="00757704">
        <w:rPr>
          <w:rFonts w:cs="Times New Roman"/>
        </w:rPr>
        <w:t>Health related quality of life (HRQoL) is an important tool in evaluating</w:t>
      </w:r>
      <w:r>
        <w:t xml:space="preserve"> outcomes in both clinical practice and research.  HRQoL has been used in evaluating</w:t>
      </w:r>
      <w:r w:rsidR="00234252">
        <w:t xml:space="preserve"> outcomes of treatment for</w:t>
      </w:r>
      <w:r>
        <w:t xml:space="preserve"> inborn errors of immunity (IEI), and has aided greatly in evaluating the role of differing management strategies for clinicians, families and patients alike </w:t>
      </w:r>
      <w:r>
        <w:fldChar w:fldCharType="begin"/>
      </w:r>
      <w:r w:rsidR="00D106AB">
        <w:instrText xml:space="preserve"> ADDIN ZOTERO_ITEM CSL_CITATION {"citationID":"4oADzxU9","properties":{"formattedCitation":"(21,22)","plainCitation":"(21,22)","noteIndex":0},"citationItems":[{"id":703,"uris":["http://zotero.org/users/12098505/items/ZSWSTADG"],"itemData":{"id":703,"type":"article-journal","container-title":"Journal of Clinical Immunology","DOI":"10.1007/s10875-012-9758-0","issue":"1","page":"8-13","title":"Health Related Quality of Life and Emotional Health in Children with Chronic Granulomatous Disease: A Comparison of Those Managed Conservatively with Those That Have Undergone Haematopoietic Stem Cell Transplant","volume":"33","author":[{"family":"Cole","given":"Theresa"},{"family":"McKendrick","given":"Fiona"},{"family":"Titman","given":"Penny"},{"family":"Cant","given":"Andrew J."},{"family":"Pearce","given":"Mark S."},{"family":"Cale","given":"Catherine M."},{"family":"Goldblatt","given":"David"},{"family":"Gennery","given":"Andrew R."}],"issued":{"date-parts":[["2013"]]}}},{"id":581,"uris":["http://zotero.org/users/12098505/items/YFPPJW7Y"],"itemData":{"id":581,"type":"article-journal","abstract":"BACKGROUND: We undertook a study to determine the impact of Wiskott Aldrich Syndrome (WAS) and X-linked thrombocytopenia (XLT) and their therapies upon the health-related quality of life (HRQOL) of patients and their families.\nMATERIALS AND METHODS: We undertook a survey of patients and their families, who self-identified as having either WAS or XLT. We assessed the PedsQL™ 4.0, the parent proxy form, and the family impact module. These results were compared with normative data from previously published reports.\nRESULTS: Sixty-eight patients (29 patients completed both the PedsQL™ 4.0 and the parent proxy form; 21 completed only the PedsQL™ 4.0; and 18 completed only the parent proxy form) were included. In contrast to patient-reported outcomes, parents of patients who had a bone marrow transplant (BMT) reported that their children had better QOL scores compared with those who did not (82.6 vs. 73.3, p = 0.023). The QOL of patients vs. previously published normative data showed decreases in patient scores for psychosocial health (72.62 vs. 86.58, p = &lt; 0.001), emotional functioning (69.91 vs. 82.64, p = &lt; 0.001), social functioning (77.55 vs. 91.56, p = &lt; 0.001), and school functioning (70.46 vs. 85.67, p = &lt; 0.001). The family impact study revealed deficits in emotional, social, and cognitive functioning, communication, and worry.\nCONCLUSION: These results show that patients with WAS/XLT are significantly impacted with respect to QOL. BMT offered a better QOL for patients according to parents, but not as reported by the patients. Future studies should incorporate QOL to provide more data and a better understanding of outcomes for long-term survivors and decision-making regarding BMT.","container-title":"Journal of Clinical Immunology","DOI":"10.1007/s10875-019-00689-2","ISSN":"1573-2592","issue":"8","journalAbbreviation":"J Clin Immunol","language":"eng","page":"786-794","PMID":"31620947","PMCID":"PMC7385986","source":"PubMed","title":"Quality of Life of Patients with Wiskott Aldrich Syndrome and X-Linked Thrombocytopenia: a Study of the Primary Immune Deficiency Consortium (PIDTC), Immune Deficiency Foundation, and the Wiskott-Aldrich Foundation","title-short":"Quality of Life of Patients with Wiskott Aldrich Syndrome and X-Linked Thrombocytopenia","volume":"39","author":[{"family":"Shah","given":"Ami J."},{"family":"Sokolic","given":"Robert"},{"family":"Logan","given":"Brent"},{"family":"Yin","given":"Ziyan"},{"family":"Iyengar","given":"Sumathi"},{"family":"Scalchunes","given":"Chris"},{"family":"Mangurian","given":"Christina"},{"family":"Albert","given":"Michael"},{"family":"Cowan","given":"Morton J."}],"issued":{"date-parts":[["2019",11]]}}}],"schema":"https://github.com/citation-style-language/schema/raw/master/csl-citation.json"} </w:instrText>
      </w:r>
      <w:r>
        <w:fldChar w:fldCharType="separate"/>
      </w:r>
      <w:r w:rsidR="006666AC" w:rsidRPr="006666AC">
        <w:rPr>
          <w:rFonts w:cs="Times New Roman"/>
        </w:rPr>
        <w:t>(21,22)</w:t>
      </w:r>
      <w:r>
        <w:fldChar w:fldCharType="end"/>
      </w:r>
      <w:r>
        <w:t xml:space="preserve">.  Previous work has reported conflicting information on whether or not HRQoL in XLA is comparable to the </w:t>
      </w:r>
      <w:r w:rsidR="00884566">
        <w:t>UK norms</w:t>
      </w:r>
      <w:r>
        <w:fldChar w:fldCharType="begin"/>
      </w:r>
      <w:r w:rsidR="00B17661">
        <w:instrText xml:space="preserve"> ADDIN ZOTERO_ITEM CSL_CITATION {"citationID":"2mBF1QZT","properties":{"formattedCitation":"(23,24)","plainCitation":"(23,24)","noteIndex":0},"citationItems":[{"id":347,"uris":["http://zotero.org/users/12098505/items/TTNUEB9F"],"itemData":{"id":347,"type":"article-journal","abstract":"INTRODUCTION: The health-related quality of life in X-linked agammaglobulinemia was investigated in 25 children and adolescents patients through the Italian version of Pediatric Quality of Life Inventory 4.0 Generic Core Scale for patients aged less then 18 years, comparing child perception to that of the parents and the physician's evaluation. The data were compared with the ones of 80 healthy controls and the literature data of a group of patients with rheumatic diseases. DISCUSSION: The agammaglobulinemia subjects perceived a lower global quality of life than the healthy subjects, but significantly higher than the rheumatic diseases controls. The clinical relevance of health-related quality of life assessment in X-linked agammaglobulinemia pediatric patients is discussed.","container-title":"Journal of Clinical Immunology","DOI":"10.1007/s10875-008-9270-8","issue":"4","page":"501-507","title":"The quality of life of children and adolescents with X-linked agammaglobulinemia","volume":"29","author":[{"family":"Soresina","given":"Annarosa"},{"family":"Nacinovich","given":"Renata"},{"family":"Bomba","given":"Monica"},{"family":"Cassani","given":"Morena"},{"family":"Molinaro","given":"Anna"},{"family":"Sciotto","given":"Antonella"},{"family":"Martino","given":"Silvana"},{"family":"Cardinale","given":"Fabio"},{"family":"De Mattia","given":"Domenico"},{"family":"Putti","given":"Caterina"},{"family":"Dellepiane","given":"Rosa Maria"},{"family":"Felici","given":"Leonardo"},{"family":"Parrinello","given":"Giovanni"},{"family":"Neri","given":"Francesca"},{"family":"Plebani","given":"Alessandro"},{"family":"Pierani","given":"P."},{"family":"DeMattia","given":"D."},{"family":"Martire","given":"B."},{"family":"Armenio","given":"L."},{"family":"Cardinale","given":"F."},{"family":"Dammacco","given":"F."},{"family":"Ranieri","given":"G."},{"family":"Masi","given":"M."},{"family":"Miniaci","given":"a."},{"family":"Pession","given":"a."},{"family":"Rondelli","given":"R."},{"family":"Plebani","given":"a."},{"family":"Notarangelo","given":"L. D."},{"family":"Soresina","given":"a."},{"literal":"Cao"},{"family":"Cossu","given":"F."},{"family":"Del Giacco","given":"S."},{"family":"Manconi","given":"P."},{"family":"Evangelista","given":"I."},{"family":"Magro","given":"S."},{"family":"Morgione","given":"S."},{"family":"Strisciuglio","given":"P."},{"family":"Anastasio","given":"E."},{"family":"Schillirò","given":"G."},{"family":"Sciotto","given":"a."},{"family":"Paganelli","given":"R."},{"family":"Sticca","given":"M."},{"family":"Sperlì","given":"D."},{"family":"Carpino","given":"L."},{"family":"Bernini","given":"G."},{"family":"Azzari","given":"C."},{"family":"Maggi","given":"E."},{"family":"Romagnani","given":"S."},{"family":"Matucci","given":"a."},{"family":"Vultaggio","given":"a."},{"family":"Castagnola","given":"E."},{"family":"Gattorno","given":"M."},{"family":"Presta","given":"G."},{"family":"Civino","given":"a."},{"family":"Gambaretto","given":"G."},{"family":"Fasoli","given":"S."},{"family":"Salpietro","given":"C."},{"family":"Pietrogrande","given":"M. C."},{"family":"DellePiane","given":"R. M."},{"family":"Panisi","given":"C."},{"family":"Cambiaghi","given":"G."},{"family":"Pietrogrande","given":"M."},{"family":"Roncarolo","given":"M. G."},{"family":"Aiuti","given":"a."},{"family":"Masera","given":"G."},{"family":"Biondi","given":"a."},{"family":"Sala","given":"a."},{"family":"Pignata","given":"C."},{"family":"Poggi","given":"V."},{"family":"Menna","given":"G."},{"family":"Di Nardo","given":"R."},{"family":"D'Apuzzo","given":"a."},{"family":"Pelliccia","given":"a."},{"family":"Correra","given":"a."},{"family":"Marone","given":"G."},{"family":"Spadaro","given":"G."},{"family":"Carli","given":"M."},{"family":"Zanesco","given":"L."},{"family":"Basso","given":"G."},{"family":"Putti","given":"M. C."},{"family":"Semenzato","given":"G."},{"family":"Agostini","given":"C."},{"family":"Amato","given":"G. M."},{"family":"Aricò","given":"M."},{"family":"Trizzino","given":"a."},{"family":"Izzi","given":"G."},{"family":"Bertolini","given":"P."},{"family":"Locatelli","given":"F."},{"family":"Zecca","given":"M."},{"family":"Rondini","given":"G."},{"family":"Marseglia","given":"G. L."},{"family":"Maccario","given":"R."},{"family":"Bossi","given":"G."},{"family":"Felici","given":"L."},{"family":"Favre","given":"C."},{"family":"Consolini","given":"R."},{"family":"Vecchi","given":"V."},{"family":"Sacchini","given":"P."},{"family":"Rinaldi","given":"G."},{"family":"Ugazio","given":"a. G."},{"family":"Rossi","given":"P."},{"family":"Livadiotti","given":"S."},{"family":"Cancrini","given":"C."},{"family":"Finocchi","given":"a."},{"family":"Stabile","given":"a."},{"family":"Duse","given":"M."},{"family":"Iacobini","given":"M."},{"family":"Quinti","given":"I."},{"family":"Moschese","given":"V."},{"family":"Cecere","given":"F."},{"family":"Morgese","given":"G."},{"family":"Acquaviva","given":"a."},{"family":"De Zan","given":"G."},{"family":"Strafella","given":"S."},{"family":"Tamaro","given":"P."},{"family":"Rabusin","given":"M."},{"family":"Tovo","given":"P.","dropping-particle":"a."},{"family":"Martino","given":"S."},{"family":"Nespoli","given":"L."},{"family":"Marinoni","given":"M."},{"family":"Porcellini","given":"a."},{"family":"Cazzola","given":"G.","dropping-particle":"a."}],"issued":{"date-parts":[["2009"]]}}},{"id":505,"uris":["http://zotero.org/users/12098505/items/VTLFI9VQ"],"itemData":{"id":505,"type":"article-journal","container-title":"Journal of Clinical Immunology","DOI":"10.1007/s10875-014-0072-x","issue":"7","page":"844-852","title":"Quality of Life in Children with Primary Antibody Deficiency","volume":"34","author":[{"family":"Titman","given":"P."},{"family":"Allwood","given":"Z."},{"family":"Gilmour","given":"C."},{"family":"Malcolmson","given":"C."},{"family":"Duran-Persson","given":"C."},{"family":"Cale","given":"C."},{"family":"Davies","given":"G."},{"family":"Gaspar","given":"H."},{"family":"Jones","given":"a."}],"issued":{"date-parts":[["2014"]]}}}],"schema":"https://github.com/citation-style-language/schema/raw/master/csl-citation.json"} </w:instrText>
      </w:r>
      <w:r>
        <w:fldChar w:fldCharType="separate"/>
      </w:r>
      <w:r w:rsidR="006666AC" w:rsidRPr="006666AC">
        <w:rPr>
          <w:rFonts w:cs="Times New Roman"/>
        </w:rPr>
        <w:t>(23,24)</w:t>
      </w:r>
      <w:r>
        <w:fldChar w:fldCharType="end"/>
      </w:r>
      <w:r>
        <w:t xml:space="preserve">.  Like other IEI, XLA is an extremely rare disorder, with a UK prevalence of 2.9 cases per 1 million population </w:t>
      </w:r>
      <w:r>
        <w:fldChar w:fldCharType="begin"/>
      </w:r>
      <w:r w:rsidR="00D106AB">
        <w:instrText xml:space="preserve"> ADDIN ZOTERO_ITEM CSL_CITATION {"citationID":"TgmBe7AY","properties":{"formattedCitation":"(25)","plainCitation":"(25)","noteIndex":0},"citationItems":[{"id":579,"uris":["http://zotero.org/users/12098505/items/JBPNG5G4"],"itemData":{"id":579,"type":"article-journal","abstract":"This is the second report of the United Kingdom Primary Immunodeficiency (UKPID) registry. The registry will be a decade old in 2018 and, as of August 2017, had recruited 4758 patients encompassing 97% of immunology centres within the United Kingdom. This represents a doubling of recruitment into the registry since we reported on 2229 patients included in our first report of 2013. Minimum PID prevalence in the United Kingdom is currently 5·90/100 000 and an average incidence of PID between 1980 and 2000 of 7·6 cases per 100 000 UK live births. Data are presented on the frequency of diseases recorded, disease prevalence, diagnostic delay and treatment modality, including haematopoietic stem cell transplantation (HSCT) and gene therapy. The registry provides valuable information to clinicians, researchers, service commissioners and industry alike on PID within the United Kingdom, which may not otherwise be available without the existence of a well-established registry.","container-title":"Clinical and Experimental Immunology","DOI":"10.1111/cei.13125","ISSN":"1365-2249","issue":"3","journalAbbreviation":"Clin Exp Immunol","language":"eng","page":"284-291","PMID":"29878323","PMCID":"PMC5980391","source":"PubMed","title":"The United Kingdom Primary Immune Deficiency (UKPID) registry 2012 to 2017","volume":"192","author":[{"family":"Shillitoe","given":"B."},{"family":"Bangs","given":"C."},{"family":"Guzman","given":"D."},{"family":"Gennery","given":"A. R."},{"family":"Longhurst","given":"H. J."},{"family":"Slatter","given":"M."},{"family":"Edgar","given":"D. M."},{"family":"Thomas","given":"M."},{"family":"Worth","given":"A."},{"family":"Huissoon","given":"A."},{"family":"Arkwright","given":"P. D."},{"family":"Jolles","given":"S."},{"family":"Bourne","given":"H."},{"family":"Alachkar","given":"H."},{"family":"Savic","given":"S."},{"family":"Kumararatne","given":"D. S."},{"family":"Patel","given":"S."},{"family":"Baxendale","given":"H."},{"family":"Noorani","given":"S."},{"family":"Yong","given":"P. F. K."},{"family":"Waruiru","given":"C."},{"family":"Pavaladurai","given":"V."},{"family":"Kelleher","given":"P."},{"family":"Herriot","given":"R."},{"family":"Bernatonienne","given":"J."},{"family":"Bhole","given":"M."},{"family":"Steele","given":"C."},{"family":"Hayman","given":"G."},{"family":"Richter","given":"A."},{"family":"Gompels","given":"M."},{"family":"Chopra","given":"C."},{"family":"Garcez","given":"T."},{"family":"Buckland","given":"M."}],"issued":{"date-parts":[["2018",6]]}}}],"schema":"https://github.com/citation-style-language/schema/raw/master/csl-citation.json"} </w:instrText>
      </w:r>
      <w:r>
        <w:fldChar w:fldCharType="separate"/>
      </w:r>
      <w:r w:rsidR="006666AC" w:rsidRPr="006666AC">
        <w:rPr>
          <w:rFonts w:cs="Times New Roman"/>
        </w:rPr>
        <w:t>(25)</w:t>
      </w:r>
      <w:r>
        <w:fldChar w:fldCharType="end"/>
      </w:r>
      <w:r>
        <w:t xml:space="preserve">.  </w:t>
      </w:r>
      <w:r w:rsidR="00D123BF">
        <w:t xml:space="preserve">Existing </w:t>
      </w:r>
      <w:r>
        <w:t>studies are limited by small sample sizes and limited information to correlate HRQoL with clinical outcomes.</w:t>
      </w:r>
    </w:p>
    <w:p w14:paraId="201353C4" w14:textId="77777777" w:rsidR="00ED572F" w:rsidRDefault="00ED572F" w:rsidP="00ED572F">
      <w:r w:rsidRPr="00367D62">
        <w:t xml:space="preserve">This study aimed to describe the </w:t>
      </w:r>
      <w:r>
        <w:t>HRQoL</w:t>
      </w:r>
      <w:r w:rsidRPr="00367D62">
        <w:t xml:space="preserve"> of XLA patients in the United Kingdom (UK), </w:t>
      </w:r>
      <w:r>
        <w:t>and correlate this with clinical outcomes to help identify potential areas of improvement or development in the care of XLA patients.</w:t>
      </w:r>
    </w:p>
    <w:p w14:paraId="6192D8FB" w14:textId="77777777" w:rsidR="00ED572F" w:rsidRPr="00730B61" w:rsidRDefault="00ED572F" w:rsidP="00ED572F">
      <w:pPr>
        <w:pStyle w:val="Heading2"/>
        <w:ind w:left="576" w:hanging="576"/>
      </w:pPr>
      <w:r w:rsidRPr="00730B61">
        <w:lastRenderedPageBreak/>
        <w:t>Results</w:t>
      </w:r>
    </w:p>
    <w:p w14:paraId="599AFA30" w14:textId="4A5D7D4D" w:rsidR="00ED572F" w:rsidRPr="00730B61" w:rsidRDefault="00ED572F" w:rsidP="00ED572F">
      <w:r w:rsidRPr="00730B61">
        <w:t>Selected clinical and demographic data taken from our study assessing clinic outcomes  are shown in Table 1</w:t>
      </w:r>
      <w:r w:rsidR="00B17661">
        <w:t xml:space="preserve"> </w:t>
      </w:r>
      <w:r w:rsidR="00B17661">
        <w:fldChar w:fldCharType="begin"/>
      </w:r>
      <w:r w:rsidR="00D106AB">
        <w:instrText xml:space="preserve"> ADDIN ZOTERO_ITEM CSL_CITATION {"citationID":"XwGh9Jba","properties":{"formattedCitation":"(26)","plainCitation":"(26)","noteIndex":0},"citationItems":[{"id":508,"uris":["http://zotero.org/users/12098505/items/ZQ378IKU"],"itemData":{"id":508,"type":"article-journal","abstract":"BACKGROUND: X-linked agammaglobulinaemia (XLA), caused by mutations in BTK, is characterised by low or absent peripheral CD19 + B lymphocytes and agammaglobulinaemia. The mainstay of treatment consists of immunoglobulin replacement therapy (IgRT). As this cannot fully compensate for the immune defects in XLA, patients may therefore continue to be at risk of complications.\nOBJECTIVES: To describe the clinical outcomes of XLA patients in the United Kingdom and Hong Kong and evaluate current treatment strategies.\nMETHODS: Patients with a definitive diagnosis of XLA were included in this cross-sectional and retrospective analysis of clinical health outcomes. Data pertaining to diagnosis, infection incidence, IgG trough levels and lung function were collected and analysed.\nRESULTS: 99 patients with a median age of 29.02 years (IQR 12.83-37.41) and a total follow up of 1922 patient years, were included this study. The median age at diagnosis was 3.30 years (IQR 1.04-8.38) which decreased over time (p = 0.004). 40% of the cohort had radiological evidence of bronchiectasis. Risk of bronchiectasis was not significantly associated with clinical infection incidence (p = 0.880) or IgG trough levels (p = 0.407). Two patients demonstrated novel complications, namely persistent norovirus infection, leading to haemopoietic stem cell transplantation (HSCT).\nCONCLUSIONS: Despite modern therapy, most XLA patients continue to experience complications, most notably bronchiectasis, likely due to absence of IgA/M in current therapies, but lack of B lymphocytes may also lead to additional sequalae. These data strongly support the need for further research, particularly that of curative modalities including HSCT and gene therapy.","container-title":"Journal of Clinical Immunology","DOI":"10.1007/s10875-024-01829-z","ISSN":"1573-2592","issue":"1","journalAbbreviation":"J Clin Immunol","language":"eng","page":"40","PMID":"39541002","source":"PubMed","title":"Outcomes of X-Linked Agammaglobulinaemia Patients","volume":"45","author":[{"family":"Shillitoe","given":"Ben"},{"family":"Duque","given":"Jaime S. Rosa"},{"family":"Lai","given":"Sophie H. Y."},{"family":"Lau","given":"Tsun Ming"},{"family":"Chan","given":"Jeffery C. H."},{"family":"Bourne","given":"Helen"},{"family":"Stroud","given":"Catherine"},{"family":"Flood","given":"Terry"},{"family":"Buckland","given":"Matthew"},{"family":"Ip","given":"Winnie"},{"family":"Worth","given":"Austen"},{"family":"Hackett","given":"Scott"},{"family":"Herwadkar","given":"Archana"},{"family":"Coulter","given":"Tanya"},{"family":"Blaney","given":"Catherine"},{"family":"Jolles","given":"Stephen"},{"family":"Garcez","given":"Tomaz"},{"family":"Moya","given":"Eduardo"},{"family":"Faust","given":"Saul"},{"family":"Pearce","given":"Mark S."},{"family":"Lau","given":"Yu Lung"},{"family":"Gennery","given":"Andrew R."}],"issued":{"date-parts":[["2024",11,14]]}}}],"schema":"https://github.com/citation-style-language/schema/raw/master/csl-citation.json"} </w:instrText>
      </w:r>
      <w:r w:rsidR="00B17661">
        <w:fldChar w:fldCharType="separate"/>
      </w:r>
      <w:r w:rsidR="00D106AB" w:rsidRPr="00D106AB">
        <w:rPr>
          <w:rFonts w:cs="Times New Roman"/>
        </w:rPr>
        <w:t>(26)</w:t>
      </w:r>
      <w:r w:rsidR="00B17661">
        <w:fldChar w:fldCharType="end"/>
      </w:r>
      <w:r w:rsidRPr="00730B61">
        <w:t>.</w:t>
      </w:r>
      <w:r w:rsidR="00B93B75">
        <w:t xml:space="preserve">  </w:t>
      </w:r>
      <w:r w:rsidR="00D029BE" w:rsidRPr="00D029BE">
        <w:t>Of these</w:t>
      </w:r>
      <w:r w:rsidR="00D029BE">
        <w:t xml:space="preserve"> 76 eligible patients</w:t>
      </w:r>
      <w:r w:rsidR="00D029BE" w:rsidRPr="00D029BE">
        <w:t>, 6</w:t>
      </w:r>
      <w:r w:rsidR="000452B9">
        <w:t>7</w:t>
      </w:r>
      <w:r w:rsidR="00D029BE" w:rsidRPr="00D029BE">
        <w:t xml:space="preserve"> patients completed the HRQoL assessments, representing an overall return rate of 8</w:t>
      </w:r>
      <w:r w:rsidR="000452B9">
        <w:t>8</w:t>
      </w:r>
      <w:r w:rsidR="00D029BE" w:rsidRPr="00D029BE">
        <w:t>% (Table 1). The return rate was high among adults, with 4</w:t>
      </w:r>
      <w:r w:rsidR="000452B9">
        <w:t>4</w:t>
      </w:r>
      <w:r w:rsidR="00D029BE" w:rsidRPr="00D029BE">
        <w:t xml:space="preserve"> of 4</w:t>
      </w:r>
      <w:r w:rsidR="0019115C">
        <w:t>8</w:t>
      </w:r>
      <w:r w:rsidR="00D029BE" w:rsidRPr="00D029BE">
        <w:t xml:space="preserve"> eligible patients participating (9</w:t>
      </w:r>
      <w:r w:rsidR="0044741B">
        <w:t>2</w:t>
      </w:r>
      <w:r w:rsidR="00D029BE" w:rsidRPr="00D029BE">
        <w:t xml:space="preserve">%), while 23 of </w:t>
      </w:r>
      <w:r w:rsidR="00E82BBB">
        <w:t>2</w:t>
      </w:r>
      <w:r w:rsidR="00F05D98">
        <w:t>8</w:t>
      </w:r>
      <w:r w:rsidR="00D029BE" w:rsidRPr="00D029BE">
        <w:t xml:space="preserve"> eligible paediatric patients participated (</w:t>
      </w:r>
      <w:r w:rsidR="00E82BBB">
        <w:t>8</w:t>
      </w:r>
      <w:r w:rsidR="005936CA">
        <w:t>2</w:t>
      </w:r>
      <w:r w:rsidR="00D029BE" w:rsidRPr="00D029BE">
        <w:t>%). While the majority of participants completed all survey domains, the specific number of respondents (n) for each clinical measure and QoL instrument is reported in the corresponding tables to ensure transparency regarding data attainment</w:t>
      </w:r>
      <w:r w:rsidR="00D029BE">
        <w:t>.</w:t>
      </w:r>
      <w:r w:rsidRPr="00730B61">
        <w:t xml:space="preserve">  </w:t>
      </w:r>
      <w:r w:rsidR="00AF6C0F">
        <w:t xml:space="preserve">Four </w:t>
      </w:r>
      <w:r>
        <w:t>percent</w:t>
      </w:r>
      <w:r w:rsidRPr="00730B61">
        <w:t xml:space="preserve"> of the paediatric cohort have evidence of bronchiectasis on their latest HRCT, with 6</w:t>
      </w:r>
      <w:r w:rsidR="000B4653">
        <w:t>4</w:t>
      </w:r>
      <w:r w:rsidRPr="00730B61">
        <w:t>% of the adult cohort showing evidence of bronchiectasis.</w:t>
      </w:r>
    </w:p>
    <w:p w14:paraId="297CD795" w14:textId="34270B05" w:rsidR="00ED572F" w:rsidRPr="00730B61" w:rsidRDefault="00ED572F" w:rsidP="008C2E5D">
      <w:pPr>
        <w:pStyle w:val="Caption"/>
      </w:pPr>
      <w:r w:rsidRPr="00730B61">
        <w:t xml:space="preserve">Table </w:t>
      </w:r>
      <w:fldSimple w:instr=" SEQ Table \* ARABIC ">
        <w:r>
          <w:rPr>
            <w:noProof/>
          </w:rPr>
          <w:t>1</w:t>
        </w:r>
      </w:fldSimple>
      <w:r w:rsidRPr="00730B61">
        <w:t xml:space="preserve"> Demographic data for the cohort.</w:t>
      </w:r>
      <w:r w:rsidR="003B6026">
        <w:t xml:space="preserve">  </w:t>
      </w:r>
      <w:r w:rsidR="003B6026" w:rsidRPr="00730B61">
        <w:t>Data are shown as median (IQR - Interquartile range).  The denominator is shown where not all data available.  FEV - Forced expiratory volum</w:t>
      </w:r>
      <w:r w:rsidR="008C2E5D">
        <w:t>e</w:t>
      </w:r>
      <w:r w:rsidRPr="00730B61">
        <w:t xml:space="preserve"> </w:t>
      </w:r>
    </w:p>
    <w:tbl>
      <w:tblPr>
        <w:tblStyle w:val="TableGrid"/>
        <w:tblW w:w="0" w:type="auto"/>
        <w:tblLook w:val="04A0" w:firstRow="1" w:lastRow="0" w:firstColumn="1" w:lastColumn="0" w:noHBand="0" w:noVBand="1"/>
      </w:tblPr>
      <w:tblGrid>
        <w:gridCol w:w="4508"/>
        <w:gridCol w:w="4508"/>
      </w:tblGrid>
      <w:tr w:rsidR="00ED572F" w:rsidRPr="00730B61" w14:paraId="564D44EE" w14:textId="77777777" w:rsidTr="00B41D06">
        <w:tc>
          <w:tcPr>
            <w:tcW w:w="9016" w:type="dxa"/>
            <w:gridSpan w:val="2"/>
          </w:tcPr>
          <w:p w14:paraId="3567484B" w14:textId="77777777" w:rsidR="00ED572F" w:rsidRPr="00730B61" w:rsidRDefault="00ED572F" w:rsidP="00B41D06">
            <w:pPr>
              <w:rPr>
                <w:b/>
                <w:bCs/>
              </w:rPr>
            </w:pPr>
            <w:r w:rsidRPr="00730B61">
              <w:rPr>
                <w:b/>
                <w:bCs/>
              </w:rPr>
              <w:t>Paediatric cohort</w:t>
            </w:r>
          </w:p>
        </w:tc>
      </w:tr>
      <w:tr w:rsidR="00ED572F" w:rsidRPr="00730B61" w14:paraId="675B16EB" w14:textId="77777777" w:rsidTr="00B41D06">
        <w:tc>
          <w:tcPr>
            <w:tcW w:w="4508" w:type="dxa"/>
          </w:tcPr>
          <w:p w14:paraId="6D5A3693" w14:textId="77777777" w:rsidR="00ED572F" w:rsidRPr="00730B61" w:rsidRDefault="00ED572F" w:rsidP="00B41D06">
            <w:r w:rsidRPr="00730B61">
              <w:t>Cohort size</w:t>
            </w:r>
          </w:p>
        </w:tc>
        <w:tc>
          <w:tcPr>
            <w:tcW w:w="4508" w:type="dxa"/>
          </w:tcPr>
          <w:p w14:paraId="38EC969F" w14:textId="2FD9F6AF" w:rsidR="00ED572F" w:rsidRPr="00730B61" w:rsidRDefault="00ED572F" w:rsidP="00B41D06">
            <w:r w:rsidRPr="00730B61">
              <w:t>23</w:t>
            </w:r>
            <w:r w:rsidR="00BF62D4">
              <w:t xml:space="preserve"> (</w:t>
            </w:r>
            <w:r w:rsidR="000963C3">
              <w:t>8</w:t>
            </w:r>
            <w:r w:rsidR="005936CA">
              <w:t>2</w:t>
            </w:r>
            <w:r w:rsidR="00BF62D4">
              <w:t>% response rate)</w:t>
            </w:r>
          </w:p>
        </w:tc>
      </w:tr>
      <w:tr w:rsidR="00ED572F" w:rsidRPr="00730B61" w14:paraId="2EACEDA5" w14:textId="77777777" w:rsidTr="00B41D06">
        <w:tc>
          <w:tcPr>
            <w:tcW w:w="4508" w:type="dxa"/>
          </w:tcPr>
          <w:p w14:paraId="2C8B2850" w14:textId="77777777" w:rsidR="00ED572F" w:rsidRPr="00730B61" w:rsidRDefault="00ED572F" w:rsidP="00B41D06">
            <w:r w:rsidRPr="00730B61">
              <w:t>Age (years)</w:t>
            </w:r>
          </w:p>
        </w:tc>
        <w:tc>
          <w:tcPr>
            <w:tcW w:w="4508" w:type="dxa"/>
          </w:tcPr>
          <w:p w14:paraId="719650F6" w14:textId="77777777" w:rsidR="00ED572F" w:rsidRPr="00730B61" w:rsidRDefault="00ED572F" w:rsidP="00B41D06">
            <w:r w:rsidRPr="00730B61">
              <w:t>7.81 (3.90, 12.49)</w:t>
            </w:r>
          </w:p>
        </w:tc>
      </w:tr>
      <w:tr w:rsidR="00ED572F" w:rsidRPr="00730B61" w14:paraId="03CA3FA9" w14:textId="77777777" w:rsidTr="00B41D06">
        <w:tc>
          <w:tcPr>
            <w:tcW w:w="4508" w:type="dxa"/>
          </w:tcPr>
          <w:p w14:paraId="3B25AB95" w14:textId="685548ED" w:rsidR="00ED572F" w:rsidRPr="00730B61" w:rsidRDefault="00ED572F" w:rsidP="00B41D06">
            <w:r w:rsidRPr="00730B61">
              <w:t>Age at diagnosis</w:t>
            </w:r>
            <w:r w:rsidR="00E130E1">
              <w:t xml:space="preserve"> (years)</w:t>
            </w:r>
            <w:r w:rsidRPr="00730B61">
              <w:t xml:space="preserve"> (n = 20)</w:t>
            </w:r>
          </w:p>
        </w:tc>
        <w:tc>
          <w:tcPr>
            <w:tcW w:w="4508" w:type="dxa"/>
          </w:tcPr>
          <w:p w14:paraId="2F344866" w14:textId="77777777" w:rsidR="00ED572F" w:rsidRPr="00730B61" w:rsidRDefault="00ED572F" w:rsidP="00B41D06">
            <w:r w:rsidRPr="00730B61">
              <w:t>1.19 (0.80, 2.93)</w:t>
            </w:r>
          </w:p>
        </w:tc>
      </w:tr>
      <w:tr w:rsidR="001A1DAE" w:rsidRPr="00730B61" w14:paraId="501059B7" w14:textId="77777777" w:rsidTr="00B41D06">
        <w:tc>
          <w:tcPr>
            <w:tcW w:w="4508" w:type="dxa"/>
          </w:tcPr>
          <w:p w14:paraId="26532598" w14:textId="69271FA8" w:rsidR="001A1DAE" w:rsidRPr="00730B61" w:rsidRDefault="001A1DAE" w:rsidP="00B41D06">
            <w:r>
              <w:t>Screened due to family history</w:t>
            </w:r>
          </w:p>
        </w:tc>
        <w:tc>
          <w:tcPr>
            <w:tcW w:w="4508" w:type="dxa"/>
          </w:tcPr>
          <w:p w14:paraId="5ED5EDCA" w14:textId="66090F91" w:rsidR="001A1DAE" w:rsidRPr="00730B61" w:rsidRDefault="002317C8" w:rsidP="00B41D06">
            <w:r>
              <w:t>6</w:t>
            </w:r>
            <w:r w:rsidR="00DC13A5">
              <w:t xml:space="preserve"> </w:t>
            </w:r>
            <w:r w:rsidR="006D72D2">
              <w:t>(</w:t>
            </w:r>
            <w:r>
              <w:t>21</w:t>
            </w:r>
            <w:r w:rsidR="006D72D2">
              <w:t>%)</w:t>
            </w:r>
          </w:p>
        </w:tc>
      </w:tr>
      <w:tr w:rsidR="001C55A1" w:rsidRPr="00730B61" w14:paraId="7BAB9BA8" w14:textId="77777777" w:rsidTr="00B41D06">
        <w:tc>
          <w:tcPr>
            <w:tcW w:w="4508" w:type="dxa"/>
          </w:tcPr>
          <w:p w14:paraId="00F8D844" w14:textId="77777777" w:rsidR="001C55A1" w:rsidRPr="00730B61" w:rsidRDefault="001C55A1" w:rsidP="00B41D06">
            <w:r>
              <w:t>Home IgRT</w:t>
            </w:r>
          </w:p>
        </w:tc>
        <w:tc>
          <w:tcPr>
            <w:tcW w:w="4508" w:type="dxa"/>
          </w:tcPr>
          <w:p w14:paraId="658D6013" w14:textId="6D01725B" w:rsidR="001C55A1" w:rsidRPr="00730B61" w:rsidRDefault="00EB2C55" w:rsidP="00B41D06">
            <w:r>
              <w:t>16 (</w:t>
            </w:r>
            <w:r w:rsidR="001C55A1">
              <w:t>70%</w:t>
            </w:r>
            <w:r>
              <w:t>)</w:t>
            </w:r>
          </w:p>
        </w:tc>
      </w:tr>
      <w:tr w:rsidR="001C55A1" w:rsidRPr="00730B61" w14:paraId="137EFC62" w14:textId="77777777" w:rsidTr="00B41D06">
        <w:tc>
          <w:tcPr>
            <w:tcW w:w="4508" w:type="dxa"/>
          </w:tcPr>
          <w:p w14:paraId="47BA1D80" w14:textId="1FE5C31B" w:rsidR="001C55A1" w:rsidRPr="00B34BF7" w:rsidRDefault="00EB2C55" w:rsidP="00B34BF7">
            <w:pPr>
              <w:jc w:val="right"/>
              <w:rPr>
                <w:i/>
                <w:iCs/>
              </w:rPr>
            </w:pPr>
            <w:r w:rsidRPr="00B34BF7">
              <w:rPr>
                <w:i/>
                <w:iCs/>
              </w:rPr>
              <w:t>Home SCIg</w:t>
            </w:r>
          </w:p>
        </w:tc>
        <w:tc>
          <w:tcPr>
            <w:tcW w:w="4508" w:type="dxa"/>
          </w:tcPr>
          <w:p w14:paraId="4A0A983B" w14:textId="40005287" w:rsidR="001C55A1" w:rsidRDefault="00EB2C55" w:rsidP="00B41D06">
            <w:r>
              <w:t>15 (</w:t>
            </w:r>
            <w:r w:rsidR="00517C44">
              <w:t>94%)</w:t>
            </w:r>
          </w:p>
        </w:tc>
      </w:tr>
      <w:tr w:rsidR="00ED572F" w:rsidRPr="00730B61" w14:paraId="7C1604C7" w14:textId="77777777" w:rsidTr="00B41D06">
        <w:tc>
          <w:tcPr>
            <w:tcW w:w="4508" w:type="dxa"/>
          </w:tcPr>
          <w:p w14:paraId="1659DA75" w14:textId="0AAA431E" w:rsidR="00ED572F" w:rsidRPr="00730B61" w:rsidRDefault="009C4768" w:rsidP="00B41D06">
            <w:r>
              <w:t>Bronchiectasis</w:t>
            </w:r>
          </w:p>
        </w:tc>
        <w:tc>
          <w:tcPr>
            <w:tcW w:w="4508" w:type="dxa"/>
          </w:tcPr>
          <w:p w14:paraId="101E7909" w14:textId="40DD96A3" w:rsidR="00ED572F" w:rsidRPr="00730B61" w:rsidRDefault="009C4768" w:rsidP="00B41D06">
            <w:r>
              <w:t>1 (</w:t>
            </w:r>
            <w:r w:rsidR="00C201BA">
              <w:t>4</w:t>
            </w:r>
            <w:r>
              <w:t>%)</w:t>
            </w:r>
          </w:p>
        </w:tc>
      </w:tr>
      <w:tr w:rsidR="005478AC" w:rsidRPr="00730B61" w14:paraId="421E053B" w14:textId="77777777" w:rsidTr="00B41D06">
        <w:tc>
          <w:tcPr>
            <w:tcW w:w="4508" w:type="dxa"/>
          </w:tcPr>
          <w:p w14:paraId="55F928B7" w14:textId="6D08F1DA" w:rsidR="005478AC" w:rsidRPr="00730B61" w:rsidDel="009C4768" w:rsidRDefault="005478AC" w:rsidP="00B41D06">
            <w:r>
              <w:t>Conjunctivitis</w:t>
            </w:r>
          </w:p>
        </w:tc>
        <w:tc>
          <w:tcPr>
            <w:tcW w:w="4508" w:type="dxa"/>
          </w:tcPr>
          <w:p w14:paraId="529BE7F2" w14:textId="4131E8E3" w:rsidR="005478AC" w:rsidDel="009C4768" w:rsidRDefault="0036673C" w:rsidP="00B41D06">
            <w:r>
              <w:t>2</w:t>
            </w:r>
            <w:r w:rsidR="00CC710E">
              <w:t xml:space="preserve"> (</w:t>
            </w:r>
            <w:r>
              <w:t>9</w:t>
            </w:r>
            <w:r w:rsidR="00CC710E">
              <w:t>%)</w:t>
            </w:r>
          </w:p>
        </w:tc>
      </w:tr>
      <w:tr w:rsidR="00CC710E" w:rsidRPr="00730B61" w14:paraId="5DB1B0AB" w14:textId="77777777" w:rsidTr="00B41D06">
        <w:tc>
          <w:tcPr>
            <w:tcW w:w="4508" w:type="dxa"/>
          </w:tcPr>
          <w:p w14:paraId="56B00A01" w14:textId="3BEE6DEE" w:rsidR="00CC710E" w:rsidRDefault="00CC710E" w:rsidP="00B41D06">
            <w:r>
              <w:t>Post infection deafness</w:t>
            </w:r>
          </w:p>
        </w:tc>
        <w:tc>
          <w:tcPr>
            <w:tcW w:w="4508" w:type="dxa"/>
          </w:tcPr>
          <w:p w14:paraId="3A7CB828" w14:textId="47184835" w:rsidR="00CC710E" w:rsidRDefault="00BF7C10" w:rsidP="00B41D06">
            <w:r>
              <w:t>1</w:t>
            </w:r>
            <w:r w:rsidR="00CD0A40">
              <w:t xml:space="preserve"> (</w:t>
            </w:r>
            <w:r>
              <w:t>4</w:t>
            </w:r>
            <w:r w:rsidR="00CD0A40">
              <w:t>%)</w:t>
            </w:r>
          </w:p>
        </w:tc>
      </w:tr>
      <w:tr w:rsidR="00CD0A40" w:rsidRPr="00730B61" w14:paraId="1343B4EF" w14:textId="77777777" w:rsidTr="00B41D06">
        <w:tc>
          <w:tcPr>
            <w:tcW w:w="4508" w:type="dxa"/>
          </w:tcPr>
          <w:p w14:paraId="518D6A79" w14:textId="017BF264" w:rsidR="00CD0A40" w:rsidRDefault="00CD0A40" w:rsidP="00B41D06">
            <w:r>
              <w:t>Infective gastrointestinal complications</w:t>
            </w:r>
          </w:p>
        </w:tc>
        <w:tc>
          <w:tcPr>
            <w:tcW w:w="4508" w:type="dxa"/>
          </w:tcPr>
          <w:p w14:paraId="393A7914" w14:textId="01D76D4D" w:rsidR="00CD0A40" w:rsidRDefault="00CD0A40" w:rsidP="00B41D06">
            <w:r>
              <w:t>1 (4%)</w:t>
            </w:r>
          </w:p>
        </w:tc>
      </w:tr>
      <w:tr w:rsidR="00CD0A40" w:rsidRPr="00730B61" w14:paraId="3066926B" w14:textId="77777777" w:rsidTr="00B41D06">
        <w:tc>
          <w:tcPr>
            <w:tcW w:w="4508" w:type="dxa"/>
          </w:tcPr>
          <w:p w14:paraId="513F3031" w14:textId="697D8B33" w:rsidR="00CD0A40" w:rsidRDefault="00CD0A40" w:rsidP="00B41D06">
            <w:r>
              <w:t>Non-infectious gastrointestinal complications</w:t>
            </w:r>
          </w:p>
        </w:tc>
        <w:tc>
          <w:tcPr>
            <w:tcW w:w="4508" w:type="dxa"/>
          </w:tcPr>
          <w:p w14:paraId="00289847" w14:textId="76FA6132" w:rsidR="00CD0A40" w:rsidRDefault="00CD0A40" w:rsidP="00B41D06">
            <w:r>
              <w:t>1 (4%)</w:t>
            </w:r>
          </w:p>
        </w:tc>
      </w:tr>
      <w:tr w:rsidR="00126BEB" w:rsidRPr="00730B61" w14:paraId="0D02580F" w14:textId="77777777" w:rsidTr="00B41D06">
        <w:tc>
          <w:tcPr>
            <w:tcW w:w="4508" w:type="dxa"/>
          </w:tcPr>
          <w:p w14:paraId="492D98E7" w14:textId="3C32AAA3" w:rsidR="00126BEB" w:rsidRDefault="00126BEB" w:rsidP="00B41D06">
            <w:r>
              <w:t>Mental health disorder</w:t>
            </w:r>
          </w:p>
        </w:tc>
        <w:tc>
          <w:tcPr>
            <w:tcW w:w="4508" w:type="dxa"/>
          </w:tcPr>
          <w:p w14:paraId="754FAF3B" w14:textId="3E32A7E7" w:rsidR="00126BEB" w:rsidRDefault="00BF7C10" w:rsidP="00B41D06">
            <w:r>
              <w:t>1</w:t>
            </w:r>
            <w:r w:rsidR="005D166D">
              <w:t xml:space="preserve"> (</w:t>
            </w:r>
            <w:r>
              <w:t>4</w:t>
            </w:r>
            <w:r w:rsidR="005D166D">
              <w:t>%)</w:t>
            </w:r>
          </w:p>
        </w:tc>
      </w:tr>
      <w:tr w:rsidR="00ED572F" w:rsidRPr="00730B61" w14:paraId="3BEBC773" w14:textId="77777777" w:rsidTr="00B41D06">
        <w:tc>
          <w:tcPr>
            <w:tcW w:w="4508" w:type="dxa"/>
          </w:tcPr>
          <w:p w14:paraId="7A3E25DB" w14:textId="1F9FEB0F" w:rsidR="00ED572F" w:rsidRPr="00730B61" w:rsidRDefault="00ED572F" w:rsidP="00B41D06">
            <w:r w:rsidRPr="00730B61">
              <w:t xml:space="preserve">Median annual </w:t>
            </w:r>
            <w:r w:rsidR="00386205">
              <w:t xml:space="preserve">bacterial </w:t>
            </w:r>
            <w:r w:rsidRPr="00730B61">
              <w:t>infection incidence (n = 20)</w:t>
            </w:r>
          </w:p>
        </w:tc>
        <w:tc>
          <w:tcPr>
            <w:tcW w:w="4508" w:type="dxa"/>
          </w:tcPr>
          <w:p w14:paraId="3D3F2E9B" w14:textId="429F1AD9" w:rsidR="00ED572F" w:rsidRPr="00730B61" w:rsidRDefault="00ED572F" w:rsidP="00B41D06">
            <w:r w:rsidRPr="00730B61">
              <w:t>1.20 (0.80, 1.88)</w:t>
            </w:r>
          </w:p>
        </w:tc>
      </w:tr>
      <w:tr w:rsidR="00ED572F" w:rsidRPr="00730B61" w14:paraId="264C970B" w14:textId="77777777" w:rsidTr="00B41D06">
        <w:tc>
          <w:tcPr>
            <w:tcW w:w="4508" w:type="dxa"/>
          </w:tcPr>
          <w:p w14:paraId="5F4F6A21" w14:textId="77777777" w:rsidR="00ED572F" w:rsidRPr="00730B61" w:rsidRDefault="00ED572F" w:rsidP="00B41D06">
            <w:r w:rsidRPr="00730B61">
              <w:t>Last recorded FEV1 Z-score (n = 10)</w:t>
            </w:r>
          </w:p>
        </w:tc>
        <w:tc>
          <w:tcPr>
            <w:tcW w:w="4508" w:type="dxa"/>
          </w:tcPr>
          <w:p w14:paraId="04A76EA6" w14:textId="0BF6DE46" w:rsidR="00ED572F" w:rsidRPr="00730B61" w:rsidRDefault="00ED572F" w:rsidP="00B41D06">
            <w:r w:rsidRPr="00730B61">
              <w:t>0.21 (-1.02, 0.60)</w:t>
            </w:r>
          </w:p>
        </w:tc>
      </w:tr>
      <w:tr w:rsidR="00ED572F" w:rsidRPr="00730B61" w14:paraId="5C8C998D" w14:textId="77777777" w:rsidTr="00B41D06">
        <w:tc>
          <w:tcPr>
            <w:tcW w:w="9016" w:type="dxa"/>
            <w:gridSpan w:val="2"/>
          </w:tcPr>
          <w:p w14:paraId="634B5870" w14:textId="77777777" w:rsidR="00ED572F" w:rsidRPr="00730B61" w:rsidRDefault="00ED572F" w:rsidP="00B41D06">
            <w:pPr>
              <w:rPr>
                <w:b/>
                <w:bCs/>
              </w:rPr>
            </w:pPr>
            <w:r w:rsidRPr="00730B61">
              <w:rPr>
                <w:b/>
                <w:bCs/>
              </w:rPr>
              <w:t>Adult cohort</w:t>
            </w:r>
          </w:p>
        </w:tc>
      </w:tr>
      <w:tr w:rsidR="00ED572F" w:rsidRPr="00730B61" w14:paraId="040AA59B" w14:textId="77777777" w:rsidTr="00B41D06">
        <w:tc>
          <w:tcPr>
            <w:tcW w:w="4508" w:type="dxa"/>
          </w:tcPr>
          <w:p w14:paraId="18EBA066" w14:textId="77777777" w:rsidR="00ED572F" w:rsidRPr="00730B61" w:rsidRDefault="00ED572F" w:rsidP="00B41D06">
            <w:r w:rsidRPr="00730B61">
              <w:t>Cohort size</w:t>
            </w:r>
          </w:p>
        </w:tc>
        <w:tc>
          <w:tcPr>
            <w:tcW w:w="4508" w:type="dxa"/>
          </w:tcPr>
          <w:p w14:paraId="22752B4B" w14:textId="02A3F1E1" w:rsidR="00ED572F" w:rsidRPr="00730B61" w:rsidRDefault="00ED572F" w:rsidP="00B41D06">
            <w:r w:rsidRPr="00730B61">
              <w:t>4</w:t>
            </w:r>
            <w:r w:rsidR="00287F8C">
              <w:t>4</w:t>
            </w:r>
            <w:r w:rsidR="00BF62D4">
              <w:t xml:space="preserve"> (9</w:t>
            </w:r>
            <w:r w:rsidR="006B53E4">
              <w:t>2</w:t>
            </w:r>
            <w:r w:rsidR="00BF62D4">
              <w:t>% response rate)</w:t>
            </w:r>
          </w:p>
        </w:tc>
      </w:tr>
      <w:tr w:rsidR="00ED572F" w:rsidRPr="00730B61" w14:paraId="0F310D6D" w14:textId="77777777" w:rsidTr="00B41D06">
        <w:tc>
          <w:tcPr>
            <w:tcW w:w="4508" w:type="dxa"/>
          </w:tcPr>
          <w:p w14:paraId="277FD81E" w14:textId="5AFBCEF1" w:rsidR="00ED572F" w:rsidRPr="00730B61" w:rsidRDefault="00ED572F" w:rsidP="00B41D06">
            <w:r w:rsidRPr="00730B61">
              <w:t xml:space="preserve">Age </w:t>
            </w:r>
            <w:r w:rsidR="00E130E1">
              <w:t>(years)</w:t>
            </w:r>
          </w:p>
        </w:tc>
        <w:tc>
          <w:tcPr>
            <w:tcW w:w="4508" w:type="dxa"/>
          </w:tcPr>
          <w:p w14:paraId="6E92C233" w14:textId="77777777" w:rsidR="00ED572F" w:rsidRPr="00730B61" w:rsidRDefault="00ED572F" w:rsidP="00B41D06">
            <w:r w:rsidRPr="00730B61">
              <w:t>36.22 (29.15, 48.76)</w:t>
            </w:r>
          </w:p>
        </w:tc>
      </w:tr>
      <w:tr w:rsidR="00ED572F" w:rsidRPr="00730B61" w14:paraId="20698E6A" w14:textId="77777777" w:rsidTr="00B41D06">
        <w:tc>
          <w:tcPr>
            <w:tcW w:w="4508" w:type="dxa"/>
          </w:tcPr>
          <w:p w14:paraId="67DCBB7A" w14:textId="77AE455D" w:rsidR="00ED572F" w:rsidRPr="00730B61" w:rsidRDefault="00ED572F" w:rsidP="00B41D06">
            <w:r w:rsidRPr="00730B61">
              <w:t>Age at diagnosis</w:t>
            </w:r>
            <w:r w:rsidR="00E130E1">
              <w:t xml:space="preserve"> (years)</w:t>
            </w:r>
            <w:r w:rsidRPr="00730B61">
              <w:t xml:space="preserve"> (n = 39)</w:t>
            </w:r>
          </w:p>
        </w:tc>
        <w:tc>
          <w:tcPr>
            <w:tcW w:w="4508" w:type="dxa"/>
          </w:tcPr>
          <w:p w14:paraId="1A112FF5" w14:textId="1BC6703E" w:rsidR="00ED572F" w:rsidRPr="00730B61" w:rsidRDefault="00ED572F" w:rsidP="00B41D06">
            <w:r w:rsidRPr="00730B61">
              <w:t>3.37 (1.16, 10.79)</w:t>
            </w:r>
          </w:p>
        </w:tc>
      </w:tr>
      <w:tr w:rsidR="006D72D2" w:rsidRPr="00730B61" w14:paraId="65068F34" w14:textId="77777777" w:rsidTr="00B41D06">
        <w:tc>
          <w:tcPr>
            <w:tcW w:w="4508" w:type="dxa"/>
          </w:tcPr>
          <w:p w14:paraId="2916BBF5" w14:textId="250D6D1E" w:rsidR="006D72D2" w:rsidRPr="00730B61" w:rsidRDefault="006D72D2" w:rsidP="00B41D06">
            <w:r>
              <w:t>Screened due to family history</w:t>
            </w:r>
          </w:p>
        </w:tc>
        <w:tc>
          <w:tcPr>
            <w:tcW w:w="4508" w:type="dxa"/>
          </w:tcPr>
          <w:p w14:paraId="68356F95" w14:textId="7177E94B" w:rsidR="006D72D2" w:rsidRPr="00730B61" w:rsidRDefault="006D72D2" w:rsidP="00B41D06">
            <w:r>
              <w:t>12 (2</w:t>
            </w:r>
            <w:r w:rsidR="002317C8">
              <w:t>5</w:t>
            </w:r>
            <w:r>
              <w:t>%)</w:t>
            </w:r>
          </w:p>
        </w:tc>
      </w:tr>
      <w:tr w:rsidR="004D3289" w:rsidRPr="00730B61" w14:paraId="7C0494D3" w14:textId="77777777" w:rsidTr="00B41D06">
        <w:tc>
          <w:tcPr>
            <w:tcW w:w="4508" w:type="dxa"/>
          </w:tcPr>
          <w:p w14:paraId="0C894C22" w14:textId="77777777" w:rsidR="004D3289" w:rsidRPr="00730B61" w:rsidRDefault="004D3289" w:rsidP="00B41D06">
            <w:r>
              <w:t>Home IgRT</w:t>
            </w:r>
          </w:p>
        </w:tc>
        <w:tc>
          <w:tcPr>
            <w:tcW w:w="4508" w:type="dxa"/>
          </w:tcPr>
          <w:p w14:paraId="0A3A5CBE" w14:textId="6682E362" w:rsidR="004D3289" w:rsidRPr="00730B61" w:rsidRDefault="00382EA7" w:rsidP="00B41D06">
            <w:r>
              <w:t>31 (</w:t>
            </w:r>
            <w:r w:rsidR="004D3289">
              <w:t>7</w:t>
            </w:r>
            <w:r w:rsidR="000B5132">
              <w:t>4</w:t>
            </w:r>
            <w:r w:rsidR="004D3289">
              <w:t>%</w:t>
            </w:r>
            <w:r>
              <w:t>)</w:t>
            </w:r>
          </w:p>
        </w:tc>
      </w:tr>
      <w:tr w:rsidR="004D3289" w:rsidRPr="00730B61" w14:paraId="2481A668" w14:textId="77777777" w:rsidTr="00B41D06">
        <w:tc>
          <w:tcPr>
            <w:tcW w:w="4508" w:type="dxa"/>
          </w:tcPr>
          <w:p w14:paraId="028FA707" w14:textId="44E6E88B" w:rsidR="004D3289" w:rsidRPr="00B34BF7" w:rsidRDefault="00436708" w:rsidP="00B34BF7">
            <w:pPr>
              <w:jc w:val="right"/>
              <w:rPr>
                <w:i/>
                <w:iCs/>
              </w:rPr>
            </w:pPr>
            <w:r>
              <w:rPr>
                <w:i/>
                <w:iCs/>
              </w:rPr>
              <w:lastRenderedPageBreak/>
              <w:t>Home SCIg</w:t>
            </w:r>
          </w:p>
        </w:tc>
        <w:tc>
          <w:tcPr>
            <w:tcW w:w="4508" w:type="dxa"/>
          </w:tcPr>
          <w:p w14:paraId="5C0770DD" w14:textId="01957294" w:rsidR="004D3289" w:rsidRDefault="00B267A7" w:rsidP="00B41D06">
            <w:r>
              <w:t>14 (</w:t>
            </w:r>
            <w:r w:rsidR="00722BF4">
              <w:t>45</w:t>
            </w:r>
            <w:r>
              <w:t>%)</w:t>
            </w:r>
          </w:p>
        </w:tc>
      </w:tr>
      <w:tr w:rsidR="00ED572F" w:rsidRPr="00730B61" w14:paraId="5C54A54A" w14:textId="77777777" w:rsidTr="00B41D06">
        <w:tc>
          <w:tcPr>
            <w:tcW w:w="4508" w:type="dxa"/>
          </w:tcPr>
          <w:p w14:paraId="694FBC08" w14:textId="74BDAA2E" w:rsidR="00ED572F" w:rsidRPr="00730B61" w:rsidRDefault="009C4768" w:rsidP="00B41D06">
            <w:r>
              <w:t>Bronchiectasis</w:t>
            </w:r>
          </w:p>
        </w:tc>
        <w:tc>
          <w:tcPr>
            <w:tcW w:w="4508" w:type="dxa"/>
          </w:tcPr>
          <w:p w14:paraId="32ED8002" w14:textId="6763F6B8" w:rsidR="00ED572F" w:rsidRPr="00730B61" w:rsidRDefault="00ED572F" w:rsidP="00B41D06">
            <w:r w:rsidRPr="00730B61">
              <w:t>2</w:t>
            </w:r>
            <w:r w:rsidR="005A4524">
              <w:t>8</w:t>
            </w:r>
            <w:r w:rsidRPr="00730B61">
              <w:t xml:space="preserve"> (6</w:t>
            </w:r>
            <w:r w:rsidR="00335DDD">
              <w:t>4</w:t>
            </w:r>
            <w:r w:rsidRPr="00730B61">
              <w:t>%)</w:t>
            </w:r>
          </w:p>
        </w:tc>
      </w:tr>
      <w:tr w:rsidR="00CD0A40" w:rsidRPr="00730B61" w14:paraId="79A2BE53" w14:textId="77777777" w:rsidTr="00B41D06">
        <w:tc>
          <w:tcPr>
            <w:tcW w:w="4508" w:type="dxa"/>
          </w:tcPr>
          <w:p w14:paraId="26386628" w14:textId="4F992DFB" w:rsidR="00CD0A40" w:rsidRPr="00730B61" w:rsidDel="009C4768" w:rsidRDefault="00CD0A40" w:rsidP="00CD0A40">
            <w:r>
              <w:t>Conjunctivitis</w:t>
            </w:r>
          </w:p>
        </w:tc>
        <w:tc>
          <w:tcPr>
            <w:tcW w:w="4508" w:type="dxa"/>
          </w:tcPr>
          <w:p w14:paraId="5CB3D296" w14:textId="1873002D" w:rsidR="00CD0A40" w:rsidRPr="00730B61" w:rsidRDefault="00CD0A40" w:rsidP="00CD0A40">
            <w:r>
              <w:t>7 (1</w:t>
            </w:r>
            <w:r w:rsidR="008C469D">
              <w:t>6</w:t>
            </w:r>
            <w:r>
              <w:t>%)</w:t>
            </w:r>
          </w:p>
        </w:tc>
      </w:tr>
      <w:tr w:rsidR="00CD0A40" w:rsidRPr="00730B61" w14:paraId="5C45F436" w14:textId="77777777" w:rsidTr="00B41D06">
        <w:tc>
          <w:tcPr>
            <w:tcW w:w="4508" w:type="dxa"/>
          </w:tcPr>
          <w:p w14:paraId="73C37B70" w14:textId="213CD6DB" w:rsidR="00CD0A40" w:rsidRPr="00730B61" w:rsidDel="009C4768" w:rsidRDefault="00CD0A40" w:rsidP="00CD0A40">
            <w:r>
              <w:t>Post infection deafness</w:t>
            </w:r>
          </w:p>
        </w:tc>
        <w:tc>
          <w:tcPr>
            <w:tcW w:w="4508" w:type="dxa"/>
          </w:tcPr>
          <w:p w14:paraId="2D6379D7" w14:textId="35B2CE42" w:rsidR="00CD0A40" w:rsidRPr="00730B61" w:rsidRDefault="00126BEB" w:rsidP="00CD0A40">
            <w:r>
              <w:t>3</w:t>
            </w:r>
            <w:r w:rsidR="00CD0A40">
              <w:t xml:space="preserve"> (</w:t>
            </w:r>
            <w:r>
              <w:t>7</w:t>
            </w:r>
            <w:r w:rsidR="00CD0A40">
              <w:t>%)</w:t>
            </w:r>
          </w:p>
        </w:tc>
      </w:tr>
      <w:tr w:rsidR="00CD0A40" w:rsidRPr="00730B61" w14:paraId="4A1973E1" w14:textId="77777777" w:rsidTr="00B41D06">
        <w:tc>
          <w:tcPr>
            <w:tcW w:w="4508" w:type="dxa"/>
          </w:tcPr>
          <w:p w14:paraId="001FF943" w14:textId="6BACA432" w:rsidR="00CD0A40" w:rsidRPr="00730B61" w:rsidDel="009C4768" w:rsidRDefault="00CD0A40" w:rsidP="00CD0A40">
            <w:r>
              <w:t>Infective gastrointestinal complications</w:t>
            </w:r>
          </w:p>
        </w:tc>
        <w:tc>
          <w:tcPr>
            <w:tcW w:w="4508" w:type="dxa"/>
          </w:tcPr>
          <w:p w14:paraId="65AA1CA3" w14:textId="5E2A0DD6" w:rsidR="00CD0A40" w:rsidRPr="00730B61" w:rsidRDefault="00CD0A40" w:rsidP="00CD0A40">
            <w:r>
              <w:t>1 (</w:t>
            </w:r>
            <w:r w:rsidR="008E31D6">
              <w:t>2</w:t>
            </w:r>
            <w:r>
              <w:t>%)</w:t>
            </w:r>
          </w:p>
        </w:tc>
      </w:tr>
      <w:tr w:rsidR="00CD0A40" w:rsidRPr="00730B61" w14:paraId="6F9B52C8" w14:textId="77777777" w:rsidTr="00B41D06">
        <w:tc>
          <w:tcPr>
            <w:tcW w:w="4508" w:type="dxa"/>
          </w:tcPr>
          <w:p w14:paraId="48911D95" w14:textId="53BFA17C" w:rsidR="00CD0A40" w:rsidRPr="00730B61" w:rsidDel="009C4768" w:rsidRDefault="00CD0A40" w:rsidP="00CD0A40">
            <w:r>
              <w:t>Non-infectious gastrointestinal complications</w:t>
            </w:r>
          </w:p>
        </w:tc>
        <w:tc>
          <w:tcPr>
            <w:tcW w:w="4508" w:type="dxa"/>
          </w:tcPr>
          <w:p w14:paraId="0228BB05" w14:textId="2C52A0BD" w:rsidR="00CD0A40" w:rsidRPr="00730B61" w:rsidRDefault="00126BEB" w:rsidP="00CD0A40">
            <w:r>
              <w:t>4</w:t>
            </w:r>
            <w:r w:rsidR="00CD0A40">
              <w:t xml:space="preserve"> (</w:t>
            </w:r>
            <w:r w:rsidR="008E31D6">
              <w:t>9</w:t>
            </w:r>
            <w:r w:rsidR="00CD0A40">
              <w:t>%)</w:t>
            </w:r>
          </w:p>
        </w:tc>
      </w:tr>
      <w:tr w:rsidR="005D166D" w:rsidRPr="00730B61" w14:paraId="5185BCDC" w14:textId="77777777" w:rsidTr="00B41D06">
        <w:tc>
          <w:tcPr>
            <w:tcW w:w="4508" w:type="dxa"/>
          </w:tcPr>
          <w:p w14:paraId="4C1300E8" w14:textId="7D33EE09" w:rsidR="005D166D" w:rsidRDefault="005D166D" w:rsidP="00CD0A40">
            <w:r>
              <w:t>Mental health disorder</w:t>
            </w:r>
          </w:p>
        </w:tc>
        <w:tc>
          <w:tcPr>
            <w:tcW w:w="4508" w:type="dxa"/>
          </w:tcPr>
          <w:p w14:paraId="1016B0B5" w14:textId="2884FD4F" w:rsidR="005D166D" w:rsidRDefault="008C469D" w:rsidP="00CD0A40">
            <w:r>
              <w:t>9</w:t>
            </w:r>
            <w:r w:rsidR="005D166D">
              <w:t xml:space="preserve"> (2</w:t>
            </w:r>
            <w:r>
              <w:t>1</w:t>
            </w:r>
            <w:r w:rsidR="005D166D">
              <w:t>%)</w:t>
            </w:r>
          </w:p>
        </w:tc>
      </w:tr>
      <w:tr w:rsidR="00CD0A40" w:rsidRPr="00730B61" w14:paraId="606159C7" w14:textId="77777777" w:rsidTr="00B41D06">
        <w:tc>
          <w:tcPr>
            <w:tcW w:w="4508" w:type="dxa"/>
          </w:tcPr>
          <w:p w14:paraId="526654CE" w14:textId="5B8C7E29" w:rsidR="00CD0A40" w:rsidRPr="00730B61" w:rsidRDefault="00CD0A40" w:rsidP="00CD0A40">
            <w:r w:rsidRPr="00730B61">
              <w:t xml:space="preserve">Median annual </w:t>
            </w:r>
            <w:r>
              <w:t>bacterial infection</w:t>
            </w:r>
            <w:r w:rsidRPr="00730B61">
              <w:t xml:space="preserve"> incidence</w:t>
            </w:r>
          </w:p>
        </w:tc>
        <w:tc>
          <w:tcPr>
            <w:tcW w:w="4508" w:type="dxa"/>
          </w:tcPr>
          <w:p w14:paraId="3AD033D6" w14:textId="1D4EDB0B" w:rsidR="00CD0A40" w:rsidRPr="00730B61" w:rsidRDefault="00CD0A40" w:rsidP="00CD0A40">
            <w:r w:rsidRPr="00730B61">
              <w:t>0.91 (0.68, 1.50)</w:t>
            </w:r>
          </w:p>
        </w:tc>
      </w:tr>
      <w:tr w:rsidR="00CD0A40" w:rsidRPr="00730B61" w14:paraId="02BC2D66" w14:textId="77777777" w:rsidTr="00B41D06">
        <w:tc>
          <w:tcPr>
            <w:tcW w:w="4508" w:type="dxa"/>
          </w:tcPr>
          <w:p w14:paraId="11BE1A9C" w14:textId="77777777" w:rsidR="00CD0A40" w:rsidRPr="00730B61" w:rsidRDefault="00CD0A40" w:rsidP="00CD0A40">
            <w:r w:rsidRPr="00730B61">
              <w:t>Last recorded FEV</w:t>
            </w:r>
            <w:r w:rsidRPr="00864FA7">
              <w:rPr>
                <w:vertAlign w:val="subscript"/>
              </w:rPr>
              <w:t>1</w:t>
            </w:r>
            <w:r w:rsidRPr="00730B61">
              <w:t xml:space="preserve"> Z-score</w:t>
            </w:r>
          </w:p>
        </w:tc>
        <w:tc>
          <w:tcPr>
            <w:tcW w:w="4508" w:type="dxa"/>
          </w:tcPr>
          <w:p w14:paraId="450F9B0D" w14:textId="77777777" w:rsidR="00CD0A40" w:rsidRPr="00730B61" w:rsidRDefault="00CD0A40" w:rsidP="00CD0A40">
            <w:r w:rsidRPr="00730B61">
              <w:t>-1.23 (-3.00, -0.65)</w:t>
            </w:r>
          </w:p>
        </w:tc>
      </w:tr>
    </w:tbl>
    <w:p w14:paraId="2020B8AE" w14:textId="482FFB7E" w:rsidR="004475C7" w:rsidRDefault="004475C7" w:rsidP="00B34BF7">
      <w:r w:rsidRPr="004475C7">
        <w:t>While respiratory complications predominated, other clinical comorbidities were recorded. In the adult cohort (n</w:t>
      </w:r>
      <w:r w:rsidR="00F0095D">
        <w:t xml:space="preserve"> </w:t>
      </w:r>
      <w:r w:rsidRPr="004475C7">
        <w:t>=</w:t>
      </w:r>
      <w:r w:rsidR="00F0095D">
        <w:t xml:space="preserve"> </w:t>
      </w:r>
      <w:r w:rsidRPr="004475C7">
        <w:t>4</w:t>
      </w:r>
      <w:r w:rsidR="000B4653">
        <w:t>4</w:t>
      </w:r>
      <w:r w:rsidRPr="004475C7">
        <w:t>), these included conjunctivitis (1</w:t>
      </w:r>
      <w:r w:rsidR="000B4653">
        <w:t>6</w:t>
      </w:r>
      <w:r w:rsidRPr="004475C7">
        <w:t>%), mental health disorders (2</w:t>
      </w:r>
      <w:r w:rsidR="000B4653">
        <w:t>1</w:t>
      </w:r>
      <w:r w:rsidRPr="004475C7">
        <w:t>%), and non-infectious gastrointestinal complications (9%)</w:t>
      </w:r>
      <w:r>
        <w:t xml:space="preserve"> (Table 1). </w:t>
      </w:r>
      <w:r w:rsidRPr="004475C7">
        <w:t xml:space="preserve"> Post-infection deafness was present in 7% of adults. Infectious gastrointestinal complications were less frequent, affecting only </w:t>
      </w:r>
      <w:r w:rsidR="003775A3">
        <w:t>2</w:t>
      </w:r>
      <w:r w:rsidRPr="004475C7">
        <w:t>% of the adult cohort. No patients in the study had a diagnosis of nodular regenerative hyperplasia (NRH) or chronic enteroviral meningoencephalitis</w:t>
      </w:r>
      <w:r>
        <w:t>.</w:t>
      </w:r>
    </w:p>
    <w:p w14:paraId="41C5F2EB" w14:textId="2CF07762" w:rsidR="00ED572F" w:rsidRPr="00730B61" w:rsidRDefault="00ED572F" w:rsidP="00ED572F">
      <w:pPr>
        <w:pStyle w:val="Heading2"/>
        <w:ind w:left="576" w:hanging="576"/>
      </w:pPr>
      <w:r w:rsidRPr="00730B61">
        <w:t>Paediatrics</w:t>
      </w:r>
    </w:p>
    <w:p w14:paraId="6204ECAA" w14:textId="634B4199" w:rsidR="00ED572F" w:rsidRPr="00730B61" w:rsidRDefault="00ED572F" w:rsidP="00ED572F">
      <w:pPr>
        <w:pStyle w:val="Heading3"/>
        <w:ind w:left="720" w:hanging="720"/>
      </w:pPr>
      <w:r w:rsidRPr="00730B61">
        <w:t>PedsQ</w:t>
      </w:r>
      <w:r w:rsidR="00513D0D">
        <w:t>L</w:t>
      </w:r>
      <w:r w:rsidRPr="00730B61">
        <w:t xml:space="preserve"> 4.0</w:t>
      </w:r>
    </w:p>
    <w:p w14:paraId="71F8155D" w14:textId="59208397" w:rsidR="00ED572F" w:rsidRPr="00730B61" w:rsidRDefault="00ED572F" w:rsidP="00ED572F">
      <w:r w:rsidRPr="00730B61">
        <w:t>A total of 16 children and 23 parents filled out the PedsQL 4.0 (table 2).</w:t>
      </w:r>
    </w:p>
    <w:p w14:paraId="5558884B" w14:textId="4F2191C7" w:rsidR="00ED572F" w:rsidRPr="00730B61" w:rsidRDefault="00ED572F" w:rsidP="00ED572F">
      <w:pPr>
        <w:pStyle w:val="Caption"/>
      </w:pPr>
      <w:r w:rsidRPr="00730B61">
        <w:t xml:space="preserve">Table </w:t>
      </w:r>
      <w:fldSimple w:instr=" SEQ Table \* ARABIC ">
        <w:r>
          <w:rPr>
            <w:noProof/>
          </w:rPr>
          <w:t>2</w:t>
        </w:r>
      </w:fldSimple>
      <w:r w:rsidRPr="00730B61">
        <w:t xml:space="preserve"> PedsQ</w:t>
      </w:r>
      <w:r w:rsidR="00513D0D">
        <w:t>L</w:t>
      </w:r>
      <w:r w:rsidRPr="00730B61">
        <w:t xml:space="preserve"> 4.0 Scores (median, IQR) versus UK norms (mean, SD) </w:t>
      </w:r>
      <w:r w:rsidRPr="00730B61">
        <w:fldChar w:fldCharType="begin"/>
      </w:r>
      <w:r w:rsidR="00D106AB">
        <w:instrText xml:space="preserve"> ADDIN ZOTERO_ITEM CSL_CITATION {"citationID":"GzpJIxuw","properties":{"formattedCitation":"(27)","plainCitation":"(27)","noteIndex":0},"citationItems":[{"id":840,"uris":["http://zotero.org/users/12098505/items/Q39WIDHM"],"itemData":{"id":840,"type":"article-journal","abstract":"BACKGROUND: Health related quality of life (HRQL) has been recognised as an important paediatric outcome measurement. One of the more promising measures to emerge in recent years is the Pediatric Quality Of Life Inventory (PedsQL), developed in the US. Advantages of the PedsQL include brevity, availability of age appropriate versions and parallel forms for child and parent. This study developed a UK-English version of PedsQL generic module and assessed its performance in a group of UK children and their parents.\\n\\nMETHODS: PedsQL was translated to UK-English. The psychometric properties of the UK version were then tested following administration to 1399 children and 970 of their parents. The sample included healthy children, children diagnosed with asthma, diabetes or inflammatory bowel disease and children in remission from cancer.\\n\\nRESULTS: Psychometric properties were similar to those reported for the original PedsQL. Internal reliability exceeded 0.70 for all proxy and self-report sub-scales. Discriminant validity was established for proxy and self-report with higher HRQL being reported for healthy children than those with health problems. Sex differences were noted on the emotional functioning subscale, with females reporting lower HRQL than males. Proxy and self-report correlation was higher for children with health problems than for healthy children.\\n\\nCONCLUSION: The UK-English version of PedsQL performed as well as the original PedsQL and is recommended for assessment of paediatric HRQL in the UK.","container-title":"Health and quality of life outcomes","DOI":"10.1186/1477-7525-3-22","ISSN":"1477-7525 (Electronic)\\n1477-7525 (Linking)","page":"22-22","title":"Measurement properties of the UK-English version of the Pediatric Quality of Life Inventory 4.0 (PedsQL) generic core scales.","volume":"3","author":[{"family":"Upton","given":"Penney"},{"family":"Eiser","given":"Christine"},{"family":"Cheung","given":"Ivy"},{"family":"Hutchings","given":"Hayley","dropping-particle":"a"},{"family":"Jenney","given":"Meriel"},{"family":"Maddocks","given":"Alison"},{"family":"Russell","given":"Ian T"},{"family":"Williams","given":"John G"}],"issued":{"date-parts":[["2005"]]}}}],"schema":"https://github.com/citation-style-language/schema/raw/master/csl-citation.json"} </w:instrText>
      </w:r>
      <w:r w:rsidRPr="00730B61">
        <w:fldChar w:fldCharType="separate"/>
      </w:r>
      <w:r w:rsidR="00D106AB" w:rsidRPr="00D106AB">
        <w:rPr>
          <w:rFonts w:cs="Times New Roman"/>
        </w:rPr>
        <w:t>(27)</w:t>
      </w:r>
      <w:r w:rsidRPr="00730B61">
        <w:fldChar w:fldCharType="end"/>
      </w:r>
      <w:r w:rsidRPr="00730B61">
        <w:t xml:space="preserve"> and CF patients </w:t>
      </w:r>
      <w:r w:rsidRPr="00730B61">
        <w:fldChar w:fldCharType="begin"/>
      </w:r>
      <w:r w:rsidR="00D106AB">
        <w:instrText xml:space="preserve"> ADDIN ZOTERO_ITEM CSL_CITATION {"citationID":"ezXgpEyq","properties":{"formattedCitation":"(28)","plainCitation":"(28)","noteIndex":0},"citationItems":[{"id":1120,"uris":["http://zotero.org/users/12098505/items/688G2FJF"],"itemData":{"id":1120,"type":"article-journal","abstract":"OBJECTIVES To assess the health-related quality-of-life (HRQOL) of children/adolescents with cystic fibrosis (CF) and compare HRQOL in children managed by cystic fibrosis outreach service (CFOS) with those treated in a cystic fibrosis center (CFC). To compare HRQOL of children with CF in Queensland with previously published HRQOL data from the United States and examine the relationship between HRQOL scores and pulmonary function. STUDY DESIGN Participants were children/adolescents with CF and their parents managed by the Royal Children’s Hospital Queensland at a CFC or CFOS. Two HRQOL surveys were used: PedsQL™ and Cystic Fibrosis Questionnaire (CFQ). RESULTS There were 91 CFC and 71 CFOS participants with similar demographics. PedsQL™ total summary score was statistically higher in CFOS, P = .05. There was no significant difference in CFQ scores between groups. Queensland parents reported lower HRQOL for their children compared with US parents (P&lt;.01) despite similar pulmonary function. Declining pulmonary function correlated with worse CFQ scores in adolescents, P &lt;.05. CONCLUSIONS Children living in regional Queensland reported as good as or slightly better HRQOL compared with children attending a CFC. Parent proxy HRQOL scores were generally low suggesting a reduced perception of HRQOL by parents for their children.","container-title":"The Journal of Pediatrics","DOI":"10.1016/j.jpeds.2005.11.040","issue":"4","page":"508-516.e1","publisher":"Mosby","title":"Quality-of-life in children and adolescents with cystic fibrosis managed in both regional outreach and cystic fibrosis center settings in queensland","volume":"148","author":[{"family":"Thomas","given":"Clare"},{"family":"Mitchell","given":"Penny"},{"family":"O’Rourke","given":"Peter"},{"family":"Wainwright","given":"Claire"}],"issued":{"date-parts":[["2006",4]]}}}],"schema":"https://github.com/citation-style-language/schema/raw/master/csl-citation.json"} </w:instrText>
      </w:r>
      <w:r w:rsidRPr="00730B61">
        <w:fldChar w:fldCharType="separate"/>
      </w:r>
      <w:r w:rsidR="00D106AB" w:rsidRPr="00D106AB">
        <w:rPr>
          <w:rFonts w:cs="Times New Roman"/>
        </w:rPr>
        <w:t>(28)</w:t>
      </w:r>
      <w:r w:rsidRPr="00730B61">
        <w:fldChar w:fldCharType="end"/>
      </w:r>
      <w:r w:rsidRPr="00730B61">
        <w:t xml:space="preserve"> (mean, SD)</w:t>
      </w:r>
    </w:p>
    <w:tbl>
      <w:tblPr>
        <w:tblStyle w:val="ListTable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2411"/>
        <w:gridCol w:w="1560"/>
        <w:gridCol w:w="992"/>
        <w:gridCol w:w="1275"/>
        <w:gridCol w:w="941"/>
      </w:tblGrid>
      <w:tr w:rsidR="00ED572F" w:rsidRPr="00730B61" w14:paraId="2A6C8A63" w14:textId="77777777" w:rsidTr="00B41D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9" w:type="pct"/>
            <w:shd w:val="clear" w:color="auto" w:fill="auto"/>
          </w:tcPr>
          <w:p w14:paraId="40719AA9" w14:textId="77777777" w:rsidR="00ED572F" w:rsidRPr="00730B61" w:rsidRDefault="00ED572F" w:rsidP="00B41D06">
            <w:pPr>
              <w:pStyle w:val="TableText"/>
              <w:jc w:val="center"/>
              <w:rPr>
                <w:rFonts w:cs="Times New Roman"/>
                <w:color w:val="auto"/>
                <w:szCs w:val="24"/>
              </w:rPr>
            </w:pPr>
          </w:p>
        </w:tc>
        <w:tc>
          <w:tcPr>
            <w:tcW w:w="1337" w:type="pct"/>
            <w:shd w:val="clear" w:color="auto" w:fill="auto"/>
          </w:tcPr>
          <w:p w14:paraId="61471112" w14:textId="77777777" w:rsidR="00ED572F" w:rsidRPr="00730B61" w:rsidRDefault="00ED572F" w:rsidP="00B41D06">
            <w:pPr>
              <w:pStyle w:val="TableText"/>
              <w:jc w:val="center"/>
              <w:cnfStyle w:val="100000000000" w:firstRow="1" w:lastRow="0" w:firstColumn="0" w:lastColumn="0" w:oddVBand="0" w:evenVBand="0" w:oddHBand="0" w:evenHBand="0" w:firstRowFirstColumn="0" w:firstRowLastColumn="0" w:lastRowFirstColumn="0" w:lastRowLastColumn="0"/>
              <w:rPr>
                <w:rFonts w:cs="Times New Roman"/>
                <w:color w:val="auto"/>
                <w:szCs w:val="24"/>
              </w:rPr>
            </w:pPr>
            <w:r w:rsidRPr="00730B61">
              <w:rPr>
                <w:rFonts w:cs="Times New Roman"/>
                <w:color w:val="auto"/>
                <w:szCs w:val="24"/>
              </w:rPr>
              <w:t>UK Cohort</w:t>
            </w:r>
          </w:p>
        </w:tc>
        <w:tc>
          <w:tcPr>
            <w:tcW w:w="865" w:type="pct"/>
            <w:shd w:val="clear" w:color="auto" w:fill="auto"/>
          </w:tcPr>
          <w:p w14:paraId="7E66CAE8" w14:textId="77777777" w:rsidR="00ED572F" w:rsidRPr="00730B61" w:rsidRDefault="00ED572F" w:rsidP="00B41D06">
            <w:pPr>
              <w:pStyle w:val="TableText"/>
              <w:jc w:val="center"/>
              <w:cnfStyle w:val="100000000000" w:firstRow="1" w:lastRow="0" w:firstColumn="0" w:lastColumn="0" w:oddVBand="0" w:evenVBand="0" w:oddHBand="0" w:evenHBand="0" w:firstRowFirstColumn="0" w:firstRowLastColumn="0" w:lastRowFirstColumn="0" w:lastRowLastColumn="0"/>
              <w:rPr>
                <w:rFonts w:cs="Times New Roman"/>
                <w:color w:val="auto"/>
                <w:szCs w:val="24"/>
              </w:rPr>
            </w:pPr>
            <w:r w:rsidRPr="00730B61">
              <w:rPr>
                <w:rFonts w:cs="Times New Roman"/>
                <w:color w:val="auto"/>
                <w:szCs w:val="24"/>
              </w:rPr>
              <w:t>UK Norms</w:t>
            </w:r>
          </w:p>
        </w:tc>
        <w:tc>
          <w:tcPr>
            <w:tcW w:w="550" w:type="pct"/>
            <w:shd w:val="clear" w:color="auto" w:fill="auto"/>
          </w:tcPr>
          <w:p w14:paraId="488331A6" w14:textId="77777777" w:rsidR="00ED572F" w:rsidRPr="00730B61" w:rsidRDefault="00ED572F" w:rsidP="00B41D06">
            <w:pPr>
              <w:pStyle w:val="TableText"/>
              <w:jc w:val="center"/>
              <w:cnfStyle w:val="100000000000" w:firstRow="1" w:lastRow="0" w:firstColumn="0" w:lastColumn="0" w:oddVBand="0" w:evenVBand="0" w:oddHBand="0" w:evenHBand="0" w:firstRowFirstColumn="0" w:firstRowLastColumn="0" w:lastRowFirstColumn="0" w:lastRowLastColumn="0"/>
              <w:rPr>
                <w:rFonts w:cs="Times New Roman"/>
                <w:color w:val="auto"/>
                <w:szCs w:val="24"/>
              </w:rPr>
            </w:pPr>
            <w:r w:rsidRPr="00730B61">
              <w:rPr>
                <w:rFonts w:cs="Times New Roman"/>
                <w:color w:val="auto"/>
                <w:szCs w:val="24"/>
              </w:rPr>
              <w:t>p value</w:t>
            </w:r>
          </w:p>
        </w:tc>
        <w:tc>
          <w:tcPr>
            <w:tcW w:w="707" w:type="pct"/>
            <w:shd w:val="clear" w:color="auto" w:fill="auto"/>
          </w:tcPr>
          <w:p w14:paraId="6C148172" w14:textId="77777777" w:rsidR="00ED572F" w:rsidRPr="00730B61" w:rsidRDefault="00ED572F" w:rsidP="00B41D06">
            <w:pPr>
              <w:pStyle w:val="TableText"/>
              <w:jc w:val="center"/>
              <w:cnfStyle w:val="100000000000" w:firstRow="1" w:lastRow="0" w:firstColumn="0" w:lastColumn="0" w:oddVBand="0" w:evenVBand="0" w:oddHBand="0" w:evenHBand="0" w:firstRowFirstColumn="0" w:firstRowLastColumn="0" w:lastRowFirstColumn="0" w:lastRowLastColumn="0"/>
              <w:rPr>
                <w:rFonts w:cs="Times New Roman"/>
                <w:color w:val="auto"/>
                <w:szCs w:val="24"/>
              </w:rPr>
            </w:pPr>
            <w:r w:rsidRPr="00730B61">
              <w:rPr>
                <w:rFonts w:cs="Times New Roman"/>
                <w:color w:val="auto"/>
                <w:szCs w:val="24"/>
              </w:rPr>
              <w:t>CF Patients</w:t>
            </w:r>
          </w:p>
        </w:tc>
        <w:tc>
          <w:tcPr>
            <w:tcW w:w="523" w:type="pct"/>
            <w:shd w:val="clear" w:color="auto" w:fill="auto"/>
          </w:tcPr>
          <w:p w14:paraId="69B6F1F1" w14:textId="77777777" w:rsidR="00ED572F" w:rsidRPr="00730B61" w:rsidRDefault="00ED572F" w:rsidP="00B41D06">
            <w:pPr>
              <w:pStyle w:val="TableText"/>
              <w:jc w:val="center"/>
              <w:cnfStyle w:val="100000000000" w:firstRow="1" w:lastRow="0" w:firstColumn="0" w:lastColumn="0" w:oddVBand="0" w:evenVBand="0" w:oddHBand="0" w:evenHBand="0" w:firstRowFirstColumn="0" w:firstRowLastColumn="0" w:lastRowFirstColumn="0" w:lastRowLastColumn="0"/>
              <w:rPr>
                <w:rFonts w:cs="Times New Roman"/>
                <w:color w:val="auto"/>
                <w:szCs w:val="24"/>
              </w:rPr>
            </w:pPr>
            <w:r w:rsidRPr="00730B61">
              <w:rPr>
                <w:rFonts w:cs="Times New Roman"/>
                <w:color w:val="auto"/>
                <w:szCs w:val="24"/>
              </w:rPr>
              <w:t>p value</w:t>
            </w:r>
          </w:p>
        </w:tc>
      </w:tr>
      <w:tr w:rsidR="00ED572F" w:rsidRPr="00730B61" w14:paraId="73636AA4" w14:textId="77777777" w:rsidTr="00B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auto"/>
            </w:tcBorders>
          </w:tcPr>
          <w:p w14:paraId="2105B7A8" w14:textId="45D684E9" w:rsidR="00ED572F" w:rsidRPr="00730B61" w:rsidRDefault="00ED572F" w:rsidP="00B41D06">
            <w:pPr>
              <w:pStyle w:val="TableText"/>
              <w:rPr>
                <w:rFonts w:cs="Times New Roman"/>
                <w:szCs w:val="24"/>
              </w:rPr>
            </w:pPr>
            <w:r w:rsidRPr="00730B61">
              <w:rPr>
                <w:rFonts w:cs="Times New Roman"/>
                <w:szCs w:val="24"/>
              </w:rPr>
              <w:t>Self Scores</w:t>
            </w:r>
            <w:r w:rsidR="00FE47FB">
              <w:rPr>
                <w:rFonts w:cs="Times New Roman"/>
                <w:szCs w:val="24"/>
              </w:rPr>
              <w:t xml:space="preserve"> (n = 16)</w:t>
            </w:r>
          </w:p>
        </w:tc>
      </w:tr>
      <w:tr w:rsidR="00ED572F" w:rsidRPr="00730B61" w14:paraId="47B23F9D" w14:textId="77777777" w:rsidTr="00B41D06">
        <w:tc>
          <w:tcPr>
            <w:cnfStyle w:val="001000000000" w:firstRow="0" w:lastRow="0" w:firstColumn="1" w:lastColumn="0" w:oddVBand="0" w:evenVBand="0" w:oddHBand="0" w:evenHBand="0" w:firstRowFirstColumn="0" w:firstRowLastColumn="0" w:lastRowFirstColumn="0" w:lastRowLastColumn="0"/>
            <w:tcW w:w="1019" w:type="pct"/>
          </w:tcPr>
          <w:p w14:paraId="47FF01C6" w14:textId="77777777" w:rsidR="00ED572F" w:rsidRPr="00730B61" w:rsidRDefault="00ED572F" w:rsidP="00B41D06">
            <w:pPr>
              <w:pStyle w:val="TableText"/>
              <w:rPr>
                <w:rFonts w:cs="Times New Roman"/>
                <w:szCs w:val="24"/>
              </w:rPr>
            </w:pPr>
            <w:r w:rsidRPr="00730B61">
              <w:rPr>
                <w:rFonts w:cs="Times New Roman"/>
                <w:szCs w:val="24"/>
              </w:rPr>
              <w:t>Psychosocial Score</w:t>
            </w:r>
          </w:p>
        </w:tc>
        <w:tc>
          <w:tcPr>
            <w:tcW w:w="1337" w:type="pct"/>
            <w:vAlign w:val="bottom"/>
          </w:tcPr>
          <w:p w14:paraId="1CF3EDDC"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30B61">
              <w:rPr>
                <w:rFonts w:cs="Times New Roman"/>
                <w:szCs w:val="24"/>
              </w:rPr>
              <w:t>76.67 (67.50 – 83.33)</w:t>
            </w:r>
          </w:p>
        </w:tc>
        <w:tc>
          <w:tcPr>
            <w:tcW w:w="865" w:type="pct"/>
          </w:tcPr>
          <w:p w14:paraId="54F8DE19"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30B61">
              <w:rPr>
                <w:rFonts w:cs="Times New Roman"/>
                <w:szCs w:val="24"/>
              </w:rPr>
              <w:t>80.50 (14.06)</w:t>
            </w:r>
          </w:p>
        </w:tc>
        <w:tc>
          <w:tcPr>
            <w:tcW w:w="550" w:type="pct"/>
          </w:tcPr>
          <w:p w14:paraId="6A6D425E"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30B61">
              <w:rPr>
                <w:rFonts w:cs="Times New Roman"/>
                <w:szCs w:val="24"/>
              </w:rPr>
              <w:t>0.134</w:t>
            </w:r>
          </w:p>
        </w:tc>
        <w:tc>
          <w:tcPr>
            <w:tcW w:w="707" w:type="pct"/>
          </w:tcPr>
          <w:p w14:paraId="7C97EF74"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30B61">
              <w:rPr>
                <w:rFonts w:cs="Times New Roman"/>
                <w:szCs w:val="24"/>
              </w:rPr>
              <w:t>72.3 (1.47)</w:t>
            </w:r>
          </w:p>
        </w:tc>
        <w:tc>
          <w:tcPr>
            <w:tcW w:w="523" w:type="pct"/>
          </w:tcPr>
          <w:p w14:paraId="6BCA3724"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30B61">
              <w:rPr>
                <w:rFonts w:cs="Times New Roman"/>
                <w:szCs w:val="24"/>
              </w:rPr>
              <w:t>0.326</w:t>
            </w:r>
          </w:p>
        </w:tc>
      </w:tr>
      <w:tr w:rsidR="00ED572F" w:rsidRPr="00730B61" w14:paraId="17AA88FF" w14:textId="77777777" w:rsidTr="00B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Pr>
          <w:p w14:paraId="1C3F344B" w14:textId="77777777" w:rsidR="00ED572F" w:rsidRPr="00730B61" w:rsidRDefault="00ED572F" w:rsidP="00B41D06">
            <w:pPr>
              <w:pStyle w:val="TableText"/>
              <w:rPr>
                <w:rFonts w:cs="Times New Roman"/>
                <w:szCs w:val="24"/>
              </w:rPr>
            </w:pPr>
            <w:r w:rsidRPr="00730B61">
              <w:rPr>
                <w:rFonts w:cs="Times New Roman"/>
                <w:szCs w:val="24"/>
              </w:rPr>
              <w:t>Physical Score</w:t>
            </w:r>
          </w:p>
        </w:tc>
        <w:tc>
          <w:tcPr>
            <w:tcW w:w="1337" w:type="pct"/>
            <w:vAlign w:val="bottom"/>
          </w:tcPr>
          <w:p w14:paraId="3FC5D4F2"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87.50 (83.26 – 92.19)</w:t>
            </w:r>
          </w:p>
        </w:tc>
        <w:tc>
          <w:tcPr>
            <w:tcW w:w="865" w:type="pct"/>
          </w:tcPr>
          <w:p w14:paraId="23872E7E"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86.08 (14.06)</w:t>
            </w:r>
          </w:p>
        </w:tc>
        <w:tc>
          <w:tcPr>
            <w:tcW w:w="550" w:type="pct"/>
          </w:tcPr>
          <w:p w14:paraId="140F64CD"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0.796</w:t>
            </w:r>
          </w:p>
        </w:tc>
        <w:tc>
          <w:tcPr>
            <w:tcW w:w="707" w:type="pct"/>
          </w:tcPr>
          <w:p w14:paraId="2D9ADBD3"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79.2 (1.64)</w:t>
            </w:r>
          </w:p>
        </w:tc>
        <w:tc>
          <w:tcPr>
            <w:tcW w:w="523" w:type="pct"/>
          </w:tcPr>
          <w:p w14:paraId="28EFEED7"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0.062</w:t>
            </w:r>
          </w:p>
        </w:tc>
      </w:tr>
      <w:tr w:rsidR="00ED572F" w:rsidRPr="00730B61" w14:paraId="5FF4F56F" w14:textId="77777777" w:rsidTr="00B41D06">
        <w:tc>
          <w:tcPr>
            <w:cnfStyle w:val="001000000000" w:firstRow="0" w:lastRow="0" w:firstColumn="1" w:lastColumn="0" w:oddVBand="0" w:evenVBand="0" w:oddHBand="0" w:evenHBand="0" w:firstRowFirstColumn="0" w:firstRowLastColumn="0" w:lastRowFirstColumn="0" w:lastRowLastColumn="0"/>
            <w:tcW w:w="1019" w:type="pct"/>
          </w:tcPr>
          <w:p w14:paraId="04565EC8" w14:textId="77777777" w:rsidR="00ED572F" w:rsidRPr="00730B61" w:rsidRDefault="00ED572F" w:rsidP="00B41D06">
            <w:pPr>
              <w:pStyle w:val="TableText"/>
              <w:rPr>
                <w:rFonts w:cs="Times New Roman"/>
                <w:szCs w:val="24"/>
              </w:rPr>
            </w:pPr>
            <w:r w:rsidRPr="00730B61">
              <w:rPr>
                <w:rFonts w:cs="Times New Roman"/>
                <w:szCs w:val="24"/>
              </w:rPr>
              <w:t>Emotional Score</w:t>
            </w:r>
          </w:p>
        </w:tc>
        <w:tc>
          <w:tcPr>
            <w:tcW w:w="1337" w:type="pct"/>
            <w:vAlign w:val="bottom"/>
          </w:tcPr>
          <w:p w14:paraId="007EBE5B"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30B61">
              <w:rPr>
                <w:rFonts w:cs="Times New Roman"/>
                <w:szCs w:val="24"/>
              </w:rPr>
              <w:t>67.50 (60.00-80.00)</w:t>
            </w:r>
          </w:p>
        </w:tc>
        <w:tc>
          <w:tcPr>
            <w:tcW w:w="865" w:type="pct"/>
          </w:tcPr>
          <w:p w14:paraId="1959562B"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30B61">
              <w:rPr>
                <w:rFonts w:cs="Times New Roman"/>
                <w:szCs w:val="24"/>
              </w:rPr>
              <w:t>76.99 (18.43)</w:t>
            </w:r>
          </w:p>
        </w:tc>
        <w:tc>
          <w:tcPr>
            <w:tcW w:w="550" w:type="pct"/>
          </w:tcPr>
          <w:p w14:paraId="134B7070"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30B61">
              <w:rPr>
                <w:rFonts w:cs="Times New Roman"/>
                <w:szCs w:val="24"/>
              </w:rPr>
              <w:t>0.062</w:t>
            </w:r>
          </w:p>
        </w:tc>
        <w:tc>
          <w:tcPr>
            <w:tcW w:w="707" w:type="pct"/>
          </w:tcPr>
          <w:p w14:paraId="50253C3C"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30B61">
              <w:rPr>
                <w:rFonts w:cs="Times New Roman"/>
                <w:szCs w:val="24"/>
              </w:rPr>
              <w:t>70.7 (1.92)</w:t>
            </w:r>
          </w:p>
        </w:tc>
        <w:tc>
          <w:tcPr>
            <w:tcW w:w="523" w:type="pct"/>
          </w:tcPr>
          <w:p w14:paraId="3F84AD31"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30B61">
              <w:rPr>
                <w:rFonts w:cs="Times New Roman"/>
                <w:szCs w:val="24"/>
              </w:rPr>
              <w:t>0.407</w:t>
            </w:r>
          </w:p>
        </w:tc>
      </w:tr>
      <w:tr w:rsidR="00ED572F" w:rsidRPr="00730B61" w14:paraId="72FE7FC5" w14:textId="77777777" w:rsidTr="00B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Pr>
          <w:p w14:paraId="53788BD9" w14:textId="77777777" w:rsidR="00ED572F" w:rsidRPr="00730B61" w:rsidRDefault="00ED572F" w:rsidP="00B41D06">
            <w:pPr>
              <w:pStyle w:val="TableText"/>
              <w:rPr>
                <w:rFonts w:cs="Times New Roman"/>
                <w:szCs w:val="24"/>
              </w:rPr>
            </w:pPr>
            <w:r w:rsidRPr="00730B61">
              <w:rPr>
                <w:rFonts w:cs="Times New Roman"/>
                <w:szCs w:val="24"/>
              </w:rPr>
              <w:t>Social Score</w:t>
            </w:r>
          </w:p>
        </w:tc>
        <w:tc>
          <w:tcPr>
            <w:tcW w:w="1337" w:type="pct"/>
            <w:vAlign w:val="bottom"/>
          </w:tcPr>
          <w:p w14:paraId="5299EC95"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100.00 (80.00-100.00)</w:t>
            </w:r>
          </w:p>
        </w:tc>
        <w:tc>
          <w:tcPr>
            <w:tcW w:w="865" w:type="pct"/>
          </w:tcPr>
          <w:p w14:paraId="7615E76B"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86.85 (16.86)</w:t>
            </w:r>
          </w:p>
        </w:tc>
        <w:tc>
          <w:tcPr>
            <w:tcW w:w="550" w:type="pct"/>
          </w:tcPr>
          <w:p w14:paraId="415BE52A"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0.598</w:t>
            </w:r>
          </w:p>
        </w:tc>
        <w:tc>
          <w:tcPr>
            <w:tcW w:w="707" w:type="pct"/>
          </w:tcPr>
          <w:p w14:paraId="7D73484E"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78.8 (1.73)</w:t>
            </w:r>
          </w:p>
        </w:tc>
        <w:tc>
          <w:tcPr>
            <w:tcW w:w="523" w:type="pct"/>
          </w:tcPr>
          <w:p w14:paraId="4AA9E68D"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0.073</w:t>
            </w:r>
          </w:p>
        </w:tc>
      </w:tr>
      <w:tr w:rsidR="00ED572F" w:rsidRPr="00730B61" w14:paraId="22521F25" w14:textId="77777777" w:rsidTr="00B41D06">
        <w:tc>
          <w:tcPr>
            <w:cnfStyle w:val="001000000000" w:firstRow="0" w:lastRow="0" w:firstColumn="1" w:lastColumn="0" w:oddVBand="0" w:evenVBand="0" w:oddHBand="0" w:evenHBand="0" w:firstRowFirstColumn="0" w:firstRowLastColumn="0" w:lastRowFirstColumn="0" w:lastRowLastColumn="0"/>
            <w:tcW w:w="1019" w:type="pct"/>
          </w:tcPr>
          <w:p w14:paraId="28788C86" w14:textId="77777777" w:rsidR="00ED572F" w:rsidRPr="00730B61" w:rsidRDefault="00ED572F" w:rsidP="00B41D06">
            <w:pPr>
              <w:pStyle w:val="TableText"/>
              <w:rPr>
                <w:rFonts w:cs="Times New Roman"/>
                <w:szCs w:val="24"/>
              </w:rPr>
            </w:pPr>
            <w:r w:rsidRPr="00730B61">
              <w:rPr>
                <w:rFonts w:cs="Times New Roman"/>
                <w:szCs w:val="24"/>
              </w:rPr>
              <w:t>School Score</w:t>
            </w:r>
          </w:p>
        </w:tc>
        <w:tc>
          <w:tcPr>
            <w:tcW w:w="1337" w:type="pct"/>
            <w:vAlign w:val="bottom"/>
          </w:tcPr>
          <w:p w14:paraId="33B3B025"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30B61">
              <w:rPr>
                <w:rFonts w:cs="Times New Roman"/>
                <w:szCs w:val="24"/>
              </w:rPr>
              <w:t>70.00 (52.50-77.50)</w:t>
            </w:r>
          </w:p>
        </w:tc>
        <w:tc>
          <w:tcPr>
            <w:tcW w:w="865" w:type="pct"/>
          </w:tcPr>
          <w:p w14:paraId="0F794F84"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30B61">
              <w:rPr>
                <w:rFonts w:cs="Times New Roman"/>
                <w:szCs w:val="24"/>
              </w:rPr>
              <w:t>77.29 (16.92)</w:t>
            </w:r>
          </w:p>
        </w:tc>
        <w:tc>
          <w:tcPr>
            <w:tcW w:w="550" w:type="pct"/>
          </w:tcPr>
          <w:p w14:paraId="3BEC26C9"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b/>
                <w:bCs/>
                <w:i/>
                <w:iCs/>
                <w:szCs w:val="24"/>
              </w:rPr>
            </w:pPr>
            <w:r w:rsidRPr="00730B61">
              <w:rPr>
                <w:rFonts w:cs="Times New Roman"/>
                <w:b/>
                <w:bCs/>
                <w:i/>
                <w:iCs/>
                <w:szCs w:val="24"/>
              </w:rPr>
              <w:t>0.049</w:t>
            </w:r>
          </w:p>
        </w:tc>
        <w:tc>
          <w:tcPr>
            <w:tcW w:w="707" w:type="pct"/>
          </w:tcPr>
          <w:p w14:paraId="6D98D0D2"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30B61">
              <w:rPr>
                <w:rFonts w:cs="Times New Roman"/>
                <w:szCs w:val="24"/>
              </w:rPr>
              <w:t>65.6 (1.86)</w:t>
            </w:r>
          </w:p>
        </w:tc>
        <w:tc>
          <w:tcPr>
            <w:tcW w:w="523" w:type="pct"/>
          </w:tcPr>
          <w:p w14:paraId="1A900665"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30B61">
              <w:rPr>
                <w:rFonts w:cs="Times New Roman"/>
                <w:szCs w:val="24"/>
              </w:rPr>
              <w:t>0.836</w:t>
            </w:r>
          </w:p>
        </w:tc>
      </w:tr>
      <w:tr w:rsidR="00ED572F" w:rsidRPr="00730B61" w14:paraId="007EF654" w14:textId="77777777" w:rsidTr="00B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Pr>
          <w:p w14:paraId="438188BC" w14:textId="77777777" w:rsidR="00ED572F" w:rsidRPr="00730B61" w:rsidRDefault="00ED572F" w:rsidP="00B41D06">
            <w:pPr>
              <w:pStyle w:val="TableText"/>
              <w:rPr>
                <w:rFonts w:cs="Times New Roman"/>
                <w:szCs w:val="24"/>
              </w:rPr>
            </w:pPr>
            <w:r w:rsidRPr="00730B61">
              <w:rPr>
                <w:rFonts w:cs="Times New Roman"/>
                <w:szCs w:val="24"/>
              </w:rPr>
              <w:t>Total Score</w:t>
            </w:r>
          </w:p>
        </w:tc>
        <w:tc>
          <w:tcPr>
            <w:tcW w:w="1337" w:type="pct"/>
          </w:tcPr>
          <w:p w14:paraId="5B677A46"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80.98 (73.91- 85.87)</w:t>
            </w:r>
          </w:p>
        </w:tc>
        <w:tc>
          <w:tcPr>
            <w:tcW w:w="865" w:type="pct"/>
          </w:tcPr>
          <w:p w14:paraId="2BCAB170"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82.25 (13.09)</w:t>
            </w:r>
          </w:p>
        </w:tc>
        <w:tc>
          <w:tcPr>
            <w:tcW w:w="550" w:type="pct"/>
          </w:tcPr>
          <w:p w14:paraId="1A05DFA5"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0.277</w:t>
            </w:r>
          </w:p>
        </w:tc>
        <w:tc>
          <w:tcPr>
            <w:tcW w:w="707" w:type="pct"/>
          </w:tcPr>
          <w:p w14:paraId="6E617B21"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74.7 (1.42)</w:t>
            </w:r>
          </w:p>
        </w:tc>
        <w:tc>
          <w:tcPr>
            <w:tcW w:w="523" w:type="pct"/>
          </w:tcPr>
          <w:p w14:paraId="2CBD980D"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0.134</w:t>
            </w:r>
          </w:p>
        </w:tc>
      </w:tr>
      <w:tr w:rsidR="00ED572F" w:rsidRPr="00730B61" w14:paraId="5F1ADAB6" w14:textId="77777777" w:rsidTr="00B41D06">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auto"/>
            </w:tcBorders>
          </w:tcPr>
          <w:p w14:paraId="21BCB28F" w14:textId="577332B1" w:rsidR="00ED572F" w:rsidRPr="00730B61" w:rsidRDefault="00ED572F" w:rsidP="00B41D06">
            <w:pPr>
              <w:pStyle w:val="TableText"/>
              <w:rPr>
                <w:rFonts w:cs="Times New Roman"/>
                <w:szCs w:val="24"/>
              </w:rPr>
            </w:pPr>
            <w:r w:rsidRPr="00730B61">
              <w:rPr>
                <w:rFonts w:cs="Times New Roman"/>
                <w:szCs w:val="24"/>
              </w:rPr>
              <w:t>Parent Scores</w:t>
            </w:r>
            <w:r w:rsidR="00FE47FB">
              <w:rPr>
                <w:rFonts w:cs="Times New Roman"/>
                <w:szCs w:val="24"/>
              </w:rPr>
              <w:t xml:space="preserve"> (n = 23)</w:t>
            </w:r>
          </w:p>
        </w:tc>
      </w:tr>
      <w:tr w:rsidR="00ED572F" w:rsidRPr="00730B61" w14:paraId="10A562EB" w14:textId="77777777" w:rsidTr="00B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Pr>
          <w:p w14:paraId="24455764" w14:textId="77777777" w:rsidR="00ED572F" w:rsidRPr="00730B61" w:rsidRDefault="00ED572F" w:rsidP="00B41D06">
            <w:pPr>
              <w:pStyle w:val="TableText"/>
              <w:rPr>
                <w:rFonts w:cs="Times New Roman"/>
                <w:szCs w:val="24"/>
              </w:rPr>
            </w:pPr>
            <w:r w:rsidRPr="00730B61">
              <w:rPr>
                <w:rFonts w:cs="Times New Roman"/>
                <w:szCs w:val="24"/>
              </w:rPr>
              <w:t>Psychosocial Score</w:t>
            </w:r>
          </w:p>
        </w:tc>
        <w:tc>
          <w:tcPr>
            <w:tcW w:w="1337" w:type="pct"/>
            <w:vAlign w:val="bottom"/>
          </w:tcPr>
          <w:p w14:paraId="13365C44"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76.67 (70.00, 84.62)</w:t>
            </w:r>
          </w:p>
        </w:tc>
        <w:tc>
          <w:tcPr>
            <w:tcW w:w="865" w:type="pct"/>
          </w:tcPr>
          <w:p w14:paraId="277E5460"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79.00 (14.70)</w:t>
            </w:r>
          </w:p>
        </w:tc>
        <w:tc>
          <w:tcPr>
            <w:tcW w:w="550" w:type="pct"/>
          </w:tcPr>
          <w:p w14:paraId="3477BF24"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0.626</w:t>
            </w:r>
          </w:p>
        </w:tc>
        <w:tc>
          <w:tcPr>
            <w:tcW w:w="707" w:type="pct"/>
          </w:tcPr>
          <w:p w14:paraId="70ECA0DE"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73.3 (1.23)</w:t>
            </w:r>
          </w:p>
        </w:tc>
        <w:tc>
          <w:tcPr>
            <w:tcW w:w="523" w:type="pct"/>
          </w:tcPr>
          <w:p w14:paraId="40E447DB"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0.144</w:t>
            </w:r>
          </w:p>
        </w:tc>
      </w:tr>
      <w:tr w:rsidR="00ED572F" w:rsidRPr="00730B61" w14:paraId="026727A9" w14:textId="77777777" w:rsidTr="00B41D06">
        <w:tc>
          <w:tcPr>
            <w:cnfStyle w:val="001000000000" w:firstRow="0" w:lastRow="0" w:firstColumn="1" w:lastColumn="0" w:oddVBand="0" w:evenVBand="0" w:oddHBand="0" w:evenHBand="0" w:firstRowFirstColumn="0" w:firstRowLastColumn="0" w:lastRowFirstColumn="0" w:lastRowLastColumn="0"/>
            <w:tcW w:w="1019" w:type="pct"/>
          </w:tcPr>
          <w:p w14:paraId="33D09A5A" w14:textId="77777777" w:rsidR="00ED572F" w:rsidRPr="00730B61" w:rsidRDefault="00ED572F" w:rsidP="00B41D06">
            <w:pPr>
              <w:pStyle w:val="TableText"/>
              <w:rPr>
                <w:rFonts w:cs="Times New Roman"/>
                <w:szCs w:val="24"/>
              </w:rPr>
            </w:pPr>
            <w:r w:rsidRPr="00730B61">
              <w:rPr>
                <w:rFonts w:cs="Times New Roman"/>
                <w:szCs w:val="24"/>
              </w:rPr>
              <w:t>Physical Score</w:t>
            </w:r>
          </w:p>
        </w:tc>
        <w:tc>
          <w:tcPr>
            <w:tcW w:w="1337" w:type="pct"/>
            <w:vAlign w:val="bottom"/>
          </w:tcPr>
          <w:p w14:paraId="64BE4563"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30B61">
              <w:rPr>
                <w:rFonts w:cs="Times New Roman"/>
                <w:szCs w:val="24"/>
              </w:rPr>
              <w:t>87.50 (81.25, 90.63)</w:t>
            </w:r>
          </w:p>
        </w:tc>
        <w:tc>
          <w:tcPr>
            <w:tcW w:w="865" w:type="pct"/>
          </w:tcPr>
          <w:p w14:paraId="7278C6DF"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30B61">
              <w:rPr>
                <w:rFonts w:cs="Times New Roman"/>
                <w:szCs w:val="24"/>
              </w:rPr>
              <w:t>84.99 (16.08)</w:t>
            </w:r>
          </w:p>
        </w:tc>
        <w:tc>
          <w:tcPr>
            <w:tcW w:w="550" w:type="pct"/>
          </w:tcPr>
          <w:p w14:paraId="1E724609"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30B61">
              <w:rPr>
                <w:rFonts w:cs="Times New Roman"/>
                <w:szCs w:val="24"/>
              </w:rPr>
              <w:t>0.855</w:t>
            </w:r>
          </w:p>
        </w:tc>
        <w:tc>
          <w:tcPr>
            <w:tcW w:w="707" w:type="pct"/>
          </w:tcPr>
          <w:p w14:paraId="20F585D6"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30B61">
              <w:rPr>
                <w:rFonts w:cs="Times New Roman"/>
                <w:szCs w:val="24"/>
              </w:rPr>
              <w:t>79.3 (1.52)</w:t>
            </w:r>
          </w:p>
        </w:tc>
        <w:tc>
          <w:tcPr>
            <w:tcW w:w="523" w:type="pct"/>
          </w:tcPr>
          <w:p w14:paraId="061C2FEC" w14:textId="77777777" w:rsidR="00ED572F" w:rsidRPr="00730B61"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30B61">
              <w:rPr>
                <w:rFonts w:cs="Times New Roman"/>
                <w:szCs w:val="24"/>
              </w:rPr>
              <w:t>0.259</w:t>
            </w:r>
          </w:p>
        </w:tc>
      </w:tr>
      <w:tr w:rsidR="00ED572F" w:rsidRPr="00730B61" w14:paraId="11490874" w14:textId="77777777" w:rsidTr="00B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Pr>
          <w:p w14:paraId="4A693757" w14:textId="77777777" w:rsidR="00ED572F" w:rsidRPr="00730B61" w:rsidRDefault="00ED572F" w:rsidP="00B41D06">
            <w:pPr>
              <w:pStyle w:val="TableText"/>
              <w:rPr>
                <w:rFonts w:cs="Times New Roman"/>
                <w:szCs w:val="24"/>
              </w:rPr>
            </w:pPr>
            <w:r w:rsidRPr="00730B61">
              <w:rPr>
                <w:rFonts w:cs="Times New Roman"/>
                <w:szCs w:val="24"/>
              </w:rPr>
              <w:t>Emotional Score</w:t>
            </w:r>
          </w:p>
        </w:tc>
        <w:tc>
          <w:tcPr>
            <w:tcW w:w="1337" w:type="pct"/>
            <w:vAlign w:val="bottom"/>
          </w:tcPr>
          <w:p w14:paraId="417CE03F"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70.00 (60.00, 85.00)</w:t>
            </w:r>
          </w:p>
        </w:tc>
        <w:tc>
          <w:tcPr>
            <w:tcW w:w="865" w:type="pct"/>
          </w:tcPr>
          <w:p w14:paraId="6EB3A0FC"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74.67 (17.67)</w:t>
            </w:r>
          </w:p>
        </w:tc>
        <w:tc>
          <w:tcPr>
            <w:tcW w:w="550" w:type="pct"/>
          </w:tcPr>
          <w:p w14:paraId="7C33C40D"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0.484</w:t>
            </w:r>
          </w:p>
        </w:tc>
        <w:tc>
          <w:tcPr>
            <w:tcW w:w="707" w:type="pct"/>
          </w:tcPr>
          <w:p w14:paraId="68F52520"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68.0 (1.55)</w:t>
            </w:r>
          </w:p>
        </w:tc>
        <w:tc>
          <w:tcPr>
            <w:tcW w:w="523" w:type="pct"/>
          </w:tcPr>
          <w:p w14:paraId="1F9E26F3" w14:textId="77777777" w:rsidR="00ED572F" w:rsidRPr="00730B61"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30B61">
              <w:rPr>
                <w:rFonts w:cs="Times New Roman"/>
                <w:szCs w:val="24"/>
              </w:rPr>
              <w:t>0.563</w:t>
            </w:r>
          </w:p>
        </w:tc>
      </w:tr>
      <w:tr w:rsidR="00ED572F" w:rsidRPr="00367D62" w14:paraId="382F7C84" w14:textId="77777777" w:rsidTr="00B41D06">
        <w:tc>
          <w:tcPr>
            <w:cnfStyle w:val="001000000000" w:firstRow="0" w:lastRow="0" w:firstColumn="1" w:lastColumn="0" w:oddVBand="0" w:evenVBand="0" w:oddHBand="0" w:evenHBand="0" w:firstRowFirstColumn="0" w:firstRowLastColumn="0" w:lastRowFirstColumn="0" w:lastRowLastColumn="0"/>
            <w:tcW w:w="1019" w:type="pct"/>
          </w:tcPr>
          <w:p w14:paraId="39D60B41" w14:textId="77777777" w:rsidR="00ED572F" w:rsidRPr="00492DC7" w:rsidRDefault="00ED572F" w:rsidP="00B41D06">
            <w:pPr>
              <w:pStyle w:val="TableText"/>
              <w:rPr>
                <w:rFonts w:cs="Times New Roman"/>
                <w:szCs w:val="24"/>
              </w:rPr>
            </w:pPr>
            <w:r w:rsidRPr="00492DC7">
              <w:rPr>
                <w:rFonts w:cs="Times New Roman"/>
                <w:szCs w:val="24"/>
              </w:rPr>
              <w:lastRenderedPageBreak/>
              <w:t>Social Score</w:t>
            </w:r>
          </w:p>
        </w:tc>
        <w:tc>
          <w:tcPr>
            <w:tcW w:w="1337" w:type="pct"/>
            <w:vAlign w:val="bottom"/>
          </w:tcPr>
          <w:p w14:paraId="637A9088" w14:textId="77777777" w:rsidR="00ED572F" w:rsidRPr="00367D62"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367D62">
              <w:rPr>
                <w:rFonts w:cs="Times New Roman"/>
                <w:szCs w:val="24"/>
              </w:rPr>
              <w:t>100.00 (</w:t>
            </w:r>
            <w:r>
              <w:rPr>
                <w:rFonts w:cs="Times New Roman"/>
                <w:szCs w:val="24"/>
              </w:rPr>
              <w:t>85</w:t>
            </w:r>
            <w:r w:rsidRPr="00367D62">
              <w:rPr>
                <w:rFonts w:cs="Times New Roman"/>
                <w:szCs w:val="24"/>
              </w:rPr>
              <w:t>.00</w:t>
            </w:r>
            <w:r>
              <w:rPr>
                <w:rFonts w:cs="Times New Roman"/>
                <w:szCs w:val="24"/>
              </w:rPr>
              <w:t>, 1</w:t>
            </w:r>
            <w:r w:rsidRPr="00367D62">
              <w:rPr>
                <w:rFonts w:cs="Times New Roman"/>
                <w:szCs w:val="24"/>
              </w:rPr>
              <w:t>00.00)</w:t>
            </w:r>
          </w:p>
        </w:tc>
        <w:tc>
          <w:tcPr>
            <w:tcW w:w="865" w:type="pct"/>
          </w:tcPr>
          <w:p w14:paraId="70079C07" w14:textId="77777777" w:rsidR="00ED572F" w:rsidRPr="00367D62"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367D62">
              <w:rPr>
                <w:rFonts w:cs="Times New Roman"/>
                <w:szCs w:val="24"/>
              </w:rPr>
              <w:t>84.62 (17.24)</w:t>
            </w:r>
          </w:p>
        </w:tc>
        <w:tc>
          <w:tcPr>
            <w:tcW w:w="550" w:type="pct"/>
          </w:tcPr>
          <w:p w14:paraId="6EF9A496" w14:textId="77777777" w:rsidR="00ED572F" w:rsidRPr="00367D62"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b/>
                <w:bCs/>
                <w:i/>
                <w:iCs/>
                <w:szCs w:val="24"/>
              </w:rPr>
            </w:pPr>
            <w:r w:rsidRPr="00367D62">
              <w:rPr>
                <w:rFonts w:cs="Times New Roman"/>
                <w:b/>
                <w:bCs/>
                <w:i/>
                <w:iCs/>
                <w:szCs w:val="24"/>
              </w:rPr>
              <w:t>0.0</w:t>
            </w:r>
            <w:r>
              <w:rPr>
                <w:rFonts w:cs="Times New Roman"/>
                <w:b/>
                <w:bCs/>
                <w:i/>
                <w:iCs/>
                <w:szCs w:val="24"/>
              </w:rPr>
              <w:t>38</w:t>
            </w:r>
          </w:p>
        </w:tc>
        <w:tc>
          <w:tcPr>
            <w:tcW w:w="707" w:type="pct"/>
          </w:tcPr>
          <w:p w14:paraId="7A2C0BFE" w14:textId="77777777" w:rsidR="00ED572F" w:rsidRPr="00367D62"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367D62">
              <w:rPr>
                <w:rFonts w:cs="Times New Roman"/>
                <w:szCs w:val="24"/>
              </w:rPr>
              <w:t>81.7 (1.53)</w:t>
            </w:r>
          </w:p>
        </w:tc>
        <w:tc>
          <w:tcPr>
            <w:tcW w:w="523" w:type="pct"/>
          </w:tcPr>
          <w:p w14:paraId="06D51912" w14:textId="77777777" w:rsidR="00ED572F" w:rsidRPr="00367D62"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b/>
                <w:bCs/>
                <w:i/>
                <w:iCs/>
                <w:szCs w:val="24"/>
              </w:rPr>
            </w:pPr>
            <w:r w:rsidRPr="00367D62">
              <w:rPr>
                <w:rFonts w:cs="Times New Roman"/>
                <w:b/>
                <w:bCs/>
                <w:i/>
                <w:iCs/>
                <w:szCs w:val="24"/>
              </w:rPr>
              <w:t>0.0</w:t>
            </w:r>
            <w:r>
              <w:rPr>
                <w:rFonts w:cs="Times New Roman"/>
                <w:b/>
                <w:bCs/>
                <w:i/>
                <w:iCs/>
                <w:szCs w:val="24"/>
              </w:rPr>
              <w:t>12</w:t>
            </w:r>
          </w:p>
        </w:tc>
      </w:tr>
      <w:tr w:rsidR="00ED572F" w:rsidRPr="00367D62" w14:paraId="20050333" w14:textId="77777777" w:rsidTr="00B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Pr>
          <w:p w14:paraId="10C8978B" w14:textId="77777777" w:rsidR="00ED572F" w:rsidRPr="00492DC7" w:rsidRDefault="00ED572F" w:rsidP="00B41D06">
            <w:pPr>
              <w:pStyle w:val="TableText"/>
              <w:rPr>
                <w:rFonts w:cs="Times New Roman"/>
                <w:szCs w:val="24"/>
              </w:rPr>
            </w:pPr>
            <w:r w:rsidRPr="00492DC7">
              <w:rPr>
                <w:rFonts w:cs="Times New Roman"/>
                <w:szCs w:val="24"/>
              </w:rPr>
              <w:t>School Score</w:t>
            </w:r>
          </w:p>
        </w:tc>
        <w:tc>
          <w:tcPr>
            <w:tcW w:w="1337" w:type="pct"/>
            <w:vAlign w:val="bottom"/>
          </w:tcPr>
          <w:p w14:paraId="7A6A5CD3" w14:textId="77777777" w:rsidR="00ED572F" w:rsidRPr="00367D62"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67D62">
              <w:rPr>
                <w:rFonts w:cs="Times New Roman"/>
                <w:szCs w:val="24"/>
              </w:rPr>
              <w:t>70.00 (55.00</w:t>
            </w:r>
            <w:r>
              <w:rPr>
                <w:rFonts w:cs="Times New Roman"/>
                <w:szCs w:val="24"/>
              </w:rPr>
              <w:t xml:space="preserve">, </w:t>
            </w:r>
            <w:r w:rsidRPr="00367D62">
              <w:rPr>
                <w:rFonts w:cs="Times New Roman"/>
                <w:szCs w:val="24"/>
              </w:rPr>
              <w:t>83.33)</w:t>
            </w:r>
          </w:p>
        </w:tc>
        <w:tc>
          <w:tcPr>
            <w:tcW w:w="865" w:type="pct"/>
          </w:tcPr>
          <w:p w14:paraId="5D7806BB" w14:textId="77777777" w:rsidR="00ED572F" w:rsidRPr="00367D62"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67D62">
              <w:rPr>
                <w:rFonts w:cs="Times New Roman"/>
                <w:szCs w:val="24"/>
              </w:rPr>
              <w:t>77.72 (18.50)</w:t>
            </w:r>
          </w:p>
        </w:tc>
        <w:tc>
          <w:tcPr>
            <w:tcW w:w="550" w:type="pct"/>
          </w:tcPr>
          <w:p w14:paraId="60A72C57" w14:textId="77777777" w:rsidR="00ED572F" w:rsidRPr="00367D62"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b/>
                <w:bCs/>
                <w:i/>
                <w:iCs/>
                <w:szCs w:val="24"/>
              </w:rPr>
            </w:pPr>
            <w:r w:rsidRPr="00367D62">
              <w:rPr>
                <w:rFonts w:cs="Times New Roman"/>
                <w:b/>
                <w:bCs/>
                <w:i/>
                <w:iCs/>
                <w:szCs w:val="24"/>
              </w:rPr>
              <w:t>0.0</w:t>
            </w:r>
            <w:r>
              <w:rPr>
                <w:rFonts w:cs="Times New Roman"/>
                <w:b/>
                <w:bCs/>
                <w:i/>
                <w:iCs/>
                <w:szCs w:val="24"/>
              </w:rPr>
              <w:t>24</w:t>
            </w:r>
          </w:p>
        </w:tc>
        <w:tc>
          <w:tcPr>
            <w:tcW w:w="707" w:type="pct"/>
          </w:tcPr>
          <w:p w14:paraId="085D01D7" w14:textId="77777777" w:rsidR="00ED572F" w:rsidRPr="00367D62"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67D62">
              <w:rPr>
                <w:rFonts w:cs="Times New Roman"/>
                <w:szCs w:val="24"/>
              </w:rPr>
              <w:t>68.8 (1.65)</w:t>
            </w:r>
          </w:p>
        </w:tc>
        <w:tc>
          <w:tcPr>
            <w:tcW w:w="523" w:type="pct"/>
          </w:tcPr>
          <w:p w14:paraId="731C4EB9" w14:textId="77777777" w:rsidR="00ED572F" w:rsidRPr="00367D62"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67D62">
              <w:rPr>
                <w:rFonts w:cs="Times New Roman"/>
                <w:szCs w:val="24"/>
              </w:rPr>
              <w:t>0.</w:t>
            </w:r>
            <w:r>
              <w:rPr>
                <w:rFonts w:cs="Times New Roman"/>
                <w:szCs w:val="24"/>
              </w:rPr>
              <w:t>884</w:t>
            </w:r>
          </w:p>
        </w:tc>
      </w:tr>
      <w:tr w:rsidR="00ED572F" w:rsidRPr="00367D62" w14:paraId="2E6F4013" w14:textId="77777777" w:rsidTr="00B41D06">
        <w:trPr>
          <w:trHeight w:val="358"/>
        </w:trPr>
        <w:tc>
          <w:tcPr>
            <w:cnfStyle w:val="001000000000" w:firstRow="0" w:lastRow="0" w:firstColumn="1" w:lastColumn="0" w:oddVBand="0" w:evenVBand="0" w:oddHBand="0" w:evenHBand="0" w:firstRowFirstColumn="0" w:firstRowLastColumn="0" w:lastRowFirstColumn="0" w:lastRowLastColumn="0"/>
            <w:tcW w:w="1019" w:type="pct"/>
          </w:tcPr>
          <w:p w14:paraId="7B5875E5" w14:textId="77777777" w:rsidR="00ED572F" w:rsidRPr="00492DC7" w:rsidRDefault="00ED572F" w:rsidP="00B41D06">
            <w:pPr>
              <w:pStyle w:val="TableText"/>
              <w:rPr>
                <w:rFonts w:cs="Times New Roman"/>
                <w:szCs w:val="24"/>
              </w:rPr>
            </w:pPr>
            <w:r w:rsidRPr="00492DC7">
              <w:rPr>
                <w:rFonts w:cs="Times New Roman"/>
                <w:szCs w:val="24"/>
              </w:rPr>
              <w:t>Total Score</w:t>
            </w:r>
          </w:p>
        </w:tc>
        <w:tc>
          <w:tcPr>
            <w:tcW w:w="1337" w:type="pct"/>
          </w:tcPr>
          <w:p w14:paraId="0BAFBF24" w14:textId="77777777" w:rsidR="00ED572F" w:rsidRPr="00367D62"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79.76 (76.19, 89.13)</w:t>
            </w:r>
          </w:p>
        </w:tc>
        <w:tc>
          <w:tcPr>
            <w:tcW w:w="865" w:type="pct"/>
          </w:tcPr>
          <w:p w14:paraId="70447FBF" w14:textId="77777777" w:rsidR="00ED572F" w:rsidRPr="00367D62"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367D62">
              <w:rPr>
                <w:rFonts w:cs="Times New Roman"/>
                <w:szCs w:val="24"/>
              </w:rPr>
              <w:t>81.12 (13.85)</w:t>
            </w:r>
          </w:p>
        </w:tc>
        <w:tc>
          <w:tcPr>
            <w:tcW w:w="550" w:type="pct"/>
          </w:tcPr>
          <w:p w14:paraId="0EE5C105" w14:textId="77777777" w:rsidR="00ED572F" w:rsidRPr="00367D62"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367D62">
              <w:rPr>
                <w:rFonts w:cs="Times New Roman"/>
                <w:szCs w:val="24"/>
              </w:rPr>
              <w:t>0.</w:t>
            </w:r>
            <w:r>
              <w:rPr>
                <w:rFonts w:cs="Times New Roman"/>
                <w:szCs w:val="24"/>
              </w:rPr>
              <w:t>465</w:t>
            </w:r>
          </w:p>
        </w:tc>
        <w:tc>
          <w:tcPr>
            <w:tcW w:w="707" w:type="pct"/>
          </w:tcPr>
          <w:p w14:paraId="1F2A8F65" w14:textId="77777777" w:rsidR="00ED572F" w:rsidRPr="00367D62"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367D62">
              <w:rPr>
                <w:rFonts w:cs="Times New Roman"/>
                <w:szCs w:val="24"/>
              </w:rPr>
              <w:t>75.3 (1.22)</w:t>
            </w:r>
          </w:p>
        </w:tc>
        <w:tc>
          <w:tcPr>
            <w:tcW w:w="523" w:type="pct"/>
          </w:tcPr>
          <w:p w14:paraId="3ECBE078" w14:textId="77777777" w:rsidR="00ED572F" w:rsidRPr="00ED2F75"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ED2F75">
              <w:rPr>
                <w:rFonts w:cs="Times New Roman"/>
                <w:szCs w:val="24"/>
              </w:rPr>
              <w:t>0.083</w:t>
            </w:r>
          </w:p>
        </w:tc>
      </w:tr>
    </w:tbl>
    <w:p w14:paraId="7CF9E2A1" w14:textId="77777777" w:rsidR="00ED572F" w:rsidRPr="00367D62" w:rsidRDefault="00ED572F" w:rsidP="00ED572F"/>
    <w:p w14:paraId="19783081" w14:textId="2F554CF1" w:rsidR="00ED572F" w:rsidRDefault="00ED572F" w:rsidP="00ED572F">
      <w:r w:rsidRPr="00D81680">
        <w:t>Both parent and self-scores were largely comparable to UK norms and UK CF patients (table 2).  UK XLA paediatric patients did self-score significantly lower in the school score domain than UK norms.  Parents of XLA paediatric patients score</w:t>
      </w:r>
      <w:r>
        <w:t>d</w:t>
      </w:r>
      <w:r w:rsidRPr="00D81680">
        <w:t xml:space="preserve"> significantly higher in the social score compared to both UK norms and UK CF patients</w:t>
      </w:r>
      <w:r>
        <w:t xml:space="preserve">.  They scored </w:t>
      </w:r>
      <w:r w:rsidRPr="00D81680">
        <w:t>significantly lower in the school score compared to UK norms.</w:t>
      </w:r>
    </w:p>
    <w:p w14:paraId="32E97BA3" w14:textId="7567342F" w:rsidR="00ED572F" w:rsidRPr="00D81680" w:rsidRDefault="00ED572F" w:rsidP="00ED572F">
      <w:r>
        <w:t xml:space="preserve">There were no significant differences in the parent or self-reported </w:t>
      </w:r>
      <w:r w:rsidR="00EF673F">
        <w:t xml:space="preserve">total </w:t>
      </w:r>
      <w:r>
        <w:t>scores in patients receiving home versus hospital IgRT (p = 0.807 and p = 0.882 respectively).</w:t>
      </w:r>
      <w:r w:rsidR="00796860">
        <w:t xml:space="preserve">  There were no significant differences in parent reported </w:t>
      </w:r>
      <w:r w:rsidR="00FA6B7E">
        <w:t>total scores for patients receiving IV vs SC IgRT (</w:t>
      </w:r>
      <w:r w:rsidR="003D5F39">
        <w:t>77.80</w:t>
      </w:r>
      <w:r w:rsidR="00FA6B7E">
        <w:t xml:space="preserve"> vs </w:t>
      </w:r>
      <w:r w:rsidR="003D5F39">
        <w:t>80.40</w:t>
      </w:r>
      <w:r w:rsidR="00AD3D54">
        <w:t>, p = 0.37</w:t>
      </w:r>
      <w:r w:rsidR="003D5F39">
        <w:t>8</w:t>
      </w:r>
      <w:r w:rsidR="00AD3D54">
        <w:t>).</w:t>
      </w:r>
      <w:r w:rsidR="000E39F1">
        <w:t xml:space="preserve">  There were no significant differences in </w:t>
      </w:r>
      <w:r w:rsidR="00FD57D4">
        <w:t>self-reported</w:t>
      </w:r>
      <w:r w:rsidR="000E39F1">
        <w:t xml:space="preserve"> total scores for patients receiving IV vs SC IgRT (</w:t>
      </w:r>
      <w:r w:rsidR="009C1C8B">
        <w:t>58.70</w:t>
      </w:r>
      <w:r w:rsidR="000E39F1">
        <w:t xml:space="preserve"> vs </w:t>
      </w:r>
      <w:r w:rsidR="009C1C8B">
        <w:t>81.50</w:t>
      </w:r>
      <w:r w:rsidR="000E39F1">
        <w:t>, p = 0.</w:t>
      </w:r>
      <w:r w:rsidR="00F93ECB">
        <w:t>32</w:t>
      </w:r>
      <w:r w:rsidR="009C1C8B">
        <w:t>7</w:t>
      </w:r>
      <w:r w:rsidR="000E39F1">
        <w:t xml:space="preserve">).  </w:t>
      </w:r>
    </w:p>
    <w:p w14:paraId="4238ED96" w14:textId="77777777" w:rsidR="00ED572F" w:rsidRPr="00367D62" w:rsidRDefault="00ED572F" w:rsidP="0057637C">
      <w:pPr>
        <w:pStyle w:val="Heading3"/>
      </w:pPr>
      <w:r w:rsidRPr="00367D62">
        <w:t>Strength and difficulties questionnaire (</w:t>
      </w:r>
      <w:r>
        <w:t>SDQ</w:t>
      </w:r>
      <w:r w:rsidRPr="00367D62">
        <w:t>)</w:t>
      </w:r>
    </w:p>
    <w:p w14:paraId="1CFF7760" w14:textId="77777777" w:rsidR="00ED572F" w:rsidRPr="00367D62" w:rsidRDefault="00ED572F" w:rsidP="00ED572F">
      <w:r w:rsidRPr="00367D62">
        <w:t>A total of 1</w:t>
      </w:r>
      <w:r>
        <w:t>1</w:t>
      </w:r>
      <w:r w:rsidRPr="00367D62">
        <w:t xml:space="preserve"> children and 2</w:t>
      </w:r>
      <w:r>
        <w:t>3</w:t>
      </w:r>
      <w:r w:rsidRPr="00367D62">
        <w:t xml:space="preserve"> parents filled out the SDQ (table </w:t>
      </w:r>
      <w:r>
        <w:t>3</w:t>
      </w:r>
      <w:r w:rsidRPr="00367D62">
        <w:t>).</w:t>
      </w:r>
    </w:p>
    <w:p w14:paraId="0F935639" w14:textId="353C8AB5" w:rsidR="00ED572F" w:rsidRPr="00246B9A" w:rsidRDefault="00ED572F" w:rsidP="00ED572F">
      <w:pPr>
        <w:pStyle w:val="Caption"/>
        <w:rPr>
          <w:rFonts w:cs="Times New Roman"/>
          <w:b w:val="0"/>
          <w:bCs/>
          <w:i/>
          <w:iCs w:val="0"/>
        </w:rPr>
      </w:pPr>
      <w:r w:rsidRPr="00246B9A">
        <w:rPr>
          <w:rFonts w:cs="Times New Roman"/>
          <w:bCs/>
          <w:iCs w:val="0"/>
        </w:rPr>
        <w:t xml:space="preserve">Table </w:t>
      </w:r>
      <w:r w:rsidRPr="00246B9A">
        <w:rPr>
          <w:rFonts w:cs="Times New Roman"/>
          <w:b w:val="0"/>
          <w:bCs/>
          <w:i/>
          <w:iCs w:val="0"/>
        </w:rPr>
        <w:fldChar w:fldCharType="begin"/>
      </w:r>
      <w:r w:rsidRPr="00246B9A">
        <w:rPr>
          <w:rFonts w:cs="Times New Roman"/>
          <w:bCs/>
          <w:iCs w:val="0"/>
        </w:rPr>
        <w:instrText xml:space="preserve"> SEQ Table \* ARABIC </w:instrText>
      </w:r>
      <w:r w:rsidRPr="00246B9A">
        <w:rPr>
          <w:rFonts w:cs="Times New Roman"/>
          <w:b w:val="0"/>
          <w:bCs/>
          <w:i/>
          <w:iCs w:val="0"/>
        </w:rPr>
        <w:fldChar w:fldCharType="separate"/>
      </w:r>
      <w:r w:rsidRPr="00246B9A">
        <w:rPr>
          <w:rFonts w:cs="Times New Roman"/>
          <w:bCs/>
          <w:iCs w:val="0"/>
          <w:noProof/>
        </w:rPr>
        <w:t>3</w:t>
      </w:r>
      <w:r w:rsidRPr="00246B9A">
        <w:rPr>
          <w:rFonts w:cs="Times New Roman"/>
          <w:b w:val="0"/>
          <w:bCs/>
          <w:i/>
          <w:iCs w:val="0"/>
        </w:rPr>
        <w:fldChar w:fldCharType="end"/>
      </w:r>
      <w:r w:rsidRPr="00246B9A">
        <w:rPr>
          <w:rFonts w:cs="Times New Roman"/>
          <w:bCs/>
          <w:iCs w:val="0"/>
        </w:rPr>
        <w:t xml:space="preserve"> SDQ scores for the cohort (median, IQR) versus UK norms (Mean, SD) </w:t>
      </w:r>
      <w:r w:rsidRPr="00246B9A">
        <w:rPr>
          <w:rFonts w:cs="Times New Roman"/>
          <w:b w:val="0"/>
          <w:bCs/>
          <w:i/>
          <w:iCs w:val="0"/>
        </w:rPr>
        <w:fldChar w:fldCharType="begin"/>
      </w:r>
      <w:r w:rsidR="00D106AB">
        <w:rPr>
          <w:rFonts w:cs="Times New Roman"/>
          <w:bCs/>
          <w:iCs w:val="0"/>
        </w:rPr>
        <w:instrText xml:space="preserve"> ADDIN ZOTERO_ITEM CSL_CITATION {"citationID":"xdZT4FzP","properties":{"formattedCitation":"(29)","plainCitation":"(29)","noteIndex":0},"citationItems":[{"id":1248,"uris":["http://zotero.org/users/12098505/items/3UPD6GRN"],"itemData":{"id":1248,"type":"article-journal","abstract":"The findings described in this report and summarized here focus on the prevalence of mental disorders among 5-15 year olds and on the associations between the presence of a mental disorder and biographic, sociodemographic, socio-economic, and social functioning characteristics of the child and the family. Causal relationships should not be assumed for any of the results presented in this report.","container-title":"International Review of Psychiatry","DOI":"10.1080/0954026021000046155","issue":"1-2","page":"185-187","title":"Mental health of children and adolescents in Great Britain","volume":"15","author":[{"family":"Meltzer","given":"H."},{"family":"Gatward","given":"R."},{"family":"Goodman","given":"R."},{"family":"Ford","given":"T."}],"issued":{"date-parts":[["2003",1]]}}}],"schema":"https://github.com/citation-style-language/schema/raw/master/csl-citation.json"} </w:instrText>
      </w:r>
      <w:r w:rsidRPr="00246B9A">
        <w:rPr>
          <w:rFonts w:cs="Times New Roman"/>
          <w:b w:val="0"/>
          <w:bCs/>
          <w:i/>
          <w:iCs w:val="0"/>
        </w:rPr>
        <w:fldChar w:fldCharType="separate"/>
      </w:r>
      <w:r w:rsidR="00D106AB" w:rsidRPr="00D106AB">
        <w:rPr>
          <w:rFonts w:cs="Times New Roman"/>
        </w:rPr>
        <w:t>(29)</w:t>
      </w:r>
      <w:r w:rsidRPr="00246B9A">
        <w:rPr>
          <w:rFonts w:cs="Times New Roman"/>
          <w:b w:val="0"/>
          <w:bCs/>
          <w:i/>
          <w:iCs w:val="0"/>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268"/>
        <w:gridCol w:w="2368"/>
        <w:gridCol w:w="1691"/>
      </w:tblGrid>
      <w:tr w:rsidR="00ED572F" w:rsidRPr="00367D62" w14:paraId="7F9F5A3D" w14:textId="77777777" w:rsidTr="00B41D06">
        <w:tc>
          <w:tcPr>
            <w:tcW w:w="1491" w:type="pct"/>
          </w:tcPr>
          <w:p w14:paraId="225F92F7" w14:textId="77777777" w:rsidR="00ED572F" w:rsidRPr="00492DC7" w:rsidRDefault="00ED572F" w:rsidP="00B41D06">
            <w:pPr>
              <w:pStyle w:val="TableText"/>
              <w:rPr>
                <w:b/>
                <w:bCs/>
              </w:rPr>
            </w:pPr>
            <w:r w:rsidRPr="00492DC7">
              <w:rPr>
                <w:b/>
                <w:bCs/>
              </w:rPr>
              <w:t>Component</w:t>
            </w:r>
          </w:p>
        </w:tc>
        <w:tc>
          <w:tcPr>
            <w:tcW w:w="1258" w:type="pct"/>
          </w:tcPr>
          <w:p w14:paraId="4795C16E" w14:textId="77777777" w:rsidR="00ED572F" w:rsidRPr="00492DC7" w:rsidRDefault="00ED572F" w:rsidP="00B41D06">
            <w:pPr>
              <w:pStyle w:val="TableText"/>
              <w:jc w:val="center"/>
              <w:rPr>
                <w:b/>
                <w:bCs/>
              </w:rPr>
            </w:pPr>
            <w:r w:rsidRPr="00492DC7">
              <w:rPr>
                <w:b/>
                <w:bCs/>
              </w:rPr>
              <w:t>Cohort</w:t>
            </w:r>
          </w:p>
        </w:tc>
        <w:tc>
          <w:tcPr>
            <w:tcW w:w="1313" w:type="pct"/>
          </w:tcPr>
          <w:p w14:paraId="572A7F89" w14:textId="77777777" w:rsidR="00ED572F" w:rsidRPr="00492DC7" w:rsidRDefault="00ED572F" w:rsidP="00B41D06">
            <w:pPr>
              <w:pStyle w:val="TableText"/>
              <w:jc w:val="center"/>
              <w:rPr>
                <w:b/>
                <w:bCs/>
              </w:rPr>
            </w:pPr>
            <w:r w:rsidRPr="00492DC7">
              <w:rPr>
                <w:b/>
                <w:bCs/>
              </w:rPr>
              <w:t>UK norms</w:t>
            </w:r>
          </w:p>
        </w:tc>
        <w:tc>
          <w:tcPr>
            <w:tcW w:w="938" w:type="pct"/>
          </w:tcPr>
          <w:p w14:paraId="146B9E29" w14:textId="77777777" w:rsidR="00ED572F" w:rsidRPr="00492DC7" w:rsidRDefault="00ED572F" w:rsidP="00B41D06">
            <w:pPr>
              <w:pStyle w:val="TableText"/>
              <w:jc w:val="center"/>
              <w:rPr>
                <w:b/>
                <w:bCs/>
              </w:rPr>
            </w:pPr>
            <w:r w:rsidRPr="00492DC7">
              <w:rPr>
                <w:b/>
                <w:bCs/>
              </w:rPr>
              <w:t>p value</w:t>
            </w:r>
          </w:p>
        </w:tc>
      </w:tr>
      <w:tr w:rsidR="00ED572F" w:rsidRPr="00367D62" w14:paraId="3D1B87F1" w14:textId="77777777" w:rsidTr="00B41D06">
        <w:tc>
          <w:tcPr>
            <w:tcW w:w="5000" w:type="pct"/>
            <w:gridSpan w:val="4"/>
            <w:shd w:val="clear" w:color="auto" w:fill="FFFFFF"/>
          </w:tcPr>
          <w:p w14:paraId="1F55E414" w14:textId="1FE8CCB1" w:rsidR="00ED572F" w:rsidRPr="00492DC7" w:rsidRDefault="00ED572F" w:rsidP="00B41D06">
            <w:pPr>
              <w:pStyle w:val="TableText"/>
              <w:rPr>
                <w:b/>
                <w:bCs/>
              </w:rPr>
            </w:pPr>
            <w:r w:rsidRPr="00492DC7">
              <w:rPr>
                <w:b/>
                <w:bCs/>
              </w:rPr>
              <w:t>Self-Scores</w:t>
            </w:r>
            <w:r w:rsidR="00AD27CD">
              <w:rPr>
                <w:b/>
                <w:bCs/>
              </w:rPr>
              <w:t xml:space="preserve"> (n = 11)</w:t>
            </w:r>
          </w:p>
        </w:tc>
      </w:tr>
      <w:tr w:rsidR="00ED572F" w:rsidRPr="00367D62" w14:paraId="00536969" w14:textId="77777777" w:rsidTr="00B41D06">
        <w:tc>
          <w:tcPr>
            <w:tcW w:w="1491" w:type="pct"/>
            <w:shd w:val="clear" w:color="auto" w:fill="FFFFFF"/>
            <w:vAlign w:val="bottom"/>
          </w:tcPr>
          <w:p w14:paraId="643AF6A0" w14:textId="77777777" w:rsidR="00ED572F" w:rsidRPr="00492DC7" w:rsidRDefault="00ED572F" w:rsidP="00B41D06">
            <w:pPr>
              <w:pStyle w:val="TableText"/>
              <w:rPr>
                <w:b/>
                <w:bCs/>
              </w:rPr>
            </w:pPr>
            <w:r w:rsidRPr="00492DC7">
              <w:rPr>
                <w:b/>
                <w:bCs/>
              </w:rPr>
              <w:t>Emotional Score</w:t>
            </w:r>
          </w:p>
        </w:tc>
        <w:tc>
          <w:tcPr>
            <w:tcW w:w="1258" w:type="pct"/>
            <w:vAlign w:val="bottom"/>
          </w:tcPr>
          <w:p w14:paraId="45143C4E" w14:textId="77777777" w:rsidR="00ED572F" w:rsidRPr="00367D62" w:rsidRDefault="00ED572F" w:rsidP="00B41D06">
            <w:pPr>
              <w:pStyle w:val="TableText"/>
              <w:jc w:val="center"/>
            </w:pPr>
            <w:r w:rsidRPr="00367D62">
              <w:t>2.00 (1.00</w:t>
            </w:r>
            <w:r>
              <w:t xml:space="preserve">, </w:t>
            </w:r>
            <w:r w:rsidRPr="00367D62">
              <w:t>4.00)</w:t>
            </w:r>
          </w:p>
        </w:tc>
        <w:tc>
          <w:tcPr>
            <w:tcW w:w="1313" w:type="pct"/>
          </w:tcPr>
          <w:p w14:paraId="345A508E" w14:textId="77777777" w:rsidR="00ED572F" w:rsidRPr="00367D62" w:rsidRDefault="00ED572F" w:rsidP="00B41D06">
            <w:pPr>
              <w:pStyle w:val="TableText"/>
              <w:jc w:val="center"/>
            </w:pPr>
            <w:r w:rsidRPr="00367D62">
              <w:t>2.6</w:t>
            </w:r>
            <w:r>
              <w:t>0</w:t>
            </w:r>
            <w:r w:rsidRPr="00367D62">
              <w:t xml:space="preserve"> (1.9)</w:t>
            </w:r>
          </w:p>
        </w:tc>
        <w:tc>
          <w:tcPr>
            <w:tcW w:w="938" w:type="pct"/>
          </w:tcPr>
          <w:p w14:paraId="07D137B9" w14:textId="77777777" w:rsidR="00ED572F" w:rsidRPr="00367D62" w:rsidRDefault="00ED572F" w:rsidP="00B41D06">
            <w:pPr>
              <w:pStyle w:val="TableText"/>
              <w:jc w:val="center"/>
            </w:pPr>
            <w:r w:rsidRPr="00367D62">
              <w:t>0.</w:t>
            </w:r>
            <w:r>
              <w:t>592</w:t>
            </w:r>
          </w:p>
        </w:tc>
      </w:tr>
      <w:tr w:rsidR="00ED572F" w:rsidRPr="00367D62" w14:paraId="08A8E406" w14:textId="77777777" w:rsidTr="00B41D06">
        <w:tc>
          <w:tcPr>
            <w:tcW w:w="1491" w:type="pct"/>
            <w:shd w:val="clear" w:color="auto" w:fill="FFFFFF"/>
            <w:vAlign w:val="bottom"/>
          </w:tcPr>
          <w:p w14:paraId="1AFF9346" w14:textId="77777777" w:rsidR="00ED572F" w:rsidRPr="00492DC7" w:rsidRDefault="00ED572F" w:rsidP="00B41D06">
            <w:pPr>
              <w:pStyle w:val="TableText"/>
              <w:rPr>
                <w:b/>
                <w:bCs/>
              </w:rPr>
            </w:pPr>
            <w:r w:rsidRPr="00492DC7">
              <w:rPr>
                <w:b/>
                <w:bCs/>
              </w:rPr>
              <w:t>Conduct Score</w:t>
            </w:r>
          </w:p>
        </w:tc>
        <w:tc>
          <w:tcPr>
            <w:tcW w:w="1258" w:type="pct"/>
            <w:vAlign w:val="bottom"/>
          </w:tcPr>
          <w:p w14:paraId="59C1ABC3" w14:textId="77777777" w:rsidR="00ED572F" w:rsidRPr="00367D62" w:rsidRDefault="00ED572F" w:rsidP="00B41D06">
            <w:pPr>
              <w:pStyle w:val="TableText"/>
              <w:jc w:val="center"/>
            </w:pPr>
            <w:r>
              <w:t>2.00</w:t>
            </w:r>
            <w:r w:rsidRPr="00367D62">
              <w:t xml:space="preserve"> (1.00</w:t>
            </w:r>
            <w:r>
              <w:t>, 3</w:t>
            </w:r>
            <w:r w:rsidRPr="00367D62">
              <w:t>.00)</w:t>
            </w:r>
          </w:p>
        </w:tc>
        <w:tc>
          <w:tcPr>
            <w:tcW w:w="1313" w:type="pct"/>
          </w:tcPr>
          <w:p w14:paraId="75E73D11" w14:textId="77777777" w:rsidR="00ED572F" w:rsidRPr="00367D62" w:rsidRDefault="00ED572F" w:rsidP="00B41D06">
            <w:pPr>
              <w:pStyle w:val="TableText"/>
              <w:jc w:val="center"/>
            </w:pPr>
            <w:r w:rsidRPr="00367D62">
              <w:t>2.4</w:t>
            </w:r>
            <w:r>
              <w:t>0</w:t>
            </w:r>
            <w:r w:rsidRPr="00367D62">
              <w:t xml:space="preserve"> (1.7)</w:t>
            </w:r>
          </w:p>
        </w:tc>
        <w:tc>
          <w:tcPr>
            <w:tcW w:w="938" w:type="pct"/>
          </w:tcPr>
          <w:p w14:paraId="431E9E3A" w14:textId="77777777" w:rsidR="00ED572F" w:rsidRPr="00367D62" w:rsidRDefault="00ED572F" w:rsidP="00B41D06">
            <w:pPr>
              <w:pStyle w:val="TableText"/>
              <w:jc w:val="center"/>
            </w:pPr>
            <w:r w:rsidRPr="00367D62">
              <w:t>0.</w:t>
            </w:r>
            <w:r>
              <w:t>372</w:t>
            </w:r>
          </w:p>
        </w:tc>
      </w:tr>
      <w:tr w:rsidR="00ED572F" w:rsidRPr="00367D62" w14:paraId="355724CE" w14:textId="77777777" w:rsidTr="00B41D06">
        <w:tc>
          <w:tcPr>
            <w:tcW w:w="1491" w:type="pct"/>
            <w:shd w:val="clear" w:color="auto" w:fill="FFFFFF"/>
            <w:vAlign w:val="bottom"/>
          </w:tcPr>
          <w:p w14:paraId="5240828F" w14:textId="77777777" w:rsidR="00ED572F" w:rsidRPr="00492DC7" w:rsidRDefault="00ED572F" w:rsidP="00B41D06">
            <w:pPr>
              <w:pStyle w:val="TableText"/>
              <w:rPr>
                <w:b/>
                <w:bCs/>
              </w:rPr>
            </w:pPr>
            <w:r w:rsidRPr="00492DC7">
              <w:rPr>
                <w:b/>
                <w:bCs/>
              </w:rPr>
              <w:t>Hyperactivity Score</w:t>
            </w:r>
          </w:p>
        </w:tc>
        <w:tc>
          <w:tcPr>
            <w:tcW w:w="1258" w:type="pct"/>
            <w:vAlign w:val="bottom"/>
          </w:tcPr>
          <w:p w14:paraId="0FDD93A0" w14:textId="77777777" w:rsidR="00ED572F" w:rsidRPr="00367D62" w:rsidRDefault="00ED572F" w:rsidP="00B41D06">
            <w:pPr>
              <w:pStyle w:val="TableText"/>
              <w:jc w:val="center"/>
            </w:pPr>
            <w:r>
              <w:t>4.00</w:t>
            </w:r>
            <w:r w:rsidRPr="00367D62">
              <w:t xml:space="preserve"> (3.00</w:t>
            </w:r>
            <w:r>
              <w:t xml:space="preserve">, </w:t>
            </w:r>
            <w:r w:rsidRPr="00367D62">
              <w:t>5.00)</w:t>
            </w:r>
          </w:p>
        </w:tc>
        <w:tc>
          <w:tcPr>
            <w:tcW w:w="1313" w:type="pct"/>
          </w:tcPr>
          <w:p w14:paraId="42751546" w14:textId="77777777" w:rsidR="00ED572F" w:rsidRPr="00367D62" w:rsidRDefault="00ED572F" w:rsidP="00B41D06">
            <w:pPr>
              <w:pStyle w:val="TableText"/>
              <w:jc w:val="center"/>
            </w:pPr>
            <w:r w:rsidRPr="00367D62">
              <w:t>3.9</w:t>
            </w:r>
            <w:r>
              <w:t>0</w:t>
            </w:r>
            <w:r w:rsidRPr="00367D62">
              <w:t xml:space="preserve"> (2.2)</w:t>
            </w:r>
          </w:p>
        </w:tc>
        <w:tc>
          <w:tcPr>
            <w:tcW w:w="938" w:type="pct"/>
          </w:tcPr>
          <w:p w14:paraId="20BE0875" w14:textId="77777777" w:rsidR="00ED572F" w:rsidRPr="00367D62" w:rsidRDefault="00ED572F" w:rsidP="00B41D06">
            <w:pPr>
              <w:pStyle w:val="TableText"/>
              <w:jc w:val="center"/>
            </w:pPr>
            <w:r w:rsidRPr="00367D62">
              <w:t>0.</w:t>
            </w:r>
            <w:r>
              <w:t>371</w:t>
            </w:r>
          </w:p>
        </w:tc>
      </w:tr>
      <w:tr w:rsidR="00ED572F" w:rsidRPr="00367D62" w14:paraId="0973785A" w14:textId="77777777" w:rsidTr="00B41D06">
        <w:tc>
          <w:tcPr>
            <w:tcW w:w="1491" w:type="pct"/>
            <w:shd w:val="clear" w:color="auto" w:fill="FFFFFF"/>
            <w:vAlign w:val="bottom"/>
          </w:tcPr>
          <w:p w14:paraId="6B2BC46E" w14:textId="77777777" w:rsidR="00ED572F" w:rsidRPr="00492DC7" w:rsidRDefault="00ED572F" w:rsidP="00B41D06">
            <w:pPr>
              <w:pStyle w:val="TableText"/>
              <w:rPr>
                <w:b/>
                <w:bCs/>
              </w:rPr>
            </w:pPr>
            <w:r w:rsidRPr="00492DC7">
              <w:rPr>
                <w:b/>
                <w:bCs/>
              </w:rPr>
              <w:t>Peer Score</w:t>
            </w:r>
          </w:p>
        </w:tc>
        <w:tc>
          <w:tcPr>
            <w:tcW w:w="1258" w:type="pct"/>
            <w:vAlign w:val="bottom"/>
          </w:tcPr>
          <w:p w14:paraId="091BA8C0" w14:textId="77777777" w:rsidR="00ED572F" w:rsidRPr="00367D62" w:rsidRDefault="00ED572F" w:rsidP="00B41D06">
            <w:pPr>
              <w:pStyle w:val="TableText"/>
              <w:jc w:val="center"/>
            </w:pPr>
            <w:r w:rsidRPr="00367D62">
              <w:t>0.</w:t>
            </w:r>
            <w:r>
              <w:t>0</w:t>
            </w:r>
            <w:r w:rsidRPr="00367D62">
              <w:t>0 (0.00</w:t>
            </w:r>
            <w:r>
              <w:t xml:space="preserve">, </w:t>
            </w:r>
            <w:r w:rsidRPr="00367D62">
              <w:t>5.00)</w:t>
            </w:r>
          </w:p>
        </w:tc>
        <w:tc>
          <w:tcPr>
            <w:tcW w:w="1313" w:type="pct"/>
          </w:tcPr>
          <w:p w14:paraId="052579BD" w14:textId="77777777" w:rsidR="00ED572F" w:rsidRPr="00367D62" w:rsidRDefault="00ED572F" w:rsidP="00B41D06">
            <w:pPr>
              <w:pStyle w:val="TableText"/>
              <w:jc w:val="center"/>
            </w:pPr>
            <w:r w:rsidRPr="00367D62">
              <w:t>1.6</w:t>
            </w:r>
            <w:r>
              <w:t>0</w:t>
            </w:r>
            <w:r w:rsidRPr="00367D62">
              <w:t xml:space="preserve"> (1.4)</w:t>
            </w:r>
          </w:p>
        </w:tc>
        <w:tc>
          <w:tcPr>
            <w:tcW w:w="938" w:type="pct"/>
          </w:tcPr>
          <w:p w14:paraId="09BBECAE" w14:textId="77777777" w:rsidR="00ED572F" w:rsidRPr="00367D62" w:rsidRDefault="00ED572F" w:rsidP="00B41D06">
            <w:pPr>
              <w:pStyle w:val="TableText"/>
              <w:jc w:val="center"/>
            </w:pPr>
            <w:r w:rsidRPr="00367D62">
              <w:t>0.</w:t>
            </w:r>
            <w:r>
              <w:t>928</w:t>
            </w:r>
          </w:p>
        </w:tc>
      </w:tr>
      <w:tr w:rsidR="00ED572F" w:rsidRPr="00367D62" w14:paraId="6DC520ED" w14:textId="77777777" w:rsidTr="00B41D06">
        <w:tc>
          <w:tcPr>
            <w:tcW w:w="1491" w:type="pct"/>
            <w:tcBorders>
              <w:right w:val="nil"/>
            </w:tcBorders>
            <w:shd w:val="clear" w:color="auto" w:fill="FFFFFF"/>
            <w:vAlign w:val="bottom"/>
          </w:tcPr>
          <w:p w14:paraId="2DDCBD75" w14:textId="77777777" w:rsidR="00ED572F" w:rsidRPr="00492DC7" w:rsidRDefault="00ED572F" w:rsidP="00B41D06">
            <w:pPr>
              <w:pStyle w:val="TableText"/>
              <w:rPr>
                <w:b/>
                <w:bCs/>
              </w:rPr>
            </w:pPr>
            <w:r w:rsidRPr="00492DC7">
              <w:rPr>
                <w:b/>
                <w:bCs/>
              </w:rPr>
              <w:t>Prosocial Score</w:t>
            </w:r>
          </w:p>
        </w:tc>
        <w:tc>
          <w:tcPr>
            <w:tcW w:w="1258" w:type="pct"/>
            <w:vAlign w:val="bottom"/>
          </w:tcPr>
          <w:p w14:paraId="085D0427" w14:textId="77777777" w:rsidR="00ED572F" w:rsidRPr="00367D62" w:rsidRDefault="00ED572F" w:rsidP="00B41D06">
            <w:pPr>
              <w:pStyle w:val="TableText"/>
              <w:jc w:val="center"/>
            </w:pPr>
            <w:r w:rsidRPr="00367D62">
              <w:t>8.00 (7.00</w:t>
            </w:r>
            <w:r>
              <w:t xml:space="preserve">, </w:t>
            </w:r>
            <w:r w:rsidRPr="00367D62">
              <w:t>9.00)</w:t>
            </w:r>
          </w:p>
        </w:tc>
        <w:tc>
          <w:tcPr>
            <w:tcW w:w="1313" w:type="pct"/>
          </w:tcPr>
          <w:p w14:paraId="73750D0E" w14:textId="77777777" w:rsidR="00ED572F" w:rsidRPr="00367D62" w:rsidRDefault="00ED572F" w:rsidP="00B41D06">
            <w:pPr>
              <w:pStyle w:val="TableText"/>
              <w:jc w:val="center"/>
            </w:pPr>
            <w:r w:rsidRPr="00367D62">
              <w:t>7.5</w:t>
            </w:r>
            <w:r>
              <w:t>0</w:t>
            </w:r>
            <w:r w:rsidRPr="00367D62">
              <w:t xml:space="preserve"> (1.7)</w:t>
            </w:r>
          </w:p>
        </w:tc>
        <w:tc>
          <w:tcPr>
            <w:tcW w:w="938" w:type="pct"/>
          </w:tcPr>
          <w:p w14:paraId="6C82B776" w14:textId="77777777" w:rsidR="00ED572F" w:rsidRPr="00367D62" w:rsidRDefault="00ED572F" w:rsidP="00B41D06">
            <w:pPr>
              <w:pStyle w:val="TableText"/>
              <w:jc w:val="center"/>
            </w:pPr>
            <w:r w:rsidRPr="00367D62">
              <w:t>0.</w:t>
            </w:r>
            <w:r>
              <w:t>717</w:t>
            </w:r>
          </w:p>
        </w:tc>
      </w:tr>
      <w:tr w:rsidR="00ED572F" w:rsidRPr="00367D62" w14:paraId="7B3664A7" w14:textId="77777777" w:rsidTr="00B41D06">
        <w:tc>
          <w:tcPr>
            <w:tcW w:w="1491" w:type="pct"/>
            <w:tcBorders>
              <w:right w:val="nil"/>
            </w:tcBorders>
            <w:shd w:val="clear" w:color="auto" w:fill="FFFFFF"/>
            <w:vAlign w:val="bottom"/>
          </w:tcPr>
          <w:p w14:paraId="3E8D1610" w14:textId="77777777" w:rsidR="00ED572F" w:rsidRPr="00492DC7" w:rsidRDefault="00ED572F" w:rsidP="00B41D06">
            <w:pPr>
              <w:pStyle w:val="TableText"/>
              <w:rPr>
                <w:b/>
                <w:bCs/>
              </w:rPr>
            </w:pPr>
            <w:r w:rsidRPr="00492DC7">
              <w:rPr>
                <w:b/>
                <w:bCs/>
              </w:rPr>
              <w:t>Impact Score</w:t>
            </w:r>
          </w:p>
        </w:tc>
        <w:tc>
          <w:tcPr>
            <w:tcW w:w="1258" w:type="pct"/>
            <w:vAlign w:val="bottom"/>
          </w:tcPr>
          <w:p w14:paraId="4594484B" w14:textId="77777777" w:rsidR="00ED572F" w:rsidRPr="00367D62" w:rsidRDefault="00ED572F" w:rsidP="00B41D06">
            <w:pPr>
              <w:pStyle w:val="TableText"/>
              <w:jc w:val="center"/>
            </w:pPr>
            <w:r w:rsidRPr="00367D62">
              <w:t>0.00 (0.00</w:t>
            </w:r>
            <w:r>
              <w:t xml:space="preserve">, </w:t>
            </w:r>
            <w:r w:rsidRPr="00367D62">
              <w:t>0.00)</w:t>
            </w:r>
          </w:p>
        </w:tc>
        <w:tc>
          <w:tcPr>
            <w:tcW w:w="1313" w:type="pct"/>
          </w:tcPr>
          <w:p w14:paraId="64A62EF9" w14:textId="77777777" w:rsidR="00ED572F" w:rsidRPr="00367D62" w:rsidRDefault="00ED572F" w:rsidP="00B41D06">
            <w:pPr>
              <w:pStyle w:val="TableText"/>
              <w:jc w:val="center"/>
            </w:pPr>
            <w:r w:rsidRPr="00367D62">
              <w:t>0.3</w:t>
            </w:r>
            <w:r>
              <w:t>0</w:t>
            </w:r>
            <w:r w:rsidRPr="00367D62">
              <w:t xml:space="preserve"> (0.8)</w:t>
            </w:r>
          </w:p>
        </w:tc>
        <w:tc>
          <w:tcPr>
            <w:tcW w:w="938" w:type="pct"/>
          </w:tcPr>
          <w:p w14:paraId="5664FC78" w14:textId="77777777" w:rsidR="00ED572F" w:rsidRPr="00367D62" w:rsidRDefault="00ED572F" w:rsidP="00B41D06">
            <w:pPr>
              <w:pStyle w:val="TableText"/>
              <w:jc w:val="center"/>
            </w:pPr>
            <w:r w:rsidRPr="00367D62">
              <w:t>0.</w:t>
            </w:r>
            <w:r>
              <w:t>256</w:t>
            </w:r>
          </w:p>
        </w:tc>
      </w:tr>
      <w:tr w:rsidR="00ED572F" w:rsidRPr="00367D62" w14:paraId="6173A3D6" w14:textId="77777777" w:rsidTr="00B41D06">
        <w:tc>
          <w:tcPr>
            <w:tcW w:w="1491" w:type="pct"/>
            <w:tcBorders>
              <w:right w:val="nil"/>
            </w:tcBorders>
            <w:shd w:val="clear" w:color="auto" w:fill="FFFFFF"/>
            <w:vAlign w:val="bottom"/>
          </w:tcPr>
          <w:p w14:paraId="70C04B6F" w14:textId="77777777" w:rsidR="00ED572F" w:rsidRPr="00492DC7" w:rsidRDefault="00ED572F" w:rsidP="00B41D06">
            <w:pPr>
              <w:pStyle w:val="TableText"/>
              <w:rPr>
                <w:b/>
                <w:bCs/>
              </w:rPr>
            </w:pPr>
            <w:r w:rsidRPr="00492DC7">
              <w:rPr>
                <w:b/>
                <w:bCs/>
              </w:rPr>
              <w:t>Total Score</w:t>
            </w:r>
          </w:p>
        </w:tc>
        <w:tc>
          <w:tcPr>
            <w:tcW w:w="1258" w:type="pct"/>
            <w:vAlign w:val="bottom"/>
          </w:tcPr>
          <w:p w14:paraId="1C1AC967" w14:textId="77777777" w:rsidR="00ED572F" w:rsidRPr="00367D62" w:rsidRDefault="00ED572F" w:rsidP="00B41D06">
            <w:pPr>
              <w:pStyle w:val="TableText"/>
              <w:jc w:val="center"/>
            </w:pPr>
            <w:r>
              <w:t>10.00</w:t>
            </w:r>
            <w:r w:rsidRPr="00367D62">
              <w:t xml:space="preserve"> (5.00</w:t>
            </w:r>
            <w:r>
              <w:t xml:space="preserve">, </w:t>
            </w:r>
            <w:r w:rsidRPr="00367D62">
              <w:t>14.00)</w:t>
            </w:r>
          </w:p>
        </w:tc>
        <w:tc>
          <w:tcPr>
            <w:tcW w:w="1313" w:type="pct"/>
          </w:tcPr>
          <w:p w14:paraId="4AAD336F" w14:textId="77777777" w:rsidR="00ED572F" w:rsidRPr="00367D62" w:rsidRDefault="00ED572F" w:rsidP="00B41D06">
            <w:pPr>
              <w:pStyle w:val="TableText"/>
              <w:jc w:val="center"/>
            </w:pPr>
            <w:r w:rsidRPr="00367D62">
              <w:t>10.5</w:t>
            </w:r>
            <w:r>
              <w:t>0</w:t>
            </w:r>
            <w:r w:rsidRPr="00367D62">
              <w:t xml:space="preserve"> (5.1)</w:t>
            </w:r>
          </w:p>
        </w:tc>
        <w:tc>
          <w:tcPr>
            <w:tcW w:w="938" w:type="pct"/>
          </w:tcPr>
          <w:p w14:paraId="719AF9F2" w14:textId="77777777" w:rsidR="00ED572F" w:rsidRPr="00367D62" w:rsidRDefault="00ED572F" w:rsidP="00B41D06">
            <w:pPr>
              <w:pStyle w:val="TableText"/>
              <w:jc w:val="center"/>
            </w:pPr>
            <w:r w:rsidRPr="00367D62">
              <w:t>0.</w:t>
            </w:r>
            <w:r>
              <w:t>788</w:t>
            </w:r>
          </w:p>
        </w:tc>
      </w:tr>
      <w:tr w:rsidR="00ED572F" w:rsidRPr="00367D62" w14:paraId="26A3725A" w14:textId="77777777" w:rsidTr="00B41D06">
        <w:trPr>
          <w:trHeight w:val="70"/>
        </w:trPr>
        <w:tc>
          <w:tcPr>
            <w:tcW w:w="5000" w:type="pct"/>
            <w:gridSpan w:val="4"/>
            <w:shd w:val="clear" w:color="auto" w:fill="FFFFFF"/>
          </w:tcPr>
          <w:p w14:paraId="2C612A60" w14:textId="041BE04F" w:rsidR="00ED572F" w:rsidRPr="00492DC7" w:rsidRDefault="00ED572F" w:rsidP="00B41D06">
            <w:pPr>
              <w:pStyle w:val="TableText"/>
              <w:rPr>
                <w:b/>
                <w:bCs/>
              </w:rPr>
            </w:pPr>
            <w:r w:rsidRPr="00492DC7">
              <w:rPr>
                <w:b/>
                <w:bCs/>
              </w:rPr>
              <w:t>Parent Scores</w:t>
            </w:r>
            <w:r w:rsidR="00AD27CD">
              <w:rPr>
                <w:b/>
                <w:bCs/>
              </w:rPr>
              <w:t xml:space="preserve"> (</w:t>
            </w:r>
            <w:r w:rsidR="00F10CE9">
              <w:rPr>
                <w:b/>
                <w:bCs/>
              </w:rPr>
              <w:t>n =</w:t>
            </w:r>
            <w:r w:rsidR="00AD27CD">
              <w:rPr>
                <w:b/>
                <w:bCs/>
              </w:rPr>
              <w:t xml:space="preserve"> 23)</w:t>
            </w:r>
          </w:p>
        </w:tc>
      </w:tr>
      <w:tr w:rsidR="00ED572F" w:rsidRPr="00367D62" w14:paraId="214268BC" w14:textId="77777777" w:rsidTr="00B41D06">
        <w:tc>
          <w:tcPr>
            <w:tcW w:w="1491" w:type="pct"/>
            <w:shd w:val="clear" w:color="auto" w:fill="FFFFFF"/>
            <w:vAlign w:val="bottom"/>
          </w:tcPr>
          <w:p w14:paraId="6766B97D" w14:textId="77777777" w:rsidR="00ED572F" w:rsidRPr="00492DC7" w:rsidRDefault="00ED572F" w:rsidP="00B41D06">
            <w:pPr>
              <w:pStyle w:val="TableText"/>
              <w:rPr>
                <w:b/>
                <w:bCs/>
              </w:rPr>
            </w:pPr>
            <w:r w:rsidRPr="00492DC7">
              <w:rPr>
                <w:b/>
                <w:bCs/>
              </w:rPr>
              <w:t>Emotional Score</w:t>
            </w:r>
          </w:p>
        </w:tc>
        <w:tc>
          <w:tcPr>
            <w:tcW w:w="1258" w:type="pct"/>
            <w:vAlign w:val="bottom"/>
          </w:tcPr>
          <w:p w14:paraId="6AE6E599" w14:textId="77777777" w:rsidR="00ED572F" w:rsidRPr="00367D62" w:rsidRDefault="00ED572F" w:rsidP="00B41D06">
            <w:pPr>
              <w:pStyle w:val="TableText"/>
              <w:jc w:val="center"/>
            </w:pPr>
            <w:r w:rsidRPr="00367D62">
              <w:t>2.00 (1.00</w:t>
            </w:r>
            <w:r>
              <w:t xml:space="preserve">, </w:t>
            </w:r>
            <w:r w:rsidRPr="00367D62">
              <w:t>5.00)</w:t>
            </w:r>
          </w:p>
        </w:tc>
        <w:tc>
          <w:tcPr>
            <w:tcW w:w="1313" w:type="pct"/>
          </w:tcPr>
          <w:p w14:paraId="3702FBB8" w14:textId="77777777" w:rsidR="00ED572F" w:rsidRPr="00367D62" w:rsidRDefault="00ED572F" w:rsidP="00B41D06">
            <w:pPr>
              <w:pStyle w:val="TableText"/>
              <w:jc w:val="center"/>
            </w:pPr>
            <w:r w:rsidRPr="00367D62">
              <w:t>1.8 (2.0)</w:t>
            </w:r>
          </w:p>
        </w:tc>
        <w:tc>
          <w:tcPr>
            <w:tcW w:w="938" w:type="pct"/>
          </w:tcPr>
          <w:p w14:paraId="087F934B" w14:textId="77777777" w:rsidR="00ED572F" w:rsidRPr="00367D62" w:rsidRDefault="00ED572F" w:rsidP="00B41D06">
            <w:pPr>
              <w:pStyle w:val="TableText"/>
              <w:jc w:val="center"/>
            </w:pPr>
            <w:r w:rsidRPr="00367D62">
              <w:t>0.</w:t>
            </w:r>
            <w:r>
              <w:t>393</w:t>
            </w:r>
          </w:p>
        </w:tc>
      </w:tr>
      <w:tr w:rsidR="00ED572F" w:rsidRPr="00367D62" w14:paraId="2B9E5B0A" w14:textId="77777777" w:rsidTr="00B41D06">
        <w:tc>
          <w:tcPr>
            <w:tcW w:w="1491" w:type="pct"/>
            <w:shd w:val="clear" w:color="auto" w:fill="FFFFFF"/>
            <w:vAlign w:val="bottom"/>
          </w:tcPr>
          <w:p w14:paraId="0BB8A887" w14:textId="77777777" w:rsidR="00ED572F" w:rsidRPr="00492DC7" w:rsidRDefault="00ED572F" w:rsidP="00B41D06">
            <w:pPr>
              <w:pStyle w:val="TableText"/>
              <w:rPr>
                <w:b/>
                <w:bCs/>
              </w:rPr>
            </w:pPr>
            <w:r w:rsidRPr="00492DC7">
              <w:rPr>
                <w:b/>
                <w:bCs/>
              </w:rPr>
              <w:t>Conduct Score</w:t>
            </w:r>
          </w:p>
        </w:tc>
        <w:tc>
          <w:tcPr>
            <w:tcW w:w="1258" w:type="pct"/>
            <w:vAlign w:val="bottom"/>
          </w:tcPr>
          <w:p w14:paraId="4625E74F" w14:textId="77777777" w:rsidR="00ED572F" w:rsidRPr="00367D62" w:rsidRDefault="00ED572F" w:rsidP="00B41D06">
            <w:pPr>
              <w:pStyle w:val="TableText"/>
              <w:jc w:val="center"/>
            </w:pPr>
            <w:r w:rsidRPr="00367D62">
              <w:t>1.00 (1.00</w:t>
            </w:r>
            <w:r>
              <w:t xml:space="preserve">, </w:t>
            </w:r>
            <w:r w:rsidRPr="00367D62">
              <w:t>4.00)</w:t>
            </w:r>
          </w:p>
        </w:tc>
        <w:tc>
          <w:tcPr>
            <w:tcW w:w="1313" w:type="pct"/>
          </w:tcPr>
          <w:p w14:paraId="3727983E" w14:textId="77777777" w:rsidR="00ED572F" w:rsidRPr="00367D62" w:rsidRDefault="00ED572F" w:rsidP="00B41D06">
            <w:pPr>
              <w:pStyle w:val="TableText"/>
              <w:jc w:val="center"/>
            </w:pPr>
            <w:r w:rsidRPr="00367D62">
              <w:t>1.7 (1.8)</w:t>
            </w:r>
          </w:p>
        </w:tc>
        <w:tc>
          <w:tcPr>
            <w:tcW w:w="938" w:type="pct"/>
          </w:tcPr>
          <w:p w14:paraId="05085480" w14:textId="77777777" w:rsidR="00ED572F" w:rsidRPr="00367D62" w:rsidRDefault="00ED572F" w:rsidP="00B41D06">
            <w:pPr>
              <w:pStyle w:val="TableText"/>
              <w:jc w:val="center"/>
            </w:pPr>
            <w:r w:rsidRPr="00367D62">
              <w:t>0.</w:t>
            </w:r>
            <w:r>
              <w:t>541</w:t>
            </w:r>
          </w:p>
        </w:tc>
      </w:tr>
      <w:tr w:rsidR="00ED572F" w:rsidRPr="00367D62" w14:paraId="7FC436FF" w14:textId="77777777" w:rsidTr="00B41D06">
        <w:tc>
          <w:tcPr>
            <w:tcW w:w="1491" w:type="pct"/>
            <w:shd w:val="clear" w:color="auto" w:fill="FFFFFF"/>
            <w:vAlign w:val="bottom"/>
          </w:tcPr>
          <w:p w14:paraId="75174C5F" w14:textId="77777777" w:rsidR="00ED572F" w:rsidRPr="00492DC7" w:rsidRDefault="00ED572F" w:rsidP="00B41D06">
            <w:pPr>
              <w:pStyle w:val="TableText"/>
              <w:rPr>
                <w:b/>
                <w:bCs/>
              </w:rPr>
            </w:pPr>
            <w:r w:rsidRPr="00492DC7">
              <w:rPr>
                <w:b/>
                <w:bCs/>
              </w:rPr>
              <w:t>Hyperactivity Score</w:t>
            </w:r>
          </w:p>
        </w:tc>
        <w:tc>
          <w:tcPr>
            <w:tcW w:w="1258" w:type="pct"/>
            <w:vAlign w:val="bottom"/>
          </w:tcPr>
          <w:p w14:paraId="19D9CC21" w14:textId="77777777" w:rsidR="00ED572F" w:rsidRPr="00367D62" w:rsidRDefault="00ED572F" w:rsidP="00B41D06">
            <w:pPr>
              <w:pStyle w:val="TableText"/>
              <w:jc w:val="center"/>
            </w:pPr>
            <w:r>
              <w:t>4</w:t>
            </w:r>
            <w:r w:rsidRPr="00367D62">
              <w:t>.00 (</w:t>
            </w:r>
            <w:r>
              <w:t>3</w:t>
            </w:r>
            <w:r w:rsidRPr="00367D62">
              <w:t>.00</w:t>
            </w:r>
            <w:r>
              <w:t xml:space="preserve">, </w:t>
            </w:r>
            <w:r w:rsidRPr="00367D62">
              <w:t>6.00)</w:t>
            </w:r>
          </w:p>
        </w:tc>
        <w:tc>
          <w:tcPr>
            <w:tcW w:w="1313" w:type="pct"/>
          </w:tcPr>
          <w:p w14:paraId="5378CBF4" w14:textId="77777777" w:rsidR="00ED572F" w:rsidRPr="00367D62" w:rsidRDefault="00ED572F" w:rsidP="00B41D06">
            <w:pPr>
              <w:pStyle w:val="TableText"/>
              <w:jc w:val="center"/>
            </w:pPr>
            <w:r w:rsidRPr="00367D62">
              <w:t>4.0 (2.7)</w:t>
            </w:r>
          </w:p>
        </w:tc>
        <w:tc>
          <w:tcPr>
            <w:tcW w:w="938" w:type="pct"/>
          </w:tcPr>
          <w:p w14:paraId="5C3531CC" w14:textId="77777777" w:rsidR="00ED572F" w:rsidRPr="00367D62" w:rsidRDefault="00ED572F" w:rsidP="00B41D06">
            <w:pPr>
              <w:pStyle w:val="TableText"/>
              <w:jc w:val="center"/>
            </w:pPr>
            <w:r w:rsidRPr="00367D62">
              <w:t>0</w:t>
            </w:r>
            <w:r>
              <w:t>.174</w:t>
            </w:r>
          </w:p>
        </w:tc>
      </w:tr>
      <w:tr w:rsidR="00ED572F" w:rsidRPr="00367D62" w14:paraId="4D9E5667" w14:textId="77777777" w:rsidTr="00B41D06">
        <w:tc>
          <w:tcPr>
            <w:tcW w:w="1491" w:type="pct"/>
            <w:shd w:val="clear" w:color="auto" w:fill="FFFFFF"/>
            <w:vAlign w:val="bottom"/>
          </w:tcPr>
          <w:p w14:paraId="257ED750" w14:textId="77777777" w:rsidR="00ED572F" w:rsidRPr="00492DC7" w:rsidRDefault="00ED572F" w:rsidP="00B41D06">
            <w:pPr>
              <w:pStyle w:val="TableText"/>
              <w:rPr>
                <w:b/>
                <w:bCs/>
              </w:rPr>
            </w:pPr>
            <w:r w:rsidRPr="00492DC7">
              <w:rPr>
                <w:b/>
                <w:bCs/>
              </w:rPr>
              <w:t>Peer Score</w:t>
            </w:r>
          </w:p>
        </w:tc>
        <w:tc>
          <w:tcPr>
            <w:tcW w:w="1258" w:type="pct"/>
            <w:vAlign w:val="bottom"/>
          </w:tcPr>
          <w:p w14:paraId="0E16E983" w14:textId="77777777" w:rsidR="00ED572F" w:rsidRPr="00367D62" w:rsidRDefault="00ED572F" w:rsidP="00B41D06">
            <w:pPr>
              <w:pStyle w:val="TableText"/>
              <w:jc w:val="center"/>
            </w:pPr>
            <w:r w:rsidRPr="00367D62">
              <w:t>0.00 (0.00</w:t>
            </w:r>
            <w:r>
              <w:t xml:space="preserve">, </w:t>
            </w:r>
            <w:r w:rsidRPr="00367D62">
              <w:t>1.00)</w:t>
            </w:r>
          </w:p>
        </w:tc>
        <w:tc>
          <w:tcPr>
            <w:tcW w:w="1313" w:type="pct"/>
          </w:tcPr>
          <w:p w14:paraId="20090B14" w14:textId="77777777" w:rsidR="00ED572F" w:rsidRPr="00367D62" w:rsidRDefault="00ED572F" w:rsidP="00B41D06">
            <w:pPr>
              <w:pStyle w:val="TableText"/>
              <w:jc w:val="center"/>
            </w:pPr>
            <w:r w:rsidRPr="00367D62">
              <w:t>1.5 (1.7)</w:t>
            </w:r>
          </w:p>
        </w:tc>
        <w:tc>
          <w:tcPr>
            <w:tcW w:w="938" w:type="pct"/>
          </w:tcPr>
          <w:p w14:paraId="15FAB27E" w14:textId="77777777" w:rsidR="00ED572F" w:rsidRPr="00367D62" w:rsidRDefault="00ED572F" w:rsidP="00B41D06">
            <w:pPr>
              <w:pStyle w:val="TableText"/>
              <w:jc w:val="center"/>
              <w:rPr>
                <w:b/>
                <w:bCs/>
                <w:i/>
                <w:iCs/>
              </w:rPr>
            </w:pPr>
            <w:r w:rsidRPr="00367D62">
              <w:rPr>
                <w:b/>
                <w:bCs/>
                <w:i/>
                <w:iCs/>
              </w:rPr>
              <w:t>0.01</w:t>
            </w:r>
            <w:r>
              <w:rPr>
                <w:b/>
                <w:bCs/>
                <w:i/>
                <w:iCs/>
              </w:rPr>
              <w:t>3</w:t>
            </w:r>
          </w:p>
        </w:tc>
      </w:tr>
      <w:tr w:rsidR="00ED572F" w:rsidRPr="00367D62" w14:paraId="103E4559" w14:textId="77777777" w:rsidTr="00B41D06">
        <w:tc>
          <w:tcPr>
            <w:tcW w:w="1491" w:type="pct"/>
            <w:tcBorders>
              <w:top w:val="single" w:sz="4" w:space="0" w:color="000000"/>
              <w:bottom w:val="single" w:sz="4" w:space="0" w:color="000000"/>
              <w:right w:val="nil"/>
            </w:tcBorders>
            <w:shd w:val="clear" w:color="auto" w:fill="FFFFFF"/>
            <w:vAlign w:val="bottom"/>
          </w:tcPr>
          <w:p w14:paraId="4E6583F6" w14:textId="77777777" w:rsidR="00ED572F" w:rsidRPr="00492DC7" w:rsidRDefault="00ED572F" w:rsidP="00B41D06">
            <w:pPr>
              <w:pStyle w:val="TableText"/>
              <w:rPr>
                <w:b/>
                <w:bCs/>
              </w:rPr>
            </w:pPr>
            <w:r w:rsidRPr="00492DC7">
              <w:rPr>
                <w:b/>
                <w:bCs/>
              </w:rPr>
              <w:t>Prosocial Score</w:t>
            </w:r>
          </w:p>
        </w:tc>
        <w:tc>
          <w:tcPr>
            <w:tcW w:w="1258" w:type="pct"/>
            <w:tcBorders>
              <w:top w:val="single" w:sz="4" w:space="0" w:color="000000"/>
              <w:bottom w:val="single" w:sz="4" w:space="0" w:color="000000"/>
            </w:tcBorders>
            <w:vAlign w:val="bottom"/>
          </w:tcPr>
          <w:p w14:paraId="27844657" w14:textId="77777777" w:rsidR="00ED572F" w:rsidRPr="00367D62" w:rsidRDefault="00ED572F" w:rsidP="00B41D06">
            <w:pPr>
              <w:pStyle w:val="TableText"/>
              <w:jc w:val="center"/>
            </w:pPr>
            <w:r w:rsidRPr="00367D62">
              <w:t>9.00 (7.00</w:t>
            </w:r>
            <w:r>
              <w:t xml:space="preserve">, </w:t>
            </w:r>
            <w:r w:rsidRPr="00367D62">
              <w:t>9.00)</w:t>
            </w:r>
          </w:p>
        </w:tc>
        <w:tc>
          <w:tcPr>
            <w:tcW w:w="1313" w:type="pct"/>
            <w:tcBorders>
              <w:top w:val="single" w:sz="4" w:space="0" w:color="000000"/>
              <w:bottom w:val="single" w:sz="4" w:space="0" w:color="000000"/>
            </w:tcBorders>
          </w:tcPr>
          <w:p w14:paraId="188B4682" w14:textId="77777777" w:rsidR="00ED572F" w:rsidRPr="00367D62" w:rsidRDefault="00ED572F" w:rsidP="00B41D06">
            <w:pPr>
              <w:pStyle w:val="TableText"/>
              <w:jc w:val="center"/>
            </w:pPr>
            <w:r w:rsidRPr="00367D62">
              <w:t>8.3 (1.6)</w:t>
            </w:r>
          </w:p>
        </w:tc>
        <w:tc>
          <w:tcPr>
            <w:tcW w:w="938" w:type="pct"/>
            <w:tcBorders>
              <w:top w:val="single" w:sz="4" w:space="0" w:color="000000"/>
              <w:bottom w:val="single" w:sz="4" w:space="0" w:color="000000"/>
            </w:tcBorders>
          </w:tcPr>
          <w:p w14:paraId="321CA6F8" w14:textId="77777777" w:rsidR="00ED572F" w:rsidRPr="00367D62" w:rsidRDefault="00ED572F" w:rsidP="00B41D06">
            <w:pPr>
              <w:pStyle w:val="TableText"/>
              <w:jc w:val="center"/>
            </w:pPr>
            <w:r w:rsidRPr="00367D62">
              <w:t>0.</w:t>
            </w:r>
            <w:r>
              <w:t>976</w:t>
            </w:r>
          </w:p>
        </w:tc>
      </w:tr>
      <w:tr w:rsidR="00ED572F" w:rsidRPr="00367D62" w14:paraId="078F6AFD" w14:textId="77777777" w:rsidTr="00B41D06">
        <w:tc>
          <w:tcPr>
            <w:tcW w:w="1491" w:type="pct"/>
            <w:tcBorders>
              <w:top w:val="single" w:sz="4" w:space="0" w:color="000000"/>
              <w:bottom w:val="single" w:sz="4" w:space="0" w:color="000000"/>
              <w:right w:val="nil"/>
            </w:tcBorders>
            <w:shd w:val="clear" w:color="auto" w:fill="FFFFFF"/>
            <w:vAlign w:val="bottom"/>
          </w:tcPr>
          <w:p w14:paraId="3FF72539" w14:textId="77777777" w:rsidR="00ED572F" w:rsidRPr="00492DC7" w:rsidRDefault="00ED572F" w:rsidP="00B41D06">
            <w:pPr>
              <w:pStyle w:val="TableText"/>
              <w:rPr>
                <w:b/>
                <w:bCs/>
              </w:rPr>
            </w:pPr>
            <w:r w:rsidRPr="00492DC7">
              <w:rPr>
                <w:b/>
                <w:bCs/>
              </w:rPr>
              <w:t>Impact Score</w:t>
            </w:r>
          </w:p>
        </w:tc>
        <w:tc>
          <w:tcPr>
            <w:tcW w:w="1258" w:type="pct"/>
            <w:tcBorders>
              <w:top w:val="single" w:sz="4" w:space="0" w:color="000000"/>
              <w:bottom w:val="single" w:sz="4" w:space="0" w:color="000000"/>
            </w:tcBorders>
            <w:vAlign w:val="bottom"/>
          </w:tcPr>
          <w:p w14:paraId="075BD6E6" w14:textId="77777777" w:rsidR="00ED572F" w:rsidRPr="00367D62" w:rsidRDefault="00ED572F" w:rsidP="00B41D06">
            <w:pPr>
              <w:pStyle w:val="TableText"/>
              <w:jc w:val="center"/>
            </w:pPr>
            <w:r w:rsidRPr="00367D62">
              <w:t>0.00 (0.00</w:t>
            </w:r>
            <w:r>
              <w:t xml:space="preserve">, </w:t>
            </w:r>
            <w:r w:rsidRPr="00367D62">
              <w:t>1.00)</w:t>
            </w:r>
          </w:p>
        </w:tc>
        <w:tc>
          <w:tcPr>
            <w:tcW w:w="1313" w:type="pct"/>
            <w:tcBorders>
              <w:top w:val="single" w:sz="4" w:space="0" w:color="000000"/>
              <w:bottom w:val="single" w:sz="4" w:space="0" w:color="000000"/>
            </w:tcBorders>
          </w:tcPr>
          <w:p w14:paraId="694FEB33" w14:textId="77777777" w:rsidR="00ED572F" w:rsidRPr="00367D62" w:rsidRDefault="00ED572F" w:rsidP="00B41D06">
            <w:pPr>
              <w:pStyle w:val="TableText"/>
              <w:jc w:val="center"/>
            </w:pPr>
            <w:r w:rsidRPr="00367D62">
              <w:t>0.5 (1.2)</w:t>
            </w:r>
          </w:p>
        </w:tc>
        <w:tc>
          <w:tcPr>
            <w:tcW w:w="938" w:type="pct"/>
            <w:tcBorders>
              <w:top w:val="single" w:sz="4" w:space="0" w:color="000000"/>
              <w:bottom w:val="single" w:sz="4" w:space="0" w:color="000000"/>
            </w:tcBorders>
          </w:tcPr>
          <w:p w14:paraId="39FF05D4" w14:textId="77777777" w:rsidR="00ED572F" w:rsidRPr="00367D62" w:rsidRDefault="00ED572F" w:rsidP="00B41D06">
            <w:pPr>
              <w:pStyle w:val="TableText"/>
              <w:jc w:val="center"/>
            </w:pPr>
            <w:r w:rsidRPr="00367D62">
              <w:t>0.</w:t>
            </w:r>
            <w:r>
              <w:t>181</w:t>
            </w:r>
          </w:p>
        </w:tc>
      </w:tr>
      <w:tr w:rsidR="00ED572F" w:rsidRPr="00367D62" w14:paraId="732E59D4" w14:textId="77777777" w:rsidTr="00B41D06">
        <w:tc>
          <w:tcPr>
            <w:tcW w:w="1491" w:type="pct"/>
            <w:shd w:val="clear" w:color="auto" w:fill="FFFFFF"/>
          </w:tcPr>
          <w:p w14:paraId="24081EA3" w14:textId="77777777" w:rsidR="00ED572F" w:rsidRPr="00492DC7" w:rsidRDefault="00ED572F" w:rsidP="00B41D06">
            <w:pPr>
              <w:pStyle w:val="TableText"/>
              <w:rPr>
                <w:b/>
                <w:bCs/>
              </w:rPr>
            </w:pPr>
            <w:r w:rsidRPr="00492DC7">
              <w:rPr>
                <w:b/>
                <w:bCs/>
              </w:rPr>
              <w:t>Total Score</w:t>
            </w:r>
          </w:p>
        </w:tc>
        <w:tc>
          <w:tcPr>
            <w:tcW w:w="1258" w:type="pct"/>
          </w:tcPr>
          <w:p w14:paraId="668C2BEE" w14:textId="77777777" w:rsidR="00ED572F" w:rsidRPr="00367D62" w:rsidRDefault="00ED572F" w:rsidP="00B41D06">
            <w:pPr>
              <w:pStyle w:val="TableText"/>
              <w:jc w:val="center"/>
            </w:pPr>
            <w:r w:rsidRPr="00367D62">
              <w:t>9.</w:t>
            </w:r>
            <w:r>
              <w:t>0</w:t>
            </w:r>
            <w:r w:rsidRPr="00367D62">
              <w:t>0 (7.00</w:t>
            </w:r>
            <w:r>
              <w:t xml:space="preserve">, </w:t>
            </w:r>
            <w:r w:rsidRPr="00367D62">
              <w:t>15.00)</w:t>
            </w:r>
          </w:p>
        </w:tc>
        <w:tc>
          <w:tcPr>
            <w:tcW w:w="1313" w:type="pct"/>
          </w:tcPr>
          <w:p w14:paraId="2A7E25B3" w14:textId="77777777" w:rsidR="00ED572F" w:rsidRPr="00367D62" w:rsidRDefault="00ED572F" w:rsidP="00B41D06">
            <w:pPr>
              <w:pStyle w:val="TableText"/>
              <w:jc w:val="center"/>
            </w:pPr>
            <w:r w:rsidRPr="00367D62">
              <w:t>9.1 (6.0)</w:t>
            </w:r>
          </w:p>
        </w:tc>
        <w:tc>
          <w:tcPr>
            <w:tcW w:w="938" w:type="pct"/>
          </w:tcPr>
          <w:p w14:paraId="44790E82" w14:textId="77777777" w:rsidR="00ED572F" w:rsidRPr="00367D62" w:rsidRDefault="00ED572F" w:rsidP="00B41D06">
            <w:pPr>
              <w:pStyle w:val="TableText"/>
              <w:jc w:val="center"/>
            </w:pPr>
            <w:r w:rsidRPr="00367D62">
              <w:t>0.</w:t>
            </w:r>
            <w:r>
              <w:t>542</w:t>
            </w:r>
          </w:p>
        </w:tc>
      </w:tr>
    </w:tbl>
    <w:p w14:paraId="54391A97" w14:textId="77777777" w:rsidR="00ED572F" w:rsidRPr="00367D62" w:rsidRDefault="00ED572F" w:rsidP="00ED572F"/>
    <w:p w14:paraId="2DBE075F" w14:textId="77777777" w:rsidR="00ED572F" w:rsidRPr="00367D62" w:rsidRDefault="00ED572F" w:rsidP="00ED572F">
      <w:r w:rsidRPr="00367D62">
        <w:t>SDQ scores were largely comparable to UK norms for both self-reported and parent scores, apart from parent scores for the peer domain which were significantly lower than UK norms.</w:t>
      </w:r>
    </w:p>
    <w:p w14:paraId="6E2D8C4B" w14:textId="466E07C0" w:rsidR="00ED572F" w:rsidRPr="00367D62" w:rsidRDefault="00ED572F" w:rsidP="00ED572F">
      <w:r w:rsidRPr="00367D62">
        <w:t>Using the SDQ score results, 2</w:t>
      </w:r>
      <w:r>
        <w:t>1</w:t>
      </w:r>
      <w:r w:rsidRPr="00367D62">
        <w:t>% of patients are likely to have a hyperactivity disorder.  Thirty-</w:t>
      </w:r>
      <w:r>
        <w:t>four</w:t>
      </w:r>
      <w:r w:rsidRPr="00367D62">
        <w:t xml:space="preserve"> per cent are predicted to possibly or probably have a conduct disorder and 2</w:t>
      </w:r>
      <w:r>
        <w:t>1</w:t>
      </w:r>
      <w:r w:rsidRPr="00367D62">
        <w:t>% to possibly or probably have an emotional disorder (</w:t>
      </w:r>
      <w:r w:rsidR="00CF395B">
        <w:t>Supplemental table 1</w:t>
      </w:r>
      <w:r w:rsidRPr="00367D62">
        <w:t>).</w:t>
      </w:r>
    </w:p>
    <w:p w14:paraId="060C30DA" w14:textId="77777777" w:rsidR="00ED572F" w:rsidRPr="009813F3" w:rsidRDefault="00ED572F" w:rsidP="00ED572F">
      <w:pPr>
        <w:pStyle w:val="Heading2"/>
        <w:ind w:left="576" w:hanging="576"/>
      </w:pPr>
      <w:r>
        <w:t>Adults</w:t>
      </w:r>
    </w:p>
    <w:p w14:paraId="1CBAD6C4" w14:textId="77777777" w:rsidR="00ED572F" w:rsidRPr="009813F3" w:rsidRDefault="00ED572F" w:rsidP="001E7005">
      <w:pPr>
        <w:pStyle w:val="Heading3"/>
      </w:pPr>
      <w:r w:rsidRPr="009813F3">
        <w:t>Short Form 36 version 2 (SF36v2) physical health</w:t>
      </w:r>
    </w:p>
    <w:p w14:paraId="46CDE030" w14:textId="13987803" w:rsidR="00ED572F" w:rsidRDefault="00ED572F" w:rsidP="00ED572F">
      <w:pPr>
        <w:rPr>
          <w:rFonts w:cs="Times New Roman"/>
          <w:b/>
          <w:bCs/>
          <w:sz w:val="24"/>
          <w:szCs w:val="24"/>
        </w:rPr>
      </w:pPr>
      <w:r w:rsidRPr="009813F3">
        <w:t>A total of 4</w:t>
      </w:r>
      <w:r>
        <w:t>2</w:t>
      </w:r>
      <w:r w:rsidRPr="009813F3">
        <w:t xml:space="preserve"> adults filled out the SF36v2 (table </w:t>
      </w:r>
      <w:r w:rsidR="00624C88">
        <w:t>4</w:t>
      </w:r>
      <w:r>
        <w:t>).</w:t>
      </w:r>
    </w:p>
    <w:p w14:paraId="631E7A1C" w14:textId="47DF44C6" w:rsidR="00ED572F" w:rsidRPr="009813F3" w:rsidRDefault="00ED572F" w:rsidP="00ED572F">
      <w:r w:rsidRPr="009813F3">
        <w:t>UK XLA patients score</w:t>
      </w:r>
      <w:r>
        <w:t>d</w:t>
      </w:r>
      <w:r w:rsidRPr="009813F3">
        <w:t xml:space="preserve"> significantly high</w:t>
      </w:r>
      <w:r>
        <w:t>er</w:t>
      </w:r>
      <w:r w:rsidRPr="009813F3">
        <w:t xml:space="preserve"> than CF patients in the physical function </w:t>
      </w:r>
      <w:r>
        <w:t xml:space="preserve">and </w:t>
      </w:r>
      <w:r w:rsidRPr="009813F3">
        <w:t>physical role domains.  They scored significantly lower in the general healthy domain compared to UK norms.  There were no significant differences in the remaining domains.</w:t>
      </w:r>
    </w:p>
    <w:p w14:paraId="233F7ADC" w14:textId="57165294" w:rsidR="00ED572F" w:rsidRPr="004F7688" w:rsidRDefault="00ED572F" w:rsidP="00ED572F">
      <w:r w:rsidRPr="009813F3">
        <w:t>X</w:t>
      </w:r>
      <w:r w:rsidRPr="004F7688">
        <w:t>LA patients with bronchiectasis scored significantly lower in all domains compared to those without.  XLA patients with bronchiectasis scored significantly lower in the pain and general health domains compared to both UK norms and CF patients.  In addition, patients with bronchiectasis scored significantly lower in the overall PCS compared to UK norms.</w:t>
      </w:r>
    </w:p>
    <w:p w14:paraId="555918F8" w14:textId="61DAE44E" w:rsidR="00ED572F" w:rsidRPr="004F7688" w:rsidRDefault="00ED572F" w:rsidP="004F7688">
      <w:pPr>
        <w:rPr>
          <w:rFonts w:cs="Times New Roman"/>
        </w:rPr>
      </w:pPr>
      <w:r w:rsidRPr="004F7688">
        <w:t xml:space="preserve">Increasing age correlated with a worse score in the PCS of the SF36v2, but other phenotype/outcome data did not (table </w:t>
      </w:r>
      <w:r w:rsidR="00624C88">
        <w:t>5</w:t>
      </w:r>
      <w:r w:rsidRPr="004F7688">
        <w:t>).</w:t>
      </w:r>
    </w:p>
    <w:p w14:paraId="561FD422" w14:textId="3284C252" w:rsidR="00ED572F" w:rsidRPr="004F7688" w:rsidRDefault="00ED572F" w:rsidP="004F7688">
      <w:pPr>
        <w:rPr>
          <w:rFonts w:cs="Times New Roman"/>
        </w:rPr>
        <w:sectPr w:rsidR="00ED572F" w:rsidRPr="004F7688" w:rsidSect="00FF1EBD">
          <w:pgSz w:w="11906" w:h="16838"/>
          <w:pgMar w:top="1440" w:right="1440" w:bottom="1440" w:left="1440" w:header="709" w:footer="709" w:gutter="0"/>
          <w:cols w:space="708"/>
          <w:docGrid w:linePitch="360"/>
        </w:sectPr>
      </w:pPr>
      <w:r w:rsidRPr="004F7688">
        <w:rPr>
          <w:rFonts w:cs="Times New Roman"/>
        </w:rPr>
        <w:t>There were no significant differences in median SF36v2 PCS for those receiving home IgRT versus hospital therapy (50.99 vs 48.14, p = 0.503).</w:t>
      </w:r>
      <w:r w:rsidR="003A6D81">
        <w:rPr>
          <w:rFonts w:cs="Times New Roman"/>
        </w:rPr>
        <w:t xml:space="preserve">  There were no significant differences in median SF36v2 PCS for those receiving IV vs SC IgRT (</w:t>
      </w:r>
      <w:r w:rsidR="005E2762">
        <w:rPr>
          <w:rFonts w:cs="Times New Roman"/>
        </w:rPr>
        <w:t>48.30 vs 51.50, p = 0.247).</w:t>
      </w:r>
    </w:p>
    <w:p w14:paraId="1E1A07BA" w14:textId="71AD0E8A" w:rsidR="00ED572F" w:rsidRPr="004F7688" w:rsidRDefault="00ED572F" w:rsidP="00ED572F">
      <w:pPr>
        <w:pStyle w:val="NoSpacing"/>
        <w:rPr>
          <w:rFonts w:cs="Times New Roman"/>
          <w:b/>
          <w:bCs/>
        </w:rPr>
      </w:pPr>
      <w:r w:rsidRPr="004F7688">
        <w:rPr>
          <w:rFonts w:cs="Times New Roman"/>
          <w:b/>
          <w:bCs/>
        </w:rPr>
        <w:lastRenderedPageBreak/>
        <w:t xml:space="preserve">Table </w:t>
      </w:r>
      <w:r w:rsidRPr="004F7688">
        <w:rPr>
          <w:rFonts w:cs="Times New Roman"/>
          <w:b/>
          <w:bCs/>
        </w:rPr>
        <w:fldChar w:fldCharType="begin"/>
      </w:r>
      <w:r w:rsidRPr="004F7688">
        <w:rPr>
          <w:rFonts w:cs="Times New Roman"/>
          <w:b/>
          <w:bCs/>
        </w:rPr>
        <w:instrText xml:space="preserve"> SEQ Table \* ARABIC </w:instrText>
      </w:r>
      <w:r w:rsidRPr="004F7688">
        <w:rPr>
          <w:rFonts w:cs="Times New Roman"/>
          <w:b/>
          <w:bCs/>
        </w:rPr>
        <w:fldChar w:fldCharType="separate"/>
      </w:r>
      <w:r w:rsidR="00197B97">
        <w:rPr>
          <w:rFonts w:cs="Times New Roman"/>
          <w:b/>
          <w:bCs/>
          <w:noProof/>
        </w:rPr>
        <w:t>4</w:t>
      </w:r>
      <w:r w:rsidRPr="004F7688">
        <w:rPr>
          <w:rFonts w:cs="Times New Roman"/>
          <w:b/>
          <w:bCs/>
        </w:rPr>
        <w:fldChar w:fldCharType="end"/>
      </w:r>
      <w:r w:rsidRPr="004F7688">
        <w:rPr>
          <w:rFonts w:cs="Times New Roman"/>
          <w:b/>
          <w:bCs/>
        </w:rPr>
        <w:t xml:space="preserve"> SF36v2 physical health scores for the cohort and by presence of bronchiectasis (median, IQR) compared to male UK norms </w:t>
      </w:r>
      <w:r w:rsidRPr="004F7688">
        <w:rPr>
          <w:rFonts w:cs="Times New Roman"/>
          <w:b/>
          <w:bCs/>
        </w:rPr>
        <w:fldChar w:fldCharType="begin"/>
      </w:r>
      <w:r w:rsidR="00D106AB">
        <w:rPr>
          <w:rFonts w:cs="Times New Roman"/>
          <w:b/>
          <w:bCs/>
        </w:rPr>
        <w:instrText xml:space="preserve"> ADDIN ZOTERO_ITEM CSL_CITATION {"citationID":"FqMZjx4H","properties":{"formattedCitation":"(30)","plainCitation":"(30)","noteIndex":0},"citationItems":[{"id":337,"uris":["http://zotero.org/users/12098505/items/55Z57YDK"],"itemData":{"id":337,"type":"article-journal","abstract":"OBJECTIVES: To introduce the UK SF36 Version II (SF36-II), and to (a) gain population norms for the UK SF36-II in a large community sample as well as to explore the instrument's internal consistency reliability and construct validity, and (b) to derive the Physical Component Summary (PCS) and Mental Component Summary (MCS) algorithms for the UK SF36-II. DESIGN: Postal survey using a questionnaire booklet, containing the SF-36-II and questions on demographics and long term illness. SETTING: The sample was drawn from General Practitioner Records held by the Health Authorities for Berkshire, Buckinghamshire, Northamptonshire, and Oxfordshire. SAMPLE: The questionnaire was sent to 13,800 randomly selected subjects between the ages of 18-64 inclusive. OUTCOME MEASURES: Scores for the eight dimensions of the UK SF36-II and the PCS and MCS summary scores. RESULTS: The survey achieved a response rate of 64.4% (n = 8889). Internal consistency of the different dimensions of the questionnaire were found to be high. Normative data for the SF-36 are reported, broken down by age and sex, and social class. Factor analysis of the eight domains produced a two factor solution and provided weights for the UK SF36-II. CONCLUSION: The SF36-II domains were shown to have improved reliability over the previous version of the UK SF36. Furthermore, enhancements to wording and response categories reduces the extent of floor and ceiling effects in the role performance dimensions. These advances are likely to lead to better precision as well as greater responsiveness in longitudinal studies.","container-title":"Journal of epidemiology and community health","DOI":"10.1136/jech.53.10.651","ISSN":"0143-005X (Print)\\r0143-005X (Linking)","issue":"1","page":"46-50","title":"Assessment of the SF-36 version 2 in the United Kingdom.","volume":"53","author":[{"family":"Jenkinson","given":"C"},{"family":"Stewart-Brown","given":"S"},{"family":"Petersen","given":"S"},{"family":"Paice","given":"C"}],"issued":{"date-parts":[["1999"]]}}}],"schema":"https://github.com/citation-style-language/schema/raw/master/csl-citation.json"} </w:instrText>
      </w:r>
      <w:r w:rsidRPr="004F7688">
        <w:rPr>
          <w:rFonts w:cs="Times New Roman"/>
          <w:b/>
          <w:bCs/>
        </w:rPr>
        <w:fldChar w:fldCharType="separate"/>
      </w:r>
      <w:r w:rsidR="00D106AB" w:rsidRPr="00D106AB">
        <w:rPr>
          <w:rFonts w:cs="Times New Roman"/>
        </w:rPr>
        <w:t>(30)</w:t>
      </w:r>
      <w:r w:rsidRPr="004F7688">
        <w:rPr>
          <w:rFonts w:cs="Times New Roman"/>
          <w:b/>
          <w:bCs/>
        </w:rPr>
        <w:fldChar w:fldCharType="end"/>
      </w:r>
      <w:r w:rsidRPr="004F7688">
        <w:rPr>
          <w:rFonts w:cs="Times New Roman"/>
          <w:b/>
          <w:bCs/>
        </w:rPr>
        <w:t xml:space="preserve"> and UK male patients with cystic fibrosis </w:t>
      </w:r>
      <w:r w:rsidRPr="004F7688">
        <w:rPr>
          <w:rFonts w:cs="Times New Roman"/>
          <w:b/>
          <w:bCs/>
        </w:rPr>
        <w:fldChar w:fldCharType="begin"/>
      </w:r>
      <w:r w:rsidR="00D106AB">
        <w:rPr>
          <w:rFonts w:cs="Times New Roman"/>
          <w:b/>
          <w:bCs/>
        </w:rPr>
        <w:instrText xml:space="preserve"> ADDIN ZOTERO_ITEM CSL_CITATION {"citationID":"2RtSmLEb","properties":{"formattedCitation":"(31)","plainCitation":"(31)","noteIndex":0},"citationItems":[{"id":1296,"uris":["http://zotero.org/users/12098505/items/WKMWSZAY"],"itemData":{"id":1296,"type":"article-journal","abstract":"BACKGROUND: Generic health-related quality of life measures are often applied to disease groups without assessment of their psychometric properties. The current work assesses the properties of the Short Form 36-item (SF-36) questionnaire in a British sample of adolescents and adults with cystic fibrosis (CF). METHODS: Two hundred and twenty-three adolescents and adults with CF completed the SF-36 with a further 185 approached and not responding by non-completion of the questionnaire. The structure and internal reliability of the instrument was assessed by principal components analysis, Cronbach alpha coefficients and item to domain correlations. Differences between disease severity groups were assessed by analysis of variance. RESULTS: Factor analysis of the SF-36 scores broadly confirmed domain structures for the SF-36. Cronbach alpha coefficients were high (range 0.82-0.91) and item-to-same domain correlations were stronger than item-to-unrelated domain correlations. Examination of differences between mild, moderate and severe disease states revealed four significant main effects for: physical functioning, role limitation due to physical functioning, general health perceptions and energy and vitality. The analysis also revealed the presence of numerous ceiling effects across domains. CONCLUSIONS: The domain structure of the SF-36 was demonstrated to be robust. However, the discriminatory ability of the measure was disappointing. The presence of ceiling effects and the low frequency of differences between intermediate disease severity groups indicated that the SF-36 was not discriminatory with respect to mild disease states or progression of illness.","container-title":"Journal of cystic fibrosis : official journal of the European Cystic Fibrosis Society","DOI":"10.1016/S1569-1993(02)00079-6","issue":"3","page":"137-145","publisher":"Elsevier","title":"Validation of the SF-36 for the assessment of quality of life in adolescents and adults with cystic fibrosis.","volume":"1","author":[{"family":"Gee","given":"L"},{"family":"Abbott","given":"J"},{"family":"Conway","given":"S P"},{"family":"Etherington","given":"C"},{"family":"Webb","given":"A K"}],"issued":{"date-parts":[["2002",9]]}}}],"schema":"https://github.com/citation-style-language/schema/raw/master/csl-citation.json"} </w:instrText>
      </w:r>
      <w:r w:rsidRPr="004F7688">
        <w:rPr>
          <w:rFonts w:cs="Times New Roman"/>
          <w:b/>
          <w:bCs/>
        </w:rPr>
        <w:fldChar w:fldCharType="separate"/>
      </w:r>
      <w:r w:rsidR="00D106AB" w:rsidRPr="00D106AB">
        <w:rPr>
          <w:rFonts w:cs="Times New Roman"/>
        </w:rPr>
        <w:t>(31)</w:t>
      </w:r>
      <w:r w:rsidRPr="004F7688">
        <w:rPr>
          <w:rFonts w:cs="Times New Roman"/>
          <w:b/>
          <w:bCs/>
        </w:rPr>
        <w:fldChar w:fldCharType="end"/>
      </w:r>
      <w:r w:rsidRPr="004F7688">
        <w:rPr>
          <w:rFonts w:cs="Times New Roman"/>
          <w:b/>
          <w:bCs/>
        </w:rPr>
        <w:t xml:space="preserve"> (mean, SD). </w:t>
      </w:r>
    </w:p>
    <w:tbl>
      <w:tblPr>
        <w:tblStyle w:val="ListTable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692"/>
        <w:gridCol w:w="2552"/>
        <w:gridCol w:w="2126"/>
        <w:gridCol w:w="2268"/>
        <w:gridCol w:w="2329"/>
      </w:tblGrid>
      <w:tr w:rsidR="00ED572F" w:rsidRPr="009813F3" w14:paraId="5124F852" w14:textId="77777777" w:rsidTr="00B41D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0" w:type="pct"/>
            <w:shd w:val="clear" w:color="auto" w:fill="auto"/>
          </w:tcPr>
          <w:p w14:paraId="67A72935" w14:textId="77777777" w:rsidR="00ED572F" w:rsidRPr="005907CC" w:rsidRDefault="00ED572F" w:rsidP="00B41D06">
            <w:pPr>
              <w:pStyle w:val="TableText"/>
              <w:rPr>
                <w:color w:val="auto"/>
              </w:rPr>
            </w:pPr>
          </w:p>
        </w:tc>
        <w:tc>
          <w:tcPr>
            <w:tcW w:w="965" w:type="pct"/>
            <w:shd w:val="clear" w:color="auto" w:fill="auto"/>
          </w:tcPr>
          <w:p w14:paraId="12E4D0C4" w14:textId="7C71FD3F" w:rsidR="00ED572F" w:rsidRPr="005907CC" w:rsidRDefault="00ED572F" w:rsidP="00B41D06">
            <w:pPr>
              <w:pStyle w:val="TableText"/>
              <w:cnfStyle w:val="100000000000" w:firstRow="1" w:lastRow="0" w:firstColumn="0" w:lastColumn="0" w:oddVBand="0" w:evenVBand="0" w:oddHBand="0" w:evenHBand="0" w:firstRowFirstColumn="0" w:firstRowLastColumn="0" w:lastRowFirstColumn="0" w:lastRowLastColumn="0"/>
              <w:rPr>
                <w:color w:val="auto"/>
              </w:rPr>
            </w:pPr>
            <w:r w:rsidRPr="005907CC">
              <w:rPr>
                <w:color w:val="auto"/>
              </w:rPr>
              <w:t>UK XLA patients (median, IQR)</w:t>
            </w:r>
            <w:r w:rsidR="00967F66">
              <w:rPr>
                <w:color w:val="auto"/>
              </w:rPr>
              <w:t xml:space="preserve"> </w:t>
            </w:r>
            <w:r w:rsidR="00AD27CD">
              <w:rPr>
                <w:color w:val="auto"/>
              </w:rPr>
              <w:t>(n = 42)</w:t>
            </w:r>
          </w:p>
        </w:tc>
        <w:tc>
          <w:tcPr>
            <w:tcW w:w="915" w:type="pct"/>
            <w:shd w:val="clear" w:color="auto" w:fill="auto"/>
          </w:tcPr>
          <w:p w14:paraId="6F29A201" w14:textId="77777777" w:rsidR="00ED572F" w:rsidRPr="005907CC" w:rsidRDefault="00ED572F" w:rsidP="00B41D06">
            <w:pPr>
              <w:pStyle w:val="TableText"/>
              <w:cnfStyle w:val="100000000000" w:firstRow="1" w:lastRow="0" w:firstColumn="0" w:lastColumn="0" w:oddVBand="0" w:evenVBand="0" w:oddHBand="0" w:evenHBand="0" w:firstRowFirstColumn="0" w:firstRowLastColumn="0" w:lastRowFirstColumn="0" w:lastRowLastColumn="0"/>
              <w:rPr>
                <w:color w:val="auto"/>
              </w:rPr>
            </w:pPr>
            <w:r w:rsidRPr="005907CC">
              <w:rPr>
                <w:color w:val="auto"/>
              </w:rPr>
              <w:t>UK Norms</w:t>
            </w:r>
          </w:p>
        </w:tc>
        <w:tc>
          <w:tcPr>
            <w:tcW w:w="762" w:type="pct"/>
            <w:shd w:val="clear" w:color="auto" w:fill="auto"/>
          </w:tcPr>
          <w:p w14:paraId="2B38E00C" w14:textId="77777777" w:rsidR="00ED572F" w:rsidRPr="005907CC" w:rsidRDefault="00ED572F" w:rsidP="00B41D06">
            <w:pPr>
              <w:pStyle w:val="TableText"/>
              <w:cnfStyle w:val="100000000000" w:firstRow="1" w:lastRow="0" w:firstColumn="0" w:lastColumn="0" w:oddVBand="0" w:evenVBand="0" w:oddHBand="0" w:evenHBand="0" w:firstRowFirstColumn="0" w:firstRowLastColumn="0" w:lastRowFirstColumn="0" w:lastRowLastColumn="0"/>
              <w:rPr>
                <w:color w:val="auto"/>
              </w:rPr>
            </w:pPr>
            <w:r w:rsidRPr="005907CC">
              <w:rPr>
                <w:color w:val="auto"/>
              </w:rPr>
              <w:t>p-value</w:t>
            </w:r>
          </w:p>
        </w:tc>
        <w:tc>
          <w:tcPr>
            <w:tcW w:w="813" w:type="pct"/>
            <w:shd w:val="clear" w:color="auto" w:fill="auto"/>
          </w:tcPr>
          <w:p w14:paraId="3FF8048D" w14:textId="77777777" w:rsidR="00ED572F" w:rsidRPr="005907CC" w:rsidRDefault="00ED572F" w:rsidP="00B41D06">
            <w:pPr>
              <w:pStyle w:val="TableText"/>
              <w:cnfStyle w:val="100000000000" w:firstRow="1" w:lastRow="0" w:firstColumn="0" w:lastColumn="0" w:oddVBand="0" w:evenVBand="0" w:oddHBand="0" w:evenHBand="0" w:firstRowFirstColumn="0" w:firstRowLastColumn="0" w:lastRowFirstColumn="0" w:lastRowLastColumn="0"/>
              <w:rPr>
                <w:color w:val="auto"/>
              </w:rPr>
            </w:pPr>
            <w:r w:rsidRPr="005907CC">
              <w:rPr>
                <w:color w:val="auto"/>
              </w:rPr>
              <w:t>CF patients</w:t>
            </w:r>
          </w:p>
        </w:tc>
        <w:tc>
          <w:tcPr>
            <w:tcW w:w="835" w:type="pct"/>
            <w:shd w:val="clear" w:color="auto" w:fill="auto"/>
          </w:tcPr>
          <w:p w14:paraId="28D3670C" w14:textId="77777777" w:rsidR="00ED572F" w:rsidRPr="005907CC" w:rsidRDefault="00ED572F" w:rsidP="00B41D06">
            <w:pPr>
              <w:pStyle w:val="TableText"/>
              <w:cnfStyle w:val="100000000000" w:firstRow="1" w:lastRow="0" w:firstColumn="0" w:lastColumn="0" w:oddVBand="0" w:evenVBand="0" w:oddHBand="0" w:evenHBand="0" w:firstRowFirstColumn="0" w:firstRowLastColumn="0" w:lastRowFirstColumn="0" w:lastRowLastColumn="0"/>
              <w:rPr>
                <w:color w:val="auto"/>
              </w:rPr>
            </w:pPr>
            <w:r w:rsidRPr="005907CC">
              <w:rPr>
                <w:color w:val="auto"/>
              </w:rPr>
              <w:t>p-value</w:t>
            </w:r>
          </w:p>
        </w:tc>
      </w:tr>
      <w:tr w:rsidR="00ED572F" w:rsidRPr="009813F3" w14:paraId="5E751131" w14:textId="77777777" w:rsidTr="00B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pct"/>
          </w:tcPr>
          <w:p w14:paraId="12574E23" w14:textId="77777777" w:rsidR="00ED572F" w:rsidRPr="009813F3" w:rsidRDefault="00ED572F" w:rsidP="00B41D06">
            <w:pPr>
              <w:pStyle w:val="TableText"/>
              <w:rPr>
                <w:b w:val="0"/>
                <w:bCs w:val="0"/>
              </w:rPr>
            </w:pPr>
            <w:r w:rsidRPr="009813F3">
              <w:rPr>
                <w:b w:val="0"/>
                <w:bCs w:val="0"/>
              </w:rPr>
              <w:t>Physical Function</w:t>
            </w:r>
          </w:p>
        </w:tc>
        <w:tc>
          <w:tcPr>
            <w:tcW w:w="965" w:type="pct"/>
            <w:vAlign w:val="bottom"/>
          </w:tcPr>
          <w:p w14:paraId="3A5D6138"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95.00 (90.00</w:t>
            </w:r>
            <w:r>
              <w:t xml:space="preserve">, </w:t>
            </w:r>
            <w:r w:rsidRPr="009813F3">
              <w:t>100.00)</w:t>
            </w:r>
          </w:p>
        </w:tc>
        <w:tc>
          <w:tcPr>
            <w:tcW w:w="915" w:type="pct"/>
            <w:vAlign w:val="bottom"/>
          </w:tcPr>
          <w:p w14:paraId="2B676648"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89.76 (18.78)</w:t>
            </w:r>
          </w:p>
        </w:tc>
        <w:tc>
          <w:tcPr>
            <w:tcW w:w="762" w:type="pct"/>
          </w:tcPr>
          <w:p w14:paraId="38CB8FD4"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0.06</w:t>
            </w:r>
            <w:r>
              <w:t>2</w:t>
            </w:r>
          </w:p>
        </w:tc>
        <w:tc>
          <w:tcPr>
            <w:tcW w:w="813" w:type="pct"/>
          </w:tcPr>
          <w:p w14:paraId="74599047"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82.4 (20.7)</w:t>
            </w:r>
          </w:p>
        </w:tc>
        <w:tc>
          <w:tcPr>
            <w:tcW w:w="835" w:type="pct"/>
          </w:tcPr>
          <w:p w14:paraId="2B00F2F3"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b/>
                <w:bCs/>
                <w:i/>
                <w:iCs/>
              </w:rPr>
            </w:pPr>
            <w:r w:rsidRPr="009813F3">
              <w:rPr>
                <w:b/>
                <w:bCs/>
                <w:i/>
                <w:iCs/>
              </w:rPr>
              <w:t>0.01</w:t>
            </w:r>
            <w:r>
              <w:rPr>
                <w:b/>
                <w:bCs/>
                <w:i/>
                <w:iCs/>
              </w:rPr>
              <w:t>0</w:t>
            </w:r>
          </w:p>
        </w:tc>
      </w:tr>
      <w:tr w:rsidR="00ED572F" w:rsidRPr="009813F3" w14:paraId="72257B8C" w14:textId="77777777" w:rsidTr="00B41D06">
        <w:tc>
          <w:tcPr>
            <w:cnfStyle w:val="001000000000" w:firstRow="0" w:lastRow="0" w:firstColumn="1" w:lastColumn="0" w:oddVBand="0" w:evenVBand="0" w:oddHBand="0" w:evenHBand="0" w:firstRowFirstColumn="0" w:firstRowLastColumn="0" w:lastRowFirstColumn="0" w:lastRowLastColumn="0"/>
            <w:tcW w:w="710" w:type="pct"/>
          </w:tcPr>
          <w:p w14:paraId="4C21787D" w14:textId="77777777" w:rsidR="00ED572F" w:rsidRPr="009813F3" w:rsidRDefault="00ED572F" w:rsidP="00B41D06">
            <w:pPr>
              <w:pStyle w:val="TableText"/>
              <w:rPr>
                <w:b w:val="0"/>
                <w:bCs w:val="0"/>
              </w:rPr>
            </w:pPr>
            <w:r w:rsidRPr="009813F3">
              <w:rPr>
                <w:b w:val="0"/>
                <w:bCs w:val="0"/>
              </w:rPr>
              <w:t>Role-Physical</w:t>
            </w:r>
          </w:p>
        </w:tc>
        <w:tc>
          <w:tcPr>
            <w:tcW w:w="965" w:type="pct"/>
            <w:vAlign w:val="bottom"/>
          </w:tcPr>
          <w:p w14:paraId="3B183EA2"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t>96.88</w:t>
            </w:r>
            <w:r w:rsidRPr="009813F3">
              <w:t xml:space="preserve"> (87.50</w:t>
            </w:r>
            <w:r>
              <w:t xml:space="preserve">, </w:t>
            </w:r>
            <w:r w:rsidRPr="009813F3">
              <w:t>100.00)</w:t>
            </w:r>
          </w:p>
        </w:tc>
        <w:tc>
          <w:tcPr>
            <w:tcW w:w="915" w:type="pct"/>
            <w:vAlign w:val="bottom"/>
          </w:tcPr>
          <w:p w14:paraId="2C27A3EB"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89.01 (21.09)</w:t>
            </w:r>
          </w:p>
        </w:tc>
        <w:tc>
          <w:tcPr>
            <w:tcW w:w="762" w:type="pct"/>
          </w:tcPr>
          <w:p w14:paraId="07C84AC3"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0.</w:t>
            </w:r>
            <w:r>
              <w:t>083</w:t>
            </w:r>
          </w:p>
        </w:tc>
        <w:tc>
          <w:tcPr>
            <w:tcW w:w="813" w:type="pct"/>
          </w:tcPr>
          <w:p w14:paraId="29E8CCE5"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75.00 (22.5)</w:t>
            </w:r>
          </w:p>
        </w:tc>
        <w:tc>
          <w:tcPr>
            <w:tcW w:w="835" w:type="pct"/>
          </w:tcPr>
          <w:p w14:paraId="63092D8E"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b/>
                <w:bCs/>
                <w:i/>
                <w:iCs/>
              </w:rPr>
            </w:pPr>
            <w:r w:rsidRPr="009813F3">
              <w:rPr>
                <w:b/>
                <w:bCs/>
                <w:i/>
                <w:iCs/>
              </w:rPr>
              <w:t>0.00</w:t>
            </w:r>
            <w:r>
              <w:rPr>
                <w:b/>
                <w:bCs/>
                <w:i/>
                <w:iCs/>
              </w:rPr>
              <w:t>4</w:t>
            </w:r>
          </w:p>
        </w:tc>
      </w:tr>
      <w:tr w:rsidR="00ED572F" w:rsidRPr="009813F3" w14:paraId="21A1FFD8" w14:textId="77777777" w:rsidTr="00B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pct"/>
          </w:tcPr>
          <w:p w14:paraId="23019755" w14:textId="77777777" w:rsidR="00ED572F" w:rsidRPr="009813F3" w:rsidRDefault="00ED572F" w:rsidP="00B41D06">
            <w:pPr>
              <w:pStyle w:val="TableText"/>
              <w:rPr>
                <w:b w:val="0"/>
                <w:bCs w:val="0"/>
              </w:rPr>
            </w:pPr>
            <w:r w:rsidRPr="009813F3">
              <w:rPr>
                <w:b w:val="0"/>
                <w:bCs w:val="0"/>
              </w:rPr>
              <w:t>Pain</w:t>
            </w:r>
          </w:p>
        </w:tc>
        <w:tc>
          <w:tcPr>
            <w:tcW w:w="965" w:type="pct"/>
            <w:vAlign w:val="bottom"/>
          </w:tcPr>
          <w:p w14:paraId="0F1759E5"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7</w:t>
            </w:r>
            <w:r>
              <w:t>4</w:t>
            </w:r>
            <w:r w:rsidRPr="009813F3">
              <w:t>.00 (</w:t>
            </w:r>
            <w:r>
              <w:t>6</w:t>
            </w:r>
            <w:r w:rsidRPr="009813F3">
              <w:t>2.00</w:t>
            </w:r>
            <w:r>
              <w:t xml:space="preserve">, </w:t>
            </w:r>
            <w:r w:rsidRPr="009813F3">
              <w:t>100.00)</w:t>
            </w:r>
          </w:p>
        </w:tc>
        <w:tc>
          <w:tcPr>
            <w:tcW w:w="915" w:type="pct"/>
            <w:vAlign w:val="bottom"/>
          </w:tcPr>
          <w:p w14:paraId="0DE05AA5"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81.25 (22.21)</w:t>
            </w:r>
          </w:p>
        </w:tc>
        <w:tc>
          <w:tcPr>
            <w:tcW w:w="762" w:type="pct"/>
          </w:tcPr>
          <w:p w14:paraId="7302251C"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0.</w:t>
            </w:r>
            <w:r>
              <w:t>335</w:t>
            </w:r>
          </w:p>
        </w:tc>
        <w:tc>
          <w:tcPr>
            <w:tcW w:w="813" w:type="pct"/>
          </w:tcPr>
          <w:p w14:paraId="345693B7"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84.2 (19.6)</w:t>
            </w:r>
          </w:p>
        </w:tc>
        <w:tc>
          <w:tcPr>
            <w:tcW w:w="835" w:type="pct"/>
          </w:tcPr>
          <w:p w14:paraId="786DA6B9"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0.</w:t>
            </w:r>
            <w:r>
              <w:t>249</w:t>
            </w:r>
          </w:p>
        </w:tc>
      </w:tr>
      <w:tr w:rsidR="00ED572F" w:rsidRPr="009813F3" w14:paraId="7E4AC74B" w14:textId="77777777" w:rsidTr="00B41D06">
        <w:tc>
          <w:tcPr>
            <w:cnfStyle w:val="001000000000" w:firstRow="0" w:lastRow="0" w:firstColumn="1" w:lastColumn="0" w:oddVBand="0" w:evenVBand="0" w:oddHBand="0" w:evenHBand="0" w:firstRowFirstColumn="0" w:firstRowLastColumn="0" w:lastRowFirstColumn="0" w:lastRowLastColumn="0"/>
            <w:tcW w:w="710" w:type="pct"/>
          </w:tcPr>
          <w:p w14:paraId="5EE0C607" w14:textId="77777777" w:rsidR="00ED572F" w:rsidRPr="009813F3" w:rsidRDefault="00ED572F" w:rsidP="00B41D06">
            <w:pPr>
              <w:pStyle w:val="TableText"/>
              <w:rPr>
                <w:b w:val="0"/>
                <w:bCs w:val="0"/>
              </w:rPr>
            </w:pPr>
            <w:r w:rsidRPr="009813F3">
              <w:rPr>
                <w:b w:val="0"/>
                <w:bCs w:val="0"/>
              </w:rPr>
              <w:t>General Health</w:t>
            </w:r>
          </w:p>
        </w:tc>
        <w:tc>
          <w:tcPr>
            <w:tcW w:w="965" w:type="pct"/>
            <w:vAlign w:val="bottom"/>
          </w:tcPr>
          <w:p w14:paraId="7019DC19"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37.00 (22.00</w:t>
            </w:r>
            <w:r>
              <w:t xml:space="preserve">, </w:t>
            </w:r>
            <w:r w:rsidRPr="009813F3">
              <w:t>52.00)</w:t>
            </w:r>
          </w:p>
        </w:tc>
        <w:tc>
          <w:tcPr>
            <w:tcW w:w="915" w:type="pct"/>
            <w:vAlign w:val="bottom"/>
          </w:tcPr>
          <w:p w14:paraId="2B1D97F4"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70.86 (20.29)</w:t>
            </w:r>
          </w:p>
        </w:tc>
        <w:tc>
          <w:tcPr>
            <w:tcW w:w="762" w:type="pct"/>
          </w:tcPr>
          <w:p w14:paraId="295B42A2"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b/>
                <w:bCs/>
                <w:i/>
                <w:iCs/>
              </w:rPr>
            </w:pPr>
            <w:r w:rsidRPr="009813F3">
              <w:rPr>
                <w:b/>
                <w:bCs/>
                <w:i/>
                <w:iCs/>
              </w:rPr>
              <w:t>&lt;0.001</w:t>
            </w:r>
          </w:p>
        </w:tc>
        <w:tc>
          <w:tcPr>
            <w:tcW w:w="813" w:type="pct"/>
          </w:tcPr>
          <w:p w14:paraId="2D181645"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46.8 (24.0)</w:t>
            </w:r>
          </w:p>
        </w:tc>
        <w:tc>
          <w:tcPr>
            <w:tcW w:w="835" w:type="pct"/>
          </w:tcPr>
          <w:p w14:paraId="101B319B"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0.</w:t>
            </w:r>
            <w:r>
              <w:t>077</w:t>
            </w:r>
          </w:p>
        </w:tc>
      </w:tr>
      <w:tr w:rsidR="00ED572F" w:rsidRPr="009813F3" w14:paraId="1AD597F6" w14:textId="77777777" w:rsidTr="00B41D06">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710" w:type="pct"/>
          </w:tcPr>
          <w:p w14:paraId="15CC8D19" w14:textId="77777777" w:rsidR="00ED572F" w:rsidRPr="009813F3" w:rsidRDefault="00ED572F" w:rsidP="00B41D06">
            <w:pPr>
              <w:pStyle w:val="TableText"/>
              <w:rPr>
                <w:b w:val="0"/>
                <w:bCs w:val="0"/>
              </w:rPr>
            </w:pPr>
            <w:r w:rsidRPr="009813F3">
              <w:rPr>
                <w:b w:val="0"/>
                <w:bCs w:val="0"/>
              </w:rPr>
              <w:t>PCS</w:t>
            </w:r>
          </w:p>
        </w:tc>
        <w:tc>
          <w:tcPr>
            <w:tcW w:w="965" w:type="pct"/>
          </w:tcPr>
          <w:p w14:paraId="634DAD81"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49.</w:t>
            </w:r>
            <w:r>
              <w:t>10</w:t>
            </w:r>
            <w:r w:rsidRPr="009813F3">
              <w:t xml:space="preserve"> (47.</w:t>
            </w:r>
            <w:r>
              <w:t xml:space="preserve">14, </w:t>
            </w:r>
            <w:r w:rsidRPr="009813F3">
              <w:t>5</w:t>
            </w:r>
            <w:r>
              <w:t>4.95</w:t>
            </w:r>
            <w:r w:rsidRPr="009813F3">
              <w:t>)</w:t>
            </w:r>
          </w:p>
        </w:tc>
        <w:tc>
          <w:tcPr>
            <w:tcW w:w="915" w:type="pct"/>
          </w:tcPr>
          <w:p w14:paraId="36061B42"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50.63 (9.41)</w:t>
            </w:r>
          </w:p>
        </w:tc>
        <w:tc>
          <w:tcPr>
            <w:tcW w:w="762" w:type="pct"/>
          </w:tcPr>
          <w:p w14:paraId="2350944F"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0.</w:t>
            </w:r>
            <w:r>
              <w:t>712</w:t>
            </w:r>
          </w:p>
        </w:tc>
        <w:tc>
          <w:tcPr>
            <w:tcW w:w="813" w:type="pct"/>
          </w:tcPr>
          <w:p w14:paraId="655672AA" w14:textId="1ECB303B" w:rsidR="00ED572F" w:rsidRPr="009813F3" w:rsidRDefault="00DB3B72" w:rsidP="00B41D06">
            <w:pPr>
              <w:pStyle w:val="TableText"/>
              <w:jc w:val="center"/>
              <w:cnfStyle w:val="000000100000" w:firstRow="0" w:lastRow="0" w:firstColumn="0" w:lastColumn="0" w:oddVBand="0" w:evenVBand="0" w:oddHBand="1" w:evenHBand="0" w:firstRowFirstColumn="0" w:firstRowLastColumn="0" w:lastRowFirstColumn="0" w:lastRowLastColumn="0"/>
            </w:pPr>
            <w:r>
              <w:t>N/A</w:t>
            </w:r>
          </w:p>
        </w:tc>
        <w:tc>
          <w:tcPr>
            <w:tcW w:w="835" w:type="pct"/>
          </w:tcPr>
          <w:p w14:paraId="4079C70A" w14:textId="2D1CE483" w:rsidR="00ED572F" w:rsidRPr="009813F3" w:rsidRDefault="00DB3B72" w:rsidP="00B41D06">
            <w:pPr>
              <w:pStyle w:val="TableText"/>
              <w:jc w:val="center"/>
              <w:cnfStyle w:val="000000100000" w:firstRow="0" w:lastRow="0" w:firstColumn="0" w:lastColumn="0" w:oddVBand="0" w:evenVBand="0" w:oddHBand="1" w:evenHBand="0" w:firstRowFirstColumn="0" w:firstRowLastColumn="0" w:lastRowFirstColumn="0" w:lastRowLastColumn="0"/>
            </w:pPr>
            <w:r>
              <w:t>N/A</w:t>
            </w:r>
          </w:p>
        </w:tc>
      </w:tr>
      <w:tr w:rsidR="00ED572F" w:rsidRPr="009813F3" w14:paraId="4557F123" w14:textId="77777777" w:rsidTr="00B41D06">
        <w:trPr>
          <w:trHeight w:val="327"/>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auto"/>
            </w:tcBorders>
          </w:tcPr>
          <w:p w14:paraId="0F337D3B" w14:textId="77777777" w:rsidR="00ED572F" w:rsidRPr="009813F3" w:rsidRDefault="00ED572F" w:rsidP="00B41D06">
            <w:pPr>
              <w:pStyle w:val="TableText"/>
              <w:jc w:val="center"/>
            </w:pPr>
          </w:p>
        </w:tc>
      </w:tr>
      <w:tr w:rsidR="00ED572F" w:rsidRPr="009813F3" w14:paraId="1AAAF83D" w14:textId="77777777" w:rsidTr="00B41D06">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710" w:type="pct"/>
          </w:tcPr>
          <w:p w14:paraId="59CAA81A" w14:textId="77777777" w:rsidR="00ED572F" w:rsidRPr="005907CC" w:rsidRDefault="00ED572F" w:rsidP="00B41D06">
            <w:pPr>
              <w:pStyle w:val="TableText"/>
            </w:pPr>
          </w:p>
        </w:tc>
        <w:tc>
          <w:tcPr>
            <w:tcW w:w="965" w:type="pct"/>
          </w:tcPr>
          <w:p w14:paraId="4E9FC5DC" w14:textId="77777777" w:rsidR="00ED572F" w:rsidRPr="005907CC"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5907CC">
              <w:rPr>
                <w:b/>
                <w:bCs/>
              </w:rPr>
              <w:t>Bronchiectasis</w:t>
            </w:r>
          </w:p>
        </w:tc>
        <w:tc>
          <w:tcPr>
            <w:tcW w:w="915" w:type="pct"/>
          </w:tcPr>
          <w:p w14:paraId="62766FA6" w14:textId="77777777" w:rsidR="00ED572F" w:rsidRPr="005907CC"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5907CC">
              <w:rPr>
                <w:b/>
                <w:bCs/>
              </w:rPr>
              <w:t>No Bronchiectasis</w:t>
            </w:r>
          </w:p>
        </w:tc>
        <w:tc>
          <w:tcPr>
            <w:tcW w:w="762" w:type="pct"/>
          </w:tcPr>
          <w:p w14:paraId="74A60E44" w14:textId="310FA303" w:rsidR="00ED572F" w:rsidRPr="005907CC"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b/>
                <w:bCs/>
              </w:rPr>
            </w:pPr>
            <w:r>
              <w:rPr>
                <w:b/>
                <w:bCs/>
              </w:rPr>
              <w:t>Bronchiectasis vs no bronchiectasis</w:t>
            </w:r>
          </w:p>
        </w:tc>
        <w:tc>
          <w:tcPr>
            <w:tcW w:w="813" w:type="pct"/>
          </w:tcPr>
          <w:p w14:paraId="217E342D" w14:textId="134D9416" w:rsidR="00ED572F" w:rsidRPr="005907CC"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b/>
                <w:bCs/>
              </w:rPr>
            </w:pPr>
            <w:r>
              <w:rPr>
                <w:b/>
                <w:bCs/>
              </w:rPr>
              <w:t>Bronchiectasis v</w:t>
            </w:r>
            <w:r w:rsidRPr="00D96876">
              <w:rPr>
                <w:b/>
                <w:bCs/>
              </w:rPr>
              <w:t>ersus male UK norms</w:t>
            </w:r>
          </w:p>
        </w:tc>
        <w:tc>
          <w:tcPr>
            <w:tcW w:w="835" w:type="pct"/>
          </w:tcPr>
          <w:p w14:paraId="01A4645D" w14:textId="27468FBC" w:rsidR="00ED572F" w:rsidRPr="005907CC"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b/>
                <w:bCs/>
              </w:rPr>
            </w:pPr>
            <w:r>
              <w:rPr>
                <w:b/>
                <w:bCs/>
              </w:rPr>
              <w:t>Bronchiectasis v</w:t>
            </w:r>
            <w:r w:rsidRPr="00D96876">
              <w:rPr>
                <w:b/>
                <w:bCs/>
              </w:rPr>
              <w:t>ersus CF patients</w:t>
            </w:r>
          </w:p>
        </w:tc>
      </w:tr>
      <w:tr w:rsidR="00ED572F" w:rsidRPr="009813F3" w14:paraId="238A1104" w14:textId="77777777" w:rsidTr="00B41D06">
        <w:trPr>
          <w:trHeight w:val="327"/>
        </w:trPr>
        <w:tc>
          <w:tcPr>
            <w:cnfStyle w:val="001000000000" w:firstRow="0" w:lastRow="0" w:firstColumn="1" w:lastColumn="0" w:oddVBand="0" w:evenVBand="0" w:oddHBand="0" w:evenHBand="0" w:firstRowFirstColumn="0" w:firstRowLastColumn="0" w:lastRowFirstColumn="0" w:lastRowLastColumn="0"/>
            <w:tcW w:w="710" w:type="pct"/>
          </w:tcPr>
          <w:p w14:paraId="2C01F555" w14:textId="77777777" w:rsidR="00ED572F" w:rsidRPr="009813F3" w:rsidRDefault="00ED572F" w:rsidP="00B41D06">
            <w:pPr>
              <w:pStyle w:val="TableText"/>
            </w:pPr>
            <w:r w:rsidRPr="009813F3">
              <w:rPr>
                <w:b w:val="0"/>
                <w:bCs w:val="0"/>
              </w:rPr>
              <w:t>Physical Function</w:t>
            </w:r>
          </w:p>
        </w:tc>
        <w:tc>
          <w:tcPr>
            <w:tcW w:w="965" w:type="pct"/>
          </w:tcPr>
          <w:p w14:paraId="622D938F"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9</w:t>
            </w:r>
            <w:r>
              <w:t>0</w:t>
            </w:r>
            <w:r w:rsidRPr="009813F3">
              <w:t>.</w:t>
            </w:r>
            <w:r>
              <w:t>0</w:t>
            </w:r>
            <w:r w:rsidRPr="009813F3">
              <w:t xml:space="preserve"> (85.00</w:t>
            </w:r>
            <w:r>
              <w:t xml:space="preserve">, </w:t>
            </w:r>
            <w:r w:rsidRPr="009813F3">
              <w:t>95.00)</w:t>
            </w:r>
          </w:p>
        </w:tc>
        <w:tc>
          <w:tcPr>
            <w:tcW w:w="915" w:type="pct"/>
          </w:tcPr>
          <w:p w14:paraId="0982B6B2"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100.00 (100.00</w:t>
            </w:r>
            <w:r>
              <w:t>,</w:t>
            </w:r>
            <w:r w:rsidRPr="009813F3">
              <w:t xml:space="preserve"> 100.00)</w:t>
            </w:r>
          </w:p>
        </w:tc>
        <w:tc>
          <w:tcPr>
            <w:tcW w:w="762" w:type="pct"/>
          </w:tcPr>
          <w:p w14:paraId="76A78F72"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rPr>
                <w:b/>
                <w:bCs/>
                <w:i/>
                <w:iCs/>
              </w:rPr>
              <w:t>&lt;0.001</w:t>
            </w:r>
          </w:p>
        </w:tc>
        <w:tc>
          <w:tcPr>
            <w:tcW w:w="813" w:type="pct"/>
          </w:tcPr>
          <w:p w14:paraId="1536FEE1"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0.5</w:t>
            </w:r>
            <w:r>
              <w:t>15</w:t>
            </w:r>
          </w:p>
        </w:tc>
        <w:tc>
          <w:tcPr>
            <w:tcW w:w="835" w:type="pct"/>
          </w:tcPr>
          <w:p w14:paraId="79DCB7F4"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0.</w:t>
            </w:r>
            <w:r>
              <w:t>311</w:t>
            </w:r>
          </w:p>
        </w:tc>
      </w:tr>
      <w:tr w:rsidR="00ED572F" w:rsidRPr="009813F3" w14:paraId="11A89812" w14:textId="77777777" w:rsidTr="00B41D06">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710" w:type="pct"/>
          </w:tcPr>
          <w:p w14:paraId="02BB8639" w14:textId="77777777" w:rsidR="00ED572F" w:rsidRPr="009813F3" w:rsidRDefault="00ED572F" w:rsidP="00B41D06">
            <w:pPr>
              <w:pStyle w:val="TableText"/>
            </w:pPr>
            <w:r w:rsidRPr="009813F3">
              <w:rPr>
                <w:b w:val="0"/>
                <w:bCs w:val="0"/>
              </w:rPr>
              <w:t>Role-Physical</w:t>
            </w:r>
          </w:p>
        </w:tc>
        <w:tc>
          <w:tcPr>
            <w:tcW w:w="965" w:type="pct"/>
          </w:tcPr>
          <w:p w14:paraId="6F18DBEC"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93.75 (75.00</w:t>
            </w:r>
            <w:r>
              <w:t xml:space="preserve">, </w:t>
            </w:r>
            <w:r w:rsidRPr="009813F3">
              <w:t>100.00)</w:t>
            </w:r>
          </w:p>
        </w:tc>
        <w:tc>
          <w:tcPr>
            <w:tcW w:w="915" w:type="pct"/>
          </w:tcPr>
          <w:p w14:paraId="27B9D4D0"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100.00 (100.00</w:t>
            </w:r>
            <w:r>
              <w:t>,</w:t>
            </w:r>
            <w:r w:rsidRPr="009813F3">
              <w:t xml:space="preserve"> 100.00)</w:t>
            </w:r>
          </w:p>
        </w:tc>
        <w:tc>
          <w:tcPr>
            <w:tcW w:w="762" w:type="pct"/>
          </w:tcPr>
          <w:p w14:paraId="1F260582"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rPr>
                <w:b/>
                <w:bCs/>
                <w:i/>
                <w:iCs/>
              </w:rPr>
              <w:t>0.0</w:t>
            </w:r>
            <w:r>
              <w:rPr>
                <w:b/>
                <w:bCs/>
                <w:i/>
                <w:iCs/>
              </w:rPr>
              <w:t>08</w:t>
            </w:r>
          </w:p>
        </w:tc>
        <w:tc>
          <w:tcPr>
            <w:tcW w:w="813" w:type="pct"/>
          </w:tcPr>
          <w:p w14:paraId="10AE0CD1"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0.9</w:t>
            </w:r>
            <w:r>
              <w:t>23</w:t>
            </w:r>
          </w:p>
        </w:tc>
        <w:tc>
          <w:tcPr>
            <w:tcW w:w="835" w:type="pct"/>
          </w:tcPr>
          <w:p w14:paraId="002E776F"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0.</w:t>
            </w:r>
            <w:r>
              <w:t>260</w:t>
            </w:r>
          </w:p>
        </w:tc>
      </w:tr>
      <w:tr w:rsidR="00ED572F" w:rsidRPr="009813F3" w14:paraId="1C9BD854" w14:textId="77777777" w:rsidTr="00B41D06">
        <w:trPr>
          <w:trHeight w:val="327"/>
        </w:trPr>
        <w:tc>
          <w:tcPr>
            <w:cnfStyle w:val="001000000000" w:firstRow="0" w:lastRow="0" w:firstColumn="1" w:lastColumn="0" w:oddVBand="0" w:evenVBand="0" w:oddHBand="0" w:evenHBand="0" w:firstRowFirstColumn="0" w:firstRowLastColumn="0" w:lastRowFirstColumn="0" w:lastRowLastColumn="0"/>
            <w:tcW w:w="710" w:type="pct"/>
          </w:tcPr>
          <w:p w14:paraId="0BDEAD9B" w14:textId="77777777" w:rsidR="00ED572F" w:rsidRPr="009813F3" w:rsidRDefault="00ED572F" w:rsidP="00B41D06">
            <w:pPr>
              <w:pStyle w:val="TableText"/>
            </w:pPr>
            <w:r w:rsidRPr="009813F3">
              <w:rPr>
                <w:b w:val="0"/>
                <w:bCs w:val="0"/>
              </w:rPr>
              <w:t>Pain</w:t>
            </w:r>
          </w:p>
        </w:tc>
        <w:tc>
          <w:tcPr>
            <w:tcW w:w="965" w:type="pct"/>
          </w:tcPr>
          <w:p w14:paraId="78B6C497"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74.00 (62.00</w:t>
            </w:r>
            <w:r>
              <w:t xml:space="preserve">, </w:t>
            </w:r>
            <w:r w:rsidRPr="009813F3">
              <w:t>84.00)</w:t>
            </w:r>
          </w:p>
        </w:tc>
        <w:tc>
          <w:tcPr>
            <w:tcW w:w="915" w:type="pct"/>
          </w:tcPr>
          <w:p w14:paraId="16A0CA7A"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100.00 (100.00</w:t>
            </w:r>
            <w:r>
              <w:t>,</w:t>
            </w:r>
            <w:r w:rsidRPr="009813F3">
              <w:t xml:space="preserve"> 100.00)</w:t>
            </w:r>
          </w:p>
        </w:tc>
        <w:tc>
          <w:tcPr>
            <w:tcW w:w="762" w:type="pct"/>
          </w:tcPr>
          <w:p w14:paraId="31846C7C"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rPr>
                <w:b/>
                <w:bCs/>
                <w:i/>
                <w:iCs/>
              </w:rPr>
              <w:t>&lt;0.001</w:t>
            </w:r>
          </w:p>
        </w:tc>
        <w:tc>
          <w:tcPr>
            <w:tcW w:w="813" w:type="pct"/>
          </w:tcPr>
          <w:p w14:paraId="4042936F"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rPr>
                <w:b/>
                <w:bCs/>
                <w:i/>
                <w:iCs/>
              </w:rPr>
              <w:t>0.00</w:t>
            </w:r>
            <w:r>
              <w:rPr>
                <w:b/>
                <w:bCs/>
                <w:i/>
                <w:iCs/>
              </w:rPr>
              <w:t>5</w:t>
            </w:r>
          </w:p>
        </w:tc>
        <w:tc>
          <w:tcPr>
            <w:tcW w:w="835" w:type="pct"/>
          </w:tcPr>
          <w:p w14:paraId="551EE09D"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rPr>
                <w:b/>
                <w:bCs/>
                <w:i/>
                <w:iCs/>
              </w:rPr>
              <w:t>0.00</w:t>
            </w:r>
            <w:r>
              <w:rPr>
                <w:b/>
                <w:bCs/>
                <w:i/>
                <w:iCs/>
              </w:rPr>
              <w:t>3</w:t>
            </w:r>
          </w:p>
        </w:tc>
      </w:tr>
      <w:tr w:rsidR="00ED572F" w:rsidRPr="009813F3" w14:paraId="59668CB6" w14:textId="77777777" w:rsidTr="00B41D06">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710" w:type="pct"/>
          </w:tcPr>
          <w:p w14:paraId="21C6DA92" w14:textId="77777777" w:rsidR="00ED572F" w:rsidRPr="009813F3" w:rsidRDefault="00ED572F" w:rsidP="00B41D06">
            <w:pPr>
              <w:pStyle w:val="TableText"/>
            </w:pPr>
            <w:r w:rsidRPr="009813F3">
              <w:rPr>
                <w:b w:val="0"/>
                <w:bCs w:val="0"/>
              </w:rPr>
              <w:t>General Health</w:t>
            </w:r>
          </w:p>
        </w:tc>
        <w:tc>
          <w:tcPr>
            <w:tcW w:w="965" w:type="pct"/>
          </w:tcPr>
          <w:p w14:paraId="64BBD486"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25.00 (17.00</w:t>
            </w:r>
            <w:r>
              <w:t xml:space="preserve">, </w:t>
            </w:r>
            <w:r w:rsidRPr="009813F3">
              <w:t>37.00)</w:t>
            </w:r>
          </w:p>
        </w:tc>
        <w:tc>
          <w:tcPr>
            <w:tcW w:w="915" w:type="pct"/>
          </w:tcPr>
          <w:p w14:paraId="14D50F72"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57.00 (52.00</w:t>
            </w:r>
            <w:r>
              <w:t xml:space="preserve">, </w:t>
            </w:r>
            <w:r w:rsidRPr="009813F3">
              <w:t>75.00)</w:t>
            </w:r>
          </w:p>
        </w:tc>
        <w:tc>
          <w:tcPr>
            <w:tcW w:w="762" w:type="pct"/>
          </w:tcPr>
          <w:p w14:paraId="4CBE3811"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rPr>
                <w:b/>
                <w:bCs/>
                <w:i/>
                <w:iCs/>
              </w:rPr>
              <w:t>&lt;0.001</w:t>
            </w:r>
          </w:p>
        </w:tc>
        <w:tc>
          <w:tcPr>
            <w:tcW w:w="813" w:type="pct"/>
          </w:tcPr>
          <w:p w14:paraId="3879D219"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rPr>
                <w:b/>
                <w:bCs/>
                <w:i/>
                <w:iCs/>
              </w:rPr>
              <w:t>&lt;0.001</w:t>
            </w:r>
          </w:p>
        </w:tc>
        <w:tc>
          <w:tcPr>
            <w:tcW w:w="835" w:type="pct"/>
          </w:tcPr>
          <w:p w14:paraId="347DCE77"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rPr>
                <w:b/>
                <w:bCs/>
                <w:i/>
                <w:iCs/>
              </w:rPr>
              <w:t>0.001</w:t>
            </w:r>
          </w:p>
        </w:tc>
      </w:tr>
      <w:tr w:rsidR="00ED572F" w:rsidRPr="009813F3" w14:paraId="25A88C0A" w14:textId="77777777" w:rsidTr="00B41D06">
        <w:trPr>
          <w:trHeight w:val="327"/>
        </w:trPr>
        <w:tc>
          <w:tcPr>
            <w:cnfStyle w:val="001000000000" w:firstRow="0" w:lastRow="0" w:firstColumn="1" w:lastColumn="0" w:oddVBand="0" w:evenVBand="0" w:oddHBand="0" w:evenHBand="0" w:firstRowFirstColumn="0" w:firstRowLastColumn="0" w:lastRowFirstColumn="0" w:lastRowLastColumn="0"/>
            <w:tcW w:w="710" w:type="pct"/>
          </w:tcPr>
          <w:p w14:paraId="4E310805" w14:textId="77777777" w:rsidR="00ED572F" w:rsidRPr="009813F3" w:rsidRDefault="00ED572F" w:rsidP="00B41D06">
            <w:pPr>
              <w:pStyle w:val="TableText"/>
            </w:pPr>
            <w:r w:rsidRPr="009813F3">
              <w:rPr>
                <w:b w:val="0"/>
                <w:bCs w:val="0"/>
              </w:rPr>
              <w:t>PCS</w:t>
            </w:r>
          </w:p>
        </w:tc>
        <w:tc>
          <w:tcPr>
            <w:tcW w:w="965" w:type="pct"/>
          </w:tcPr>
          <w:p w14:paraId="4A0D82DB"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47.</w:t>
            </w:r>
            <w:r>
              <w:t>8</w:t>
            </w:r>
            <w:r w:rsidRPr="009813F3">
              <w:t>8 (4</w:t>
            </w:r>
            <w:r>
              <w:t xml:space="preserve">4.94, </w:t>
            </w:r>
            <w:r w:rsidRPr="009813F3">
              <w:t>50.09)</w:t>
            </w:r>
          </w:p>
        </w:tc>
        <w:tc>
          <w:tcPr>
            <w:tcW w:w="915" w:type="pct"/>
          </w:tcPr>
          <w:p w14:paraId="0361D9A3"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55.14 (53.30</w:t>
            </w:r>
            <w:r>
              <w:t xml:space="preserve">, </w:t>
            </w:r>
            <w:r w:rsidRPr="009813F3">
              <w:t>57.47)</w:t>
            </w:r>
          </w:p>
        </w:tc>
        <w:tc>
          <w:tcPr>
            <w:tcW w:w="762" w:type="pct"/>
          </w:tcPr>
          <w:p w14:paraId="5BE70008"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rPr>
                <w:b/>
                <w:bCs/>
                <w:i/>
                <w:iCs/>
              </w:rPr>
              <w:t>&lt;0.001</w:t>
            </w:r>
          </w:p>
        </w:tc>
        <w:tc>
          <w:tcPr>
            <w:tcW w:w="813" w:type="pct"/>
          </w:tcPr>
          <w:p w14:paraId="47F90720"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rPr>
                <w:b/>
                <w:bCs/>
                <w:i/>
                <w:iCs/>
              </w:rPr>
              <w:t>0.00</w:t>
            </w:r>
            <w:r>
              <w:rPr>
                <w:b/>
                <w:bCs/>
                <w:i/>
                <w:iCs/>
              </w:rPr>
              <w:t>4</w:t>
            </w:r>
          </w:p>
        </w:tc>
        <w:tc>
          <w:tcPr>
            <w:tcW w:w="835" w:type="pct"/>
          </w:tcPr>
          <w:p w14:paraId="379336C2" w14:textId="1A517986" w:rsidR="00ED572F" w:rsidRPr="009813F3" w:rsidRDefault="00DB3B72" w:rsidP="00B41D06">
            <w:pPr>
              <w:pStyle w:val="TableText"/>
              <w:jc w:val="center"/>
              <w:cnfStyle w:val="000000000000" w:firstRow="0" w:lastRow="0" w:firstColumn="0" w:lastColumn="0" w:oddVBand="0" w:evenVBand="0" w:oddHBand="0" w:evenHBand="0" w:firstRowFirstColumn="0" w:firstRowLastColumn="0" w:lastRowFirstColumn="0" w:lastRowLastColumn="0"/>
            </w:pPr>
            <w:r>
              <w:t>N/A</w:t>
            </w:r>
          </w:p>
        </w:tc>
      </w:tr>
    </w:tbl>
    <w:p w14:paraId="4E11341F" w14:textId="77777777" w:rsidR="00ED572F" w:rsidRDefault="00ED572F" w:rsidP="00ED572F">
      <w:pPr>
        <w:sectPr w:rsidR="00ED572F" w:rsidSect="00FF1EBD">
          <w:type w:val="continuous"/>
          <w:pgSz w:w="16838" w:h="11906" w:orient="landscape"/>
          <w:pgMar w:top="1440" w:right="1440" w:bottom="1440" w:left="1440" w:header="709" w:footer="709" w:gutter="0"/>
          <w:cols w:space="708"/>
          <w:docGrid w:linePitch="360"/>
        </w:sectPr>
      </w:pPr>
    </w:p>
    <w:p w14:paraId="050976F6" w14:textId="338486BD" w:rsidR="00ED572F" w:rsidRPr="009813F3" w:rsidRDefault="00ED572F" w:rsidP="00ED572F">
      <w:pPr>
        <w:pStyle w:val="Caption"/>
        <w:rPr>
          <w:b w:val="0"/>
          <w:bCs/>
          <w:i/>
          <w:iCs w:val="0"/>
        </w:rPr>
      </w:pPr>
      <w:r w:rsidRPr="009813F3">
        <w:rPr>
          <w:bCs/>
          <w:iCs w:val="0"/>
        </w:rPr>
        <w:lastRenderedPageBreak/>
        <w:t xml:space="preserve">Table </w:t>
      </w:r>
      <w:r w:rsidRPr="009813F3">
        <w:rPr>
          <w:b w:val="0"/>
          <w:bCs/>
          <w:i/>
          <w:iCs w:val="0"/>
        </w:rPr>
        <w:fldChar w:fldCharType="begin"/>
      </w:r>
      <w:r w:rsidRPr="009813F3">
        <w:rPr>
          <w:bCs/>
          <w:iCs w:val="0"/>
        </w:rPr>
        <w:instrText xml:space="preserve"> SEQ Table \* ARABIC </w:instrText>
      </w:r>
      <w:r w:rsidRPr="009813F3">
        <w:rPr>
          <w:b w:val="0"/>
          <w:bCs/>
          <w:i/>
          <w:iCs w:val="0"/>
        </w:rPr>
        <w:fldChar w:fldCharType="separate"/>
      </w:r>
      <w:r w:rsidR="00197B97">
        <w:rPr>
          <w:bCs/>
          <w:iCs w:val="0"/>
          <w:noProof/>
        </w:rPr>
        <w:t>5</w:t>
      </w:r>
      <w:r w:rsidRPr="009813F3">
        <w:rPr>
          <w:b w:val="0"/>
          <w:bCs/>
          <w:i/>
          <w:iCs w:val="0"/>
        </w:rPr>
        <w:fldChar w:fldCharType="end"/>
      </w:r>
      <w:r w:rsidRPr="009813F3">
        <w:rPr>
          <w:bCs/>
          <w:iCs w:val="0"/>
        </w:rPr>
        <w:t xml:space="preserve"> Correlation of short-form 36 version 2 physical component score (PCS) and clinical outcomes and phenotype.  Spearman’s rho and p values shown</w:t>
      </w:r>
    </w:p>
    <w:tbl>
      <w:tblPr>
        <w:tblStyle w:val="ListTable33"/>
        <w:tblW w:w="0" w:type="auto"/>
        <w:tblBorders>
          <w:insideH w:val="single" w:sz="4" w:space="0" w:color="auto"/>
          <w:insideV w:val="single" w:sz="4" w:space="0" w:color="auto"/>
        </w:tblBorders>
        <w:tblLook w:val="04A0" w:firstRow="1" w:lastRow="0" w:firstColumn="1" w:lastColumn="0" w:noHBand="0" w:noVBand="1"/>
      </w:tblPr>
      <w:tblGrid>
        <w:gridCol w:w="3005"/>
        <w:gridCol w:w="3005"/>
        <w:gridCol w:w="3006"/>
      </w:tblGrid>
      <w:tr w:rsidR="00ED572F" w:rsidRPr="009813F3" w14:paraId="409C9DB5" w14:textId="77777777" w:rsidTr="00B41D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shd w:val="clear" w:color="auto" w:fill="auto"/>
          </w:tcPr>
          <w:p w14:paraId="57256BD8" w14:textId="77777777" w:rsidR="00ED572F" w:rsidRPr="0012188C" w:rsidRDefault="00ED572F" w:rsidP="00B41D06">
            <w:pPr>
              <w:pStyle w:val="TableText"/>
              <w:rPr>
                <w:color w:val="auto"/>
              </w:rPr>
            </w:pPr>
          </w:p>
        </w:tc>
        <w:tc>
          <w:tcPr>
            <w:tcW w:w="3005" w:type="dxa"/>
            <w:shd w:val="clear" w:color="auto" w:fill="auto"/>
          </w:tcPr>
          <w:p w14:paraId="51A72B50" w14:textId="77777777" w:rsidR="00ED572F" w:rsidRPr="0012188C" w:rsidRDefault="00ED572F" w:rsidP="00B41D06">
            <w:pPr>
              <w:pStyle w:val="TableText"/>
              <w:cnfStyle w:val="100000000000" w:firstRow="1" w:lastRow="0" w:firstColumn="0" w:lastColumn="0" w:oddVBand="0" w:evenVBand="0" w:oddHBand="0" w:evenHBand="0" w:firstRowFirstColumn="0" w:firstRowLastColumn="0" w:lastRowFirstColumn="0" w:lastRowLastColumn="0"/>
              <w:rPr>
                <w:color w:val="auto"/>
              </w:rPr>
            </w:pPr>
            <w:r w:rsidRPr="0012188C">
              <w:rPr>
                <w:color w:val="auto"/>
              </w:rPr>
              <w:t xml:space="preserve">Spearman’s </w:t>
            </w:r>
            <w:r w:rsidRPr="0012188C">
              <w:rPr>
                <w:rFonts w:cs="Times New Roman"/>
                <w:color w:val="auto"/>
              </w:rPr>
              <w:t>ρ</w:t>
            </w:r>
          </w:p>
        </w:tc>
        <w:tc>
          <w:tcPr>
            <w:tcW w:w="3006" w:type="dxa"/>
            <w:shd w:val="clear" w:color="auto" w:fill="auto"/>
          </w:tcPr>
          <w:p w14:paraId="153580D8" w14:textId="77777777" w:rsidR="00ED572F" w:rsidRPr="0012188C" w:rsidRDefault="00ED572F" w:rsidP="00B41D06">
            <w:pPr>
              <w:pStyle w:val="TableText"/>
              <w:cnfStyle w:val="100000000000" w:firstRow="1" w:lastRow="0" w:firstColumn="0" w:lastColumn="0" w:oddVBand="0" w:evenVBand="0" w:oddHBand="0" w:evenHBand="0" w:firstRowFirstColumn="0" w:firstRowLastColumn="0" w:lastRowFirstColumn="0" w:lastRowLastColumn="0"/>
              <w:rPr>
                <w:color w:val="auto"/>
              </w:rPr>
            </w:pPr>
            <w:r w:rsidRPr="0012188C">
              <w:rPr>
                <w:color w:val="auto"/>
              </w:rPr>
              <w:t>p-value</w:t>
            </w:r>
          </w:p>
        </w:tc>
      </w:tr>
      <w:tr w:rsidR="00ED572F" w:rsidRPr="009813F3" w14:paraId="56C3E833" w14:textId="77777777" w:rsidTr="00B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35B0E48" w14:textId="48D6C340" w:rsidR="00ED572F" w:rsidRPr="009813F3" w:rsidRDefault="00ED572F" w:rsidP="00B41D06">
            <w:pPr>
              <w:pStyle w:val="TableText"/>
              <w:rPr>
                <w:b w:val="0"/>
                <w:bCs w:val="0"/>
              </w:rPr>
            </w:pPr>
            <w:r w:rsidRPr="009813F3">
              <w:rPr>
                <w:b w:val="0"/>
                <w:bCs w:val="0"/>
              </w:rPr>
              <w:t xml:space="preserve">Age </w:t>
            </w:r>
            <w:r w:rsidR="0062538A">
              <w:rPr>
                <w:b w:val="0"/>
                <w:bCs w:val="0"/>
              </w:rPr>
              <w:t>(years)</w:t>
            </w:r>
          </w:p>
        </w:tc>
        <w:tc>
          <w:tcPr>
            <w:tcW w:w="3005" w:type="dxa"/>
          </w:tcPr>
          <w:p w14:paraId="673FBEB7"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-0.370</w:t>
            </w:r>
          </w:p>
        </w:tc>
        <w:tc>
          <w:tcPr>
            <w:tcW w:w="3006" w:type="dxa"/>
          </w:tcPr>
          <w:p w14:paraId="1384552A" w14:textId="77777777" w:rsidR="00ED572F" w:rsidRPr="002F6EF6"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b/>
                <w:bCs/>
                <w:i/>
                <w:iCs/>
              </w:rPr>
            </w:pPr>
            <w:r w:rsidRPr="002F6EF6">
              <w:rPr>
                <w:b/>
                <w:bCs/>
                <w:i/>
                <w:iCs/>
              </w:rPr>
              <w:t>0.019</w:t>
            </w:r>
          </w:p>
        </w:tc>
      </w:tr>
      <w:tr w:rsidR="00ED572F" w:rsidRPr="009813F3" w14:paraId="27C1ABE1" w14:textId="77777777" w:rsidTr="00B41D06">
        <w:tc>
          <w:tcPr>
            <w:cnfStyle w:val="001000000000" w:firstRow="0" w:lastRow="0" w:firstColumn="1" w:lastColumn="0" w:oddVBand="0" w:evenVBand="0" w:oddHBand="0" w:evenHBand="0" w:firstRowFirstColumn="0" w:firstRowLastColumn="0" w:lastRowFirstColumn="0" w:lastRowLastColumn="0"/>
            <w:tcW w:w="3005" w:type="dxa"/>
          </w:tcPr>
          <w:p w14:paraId="34AFD25B" w14:textId="38E2618A" w:rsidR="00ED572F" w:rsidRPr="009813F3" w:rsidRDefault="00ED572F" w:rsidP="00B41D06">
            <w:pPr>
              <w:pStyle w:val="TableText"/>
              <w:rPr>
                <w:b w:val="0"/>
                <w:bCs w:val="0"/>
              </w:rPr>
            </w:pPr>
            <w:r w:rsidRPr="009813F3">
              <w:rPr>
                <w:b w:val="0"/>
                <w:bCs w:val="0"/>
              </w:rPr>
              <w:t xml:space="preserve">Age </w:t>
            </w:r>
            <w:r w:rsidR="0062538A">
              <w:rPr>
                <w:b w:val="0"/>
                <w:bCs w:val="0"/>
              </w:rPr>
              <w:t xml:space="preserve">(years) </w:t>
            </w:r>
            <w:r w:rsidRPr="009813F3">
              <w:rPr>
                <w:b w:val="0"/>
                <w:bCs w:val="0"/>
              </w:rPr>
              <w:t>at diagnosis</w:t>
            </w:r>
          </w:p>
        </w:tc>
        <w:tc>
          <w:tcPr>
            <w:tcW w:w="3005" w:type="dxa"/>
          </w:tcPr>
          <w:p w14:paraId="5825C121"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-0.0</w:t>
            </w:r>
            <w:r>
              <w:t>08</w:t>
            </w:r>
          </w:p>
        </w:tc>
        <w:tc>
          <w:tcPr>
            <w:tcW w:w="3006" w:type="dxa"/>
          </w:tcPr>
          <w:p w14:paraId="3B6EE12F"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0.</w:t>
            </w:r>
            <w:r>
              <w:t>612</w:t>
            </w:r>
          </w:p>
        </w:tc>
      </w:tr>
      <w:tr w:rsidR="00ED572F" w:rsidRPr="009813F3" w14:paraId="115E88D1" w14:textId="77777777" w:rsidTr="00B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BEBAE7B" w14:textId="77777777" w:rsidR="00ED572F" w:rsidRPr="009813F3" w:rsidRDefault="00ED572F" w:rsidP="00B41D06">
            <w:pPr>
              <w:pStyle w:val="TableText"/>
              <w:rPr>
                <w:b w:val="0"/>
                <w:bCs w:val="0"/>
              </w:rPr>
            </w:pPr>
            <w:r w:rsidRPr="009813F3">
              <w:rPr>
                <w:b w:val="0"/>
                <w:bCs w:val="0"/>
              </w:rPr>
              <w:t>Annual infection incidence</w:t>
            </w:r>
          </w:p>
        </w:tc>
        <w:tc>
          <w:tcPr>
            <w:tcW w:w="3005" w:type="dxa"/>
          </w:tcPr>
          <w:p w14:paraId="2B91730F"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-0.085</w:t>
            </w:r>
          </w:p>
        </w:tc>
        <w:tc>
          <w:tcPr>
            <w:tcW w:w="3006" w:type="dxa"/>
          </w:tcPr>
          <w:p w14:paraId="05F7E024"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0.608</w:t>
            </w:r>
          </w:p>
        </w:tc>
      </w:tr>
      <w:tr w:rsidR="00ED572F" w:rsidRPr="009813F3" w14:paraId="18122B72" w14:textId="77777777" w:rsidTr="00B41D06">
        <w:tc>
          <w:tcPr>
            <w:cnfStyle w:val="001000000000" w:firstRow="0" w:lastRow="0" w:firstColumn="1" w:lastColumn="0" w:oddVBand="0" w:evenVBand="0" w:oddHBand="0" w:evenHBand="0" w:firstRowFirstColumn="0" w:firstRowLastColumn="0" w:lastRowFirstColumn="0" w:lastRowLastColumn="0"/>
            <w:tcW w:w="3005" w:type="dxa"/>
          </w:tcPr>
          <w:p w14:paraId="72B37531" w14:textId="77777777" w:rsidR="00ED572F" w:rsidRPr="009813F3" w:rsidRDefault="00ED572F" w:rsidP="00B41D06">
            <w:pPr>
              <w:pStyle w:val="TableText"/>
              <w:rPr>
                <w:b w:val="0"/>
                <w:bCs w:val="0"/>
              </w:rPr>
            </w:pPr>
            <w:r w:rsidRPr="009813F3">
              <w:rPr>
                <w:b w:val="0"/>
                <w:bCs w:val="0"/>
              </w:rPr>
              <w:t>Latest FEV1 Z-Score</w:t>
            </w:r>
          </w:p>
        </w:tc>
        <w:tc>
          <w:tcPr>
            <w:tcW w:w="3005" w:type="dxa"/>
          </w:tcPr>
          <w:p w14:paraId="69A3CCA3"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0.</w:t>
            </w:r>
            <w:r>
              <w:t>178</w:t>
            </w:r>
          </w:p>
        </w:tc>
        <w:tc>
          <w:tcPr>
            <w:tcW w:w="3006" w:type="dxa"/>
          </w:tcPr>
          <w:p w14:paraId="4BEE8286"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0.</w:t>
            </w:r>
            <w:r>
              <w:t>356</w:t>
            </w:r>
          </w:p>
        </w:tc>
      </w:tr>
    </w:tbl>
    <w:p w14:paraId="0C1962F3" w14:textId="77777777" w:rsidR="00ED572F" w:rsidRPr="009813F3" w:rsidRDefault="00ED572F" w:rsidP="00ED572F"/>
    <w:p w14:paraId="44F5B009" w14:textId="77777777" w:rsidR="00ED572F" w:rsidRPr="009813F3" w:rsidRDefault="00ED572F" w:rsidP="0057637C">
      <w:pPr>
        <w:pStyle w:val="Heading3"/>
      </w:pPr>
      <w:r w:rsidRPr="009813F3">
        <w:t>St. George’s Respiratory Questionnaire (SGRQ)</w:t>
      </w:r>
    </w:p>
    <w:p w14:paraId="65385DF6" w14:textId="1D19FF65" w:rsidR="00ED572F" w:rsidRDefault="00ED572F" w:rsidP="00ED572F">
      <w:pPr>
        <w:rPr>
          <w:b/>
          <w:bCs/>
          <w:i/>
          <w:iCs/>
        </w:rPr>
      </w:pPr>
      <w:r w:rsidRPr="009813F3">
        <w:t xml:space="preserve">A total of </w:t>
      </w:r>
      <w:r>
        <w:t>43</w:t>
      </w:r>
      <w:r w:rsidRPr="009813F3">
        <w:t xml:space="preserve"> adults filled out the SGRQ (table </w:t>
      </w:r>
      <w:r w:rsidR="00496843">
        <w:t>6</w:t>
      </w:r>
      <w:r w:rsidRPr="009813F3">
        <w:t>).</w:t>
      </w:r>
    </w:p>
    <w:p w14:paraId="3E798082" w14:textId="696AD144" w:rsidR="00ED572F" w:rsidRPr="009813F3" w:rsidRDefault="00ED572F" w:rsidP="00ED572F">
      <w:r w:rsidRPr="009813F3">
        <w:t>UK XLA patients score</w:t>
      </w:r>
      <w:r>
        <w:t>d</w:t>
      </w:r>
      <w:r w:rsidRPr="009813F3">
        <w:t xml:space="preserve"> significantly worse in all domains of the SGRQ compared to UK norms, with comparable scores to CF patients.</w:t>
      </w:r>
    </w:p>
    <w:p w14:paraId="5643C268" w14:textId="613B9CD1" w:rsidR="00ED572F" w:rsidRPr="009813F3" w:rsidRDefault="00ED572F" w:rsidP="00ED572F">
      <w:r w:rsidRPr="009813F3">
        <w:t>XLA patients with bronchiectasis had significantly worse scores than patient</w:t>
      </w:r>
      <w:r>
        <w:t>s</w:t>
      </w:r>
      <w:r w:rsidRPr="009813F3">
        <w:t xml:space="preserve"> without bronchiectasis in all domains of </w:t>
      </w:r>
      <w:r>
        <w:t>the</w:t>
      </w:r>
      <w:r w:rsidRPr="009813F3">
        <w:t xml:space="preserve"> SGRQ.  Their scores remained significantly lower than UK norms and comparable to CF patients (table </w:t>
      </w:r>
      <w:r w:rsidR="00496843">
        <w:t>6</w:t>
      </w:r>
      <w:r w:rsidRPr="009813F3">
        <w:t>).</w:t>
      </w:r>
    </w:p>
    <w:p w14:paraId="0085FF0E" w14:textId="4ADE3A58" w:rsidR="00ED572F" w:rsidRPr="009813F3" w:rsidRDefault="00ED572F" w:rsidP="00ED572F">
      <w:r w:rsidRPr="009813F3">
        <w:t xml:space="preserve">A higher total SGRQ score correlated with increasing infection incidence, lower latest lung function results and lower SF36v2 PCS (table </w:t>
      </w:r>
      <w:r w:rsidR="00496843">
        <w:t>7</w:t>
      </w:r>
      <w:r w:rsidRPr="009813F3">
        <w:t>).</w:t>
      </w:r>
    </w:p>
    <w:p w14:paraId="6315B5AB" w14:textId="6384AE62" w:rsidR="005A7FC8" w:rsidRPr="00ED572F" w:rsidRDefault="005A7FC8" w:rsidP="00ED572F">
      <w:pPr>
        <w:sectPr w:rsidR="005A7FC8" w:rsidRPr="00ED572F" w:rsidSect="00FF1EBD">
          <w:type w:val="continuous"/>
          <w:pgSz w:w="11906" w:h="16838"/>
          <w:pgMar w:top="1440" w:right="1440" w:bottom="1440" w:left="1440" w:header="709" w:footer="709" w:gutter="0"/>
          <w:cols w:space="708"/>
          <w:docGrid w:linePitch="360"/>
        </w:sectPr>
      </w:pPr>
      <w:r>
        <w:t>For patients with bronchiectasis, there was no difference in the SGRQ total score between those on prophylactic</w:t>
      </w:r>
      <w:r w:rsidR="00B730B0">
        <w:t xml:space="preserve"> antibiotics</w:t>
      </w:r>
      <w:r>
        <w:t xml:space="preserve"> and those who were not (</w:t>
      </w:r>
      <w:r w:rsidR="00F07D0F">
        <w:t xml:space="preserve">median </w:t>
      </w:r>
      <w:r w:rsidR="00800471">
        <w:t xml:space="preserve">26.50 vs </w:t>
      </w:r>
      <w:r w:rsidR="00F07D0F">
        <w:t xml:space="preserve">27.30, p = 0.450).  </w:t>
      </w:r>
      <w:r w:rsidR="00853420">
        <w:t xml:space="preserve">Azithromycin accounts for 52% of prophylactic antibiotics.  </w:t>
      </w:r>
    </w:p>
    <w:p w14:paraId="52E7557C" w14:textId="57B345FB" w:rsidR="00ED572F" w:rsidRPr="009813F3" w:rsidRDefault="00ED572F" w:rsidP="00ED572F">
      <w:pPr>
        <w:pStyle w:val="Caption"/>
      </w:pPr>
      <w:r w:rsidRPr="009813F3">
        <w:rPr>
          <w:bCs/>
          <w:iCs w:val="0"/>
        </w:rPr>
        <w:lastRenderedPageBreak/>
        <w:t xml:space="preserve">Table </w:t>
      </w:r>
      <w:r w:rsidRPr="009813F3">
        <w:rPr>
          <w:b w:val="0"/>
          <w:bCs/>
          <w:i/>
          <w:iCs w:val="0"/>
        </w:rPr>
        <w:fldChar w:fldCharType="begin"/>
      </w:r>
      <w:r w:rsidRPr="009813F3">
        <w:rPr>
          <w:bCs/>
          <w:iCs w:val="0"/>
        </w:rPr>
        <w:instrText xml:space="preserve"> SEQ Table \* ARABIC </w:instrText>
      </w:r>
      <w:r w:rsidRPr="009813F3">
        <w:rPr>
          <w:b w:val="0"/>
          <w:bCs/>
          <w:i/>
          <w:iCs w:val="0"/>
        </w:rPr>
        <w:fldChar w:fldCharType="separate"/>
      </w:r>
      <w:r w:rsidR="00496843">
        <w:rPr>
          <w:bCs/>
          <w:iCs w:val="0"/>
          <w:noProof/>
        </w:rPr>
        <w:t>6</w:t>
      </w:r>
      <w:r w:rsidRPr="009813F3">
        <w:rPr>
          <w:b w:val="0"/>
          <w:bCs/>
          <w:i/>
          <w:iCs w:val="0"/>
        </w:rPr>
        <w:fldChar w:fldCharType="end"/>
      </w:r>
      <w:r w:rsidRPr="009813F3">
        <w:rPr>
          <w:bCs/>
          <w:iCs w:val="0"/>
        </w:rPr>
        <w:t xml:space="preserve"> XLA SGRQ scores (median, IQR) compared</w:t>
      </w:r>
      <w:r>
        <w:rPr>
          <w:bCs/>
          <w:iCs w:val="0"/>
        </w:rPr>
        <w:t xml:space="preserve"> those with and without bronchiectasis and</w:t>
      </w:r>
      <w:r w:rsidRPr="009813F3">
        <w:rPr>
          <w:bCs/>
          <w:iCs w:val="0"/>
        </w:rPr>
        <w:t xml:space="preserve"> against UK healthy norms (mean, 95% CI) </w:t>
      </w:r>
      <w:r>
        <w:rPr>
          <w:bCs/>
          <w:iCs w:val="0"/>
        </w:rPr>
        <w:fldChar w:fldCharType="begin"/>
      </w:r>
      <w:r w:rsidR="00D106AB">
        <w:rPr>
          <w:bCs/>
          <w:iCs w:val="0"/>
        </w:rPr>
        <w:instrText xml:space="preserve"> ADDIN ZOTERO_ITEM CSL_CITATION {"citationID":"AyI4iD1v","properties":{"formattedCitation":"(32)","plainCitation":"(32)","noteIndex":0},"citationItems":[{"id":369,"uris":["http://zotero.org/users/12098505/items/788KNKPJ"],"itemData":{"id":369,"type":"article-journal","issue":"June","page":"0-16","title":"SGRQ Manual June 2009","volume":"44","author":[{"family":"Jones","given":"Paul W"}],"issued":{"date-parts":[["2009"]]}}}],"schema":"https://github.com/citation-style-language/schema/raw/master/csl-citation.json"} </w:instrText>
      </w:r>
      <w:r>
        <w:rPr>
          <w:bCs/>
          <w:iCs w:val="0"/>
        </w:rPr>
        <w:fldChar w:fldCharType="separate"/>
      </w:r>
      <w:r w:rsidR="00D106AB" w:rsidRPr="00D106AB">
        <w:rPr>
          <w:rFonts w:cs="Times New Roman"/>
        </w:rPr>
        <w:t>(32)</w:t>
      </w:r>
      <w:r>
        <w:rPr>
          <w:bCs/>
          <w:iCs w:val="0"/>
        </w:rPr>
        <w:fldChar w:fldCharType="end"/>
      </w:r>
      <w:r>
        <w:rPr>
          <w:bCs/>
          <w:iCs w:val="0"/>
        </w:rPr>
        <w:t xml:space="preserve"> </w:t>
      </w:r>
      <w:r w:rsidRPr="009813F3">
        <w:rPr>
          <w:bCs/>
          <w:iCs w:val="0"/>
        </w:rPr>
        <w:t xml:space="preserve">and </w:t>
      </w:r>
      <w:r>
        <w:rPr>
          <w:bCs/>
          <w:iCs w:val="0"/>
        </w:rPr>
        <w:t xml:space="preserve">UK </w:t>
      </w:r>
      <w:r w:rsidRPr="009813F3">
        <w:rPr>
          <w:bCs/>
          <w:iCs w:val="0"/>
        </w:rPr>
        <w:t>cystic fibrosis patients (mean, SD</w:t>
      </w:r>
      <w:r w:rsidRPr="009813F3">
        <w:t>)</w:t>
      </w:r>
      <w:r>
        <w:t xml:space="preserve"> </w:t>
      </w:r>
      <w:r>
        <w:fldChar w:fldCharType="begin"/>
      </w:r>
      <w:r w:rsidR="00D106AB">
        <w:instrText xml:space="preserve"> ADDIN ZOTERO_ITEM CSL_CITATION {"citationID":"Wly8ibpj","properties":{"formattedCitation":"(33)","plainCitation":"(33)","noteIndex":0},"citationItems":[{"id":1246,"uris":["http://zotero.org/users/12098505/items/5GZPA67T"],"itemData":{"id":1246,"type":"article-journal","container-title":"Archivos de Bronconeumología","DOI":"10.1157/13100539","issue":"4","page":"205-211","publisher":"Elsevier","title":"Validity and reliability of the St. George Respiratory Questionnaire in the adult population with cystic fibrosi","volume":"43","author":[{"family":"Padilla","given":"Alicia"},{"family":"Olveira","given":"Gabriel"},{"family":"Olveira","given":"Casilda"},{"family":"Dorado","given":"Antonio"},{"family":"Plata","given":"Antonio J."},{"family":"Gaspar","given":"Inmaculada"},{"family":"Pérez-Frías","given":"Javier"}],"issued":{"date-parts":[["2007",4]]}}}],"schema":"https://github.com/citation-style-language/schema/raw/master/csl-citation.json"} </w:instrText>
      </w:r>
      <w:r>
        <w:fldChar w:fldCharType="separate"/>
      </w:r>
      <w:r w:rsidR="00D106AB" w:rsidRPr="00D106AB">
        <w:rPr>
          <w:rFonts w:cs="Times New Roman"/>
        </w:rPr>
        <w:t>(33)</w:t>
      </w:r>
      <w:r>
        <w:fldChar w:fldCharType="end"/>
      </w:r>
    </w:p>
    <w:tbl>
      <w:tblPr>
        <w:tblStyle w:val="ListTable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3041"/>
        <w:gridCol w:w="2385"/>
        <w:gridCol w:w="1275"/>
        <w:gridCol w:w="2371"/>
        <w:gridCol w:w="2366"/>
      </w:tblGrid>
      <w:tr w:rsidR="00ED572F" w:rsidRPr="009813F3" w14:paraId="35656C83" w14:textId="77777777" w:rsidTr="00B41D06">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900" w:type="pct"/>
            <w:shd w:val="clear" w:color="auto" w:fill="FFFFFF" w:themeFill="background1"/>
            <w:noWrap/>
            <w:hideMark/>
          </w:tcPr>
          <w:p w14:paraId="0FC75343" w14:textId="77777777" w:rsidR="00ED572F" w:rsidRPr="000821FE" w:rsidRDefault="00ED572F" w:rsidP="00B41D06">
            <w:pPr>
              <w:pStyle w:val="TableText"/>
              <w:rPr>
                <w:color w:val="auto"/>
              </w:rPr>
            </w:pPr>
          </w:p>
        </w:tc>
        <w:tc>
          <w:tcPr>
            <w:tcW w:w="1090" w:type="pct"/>
            <w:shd w:val="clear" w:color="auto" w:fill="FFFFFF" w:themeFill="background1"/>
            <w:noWrap/>
            <w:hideMark/>
          </w:tcPr>
          <w:p w14:paraId="6CD1E351" w14:textId="52DEA087" w:rsidR="00ED572F" w:rsidRPr="000821FE" w:rsidRDefault="00ED572F" w:rsidP="00B41D06">
            <w:pPr>
              <w:pStyle w:val="TableText"/>
              <w:cnfStyle w:val="100000000000" w:firstRow="1" w:lastRow="0" w:firstColumn="0" w:lastColumn="0" w:oddVBand="0" w:evenVBand="0" w:oddHBand="0" w:evenHBand="0" w:firstRowFirstColumn="0" w:firstRowLastColumn="0" w:lastRowFirstColumn="0" w:lastRowLastColumn="0"/>
              <w:rPr>
                <w:color w:val="auto"/>
              </w:rPr>
            </w:pPr>
            <w:r w:rsidRPr="000821FE">
              <w:rPr>
                <w:color w:val="auto"/>
              </w:rPr>
              <w:t xml:space="preserve">UK XLA patients </w:t>
            </w:r>
            <w:r w:rsidR="00AD27CD">
              <w:rPr>
                <w:color w:val="auto"/>
              </w:rPr>
              <w:t>(n = 43)</w:t>
            </w:r>
          </w:p>
        </w:tc>
        <w:tc>
          <w:tcPr>
            <w:tcW w:w="855" w:type="pct"/>
            <w:shd w:val="clear" w:color="auto" w:fill="FFFFFF" w:themeFill="background1"/>
          </w:tcPr>
          <w:p w14:paraId="4B0A7A2F" w14:textId="77777777" w:rsidR="00ED572F" w:rsidRPr="000821FE" w:rsidRDefault="00ED572F" w:rsidP="00B41D06">
            <w:pPr>
              <w:pStyle w:val="TableText"/>
              <w:cnfStyle w:val="100000000000" w:firstRow="1" w:lastRow="0" w:firstColumn="0" w:lastColumn="0" w:oddVBand="0" w:evenVBand="0" w:oddHBand="0" w:evenHBand="0" w:firstRowFirstColumn="0" w:firstRowLastColumn="0" w:lastRowFirstColumn="0" w:lastRowLastColumn="0"/>
              <w:rPr>
                <w:color w:val="auto"/>
              </w:rPr>
            </w:pPr>
            <w:r w:rsidRPr="000821FE">
              <w:rPr>
                <w:color w:val="auto"/>
              </w:rPr>
              <w:t>UK Norms</w:t>
            </w:r>
          </w:p>
        </w:tc>
        <w:tc>
          <w:tcPr>
            <w:tcW w:w="457" w:type="pct"/>
            <w:shd w:val="clear" w:color="auto" w:fill="FFFFFF" w:themeFill="background1"/>
          </w:tcPr>
          <w:p w14:paraId="6BFE3C4E" w14:textId="77777777" w:rsidR="00ED572F" w:rsidRPr="000821FE" w:rsidRDefault="00ED572F" w:rsidP="00B41D06">
            <w:pPr>
              <w:pStyle w:val="TableText"/>
              <w:cnfStyle w:val="100000000000" w:firstRow="1" w:lastRow="0" w:firstColumn="0" w:lastColumn="0" w:oddVBand="0" w:evenVBand="0" w:oddHBand="0" w:evenHBand="0" w:firstRowFirstColumn="0" w:firstRowLastColumn="0" w:lastRowFirstColumn="0" w:lastRowLastColumn="0"/>
              <w:rPr>
                <w:color w:val="auto"/>
              </w:rPr>
            </w:pPr>
            <w:r w:rsidRPr="000821FE">
              <w:rPr>
                <w:color w:val="auto"/>
              </w:rPr>
              <w:t>p-value</w:t>
            </w:r>
          </w:p>
        </w:tc>
        <w:tc>
          <w:tcPr>
            <w:tcW w:w="850" w:type="pct"/>
            <w:shd w:val="clear" w:color="auto" w:fill="FFFFFF" w:themeFill="background1"/>
          </w:tcPr>
          <w:p w14:paraId="135C775F" w14:textId="77777777" w:rsidR="00ED572F" w:rsidRPr="000821FE" w:rsidRDefault="00ED572F" w:rsidP="00B41D06">
            <w:pPr>
              <w:pStyle w:val="TableText"/>
              <w:cnfStyle w:val="100000000000" w:firstRow="1" w:lastRow="0" w:firstColumn="0" w:lastColumn="0" w:oddVBand="0" w:evenVBand="0" w:oddHBand="0" w:evenHBand="0" w:firstRowFirstColumn="0" w:firstRowLastColumn="0" w:lastRowFirstColumn="0" w:lastRowLastColumn="0"/>
              <w:rPr>
                <w:color w:val="auto"/>
              </w:rPr>
            </w:pPr>
            <w:r w:rsidRPr="000821FE">
              <w:rPr>
                <w:color w:val="auto"/>
              </w:rPr>
              <w:t>CF patients</w:t>
            </w:r>
          </w:p>
        </w:tc>
        <w:tc>
          <w:tcPr>
            <w:tcW w:w="848" w:type="pct"/>
            <w:shd w:val="clear" w:color="auto" w:fill="FFFFFF" w:themeFill="background1"/>
          </w:tcPr>
          <w:p w14:paraId="5D5C34E0" w14:textId="77777777" w:rsidR="00ED572F" w:rsidRPr="000821FE" w:rsidRDefault="00ED572F" w:rsidP="00B41D06">
            <w:pPr>
              <w:pStyle w:val="TableText"/>
              <w:cnfStyle w:val="100000000000" w:firstRow="1" w:lastRow="0" w:firstColumn="0" w:lastColumn="0" w:oddVBand="0" w:evenVBand="0" w:oddHBand="0" w:evenHBand="0" w:firstRowFirstColumn="0" w:firstRowLastColumn="0" w:lastRowFirstColumn="0" w:lastRowLastColumn="0"/>
              <w:rPr>
                <w:color w:val="auto"/>
              </w:rPr>
            </w:pPr>
            <w:r w:rsidRPr="000821FE">
              <w:rPr>
                <w:color w:val="auto"/>
              </w:rPr>
              <w:t>p-value</w:t>
            </w:r>
          </w:p>
        </w:tc>
      </w:tr>
      <w:tr w:rsidR="00ED572F" w:rsidRPr="009813F3" w14:paraId="6AAF96A1" w14:textId="77777777" w:rsidTr="00B41D0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00" w:type="pct"/>
            <w:noWrap/>
            <w:hideMark/>
          </w:tcPr>
          <w:p w14:paraId="0F00B017" w14:textId="77777777" w:rsidR="00ED572F" w:rsidRPr="009813F3" w:rsidRDefault="00ED572F" w:rsidP="00B41D06">
            <w:pPr>
              <w:pStyle w:val="TableText"/>
              <w:rPr>
                <w:b w:val="0"/>
                <w:bCs w:val="0"/>
              </w:rPr>
            </w:pPr>
            <w:r w:rsidRPr="009813F3">
              <w:rPr>
                <w:b w:val="0"/>
                <w:bCs w:val="0"/>
              </w:rPr>
              <w:t>Symptom Score</w:t>
            </w:r>
          </w:p>
        </w:tc>
        <w:tc>
          <w:tcPr>
            <w:tcW w:w="1090" w:type="pct"/>
            <w:noWrap/>
            <w:vAlign w:val="bottom"/>
            <w:hideMark/>
          </w:tcPr>
          <w:p w14:paraId="2870154F"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43.</w:t>
            </w:r>
            <w:r>
              <w:t>41</w:t>
            </w:r>
            <w:r w:rsidRPr="009813F3">
              <w:t xml:space="preserve"> (14.32</w:t>
            </w:r>
            <w:r>
              <w:t xml:space="preserve">, </w:t>
            </w:r>
            <w:r w:rsidRPr="009813F3">
              <w:t>58.58)</w:t>
            </w:r>
          </w:p>
        </w:tc>
        <w:tc>
          <w:tcPr>
            <w:tcW w:w="855" w:type="pct"/>
            <w:vAlign w:val="bottom"/>
          </w:tcPr>
          <w:p w14:paraId="6EEE3EF4"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12 (9-15)</w:t>
            </w:r>
          </w:p>
        </w:tc>
        <w:tc>
          <w:tcPr>
            <w:tcW w:w="457" w:type="pct"/>
          </w:tcPr>
          <w:p w14:paraId="44F20CE1"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b/>
                <w:bCs/>
                <w:i/>
                <w:iCs/>
              </w:rPr>
            </w:pPr>
            <w:r w:rsidRPr="009813F3">
              <w:rPr>
                <w:b/>
                <w:bCs/>
                <w:i/>
                <w:iCs/>
              </w:rPr>
              <w:t>&lt;0.001</w:t>
            </w:r>
          </w:p>
        </w:tc>
        <w:tc>
          <w:tcPr>
            <w:tcW w:w="850" w:type="pct"/>
            <w:vAlign w:val="bottom"/>
          </w:tcPr>
          <w:p w14:paraId="14E4DF7E"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35.29 (19.3)</w:t>
            </w:r>
          </w:p>
        </w:tc>
        <w:tc>
          <w:tcPr>
            <w:tcW w:w="848" w:type="pct"/>
          </w:tcPr>
          <w:p w14:paraId="2B5EB0C1"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0.26</w:t>
            </w:r>
            <w:r>
              <w:t>7</w:t>
            </w:r>
          </w:p>
        </w:tc>
      </w:tr>
      <w:tr w:rsidR="00ED572F" w:rsidRPr="009813F3" w14:paraId="5888E3EF" w14:textId="77777777" w:rsidTr="00B41D06">
        <w:trPr>
          <w:trHeight w:val="255"/>
        </w:trPr>
        <w:tc>
          <w:tcPr>
            <w:cnfStyle w:val="001000000000" w:firstRow="0" w:lastRow="0" w:firstColumn="1" w:lastColumn="0" w:oddVBand="0" w:evenVBand="0" w:oddHBand="0" w:evenHBand="0" w:firstRowFirstColumn="0" w:firstRowLastColumn="0" w:lastRowFirstColumn="0" w:lastRowLastColumn="0"/>
            <w:tcW w:w="900" w:type="pct"/>
            <w:noWrap/>
            <w:hideMark/>
          </w:tcPr>
          <w:p w14:paraId="6D32995E" w14:textId="77777777" w:rsidR="00ED572F" w:rsidRPr="009813F3" w:rsidRDefault="00ED572F" w:rsidP="00B41D06">
            <w:pPr>
              <w:pStyle w:val="TableText"/>
              <w:rPr>
                <w:b w:val="0"/>
                <w:bCs w:val="0"/>
              </w:rPr>
            </w:pPr>
            <w:r w:rsidRPr="009813F3">
              <w:rPr>
                <w:b w:val="0"/>
                <w:bCs w:val="0"/>
              </w:rPr>
              <w:t>Activity Score</w:t>
            </w:r>
          </w:p>
        </w:tc>
        <w:tc>
          <w:tcPr>
            <w:tcW w:w="1090" w:type="pct"/>
            <w:noWrap/>
            <w:vAlign w:val="bottom"/>
            <w:hideMark/>
          </w:tcPr>
          <w:p w14:paraId="4932A728"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18.47 (4.48</w:t>
            </w:r>
            <w:r>
              <w:t xml:space="preserve">, </w:t>
            </w:r>
            <w:r w:rsidRPr="009813F3">
              <w:t>35.61)</w:t>
            </w:r>
          </w:p>
        </w:tc>
        <w:tc>
          <w:tcPr>
            <w:tcW w:w="855" w:type="pct"/>
            <w:vAlign w:val="bottom"/>
          </w:tcPr>
          <w:p w14:paraId="374374AF"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9 (7 -12)</w:t>
            </w:r>
          </w:p>
        </w:tc>
        <w:tc>
          <w:tcPr>
            <w:tcW w:w="457" w:type="pct"/>
          </w:tcPr>
          <w:p w14:paraId="31E03E88"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b/>
                <w:bCs/>
                <w:i/>
                <w:iCs/>
              </w:rPr>
            </w:pPr>
            <w:r w:rsidRPr="009813F3">
              <w:rPr>
                <w:b/>
                <w:bCs/>
                <w:i/>
                <w:iCs/>
              </w:rPr>
              <w:t>&lt;0.001</w:t>
            </w:r>
          </w:p>
        </w:tc>
        <w:tc>
          <w:tcPr>
            <w:tcW w:w="850" w:type="pct"/>
            <w:vAlign w:val="bottom"/>
          </w:tcPr>
          <w:p w14:paraId="02CBC2E6"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28.90 (25.2)</w:t>
            </w:r>
          </w:p>
        </w:tc>
        <w:tc>
          <w:tcPr>
            <w:tcW w:w="848" w:type="pct"/>
          </w:tcPr>
          <w:p w14:paraId="5E009CB6"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0.</w:t>
            </w:r>
            <w:r>
              <w:t>412</w:t>
            </w:r>
          </w:p>
        </w:tc>
      </w:tr>
      <w:tr w:rsidR="00ED572F" w:rsidRPr="009813F3" w14:paraId="79141A50" w14:textId="77777777" w:rsidTr="00B41D0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00" w:type="pct"/>
            <w:noWrap/>
            <w:hideMark/>
          </w:tcPr>
          <w:p w14:paraId="169D354C" w14:textId="77777777" w:rsidR="00ED572F" w:rsidRPr="009813F3" w:rsidRDefault="00ED572F" w:rsidP="00B41D06">
            <w:pPr>
              <w:pStyle w:val="TableText"/>
              <w:rPr>
                <w:b w:val="0"/>
                <w:bCs w:val="0"/>
              </w:rPr>
            </w:pPr>
            <w:r w:rsidRPr="009813F3">
              <w:rPr>
                <w:b w:val="0"/>
                <w:bCs w:val="0"/>
              </w:rPr>
              <w:t>Impact Score</w:t>
            </w:r>
          </w:p>
        </w:tc>
        <w:tc>
          <w:tcPr>
            <w:tcW w:w="1090" w:type="pct"/>
            <w:noWrap/>
            <w:vAlign w:val="bottom"/>
            <w:hideMark/>
          </w:tcPr>
          <w:p w14:paraId="2812668C"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t>14.58</w:t>
            </w:r>
            <w:r w:rsidRPr="009813F3">
              <w:t xml:space="preserve"> (4.</w:t>
            </w:r>
            <w:r>
              <w:t xml:space="preserve">58, </w:t>
            </w:r>
            <w:r w:rsidRPr="009813F3">
              <w:t>24.23)</w:t>
            </w:r>
          </w:p>
        </w:tc>
        <w:tc>
          <w:tcPr>
            <w:tcW w:w="855" w:type="pct"/>
            <w:vAlign w:val="bottom"/>
          </w:tcPr>
          <w:p w14:paraId="64F4DCB4"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2 (1 -3)</w:t>
            </w:r>
          </w:p>
        </w:tc>
        <w:tc>
          <w:tcPr>
            <w:tcW w:w="457" w:type="pct"/>
          </w:tcPr>
          <w:p w14:paraId="20C3C90C"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rPr>
                <w:b/>
                <w:bCs/>
                <w:i/>
                <w:iCs/>
              </w:rPr>
              <w:t>&lt;0.001</w:t>
            </w:r>
          </w:p>
        </w:tc>
        <w:tc>
          <w:tcPr>
            <w:tcW w:w="850" w:type="pct"/>
            <w:vAlign w:val="bottom"/>
          </w:tcPr>
          <w:p w14:paraId="12049B2B"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18.60 (14.6)</w:t>
            </w:r>
          </w:p>
        </w:tc>
        <w:tc>
          <w:tcPr>
            <w:tcW w:w="848" w:type="pct"/>
          </w:tcPr>
          <w:p w14:paraId="55C170E0"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0.</w:t>
            </w:r>
            <w:r>
              <w:t>246</w:t>
            </w:r>
          </w:p>
        </w:tc>
      </w:tr>
      <w:tr w:rsidR="00ED572F" w:rsidRPr="009813F3" w14:paraId="7A256D0E" w14:textId="77777777" w:rsidTr="00B41D06">
        <w:trPr>
          <w:trHeight w:val="255"/>
        </w:trPr>
        <w:tc>
          <w:tcPr>
            <w:cnfStyle w:val="001000000000" w:firstRow="0" w:lastRow="0" w:firstColumn="1" w:lastColumn="0" w:oddVBand="0" w:evenVBand="0" w:oddHBand="0" w:evenHBand="0" w:firstRowFirstColumn="0" w:firstRowLastColumn="0" w:lastRowFirstColumn="0" w:lastRowLastColumn="0"/>
            <w:tcW w:w="900" w:type="pct"/>
            <w:noWrap/>
            <w:hideMark/>
          </w:tcPr>
          <w:p w14:paraId="13426035" w14:textId="77777777" w:rsidR="00ED572F" w:rsidRPr="009813F3" w:rsidRDefault="00ED572F" w:rsidP="00B41D06">
            <w:pPr>
              <w:pStyle w:val="TableText"/>
              <w:rPr>
                <w:b w:val="0"/>
                <w:bCs w:val="0"/>
              </w:rPr>
            </w:pPr>
            <w:r w:rsidRPr="009813F3">
              <w:rPr>
                <w:b w:val="0"/>
                <w:bCs w:val="0"/>
              </w:rPr>
              <w:t>Total Score</w:t>
            </w:r>
          </w:p>
        </w:tc>
        <w:tc>
          <w:tcPr>
            <w:tcW w:w="1090" w:type="pct"/>
            <w:noWrap/>
            <w:vAlign w:val="bottom"/>
            <w:hideMark/>
          </w:tcPr>
          <w:p w14:paraId="74718F84"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21.06 (6.37 – 27.86)</w:t>
            </w:r>
          </w:p>
        </w:tc>
        <w:tc>
          <w:tcPr>
            <w:tcW w:w="855" w:type="pct"/>
            <w:vAlign w:val="bottom"/>
          </w:tcPr>
          <w:p w14:paraId="439BB8FC"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6 (5-7)</w:t>
            </w:r>
          </w:p>
        </w:tc>
        <w:tc>
          <w:tcPr>
            <w:tcW w:w="457" w:type="pct"/>
          </w:tcPr>
          <w:p w14:paraId="4814631A"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b/>
                <w:bCs/>
                <w:i/>
                <w:iCs/>
              </w:rPr>
            </w:pPr>
            <w:r w:rsidRPr="009813F3">
              <w:rPr>
                <w:b/>
                <w:bCs/>
                <w:i/>
                <w:iCs/>
              </w:rPr>
              <w:t>&lt;0.001</w:t>
            </w:r>
          </w:p>
        </w:tc>
        <w:tc>
          <w:tcPr>
            <w:tcW w:w="850" w:type="pct"/>
            <w:vAlign w:val="bottom"/>
          </w:tcPr>
          <w:p w14:paraId="512AC831"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24.50 (16.8)</w:t>
            </w:r>
          </w:p>
        </w:tc>
        <w:tc>
          <w:tcPr>
            <w:tcW w:w="848" w:type="pct"/>
          </w:tcPr>
          <w:p w14:paraId="714EE148"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0.</w:t>
            </w:r>
            <w:r>
              <w:t>156</w:t>
            </w:r>
          </w:p>
        </w:tc>
      </w:tr>
      <w:tr w:rsidR="00ED572F" w:rsidRPr="009813F3" w14:paraId="09539090" w14:textId="77777777" w:rsidTr="00B41D0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auto"/>
            </w:tcBorders>
            <w:noWrap/>
          </w:tcPr>
          <w:p w14:paraId="08D5B37E" w14:textId="77777777" w:rsidR="00ED572F" w:rsidRPr="009813F3" w:rsidRDefault="00ED572F" w:rsidP="00B41D06">
            <w:pPr>
              <w:pStyle w:val="TableText"/>
              <w:jc w:val="center"/>
            </w:pPr>
          </w:p>
        </w:tc>
      </w:tr>
      <w:tr w:rsidR="00ED572F" w:rsidRPr="009813F3" w14:paraId="0D7C1E65" w14:textId="77777777" w:rsidTr="00B41D06">
        <w:trPr>
          <w:trHeight w:val="255"/>
        </w:trPr>
        <w:tc>
          <w:tcPr>
            <w:cnfStyle w:val="001000000000" w:firstRow="0" w:lastRow="0" w:firstColumn="1" w:lastColumn="0" w:oddVBand="0" w:evenVBand="0" w:oddHBand="0" w:evenHBand="0" w:firstRowFirstColumn="0" w:firstRowLastColumn="0" w:lastRowFirstColumn="0" w:lastRowLastColumn="0"/>
            <w:tcW w:w="900" w:type="pct"/>
            <w:noWrap/>
          </w:tcPr>
          <w:p w14:paraId="65DDA918" w14:textId="77777777" w:rsidR="00ED572F" w:rsidRPr="000821FE" w:rsidRDefault="00ED572F" w:rsidP="00B41D06">
            <w:pPr>
              <w:pStyle w:val="TableText"/>
            </w:pPr>
          </w:p>
        </w:tc>
        <w:tc>
          <w:tcPr>
            <w:tcW w:w="1090" w:type="pct"/>
            <w:noWrap/>
          </w:tcPr>
          <w:p w14:paraId="03ACF42F" w14:textId="77777777" w:rsidR="00ED572F" w:rsidRPr="000821FE"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0821FE">
              <w:rPr>
                <w:b/>
                <w:bCs/>
              </w:rPr>
              <w:t>Bronchiectasis</w:t>
            </w:r>
          </w:p>
        </w:tc>
        <w:tc>
          <w:tcPr>
            <w:tcW w:w="855" w:type="pct"/>
          </w:tcPr>
          <w:p w14:paraId="1D206939" w14:textId="77777777" w:rsidR="00ED572F" w:rsidRPr="000821FE"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0821FE">
              <w:rPr>
                <w:b/>
                <w:bCs/>
              </w:rPr>
              <w:t>No Bronchiectasis</w:t>
            </w:r>
          </w:p>
        </w:tc>
        <w:tc>
          <w:tcPr>
            <w:tcW w:w="457" w:type="pct"/>
          </w:tcPr>
          <w:p w14:paraId="7F716162" w14:textId="77777777" w:rsidR="00ED572F" w:rsidRPr="000821FE"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b/>
                <w:bCs/>
                <w:i/>
                <w:iCs/>
              </w:rPr>
            </w:pPr>
            <w:r w:rsidRPr="000821FE">
              <w:rPr>
                <w:b/>
                <w:bCs/>
              </w:rPr>
              <w:t>p value</w:t>
            </w:r>
          </w:p>
        </w:tc>
        <w:tc>
          <w:tcPr>
            <w:tcW w:w="850" w:type="pct"/>
          </w:tcPr>
          <w:p w14:paraId="3BB1D6DA" w14:textId="77777777" w:rsidR="00ED572F" w:rsidRPr="000821FE"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b/>
                <w:bCs/>
              </w:rPr>
            </w:pPr>
            <w:r>
              <w:rPr>
                <w:b/>
                <w:bCs/>
              </w:rPr>
              <w:t>Bronchiectasis v</w:t>
            </w:r>
            <w:r w:rsidRPr="00D96876">
              <w:rPr>
                <w:b/>
                <w:bCs/>
              </w:rPr>
              <w:t>ersus male UK norms</w:t>
            </w:r>
          </w:p>
        </w:tc>
        <w:tc>
          <w:tcPr>
            <w:tcW w:w="848" w:type="pct"/>
          </w:tcPr>
          <w:p w14:paraId="308C328D" w14:textId="77777777" w:rsidR="00ED572F" w:rsidRPr="000821FE"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b/>
                <w:bCs/>
              </w:rPr>
            </w:pPr>
            <w:r>
              <w:rPr>
                <w:b/>
                <w:bCs/>
              </w:rPr>
              <w:t>Bronchiectasis v</w:t>
            </w:r>
            <w:r w:rsidRPr="00D96876">
              <w:rPr>
                <w:b/>
                <w:bCs/>
              </w:rPr>
              <w:t>ersus CF patients</w:t>
            </w:r>
          </w:p>
        </w:tc>
      </w:tr>
      <w:tr w:rsidR="00ED572F" w:rsidRPr="009813F3" w14:paraId="441EE96F" w14:textId="77777777" w:rsidTr="00B41D0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00" w:type="pct"/>
            <w:noWrap/>
          </w:tcPr>
          <w:p w14:paraId="6DA6D3FE" w14:textId="77777777" w:rsidR="00ED572F" w:rsidRPr="009813F3" w:rsidRDefault="00ED572F" w:rsidP="00B41D06">
            <w:pPr>
              <w:pStyle w:val="TableText"/>
            </w:pPr>
            <w:r w:rsidRPr="009813F3">
              <w:rPr>
                <w:b w:val="0"/>
                <w:bCs w:val="0"/>
              </w:rPr>
              <w:t>Symptom Score</w:t>
            </w:r>
          </w:p>
        </w:tc>
        <w:tc>
          <w:tcPr>
            <w:tcW w:w="1090" w:type="pct"/>
            <w:noWrap/>
            <w:vAlign w:val="bottom"/>
          </w:tcPr>
          <w:p w14:paraId="341FA62B"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56.3</w:t>
            </w:r>
            <w:r>
              <w:t>3</w:t>
            </w:r>
            <w:r w:rsidRPr="009813F3">
              <w:t xml:space="preserve"> (3</w:t>
            </w:r>
            <w:r>
              <w:t>8</w:t>
            </w:r>
            <w:r w:rsidRPr="009813F3">
              <w:t>.</w:t>
            </w:r>
            <w:r>
              <w:t xml:space="preserve">44, </w:t>
            </w:r>
            <w:r w:rsidRPr="009813F3">
              <w:t>6</w:t>
            </w:r>
            <w:r>
              <w:t>8</w:t>
            </w:r>
            <w:r w:rsidRPr="009813F3">
              <w:t>.</w:t>
            </w:r>
            <w:r>
              <w:t>26</w:t>
            </w:r>
            <w:r w:rsidRPr="009813F3">
              <w:t>)</w:t>
            </w:r>
          </w:p>
        </w:tc>
        <w:tc>
          <w:tcPr>
            <w:tcW w:w="855" w:type="pct"/>
            <w:vAlign w:val="bottom"/>
          </w:tcPr>
          <w:p w14:paraId="3D3692DE"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11.89 (0.00</w:t>
            </w:r>
            <w:r>
              <w:t xml:space="preserve">, </w:t>
            </w:r>
            <w:r w:rsidRPr="009813F3">
              <w:t>19.03)</w:t>
            </w:r>
          </w:p>
        </w:tc>
        <w:tc>
          <w:tcPr>
            <w:tcW w:w="457" w:type="pct"/>
          </w:tcPr>
          <w:p w14:paraId="71AD20EB" w14:textId="77777777" w:rsidR="00ED572F" w:rsidRPr="007A55EE"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b/>
                <w:bCs/>
                <w:i/>
                <w:iCs/>
              </w:rPr>
            </w:pPr>
            <w:r w:rsidRPr="00B44C4B">
              <w:rPr>
                <w:b/>
                <w:bCs/>
                <w:i/>
                <w:iCs/>
              </w:rPr>
              <w:t>&lt;0.001</w:t>
            </w:r>
          </w:p>
        </w:tc>
        <w:tc>
          <w:tcPr>
            <w:tcW w:w="850" w:type="pct"/>
          </w:tcPr>
          <w:p w14:paraId="19D4C226" w14:textId="77777777" w:rsidR="00ED572F" w:rsidRPr="00B44C4B"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b/>
                <w:bCs/>
                <w:i/>
                <w:iCs/>
              </w:rPr>
            </w:pPr>
            <w:r w:rsidRPr="00B44C4B">
              <w:rPr>
                <w:b/>
                <w:bCs/>
                <w:i/>
                <w:iCs/>
              </w:rPr>
              <w:t>&lt;0.001</w:t>
            </w:r>
          </w:p>
        </w:tc>
        <w:tc>
          <w:tcPr>
            <w:tcW w:w="848" w:type="pct"/>
          </w:tcPr>
          <w:p w14:paraId="1228D924" w14:textId="77777777" w:rsidR="00ED572F" w:rsidRPr="00722754"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b/>
                <w:bCs/>
                <w:i/>
                <w:iCs/>
              </w:rPr>
            </w:pPr>
            <w:r w:rsidRPr="00722754">
              <w:rPr>
                <w:b/>
                <w:bCs/>
                <w:i/>
                <w:iCs/>
              </w:rPr>
              <w:t>0.001</w:t>
            </w:r>
          </w:p>
        </w:tc>
      </w:tr>
      <w:tr w:rsidR="00ED572F" w:rsidRPr="009813F3" w14:paraId="70F8544C" w14:textId="77777777" w:rsidTr="00B41D06">
        <w:trPr>
          <w:trHeight w:val="255"/>
        </w:trPr>
        <w:tc>
          <w:tcPr>
            <w:cnfStyle w:val="001000000000" w:firstRow="0" w:lastRow="0" w:firstColumn="1" w:lastColumn="0" w:oddVBand="0" w:evenVBand="0" w:oddHBand="0" w:evenHBand="0" w:firstRowFirstColumn="0" w:firstRowLastColumn="0" w:lastRowFirstColumn="0" w:lastRowLastColumn="0"/>
            <w:tcW w:w="900" w:type="pct"/>
            <w:noWrap/>
          </w:tcPr>
          <w:p w14:paraId="70EE195E" w14:textId="77777777" w:rsidR="00ED572F" w:rsidRPr="009813F3" w:rsidRDefault="00ED572F" w:rsidP="00B41D06">
            <w:pPr>
              <w:pStyle w:val="TableText"/>
            </w:pPr>
            <w:r w:rsidRPr="009813F3">
              <w:rPr>
                <w:b w:val="0"/>
                <w:bCs w:val="0"/>
              </w:rPr>
              <w:t>Activity Score</w:t>
            </w:r>
          </w:p>
        </w:tc>
        <w:tc>
          <w:tcPr>
            <w:tcW w:w="1090" w:type="pct"/>
            <w:noWrap/>
            <w:vAlign w:val="bottom"/>
          </w:tcPr>
          <w:p w14:paraId="79502760"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t>30.81</w:t>
            </w:r>
            <w:r w:rsidRPr="009813F3">
              <w:t xml:space="preserve"> (</w:t>
            </w:r>
            <w:r>
              <w:t xml:space="preserve">18.47, </w:t>
            </w:r>
            <w:r w:rsidRPr="009813F3">
              <w:t>4</w:t>
            </w:r>
            <w:r>
              <w:t>3</w:t>
            </w:r>
            <w:r w:rsidRPr="009813F3">
              <w:t>.</w:t>
            </w:r>
            <w:r>
              <w:t>48</w:t>
            </w:r>
            <w:r w:rsidRPr="009813F3">
              <w:t>)</w:t>
            </w:r>
          </w:p>
        </w:tc>
        <w:tc>
          <w:tcPr>
            <w:tcW w:w="855" w:type="pct"/>
            <w:vAlign w:val="bottom"/>
          </w:tcPr>
          <w:p w14:paraId="13039460"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1.16 (0.00 – 5.96)</w:t>
            </w:r>
          </w:p>
        </w:tc>
        <w:tc>
          <w:tcPr>
            <w:tcW w:w="457" w:type="pct"/>
          </w:tcPr>
          <w:p w14:paraId="0B5FDC27" w14:textId="77777777" w:rsidR="00ED572F" w:rsidRPr="007A55EE"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b/>
                <w:bCs/>
                <w:i/>
                <w:iCs/>
              </w:rPr>
            </w:pPr>
            <w:r w:rsidRPr="00B44C4B">
              <w:rPr>
                <w:b/>
                <w:bCs/>
                <w:i/>
                <w:iCs/>
              </w:rPr>
              <w:t>&lt;0.001</w:t>
            </w:r>
          </w:p>
        </w:tc>
        <w:tc>
          <w:tcPr>
            <w:tcW w:w="850" w:type="pct"/>
          </w:tcPr>
          <w:p w14:paraId="778D7D43" w14:textId="77777777" w:rsidR="00ED572F" w:rsidRPr="00B44C4B"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b/>
                <w:bCs/>
                <w:i/>
                <w:iCs/>
              </w:rPr>
            </w:pPr>
            <w:r w:rsidRPr="00B44C4B">
              <w:rPr>
                <w:b/>
                <w:bCs/>
                <w:i/>
                <w:iCs/>
              </w:rPr>
              <w:t>&lt;0.001</w:t>
            </w:r>
          </w:p>
        </w:tc>
        <w:tc>
          <w:tcPr>
            <w:tcW w:w="848" w:type="pct"/>
          </w:tcPr>
          <w:p w14:paraId="0A0B5CEB"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0.517</w:t>
            </w:r>
          </w:p>
        </w:tc>
      </w:tr>
      <w:tr w:rsidR="00ED572F" w:rsidRPr="009813F3" w14:paraId="6B0B7B11" w14:textId="77777777" w:rsidTr="00B41D0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00" w:type="pct"/>
            <w:noWrap/>
          </w:tcPr>
          <w:p w14:paraId="01C6D8E8" w14:textId="77777777" w:rsidR="00ED572F" w:rsidRPr="009813F3" w:rsidRDefault="00ED572F" w:rsidP="00B41D06">
            <w:pPr>
              <w:pStyle w:val="TableText"/>
            </w:pPr>
            <w:r w:rsidRPr="009813F3">
              <w:rPr>
                <w:b w:val="0"/>
                <w:bCs w:val="0"/>
              </w:rPr>
              <w:t>Impact Score</w:t>
            </w:r>
          </w:p>
        </w:tc>
        <w:tc>
          <w:tcPr>
            <w:tcW w:w="1090" w:type="pct"/>
            <w:noWrap/>
            <w:vAlign w:val="bottom"/>
          </w:tcPr>
          <w:p w14:paraId="447BE1F8"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21.</w:t>
            </w:r>
            <w:r>
              <w:t>66</w:t>
            </w:r>
            <w:r w:rsidRPr="009813F3">
              <w:t xml:space="preserve"> (14.5</w:t>
            </w:r>
            <w:r>
              <w:t xml:space="preserve">0, </w:t>
            </w:r>
            <w:r w:rsidRPr="009813F3">
              <w:t>3</w:t>
            </w:r>
            <w:r>
              <w:t>1.39</w:t>
            </w:r>
            <w:r w:rsidRPr="009813F3">
              <w:t>)</w:t>
            </w:r>
          </w:p>
        </w:tc>
        <w:tc>
          <w:tcPr>
            <w:tcW w:w="855" w:type="pct"/>
            <w:vAlign w:val="bottom"/>
          </w:tcPr>
          <w:p w14:paraId="5F98CEF2"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1.89 (0.00 – 5.52)</w:t>
            </w:r>
          </w:p>
        </w:tc>
        <w:tc>
          <w:tcPr>
            <w:tcW w:w="457" w:type="pct"/>
          </w:tcPr>
          <w:p w14:paraId="04480152" w14:textId="77777777" w:rsidR="00ED572F" w:rsidRPr="007A55EE"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b/>
                <w:bCs/>
                <w:i/>
                <w:iCs/>
              </w:rPr>
            </w:pPr>
            <w:r w:rsidRPr="00B44C4B">
              <w:rPr>
                <w:b/>
                <w:bCs/>
                <w:i/>
                <w:iCs/>
              </w:rPr>
              <w:t>&lt;0.001</w:t>
            </w:r>
          </w:p>
        </w:tc>
        <w:tc>
          <w:tcPr>
            <w:tcW w:w="850" w:type="pct"/>
          </w:tcPr>
          <w:p w14:paraId="59674D60" w14:textId="77777777" w:rsidR="00ED572F" w:rsidRPr="00B44C4B"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b/>
                <w:bCs/>
                <w:i/>
                <w:iCs/>
              </w:rPr>
            </w:pPr>
            <w:r w:rsidRPr="00B44C4B">
              <w:rPr>
                <w:b/>
                <w:bCs/>
                <w:i/>
                <w:iCs/>
              </w:rPr>
              <w:t>&lt;0.001</w:t>
            </w:r>
          </w:p>
        </w:tc>
        <w:tc>
          <w:tcPr>
            <w:tcW w:w="848" w:type="pct"/>
          </w:tcPr>
          <w:p w14:paraId="6B104A9E"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9813F3">
              <w:t>0.</w:t>
            </w:r>
            <w:r>
              <w:t>139</w:t>
            </w:r>
          </w:p>
        </w:tc>
      </w:tr>
      <w:tr w:rsidR="00ED572F" w:rsidRPr="009813F3" w14:paraId="052DD310" w14:textId="77777777" w:rsidTr="00B41D06">
        <w:trPr>
          <w:trHeight w:val="255"/>
        </w:trPr>
        <w:tc>
          <w:tcPr>
            <w:cnfStyle w:val="001000000000" w:firstRow="0" w:lastRow="0" w:firstColumn="1" w:lastColumn="0" w:oddVBand="0" w:evenVBand="0" w:oddHBand="0" w:evenHBand="0" w:firstRowFirstColumn="0" w:firstRowLastColumn="0" w:lastRowFirstColumn="0" w:lastRowLastColumn="0"/>
            <w:tcW w:w="900" w:type="pct"/>
            <w:noWrap/>
          </w:tcPr>
          <w:p w14:paraId="327D3C21" w14:textId="77777777" w:rsidR="00ED572F" w:rsidRPr="009813F3" w:rsidRDefault="00ED572F" w:rsidP="00B41D06">
            <w:pPr>
              <w:pStyle w:val="TableText"/>
            </w:pPr>
            <w:r w:rsidRPr="009813F3">
              <w:rPr>
                <w:b w:val="0"/>
                <w:bCs w:val="0"/>
              </w:rPr>
              <w:t>Total Score</w:t>
            </w:r>
          </w:p>
        </w:tc>
        <w:tc>
          <w:tcPr>
            <w:tcW w:w="1090" w:type="pct"/>
            <w:noWrap/>
            <w:vAlign w:val="bottom"/>
          </w:tcPr>
          <w:p w14:paraId="097888B2"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t>26.84</w:t>
            </w:r>
            <w:r w:rsidRPr="009813F3">
              <w:t xml:space="preserve"> (21</w:t>
            </w:r>
            <w:r>
              <w:t>.05, 32.94</w:t>
            </w:r>
            <w:r w:rsidRPr="009813F3">
              <w:t>)</w:t>
            </w:r>
          </w:p>
        </w:tc>
        <w:tc>
          <w:tcPr>
            <w:tcW w:w="855" w:type="pct"/>
            <w:vAlign w:val="bottom"/>
          </w:tcPr>
          <w:p w14:paraId="7020CBCF"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4.81</w:t>
            </w:r>
            <w:r>
              <w:t xml:space="preserve"> </w:t>
            </w:r>
            <w:r w:rsidRPr="009813F3">
              <w:t>(1.52</w:t>
            </w:r>
            <w:r>
              <w:t>,</w:t>
            </w:r>
            <w:r w:rsidRPr="009813F3">
              <w:t xml:space="preserve"> 8.63)</w:t>
            </w:r>
          </w:p>
        </w:tc>
        <w:tc>
          <w:tcPr>
            <w:tcW w:w="457" w:type="pct"/>
          </w:tcPr>
          <w:p w14:paraId="3537B86A" w14:textId="77777777" w:rsidR="00ED572F" w:rsidRPr="007A55EE"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b/>
                <w:bCs/>
                <w:i/>
                <w:iCs/>
              </w:rPr>
            </w:pPr>
            <w:r w:rsidRPr="00B44C4B">
              <w:rPr>
                <w:b/>
                <w:bCs/>
                <w:i/>
                <w:iCs/>
              </w:rPr>
              <w:t>&lt;0.001</w:t>
            </w:r>
          </w:p>
        </w:tc>
        <w:tc>
          <w:tcPr>
            <w:tcW w:w="850" w:type="pct"/>
          </w:tcPr>
          <w:p w14:paraId="35AA89DC" w14:textId="77777777" w:rsidR="00ED572F" w:rsidRPr="00B44C4B"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b/>
                <w:bCs/>
                <w:i/>
                <w:iCs/>
              </w:rPr>
            </w:pPr>
            <w:r w:rsidRPr="00B44C4B">
              <w:rPr>
                <w:b/>
                <w:bCs/>
                <w:i/>
                <w:iCs/>
              </w:rPr>
              <w:t>&lt;0.001</w:t>
            </w:r>
          </w:p>
        </w:tc>
        <w:tc>
          <w:tcPr>
            <w:tcW w:w="848" w:type="pct"/>
          </w:tcPr>
          <w:p w14:paraId="6A777E1B" w14:textId="77777777" w:rsidR="00ED572F" w:rsidRPr="009813F3"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9813F3">
              <w:t>0.19</w:t>
            </w:r>
            <w:r>
              <w:t>8</w:t>
            </w:r>
          </w:p>
        </w:tc>
      </w:tr>
    </w:tbl>
    <w:p w14:paraId="0944C8CD" w14:textId="61771FD0" w:rsidR="00496843" w:rsidRPr="009877C3" w:rsidRDefault="00496843" w:rsidP="00496843">
      <w:pPr>
        <w:pStyle w:val="Caption"/>
        <w:rPr>
          <w:bCs/>
          <w:iCs w:val="0"/>
        </w:rPr>
      </w:pPr>
      <w:r w:rsidRPr="009877C3">
        <w:rPr>
          <w:bCs/>
          <w:iCs w:val="0"/>
        </w:rPr>
        <w:t xml:space="preserve">Table </w:t>
      </w:r>
      <w:r w:rsidRPr="009877C3">
        <w:rPr>
          <w:bCs/>
          <w:iCs w:val="0"/>
        </w:rPr>
        <w:fldChar w:fldCharType="begin"/>
      </w:r>
      <w:r w:rsidRPr="009877C3">
        <w:rPr>
          <w:bCs/>
          <w:iCs w:val="0"/>
        </w:rPr>
        <w:instrText xml:space="preserve"> SEQ Table \* ARABIC </w:instrText>
      </w:r>
      <w:r w:rsidRPr="009877C3">
        <w:rPr>
          <w:bCs/>
          <w:iCs w:val="0"/>
        </w:rPr>
        <w:fldChar w:fldCharType="separate"/>
      </w:r>
      <w:r>
        <w:rPr>
          <w:bCs/>
          <w:iCs w:val="0"/>
          <w:noProof/>
        </w:rPr>
        <w:t>7</w:t>
      </w:r>
      <w:r w:rsidRPr="009877C3">
        <w:rPr>
          <w:bCs/>
          <w:iCs w:val="0"/>
        </w:rPr>
        <w:fldChar w:fldCharType="end"/>
      </w:r>
      <w:r w:rsidRPr="009877C3">
        <w:rPr>
          <w:bCs/>
          <w:iCs w:val="0"/>
        </w:rPr>
        <w:t xml:space="preserve"> St George’s respiratory questionnaire total scores and clinical outcomes and phenotype.  Spearman’s rho and p values shown</w:t>
      </w:r>
    </w:p>
    <w:tbl>
      <w:tblPr>
        <w:tblStyle w:val="ListTable33"/>
        <w:tblW w:w="0" w:type="auto"/>
        <w:tblBorders>
          <w:insideH w:val="single" w:sz="4" w:space="0" w:color="auto"/>
          <w:insideV w:val="single" w:sz="4" w:space="0" w:color="auto"/>
        </w:tblBorders>
        <w:tblLook w:val="04A0" w:firstRow="1" w:lastRow="0" w:firstColumn="1" w:lastColumn="0" w:noHBand="0" w:noVBand="1"/>
      </w:tblPr>
      <w:tblGrid>
        <w:gridCol w:w="3005"/>
        <w:gridCol w:w="3005"/>
        <w:gridCol w:w="3006"/>
      </w:tblGrid>
      <w:tr w:rsidR="00496843" w:rsidRPr="009813F3" w14:paraId="48AADCAC" w14:textId="77777777" w:rsidTr="004439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shd w:val="clear" w:color="auto" w:fill="auto"/>
          </w:tcPr>
          <w:p w14:paraId="2ED827A8" w14:textId="77777777" w:rsidR="00496843" w:rsidRPr="009813F3" w:rsidRDefault="00496843" w:rsidP="00443903">
            <w:pPr>
              <w:pStyle w:val="TableText"/>
              <w:rPr>
                <w:color w:val="auto"/>
              </w:rPr>
            </w:pPr>
          </w:p>
        </w:tc>
        <w:tc>
          <w:tcPr>
            <w:tcW w:w="3005" w:type="dxa"/>
            <w:shd w:val="clear" w:color="auto" w:fill="auto"/>
          </w:tcPr>
          <w:p w14:paraId="357620F0" w14:textId="77777777" w:rsidR="00496843" w:rsidRPr="009813F3" w:rsidRDefault="00496843" w:rsidP="00443903">
            <w:pPr>
              <w:pStyle w:val="TableText"/>
              <w:cnfStyle w:val="100000000000" w:firstRow="1" w:lastRow="0" w:firstColumn="0" w:lastColumn="0" w:oddVBand="0" w:evenVBand="0" w:oddHBand="0" w:evenHBand="0" w:firstRowFirstColumn="0" w:firstRowLastColumn="0" w:lastRowFirstColumn="0" w:lastRowLastColumn="0"/>
              <w:rPr>
                <w:color w:val="auto"/>
              </w:rPr>
            </w:pPr>
            <w:r w:rsidRPr="009813F3">
              <w:rPr>
                <w:color w:val="auto"/>
              </w:rPr>
              <w:t xml:space="preserve">Spearman’s </w:t>
            </w:r>
            <w:r w:rsidRPr="009813F3">
              <w:rPr>
                <w:rFonts w:cs="Times New Roman"/>
                <w:color w:val="auto"/>
              </w:rPr>
              <w:t>ρ</w:t>
            </w:r>
          </w:p>
        </w:tc>
        <w:tc>
          <w:tcPr>
            <w:tcW w:w="3006" w:type="dxa"/>
            <w:shd w:val="clear" w:color="auto" w:fill="auto"/>
          </w:tcPr>
          <w:p w14:paraId="0FDA66EA" w14:textId="77777777" w:rsidR="00496843" w:rsidRPr="009813F3" w:rsidRDefault="00496843" w:rsidP="00443903">
            <w:pPr>
              <w:pStyle w:val="TableText"/>
              <w:cnfStyle w:val="100000000000" w:firstRow="1" w:lastRow="0" w:firstColumn="0" w:lastColumn="0" w:oddVBand="0" w:evenVBand="0" w:oddHBand="0" w:evenHBand="0" w:firstRowFirstColumn="0" w:firstRowLastColumn="0" w:lastRowFirstColumn="0" w:lastRowLastColumn="0"/>
              <w:rPr>
                <w:color w:val="auto"/>
              </w:rPr>
            </w:pPr>
            <w:r w:rsidRPr="009813F3">
              <w:rPr>
                <w:color w:val="auto"/>
              </w:rPr>
              <w:t>p-value</w:t>
            </w:r>
          </w:p>
        </w:tc>
      </w:tr>
      <w:tr w:rsidR="00496843" w:rsidRPr="009813F3" w14:paraId="616C741D" w14:textId="77777777" w:rsidTr="00443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DE09F21" w14:textId="77777777" w:rsidR="00496843" w:rsidRPr="009813F3" w:rsidRDefault="00496843" w:rsidP="00443903">
            <w:pPr>
              <w:pStyle w:val="TableText"/>
              <w:rPr>
                <w:b w:val="0"/>
                <w:bCs w:val="0"/>
              </w:rPr>
            </w:pPr>
            <w:r w:rsidRPr="009813F3">
              <w:rPr>
                <w:b w:val="0"/>
                <w:bCs w:val="0"/>
              </w:rPr>
              <w:t xml:space="preserve">Age </w:t>
            </w:r>
            <w:r>
              <w:rPr>
                <w:b w:val="0"/>
                <w:bCs w:val="0"/>
              </w:rPr>
              <w:t>(years)</w:t>
            </w:r>
          </w:p>
        </w:tc>
        <w:tc>
          <w:tcPr>
            <w:tcW w:w="3005" w:type="dxa"/>
          </w:tcPr>
          <w:p w14:paraId="0D459D5E" w14:textId="77777777" w:rsidR="00496843" w:rsidRPr="009813F3" w:rsidRDefault="00496843" w:rsidP="00443903">
            <w:pPr>
              <w:pStyle w:val="TableText"/>
              <w:jc w:val="center"/>
              <w:cnfStyle w:val="000000100000" w:firstRow="0" w:lastRow="0" w:firstColumn="0" w:lastColumn="0" w:oddVBand="0" w:evenVBand="0" w:oddHBand="1" w:evenHBand="0" w:firstRowFirstColumn="0" w:firstRowLastColumn="0" w:lastRowFirstColumn="0" w:lastRowLastColumn="0"/>
            </w:pPr>
            <w:r w:rsidRPr="009813F3">
              <w:t>0.136</w:t>
            </w:r>
          </w:p>
        </w:tc>
        <w:tc>
          <w:tcPr>
            <w:tcW w:w="3006" w:type="dxa"/>
          </w:tcPr>
          <w:p w14:paraId="42B2D399" w14:textId="77777777" w:rsidR="00496843" w:rsidRPr="009813F3" w:rsidRDefault="00496843" w:rsidP="00443903">
            <w:pPr>
              <w:pStyle w:val="TableText"/>
              <w:jc w:val="center"/>
              <w:cnfStyle w:val="000000100000" w:firstRow="0" w:lastRow="0" w:firstColumn="0" w:lastColumn="0" w:oddVBand="0" w:evenVBand="0" w:oddHBand="1" w:evenHBand="0" w:firstRowFirstColumn="0" w:firstRowLastColumn="0" w:lastRowFirstColumn="0" w:lastRowLastColumn="0"/>
            </w:pPr>
            <w:r w:rsidRPr="009813F3">
              <w:t>0.397</w:t>
            </w:r>
          </w:p>
        </w:tc>
      </w:tr>
      <w:tr w:rsidR="00496843" w:rsidRPr="009813F3" w14:paraId="6587D8E9" w14:textId="77777777" w:rsidTr="00443903">
        <w:tc>
          <w:tcPr>
            <w:cnfStyle w:val="001000000000" w:firstRow="0" w:lastRow="0" w:firstColumn="1" w:lastColumn="0" w:oddVBand="0" w:evenVBand="0" w:oddHBand="0" w:evenHBand="0" w:firstRowFirstColumn="0" w:firstRowLastColumn="0" w:lastRowFirstColumn="0" w:lastRowLastColumn="0"/>
            <w:tcW w:w="3005" w:type="dxa"/>
          </w:tcPr>
          <w:p w14:paraId="18AF6D15" w14:textId="77777777" w:rsidR="00496843" w:rsidRPr="009813F3" w:rsidRDefault="00496843" w:rsidP="00443903">
            <w:pPr>
              <w:pStyle w:val="TableText"/>
              <w:rPr>
                <w:b w:val="0"/>
                <w:bCs w:val="0"/>
              </w:rPr>
            </w:pPr>
            <w:r w:rsidRPr="009813F3">
              <w:rPr>
                <w:b w:val="0"/>
                <w:bCs w:val="0"/>
              </w:rPr>
              <w:t xml:space="preserve">Age </w:t>
            </w:r>
            <w:r>
              <w:rPr>
                <w:b w:val="0"/>
                <w:bCs w:val="0"/>
              </w:rPr>
              <w:t xml:space="preserve">(years) </w:t>
            </w:r>
            <w:r w:rsidRPr="009813F3">
              <w:rPr>
                <w:b w:val="0"/>
                <w:bCs w:val="0"/>
              </w:rPr>
              <w:t>at diagnosis</w:t>
            </w:r>
          </w:p>
        </w:tc>
        <w:tc>
          <w:tcPr>
            <w:tcW w:w="3005" w:type="dxa"/>
          </w:tcPr>
          <w:p w14:paraId="1CF86B5D" w14:textId="77777777" w:rsidR="00496843" w:rsidRPr="009813F3" w:rsidRDefault="00496843" w:rsidP="00443903">
            <w:pPr>
              <w:pStyle w:val="TableText"/>
              <w:jc w:val="center"/>
              <w:cnfStyle w:val="000000000000" w:firstRow="0" w:lastRow="0" w:firstColumn="0" w:lastColumn="0" w:oddVBand="0" w:evenVBand="0" w:oddHBand="0" w:evenHBand="0" w:firstRowFirstColumn="0" w:firstRowLastColumn="0" w:lastRowFirstColumn="0" w:lastRowLastColumn="0"/>
            </w:pPr>
            <w:r w:rsidRPr="009813F3">
              <w:t>0.2</w:t>
            </w:r>
            <w:r>
              <w:t>41</w:t>
            </w:r>
          </w:p>
        </w:tc>
        <w:tc>
          <w:tcPr>
            <w:tcW w:w="3006" w:type="dxa"/>
          </w:tcPr>
          <w:p w14:paraId="013B9320" w14:textId="77777777" w:rsidR="00496843" w:rsidRPr="009813F3" w:rsidRDefault="00496843" w:rsidP="00443903">
            <w:pPr>
              <w:pStyle w:val="TableText"/>
              <w:jc w:val="center"/>
              <w:cnfStyle w:val="000000000000" w:firstRow="0" w:lastRow="0" w:firstColumn="0" w:lastColumn="0" w:oddVBand="0" w:evenVBand="0" w:oddHBand="0" w:evenHBand="0" w:firstRowFirstColumn="0" w:firstRowLastColumn="0" w:lastRowFirstColumn="0" w:lastRowLastColumn="0"/>
            </w:pPr>
            <w:r w:rsidRPr="009813F3">
              <w:t>0.</w:t>
            </w:r>
            <w:r>
              <w:t>130</w:t>
            </w:r>
          </w:p>
        </w:tc>
      </w:tr>
      <w:tr w:rsidR="00496843" w:rsidRPr="009813F3" w14:paraId="4B9CD841" w14:textId="77777777" w:rsidTr="00443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7995BE2" w14:textId="77777777" w:rsidR="00496843" w:rsidRPr="009813F3" w:rsidRDefault="00496843" w:rsidP="00443903">
            <w:pPr>
              <w:pStyle w:val="TableText"/>
              <w:rPr>
                <w:b w:val="0"/>
                <w:bCs w:val="0"/>
              </w:rPr>
            </w:pPr>
            <w:r w:rsidRPr="009813F3">
              <w:rPr>
                <w:b w:val="0"/>
                <w:bCs w:val="0"/>
              </w:rPr>
              <w:t>Annual infection incidence</w:t>
            </w:r>
          </w:p>
        </w:tc>
        <w:tc>
          <w:tcPr>
            <w:tcW w:w="3005" w:type="dxa"/>
          </w:tcPr>
          <w:p w14:paraId="4166A7FF" w14:textId="77777777" w:rsidR="00496843" w:rsidRPr="009813F3" w:rsidRDefault="00496843" w:rsidP="00443903">
            <w:pPr>
              <w:pStyle w:val="TableText"/>
              <w:jc w:val="center"/>
              <w:cnfStyle w:val="000000100000" w:firstRow="0" w:lastRow="0" w:firstColumn="0" w:lastColumn="0" w:oddVBand="0" w:evenVBand="0" w:oddHBand="1" w:evenHBand="0" w:firstRowFirstColumn="0" w:firstRowLastColumn="0" w:lastRowFirstColumn="0" w:lastRowLastColumn="0"/>
            </w:pPr>
            <w:r w:rsidRPr="009813F3">
              <w:t>0.419</w:t>
            </w:r>
          </w:p>
        </w:tc>
        <w:tc>
          <w:tcPr>
            <w:tcW w:w="3006" w:type="dxa"/>
          </w:tcPr>
          <w:p w14:paraId="1A47B2A3" w14:textId="77777777" w:rsidR="00496843" w:rsidRPr="00573837" w:rsidRDefault="00496843" w:rsidP="00443903">
            <w:pPr>
              <w:pStyle w:val="TableText"/>
              <w:jc w:val="center"/>
              <w:cnfStyle w:val="000000100000" w:firstRow="0" w:lastRow="0" w:firstColumn="0" w:lastColumn="0" w:oddVBand="0" w:evenVBand="0" w:oddHBand="1" w:evenHBand="0" w:firstRowFirstColumn="0" w:firstRowLastColumn="0" w:lastRowFirstColumn="0" w:lastRowLastColumn="0"/>
              <w:rPr>
                <w:b/>
                <w:bCs/>
                <w:i/>
                <w:iCs/>
              </w:rPr>
            </w:pPr>
            <w:r w:rsidRPr="00573837">
              <w:rPr>
                <w:b/>
                <w:bCs/>
                <w:i/>
                <w:iCs/>
              </w:rPr>
              <w:t>0.007</w:t>
            </w:r>
          </w:p>
        </w:tc>
      </w:tr>
      <w:tr w:rsidR="00496843" w:rsidRPr="009813F3" w14:paraId="673B45FD" w14:textId="77777777" w:rsidTr="00443903">
        <w:tc>
          <w:tcPr>
            <w:cnfStyle w:val="001000000000" w:firstRow="0" w:lastRow="0" w:firstColumn="1" w:lastColumn="0" w:oddVBand="0" w:evenVBand="0" w:oddHBand="0" w:evenHBand="0" w:firstRowFirstColumn="0" w:firstRowLastColumn="0" w:lastRowFirstColumn="0" w:lastRowLastColumn="0"/>
            <w:tcW w:w="3005" w:type="dxa"/>
          </w:tcPr>
          <w:p w14:paraId="5B210290" w14:textId="77777777" w:rsidR="00496843" w:rsidRPr="009813F3" w:rsidRDefault="00496843" w:rsidP="00443903">
            <w:pPr>
              <w:pStyle w:val="TableText"/>
              <w:rPr>
                <w:b w:val="0"/>
                <w:bCs w:val="0"/>
              </w:rPr>
            </w:pPr>
            <w:r w:rsidRPr="009813F3">
              <w:rPr>
                <w:b w:val="0"/>
                <w:bCs w:val="0"/>
              </w:rPr>
              <w:t>Latest FEV1 Z-Score</w:t>
            </w:r>
          </w:p>
        </w:tc>
        <w:tc>
          <w:tcPr>
            <w:tcW w:w="3005" w:type="dxa"/>
          </w:tcPr>
          <w:p w14:paraId="1C6C3D0F" w14:textId="77777777" w:rsidR="00496843" w:rsidRPr="009813F3" w:rsidRDefault="00496843" w:rsidP="00443903">
            <w:pPr>
              <w:pStyle w:val="TableText"/>
              <w:jc w:val="center"/>
              <w:cnfStyle w:val="000000000000" w:firstRow="0" w:lastRow="0" w:firstColumn="0" w:lastColumn="0" w:oddVBand="0" w:evenVBand="0" w:oddHBand="0" w:evenHBand="0" w:firstRowFirstColumn="0" w:firstRowLastColumn="0" w:lastRowFirstColumn="0" w:lastRowLastColumn="0"/>
            </w:pPr>
            <w:r w:rsidRPr="009813F3">
              <w:t>-0.4</w:t>
            </w:r>
            <w:r>
              <w:t>26</w:t>
            </w:r>
          </w:p>
        </w:tc>
        <w:tc>
          <w:tcPr>
            <w:tcW w:w="3006" w:type="dxa"/>
          </w:tcPr>
          <w:p w14:paraId="7F6F2DC1" w14:textId="77777777" w:rsidR="00496843" w:rsidRPr="00573837" w:rsidRDefault="00496843" w:rsidP="00443903">
            <w:pPr>
              <w:pStyle w:val="TableText"/>
              <w:jc w:val="center"/>
              <w:cnfStyle w:val="000000000000" w:firstRow="0" w:lastRow="0" w:firstColumn="0" w:lastColumn="0" w:oddVBand="0" w:evenVBand="0" w:oddHBand="0" w:evenHBand="0" w:firstRowFirstColumn="0" w:firstRowLastColumn="0" w:lastRowFirstColumn="0" w:lastRowLastColumn="0"/>
              <w:rPr>
                <w:b/>
                <w:bCs/>
                <w:i/>
                <w:iCs/>
              </w:rPr>
            </w:pPr>
            <w:r w:rsidRPr="00573837">
              <w:rPr>
                <w:b/>
                <w:bCs/>
                <w:i/>
                <w:iCs/>
              </w:rPr>
              <w:t>0.017</w:t>
            </w:r>
          </w:p>
        </w:tc>
      </w:tr>
      <w:tr w:rsidR="00496843" w:rsidRPr="009813F3" w14:paraId="66E30F25" w14:textId="77777777" w:rsidTr="00443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7F8E4EE" w14:textId="77777777" w:rsidR="00496843" w:rsidRPr="009813F3" w:rsidRDefault="00496843" w:rsidP="00443903">
            <w:pPr>
              <w:pStyle w:val="TableText"/>
              <w:rPr>
                <w:b w:val="0"/>
                <w:bCs w:val="0"/>
              </w:rPr>
            </w:pPr>
            <w:r w:rsidRPr="009813F3">
              <w:rPr>
                <w:b w:val="0"/>
                <w:bCs w:val="0"/>
              </w:rPr>
              <w:t>SF36v2 PCS</w:t>
            </w:r>
          </w:p>
        </w:tc>
        <w:tc>
          <w:tcPr>
            <w:tcW w:w="3005" w:type="dxa"/>
          </w:tcPr>
          <w:p w14:paraId="52737F7D" w14:textId="77777777" w:rsidR="00496843" w:rsidRPr="009813F3" w:rsidRDefault="00496843" w:rsidP="00443903">
            <w:pPr>
              <w:pStyle w:val="TableText"/>
              <w:jc w:val="center"/>
              <w:cnfStyle w:val="000000100000" w:firstRow="0" w:lastRow="0" w:firstColumn="0" w:lastColumn="0" w:oddVBand="0" w:evenVBand="0" w:oddHBand="1" w:evenHBand="0" w:firstRowFirstColumn="0" w:firstRowLastColumn="0" w:lastRowFirstColumn="0" w:lastRowLastColumn="0"/>
            </w:pPr>
            <w:r w:rsidRPr="009813F3">
              <w:t>-0.6</w:t>
            </w:r>
            <w:r>
              <w:t>49</w:t>
            </w:r>
          </w:p>
        </w:tc>
        <w:tc>
          <w:tcPr>
            <w:tcW w:w="3006" w:type="dxa"/>
          </w:tcPr>
          <w:p w14:paraId="33EEB002" w14:textId="77777777" w:rsidR="00496843" w:rsidRPr="00573837" w:rsidRDefault="00496843" w:rsidP="00443903">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573837">
              <w:rPr>
                <w:b/>
                <w:bCs/>
              </w:rPr>
              <w:t>&lt;0.001</w:t>
            </w:r>
          </w:p>
        </w:tc>
      </w:tr>
    </w:tbl>
    <w:p w14:paraId="01F172B4" w14:textId="77777777" w:rsidR="00496843" w:rsidRDefault="00496843" w:rsidP="00ED572F">
      <w:pPr>
        <w:sectPr w:rsidR="00496843" w:rsidSect="00FF1EBD">
          <w:type w:val="continuous"/>
          <w:pgSz w:w="16838" w:h="11906" w:orient="landscape"/>
          <w:pgMar w:top="1440" w:right="1440" w:bottom="1440" w:left="1440" w:header="709" w:footer="709" w:gutter="0"/>
          <w:cols w:space="708"/>
          <w:docGrid w:linePitch="360"/>
        </w:sectPr>
      </w:pPr>
    </w:p>
    <w:p w14:paraId="31893CD6" w14:textId="77777777" w:rsidR="00ED572F" w:rsidRDefault="00ED572F" w:rsidP="0057637C">
      <w:pPr>
        <w:pStyle w:val="Heading3"/>
      </w:pPr>
      <w:r w:rsidRPr="009813F3">
        <w:lastRenderedPageBreak/>
        <w:t>SF36</w:t>
      </w:r>
      <w:r>
        <w:t>v</w:t>
      </w:r>
      <w:r w:rsidRPr="009813F3">
        <w:t>2 psychological health</w:t>
      </w:r>
    </w:p>
    <w:p w14:paraId="78EFBD7F" w14:textId="6F619016" w:rsidR="00ED572F" w:rsidRPr="009813F3" w:rsidRDefault="00ED572F" w:rsidP="00ED572F">
      <w:r w:rsidRPr="009813F3">
        <w:t>UK XLA patients score</w:t>
      </w:r>
      <w:r>
        <w:t>d</w:t>
      </w:r>
      <w:r w:rsidRPr="009813F3">
        <w:t xml:space="preserve"> significantly higher in the mental role and mental health components of the SF36v2 compared to UK norms and </w:t>
      </w:r>
      <w:r>
        <w:t xml:space="preserve">significantly </w:t>
      </w:r>
      <w:r w:rsidRPr="009813F3">
        <w:t xml:space="preserve">higher in the mental role </w:t>
      </w:r>
      <w:r>
        <w:t>domain</w:t>
      </w:r>
      <w:r w:rsidRPr="009813F3">
        <w:t xml:space="preserve"> compared to CF patients (table</w:t>
      </w:r>
      <w:r>
        <w:t xml:space="preserve"> </w:t>
      </w:r>
      <w:r w:rsidR="00496843">
        <w:t>8</w:t>
      </w:r>
      <w:r w:rsidRPr="009813F3">
        <w:t xml:space="preserve">). </w:t>
      </w:r>
    </w:p>
    <w:p w14:paraId="2045B696" w14:textId="432CBEC6" w:rsidR="00ED572F" w:rsidRPr="00B90733" w:rsidRDefault="00ED572F" w:rsidP="00ED572F">
      <w:r w:rsidRPr="009813F3">
        <w:t xml:space="preserve">Patients with </w:t>
      </w:r>
      <w:r>
        <w:t>bronchiectasis</w:t>
      </w:r>
      <w:r w:rsidRPr="009813F3">
        <w:t xml:space="preserve"> scored significantly worse in all domains </w:t>
      </w:r>
      <w:r>
        <w:t xml:space="preserve">apart from the mental role compared to patients without bronchiectasis.  UK XLA patients with bronchiectasis scored </w:t>
      </w:r>
      <w:r w:rsidRPr="00B90733">
        <w:t xml:space="preserve">significantly lower in the energy/vitality and higher in the mental role domains compared to UK norms.  Patients with bronchiectasis scored significantly lower in the energy/vitality domain, and higher in the mental role domains compared to CF patients (table </w:t>
      </w:r>
      <w:r w:rsidR="00496843">
        <w:t>8</w:t>
      </w:r>
      <w:r w:rsidRPr="00B90733">
        <w:t>).</w:t>
      </w:r>
    </w:p>
    <w:p w14:paraId="2D7A5F4D" w14:textId="7B9BDE60" w:rsidR="00ED572F" w:rsidRPr="00B90733" w:rsidRDefault="00ED572F" w:rsidP="00ED572F">
      <w:pPr>
        <w:rPr>
          <w:rFonts w:cs="Times New Roman"/>
        </w:rPr>
        <w:sectPr w:rsidR="00ED572F" w:rsidRPr="00B90733" w:rsidSect="00FF1EBD">
          <w:type w:val="continuous"/>
          <w:pgSz w:w="11906" w:h="16838"/>
          <w:pgMar w:top="1440" w:right="1440" w:bottom="1440" w:left="1440" w:header="709" w:footer="709" w:gutter="0"/>
          <w:cols w:space="708"/>
          <w:docGrid w:linePitch="360"/>
        </w:sectPr>
      </w:pPr>
      <w:r w:rsidRPr="00B90733">
        <w:rPr>
          <w:rFonts w:cs="Times New Roman"/>
        </w:rPr>
        <w:t>There were no significant differences in median SF36v2 MCS for those receiving home IgRT versus hospital therapy (52.24 vs 49.68, p = 0.264).</w:t>
      </w:r>
      <w:r w:rsidR="00E500DF">
        <w:rPr>
          <w:rFonts w:cs="Times New Roman"/>
        </w:rPr>
        <w:t xml:space="preserve">  There were no significant differences in median SF36v2 MCS for those receiving IV vs SC IgRT</w:t>
      </w:r>
      <w:r w:rsidR="00F421B5">
        <w:rPr>
          <w:rFonts w:cs="Times New Roman"/>
        </w:rPr>
        <w:t xml:space="preserve"> (52.40 vs 50.50, p = 0.512).</w:t>
      </w:r>
    </w:p>
    <w:p w14:paraId="4AA6D966" w14:textId="3A67B1FA" w:rsidR="00ED572F" w:rsidRPr="009813F3" w:rsidRDefault="00ED572F" w:rsidP="00ED572F">
      <w:pPr>
        <w:pStyle w:val="Caption"/>
      </w:pPr>
      <w:r w:rsidRPr="009813F3">
        <w:lastRenderedPageBreak/>
        <w:t xml:space="preserve">Table </w:t>
      </w:r>
      <w:fldSimple w:instr=" SEQ Table \* ARABIC ">
        <w:r w:rsidR="00197B97">
          <w:rPr>
            <w:noProof/>
          </w:rPr>
          <w:t>8</w:t>
        </w:r>
      </w:fldSimple>
      <w:bookmarkStart w:id="0" w:name="_Ref517875846"/>
      <w:r w:rsidRPr="009813F3">
        <w:t xml:space="preserve"> </w:t>
      </w:r>
      <w:bookmarkEnd w:id="0"/>
      <w:r w:rsidRPr="009813F3">
        <w:t>SF36v2 MCS scores for the cohort (median, IQR))</w:t>
      </w:r>
      <w:r>
        <w:t xml:space="preserve">, comparing those with and without bronchiectasis, </w:t>
      </w:r>
      <w:r w:rsidRPr="009813F3">
        <w:t>to UK norms</w:t>
      </w:r>
      <w:r>
        <w:t xml:space="preserve"> (mean, SD) </w:t>
      </w:r>
      <w:r>
        <w:fldChar w:fldCharType="begin"/>
      </w:r>
      <w:r w:rsidR="00D106AB">
        <w:instrText xml:space="preserve"> ADDIN ZOTERO_ITEM CSL_CITATION {"citationID":"LrqbX4c3","properties":{"formattedCitation":"(30)","plainCitation":"(30)","noteIndex":0},"citationItems":[{"id":337,"uris":["http://zotero.org/users/12098505/items/55Z57YDK"],"itemData":{"id":337,"type":"article-journal","abstract":"OBJECTIVES: To introduce the UK SF36 Version II (SF36-II), and to (a) gain population norms for the UK SF36-II in a large community sample as well as to explore the instrument's internal consistency reliability and construct validity, and (b) to derive the Physical Component Summary (PCS) and Mental Component Summary (MCS) algorithms for the UK SF36-II. DESIGN: Postal survey using a questionnaire booklet, containing the SF-36-II and questions on demographics and long term illness. SETTING: The sample was drawn from General Practitioner Records held by the Health Authorities for Berkshire, Buckinghamshire, Northamptonshire, and Oxfordshire. SAMPLE: The questionnaire was sent to 13,800 randomly selected subjects between the ages of 18-64 inclusive. OUTCOME MEASURES: Scores for the eight dimensions of the UK SF36-II and the PCS and MCS summary scores. RESULTS: The survey achieved a response rate of 64.4% (n = 8889). Internal consistency of the different dimensions of the questionnaire were found to be high. Normative data for the SF-36 are reported, broken down by age and sex, and social class. Factor analysis of the eight domains produced a two factor solution and provided weights for the UK SF36-II. CONCLUSION: The SF36-II domains were shown to have improved reliability over the previous version of the UK SF36. Furthermore, enhancements to wording and response categories reduces the extent of floor and ceiling effects in the role performance dimensions. These advances are likely to lead to better precision as well as greater responsiveness in longitudinal studies.","container-title":"Journal of epidemiology and community health","DOI":"10.1136/jech.53.10.651","ISSN":"0143-005X (Print)\\r0143-005X (Linking)","issue":"1","page":"46-50","title":"Assessment of the SF-36 version 2 in the United Kingdom.","volume":"53","author":[{"family":"Jenkinson","given":"C"},{"family":"Stewart-Brown","given":"S"},{"family":"Petersen","given":"S"},{"family":"Paice","given":"C"}],"issued":{"date-parts":[["1999"]]}}}],"schema":"https://github.com/citation-style-language/schema/raw/master/csl-citation.json"} </w:instrText>
      </w:r>
      <w:r>
        <w:fldChar w:fldCharType="separate"/>
      </w:r>
      <w:r w:rsidR="00D106AB" w:rsidRPr="00D106AB">
        <w:rPr>
          <w:rFonts w:cs="Times New Roman"/>
        </w:rPr>
        <w:t>(30)</w:t>
      </w:r>
      <w:r>
        <w:fldChar w:fldCharType="end"/>
      </w:r>
      <w:r>
        <w:t xml:space="preserve"> </w:t>
      </w:r>
      <w:r w:rsidRPr="009813F3">
        <w:t>and UK</w:t>
      </w:r>
      <w:r>
        <w:t xml:space="preserve"> male</w:t>
      </w:r>
      <w:r w:rsidRPr="009813F3">
        <w:t xml:space="preserve"> patients with cystic fibrosis (mean, SD)</w:t>
      </w:r>
      <w:r>
        <w:t xml:space="preserve"> </w:t>
      </w:r>
      <w:r>
        <w:fldChar w:fldCharType="begin"/>
      </w:r>
      <w:r w:rsidR="00D106AB">
        <w:instrText xml:space="preserve"> ADDIN ZOTERO_ITEM CSL_CITATION {"citationID":"Wp6sxhuc","properties":{"formattedCitation":"(31)","plainCitation":"(31)","noteIndex":0},"citationItems":[{"id":1296,"uris":["http://zotero.org/users/12098505/items/WKMWSZAY"],"itemData":{"id":1296,"type":"article-journal","abstract":"BACKGROUND: Generic health-related quality of life measures are often applied to disease groups without assessment of their psychometric properties. The current work assesses the properties of the Short Form 36-item (SF-36) questionnaire in a British sample of adolescents and adults with cystic fibrosis (CF). METHODS: Two hundred and twenty-three adolescents and adults with CF completed the SF-36 with a further 185 approached and not responding by non-completion of the questionnaire. The structure and internal reliability of the instrument was assessed by principal components analysis, Cronbach alpha coefficients and item to domain correlations. Differences between disease severity groups were assessed by analysis of variance. RESULTS: Factor analysis of the SF-36 scores broadly confirmed domain structures for the SF-36. Cronbach alpha coefficients were high (range 0.82-0.91) and item-to-same domain correlations were stronger than item-to-unrelated domain correlations. Examination of differences between mild, moderate and severe disease states revealed four significant main effects for: physical functioning, role limitation due to physical functioning, general health perceptions and energy and vitality. The analysis also revealed the presence of numerous ceiling effects across domains. CONCLUSIONS: The domain structure of the SF-36 was demonstrated to be robust. However, the discriminatory ability of the measure was disappointing. The presence of ceiling effects and the low frequency of differences between intermediate disease severity groups indicated that the SF-36 was not discriminatory with respect to mild disease states or progression of illness.","container-title":"Journal of cystic fibrosis : official journal of the European Cystic Fibrosis Society","DOI":"10.1016/S1569-1993(02)00079-6","issue":"3","page":"137-145","publisher":"Elsevier","title":"Validation of the SF-36 for the assessment of quality of life in adolescents and adults with cystic fibrosis.","volume":"1","author":[{"family":"Gee","given":"L"},{"family":"Abbott","given":"J"},{"family":"Conway","given":"S P"},{"family":"Etherington","given":"C"},{"family":"Webb","given":"A K"}],"issued":{"date-parts":[["2002",9]]}}}],"schema":"https://github.com/citation-style-language/schema/raw/master/csl-citation.json"} </w:instrText>
      </w:r>
      <w:r>
        <w:fldChar w:fldCharType="separate"/>
      </w:r>
      <w:r w:rsidR="00D106AB" w:rsidRPr="00D106AB">
        <w:rPr>
          <w:rFonts w:cs="Times New Roman"/>
        </w:rPr>
        <w:t>(31)</w:t>
      </w:r>
      <w:r>
        <w:fldChar w:fldCharType="end"/>
      </w:r>
      <w:r w:rsidRPr="009813F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3136"/>
        <w:gridCol w:w="2533"/>
        <w:gridCol w:w="1565"/>
        <w:gridCol w:w="2265"/>
        <w:gridCol w:w="2187"/>
      </w:tblGrid>
      <w:tr w:rsidR="00ED572F" w:rsidRPr="009813F3" w14:paraId="442711F9" w14:textId="77777777" w:rsidTr="00B41D06">
        <w:tc>
          <w:tcPr>
            <w:tcW w:w="811" w:type="pct"/>
          </w:tcPr>
          <w:p w14:paraId="7DEF0261" w14:textId="77777777" w:rsidR="00ED572F" w:rsidRPr="00D96876" w:rsidRDefault="00ED572F" w:rsidP="00B41D06">
            <w:pPr>
              <w:pStyle w:val="TableText"/>
              <w:jc w:val="both"/>
              <w:rPr>
                <w:b/>
                <w:bCs/>
              </w:rPr>
            </w:pPr>
            <w:r w:rsidRPr="00D96876">
              <w:rPr>
                <w:b/>
                <w:bCs/>
              </w:rPr>
              <w:t>Component</w:t>
            </w:r>
          </w:p>
        </w:tc>
        <w:tc>
          <w:tcPr>
            <w:tcW w:w="1124" w:type="pct"/>
          </w:tcPr>
          <w:p w14:paraId="553B4BC2" w14:textId="36CF8F0F" w:rsidR="00ED572F" w:rsidRPr="00D96876" w:rsidRDefault="00ED572F" w:rsidP="00B41D06">
            <w:pPr>
              <w:pStyle w:val="TableText"/>
              <w:jc w:val="center"/>
              <w:rPr>
                <w:b/>
                <w:bCs/>
              </w:rPr>
            </w:pPr>
            <w:r w:rsidRPr="00D96876">
              <w:rPr>
                <w:b/>
                <w:bCs/>
              </w:rPr>
              <w:t>XLA patients</w:t>
            </w:r>
            <w:r w:rsidR="00AD27CD">
              <w:rPr>
                <w:b/>
                <w:bCs/>
              </w:rPr>
              <w:t xml:space="preserve"> (n = 42)</w:t>
            </w:r>
          </w:p>
        </w:tc>
        <w:tc>
          <w:tcPr>
            <w:tcW w:w="908" w:type="pct"/>
          </w:tcPr>
          <w:p w14:paraId="5ED62984" w14:textId="77777777" w:rsidR="00ED572F" w:rsidRPr="00D96876" w:rsidRDefault="00ED572F" w:rsidP="00B41D06">
            <w:pPr>
              <w:pStyle w:val="TableText"/>
              <w:jc w:val="center"/>
              <w:rPr>
                <w:b/>
                <w:bCs/>
              </w:rPr>
            </w:pPr>
            <w:r w:rsidRPr="00D96876">
              <w:rPr>
                <w:b/>
                <w:bCs/>
              </w:rPr>
              <w:t>Male UK norms</w:t>
            </w:r>
          </w:p>
        </w:tc>
        <w:tc>
          <w:tcPr>
            <w:tcW w:w="561" w:type="pct"/>
          </w:tcPr>
          <w:p w14:paraId="59039733" w14:textId="77777777" w:rsidR="00ED572F" w:rsidRPr="00D96876" w:rsidRDefault="00ED572F" w:rsidP="00B41D06">
            <w:pPr>
              <w:pStyle w:val="TableText"/>
              <w:jc w:val="center"/>
              <w:rPr>
                <w:b/>
                <w:bCs/>
              </w:rPr>
            </w:pPr>
            <w:r w:rsidRPr="00D96876">
              <w:rPr>
                <w:b/>
                <w:bCs/>
              </w:rPr>
              <w:t>p-value</w:t>
            </w:r>
          </w:p>
        </w:tc>
        <w:tc>
          <w:tcPr>
            <w:tcW w:w="812" w:type="pct"/>
          </w:tcPr>
          <w:p w14:paraId="79CC6F18" w14:textId="77777777" w:rsidR="00ED572F" w:rsidRPr="00D96876" w:rsidRDefault="00ED572F" w:rsidP="00B41D06">
            <w:pPr>
              <w:pStyle w:val="TableText"/>
              <w:jc w:val="center"/>
              <w:rPr>
                <w:b/>
                <w:bCs/>
              </w:rPr>
            </w:pPr>
            <w:r w:rsidRPr="00D96876">
              <w:rPr>
                <w:b/>
                <w:bCs/>
              </w:rPr>
              <w:t>Male UK CF patients</w:t>
            </w:r>
          </w:p>
        </w:tc>
        <w:tc>
          <w:tcPr>
            <w:tcW w:w="784" w:type="pct"/>
          </w:tcPr>
          <w:p w14:paraId="32CED751" w14:textId="77777777" w:rsidR="00ED572F" w:rsidRPr="00D96876" w:rsidRDefault="00ED572F" w:rsidP="00B41D06">
            <w:pPr>
              <w:pStyle w:val="TableText"/>
              <w:jc w:val="center"/>
              <w:rPr>
                <w:b/>
                <w:bCs/>
              </w:rPr>
            </w:pPr>
            <w:r w:rsidRPr="00D96876">
              <w:rPr>
                <w:b/>
                <w:bCs/>
              </w:rPr>
              <w:t>p-value</w:t>
            </w:r>
          </w:p>
        </w:tc>
      </w:tr>
      <w:tr w:rsidR="00ED572F" w:rsidRPr="009813F3" w14:paraId="667D6971" w14:textId="77777777" w:rsidTr="00B41D06">
        <w:tc>
          <w:tcPr>
            <w:tcW w:w="811" w:type="pct"/>
            <w:shd w:val="clear" w:color="auto" w:fill="FFFFFF"/>
          </w:tcPr>
          <w:p w14:paraId="29E9453D" w14:textId="77777777" w:rsidR="00ED572F" w:rsidRPr="00D96876" w:rsidRDefault="00ED572F" w:rsidP="00B41D06">
            <w:pPr>
              <w:pStyle w:val="TableText"/>
              <w:jc w:val="both"/>
              <w:rPr>
                <w:b/>
                <w:bCs/>
              </w:rPr>
            </w:pPr>
            <w:r w:rsidRPr="00D96876">
              <w:rPr>
                <w:b/>
                <w:bCs/>
              </w:rPr>
              <w:t>Energy/Vitality</w:t>
            </w:r>
          </w:p>
        </w:tc>
        <w:tc>
          <w:tcPr>
            <w:tcW w:w="1124" w:type="pct"/>
            <w:vAlign w:val="bottom"/>
          </w:tcPr>
          <w:p w14:paraId="75120F72" w14:textId="77777777" w:rsidR="00ED572F" w:rsidRPr="009813F3" w:rsidRDefault="00ED572F" w:rsidP="00B41D06">
            <w:pPr>
              <w:pStyle w:val="TableText"/>
              <w:jc w:val="center"/>
            </w:pPr>
            <w:r w:rsidRPr="009813F3">
              <w:t>50.00 (37.50</w:t>
            </w:r>
            <w:r>
              <w:t xml:space="preserve">, </w:t>
            </w:r>
            <w:r w:rsidRPr="009813F3">
              <w:t>75.00)</w:t>
            </w:r>
          </w:p>
        </w:tc>
        <w:tc>
          <w:tcPr>
            <w:tcW w:w="908" w:type="pct"/>
            <w:vAlign w:val="bottom"/>
          </w:tcPr>
          <w:p w14:paraId="50E783E5" w14:textId="77777777" w:rsidR="00ED572F" w:rsidRPr="009813F3" w:rsidRDefault="00ED572F" w:rsidP="00B41D06">
            <w:pPr>
              <w:pStyle w:val="TableText"/>
              <w:jc w:val="center"/>
            </w:pPr>
            <w:r w:rsidRPr="009813F3">
              <w:t>60.81 (18.93)</w:t>
            </w:r>
          </w:p>
        </w:tc>
        <w:tc>
          <w:tcPr>
            <w:tcW w:w="561" w:type="pct"/>
          </w:tcPr>
          <w:p w14:paraId="5CBBCF37" w14:textId="77777777" w:rsidR="00ED572F" w:rsidRPr="009813F3" w:rsidRDefault="00ED572F" w:rsidP="00B41D06">
            <w:pPr>
              <w:pStyle w:val="TableText"/>
              <w:jc w:val="center"/>
            </w:pPr>
            <w:r w:rsidRPr="009813F3">
              <w:t>0.</w:t>
            </w:r>
            <w:r>
              <w:t>170</w:t>
            </w:r>
          </w:p>
        </w:tc>
        <w:tc>
          <w:tcPr>
            <w:tcW w:w="812" w:type="pct"/>
            <w:vAlign w:val="bottom"/>
          </w:tcPr>
          <w:p w14:paraId="2C0967D1" w14:textId="77777777" w:rsidR="00ED572F" w:rsidRPr="009813F3" w:rsidRDefault="00ED572F" w:rsidP="00B41D06">
            <w:pPr>
              <w:pStyle w:val="TableText"/>
              <w:jc w:val="center"/>
            </w:pPr>
            <w:r w:rsidRPr="009813F3">
              <w:t>62.2 (21.6)</w:t>
            </w:r>
          </w:p>
        </w:tc>
        <w:tc>
          <w:tcPr>
            <w:tcW w:w="784" w:type="pct"/>
          </w:tcPr>
          <w:p w14:paraId="7FE099E9" w14:textId="77777777" w:rsidR="00ED572F" w:rsidRPr="009813F3" w:rsidRDefault="00ED572F" w:rsidP="00B41D06">
            <w:pPr>
              <w:pStyle w:val="TableText"/>
              <w:jc w:val="center"/>
            </w:pPr>
            <w:r w:rsidRPr="009813F3">
              <w:t>0.</w:t>
            </w:r>
            <w:r>
              <w:t>170</w:t>
            </w:r>
          </w:p>
        </w:tc>
      </w:tr>
      <w:tr w:rsidR="00ED572F" w:rsidRPr="009813F3" w14:paraId="0C2257F1" w14:textId="77777777" w:rsidTr="00B41D06">
        <w:tc>
          <w:tcPr>
            <w:tcW w:w="811" w:type="pct"/>
            <w:shd w:val="clear" w:color="auto" w:fill="FFFFFF"/>
          </w:tcPr>
          <w:p w14:paraId="7443002B" w14:textId="77777777" w:rsidR="00ED572F" w:rsidRPr="00D96876" w:rsidRDefault="00ED572F" w:rsidP="00B41D06">
            <w:pPr>
              <w:pStyle w:val="TableText"/>
              <w:jc w:val="both"/>
              <w:rPr>
                <w:b/>
                <w:bCs/>
              </w:rPr>
            </w:pPr>
            <w:r w:rsidRPr="00D96876">
              <w:rPr>
                <w:b/>
                <w:bCs/>
              </w:rPr>
              <w:t>Social Functioning</w:t>
            </w:r>
          </w:p>
        </w:tc>
        <w:tc>
          <w:tcPr>
            <w:tcW w:w="1124" w:type="pct"/>
            <w:vAlign w:val="bottom"/>
          </w:tcPr>
          <w:p w14:paraId="496A75F2" w14:textId="77777777" w:rsidR="00ED572F" w:rsidRPr="009813F3" w:rsidRDefault="00ED572F" w:rsidP="00B41D06">
            <w:pPr>
              <w:pStyle w:val="TableText"/>
              <w:jc w:val="center"/>
            </w:pPr>
            <w:r w:rsidRPr="009813F3">
              <w:t>100.00 (62.50</w:t>
            </w:r>
            <w:r>
              <w:t xml:space="preserve">, </w:t>
            </w:r>
            <w:r w:rsidRPr="009813F3">
              <w:t>100.00)</w:t>
            </w:r>
          </w:p>
        </w:tc>
        <w:tc>
          <w:tcPr>
            <w:tcW w:w="908" w:type="pct"/>
            <w:vAlign w:val="bottom"/>
          </w:tcPr>
          <w:p w14:paraId="143B965D" w14:textId="77777777" w:rsidR="00ED572F" w:rsidRPr="009813F3" w:rsidRDefault="00ED572F" w:rsidP="00B41D06">
            <w:pPr>
              <w:pStyle w:val="TableText"/>
              <w:jc w:val="center"/>
            </w:pPr>
            <w:r w:rsidRPr="009813F3">
              <w:t>84.71 (22.56)</w:t>
            </w:r>
          </w:p>
        </w:tc>
        <w:tc>
          <w:tcPr>
            <w:tcW w:w="561" w:type="pct"/>
          </w:tcPr>
          <w:p w14:paraId="4D043245" w14:textId="77777777" w:rsidR="00ED572F" w:rsidRPr="009813F3" w:rsidRDefault="00ED572F" w:rsidP="00B41D06">
            <w:pPr>
              <w:pStyle w:val="TableText"/>
              <w:jc w:val="center"/>
            </w:pPr>
            <w:r w:rsidRPr="009813F3">
              <w:t>0.</w:t>
            </w:r>
            <w:r>
              <w:t>753</w:t>
            </w:r>
          </w:p>
        </w:tc>
        <w:tc>
          <w:tcPr>
            <w:tcW w:w="812" w:type="pct"/>
            <w:vAlign w:val="bottom"/>
          </w:tcPr>
          <w:p w14:paraId="35095BA8" w14:textId="77777777" w:rsidR="00ED572F" w:rsidRPr="009813F3" w:rsidRDefault="00ED572F" w:rsidP="00B41D06">
            <w:pPr>
              <w:pStyle w:val="TableText"/>
              <w:jc w:val="center"/>
            </w:pPr>
            <w:r w:rsidRPr="009813F3">
              <w:t>81.9 (22.5)</w:t>
            </w:r>
          </w:p>
        </w:tc>
        <w:tc>
          <w:tcPr>
            <w:tcW w:w="784" w:type="pct"/>
          </w:tcPr>
          <w:p w14:paraId="430E06A9" w14:textId="77777777" w:rsidR="00ED572F" w:rsidRPr="009813F3" w:rsidRDefault="00ED572F" w:rsidP="00B41D06">
            <w:pPr>
              <w:pStyle w:val="TableText"/>
              <w:jc w:val="center"/>
            </w:pPr>
            <w:r w:rsidRPr="009813F3">
              <w:t>0.</w:t>
            </w:r>
            <w:r>
              <w:t>753</w:t>
            </w:r>
          </w:p>
        </w:tc>
      </w:tr>
      <w:tr w:rsidR="00ED572F" w:rsidRPr="009813F3" w14:paraId="463774B6" w14:textId="77777777" w:rsidTr="00B41D06">
        <w:tc>
          <w:tcPr>
            <w:tcW w:w="811" w:type="pct"/>
            <w:shd w:val="clear" w:color="auto" w:fill="FFFFFF"/>
          </w:tcPr>
          <w:p w14:paraId="1C946429" w14:textId="77777777" w:rsidR="00ED572F" w:rsidRPr="00D96876" w:rsidRDefault="00ED572F" w:rsidP="00B41D06">
            <w:pPr>
              <w:pStyle w:val="TableText"/>
              <w:jc w:val="both"/>
              <w:rPr>
                <w:b/>
                <w:bCs/>
              </w:rPr>
            </w:pPr>
            <w:r w:rsidRPr="00D96876">
              <w:rPr>
                <w:b/>
                <w:bCs/>
              </w:rPr>
              <w:t>Role-Mental</w:t>
            </w:r>
          </w:p>
        </w:tc>
        <w:tc>
          <w:tcPr>
            <w:tcW w:w="1124" w:type="pct"/>
            <w:vAlign w:val="bottom"/>
          </w:tcPr>
          <w:p w14:paraId="03D347CC" w14:textId="77777777" w:rsidR="00ED572F" w:rsidRPr="009813F3" w:rsidRDefault="00ED572F" w:rsidP="00B41D06">
            <w:pPr>
              <w:pStyle w:val="TableText"/>
              <w:jc w:val="center"/>
            </w:pPr>
            <w:r w:rsidRPr="009813F3">
              <w:t>100.00 (91.67</w:t>
            </w:r>
            <w:r>
              <w:t xml:space="preserve">, </w:t>
            </w:r>
            <w:r w:rsidRPr="009813F3">
              <w:t>100.00)</w:t>
            </w:r>
          </w:p>
        </w:tc>
        <w:tc>
          <w:tcPr>
            <w:tcW w:w="908" w:type="pct"/>
            <w:vAlign w:val="bottom"/>
          </w:tcPr>
          <w:p w14:paraId="5B761AD9" w14:textId="77777777" w:rsidR="00ED572F" w:rsidRPr="009813F3" w:rsidRDefault="00ED572F" w:rsidP="00B41D06">
            <w:pPr>
              <w:pStyle w:val="TableText"/>
              <w:jc w:val="center"/>
            </w:pPr>
            <w:r w:rsidRPr="009813F3">
              <w:t>88.08 (19.91)</w:t>
            </w:r>
          </w:p>
        </w:tc>
        <w:tc>
          <w:tcPr>
            <w:tcW w:w="561" w:type="pct"/>
          </w:tcPr>
          <w:p w14:paraId="5CF0EA72" w14:textId="77777777" w:rsidR="00ED572F" w:rsidRPr="009813F3" w:rsidRDefault="00ED572F" w:rsidP="00B41D06">
            <w:pPr>
              <w:pStyle w:val="TableText"/>
              <w:jc w:val="center"/>
              <w:rPr>
                <w:b/>
                <w:bCs/>
                <w:i/>
                <w:iCs/>
              </w:rPr>
            </w:pPr>
            <w:r>
              <w:rPr>
                <w:b/>
                <w:bCs/>
                <w:i/>
                <w:iCs/>
              </w:rPr>
              <w:t>&lt;0.001</w:t>
            </w:r>
          </w:p>
        </w:tc>
        <w:tc>
          <w:tcPr>
            <w:tcW w:w="812" w:type="pct"/>
            <w:vAlign w:val="bottom"/>
          </w:tcPr>
          <w:p w14:paraId="215EFBAC" w14:textId="77777777" w:rsidR="00ED572F" w:rsidRPr="009813F3" w:rsidRDefault="00ED572F" w:rsidP="00B41D06">
            <w:pPr>
              <w:pStyle w:val="TableText"/>
              <w:jc w:val="center"/>
            </w:pPr>
            <w:r w:rsidRPr="009813F3">
              <w:t>78.0 (35.6)</w:t>
            </w:r>
          </w:p>
        </w:tc>
        <w:tc>
          <w:tcPr>
            <w:tcW w:w="784" w:type="pct"/>
          </w:tcPr>
          <w:p w14:paraId="53E9AA4F" w14:textId="77777777" w:rsidR="00ED572F" w:rsidRPr="009813F3" w:rsidRDefault="00ED572F" w:rsidP="00B41D06">
            <w:pPr>
              <w:pStyle w:val="TableText"/>
              <w:jc w:val="center"/>
              <w:rPr>
                <w:b/>
                <w:bCs/>
                <w:i/>
                <w:iCs/>
              </w:rPr>
            </w:pPr>
            <w:r w:rsidRPr="009813F3">
              <w:rPr>
                <w:b/>
                <w:bCs/>
                <w:i/>
                <w:iCs/>
              </w:rPr>
              <w:t>&lt;0.001</w:t>
            </w:r>
          </w:p>
        </w:tc>
      </w:tr>
      <w:tr w:rsidR="00ED572F" w:rsidRPr="009813F3" w14:paraId="189BBF80" w14:textId="77777777" w:rsidTr="00B41D06">
        <w:tc>
          <w:tcPr>
            <w:tcW w:w="811" w:type="pct"/>
            <w:shd w:val="clear" w:color="auto" w:fill="FFFFFF"/>
          </w:tcPr>
          <w:p w14:paraId="5885460E" w14:textId="77777777" w:rsidR="00ED572F" w:rsidRPr="00D96876" w:rsidRDefault="00ED572F" w:rsidP="00B41D06">
            <w:pPr>
              <w:pStyle w:val="TableText"/>
              <w:jc w:val="both"/>
              <w:rPr>
                <w:b/>
                <w:bCs/>
              </w:rPr>
            </w:pPr>
            <w:r w:rsidRPr="00D96876">
              <w:rPr>
                <w:b/>
                <w:bCs/>
              </w:rPr>
              <w:t>Mental Health</w:t>
            </w:r>
          </w:p>
        </w:tc>
        <w:tc>
          <w:tcPr>
            <w:tcW w:w="1124" w:type="pct"/>
            <w:vAlign w:val="bottom"/>
          </w:tcPr>
          <w:p w14:paraId="0BDD5C0F" w14:textId="77777777" w:rsidR="00ED572F" w:rsidRPr="009813F3" w:rsidRDefault="00ED572F" w:rsidP="00B41D06">
            <w:pPr>
              <w:pStyle w:val="TableText"/>
              <w:jc w:val="center"/>
            </w:pPr>
            <w:r w:rsidRPr="009813F3">
              <w:t>80.00 (65.00</w:t>
            </w:r>
            <w:r>
              <w:t xml:space="preserve">, </w:t>
            </w:r>
            <w:r w:rsidRPr="009813F3">
              <w:t>90.00)</w:t>
            </w:r>
          </w:p>
        </w:tc>
        <w:tc>
          <w:tcPr>
            <w:tcW w:w="908" w:type="pct"/>
            <w:vAlign w:val="bottom"/>
          </w:tcPr>
          <w:p w14:paraId="46215E2D" w14:textId="77777777" w:rsidR="00ED572F" w:rsidRPr="009813F3" w:rsidRDefault="00ED572F" w:rsidP="00B41D06">
            <w:pPr>
              <w:pStyle w:val="TableText"/>
              <w:jc w:val="center"/>
            </w:pPr>
            <w:r w:rsidRPr="009813F3">
              <w:t>74.32 (17.24)</w:t>
            </w:r>
          </w:p>
        </w:tc>
        <w:tc>
          <w:tcPr>
            <w:tcW w:w="561" w:type="pct"/>
          </w:tcPr>
          <w:p w14:paraId="0926BD11" w14:textId="77777777" w:rsidR="00ED572F" w:rsidRPr="009813F3" w:rsidRDefault="00ED572F" w:rsidP="00B41D06">
            <w:pPr>
              <w:pStyle w:val="TableText"/>
              <w:jc w:val="center"/>
              <w:rPr>
                <w:b/>
                <w:bCs/>
                <w:i/>
                <w:iCs/>
              </w:rPr>
            </w:pPr>
            <w:r w:rsidRPr="009813F3">
              <w:rPr>
                <w:b/>
                <w:bCs/>
                <w:i/>
                <w:iCs/>
              </w:rPr>
              <w:t>0.03</w:t>
            </w:r>
            <w:r>
              <w:rPr>
                <w:b/>
                <w:bCs/>
                <w:i/>
                <w:iCs/>
              </w:rPr>
              <w:t>7</w:t>
            </w:r>
          </w:p>
        </w:tc>
        <w:tc>
          <w:tcPr>
            <w:tcW w:w="812" w:type="pct"/>
            <w:vAlign w:val="bottom"/>
          </w:tcPr>
          <w:p w14:paraId="2E2FEB0D" w14:textId="77777777" w:rsidR="00ED572F" w:rsidRPr="009813F3" w:rsidRDefault="00ED572F" w:rsidP="00B41D06">
            <w:pPr>
              <w:pStyle w:val="TableText"/>
              <w:jc w:val="center"/>
            </w:pPr>
            <w:r w:rsidRPr="009813F3">
              <w:t>75.5 (18.4)</w:t>
            </w:r>
          </w:p>
        </w:tc>
        <w:tc>
          <w:tcPr>
            <w:tcW w:w="784" w:type="pct"/>
          </w:tcPr>
          <w:p w14:paraId="7F591C33" w14:textId="77777777" w:rsidR="00ED572F" w:rsidRPr="009813F3" w:rsidRDefault="00ED572F" w:rsidP="00B41D06">
            <w:pPr>
              <w:pStyle w:val="TableText"/>
              <w:jc w:val="center"/>
            </w:pPr>
            <w:r w:rsidRPr="009813F3">
              <w:t>0.2</w:t>
            </w:r>
            <w:r>
              <w:t>22</w:t>
            </w:r>
          </w:p>
        </w:tc>
      </w:tr>
      <w:tr w:rsidR="00ED572F" w:rsidRPr="009813F3" w14:paraId="37BC6E9A" w14:textId="77777777" w:rsidTr="00B41D06">
        <w:trPr>
          <w:trHeight w:val="355"/>
        </w:trPr>
        <w:tc>
          <w:tcPr>
            <w:tcW w:w="811" w:type="pct"/>
            <w:shd w:val="clear" w:color="auto" w:fill="FFFFFF"/>
          </w:tcPr>
          <w:p w14:paraId="2A0E456D" w14:textId="77777777" w:rsidR="00ED572F" w:rsidRPr="00D96876" w:rsidRDefault="00ED572F" w:rsidP="00B41D06">
            <w:pPr>
              <w:pStyle w:val="TableText"/>
              <w:jc w:val="both"/>
              <w:rPr>
                <w:b/>
                <w:bCs/>
              </w:rPr>
            </w:pPr>
            <w:r w:rsidRPr="00D96876">
              <w:rPr>
                <w:b/>
                <w:bCs/>
              </w:rPr>
              <w:t>MCS</w:t>
            </w:r>
          </w:p>
        </w:tc>
        <w:tc>
          <w:tcPr>
            <w:tcW w:w="1124" w:type="pct"/>
          </w:tcPr>
          <w:p w14:paraId="008A3BB8" w14:textId="77777777" w:rsidR="00ED572F" w:rsidRPr="009813F3" w:rsidRDefault="00ED572F" w:rsidP="00B41D06">
            <w:pPr>
              <w:pStyle w:val="TableText"/>
              <w:jc w:val="center"/>
            </w:pPr>
            <w:r w:rsidRPr="009813F3">
              <w:t>51.87 (</w:t>
            </w:r>
            <w:r>
              <w:t xml:space="preserve">47.54, </w:t>
            </w:r>
            <w:r w:rsidRPr="009813F3">
              <w:t>57.16)</w:t>
            </w:r>
          </w:p>
        </w:tc>
        <w:tc>
          <w:tcPr>
            <w:tcW w:w="908" w:type="pct"/>
          </w:tcPr>
          <w:p w14:paraId="5221C282" w14:textId="77777777" w:rsidR="00ED572F" w:rsidRPr="009813F3" w:rsidRDefault="00ED572F" w:rsidP="00B41D06">
            <w:pPr>
              <w:pStyle w:val="TableText"/>
              <w:jc w:val="center"/>
            </w:pPr>
            <w:r w:rsidRPr="009813F3">
              <w:t>51.16 (9.34)</w:t>
            </w:r>
          </w:p>
        </w:tc>
        <w:tc>
          <w:tcPr>
            <w:tcW w:w="561" w:type="pct"/>
          </w:tcPr>
          <w:p w14:paraId="742FC5B3" w14:textId="77777777" w:rsidR="00ED572F" w:rsidRPr="009813F3" w:rsidRDefault="00ED572F" w:rsidP="00B41D06">
            <w:pPr>
              <w:pStyle w:val="TableText"/>
              <w:jc w:val="center"/>
            </w:pPr>
            <w:r w:rsidRPr="009813F3">
              <w:t>0.5</w:t>
            </w:r>
            <w:r>
              <w:t>28</w:t>
            </w:r>
          </w:p>
        </w:tc>
        <w:tc>
          <w:tcPr>
            <w:tcW w:w="812" w:type="pct"/>
          </w:tcPr>
          <w:p w14:paraId="67C04C7A" w14:textId="4D3F6B62" w:rsidR="00ED572F" w:rsidRPr="009813F3" w:rsidRDefault="00DB3B72" w:rsidP="00B41D06">
            <w:pPr>
              <w:pStyle w:val="TableText"/>
              <w:jc w:val="center"/>
            </w:pPr>
            <w:r>
              <w:t>N/A</w:t>
            </w:r>
          </w:p>
        </w:tc>
        <w:tc>
          <w:tcPr>
            <w:tcW w:w="784" w:type="pct"/>
          </w:tcPr>
          <w:p w14:paraId="5742C640" w14:textId="77777777" w:rsidR="00ED572F" w:rsidRPr="009813F3" w:rsidRDefault="00ED572F" w:rsidP="00B41D06">
            <w:pPr>
              <w:pStyle w:val="TableText"/>
              <w:jc w:val="center"/>
            </w:pPr>
            <w:r w:rsidRPr="009813F3">
              <w:t>N/A</w:t>
            </w:r>
          </w:p>
        </w:tc>
      </w:tr>
      <w:tr w:rsidR="00ED572F" w:rsidRPr="009813F3" w14:paraId="79E8E65F" w14:textId="77777777" w:rsidTr="00B41D06">
        <w:trPr>
          <w:trHeight w:val="355"/>
        </w:trPr>
        <w:tc>
          <w:tcPr>
            <w:tcW w:w="811" w:type="pct"/>
            <w:shd w:val="clear" w:color="auto" w:fill="FFFFFF"/>
          </w:tcPr>
          <w:p w14:paraId="52EBCC42" w14:textId="77777777" w:rsidR="00ED572F" w:rsidRPr="00D96876" w:rsidRDefault="00ED572F" w:rsidP="00B41D06">
            <w:pPr>
              <w:pStyle w:val="TableText"/>
              <w:jc w:val="both"/>
              <w:rPr>
                <w:b/>
                <w:bCs/>
              </w:rPr>
            </w:pPr>
          </w:p>
        </w:tc>
        <w:tc>
          <w:tcPr>
            <w:tcW w:w="1124" w:type="pct"/>
          </w:tcPr>
          <w:p w14:paraId="3B07D04D" w14:textId="77777777" w:rsidR="00ED572F" w:rsidRPr="009813F3" w:rsidRDefault="00ED572F" w:rsidP="00B41D06">
            <w:pPr>
              <w:pStyle w:val="TableText"/>
              <w:jc w:val="center"/>
            </w:pPr>
          </w:p>
        </w:tc>
        <w:tc>
          <w:tcPr>
            <w:tcW w:w="908" w:type="pct"/>
          </w:tcPr>
          <w:p w14:paraId="35CEE906" w14:textId="77777777" w:rsidR="00ED572F" w:rsidRPr="009813F3" w:rsidRDefault="00ED572F" w:rsidP="00B41D06">
            <w:pPr>
              <w:pStyle w:val="TableText"/>
              <w:jc w:val="center"/>
            </w:pPr>
          </w:p>
        </w:tc>
        <w:tc>
          <w:tcPr>
            <w:tcW w:w="561" w:type="pct"/>
          </w:tcPr>
          <w:p w14:paraId="5DCE56DB" w14:textId="77777777" w:rsidR="00ED572F" w:rsidRPr="009813F3" w:rsidRDefault="00ED572F" w:rsidP="00B41D06">
            <w:pPr>
              <w:pStyle w:val="TableText"/>
              <w:jc w:val="center"/>
            </w:pPr>
          </w:p>
        </w:tc>
        <w:tc>
          <w:tcPr>
            <w:tcW w:w="812" w:type="pct"/>
          </w:tcPr>
          <w:p w14:paraId="4FE6FAEE" w14:textId="77777777" w:rsidR="00ED572F" w:rsidRPr="009813F3" w:rsidRDefault="00ED572F" w:rsidP="00B41D06">
            <w:pPr>
              <w:pStyle w:val="TableText"/>
              <w:jc w:val="center"/>
            </w:pPr>
          </w:p>
        </w:tc>
        <w:tc>
          <w:tcPr>
            <w:tcW w:w="784" w:type="pct"/>
          </w:tcPr>
          <w:p w14:paraId="6B356176" w14:textId="77777777" w:rsidR="00ED572F" w:rsidRPr="009813F3" w:rsidRDefault="00ED572F" w:rsidP="00B41D06">
            <w:pPr>
              <w:pStyle w:val="TableText"/>
              <w:jc w:val="center"/>
            </w:pPr>
          </w:p>
        </w:tc>
      </w:tr>
      <w:tr w:rsidR="00ED572F" w:rsidRPr="009813F3" w14:paraId="27599D29" w14:textId="77777777" w:rsidTr="00B41D06">
        <w:trPr>
          <w:trHeight w:val="355"/>
        </w:trPr>
        <w:tc>
          <w:tcPr>
            <w:tcW w:w="811" w:type="pct"/>
            <w:shd w:val="clear" w:color="auto" w:fill="FFFFFF"/>
          </w:tcPr>
          <w:p w14:paraId="76DACA1D" w14:textId="77777777" w:rsidR="00ED572F" w:rsidRPr="00D96876" w:rsidRDefault="00ED572F" w:rsidP="00B41D06">
            <w:pPr>
              <w:pStyle w:val="TableText"/>
              <w:jc w:val="both"/>
              <w:rPr>
                <w:b/>
                <w:bCs/>
              </w:rPr>
            </w:pPr>
          </w:p>
        </w:tc>
        <w:tc>
          <w:tcPr>
            <w:tcW w:w="1124" w:type="pct"/>
          </w:tcPr>
          <w:p w14:paraId="4288A143" w14:textId="77777777" w:rsidR="00ED572F" w:rsidRPr="00D96876" w:rsidRDefault="00ED572F" w:rsidP="00B41D06">
            <w:pPr>
              <w:pStyle w:val="TableText"/>
              <w:jc w:val="center"/>
              <w:rPr>
                <w:b/>
                <w:bCs/>
              </w:rPr>
            </w:pPr>
            <w:r w:rsidRPr="00D96876">
              <w:rPr>
                <w:b/>
                <w:bCs/>
              </w:rPr>
              <w:t>Bronchiectasis</w:t>
            </w:r>
          </w:p>
        </w:tc>
        <w:tc>
          <w:tcPr>
            <w:tcW w:w="908" w:type="pct"/>
          </w:tcPr>
          <w:p w14:paraId="0E9F6262" w14:textId="77777777" w:rsidR="00ED572F" w:rsidRPr="00D96876" w:rsidRDefault="00ED572F" w:rsidP="00B41D06">
            <w:pPr>
              <w:pStyle w:val="TableText"/>
              <w:jc w:val="center"/>
              <w:rPr>
                <w:b/>
                <w:bCs/>
              </w:rPr>
            </w:pPr>
            <w:r w:rsidRPr="00D96876">
              <w:rPr>
                <w:b/>
                <w:bCs/>
              </w:rPr>
              <w:t>No bronchiectasis</w:t>
            </w:r>
          </w:p>
        </w:tc>
        <w:tc>
          <w:tcPr>
            <w:tcW w:w="561" w:type="pct"/>
          </w:tcPr>
          <w:p w14:paraId="138DF151" w14:textId="77777777" w:rsidR="00ED572F" w:rsidRPr="00D96876" w:rsidRDefault="00ED572F" w:rsidP="00B41D06">
            <w:pPr>
              <w:pStyle w:val="TableText"/>
              <w:jc w:val="center"/>
              <w:rPr>
                <w:b/>
                <w:bCs/>
              </w:rPr>
            </w:pPr>
            <w:r w:rsidRPr="00D96876">
              <w:rPr>
                <w:b/>
                <w:bCs/>
              </w:rPr>
              <w:t>p-value</w:t>
            </w:r>
          </w:p>
        </w:tc>
        <w:tc>
          <w:tcPr>
            <w:tcW w:w="812" w:type="pct"/>
          </w:tcPr>
          <w:p w14:paraId="476F6E3E" w14:textId="77777777" w:rsidR="00ED572F" w:rsidRPr="00D96876" w:rsidRDefault="00ED572F" w:rsidP="00B41D06">
            <w:pPr>
              <w:pStyle w:val="TableText"/>
              <w:jc w:val="center"/>
              <w:rPr>
                <w:b/>
                <w:bCs/>
              </w:rPr>
            </w:pPr>
            <w:r>
              <w:rPr>
                <w:b/>
                <w:bCs/>
              </w:rPr>
              <w:t>Bronchiectasis v</w:t>
            </w:r>
            <w:r w:rsidRPr="00D96876">
              <w:rPr>
                <w:b/>
                <w:bCs/>
              </w:rPr>
              <w:t>ersus male UK norms</w:t>
            </w:r>
          </w:p>
        </w:tc>
        <w:tc>
          <w:tcPr>
            <w:tcW w:w="784" w:type="pct"/>
          </w:tcPr>
          <w:p w14:paraId="18E514BF" w14:textId="77777777" w:rsidR="00ED572F" w:rsidRPr="00D96876" w:rsidRDefault="00ED572F" w:rsidP="00B41D06">
            <w:pPr>
              <w:pStyle w:val="TableText"/>
              <w:jc w:val="center"/>
              <w:rPr>
                <w:b/>
                <w:bCs/>
              </w:rPr>
            </w:pPr>
            <w:r>
              <w:rPr>
                <w:b/>
                <w:bCs/>
              </w:rPr>
              <w:t>Bronchiectasis v</w:t>
            </w:r>
            <w:r w:rsidRPr="00D96876">
              <w:rPr>
                <w:b/>
                <w:bCs/>
              </w:rPr>
              <w:t>ersus CF patients</w:t>
            </w:r>
          </w:p>
        </w:tc>
      </w:tr>
      <w:tr w:rsidR="00ED572F" w:rsidRPr="009813F3" w14:paraId="2E823DE5" w14:textId="77777777" w:rsidTr="00B41D06">
        <w:trPr>
          <w:trHeight w:val="355"/>
        </w:trPr>
        <w:tc>
          <w:tcPr>
            <w:tcW w:w="811" w:type="pct"/>
            <w:shd w:val="clear" w:color="auto" w:fill="FFFFFF"/>
          </w:tcPr>
          <w:p w14:paraId="33EEE318" w14:textId="77777777" w:rsidR="00ED572F" w:rsidRPr="00D96876" w:rsidRDefault="00ED572F" w:rsidP="00B41D06">
            <w:pPr>
              <w:pStyle w:val="TableText"/>
              <w:jc w:val="both"/>
              <w:rPr>
                <w:b/>
                <w:bCs/>
              </w:rPr>
            </w:pPr>
            <w:r w:rsidRPr="00D96876">
              <w:rPr>
                <w:b/>
                <w:bCs/>
              </w:rPr>
              <w:t>Energy/Vitality</w:t>
            </w:r>
          </w:p>
        </w:tc>
        <w:tc>
          <w:tcPr>
            <w:tcW w:w="1124" w:type="pct"/>
          </w:tcPr>
          <w:p w14:paraId="6E8AE835" w14:textId="77777777" w:rsidR="00ED572F" w:rsidRPr="009813F3" w:rsidRDefault="00ED572F" w:rsidP="00B41D06">
            <w:pPr>
              <w:pStyle w:val="TableText"/>
              <w:jc w:val="center"/>
            </w:pPr>
            <w:r w:rsidRPr="00367D62">
              <w:t>43.75 (3</w:t>
            </w:r>
            <w:r>
              <w:t xml:space="preserve">1.25, </w:t>
            </w:r>
            <w:r w:rsidRPr="00367D62">
              <w:t>50.00)</w:t>
            </w:r>
          </w:p>
        </w:tc>
        <w:tc>
          <w:tcPr>
            <w:tcW w:w="908" w:type="pct"/>
          </w:tcPr>
          <w:p w14:paraId="61FB26F2" w14:textId="77777777" w:rsidR="00ED572F" w:rsidRPr="009813F3" w:rsidRDefault="00ED572F" w:rsidP="00B41D06">
            <w:pPr>
              <w:pStyle w:val="TableText"/>
              <w:jc w:val="center"/>
            </w:pPr>
            <w:r w:rsidRPr="00367D62">
              <w:t>87.50 (62.50</w:t>
            </w:r>
            <w:r>
              <w:t xml:space="preserve">, </w:t>
            </w:r>
            <w:r w:rsidRPr="00367D62">
              <w:t>100.00)</w:t>
            </w:r>
          </w:p>
        </w:tc>
        <w:tc>
          <w:tcPr>
            <w:tcW w:w="561" w:type="pct"/>
          </w:tcPr>
          <w:p w14:paraId="7B120F1E" w14:textId="77777777" w:rsidR="00ED572F" w:rsidRPr="009813F3" w:rsidRDefault="00ED572F" w:rsidP="00B41D06">
            <w:pPr>
              <w:pStyle w:val="TableText"/>
              <w:jc w:val="center"/>
            </w:pPr>
            <w:r w:rsidRPr="00367D62">
              <w:rPr>
                <w:b/>
                <w:bCs/>
                <w:i/>
                <w:iCs/>
              </w:rPr>
              <w:t>0.001</w:t>
            </w:r>
          </w:p>
        </w:tc>
        <w:tc>
          <w:tcPr>
            <w:tcW w:w="812" w:type="pct"/>
          </w:tcPr>
          <w:p w14:paraId="7EDADFBD" w14:textId="77777777" w:rsidR="00ED572F" w:rsidRPr="009813F3" w:rsidRDefault="00ED572F" w:rsidP="00B41D06">
            <w:pPr>
              <w:pStyle w:val="TableText"/>
              <w:jc w:val="center"/>
            </w:pPr>
            <w:r w:rsidRPr="00367D62">
              <w:rPr>
                <w:b/>
                <w:bCs/>
                <w:i/>
                <w:iCs/>
              </w:rPr>
              <w:t>&lt;0.001</w:t>
            </w:r>
          </w:p>
        </w:tc>
        <w:tc>
          <w:tcPr>
            <w:tcW w:w="784" w:type="pct"/>
          </w:tcPr>
          <w:p w14:paraId="2DC660F4" w14:textId="77777777" w:rsidR="00ED572F" w:rsidRPr="009813F3" w:rsidRDefault="00ED572F" w:rsidP="00B41D06">
            <w:pPr>
              <w:pStyle w:val="TableText"/>
              <w:jc w:val="center"/>
            </w:pPr>
            <w:r w:rsidRPr="00367D62">
              <w:rPr>
                <w:b/>
                <w:bCs/>
                <w:i/>
                <w:iCs/>
              </w:rPr>
              <w:t>&lt;0.001</w:t>
            </w:r>
          </w:p>
        </w:tc>
      </w:tr>
      <w:tr w:rsidR="00ED572F" w:rsidRPr="009813F3" w14:paraId="0DD2C37E" w14:textId="77777777" w:rsidTr="00B41D06">
        <w:trPr>
          <w:trHeight w:val="355"/>
        </w:trPr>
        <w:tc>
          <w:tcPr>
            <w:tcW w:w="811" w:type="pct"/>
            <w:shd w:val="clear" w:color="auto" w:fill="FFFFFF"/>
          </w:tcPr>
          <w:p w14:paraId="558D3815" w14:textId="77777777" w:rsidR="00ED572F" w:rsidRPr="00D96876" w:rsidRDefault="00ED572F" w:rsidP="00B41D06">
            <w:pPr>
              <w:pStyle w:val="TableText"/>
              <w:jc w:val="both"/>
              <w:rPr>
                <w:b/>
                <w:bCs/>
              </w:rPr>
            </w:pPr>
            <w:r w:rsidRPr="00D96876">
              <w:rPr>
                <w:b/>
                <w:bCs/>
              </w:rPr>
              <w:t>Social Functioning</w:t>
            </w:r>
          </w:p>
        </w:tc>
        <w:tc>
          <w:tcPr>
            <w:tcW w:w="1124" w:type="pct"/>
          </w:tcPr>
          <w:p w14:paraId="25AD58D2" w14:textId="77777777" w:rsidR="00ED572F" w:rsidRPr="009813F3" w:rsidRDefault="00ED572F" w:rsidP="00B41D06">
            <w:pPr>
              <w:pStyle w:val="TableText"/>
              <w:jc w:val="center"/>
            </w:pPr>
            <w:r w:rsidRPr="00367D62">
              <w:t>75.00 (62.50</w:t>
            </w:r>
            <w:r>
              <w:t xml:space="preserve">, </w:t>
            </w:r>
            <w:r w:rsidRPr="00367D62">
              <w:t>100.00)</w:t>
            </w:r>
          </w:p>
        </w:tc>
        <w:tc>
          <w:tcPr>
            <w:tcW w:w="908" w:type="pct"/>
          </w:tcPr>
          <w:p w14:paraId="063525F1" w14:textId="77777777" w:rsidR="00ED572F" w:rsidRPr="009813F3" w:rsidRDefault="00ED572F" w:rsidP="00B41D06">
            <w:pPr>
              <w:pStyle w:val="TableText"/>
              <w:jc w:val="center"/>
            </w:pPr>
            <w:r w:rsidRPr="00367D62">
              <w:t>100.00 (100.00</w:t>
            </w:r>
            <w:r>
              <w:t xml:space="preserve">, </w:t>
            </w:r>
            <w:r w:rsidRPr="00367D62">
              <w:t>100.00)</w:t>
            </w:r>
          </w:p>
        </w:tc>
        <w:tc>
          <w:tcPr>
            <w:tcW w:w="561" w:type="pct"/>
          </w:tcPr>
          <w:p w14:paraId="3FFD4420" w14:textId="77777777" w:rsidR="00ED572F" w:rsidRPr="009813F3" w:rsidRDefault="00ED572F" w:rsidP="00B41D06">
            <w:pPr>
              <w:pStyle w:val="TableText"/>
              <w:jc w:val="center"/>
            </w:pPr>
            <w:r w:rsidRPr="00367D62">
              <w:rPr>
                <w:b/>
                <w:bCs/>
                <w:i/>
                <w:iCs/>
              </w:rPr>
              <w:t>0.00</w:t>
            </w:r>
            <w:r>
              <w:rPr>
                <w:b/>
                <w:bCs/>
                <w:i/>
                <w:iCs/>
              </w:rPr>
              <w:t>5</w:t>
            </w:r>
          </w:p>
        </w:tc>
        <w:tc>
          <w:tcPr>
            <w:tcW w:w="812" w:type="pct"/>
          </w:tcPr>
          <w:p w14:paraId="722B5497" w14:textId="77777777" w:rsidR="00ED572F" w:rsidRPr="009813F3" w:rsidRDefault="00ED572F" w:rsidP="00B41D06">
            <w:pPr>
              <w:pStyle w:val="TableText"/>
              <w:jc w:val="center"/>
            </w:pPr>
            <w:r w:rsidRPr="00367D62">
              <w:t>0.</w:t>
            </w:r>
            <w:r>
              <w:t>126</w:t>
            </w:r>
          </w:p>
        </w:tc>
        <w:tc>
          <w:tcPr>
            <w:tcW w:w="784" w:type="pct"/>
          </w:tcPr>
          <w:p w14:paraId="03592450" w14:textId="77777777" w:rsidR="00ED572F" w:rsidRPr="009813F3" w:rsidRDefault="00ED572F" w:rsidP="00B41D06">
            <w:pPr>
              <w:pStyle w:val="TableText"/>
              <w:jc w:val="center"/>
            </w:pPr>
            <w:r w:rsidRPr="00367D62">
              <w:t>0.</w:t>
            </w:r>
            <w:r>
              <w:t>126</w:t>
            </w:r>
          </w:p>
        </w:tc>
      </w:tr>
      <w:tr w:rsidR="00ED572F" w:rsidRPr="009813F3" w14:paraId="4B056DCD" w14:textId="77777777" w:rsidTr="00B41D06">
        <w:trPr>
          <w:trHeight w:val="355"/>
        </w:trPr>
        <w:tc>
          <w:tcPr>
            <w:tcW w:w="811" w:type="pct"/>
            <w:shd w:val="clear" w:color="auto" w:fill="FFFFFF"/>
          </w:tcPr>
          <w:p w14:paraId="69A2759D" w14:textId="77777777" w:rsidR="00ED572F" w:rsidRPr="00D96876" w:rsidRDefault="00ED572F" w:rsidP="00B41D06">
            <w:pPr>
              <w:pStyle w:val="TableText"/>
              <w:jc w:val="both"/>
              <w:rPr>
                <w:b/>
                <w:bCs/>
              </w:rPr>
            </w:pPr>
            <w:r w:rsidRPr="00D96876">
              <w:rPr>
                <w:b/>
                <w:bCs/>
              </w:rPr>
              <w:t>Role-Mental</w:t>
            </w:r>
          </w:p>
        </w:tc>
        <w:tc>
          <w:tcPr>
            <w:tcW w:w="1124" w:type="pct"/>
          </w:tcPr>
          <w:p w14:paraId="1886F4C2" w14:textId="77777777" w:rsidR="00ED572F" w:rsidRPr="009813F3" w:rsidRDefault="00ED572F" w:rsidP="00B41D06">
            <w:pPr>
              <w:pStyle w:val="TableText"/>
              <w:jc w:val="center"/>
            </w:pPr>
            <w:r w:rsidRPr="00367D62">
              <w:t>100.00 (91.67</w:t>
            </w:r>
            <w:r>
              <w:t xml:space="preserve">, </w:t>
            </w:r>
            <w:r w:rsidRPr="00367D62">
              <w:t>100.00)</w:t>
            </w:r>
          </w:p>
        </w:tc>
        <w:tc>
          <w:tcPr>
            <w:tcW w:w="908" w:type="pct"/>
          </w:tcPr>
          <w:p w14:paraId="0C687F76" w14:textId="77777777" w:rsidR="00ED572F" w:rsidRPr="009813F3" w:rsidRDefault="00ED572F" w:rsidP="00B41D06">
            <w:pPr>
              <w:pStyle w:val="TableText"/>
              <w:jc w:val="center"/>
            </w:pPr>
            <w:r w:rsidRPr="00367D62">
              <w:t>100.00 (91.67</w:t>
            </w:r>
            <w:r>
              <w:t xml:space="preserve">, </w:t>
            </w:r>
            <w:r w:rsidRPr="00367D62">
              <w:t>100.00)</w:t>
            </w:r>
          </w:p>
        </w:tc>
        <w:tc>
          <w:tcPr>
            <w:tcW w:w="561" w:type="pct"/>
          </w:tcPr>
          <w:p w14:paraId="1FEE8233" w14:textId="77777777" w:rsidR="00ED572F" w:rsidRPr="009813F3" w:rsidRDefault="00ED572F" w:rsidP="00B41D06">
            <w:pPr>
              <w:pStyle w:val="TableText"/>
              <w:jc w:val="center"/>
            </w:pPr>
            <w:r w:rsidRPr="00367D62">
              <w:t>0.</w:t>
            </w:r>
            <w:r>
              <w:t>695</w:t>
            </w:r>
          </w:p>
        </w:tc>
        <w:tc>
          <w:tcPr>
            <w:tcW w:w="812" w:type="pct"/>
          </w:tcPr>
          <w:p w14:paraId="1C059813" w14:textId="77777777" w:rsidR="00ED572F" w:rsidRPr="009813F3" w:rsidRDefault="00ED572F" w:rsidP="00B41D06">
            <w:pPr>
              <w:pStyle w:val="TableText"/>
              <w:jc w:val="center"/>
            </w:pPr>
            <w:r w:rsidRPr="00367D62">
              <w:rPr>
                <w:b/>
                <w:bCs/>
                <w:i/>
                <w:iCs/>
              </w:rPr>
              <w:t>0.01</w:t>
            </w:r>
            <w:r>
              <w:rPr>
                <w:b/>
                <w:bCs/>
                <w:i/>
                <w:iCs/>
              </w:rPr>
              <w:t>1</w:t>
            </w:r>
          </w:p>
        </w:tc>
        <w:tc>
          <w:tcPr>
            <w:tcW w:w="784" w:type="pct"/>
          </w:tcPr>
          <w:p w14:paraId="1DA7D790" w14:textId="77777777" w:rsidR="00ED572F" w:rsidRPr="009813F3" w:rsidRDefault="00ED572F" w:rsidP="00B41D06">
            <w:pPr>
              <w:pStyle w:val="TableText"/>
              <w:jc w:val="center"/>
            </w:pPr>
            <w:r w:rsidRPr="00367D62">
              <w:rPr>
                <w:b/>
                <w:bCs/>
                <w:i/>
                <w:iCs/>
              </w:rPr>
              <w:t>0.002</w:t>
            </w:r>
          </w:p>
        </w:tc>
      </w:tr>
      <w:tr w:rsidR="00ED572F" w:rsidRPr="009813F3" w14:paraId="03DDE9AD" w14:textId="77777777" w:rsidTr="00B41D06">
        <w:trPr>
          <w:trHeight w:val="355"/>
        </w:trPr>
        <w:tc>
          <w:tcPr>
            <w:tcW w:w="811" w:type="pct"/>
            <w:shd w:val="clear" w:color="auto" w:fill="FFFFFF"/>
          </w:tcPr>
          <w:p w14:paraId="2A523E0C" w14:textId="77777777" w:rsidR="00ED572F" w:rsidRPr="00D96876" w:rsidRDefault="00ED572F" w:rsidP="00B41D06">
            <w:pPr>
              <w:pStyle w:val="TableText"/>
              <w:jc w:val="both"/>
              <w:rPr>
                <w:b/>
                <w:bCs/>
              </w:rPr>
            </w:pPr>
            <w:r w:rsidRPr="00D96876">
              <w:rPr>
                <w:b/>
                <w:bCs/>
              </w:rPr>
              <w:t>Mental Health</w:t>
            </w:r>
          </w:p>
        </w:tc>
        <w:tc>
          <w:tcPr>
            <w:tcW w:w="1124" w:type="pct"/>
          </w:tcPr>
          <w:p w14:paraId="30230D67" w14:textId="77777777" w:rsidR="00ED572F" w:rsidRPr="009813F3" w:rsidRDefault="00ED572F" w:rsidP="00B41D06">
            <w:pPr>
              <w:pStyle w:val="TableText"/>
              <w:jc w:val="center"/>
            </w:pPr>
            <w:r w:rsidRPr="00367D62">
              <w:t>80.0 (65.00</w:t>
            </w:r>
            <w:r>
              <w:t xml:space="preserve">, </w:t>
            </w:r>
            <w:r w:rsidRPr="00367D62">
              <w:t>85.00)</w:t>
            </w:r>
          </w:p>
        </w:tc>
        <w:tc>
          <w:tcPr>
            <w:tcW w:w="908" w:type="pct"/>
          </w:tcPr>
          <w:p w14:paraId="4BC6075A" w14:textId="77777777" w:rsidR="00ED572F" w:rsidRPr="009813F3" w:rsidRDefault="00ED572F" w:rsidP="00B41D06">
            <w:pPr>
              <w:pStyle w:val="TableText"/>
              <w:jc w:val="center"/>
            </w:pPr>
            <w:r w:rsidRPr="00367D62">
              <w:t>95.00 (75.00</w:t>
            </w:r>
            <w:r>
              <w:t xml:space="preserve">, </w:t>
            </w:r>
            <w:r w:rsidRPr="00367D62">
              <w:t>100.00)</w:t>
            </w:r>
          </w:p>
        </w:tc>
        <w:tc>
          <w:tcPr>
            <w:tcW w:w="561" w:type="pct"/>
          </w:tcPr>
          <w:p w14:paraId="0714E6DC" w14:textId="77777777" w:rsidR="00ED572F" w:rsidRPr="009813F3" w:rsidRDefault="00ED572F" w:rsidP="00B41D06">
            <w:pPr>
              <w:pStyle w:val="TableText"/>
              <w:jc w:val="center"/>
            </w:pPr>
            <w:r w:rsidRPr="00367D62">
              <w:rPr>
                <w:b/>
                <w:bCs/>
                <w:i/>
                <w:iCs/>
              </w:rPr>
              <w:t>0.01</w:t>
            </w:r>
            <w:r>
              <w:rPr>
                <w:b/>
                <w:bCs/>
                <w:i/>
                <w:iCs/>
              </w:rPr>
              <w:t>3</w:t>
            </w:r>
          </w:p>
        </w:tc>
        <w:tc>
          <w:tcPr>
            <w:tcW w:w="812" w:type="pct"/>
          </w:tcPr>
          <w:p w14:paraId="47E92D42" w14:textId="77777777" w:rsidR="00ED572F" w:rsidRPr="009813F3" w:rsidRDefault="00ED572F" w:rsidP="00B41D06">
            <w:pPr>
              <w:pStyle w:val="TableText"/>
              <w:jc w:val="center"/>
            </w:pPr>
            <w:r w:rsidRPr="00367D62">
              <w:t>0.5</w:t>
            </w:r>
            <w:r>
              <w:t>31</w:t>
            </w:r>
          </w:p>
        </w:tc>
        <w:tc>
          <w:tcPr>
            <w:tcW w:w="784" w:type="pct"/>
          </w:tcPr>
          <w:p w14:paraId="577A24AD" w14:textId="77777777" w:rsidR="00ED572F" w:rsidRPr="009813F3" w:rsidRDefault="00ED572F" w:rsidP="00B41D06">
            <w:pPr>
              <w:pStyle w:val="TableText"/>
              <w:jc w:val="center"/>
            </w:pPr>
            <w:r w:rsidRPr="00367D62">
              <w:t>0.</w:t>
            </w:r>
            <w:r>
              <w:t>773</w:t>
            </w:r>
          </w:p>
        </w:tc>
      </w:tr>
      <w:tr w:rsidR="00ED572F" w:rsidRPr="009813F3" w14:paraId="547F5DD5" w14:textId="77777777" w:rsidTr="00B41D06">
        <w:trPr>
          <w:trHeight w:val="355"/>
        </w:trPr>
        <w:tc>
          <w:tcPr>
            <w:tcW w:w="811" w:type="pct"/>
            <w:shd w:val="clear" w:color="auto" w:fill="FFFFFF"/>
          </w:tcPr>
          <w:p w14:paraId="735A49BE" w14:textId="77777777" w:rsidR="00ED572F" w:rsidRPr="00D96876" w:rsidRDefault="00ED572F" w:rsidP="00B41D06">
            <w:pPr>
              <w:pStyle w:val="TableText"/>
              <w:jc w:val="both"/>
              <w:rPr>
                <w:b/>
                <w:bCs/>
              </w:rPr>
            </w:pPr>
            <w:r w:rsidRPr="00D96876">
              <w:rPr>
                <w:b/>
                <w:bCs/>
              </w:rPr>
              <w:t>MCS</w:t>
            </w:r>
          </w:p>
        </w:tc>
        <w:tc>
          <w:tcPr>
            <w:tcW w:w="1124" w:type="pct"/>
          </w:tcPr>
          <w:p w14:paraId="69CBEB31" w14:textId="77777777" w:rsidR="00ED572F" w:rsidRPr="009813F3" w:rsidRDefault="00ED572F" w:rsidP="00B41D06">
            <w:pPr>
              <w:pStyle w:val="TableText"/>
              <w:jc w:val="center"/>
            </w:pPr>
            <w:r w:rsidRPr="00367D62">
              <w:t>50.</w:t>
            </w:r>
            <w:r>
              <w:t>62</w:t>
            </w:r>
            <w:r w:rsidRPr="00367D62">
              <w:t xml:space="preserve"> (45.85</w:t>
            </w:r>
            <w:r>
              <w:t xml:space="preserve">, </w:t>
            </w:r>
            <w:r w:rsidRPr="00367D62">
              <w:t>54.72)</w:t>
            </w:r>
          </w:p>
        </w:tc>
        <w:tc>
          <w:tcPr>
            <w:tcW w:w="908" w:type="pct"/>
          </w:tcPr>
          <w:p w14:paraId="4F0AA9AA" w14:textId="77777777" w:rsidR="00ED572F" w:rsidRPr="009813F3" w:rsidRDefault="00ED572F" w:rsidP="00B41D06">
            <w:pPr>
              <w:pStyle w:val="TableText"/>
              <w:jc w:val="center"/>
            </w:pPr>
            <w:r w:rsidRPr="00367D62">
              <w:t>59.89 (52.24</w:t>
            </w:r>
            <w:r>
              <w:t xml:space="preserve">, </w:t>
            </w:r>
            <w:r w:rsidRPr="00367D62">
              <w:t>62.47)</w:t>
            </w:r>
          </w:p>
        </w:tc>
        <w:tc>
          <w:tcPr>
            <w:tcW w:w="561" w:type="pct"/>
          </w:tcPr>
          <w:p w14:paraId="671BCA0E" w14:textId="77777777" w:rsidR="00ED572F" w:rsidRPr="009813F3" w:rsidRDefault="00ED572F" w:rsidP="00B41D06">
            <w:pPr>
              <w:pStyle w:val="TableText"/>
              <w:jc w:val="center"/>
            </w:pPr>
            <w:r w:rsidRPr="00367D62">
              <w:rPr>
                <w:b/>
                <w:bCs/>
                <w:i/>
                <w:iCs/>
              </w:rPr>
              <w:t>0.0</w:t>
            </w:r>
            <w:r>
              <w:rPr>
                <w:b/>
                <w:bCs/>
                <w:i/>
                <w:iCs/>
              </w:rPr>
              <w:t>09</w:t>
            </w:r>
          </w:p>
        </w:tc>
        <w:tc>
          <w:tcPr>
            <w:tcW w:w="812" w:type="pct"/>
          </w:tcPr>
          <w:p w14:paraId="3023591F" w14:textId="77777777" w:rsidR="00ED572F" w:rsidRPr="009813F3" w:rsidRDefault="00ED572F" w:rsidP="00B41D06">
            <w:pPr>
              <w:pStyle w:val="TableText"/>
              <w:jc w:val="center"/>
            </w:pPr>
            <w:r w:rsidRPr="00367D62">
              <w:t>0.</w:t>
            </w:r>
            <w:r>
              <w:t>313</w:t>
            </w:r>
          </w:p>
        </w:tc>
        <w:tc>
          <w:tcPr>
            <w:tcW w:w="784" w:type="pct"/>
          </w:tcPr>
          <w:p w14:paraId="571ED287" w14:textId="3613FB23" w:rsidR="00ED572F" w:rsidRPr="009813F3" w:rsidRDefault="00DB3B72" w:rsidP="00B41D06">
            <w:pPr>
              <w:pStyle w:val="TableText"/>
              <w:jc w:val="center"/>
            </w:pPr>
            <w:r>
              <w:t>N/A</w:t>
            </w:r>
          </w:p>
        </w:tc>
      </w:tr>
    </w:tbl>
    <w:p w14:paraId="353F9796" w14:textId="77777777" w:rsidR="00ED572F" w:rsidRPr="009813F3" w:rsidRDefault="00ED572F" w:rsidP="00ED572F"/>
    <w:p w14:paraId="63A71BD9" w14:textId="77777777" w:rsidR="00ED572F" w:rsidRDefault="00ED572F" w:rsidP="00ED572F">
      <w:pPr>
        <w:sectPr w:rsidR="00ED572F" w:rsidSect="00FF1EBD">
          <w:type w:val="continuous"/>
          <w:pgSz w:w="16838" w:h="11906" w:orient="landscape"/>
          <w:pgMar w:top="1440" w:right="1440" w:bottom="1440" w:left="1440" w:header="709" w:footer="709" w:gutter="0"/>
          <w:cols w:space="708"/>
          <w:docGrid w:linePitch="360"/>
        </w:sectPr>
      </w:pPr>
    </w:p>
    <w:p w14:paraId="1CE4432E" w14:textId="61511DAD" w:rsidR="00ED572F" w:rsidRDefault="00ED572F" w:rsidP="00ED572F">
      <w:pPr>
        <w:pStyle w:val="Caption"/>
      </w:pPr>
      <w:r>
        <w:lastRenderedPageBreak/>
        <w:t xml:space="preserve">Table </w:t>
      </w:r>
      <w:fldSimple w:instr=" SEQ Table \* ARABIC ">
        <w:r w:rsidR="00197B97">
          <w:rPr>
            <w:noProof/>
          </w:rPr>
          <w:t>9</w:t>
        </w:r>
      </w:fldSimple>
      <w:r>
        <w:t xml:space="preserve"> SF36v2 MCS correlation with</w:t>
      </w:r>
      <w:r w:rsidRPr="00BE1CA1">
        <w:t xml:space="preserve"> clinical outcomes</w:t>
      </w:r>
      <w:r>
        <w:t>/</w:t>
      </w:r>
      <w:r w:rsidRPr="00BE1CA1">
        <w:t>phenotype.  Spearman’s rho and p values shown</w:t>
      </w:r>
    </w:p>
    <w:tbl>
      <w:tblPr>
        <w:tblStyle w:val="ListTable33"/>
        <w:tblW w:w="0" w:type="auto"/>
        <w:tblBorders>
          <w:insideH w:val="single" w:sz="4" w:space="0" w:color="auto"/>
          <w:insideV w:val="single" w:sz="4" w:space="0" w:color="auto"/>
        </w:tblBorders>
        <w:tblLook w:val="04A0" w:firstRow="1" w:lastRow="0" w:firstColumn="1" w:lastColumn="0" w:noHBand="0" w:noVBand="1"/>
      </w:tblPr>
      <w:tblGrid>
        <w:gridCol w:w="3005"/>
        <w:gridCol w:w="3005"/>
        <w:gridCol w:w="3006"/>
      </w:tblGrid>
      <w:tr w:rsidR="00ED572F" w:rsidRPr="009813F3" w14:paraId="1ECF3F06" w14:textId="77777777" w:rsidTr="00B41D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shd w:val="clear" w:color="auto" w:fill="auto"/>
          </w:tcPr>
          <w:p w14:paraId="7BF1EC09" w14:textId="77777777" w:rsidR="00ED572F" w:rsidRPr="009813F3" w:rsidRDefault="00ED572F" w:rsidP="00B41D06">
            <w:pPr>
              <w:pStyle w:val="TableText"/>
              <w:rPr>
                <w:color w:val="auto"/>
              </w:rPr>
            </w:pPr>
          </w:p>
        </w:tc>
        <w:tc>
          <w:tcPr>
            <w:tcW w:w="3005" w:type="dxa"/>
            <w:shd w:val="clear" w:color="auto" w:fill="auto"/>
          </w:tcPr>
          <w:p w14:paraId="0AF91B8B" w14:textId="77777777" w:rsidR="00ED572F" w:rsidRPr="009813F3" w:rsidRDefault="00ED572F" w:rsidP="00B41D06">
            <w:pPr>
              <w:pStyle w:val="TableText"/>
              <w:cnfStyle w:val="100000000000" w:firstRow="1" w:lastRow="0" w:firstColumn="0" w:lastColumn="0" w:oddVBand="0" w:evenVBand="0" w:oddHBand="0" w:evenHBand="0" w:firstRowFirstColumn="0" w:firstRowLastColumn="0" w:lastRowFirstColumn="0" w:lastRowLastColumn="0"/>
              <w:rPr>
                <w:color w:val="auto"/>
              </w:rPr>
            </w:pPr>
            <w:r w:rsidRPr="009813F3">
              <w:rPr>
                <w:color w:val="auto"/>
              </w:rPr>
              <w:t xml:space="preserve">Spearman’s </w:t>
            </w:r>
            <w:r w:rsidRPr="009813F3">
              <w:rPr>
                <w:rFonts w:cs="Times New Roman"/>
                <w:color w:val="auto"/>
              </w:rPr>
              <w:t>ρ</w:t>
            </w:r>
          </w:p>
        </w:tc>
        <w:tc>
          <w:tcPr>
            <w:tcW w:w="3006" w:type="dxa"/>
            <w:shd w:val="clear" w:color="auto" w:fill="auto"/>
          </w:tcPr>
          <w:p w14:paraId="11A26A28" w14:textId="77777777" w:rsidR="00ED572F" w:rsidRPr="009813F3" w:rsidRDefault="00ED572F" w:rsidP="00B41D06">
            <w:pPr>
              <w:pStyle w:val="TableText"/>
              <w:cnfStyle w:val="100000000000" w:firstRow="1" w:lastRow="0" w:firstColumn="0" w:lastColumn="0" w:oddVBand="0" w:evenVBand="0" w:oddHBand="0" w:evenHBand="0" w:firstRowFirstColumn="0" w:firstRowLastColumn="0" w:lastRowFirstColumn="0" w:lastRowLastColumn="0"/>
              <w:rPr>
                <w:color w:val="auto"/>
              </w:rPr>
            </w:pPr>
            <w:r w:rsidRPr="009813F3">
              <w:rPr>
                <w:color w:val="auto"/>
              </w:rPr>
              <w:t>p-value</w:t>
            </w:r>
          </w:p>
        </w:tc>
      </w:tr>
      <w:tr w:rsidR="00ED572F" w:rsidRPr="009813F3" w14:paraId="25063D93" w14:textId="77777777" w:rsidTr="00B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FB18F64" w14:textId="7E747810" w:rsidR="00ED572F" w:rsidRPr="009813F3" w:rsidRDefault="00ED572F" w:rsidP="00B41D06">
            <w:pPr>
              <w:pStyle w:val="TableText"/>
              <w:rPr>
                <w:b w:val="0"/>
                <w:bCs w:val="0"/>
              </w:rPr>
            </w:pPr>
            <w:r w:rsidRPr="009813F3">
              <w:rPr>
                <w:b w:val="0"/>
                <w:bCs w:val="0"/>
              </w:rPr>
              <w:t xml:space="preserve">Age </w:t>
            </w:r>
            <w:r w:rsidR="0062538A">
              <w:rPr>
                <w:b w:val="0"/>
                <w:bCs w:val="0"/>
              </w:rPr>
              <w:t>(years)</w:t>
            </w:r>
          </w:p>
        </w:tc>
        <w:tc>
          <w:tcPr>
            <w:tcW w:w="3005" w:type="dxa"/>
          </w:tcPr>
          <w:p w14:paraId="29D6AA60"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t>0.161</w:t>
            </w:r>
          </w:p>
        </w:tc>
        <w:tc>
          <w:tcPr>
            <w:tcW w:w="3006" w:type="dxa"/>
          </w:tcPr>
          <w:p w14:paraId="2B52DD73" w14:textId="77777777" w:rsidR="00ED572F" w:rsidRPr="009813F3"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t>0.321</w:t>
            </w:r>
          </w:p>
        </w:tc>
      </w:tr>
      <w:tr w:rsidR="00ED572F" w:rsidRPr="009813F3" w14:paraId="72461DF6" w14:textId="77777777" w:rsidTr="00B41D06">
        <w:tc>
          <w:tcPr>
            <w:cnfStyle w:val="001000000000" w:firstRow="0" w:lastRow="0" w:firstColumn="1" w:lastColumn="0" w:oddVBand="0" w:evenVBand="0" w:oddHBand="0" w:evenHBand="0" w:firstRowFirstColumn="0" w:firstRowLastColumn="0" w:lastRowFirstColumn="0" w:lastRowLastColumn="0"/>
            <w:tcW w:w="3005" w:type="dxa"/>
          </w:tcPr>
          <w:p w14:paraId="7B74FE1A" w14:textId="4211FA61" w:rsidR="00ED572F" w:rsidRPr="009813F3" w:rsidRDefault="00ED572F" w:rsidP="00B41D06">
            <w:pPr>
              <w:pStyle w:val="TableText"/>
              <w:rPr>
                <w:b w:val="0"/>
                <w:bCs w:val="0"/>
              </w:rPr>
            </w:pPr>
            <w:r w:rsidRPr="009813F3">
              <w:rPr>
                <w:b w:val="0"/>
                <w:bCs w:val="0"/>
              </w:rPr>
              <w:t xml:space="preserve">Age </w:t>
            </w:r>
            <w:r w:rsidR="0062538A">
              <w:rPr>
                <w:b w:val="0"/>
                <w:bCs w:val="0"/>
              </w:rPr>
              <w:t xml:space="preserve">(years) </w:t>
            </w:r>
            <w:r w:rsidRPr="009813F3">
              <w:rPr>
                <w:b w:val="0"/>
                <w:bCs w:val="0"/>
              </w:rPr>
              <w:t>at diagnosis</w:t>
            </w:r>
          </w:p>
        </w:tc>
        <w:tc>
          <w:tcPr>
            <w:tcW w:w="3005" w:type="dxa"/>
          </w:tcPr>
          <w:p w14:paraId="52451325" w14:textId="77777777" w:rsidR="00ED572F" w:rsidRPr="00341C1D"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341C1D">
              <w:t>-0.181</w:t>
            </w:r>
          </w:p>
        </w:tc>
        <w:tc>
          <w:tcPr>
            <w:tcW w:w="3006" w:type="dxa"/>
          </w:tcPr>
          <w:p w14:paraId="3EFC5B44" w14:textId="77777777" w:rsidR="00ED572F" w:rsidRPr="00341C1D"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341C1D">
              <w:t>0.265</w:t>
            </w:r>
          </w:p>
        </w:tc>
      </w:tr>
      <w:tr w:rsidR="00ED572F" w:rsidRPr="00573837" w14:paraId="140E22D8" w14:textId="77777777" w:rsidTr="00B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6F8538B" w14:textId="77777777" w:rsidR="00ED572F" w:rsidRPr="009813F3" w:rsidRDefault="00ED572F" w:rsidP="00B41D06">
            <w:pPr>
              <w:pStyle w:val="TableText"/>
              <w:rPr>
                <w:b w:val="0"/>
                <w:bCs w:val="0"/>
              </w:rPr>
            </w:pPr>
            <w:r w:rsidRPr="009813F3">
              <w:rPr>
                <w:b w:val="0"/>
                <w:bCs w:val="0"/>
              </w:rPr>
              <w:t>Annual infection incidence</w:t>
            </w:r>
          </w:p>
        </w:tc>
        <w:tc>
          <w:tcPr>
            <w:tcW w:w="3005" w:type="dxa"/>
          </w:tcPr>
          <w:p w14:paraId="7FA9A1A2" w14:textId="77777777" w:rsidR="00ED572F" w:rsidRPr="00341C1D"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341C1D">
              <w:t>-0.088</w:t>
            </w:r>
          </w:p>
        </w:tc>
        <w:tc>
          <w:tcPr>
            <w:tcW w:w="3006" w:type="dxa"/>
          </w:tcPr>
          <w:p w14:paraId="29AAAF27" w14:textId="77777777" w:rsidR="00ED572F" w:rsidRPr="00341C1D"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341C1D">
              <w:t>0.593</w:t>
            </w:r>
          </w:p>
        </w:tc>
      </w:tr>
      <w:tr w:rsidR="00ED572F" w:rsidRPr="00573837" w14:paraId="4081B2F1" w14:textId="77777777" w:rsidTr="00B41D06">
        <w:tc>
          <w:tcPr>
            <w:cnfStyle w:val="001000000000" w:firstRow="0" w:lastRow="0" w:firstColumn="1" w:lastColumn="0" w:oddVBand="0" w:evenVBand="0" w:oddHBand="0" w:evenHBand="0" w:firstRowFirstColumn="0" w:firstRowLastColumn="0" w:lastRowFirstColumn="0" w:lastRowLastColumn="0"/>
            <w:tcW w:w="3005" w:type="dxa"/>
          </w:tcPr>
          <w:p w14:paraId="7D5B6A5E" w14:textId="77777777" w:rsidR="00ED572F" w:rsidRPr="009813F3" w:rsidRDefault="00ED572F" w:rsidP="00B41D06">
            <w:pPr>
              <w:pStyle w:val="TableText"/>
              <w:rPr>
                <w:b w:val="0"/>
                <w:bCs w:val="0"/>
              </w:rPr>
            </w:pPr>
            <w:r w:rsidRPr="009813F3">
              <w:rPr>
                <w:b w:val="0"/>
                <w:bCs w:val="0"/>
              </w:rPr>
              <w:t>Latest FEV1 Z-Score</w:t>
            </w:r>
          </w:p>
        </w:tc>
        <w:tc>
          <w:tcPr>
            <w:tcW w:w="3005" w:type="dxa"/>
          </w:tcPr>
          <w:p w14:paraId="370C974D" w14:textId="77777777" w:rsidR="00ED572F" w:rsidRPr="00341C1D"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t>0.166</w:t>
            </w:r>
          </w:p>
        </w:tc>
        <w:tc>
          <w:tcPr>
            <w:tcW w:w="3006" w:type="dxa"/>
          </w:tcPr>
          <w:p w14:paraId="79154840" w14:textId="77777777" w:rsidR="00ED572F" w:rsidRPr="00341C1D"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t>0.389</w:t>
            </w:r>
          </w:p>
        </w:tc>
      </w:tr>
      <w:tr w:rsidR="00ED572F" w:rsidRPr="00573837" w14:paraId="33DCC9DB" w14:textId="77777777" w:rsidTr="00B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ABA8C69" w14:textId="77777777" w:rsidR="00ED572F" w:rsidRPr="009813F3" w:rsidRDefault="00ED572F" w:rsidP="00B41D06">
            <w:pPr>
              <w:pStyle w:val="TableText"/>
              <w:rPr>
                <w:b w:val="0"/>
                <w:bCs w:val="0"/>
              </w:rPr>
            </w:pPr>
            <w:r>
              <w:rPr>
                <w:b w:val="0"/>
                <w:bCs w:val="0"/>
              </w:rPr>
              <w:t>SGRQ total score</w:t>
            </w:r>
          </w:p>
        </w:tc>
        <w:tc>
          <w:tcPr>
            <w:tcW w:w="3005" w:type="dxa"/>
          </w:tcPr>
          <w:p w14:paraId="71A96F35" w14:textId="77777777" w:rsidR="00ED572F" w:rsidRPr="00341C1D"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t>-0.499</w:t>
            </w:r>
          </w:p>
        </w:tc>
        <w:tc>
          <w:tcPr>
            <w:tcW w:w="3006" w:type="dxa"/>
          </w:tcPr>
          <w:p w14:paraId="0C1C4702" w14:textId="77777777" w:rsidR="00ED572F" w:rsidRPr="00F03635"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b/>
                <w:bCs/>
                <w:i/>
                <w:iCs/>
              </w:rPr>
            </w:pPr>
            <w:r w:rsidRPr="00F03635">
              <w:rPr>
                <w:b/>
                <w:bCs/>
                <w:i/>
                <w:iCs/>
              </w:rPr>
              <w:t>0.001</w:t>
            </w:r>
          </w:p>
        </w:tc>
      </w:tr>
    </w:tbl>
    <w:p w14:paraId="38389DE4" w14:textId="77777777" w:rsidR="00ED572F" w:rsidRDefault="00ED572F" w:rsidP="00ED572F"/>
    <w:p w14:paraId="6F0E0AAB" w14:textId="493343AA" w:rsidR="00ED572F" w:rsidRDefault="00ED572F" w:rsidP="00ED572F">
      <w:r>
        <w:t xml:space="preserve">SF36v2 MCS did not significantly correlate with measures of clinical outcome, but did significantly correlate with SGRQ scores (table </w:t>
      </w:r>
      <w:r w:rsidR="00496843">
        <w:t>9</w:t>
      </w:r>
      <w:r>
        <w:t>).</w:t>
      </w:r>
    </w:p>
    <w:p w14:paraId="08BC2FF8" w14:textId="77777777" w:rsidR="00ED572F" w:rsidRPr="00367D62" w:rsidRDefault="00ED572F" w:rsidP="0057637C">
      <w:pPr>
        <w:pStyle w:val="Heading3"/>
      </w:pPr>
      <w:r w:rsidRPr="00367D62">
        <w:t>Hospital and Anxiety Depression Score (HADS)</w:t>
      </w:r>
    </w:p>
    <w:p w14:paraId="3688FBA9" w14:textId="76BC8564" w:rsidR="00ED572F" w:rsidRPr="00367D62" w:rsidRDefault="00ED572F" w:rsidP="00ED572F">
      <w:r>
        <w:t xml:space="preserve">32 adults filled out the HADS.  </w:t>
      </w:r>
      <w:r w:rsidRPr="00367D62">
        <w:t>UK XLA patients had comparable scores to UK ma</w:t>
      </w:r>
      <w:r w:rsidR="000F055D">
        <w:t>l</w:t>
      </w:r>
      <w:r w:rsidRPr="00367D62">
        <w:t>e norms and CF patients in the HADS</w:t>
      </w:r>
      <w:r>
        <w:t xml:space="preserve"> (table 1</w:t>
      </w:r>
      <w:r w:rsidR="00496843">
        <w:t>0</w:t>
      </w:r>
      <w:r>
        <w:t>)</w:t>
      </w:r>
      <w:r w:rsidRPr="00367D62">
        <w:t>.</w:t>
      </w:r>
    </w:p>
    <w:p w14:paraId="402B4F92" w14:textId="6DA702A2" w:rsidR="00ED572F" w:rsidRPr="00F47881" w:rsidRDefault="00ED572F" w:rsidP="00ED572F">
      <w:pPr>
        <w:pStyle w:val="Caption"/>
        <w:rPr>
          <w:rFonts w:cs="Times New Roman"/>
          <w:b w:val="0"/>
          <w:bCs/>
          <w:i/>
          <w:iCs w:val="0"/>
        </w:rPr>
      </w:pPr>
      <w:r w:rsidRPr="00F47881">
        <w:rPr>
          <w:rFonts w:cs="Times New Roman"/>
          <w:bCs/>
          <w:iCs w:val="0"/>
        </w:rPr>
        <w:t xml:space="preserve">Table </w:t>
      </w:r>
      <w:r w:rsidRPr="00F47881">
        <w:rPr>
          <w:rFonts w:cs="Times New Roman"/>
          <w:b w:val="0"/>
          <w:bCs/>
          <w:i/>
          <w:iCs w:val="0"/>
        </w:rPr>
        <w:fldChar w:fldCharType="begin"/>
      </w:r>
      <w:r w:rsidRPr="00F47881">
        <w:rPr>
          <w:rFonts w:cs="Times New Roman"/>
          <w:bCs/>
          <w:iCs w:val="0"/>
        </w:rPr>
        <w:instrText xml:space="preserve"> SEQ Table \* ARABIC </w:instrText>
      </w:r>
      <w:r w:rsidRPr="00F47881">
        <w:rPr>
          <w:rFonts w:cs="Times New Roman"/>
          <w:b w:val="0"/>
          <w:bCs/>
          <w:i/>
          <w:iCs w:val="0"/>
        </w:rPr>
        <w:fldChar w:fldCharType="separate"/>
      </w:r>
      <w:r w:rsidR="00197B97">
        <w:rPr>
          <w:rFonts w:cs="Times New Roman"/>
          <w:bCs/>
          <w:iCs w:val="0"/>
          <w:noProof/>
        </w:rPr>
        <w:t>10</w:t>
      </w:r>
      <w:r w:rsidRPr="00F47881">
        <w:rPr>
          <w:rFonts w:cs="Times New Roman"/>
          <w:b w:val="0"/>
          <w:bCs/>
          <w:i/>
          <w:iCs w:val="0"/>
        </w:rPr>
        <w:fldChar w:fldCharType="end"/>
      </w:r>
      <w:r w:rsidRPr="00F47881">
        <w:rPr>
          <w:rFonts w:cs="Times New Roman"/>
          <w:bCs/>
          <w:iCs w:val="0"/>
        </w:rPr>
        <w:t xml:space="preserve"> </w:t>
      </w:r>
      <w:r w:rsidR="00FE48DA">
        <w:rPr>
          <w:rFonts w:cs="Times New Roman"/>
          <w:bCs/>
          <w:iCs w:val="0"/>
        </w:rPr>
        <w:t xml:space="preserve">Clinical anxiety and depression categories and comparative HADS scores </w:t>
      </w:r>
      <w:r w:rsidR="00B30759">
        <w:rPr>
          <w:rFonts w:cs="Times New Roman"/>
          <w:bCs/>
          <w:iCs w:val="0"/>
        </w:rPr>
        <w:t xml:space="preserve">for the XLA cohort versus </w:t>
      </w:r>
      <w:r w:rsidRPr="00F47881">
        <w:rPr>
          <w:rFonts w:cs="Times New Roman"/>
          <w:bCs/>
          <w:iCs w:val="0"/>
        </w:rPr>
        <w:t xml:space="preserve">UK male norms (median, IQR) </w:t>
      </w:r>
      <w:r w:rsidRPr="00F47881">
        <w:rPr>
          <w:rFonts w:cs="Times New Roman"/>
          <w:b w:val="0"/>
          <w:bCs/>
          <w:i/>
          <w:iCs w:val="0"/>
        </w:rPr>
        <w:fldChar w:fldCharType="begin"/>
      </w:r>
      <w:r w:rsidR="00D106AB">
        <w:rPr>
          <w:rFonts w:cs="Times New Roman"/>
          <w:bCs/>
          <w:iCs w:val="0"/>
        </w:rPr>
        <w:instrText xml:space="preserve"> ADDIN ZOTERO_ITEM CSL_CITATION {"citationID":"VyLUQXPB","properties":{"formattedCitation":"(34)","plainCitation":"(34)","noteIndex":0},"citationItems":[{"id":1249,"uris":["http://zotero.org/users/12098505/items/ZQCAZKEY"],"itemData":{"id":1249,"type":"article-journal","abstract":"PURPOSE The Hospital Anxiety and Depression Scale (HADS) is widely used in both research and clinical contexts. However, UK normative data from HADS remain limited. In our recent review of the literature, only six reports from four studies were identified as reporting UK normative data and all had limitations. The aim of our study was to use a large population-based dataset to address this. METHODS The Epidemiology of Functional Disorders Study is a large longitudinal population-based study carried out in Northwest England. All adults aged between 25 and 65 years registered with three general practices were sent a self-completion questionnaire which contained the HADS and other health-related instruments. Scores were calculated for participants completing all items on each sub-scale (anxiety 6,189 participants and depression 6,198 participants). Scores are presented by gender and by 5-year age groups. Percentile scores were also generated. RESULTS The median anxiety score was higher in women [6, interquartile range (IQR) 4-9] than in men (5, IQR 2-8) and increased with age in both groups. The median depression score for both women and men was 3 (IQR 1-6). CONCLUSIONS Our study is the largest population-based study providing UK normative data from the HADS. While our data confirm some of the normative data reported previously, subtle and important differences emerged, particularly at the upper end of the percentile scores. Due to the nature of our study design and the number of participants sampled, we believe that our data are likely to be more representative of the UK population than existing published normative values.","container-title":"Quality of Life Research","DOI":"10.1007/s11136-014-0763-z","issue":"2","page":"391-398","title":"Normative data for the Hospital Anxiety and Depression Scale","volume":"24","author":[{"family":"Breeman","given":"Suzanne"},{"family":"Cotton","given":"Seonaidh"},{"family":"Fielding","given":"Shona"},{"family":"Jones","given":"Gareth T."}],"issued":{"date-parts":[["2015",2]]}}}],"schema":"https://github.com/citation-style-language/schema/raw/master/csl-citation.json"} </w:instrText>
      </w:r>
      <w:r w:rsidRPr="00F47881">
        <w:rPr>
          <w:rFonts w:cs="Times New Roman"/>
          <w:b w:val="0"/>
          <w:bCs/>
          <w:i/>
          <w:iCs w:val="0"/>
        </w:rPr>
        <w:fldChar w:fldCharType="separate"/>
      </w:r>
      <w:r w:rsidR="00D106AB" w:rsidRPr="00D106AB">
        <w:rPr>
          <w:rFonts w:cs="Times New Roman"/>
        </w:rPr>
        <w:t>(34)</w:t>
      </w:r>
      <w:r w:rsidRPr="00F47881">
        <w:rPr>
          <w:rFonts w:cs="Times New Roman"/>
          <w:b w:val="0"/>
          <w:bCs/>
          <w:i/>
          <w:iCs w:val="0"/>
        </w:rPr>
        <w:fldChar w:fldCharType="end"/>
      </w:r>
      <w:r w:rsidRPr="00F47881">
        <w:rPr>
          <w:rFonts w:cs="Times New Roman"/>
          <w:bCs/>
          <w:iCs w:val="0"/>
        </w:rPr>
        <w:t xml:space="preserve"> and UK male CF patients (mean, SD) </w:t>
      </w:r>
      <w:r w:rsidRPr="00F47881">
        <w:rPr>
          <w:rFonts w:cs="Times New Roman"/>
          <w:b w:val="0"/>
          <w:bCs/>
          <w:i/>
          <w:iCs w:val="0"/>
        </w:rPr>
        <w:fldChar w:fldCharType="begin"/>
      </w:r>
      <w:r w:rsidR="00D106AB">
        <w:rPr>
          <w:rFonts w:cs="Times New Roman"/>
          <w:bCs/>
          <w:iCs w:val="0"/>
        </w:rPr>
        <w:instrText xml:space="preserve"> ADDIN ZOTERO_ITEM CSL_CITATION {"citationID":"sfo0Ybpk","properties":{"formattedCitation":"(35)","plainCitation":"(35)","noteIndex":0},"citationItems":[{"id":1739,"uris":["http://zotero.org/users/12098505/items/LASHFCR7"],"itemData":{"id":1739,"type":"article-journal","abstract":"BACKGROUND: The International Depression/anxiety Epidemiological Study (TIDES) in the UK aimed: (i) to establish the prevalence of anxiety and depression amongst people with CF compared to a normative sample; (ii) to establish the association between mood, demographic and clinical variables; and (iii) to provide guidance for specialist-referral decision-making.\nMETHODS: Patients (≥12years) completed the Hospital Anxiety and Depression Scale (HADS). CF-HADS scores, expressed as percentiles, were compared with a normative sample. Multiple-regression analysis explored associations between demographic, clinical and mood variables.\nRESULTS: Thirty-nine CF centres recruited 2065 patients. Adults with CF were similar in terms of anxiety and depression to the general population. Adolescents with CF were less anxious and depressed. For adult patients, older age, unemployment for health reasons and poor lung function were associated with disordered mood. Gender-specific CF-percentile scores were calculated.\nCONCLUSION: Surveillance, with attention to gender and risk factors is advocated. This work provides unique benchmark scores to aid referral decision-making.","container-title":"Journal of Cystic Fibrosis: Official Journal of the European Cystic Fibrosis Society","DOI":"10.1016/j.jcf.2014.02.010","ISSN":"1873-5010","issue":"6","journalAbbreviation":"J Cyst Fibros","language":"eng","page":"745-753","PMID":"24642184","source":"PubMed","title":"Depression and anxiety in adolescents and adults with cystic fibrosis in the UK: a cross-sectional study","title-short":"Depression and anxiety in adolescents and adults with cystic fibrosis in the UK","volume":"13","author":[{"family":"Duff","given":"Alistair J. A."},{"family":"Abbott","given":"Janice"},{"family":"Cowperthwaite","given":"Carolyn"},{"family":"Sumner","given":"Clare"},{"family":"Hurley","given":"Margaret A."},{"family":"Quittner","given":"Alexandra"},{"literal":"TIDES-UK Group"}],"issued":{"date-parts":[["2014",12]]}}}],"schema":"https://github.com/citation-style-language/schema/raw/master/csl-citation.json"} </w:instrText>
      </w:r>
      <w:r w:rsidRPr="00F47881">
        <w:rPr>
          <w:rFonts w:cs="Times New Roman"/>
          <w:b w:val="0"/>
          <w:bCs/>
          <w:i/>
          <w:iCs w:val="0"/>
        </w:rPr>
        <w:fldChar w:fldCharType="separate"/>
      </w:r>
      <w:r w:rsidR="00D106AB" w:rsidRPr="00D106AB">
        <w:rPr>
          <w:rFonts w:cs="Times New Roman"/>
        </w:rPr>
        <w:t>(35)</w:t>
      </w:r>
      <w:r w:rsidRPr="00F47881">
        <w:rPr>
          <w:rFonts w:cs="Times New Roman"/>
          <w:b w:val="0"/>
          <w:bCs/>
          <w:i/>
          <w:iCs w:val="0"/>
        </w:rPr>
        <w:fldChar w:fldCharType="end"/>
      </w:r>
    </w:p>
    <w:tbl>
      <w:tblPr>
        <w:tblStyle w:val="List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1585"/>
        <w:gridCol w:w="138"/>
        <w:gridCol w:w="1701"/>
        <w:gridCol w:w="851"/>
        <w:gridCol w:w="141"/>
        <w:gridCol w:w="1418"/>
        <w:gridCol w:w="348"/>
        <w:gridCol w:w="1585"/>
      </w:tblGrid>
      <w:tr w:rsidR="00172656" w:rsidRPr="00367D62" w14:paraId="4EB0A4B6" w14:textId="77777777" w:rsidTr="00B34BF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gridSpan w:val="3"/>
            <w:shd w:val="clear" w:color="auto" w:fill="auto"/>
          </w:tcPr>
          <w:p w14:paraId="71F91E05" w14:textId="0E6A4AC4" w:rsidR="00172656" w:rsidRPr="00B34BF7" w:rsidRDefault="00172656" w:rsidP="00B41D06">
            <w:pPr>
              <w:pStyle w:val="TableText"/>
              <w:rPr>
                <w:color w:val="auto"/>
              </w:rPr>
            </w:pPr>
            <w:r>
              <w:rPr>
                <w:color w:val="auto"/>
              </w:rPr>
              <w:t>Clinical Screening Categories</w:t>
            </w:r>
          </w:p>
        </w:tc>
        <w:tc>
          <w:tcPr>
            <w:tcW w:w="2552" w:type="dxa"/>
            <w:gridSpan w:val="2"/>
            <w:shd w:val="clear" w:color="auto" w:fill="auto"/>
          </w:tcPr>
          <w:p w14:paraId="7D018FFD" w14:textId="0F28383A" w:rsidR="00172656" w:rsidRPr="00B34BF7" w:rsidRDefault="00172656" w:rsidP="00B41D06">
            <w:pPr>
              <w:pStyle w:val="TableText"/>
              <w:cnfStyle w:val="100000000000" w:firstRow="1" w:lastRow="0" w:firstColumn="0" w:lastColumn="0" w:oddVBand="0" w:evenVBand="0" w:oddHBand="0" w:evenHBand="0" w:firstRowFirstColumn="0" w:firstRowLastColumn="0" w:lastRowFirstColumn="0" w:lastRowLastColumn="0"/>
              <w:rPr>
                <w:color w:val="auto"/>
              </w:rPr>
            </w:pPr>
            <w:r>
              <w:rPr>
                <w:color w:val="auto"/>
              </w:rPr>
              <w:t>Score</w:t>
            </w:r>
          </w:p>
        </w:tc>
        <w:tc>
          <w:tcPr>
            <w:tcW w:w="1559" w:type="dxa"/>
            <w:gridSpan w:val="2"/>
            <w:shd w:val="clear" w:color="auto" w:fill="auto"/>
          </w:tcPr>
          <w:p w14:paraId="3FFDC596" w14:textId="23459A8F" w:rsidR="00172656" w:rsidRPr="00B34BF7" w:rsidRDefault="00172656" w:rsidP="00B41D06">
            <w:pPr>
              <w:pStyle w:val="TableText"/>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n (%) </w:t>
            </w:r>
          </w:p>
        </w:tc>
        <w:tc>
          <w:tcPr>
            <w:tcW w:w="1933" w:type="dxa"/>
            <w:gridSpan w:val="2"/>
            <w:shd w:val="clear" w:color="auto" w:fill="auto"/>
          </w:tcPr>
          <w:p w14:paraId="68743F63" w14:textId="07AE81CD" w:rsidR="00172656" w:rsidRPr="00367D62" w:rsidRDefault="00172656" w:rsidP="00B41D06">
            <w:pPr>
              <w:pStyle w:val="TableText"/>
              <w:cnfStyle w:val="100000000000" w:firstRow="1" w:lastRow="0" w:firstColumn="0" w:lastColumn="0" w:oddVBand="0" w:evenVBand="0" w:oddHBand="0" w:evenHBand="0" w:firstRowFirstColumn="0" w:firstRowLastColumn="0" w:lastRowFirstColumn="0" w:lastRowLastColumn="0"/>
            </w:pPr>
            <w:r>
              <w:rPr>
                <w:color w:val="auto"/>
              </w:rPr>
              <w:t>95% CI</w:t>
            </w:r>
          </w:p>
        </w:tc>
      </w:tr>
      <w:tr w:rsidR="00172656" w:rsidRPr="00367D62" w14:paraId="7DB8761D" w14:textId="77777777" w:rsidTr="00B34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gridSpan w:val="3"/>
            <w:shd w:val="clear" w:color="auto" w:fill="auto"/>
          </w:tcPr>
          <w:p w14:paraId="2F2D2772" w14:textId="5D4DFF00" w:rsidR="00172656" w:rsidRPr="00367D62" w:rsidRDefault="00AF4BF5" w:rsidP="00B41D06">
            <w:pPr>
              <w:pStyle w:val="TableText"/>
            </w:pPr>
            <w:r>
              <w:t>HADS-Anxiety (Possible)</w:t>
            </w:r>
          </w:p>
        </w:tc>
        <w:tc>
          <w:tcPr>
            <w:tcW w:w="2552" w:type="dxa"/>
            <w:gridSpan w:val="2"/>
          </w:tcPr>
          <w:p w14:paraId="724F0280" w14:textId="7B08B0E2" w:rsidR="00172656" w:rsidRPr="00367D62" w:rsidRDefault="00FC55C0" w:rsidP="00B41D06">
            <w:pPr>
              <w:pStyle w:val="TableText"/>
              <w:cnfStyle w:val="000000100000" w:firstRow="0" w:lastRow="0" w:firstColumn="0" w:lastColumn="0" w:oddVBand="0" w:evenVBand="0" w:oddHBand="1" w:evenHBand="0" w:firstRowFirstColumn="0" w:firstRowLastColumn="0" w:lastRowFirstColumn="0" w:lastRowLastColumn="0"/>
            </w:pPr>
            <w:r>
              <w:t>8-10</w:t>
            </w:r>
          </w:p>
        </w:tc>
        <w:tc>
          <w:tcPr>
            <w:tcW w:w="1559" w:type="dxa"/>
            <w:gridSpan w:val="2"/>
          </w:tcPr>
          <w:p w14:paraId="5C1FCA48" w14:textId="3D909477" w:rsidR="00172656" w:rsidRPr="00367D62" w:rsidRDefault="00E429A5" w:rsidP="00B41D06">
            <w:pPr>
              <w:pStyle w:val="TableText"/>
              <w:cnfStyle w:val="000000100000" w:firstRow="0" w:lastRow="0" w:firstColumn="0" w:lastColumn="0" w:oddVBand="0" w:evenVBand="0" w:oddHBand="1" w:evenHBand="0" w:firstRowFirstColumn="0" w:firstRowLastColumn="0" w:lastRowFirstColumn="0" w:lastRowLastColumn="0"/>
            </w:pPr>
            <w:r>
              <w:t>6 (18.8%)</w:t>
            </w:r>
          </w:p>
        </w:tc>
        <w:tc>
          <w:tcPr>
            <w:tcW w:w="1933" w:type="dxa"/>
            <w:gridSpan w:val="2"/>
          </w:tcPr>
          <w:p w14:paraId="00349EB0" w14:textId="18B095FF" w:rsidR="00172656" w:rsidRPr="00367D62" w:rsidRDefault="00804853" w:rsidP="00B41D06">
            <w:pPr>
              <w:pStyle w:val="TableText"/>
              <w:cnfStyle w:val="000000100000" w:firstRow="0" w:lastRow="0" w:firstColumn="0" w:lastColumn="0" w:oddVBand="0" w:evenVBand="0" w:oddHBand="1" w:evenHBand="0" w:firstRowFirstColumn="0" w:firstRowLastColumn="0" w:lastRowFirstColumn="0" w:lastRowLastColumn="0"/>
            </w:pPr>
            <w:r>
              <w:t>8.9% - 35.3%</w:t>
            </w:r>
          </w:p>
        </w:tc>
      </w:tr>
      <w:tr w:rsidR="00172656" w:rsidRPr="00367D62" w14:paraId="4FD3AD02" w14:textId="77777777" w:rsidTr="00B34BF7">
        <w:tc>
          <w:tcPr>
            <w:cnfStyle w:val="001000000000" w:firstRow="0" w:lastRow="0" w:firstColumn="1" w:lastColumn="0" w:oddVBand="0" w:evenVBand="0" w:oddHBand="0" w:evenHBand="0" w:firstRowFirstColumn="0" w:firstRowLastColumn="0" w:lastRowFirstColumn="0" w:lastRowLastColumn="0"/>
            <w:tcW w:w="2972" w:type="dxa"/>
            <w:gridSpan w:val="3"/>
            <w:shd w:val="clear" w:color="auto" w:fill="auto"/>
          </w:tcPr>
          <w:p w14:paraId="303F5ADF" w14:textId="3CC8D57A" w:rsidR="00172656" w:rsidRPr="00367D62" w:rsidRDefault="00AF4BF5" w:rsidP="00B41D06">
            <w:pPr>
              <w:pStyle w:val="TableText"/>
            </w:pPr>
            <w:r>
              <w:t>HADS-Anxiety (Probable)</w:t>
            </w:r>
          </w:p>
        </w:tc>
        <w:tc>
          <w:tcPr>
            <w:tcW w:w="2552" w:type="dxa"/>
            <w:gridSpan w:val="2"/>
          </w:tcPr>
          <w:p w14:paraId="098DDD14" w14:textId="1C60D224" w:rsidR="00172656" w:rsidRPr="00367D62" w:rsidRDefault="00FC55C0" w:rsidP="00B41D06">
            <w:pPr>
              <w:pStyle w:val="TableText"/>
              <w:cnfStyle w:val="000000000000" w:firstRow="0" w:lastRow="0" w:firstColumn="0" w:lastColumn="0" w:oddVBand="0" w:evenVBand="0" w:oddHBand="0" w:evenHBand="0" w:firstRowFirstColumn="0" w:firstRowLastColumn="0" w:lastRowFirstColumn="0" w:lastRowLastColumn="0"/>
            </w:pPr>
            <w:r>
              <w:rPr>
                <w:rFonts w:cs="Times New Roman"/>
              </w:rPr>
              <w:t>≥</w:t>
            </w:r>
            <w:r>
              <w:t>11</w:t>
            </w:r>
          </w:p>
        </w:tc>
        <w:tc>
          <w:tcPr>
            <w:tcW w:w="1559" w:type="dxa"/>
            <w:gridSpan w:val="2"/>
          </w:tcPr>
          <w:p w14:paraId="2267075B" w14:textId="37F2C779" w:rsidR="00172656" w:rsidRPr="00367D62" w:rsidRDefault="00E429A5" w:rsidP="00B41D06">
            <w:pPr>
              <w:pStyle w:val="TableText"/>
              <w:cnfStyle w:val="000000000000" w:firstRow="0" w:lastRow="0" w:firstColumn="0" w:lastColumn="0" w:oddVBand="0" w:evenVBand="0" w:oddHBand="0" w:evenHBand="0" w:firstRowFirstColumn="0" w:firstRowLastColumn="0" w:lastRowFirstColumn="0" w:lastRowLastColumn="0"/>
            </w:pPr>
            <w:r>
              <w:t>5 (15.6%)</w:t>
            </w:r>
          </w:p>
        </w:tc>
        <w:tc>
          <w:tcPr>
            <w:tcW w:w="1933" w:type="dxa"/>
            <w:gridSpan w:val="2"/>
          </w:tcPr>
          <w:p w14:paraId="5BAB25BD" w14:textId="07925C02" w:rsidR="00172656" w:rsidRPr="00367D62" w:rsidRDefault="00F7735F" w:rsidP="00B41D06">
            <w:pPr>
              <w:pStyle w:val="TableText"/>
              <w:cnfStyle w:val="000000000000" w:firstRow="0" w:lastRow="0" w:firstColumn="0" w:lastColumn="0" w:oddVBand="0" w:evenVBand="0" w:oddHBand="0" w:evenHBand="0" w:firstRowFirstColumn="0" w:firstRowLastColumn="0" w:lastRowFirstColumn="0" w:lastRowLastColumn="0"/>
            </w:pPr>
            <w:r>
              <w:t>6.9% - 31.8%</w:t>
            </w:r>
          </w:p>
        </w:tc>
      </w:tr>
      <w:tr w:rsidR="007C7CFE" w:rsidRPr="00367D62" w14:paraId="64E29B64" w14:textId="77777777" w:rsidTr="00B34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gridSpan w:val="3"/>
            <w:shd w:val="clear" w:color="auto" w:fill="auto"/>
          </w:tcPr>
          <w:p w14:paraId="1F1477C7" w14:textId="1556109A" w:rsidR="007C7CFE" w:rsidRPr="00367D62" w:rsidRDefault="00AF4BF5" w:rsidP="00B41D06">
            <w:pPr>
              <w:pStyle w:val="TableText"/>
            </w:pPr>
            <w:r>
              <w:t>HADS-Depression (Possible)</w:t>
            </w:r>
          </w:p>
        </w:tc>
        <w:tc>
          <w:tcPr>
            <w:tcW w:w="2552" w:type="dxa"/>
            <w:gridSpan w:val="2"/>
          </w:tcPr>
          <w:p w14:paraId="6F43DFC9" w14:textId="375CB4CC" w:rsidR="007C7CFE" w:rsidRPr="00367D62" w:rsidRDefault="00E75212" w:rsidP="00B41D06">
            <w:pPr>
              <w:pStyle w:val="TableText"/>
              <w:cnfStyle w:val="000000100000" w:firstRow="0" w:lastRow="0" w:firstColumn="0" w:lastColumn="0" w:oddVBand="0" w:evenVBand="0" w:oddHBand="1" w:evenHBand="0" w:firstRowFirstColumn="0" w:firstRowLastColumn="0" w:lastRowFirstColumn="0" w:lastRowLastColumn="0"/>
            </w:pPr>
            <w:r>
              <w:rPr>
                <w:rFonts w:cs="Times New Roman"/>
              </w:rPr>
              <w:t>≥</w:t>
            </w:r>
            <w:r w:rsidR="00FC55C0">
              <w:t>8-10</w:t>
            </w:r>
          </w:p>
        </w:tc>
        <w:tc>
          <w:tcPr>
            <w:tcW w:w="0" w:type="dxa"/>
            <w:gridSpan w:val="2"/>
          </w:tcPr>
          <w:p w14:paraId="19ED21B3" w14:textId="4A6E9A69" w:rsidR="007C7CFE" w:rsidRPr="00367D62" w:rsidRDefault="00E429A5" w:rsidP="00B41D06">
            <w:pPr>
              <w:pStyle w:val="TableText"/>
              <w:cnfStyle w:val="000000100000" w:firstRow="0" w:lastRow="0" w:firstColumn="0" w:lastColumn="0" w:oddVBand="0" w:evenVBand="0" w:oddHBand="1" w:evenHBand="0" w:firstRowFirstColumn="0" w:firstRowLastColumn="0" w:lastRowFirstColumn="0" w:lastRowLastColumn="0"/>
            </w:pPr>
            <w:r>
              <w:t>2 (6.3%)</w:t>
            </w:r>
          </w:p>
        </w:tc>
        <w:tc>
          <w:tcPr>
            <w:tcW w:w="0" w:type="dxa"/>
            <w:gridSpan w:val="2"/>
          </w:tcPr>
          <w:p w14:paraId="39329749" w14:textId="16944434" w:rsidR="007C7CFE" w:rsidRPr="00367D62" w:rsidRDefault="00E866FF" w:rsidP="00B41D06">
            <w:pPr>
              <w:pStyle w:val="TableText"/>
              <w:cnfStyle w:val="000000100000" w:firstRow="0" w:lastRow="0" w:firstColumn="0" w:lastColumn="0" w:oddVBand="0" w:evenVBand="0" w:oddHBand="1" w:evenHBand="0" w:firstRowFirstColumn="0" w:firstRowLastColumn="0" w:lastRowFirstColumn="0" w:lastRowLastColumn="0"/>
            </w:pPr>
            <w:r>
              <w:t>1.7% - 19.9%</w:t>
            </w:r>
          </w:p>
        </w:tc>
      </w:tr>
      <w:tr w:rsidR="007C7CFE" w:rsidRPr="00367D62" w14:paraId="2EF261D3" w14:textId="77777777" w:rsidTr="00B34BF7">
        <w:tc>
          <w:tcPr>
            <w:cnfStyle w:val="001000000000" w:firstRow="0" w:lastRow="0" w:firstColumn="1" w:lastColumn="0" w:oddVBand="0" w:evenVBand="0" w:oddHBand="0" w:evenHBand="0" w:firstRowFirstColumn="0" w:firstRowLastColumn="0" w:lastRowFirstColumn="0" w:lastRowLastColumn="0"/>
            <w:tcW w:w="2972" w:type="dxa"/>
            <w:gridSpan w:val="3"/>
            <w:shd w:val="clear" w:color="auto" w:fill="auto"/>
          </w:tcPr>
          <w:p w14:paraId="258A51B5" w14:textId="4A16AD5F" w:rsidR="007C7CFE" w:rsidRPr="00367D62" w:rsidRDefault="00AF4BF5" w:rsidP="00B41D06">
            <w:pPr>
              <w:pStyle w:val="TableText"/>
            </w:pPr>
            <w:r>
              <w:t>HADS-Depression (Probable)</w:t>
            </w:r>
          </w:p>
        </w:tc>
        <w:tc>
          <w:tcPr>
            <w:tcW w:w="2552" w:type="dxa"/>
            <w:gridSpan w:val="2"/>
          </w:tcPr>
          <w:p w14:paraId="466D629F" w14:textId="4F88B19F" w:rsidR="007C7CFE" w:rsidRPr="00367D62" w:rsidRDefault="00FC55C0" w:rsidP="00B41D06">
            <w:pPr>
              <w:pStyle w:val="TableText"/>
              <w:cnfStyle w:val="000000000000" w:firstRow="0" w:lastRow="0" w:firstColumn="0" w:lastColumn="0" w:oddVBand="0" w:evenVBand="0" w:oddHBand="0" w:evenHBand="0" w:firstRowFirstColumn="0" w:firstRowLastColumn="0" w:lastRowFirstColumn="0" w:lastRowLastColumn="0"/>
            </w:pPr>
            <w:r>
              <w:t>11</w:t>
            </w:r>
          </w:p>
        </w:tc>
        <w:tc>
          <w:tcPr>
            <w:tcW w:w="0" w:type="dxa"/>
            <w:gridSpan w:val="2"/>
          </w:tcPr>
          <w:p w14:paraId="6D6D4DBE" w14:textId="6C9E8D15" w:rsidR="007C7CFE" w:rsidRPr="00367D62" w:rsidRDefault="00E429A5" w:rsidP="00B41D06">
            <w:pPr>
              <w:pStyle w:val="TableText"/>
              <w:cnfStyle w:val="000000000000" w:firstRow="0" w:lastRow="0" w:firstColumn="0" w:lastColumn="0" w:oddVBand="0" w:evenVBand="0" w:oddHBand="0" w:evenHBand="0" w:firstRowFirstColumn="0" w:firstRowLastColumn="0" w:lastRowFirstColumn="0" w:lastRowLastColumn="0"/>
            </w:pPr>
            <w:r>
              <w:t>1 (3.1%)</w:t>
            </w:r>
          </w:p>
        </w:tc>
        <w:tc>
          <w:tcPr>
            <w:tcW w:w="0" w:type="dxa"/>
            <w:gridSpan w:val="2"/>
          </w:tcPr>
          <w:p w14:paraId="154C6604" w14:textId="2C1DB2B6" w:rsidR="007C7CFE" w:rsidRPr="00367D62" w:rsidRDefault="00E866FF" w:rsidP="00B41D06">
            <w:pPr>
              <w:pStyle w:val="TableText"/>
              <w:cnfStyle w:val="000000000000" w:firstRow="0" w:lastRow="0" w:firstColumn="0" w:lastColumn="0" w:oddVBand="0" w:evenVBand="0" w:oddHBand="0" w:evenHBand="0" w:firstRowFirstColumn="0" w:firstRowLastColumn="0" w:lastRowFirstColumn="0" w:lastRowLastColumn="0"/>
            </w:pPr>
            <w:r>
              <w:t>0.5% - 15.7%</w:t>
            </w:r>
          </w:p>
        </w:tc>
      </w:tr>
      <w:tr w:rsidR="00ED572F" w:rsidRPr="00367D62" w14:paraId="2EE86A87" w14:textId="77777777" w:rsidTr="00ED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dxa"/>
            <w:shd w:val="clear" w:color="auto" w:fill="auto"/>
          </w:tcPr>
          <w:p w14:paraId="58987153" w14:textId="77777777" w:rsidR="00ED572F" w:rsidRPr="00367D62" w:rsidRDefault="00ED572F" w:rsidP="00B41D06">
            <w:pPr>
              <w:pStyle w:val="TableText"/>
            </w:pPr>
          </w:p>
        </w:tc>
        <w:tc>
          <w:tcPr>
            <w:tcW w:w="1585" w:type="dxa"/>
          </w:tcPr>
          <w:p w14:paraId="6B405C75" w14:textId="60049712" w:rsidR="00ED572F" w:rsidRPr="00367D62" w:rsidRDefault="00ED572F" w:rsidP="00B41D06">
            <w:pPr>
              <w:pStyle w:val="TableText"/>
              <w:cnfStyle w:val="000000100000" w:firstRow="0" w:lastRow="0" w:firstColumn="0" w:lastColumn="0" w:oddVBand="0" w:evenVBand="0" w:oddHBand="1" w:evenHBand="0" w:firstRowFirstColumn="0" w:firstRowLastColumn="0" w:lastRowFirstColumn="0" w:lastRowLastColumn="0"/>
            </w:pPr>
            <w:r w:rsidRPr="00367D62">
              <w:t>XLA Patients</w:t>
            </w:r>
            <w:r w:rsidR="00392135">
              <w:t xml:space="preserve"> (n = 32)</w:t>
            </w:r>
          </w:p>
        </w:tc>
        <w:tc>
          <w:tcPr>
            <w:tcW w:w="1839" w:type="dxa"/>
            <w:gridSpan w:val="2"/>
          </w:tcPr>
          <w:p w14:paraId="1F27F682" w14:textId="77777777" w:rsidR="00ED572F" w:rsidRPr="00367D62" w:rsidRDefault="00ED572F" w:rsidP="00B41D06">
            <w:pPr>
              <w:pStyle w:val="TableText"/>
              <w:cnfStyle w:val="000000100000" w:firstRow="0" w:lastRow="0" w:firstColumn="0" w:lastColumn="0" w:oddVBand="0" w:evenVBand="0" w:oddHBand="1" w:evenHBand="0" w:firstRowFirstColumn="0" w:firstRowLastColumn="0" w:lastRowFirstColumn="0" w:lastRowLastColumn="0"/>
            </w:pPr>
            <w:r w:rsidRPr="00367D62">
              <w:t>UK male norms</w:t>
            </w:r>
          </w:p>
        </w:tc>
        <w:tc>
          <w:tcPr>
            <w:tcW w:w="992" w:type="dxa"/>
            <w:gridSpan w:val="2"/>
          </w:tcPr>
          <w:p w14:paraId="5B289265" w14:textId="77777777" w:rsidR="00ED572F" w:rsidRPr="00367D62" w:rsidRDefault="00ED572F" w:rsidP="00B41D06">
            <w:pPr>
              <w:pStyle w:val="TableText"/>
              <w:cnfStyle w:val="000000100000" w:firstRow="0" w:lastRow="0" w:firstColumn="0" w:lastColumn="0" w:oddVBand="0" w:evenVBand="0" w:oddHBand="1" w:evenHBand="0" w:firstRowFirstColumn="0" w:firstRowLastColumn="0" w:lastRowFirstColumn="0" w:lastRowLastColumn="0"/>
            </w:pPr>
            <w:r w:rsidRPr="00367D62">
              <w:t>p value</w:t>
            </w:r>
          </w:p>
        </w:tc>
        <w:tc>
          <w:tcPr>
            <w:tcW w:w="1766" w:type="dxa"/>
            <w:gridSpan w:val="2"/>
          </w:tcPr>
          <w:p w14:paraId="3E851D3C" w14:textId="77777777" w:rsidR="00ED572F" w:rsidRPr="00367D62" w:rsidRDefault="00ED572F" w:rsidP="00B41D06">
            <w:pPr>
              <w:pStyle w:val="TableText"/>
              <w:cnfStyle w:val="000000100000" w:firstRow="0" w:lastRow="0" w:firstColumn="0" w:lastColumn="0" w:oddVBand="0" w:evenVBand="0" w:oddHBand="1" w:evenHBand="0" w:firstRowFirstColumn="0" w:firstRowLastColumn="0" w:lastRowFirstColumn="0" w:lastRowLastColumn="0"/>
            </w:pPr>
            <w:r w:rsidRPr="00367D62">
              <w:t>UK male CF patients</w:t>
            </w:r>
          </w:p>
        </w:tc>
        <w:tc>
          <w:tcPr>
            <w:tcW w:w="1585" w:type="dxa"/>
          </w:tcPr>
          <w:p w14:paraId="13BF59E5" w14:textId="77777777" w:rsidR="00ED572F" w:rsidRPr="00367D62" w:rsidRDefault="00ED572F" w:rsidP="00B41D06">
            <w:pPr>
              <w:pStyle w:val="TableText"/>
              <w:cnfStyle w:val="000000100000" w:firstRow="0" w:lastRow="0" w:firstColumn="0" w:lastColumn="0" w:oddVBand="0" w:evenVBand="0" w:oddHBand="1" w:evenHBand="0" w:firstRowFirstColumn="0" w:firstRowLastColumn="0" w:lastRowFirstColumn="0" w:lastRowLastColumn="0"/>
            </w:pPr>
            <w:r w:rsidRPr="00367D62">
              <w:t>p-value</w:t>
            </w:r>
          </w:p>
        </w:tc>
      </w:tr>
      <w:tr w:rsidR="00ED572F" w:rsidRPr="00367D62" w14:paraId="17F24949" w14:textId="77777777" w:rsidTr="00ED572F">
        <w:tc>
          <w:tcPr>
            <w:cnfStyle w:val="001000000000" w:firstRow="0" w:lastRow="0" w:firstColumn="1" w:lastColumn="0" w:oddVBand="0" w:evenVBand="0" w:oddHBand="0" w:evenHBand="0" w:firstRowFirstColumn="0" w:firstRowLastColumn="0" w:lastRowFirstColumn="0" w:lastRowLastColumn="0"/>
            <w:tcW w:w="1249" w:type="dxa"/>
          </w:tcPr>
          <w:p w14:paraId="254B89B2" w14:textId="77777777" w:rsidR="00ED572F" w:rsidRPr="00367D62" w:rsidRDefault="00ED572F" w:rsidP="00B41D06">
            <w:pPr>
              <w:pStyle w:val="TableText"/>
            </w:pPr>
            <w:r w:rsidRPr="00367D62">
              <w:t>HADS-A Score</w:t>
            </w:r>
          </w:p>
        </w:tc>
        <w:tc>
          <w:tcPr>
            <w:tcW w:w="1585" w:type="dxa"/>
          </w:tcPr>
          <w:p w14:paraId="5DEE4489" w14:textId="77777777" w:rsidR="00ED572F" w:rsidRPr="00367D62"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367D62">
              <w:t>5 (4</w:t>
            </w:r>
            <w:r>
              <w:t xml:space="preserve">, </w:t>
            </w:r>
            <w:r w:rsidRPr="00367D62">
              <w:t>9.</w:t>
            </w:r>
            <w:r>
              <w:t>5</w:t>
            </w:r>
            <w:r w:rsidRPr="00367D62">
              <w:t>)</w:t>
            </w:r>
          </w:p>
        </w:tc>
        <w:tc>
          <w:tcPr>
            <w:tcW w:w="1839" w:type="dxa"/>
            <w:gridSpan w:val="2"/>
          </w:tcPr>
          <w:p w14:paraId="18C81191" w14:textId="77777777" w:rsidR="00ED572F" w:rsidRPr="00367D62"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367D62">
              <w:t>5 (2</w:t>
            </w:r>
            <w:r>
              <w:t xml:space="preserve">, </w:t>
            </w:r>
            <w:r w:rsidRPr="00367D62">
              <w:t>8)</w:t>
            </w:r>
          </w:p>
        </w:tc>
        <w:tc>
          <w:tcPr>
            <w:tcW w:w="992" w:type="dxa"/>
            <w:gridSpan w:val="2"/>
          </w:tcPr>
          <w:p w14:paraId="4E569A54" w14:textId="77777777" w:rsidR="00ED572F" w:rsidRPr="00367D62"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367D62">
              <w:t>0.1</w:t>
            </w:r>
            <w:r>
              <w:t>47</w:t>
            </w:r>
          </w:p>
        </w:tc>
        <w:tc>
          <w:tcPr>
            <w:tcW w:w="1766" w:type="dxa"/>
            <w:gridSpan w:val="2"/>
          </w:tcPr>
          <w:p w14:paraId="6B6B5A43" w14:textId="77777777" w:rsidR="00ED572F" w:rsidRPr="00367D62"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367D62">
              <w:t>5.7 (3.9)</w:t>
            </w:r>
          </w:p>
        </w:tc>
        <w:tc>
          <w:tcPr>
            <w:tcW w:w="1585" w:type="dxa"/>
          </w:tcPr>
          <w:p w14:paraId="10729CB3" w14:textId="77777777" w:rsidR="00ED572F" w:rsidRPr="00367D62"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rsidRPr="00367D62">
              <w:t>0.</w:t>
            </w:r>
            <w:r>
              <w:t>561</w:t>
            </w:r>
          </w:p>
        </w:tc>
      </w:tr>
      <w:tr w:rsidR="00ED572F" w:rsidRPr="00367D62" w14:paraId="1A8179B0" w14:textId="77777777" w:rsidTr="00ED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dxa"/>
          </w:tcPr>
          <w:p w14:paraId="44F22938" w14:textId="77777777" w:rsidR="00ED572F" w:rsidRPr="00367D62" w:rsidRDefault="00ED572F" w:rsidP="00B41D06">
            <w:pPr>
              <w:pStyle w:val="TableText"/>
            </w:pPr>
            <w:r w:rsidRPr="00367D62">
              <w:t>HADS-D Score</w:t>
            </w:r>
          </w:p>
        </w:tc>
        <w:tc>
          <w:tcPr>
            <w:tcW w:w="1585" w:type="dxa"/>
          </w:tcPr>
          <w:p w14:paraId="19242FEC" w14:textId="77777777" w:rsidR="00ED572F" w:rsidRPr="00367D62"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367D62">
              <w:t>2.</w:t>
            </w:r>
            <w:r>
              <w:t>5</w:t>
            </w:r>
            <w:r w:rsidRPr="00367D62">
              <w:t xml:space="preserve"> (0.</w:t>
            </w:r>
            <w:r>
              <w:t xml:space="preserve">5, </w:t>
            </w:r>
            <w:r w:rsidRPr="00367D62">
              <w:t>5</w:t>
            </w:r>
            <w:r>
              <w:t>.5</w:t>
            </w:r>
            <w:r w:rsidRPr="00367D62">
              <w:t>)</w:t>
            </w:r>
          </w:p>
        </w:tc>
        <w:tc>
          <w:tcPr>
            <w:tcW w:w="1839" w:type="dxa"/>
            <w:gridSpan w:val="2"/>
          </w:tcPr>
          <w:p w14:paraId="1C4F3DC3" w14:textId="77777777" w:rsidR="00ED572F" w:rsidRPr="00367D62"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367D62">
              <w:t>3 (1</w:t>
            </w:r>
            <w:r>
              <w:t xml:space="preserve">, </w:t>
            </w:r>
            <w:r w:rsidRPr="00367D62">
              <w:t>6)</w:t>
            </w:r>
          </w:p>
        </w:tc>
        <w:tc>
          <w:tcPr>
            <w:tcW w:w="992" w:type="dxa"/>
            <w:gridSpan w:val="2"/>
          </w:tcPr>
          <w:p w14:paraId="27013131" w14:textId="77777777" w:rsidR="00ED572F" w:rsidRPr="00367D62"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367D62">
              <w:t>0.</w:t>
            </w:r>
            <w:r>
              <w:t>873</w:t>
            </w:r>
          </w:p>
        </w:tc>
        <w:tc>
          <w:tcPr>
            <w:tcW w:w="1766" w:type="dxa"/>
            <w:gridSpan w:val="2"/>
          </w:tcPr>
          <w:p w14:paraId="73C8E5FC" w14:textId="77777777" w:rsidR="00ED572F" w:rsidRPr="00367D62"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367D62">
              <w:t>3.4 (3.3)</w:t>
            </w:r>
          </w:p>
        </w:tc>
        <w:tc>
          <w:tcPr>
            <w:tcW w:w="1585" w:type="dxa"/>
          </w:tcPr>
          <w:p w14:paraId="7D2BF5CB" w14:textId="77777777" w:rsidR="00ED572F" w:rsidRPr="00367D62"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rsidRPr="00367D62">
              <w:t>0.</w:t>
            </w:r>
            <w:r>
              <w:t>807</w:t>
            </w:r>
          </w:p>
        </w:tc>
      </w:tr>
      <w:tr w:rsidR="00ED572F" w:rsidRPr="00367D62" w14:paraId="3276FFA0" w14:textId="77777777" w:rsidTr="00ED572F">
        <w:tc>
          <w:tcPr>
            <w:cnfStyle w:val="001000000000" w:firstRow="0" w:lastRow="0" w:firstColumn="1" w:lastColumn="0" w:oddVBand="0" w:evenVBand="0" w:oddHBand="0" w:evenHBand="0" w:firstRowFirstColumn="0" w:firstRowLastColumn="0" w:lastRowFirstColumn="0" w:lastRowLastColumn="0"/>
            <w:tcW w:w="9016" w:type="dxa"/>
            <w:gridSpan w:val="9"/>
            <w:tcBorders>
              <w:right w:val="single" w:sz="4" w:space="0" w:color="auto"/>
            </w:tcBorders>
          </w:tcPr>
          <w:p w14:paraId="1BAF6309" w14:textId="77777777" w:rsidR="00ED572F" w:rsidRPr="00367D62" w:rsidRDefault="00ED572F" w:rsidP="00B41D06">
            <w:pPr>
              <w:pStyle w:val="TableText"/>
              <w:jc w:val="center"/>
            </w:pPr>
          </w:p>
        </w:tc>
      </w:tr>
      <w:tr w:rsidR="00ED572F" w:rsidRPr="00367D62" w14:paraId="0DFD4675" w14:textId="77777777" w:rsidTr="00ED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dxa"/>
          </w:tcPr>
          <w:p w14:paraId="1A396F2D" w14:textId="77777777" w:rsidR="00ED572F" w:rsidRPr="00367D62" w:rsidRDefault="00ED572F" w:rsidP="00B41D06">
            <w:pPr>
              <w:pStyle w:val="TableText"/>
            </w:pPr>
          </w:p>
        </w:tc>
        <w:tc>
          <w:tcPr>
            <w:tcW w:w="1585" w:type="dxa"/>
          </w:tcPr>
          <w:p w14:paraId="286AC0DB" w14:textId="77777777" w:rsidR="00ED572F" w:rsidRPr="00ED572F"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ED572F">
              <w:rPr>
                <w:b/>
                <w:bCs/>
              </w:rPr>
              <w:t>Bronchiectasis</w:t>
            </w:r>
          </w:p>
        </w:tc>
        <w:tc>
          <w:tcPr>
            <w:tcW w:w="1839" w:type="dxa"/>
            <w:gridSpan w:val="2"/>
          </w:tcPr>
          <w:p w14:paraId="22754B2E" w14:textId="77777777" w:rsidR="00ED572F" w:rsidRPr="00ED572F"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ED572F">
              <w:rPr>
                <w:b/>
                <w:bCs/>
              </w:rPr>
              <w:t>No Bronchiectasis</w:t>
            </w:r>
          </w:p>
        </w:tc>
        <w:tc>
          <w:tcPr>
            <w:tcW w:w="992" w:type="dxa"/>
            <w:gridSpan w:val="2"/>
          </w:tcPr>
          <w:p w14:paraId="08D1F157" w14:textId="77777777" w:rsidR="00ED572F" w:rsidRPr="00ED572F"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ED572F">
              <w:rPr>
                <w:b/>
                <w:bCs/>
              </w:rPr>
              <w:t>p value</w:t>
            </w:r>
          </w:p>
        </w:tc>
        <w:tc>
          <w:tcPr>
            <w:tcW w:w="1766" w:type="dxa"/>
            <w:gridSpan w:val="2"/>
          </w:tcPr>
          <w:p w14:paraId="792450F9" w14:textId="77777777" w:rsidR="00ED572F" w:rsidRPr="00ED572F" w:rsidRDefault="00ED572F" w:rsidP="00B41D06">
            <w:pPr>
              <w:pStyle w:val="TableText"/>
              <w:cnfStyle w:val="000000100000" w:firstRow="0" w:lastRow="0" w:firstColumn="0" w:lastColumn="0" w:oddVBand="0" w:evenVBand="0" w:oddHBand="1" w:evenHBand="0" w:firstRowFirstColumn="0" w:firstRowLastColumn="0" w:lastRowFirstColumn="0" w:lastRowLastColumn="0"/>
              <w:rPr>
                <w:b/>
                <w:bCs/>
              </w:rPr>
            </w:pPr>
            <w:r w:rsidRPr="00ED572F">
              <w:rPr>
                <w:b/>
                <w:bCs/>
              </w:rPr>
              <w:t>Bronchiectasis vs UK norms</w:t>
            </w:r>
          </w:p>
        </w:tc>
        <w:tc>
          <w:tcPr>
            <w:tcW w:w="1585" w:type="dxa"/>
          </w:tcPr>
          <w:p w14:paraId="01434D68" w14:textId="77777777" w:rsidR="00ED572F" w:rsidRPr="00ED572F"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ED572F">
              <w:rPr>
                <w:b/>
                <w:bCs/>
              </w:rPr>
              <w:t>Bronchiectasis vs CF patients</w:t>
            </w:r>
          </w:p>
        </w:tc>
      </w:tr>
      <w:tr w:rsidR="00ED572F" w:rsidRPr="00367D62" w14:paraId="32385857" w14:textId="77777777" w:rsidTr="00ED572F">
        <w:tc>
          <w:tcPr>
            <w:cnfStyle w:val="001000000000" w:firstRow="0" w:lastRow="0" w:firstColumn="1" w:lastColumn="0" w:oddVBand="0" w:evenVBand="0" w:oddHBand="0" w:evenHBand="0" w:firstRowFirstColumn="0" w:firstRowLastColumn="0" w:lastRowFirstColumn="0" w:lastRowLastColumn="0"/>
            <w:tcW w:w="1249" w:type="dxa"/>
          </w:tcPr>
          <w:p w14:paraId="4884A868" w14:textId="77777777" w:rsidR="00ED572F" w:rsidRPr="00367D62" w:rsidRDefault="00ED572F" w:rsidP="00B41D06">
            <w:pPr>
              <w:pStyle w:val="TableText"/>
            </w:pPr>
            <w:r w:rsidRPr="00367D62">
              <w:t>HADS-A Score</w:t>
            </w:r>
          </w:p>
        </w:tc>
        <w:tc>
          <w:tcPr>
            <w:tcW w:w="1585" w:type="dxa"/>
          </w:tcPr>
          <w:p w14:paraId="243D8213" w14:textId="77777777" w:rsidR="00ED572F" w:rsidRPr="00367D62"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t>6 (5, 10)</w:t>
            </w:r>
          </w:p>
        </w:tc>
        <w:tc>
          <w:tcPr>
            <w:tcW w:w="1839" w:type="dxa"/>
            <w:gridSpan w:val="2"/>
          </w:tcPr>
          <w:p w14:paraId="66B3DE6E" w14:textId="77777777" w:rsidR="00ED572F" w:rsidRPr="00367D62"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t>4 (1, 7)</w:t>
            </w:r>
          </w:p>
        </w:tc>
        <w:tc>
          <w:tcPr>
            <w:tcW w:w="992" w:type="dxa"/>
            <w:gridSpan w:val="2"/>
          </w:tcPr>
          <w:p w14:paraId="1D68FF66" w14:textId="77777777" w:rsidR="00ED572F" w:rsidRPr="00367D62"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t>0.079</w:t>
            </w:r>
          </w:p>
        </w:tc>
        <w:tc>
          <w:tcPr>
            <w:tcW w:w="1766" w:type="dxa"/>
            <w:gridSpan w:val="2"/>
          </w:tcPr>
          <w:p w14:paraId="601AB2EF" w14:textId="77777777" w:rsidR="00ED572F" w:rsidRPr="006124DD"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rPr>
                <w:b/>
                <w:bCs/>
                <w:i/>
                <w:iCs/>
              </w:rPr>
            </w:pPr>
            <w:r w:rsidRPr="006124DD">
              <w:rPr>
                <w:b/>
                <w:bCs/>
                <w:i/>
                <w:iCs/>
              </w:rPr>
              <w:t>0.024</w:t>
            </w:r>
          </w:p>
        </w:tc>
        <w:tc>
          <w:tcPr>
            <w:tcW w:w="1585" w:type="dxa"/>
          </w:tcPr>
          <w:p w14:paraId="7B4F7494" w14:textId="77777777" w:rsidR="00ED572F" w:rsidRPr="00367D62" w:rsidRDefault="00ED572F" w:rsidP="00B41D06">
            <w:pPr>
              <w:pStyle w:val="TableText"/>
              <w:jc w:val="center"/>
              <w:cnfStyle w:val="000000000000" w:firstRow="0" w:lastRow="0" w:firstColumn="0" w:lastColumn="0" w:oddVBand="0" w:evenVBand="0" w:oddHBand="0" w:evenHBand="0" w:firstRowFirstColumn="0" w:firstRowLastColumn="0" w:lastRowFirstColumn="0" w:lastRowLastColumn="0"/>
            </w:pPr>
            <w:r>
              <w:t>0.101</w:t>
            </w:r>
          </w:p>
        </w:tc>
      </w:tr>
      <w:tr w:rsidR="00ED572F" w:rsidRPr="00367D62" w14:paraId="7D5B297D" w14:textId="77777777" w:rsidTr="00ED5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dxa"/>
          </w:tcPr>
          <w:p w14:paraId="36A1BDC6" w14:textId="77777777" w:rsidR="00ED572F" w:rsidRPr="00367D62" w:rsidRDefault="00ED572F" w:rsidP="00B41D06">
            <w:pPr>
              <w:pStyle w:val="TableText"/>
            </w:pPr>
            <w:r w:rsidRPr="00367D62">
              <w:t>HADS-D Score</w:t>
            </w:r>
          </w:p>
        </w:tc>
        <w:tc>
          <w:tcPr>
            <w:tcW w:w="1585" w:type="dxa"/>
          </w:tcPr>
          <w:p w14:paraId="75FA294C" w14:textId="77777777" w:rsidR="00ED572F" w:rsidRPr="00367D62"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t>4.5 (2, 7)</w:t>
            </w:r>
          </w:p>
        </w:tc>
        <w:tc>
          <w:tcPr>
            <w:tcW w:w="1839" w:type="dxa"/>
            <w:gridSpan w:val="2"/>
          </w:tcPr>
          <w:p w14:paraId="190F36AF" w14:textId="77777777" w:rsidR="00ED572F" w:rsidRPr="00367D62"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t>0 (0, 2)</w:t>
            </w:r>
          </w:p>
        </w:tc>
        <w:tc>
          <w:tcPr>
            <w:tcW w:w="992" w:type="dxa"/>
            <w:gridSpan w:val="2"/>
          </w:tcPr>
          <w:p w14:paraId="77B1849A" w14:textId="77777777" w:rsidR="00ED572F" w:rsidRPr="008F4648"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rPr>
                <w:b/>
                <w:bCs/>
                <w:i/>
                <w:iCs/>
              </w:rPr>
            </w:pPr>
            <w:r w:rsidRPr="008F4648">
              <w:rPr>
                <w:b/>
                <w:bCs/>
                <w:i/>
                <w:iCs/>
              </w:rPr>
              <w:t>0.003</w:t>
            </w:r>
          </w:p>
        </w:tc>
        <w:tc>
          <w:tcPr>
            <w:tcW w:w="1766" w:type="dxa"/>
            <w:gridSpan w:val="2"/>
          </w:tcPr>
          <w:p w14:paraId="70390E84" w14:textId="77777777" w:rsidR="00ED572F" w:rsidRPr="00367D62"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t>0.066</w:t>
            </w:r>
          </w:p>
        </w:tc>
        <w:tc>
          <w:tcPr>
            <w:tcW w:w="1585" w:type="dxa"/>
          </w:tcPr>
          <w:p w14:paraId="57EEC07C" w14:textId="77777777" w:rsidR="00ED572F" w:rsidRPr="00367D62" w:rsidRDefault="00ED572F" w:rsidP="00B41D06">
            <w:pPr>
              <w:pStyle w:val="TableText"/>
              <w:jc w:val="center"/>
              <w:cnfStyle w:val="000000100000" w:firstRow="0" w:lastRow="0" w:firstColumn="0" w:lastColumn="0" w:oddVBand="0" w:evenVBand="0" w:oddHBand="1" w:evenHBand="0" w:firstRowFirstColumn="0" w:firstRowLastColumn="0" w:lastRowFirstColumn="0" w:lastRowLastColumn="0"/>
            </w:pPr>
            <w:r>
              <w:t>0.122</w:t>
            </w:r>
          </w:p>
        </w:tc>
      </w:tr>
    </w:tbl>
    <w:p w14:paraId="2D539573" w14:textId="77777777" w:rsidR="00ED572F" w:rsidRPr="00367D62" w:rsidRDefault="00ED572F" w:rsidP="0057637C">
      <w:pPr>
        <w:pStyle w:val="Heading3"/>
      </w:pPr>
      <w:r w:rsidRPr="00367D62">
        <w:lastRenderedPageBreak/>
        <w:t>Rosenberg Self Esteem Score (RSES)</w:t>
      </w:r>
    </w:p>
    <w:p w14:paraId="29B4F906" w14:textId="4FA90CF1" w:rsidR="00ED572F" w:rsidRPr="00367D62" w:rsidRDefault="00ED572F" w:rsidP="00ED572F">
      <w:r w:rsidRPr="00367D62">
        <w:t>A total of 32 participants (aged 12 and over), completed the RSES questionnaire (</w:t>
      </w:r>
      <w:r w:rsidR="00CF395B">
        <w:t>Supplemental table 2</w:t>
      </w:r>
      <w:r w:rsidRPr="00367D62">
        <w:t>).</w:t>
      </w:r>
      <w:r>
        <w:t xml:space="preserve">  </w:t>
      </w:r>
      <w:r w:rsidRPr="00367D62">
        <w:t>There was no association between RSES outcome and the presence of bronchiectasis.  Total RSES scores were significantly lower for UK XLA patients compared to UK norms and CF patients.</w:t>
      </w:r>
    </w:p>
    <w:p w14:paraId="52091DA4" w14:textId="77777777" w:rsidR="00ED572F" w:rsidRDefault="00ED572F" w:rsidP="00ED572F">
      <w:pPr>
        <w:pStyle w:val="Heading2"/>
        <w:ind w:left="576" w:hanging="576"/>
      </w:pPr>
      <w:r w:rsidRPr="00367D62">
        <w:t>Discussion</w:t>
      </w:r>
    </w:p>
    <w:p w14:paraId="42C3076D" w14:textId="38E342D4" w:rsidR="00ED572F" w:rsidRDefault="001F2FFF" w:rsidP="00ED572F">
      <w:r>
        <w:t>By</w:t>
      </w:r>
      <w:r w:rsidR="00ED572F">
        <w:t xml:space="preserve"> examining HRQoL in </w:t>
      </w:r>
      <w:r>
        <w:t xml:space="preserve">a large national cohort of </w:t>
      </w:r>
      <w:r w:rsidR="00ED572F">
        <w:t>XLA patients</w:t>
      </w:r>
      <w:r>
        <w:t xml:space="preserve"> these data are the first </w:t>
      </w:r>
      <w:r w:rsidR="00922F45">
        <w:t>to demonstrate</w:t>
      </w:r>
      <w:r w:rsidR="00ED572F">
        <w:t xml:space="preserve"> that the presence of lung disease is a major determining factor of HRQoL in</w:t>
      </w:r>
      <w:r>
        <w:t xml:space="preserve"> people living with</w:t>
      </w:r>
      <w:r w:rsidR="00ED572F">
        <w:t xml:space="preserve"> XLA.  Patients with bronchiectasis had significantly worse scores in a number of HRQoL domains compared to UK healthy norms and comparable scores to CF patients and, in some domains, significantly worse scores than </w:t>
      </w:r>
      <w:r>
        <w:t xml:space="preserve">in </w:t>
      </w:r>
      <w:r w:rsidR="00ED572F">
        <w:t>CF.</w:t>
      </w:r>
    </w:p>
    <w:p w14:paraId="4F00BB2F" w14:textId="099A2EBB" w:rsidR="00ED572F" w:rsidRDefault="00ED572F" w:rsidP="00ED572F">
      <w:r>
        <w:t>The</w:t>
      </w:r>
      <w:r w:rsidR="001F2FFF">
        <w:t>re are major</w:t>
      </w:r>
      <w:r>
        <w:t xml:space="preserve"> difference</w:t>
      </w:r>
      <w:r w:rsidR="001F2FFF">
        <w:t>s</w:t>
      </w:r>
      <w:r>
        <w:t xml:space="preserve"> in HRQoL between those with and without bronchiectasis.  </w:t>
      </w:r>
      <w:r w:rsidR="001F2FFF">
        <w:t xml:space="preserve">In </w:t>
      </w:r>
      <w:r>
        <w:t>the absence of bronchiectasis, HRQoL is largely comparable to UK health</w:t>
      </w:r>
      <w:r w:rsidR="0068652A">
        <w:t>y</w:t>
      </w:r>
      <w:r>
        <w:t xml:space="preserve"> norms.  The correlation between lung function and a number of HRQoL measures demonstrates that improving respiratory health or reducing the risk of bronchiectasis should be a major driver in clinicians attempts to improve the HRQoL of XLA patients.</w:t>
      </w:r>
    </w:p>
    <w:p w14:paraId="6A19EB10" w14:textId="4569F7FB" w:rsidR="00ED572F" w:rsidRDefault="001F2FFF" w:rsidP="00ED572F">
      <w:r>
        <w:t>We also</w:t>
      </w:r>
      <w:r w:rsidR="00ED572F">
        <w:t xml:space="preserve"> describe</w:t>
      </w:r>
      <w:r>
        <w:t>d</w:t>
      </w:r>
      <w:r w:rsidR="00ED572F">
        <w:t xml:space="preserve"> the psychological impact of XLA o</w:t>
      </w:r>
      <w:r w:rsidR="00691299">
        <w:t>n</w:t>
      </w:r>
      <w:r w:rsidR="00ED572F">
        <w:t xml:space="preserve"> QoL. Whilst screening scores for anxiety and depression were not significantly different than UK norms and CF patients, self-esteem scores were significantly lower.  Scores in the depression component of the HADS were significant</w:t>
      </w:r>
      <w:r w:rsidR="001848AC">
        <w:t>ly</w:t>
      </w:r>
      <w:r w:rsidR="00ED572F">
        <w:t xml:space="preserve"> lower in patients with bronchiectasis.</w:t>
      </w:r>
    </w:p>
    <w:p w14:paraId="7F5BC1B7" w14:textId="5EC80648" w:rsidR="00ED572F" w:rsidRDefault="00ED572F" w:rsidP="00ED572F">
      <w:r>
        <w:t xml:space="preserve">The results in this data </w:t>
      </w:r>
      <w:r w:rsidR="00691299" w:rsidRPr="00691299">
        <w:t>correspond</w:t>
      </w:r>
      <w:r>
        <w:t xml:space="preserve"> well with the recent large USA </w:t>
      </w:r>
      <w:r w:rsidR="001F2FFF">
        <w:t xml:space="preserve">study </w:t>
      </w:r>
      <w:r>
        <w:t xml:space="preserve">on XLA QoL </w:t>
      </w:r>
      <w:r>
        <w:fldChar w:fldCharType="begin"/>
      </w:r>
      <w:r w:rsidR="00D106AB">
        <w:instrText xml:space="preserve"> ADDIN ZOTERO_ITEM CSL_CITATION {"citationID":"zCP20UVK","properties":{"formattedCitation":"(36)","plainCitation":"(36)","noteIndex":0},"citationItems":[{"id":587,"uris":["http://zotero.org/users/12098505/items/2XNFPDGU"],"itemData":{"id":587,"type":"article-journal","abstract":"Purpose\nX-linked agammaglobulinemia (XLA) is a primary immunodeficiency (PID) caused by a defect in the gene encoding for Bruton tyrosine kinase (BTK). In the absence of a functional BTK, patients have low or absent circulating B cells and low or absent serum immunoglobulin. Despite gammaglobulin replacement and prompt use of antimicrobial agents, patients with XLA continue to experience infectious and non-infectious complications throughout their lifetime. The purpose of this study was to understand self-perceived health status of US-based patients with XLA, and examine the associations amongst clinical characteristics, treatment experience, and quality of life (QoL).\nMethods\nA 46 and 68 question survey, developed by the Immune Deficiency Foundation (IDF) and a Short Form-12item v2® (SF-12v2®) for adults and SF-10™ for children to assess QoL, were mailed by IDF to patients in 2017 and 2018. Those that self-identified as having XLA or males with agammaglobulinemia were selected for analysis. Mean physical and mental composite scores (PCS and MCS) from SF-12v2® and mean physical health component (PHS) and psychological health summary (PSS) from SF-10™ scores were compared to the US normative data.\nResults\nNinety-one patients completed the surveys: 58 (63.7%) adults and 33 (36.3%) children. For the combined surveys, the overall median age at time of the survey was 28.5 years (yrs); Inter-Quartile-Range (IQR) 13–49.5 yrs; the median age at diagnosis was 2 yrs (IQR = 0–4 yrs) and the median number of years with XLA diagnosis was 23 (IQR 10.75–40yrs). Amongst adult patients, physical scores were noted to be below the general adult population but did not reach statistical significance. In contrast, 2 or more chronic conditions impacted both physical and mental QoL (p &lt; .001) and hospitalization was associated with significantly decreased physical health QoL (p &lt; .001); three or more infections in the past 12 months exhibited impact on physical health although was not found to be statistically significant. Adult patients with public insurance fared worse in mental health domains compared to those with combined public and private or those with private alone (p = 0.001). Employment status did not impact QoL. None of these variables met statistical significance nor demonstrated impact within the pediatric population in either physical or mental domains of health.\nConclusion\nOur study provides further insight into what factors impact both physical and mental domains of health amongst patients with XLA. Early detection to prevent the development of associated morbidity, as well as vigilant care to prevent hospitalizations and infections, can limit the impact this disease may have on the overall well-being of XLA patients.","container-title":"Journal of Clinical Immunology","DOI":"10.1007/s10875-022-01222-8","ISSN":"02719142","issue":"4","language":"English","license":"© The Author(s), under exclusive licence to Springer Science+Business Media, LLC, part of Springer Nature 2022.","note":"number-of-pages: 811-818\npublisher-place: New York, Netherlands","page":"811-818","publisher":"Springer Nature B.V.","source":"ProQuest","title":"Health-Related Quality of Life in 91 Patients with X-Linked Agammaglobulinemia","volume":"42","author":[{"family":"Altman","given":"Katherine"},{"family":"Zhou","given":"Chuan"},{"family":"Hernandez-Trujillo","given":"Vivian"},{"family":"Scalchunes","given":"Christopher"},{"family":"Rawlings","given":"David J."},{"family":"Morena","given":"M. Teresa","non-dropping-particle":"de la"}],"issued":{"date-parts":[["2022",5]]}}}],"schema":"https://github.com/citation-style-language/schema/raw/master/csl-citation.json"} </w:instrText>
      </w:r>
      <w:r>
        <w:fldChar w:fldCharType="separate"/>
      </w:r>
      <w:r w:rsidR="00D106AB" w:rsidRPr="00D106AB">
        <w:rPr>
          <w:rFonts w:cs="Times New Roman"/>
          <w:sz w:val="24"/>
        </w:rPr>
        <w:t>(36)</w:t>
      </w:r>
      <w:r>
        <w:fldChar w:fldCharType="end"/>
      </w:r>
      <w:r>
        <w:t xml:space="preserve">.  Similar to </w:t>
      </w:r>
      <w:r w:rsidR="001F2FFF">
        <w:t>our data</w:t>
      </w:r>
      <w:r w:rsidR="00691299">
        <w:t>,</w:t>
      </w:r>
      <w:r>
        <w:t xml:space="preserve"> HRQoL for the overall adult USA cohort was not significantly lower than published norms, but increasing co-existing conditions </w:t>
      </w:r>
      <w:r w:rsidR="00845AFA">
        <w:t xml:space="preserve">did </w:t>
      </w:r>
      <w:r>
        <w:t xml:space="preserve">increase the number of domains that were significantly lower.  However, these </w:t>
      </w:r>
      <w:r w:rsidR="00691299">
        <w:t xml:space="preserve">measures </w:t>
      </w:r>
      <w:r>
        <w:t xml:space="preserve">did not specially examine aspects of respiratory health.  Similar to our </w:t>
      </w:r>
      <w:r w:rsidR="00691299">
        <w:t>study</w:t>
      </w:r>
      <w:r w:rsidR="00845AFA">
        <w:t>,</w:t>
      </w:r>
      <w:r w:rsidR="00691299">
        <w:t xml:space="preserve"> </w:t>
      </w:r>
      <w:r w:rsidR="001F2FFF">
        <w:t xml:space="preserve">the US team </w:t>
      </w:r>
      <w:r>
        <w:t>found no HRQoL difference in paediatric patients compared to norms.  A likely reason for this may be the absence of bronchiectasis</w:t>
      </w:r>
      <w:r w:rsidR="00691299">
        <w:t>,</w:t>
      </w:r>
      <w:r>
        <w:t xml:space="preserve"> which maybe a time</w:t>
      </w:r>
      <w:r w:rsidR="00691299">
        <w:t>-</w:t>
      </w:r>
      <w:r>
        <w:t xml:space="preserve">related risk and largely presenting in adulthood.  This somewhat differs from </w:t>
      </w:r>
      <w:r w:rsidR="0020451B">
        <w:t>data reported by</w:t>
      </w:r>
      <w:r>
        <w:t xml:space="preserve"> Soresina et al, who </w:t>
      </w:r>
      <w:r w:rsidR="00691299">
        <w:t>foun</w:t>
      </w:r>
      <w:r>
        <w:t xml:space="preserve">d </w:t>
      </w:r>
      <w:r w:rsidR="00691299">
        <w:t xml:space="preserve">that </w:t>
      </w:r>
      <w:r>
        <w:t>in 25 paediatric XLA patients, the PedsQL</w:t>
      </w:r>
      <w:r w:rsidR="000C0673">
        <w:t xml:space="preserve"> </w:t>
      </w:r>
      <w:r>
        <w:t>4.0 scores were lower than the background healthy populatio</w:t>
      </w:r>
      <w:r w:rsidRPr="00482EBB">
        <w:rPr>
          <w:rFonts w:cs="Times New Roman"/>
        </w:rPr>
        <w:t xml:space="preserve">n </w:t>
      </w:r>
      <w:r w:rsidRPr="00482EBB">
        <w:rPr>
          <w:rFonts w:cs="Times New Roman"/>
        </w:rPr>
        <w:fldChar w:fldCharType="begin"/>
      </w:r>
      <w:r w:rsidR="00B17661">
        <w:rPr>
          <w:rFonts w:cs="Times New Roman"/>
        </w:rPr>
        <w:instrText xml:space="preserve"> ADDIN ZOTERO_ITEM CSL_CITATION {"citationID":"5ADXdimL","properties":{"formattedCitation":"(23)","plainCitation":"(23)","noteIndex":0},"citationItems":[{"id":347,"uris":["http://zotero.org/users/12098505/items/TTNUEB9F"],"itemData":{"id":347,"type":"article-journal","abstract":"INTRODUCTION: The health-related quality of life in X-linked agammaglobulinemia was investigated in 25 children and adolescents patients through the Italian version of Pediatric Quality of Life Inventory 4.0 Generic Core Scale for patients aged less then 18 years, comparing child perception to that of the parents and the physician's evaluation. The data were compared with the ones of 80 healthy controls and the literature data of a group of patients with rheumatic diseases. DISCUSSION: The agammaglobulinemia subjects perceived a lower global quality of life than the healthy subjects, but significantly higher than the rheumatic diseases controls. The clinical relevance of health-related quality of life assessment in X-linked agammaglobulinemia pediatric patients is discussed.","container-title":"Journal of Clinical Immunology","DOI":"10.1007/s10875-008-9270-8","issue":"4","page":"501-507","title":"The quality of life of children and adolescents with X-linked agammaglobulinemia","volume":"29","author":[{"family":"Soresina","given":"Annarosa"},{"family":"Nacinovich","given":"Renata"},{"family":"Bomba","given":"Monica"},{"family":"Cassani","given":"Morena"},{"family":"Molinaro","given":"Anna"},{"family":"Sciotto","given":"Antonella"},{"family":"Martino","given":"Silvana"},{"family":"Cardinale","given":"Fabio"},{"family":"De Mattia","given":"Domenico"},{"family":"Putti","given":"Caterina"},{"family":"Dellepiane","given":"Rosa Maria"},{"family":"Felici","given":"Leonardo"},{"family":"Parrinello","given":"Giovanni"},{"family":"Neri","given":"Francesca"},{"family":"Plebani","given":"Alessandro"},{"family":"Pierani","given":"P."},{"family":"DeMattia","given":"D."},{"family":"Martire","given":"B."},{"family":"Armenio","given":"L."},{"family":"Cardinale","given":"F."},{"family":"Dammacco","given":"F."},{"family":"Ranieri","given":"G."},{"family":"Masi","given":"M."},{"family":"Miniaci","given":"a."},{"family":"Pession","given":"a."},{"family":"Rondelli","given":"R."},{"family":"Plebani","given":"a."},{"family":"Notarangelo","given":"L. D."},{"family":"Soresina","given":"a."},{"literal":"Cao"},{"family":"Cossu","given":"F."},{"family":"Del Giacco","given":"S."},{"family":"Manconi","given":"P."},{"family":"Evangelista","given":"I."},{"family":"Magro","given":"S."},{"family":"Morgione","given":"S."},{"family":"Strisciuglio","given":"P."},{"family":"Anastasio","given":"E."},{"family":"Schillirò","given":"G."},{"family":"Sciotto","given":"a."},{"family":"Paganelli","given":"R."},{"family":"Sticca","given":"M."},{"family":"Sperlì","given":"D."},{"family":"Carpino","given":"L."},{"family":"Bernini","given":"G."},{"family":"Azzari","given":"C."},{"family":"Maggi","given":"E."},{"family":"Romagnani","given":"S."},{"family":"Matucci","given":"a."},{"family":"Vultaggio","given":"a."},{"family":"Castagnola","given":"E."},{"family":"Gattorno","given":"M."},{"family":"Presta","given":"G."},{"family":"Civino","given":"a."},{"family":"Gambaretto","given":"G."},{"family":"Fasoli","given":"S."},{"family":"Salpietro","given":"C."},{"family":"Pietrogrande","given":"M. C."},{"family":"DellePiane","given":"R. M."},{"family":"Panisi","given":"C."},{"family":"Cambiaghi","given":"G."},{"family":"Pietrogrande","given":"M."},{"family":"Roncarolo","given":"M. G."},{"family":"Aiuti","given":"a."},{"family":"Masera","given":"G."},{"family":"Biondi","given":"a."},{"family":"Sala","given":"a."},{"family":"Pignata","given":"C."},{"family":"Poggi","given":"V."},{"family":"Menna","given":"G."},{"family":"Di Nardo","given":"R."},{"family":"D'Apuzzo","given":"a."},{"family":"Pelliccia","given":"a."},{"family":"Correra","given":"a."},{"family":"Marone","given":"G."},{"family":"Spadaro","given":"G."},{"family":"Carli","given":"M."},{"family":"Zanesco","given":"L."},{"family":"Basso","given":"G."},{"family":"Putti","given":"M. C."},{"family":"Semenzato","given":"G."},{"family":"Agostini","given":"C."},{"family":"Amato","given":"G. M."},{"family":"Aricò","given":"M."},{"family":"Trizzino","given":"a."},{"family":"Izzi","given":"G."},{"family":"Bertolini","given":"P."},{"family":"Locatelli","given":"F."},{"family":"Zecca","given":"M."},{"family":"Rondini","given":"G."},{"family":"Marseglia","given":"G. L."},{"family":"Maccario","given":"R."},{"family":"Bossi","given":"G."},{"family":"Felici","given":"L."},{"family":"Favre","given":"C."},{"family":"Consolini","given":"R."},{"family":"Vecchi","given":"V."},{"family":"Sacchini","given":"P."},{"family":"Rinaldi","given":"G."},{"family":"Ugazio","given":"a. G."},{"family":"Rossi","given":"P."},{"family":"Livadiotti","given":"S."},{"family":"Cancrini","given":"C."},{"family":"Finocchi","given":"a."},{"family":"Stabile","given":"a."},{"family":"Duse","given":"M."},{"family":"Iacobini","given":"M."},{"family":"Quinti","given":"I."},{"family":"Moschese","given":"V."},{"family":"Cecere","given":"F."},{"family":"Morgese","given":"G."},{"family":"Acquaviva","given":"a."},{"family":"De Zan","given":"G."},{"family":"Strafella","given":"S."},{"family":"Tamaro","given":"P."},{"family":"Rabusin","given":"M."},{"family":"Tovo","given":"P.","dropping-particle":"a."},{"family":"Martino","given":"S."},{"family":"Nespoli","given":"L."},{"family":"Marinoni","given":"M."},{"family":"Porcellini","given":"a."},{"family":"Cazzola","given":"G.","dropping-particle":"a."}],"issued":{"date-parts":[["2009"]]}}}],"schema":"https://github.com/citation-style-language/schema/raw/master/csl-citation.json"} </w:instrText>
      </w:r>
      <w:r w:rsidRPr="00482EBB">
        <w:rPr>
          <w:rFonts w:cs="Times New Roman"/>
        </w:rPr>
        <w:fldChar w:fldCharType="separate"/>
      </w:r>
      <w:r w:rsidR="006666AC" w:rsidRPr="0057637C">
        <w:rPr>
          <w:rFonts w:cs="Times New Roman"/>
        </w:rPr>
        <w:t>(23)</w:t>
      </w:r>
      <w:r w:rsidRPr="00482EBB">
        <w:rPr>
          <w:rFonts w:cs="Times New Roman"/>
        </w:rPr>
        <w:fldChar w:fldCharType="end"/>
      </w:r>
      <w:r w:rsidRPr="00482EBB">
        <w:rPr>
          <w:rFonts w:cs="Times New Roman"/>
        </w:rPr>
        <w:t>, although</w:t>
      </w:r>
      <w:r>
        <w:t xml:space="preserve"> better than comparative children with rheumatic disease.</w:t>
      </w:r>
    </w:p>
    <w:p w14:paraId="7E2381D0" w14:textId="54A6526D" w:rsidR="00ED572F" w:rsidRDefault="00B02CA6" w:rsidP="00ED572F">
      <w:r>
        <w:t xml:space="preserve">Data </w:t>
      </w:r>
      <w:r w:rsidR="00ED572F">
        <w:t xml:space="preserve">from </w:t>
      </w:r>
      <w:r w:rsidR="0020451B">
        <w:t>this cohort</w:t>
      </w:r>
      <w:r w:rsidR="00ED572F">
        <w:t xml:space="preserve"> examining clinical outcomes in XLA </w:t>
      </w:r>
      <w:r w:rsidR="006666AC">
        <w:fldChar w:fldCharType="begin"/>
      </w:r>
      <w:r w:rsidR="00D106AB">
        <w:instrText xml:space="preserve"> ADDIN ZOTERO_ITEM CSL_CITATION {"citationID":"e4lGJmx9","properties":{"formattedCitation":"(26)","plainCitation":"(26)","noteIndex":0},"citationItems":[{"id":508,"uris":["http://zotero.org/users/12098505/items/ZQ378IKU"],"itemData":{"id":508,"type":"article-journal","abstract":"BACKGROUND: X-linked agammaglobulinaemia (XLA), caused by mutations in BTK, is characterised by low or absent peripheral CD19 + B lymphocytes and agammaglobulinaemia. The mainstay of treatment consists of immunoglobulin replacement therapy (IgRT). As this cannot fully compensate for the immune defects in XLA, patients may therefore continue to be at risk of complications.\nOBJECTIVES: To describe the clinical outcomes of XLA patients in the United Kingdom and Hong Kong and evaluate current treatment strategies.\nMETHODS: Patients with a definitive diagnosis of XLA were included in this cross-sectional and retrospective analysis of clinical health outcomes. Data pertaining to diagnosis, infection incidence, IgG trough levels and lung function were collected and analysed.\nRESULTS: 99 patients with a median age of 29.02 years (IQR 12.83-37.41) and a total follow up of 1922 patient years, were included this study. The median age at diagnosis was 3.30 years (IQR 1.04-8.38) which decreased over time (p = 0.004). 40% of the cohort had radiological evidence of bronchiectasis. Risk of bronchiectasis was not significantly associated with clinical infection incidence (p = 0.880) or IgG trough levels (p = 0.407). Two patients demonstrated novel complications, namely persistent norovirus infection, leading to haemopoietic stem cell transplantation (HSCT).\nCONCLUSIONS: Despite modern therapy, most XLA patients continue to experience complications, most notably bronchiectasis, likely due to absence of IgA/M in current therapies, but lack of B lymphocytes may also lead to additional sequalae. These data strongly support the need for further research, particularly that of curative modalities including HSCT and gene therapy.","container-title":"Journal of Clinical Immunology","DOI":"10.1007/s10875-024-01829-z","ISSN":"1573-2592","issue":"1","journalAbbreviation":"J Clin Immunol","language":"eng","page":"40","PMID":"39541002","source":"PubMed","title":"Outcomes of X-Linked Agammaglobulinaemia Patients","volume":"45","author":[{"family":"Shillitoe","given":"Ben"},{"family":"Duque","given":"Jaime S. Rosa"},{"family":"Lai","given":"Sophie H. Y."},{"family":"Lau","given":"Tsun Ming"},{"family":"Chan","given":"Jeffery C. H."},{"family":"Bourne","given":"Helen"},{"family":"Stroud","given":"Catherine"},{"family":"Flood","given":"Terry"},{"family":"Buckland","given":"Matthew"},{"family":"Ip","given":"Winnie"},{"family":"Worth","given":"Austen"},{"family":"Hackett","given":"Scott"},{"family":"Herwadkar","given":"Archana"},{"family":"Coulter","given":"Tanya"},{"family":"Blaney","given":"Catherine"},{"family":"Jolles","given":"Stephen"},{"family":"Garcez","given":"Tomaz"},{"family":"Moya","given":"Eduardo"},{"family":"Faust","given":"Saul"},{"family":"Pearce","given":"Mark S."},{"family":"Lau","given":"Yu Lung"},{"family":"Gennery","given":"Andrew R."}],"issued":{"date-parts":[["2024",11,14]]}}}],"schema":"https://github.com/citation-style-language/schema/raw/master/csl-citation.json"} </w:instrText>
      </w:r>
      <w:r w:rsidR="006666AC">
        <w:fldChar w:fldCharType="separate"/>
      </w:r>
      <w:r w:rsidR="00D106AB" w:rsidRPr="00D106AB">
        <w:rPr>
          <w:rFonts w:cs="Times New Roman"/>
        </w:rPr>
        <w:t>(26)</w:t>
      </w:r>
      <w:r w:rsidR="006666AC">
        <w:fldChar w:fldCharType="end"/>
      </w:r>
      <w:r w:rsidR="00ED572F">
        <w:t xml:space="preserve"> demonstrate that rates of bronchiectasis remain high (40%), and </w:t>
      </w:r>
      <w:r>
        <w:t xml:space="preserve">are </w:t>
      </w:r>
      <w:r w:rsidR="00ED572F">
        <w:t>not affected by IgG trough levels, infection rates or age at diagnosis</w:t>
      </w:r>
      <w:r w:rsidR="00010E9B">
        <w:t xml:space="preserve"> of XLA</w:t>
      </w:r>
      <w:r w:rsidR="00ED572F">
        <w:t xml:space="preserve">.  Only increasing age was associated with an increase in prevalence of bronchiectasis.  These findings </w:t>
      </w:r>
      <w:r w:rsidR="00010E9B">
        <w:t>concur</w:t>
      </w:r>
      <w:r w:rsidR="00ED572F">
        <w:t xml:space="preserve"> with other </w:t>
      </w:r>
      <w:r w:rsidR="00010E9B">
        <w:t xml:space="preserve">studies </w:t>
      </w:r>
      <w:r w:rsidR="00ED572F">
        <w:t xml:space="preserve">on lung disease </w:t>
      </w:r>
      <w:r w:rsidR="001C2523">
        <w:t>i</w:t>
      </w:r>
      <w:r w:rsidR="00ED572F">
        <w:t xml:space="preserve">n XLA </w:t>
      </w:r>
      <w:r w:rsidR="00ED572F">
        <w:fldChar w:fldCharType="begin"/>
      </w:r>
      <w:r w:rsidR="00D106AB">
        <w:instrText xml:space="preserve"> ADDIN ZOTERO_ITEM CSL_CITATION {"citationID":"ujue1qoP","properties":{"formattedCitation":"(12,37)","plainCitation":"(12,37)","noteIndex":0},"citationItems":[{"id":391,"uris":["http://zotero.org/users/12098505/items/TUSDCDMD"],"itemData":{"id":391,"type":"article-journal","abstract":"A questionnaire-based retrospective clinical and immunological survey was conducted in 73 males with a definite diagnosis of X-linked agammaglobulinemia based on BTK sequence analysis. Forty-four were sporadic and 29 familial cases. At December 2000, the patients' ages ranged from 2 to 33 years; mean age at diagnosis and mean duration of follow-up were 3.5 and 10 years respectively. After the mid-1980s all but 2 were on intravenous immunoglobulin (IVIG) substitution therapy, with residual IgG &gt;500 mg/dl in 94% of the patients at the time of enrollment. Respiratory infections were the most frequent manifestation both prior to diagnosis and over follow-up. Chronic lung disease (CLD) was present in 24 patients, in 15 already at diagnosis and in 9 more by 2000. The cumulative risk to present at diagnosis with CLD increased from 0.17 to 0.40 and 0.78 when the diagnosis was made at the ages of 5, 10, and 15 years respectively. For the 9 patients who developed CLD during follow-up, the duration of follow-up, rather than age at diagnosis; previous administration of intramuscular immunoglobulin; and residual IgG levels had a significant effect on the development of CLD. Chronic sinusitis was present in 35 patients (48%), in 15 already at diagnosis and in 20 by 2000. Sistemic infections such as sepsis and meningitis/meningoencephalitis decreased over follow-up, probably due to optimal protection provided by high circulating IgG levels reached with IVIG.","container-title":"Clin Immunol","DOI":"10.1006/clim.2002.5241","ISSN":"1521-6616 (Print)\\n1521-6616 (Linking)","issue":"3","page":"221-230","title":"Clinical, immunological, and molecular analysis in a large cohort of patients with X-linked agammaglobulinemia: an Italian multicenter study","volume":"104","author":[{"family":"Plebani","given":"Alessandro"},{"family":"Soresina","given":"Annarosa"},{"family":"Rondelli","given":"Roberto"},{"family":"Amato","given":"Giorgio M"},{"family":"Azzari","given":"Chiara"},{"family":"Cardinale","given":"Fabio"},{"family":"Cazzola","given":"Gianantonio"},{"family":"Consolini","given":"Rita"},{"family":"De Mattia","given":"D"},{"family":"Dell'Erba","given":"G"},{"family":"Duse","given":"Marzia"},{"family":"Fiorini","given":"Maurilia"},{"family":"Martino","given":"Silvana"},{"family":"Martire","given":"Baldassarre"},{"family":"Masi","given":"Massimo"},{"family":"Monafo","given":"Virginia"},{"family":"Moschese","given":"Viviana"},{"family":"Notarangelo","given":"Luigi D"},{"family":"Orlandi","given":"Paola"},{"family":"Panei","given":"Pietro"},{"family":"Pession","given":"Andrea"},{"family":"Pietrogrande","given":"Maria C"},{"family":"Pignata","given":"Claudio"},{"family":"Quinti","given":"Isabella"},{"family":"Ragno","given":"Vanda"},{"family":"Rossi","given":"Paolo"},{"family":"Sciotto","given":"A"},{"family":"Stabile","given":"A"}],"issued":{"date-parts":[["2002"]]}}},{"id":1348,"uris":["http://zotero.org/users/12098505/items/GW3XCWG5"],"itemData":{"id":1348,"type":"article-journal","abstract":"X-linked agammaglobulinemia (XLA) is a primary immunodeficiency caused by mutations in the gene for Bruton tyrosine kinase (BTK) that result in the deficient development of B lymphocytes and hypogammaglobulinemia. Because the disorder is uncommon, no single institution has had sufficient numbers of patients to develop a comprehensive clinical picture of the disorder. Accordingly, a national registry of United States residents with XLA was established in 1999 to provide an updated clinical view of the disorder in a large cohort of patients. A total of 201 patients were registered by 66 physicians. The estimated birth rate for the 10-year period of 1988-1997 was 1/379,000. Infection was the most common initial clinical presentation (85%), followed by a positive family history (41%) and neutropenia (11%). Although the average age of diagnosis was younger in patients with a positive family history (mean, 2.59 yr) than in patients with a negative family history (mean, 5.37 yr) (p &lt; 0.001), only 34.5% of patients with a positive family history at the time of their birth were diagnosed before clinical symptoms developed-that is, based on family history alone. Seventy percent of patients had at least 1 episode of otitis, 62% at least 1 episode of pneumonia, 60% at least 1 episode of sinusitis, 23% at least 1 episode of chronic/recurrent diarrhea, 21% at least 1 episode of conjunctivitis, 18% at least 1 episode of pyoderma and/or cellulitis, 11% at least 1 episode of meningitis/encephalitis, 10% at least 1 episode of sepsis, 8% at least 1 episode of septic arthritis, 6% at least 1 episode of hepatitis, and 3% at least 1 episode of osteomyelitis. Fourteen of 201 (6.9%) patients were dead at the time they were entered in the Registry. However, in a prospective 4 /4-year follow-up of living patients, only 3/80 (3.75%) patients died. Causes of death included disseminated enterovirus infection (n = 6), pulmonary insufficiency (n = 5), adenovirus infection (n = 1), sepsis (n = 1), acquired immunodeficiency disease syndrome (AIDS) (n = 1), myocarditis (n = 1), hepatitis (n = 2), and stem cell transplantation (n = 1).","container-title":"Medicine","DOI":"10.1097/01.md.0000229482.27398.ad","ISSN":"0000229482","issue":"4","page":"193-202","title":"X-linked agammaglobulinemia: Report on a United States registry of 201 patients","volume":"85","author":[{"family":"Winkelstein","given":"Jerry A."},{"family":"Marino","given":"Mary C."},{"family":"Lederman","given":"Howard M."},{"family":"Jones","given":"Stacie M."},{"family":"Sullivan","given":"Kathleen"},{"family":"Burks","given":"A. Wesley"},{"family":"Conley","given":"Mary Ellen"},{"family":"Cunningham-Rundles","given":"Charlotte"},{"family":"Ochs","given":"Hans D."}],"issued":{"date-parts":[["2006",7]]}}}],"schema":"https://github.com/citation-style-language/schema/raw/master/csl-citation.json"} </w:instrText>
      </w:r>
      <w:r w:rsidR="00ED572F">
        <w:fldChar w:fldCharType="separate"/>
      </w:r>
      <w:r w:rsidR="00D106AB" w:rsidRPr="00D106AB">
        <w:rPr>
          <w:rFonts w:cs="Times New Roman"/>
        </w:rPr>
        <w:t>(12,37)</w:t>
      </w:r>
      <w:r w:rsidR="00ED572F">
        <w:fldChar w:fldCharType="end"/>
      </w:r>
      <w:r w:rsidR="00ED572F">
        <w:t xml:space="preserve">.  Whilst these data may be confounded by historical suboptimal care in older patients, they lend further </w:t>
      </w:r>
      <w:r w:rsidR="00ED572F">
        <w:lastRenderedPageBreak/>
        <w:t xml:space="preserve">evidence to concerns that, rates of bronchiectasis (and other complications) will remain significant due to the limitations </w:t>
      </w:r>
      <w:r w:rsidR="00145871">
        <w:t>of current IgRT therapy</w:t>
      </w:r>
      <w:r w:rsidR="00ED572F">
        <w:t xml:space="preserve">.  </w:t>
      </w:r>
      <w:r w:rsidR="00145871">
        <w:t>T</w:t>
      </w:r>
      <w:r w:rsidR="00ED572F">
        <w:t xml:space="preserve">he clinical burden of bronchiectasis and its subsequent impact on HRQoL will likely </w:t>
      </w:r>
      <w:r w:rsidR="00145871">
        <w:t xml:space="preserve">remain unchanged </w:t>
      </w:r>
      <w:r w:rsidR="00ED572F">
        <w:t xml:space="preserve">unless significant </w:t>
      </w:r>
      <w:r w:rsidR="00145871">
        <w:t xml:space="preserve">advances </w:t>
      </w:r>
      <w:r w:rsidR="00ED572F">
        <w:t xml:space="preserve">are made to </w:t>
      </w:r>
      <w:r w:rsidR="00145871">
        <w:t xml:space="preserve">XLA </w:t>
      </w:r>
      <w:r w:rsidR="00ED572F">
        <w:t xml:space="preserve">management.  </w:t>
      </w:r>
    </w:p>
    <w:p w14:paraId="5A93C54D" w14:textId="79090219" w:rsidR="009E2A48" w:rsidRDefault="007A2F36" w:rsidP="00ED572F">
      <w:r w:rsidRPr="007A2F36">
        <w:t>The role of prophylactic antibiotics, particularly macrolides like Azithromycin, is well-established in reducing exacerbation frequency in non-CF bronchiectasis</w:t>
      </w:r>
      <w:r w:rsidR="005308C8">
        <w:t xml:space="preserve"> </w:t>
      </w:r>
      <w:r w:rsidR="009E195C">
        <w:fldChar w:fldCharType="begin"/>
      </w:r>
      <w:r w:rsidR="00D106AB">
        <w:instrText xml:space="preserve"> ADDIN ZOTERO_ITEM CSL_CITATION {"citationID":"pexxcYJd","properties":{"formattedCitation":"(38)","plainCitation":"(38)","noteIndex":0},"citationItems":[{"id":1736,"uris":["http://zotero.org/users/12098505/items/V73959UP"],"itemData":{"id":1736,"type":"article-journal","container-title":"Thorax","DOI":"10.1136/thoraxjnl-2018-212463","ISSN":"1468-3296","issue":"Suppl 1","journalAbbreviation":"Thorax","language":"eng","page":"1-69","PMID":"30545985","source":"PubMed","title":"British Thoracic Society Guideline for bronchiectasis in adults","volume":"74","author":[{"family":"Hill","given":"Adam T."},{"family":"Sullivan","given":"Anita L."},{"family":"Chalmers","given":"James D."},{"family":"De Soyza","given":"Anthony"},{"family":"Elborn","given":"Stuart J."},{"family":"Floto","given":"Andres R."},{"family":"Grillo","given":"Lizzie"},{"family":"Gruffydd-Jones","given":"Kevin"},{"family":"Harvey","given":"Alex"},{"family":"Haworth","given":"Charles S."},{"family":"Hiscocks","given":"Edwin"},{"family":"Hurst","given":"John R."},{"family":"Johnson","given":"Christopher"},{"family":"Kelleher","given":"Peter W."},{"family":"Bedi","given":"Pallavi"},{"family":"Payne","given":"Karen"},{"family":"Saleh","given":"Hashem"},{"family":"Screaton","given":"Nicholas J."},{"family":"Smith","given":"Maeve"},{"family":"Tunney","given":"Michael"},{"family":"Whitters","given":"Deborah"},{"family":"Wilson","given":"Robert"},{"family":"Loebinger","given":"Michael R."}],"issued":{"date-parts":[["2019",1]]}}}],"schema":"https://github.com/citation-style-language/schema/raw/master/csl-citation.json"} </w:instrText>
      </w:r>
      <w:r w:rsidR="009E195C">
        <w:fldChar w:fldCharType="separate"/>
      </w:r>
      <w:r w:rsidR="00D106AB" w:rsidRPr="00D106AB">
        <w:rPr>
          <w:rFonts w:cs="Times New Roman"/>
        </w:rPr>
        <w:t>(38)</w:t>
      </w:r>
      <w:r w:rsidR="009E195C">
        <w:fldChar w:fldCharType="end"/>
      </w:r>
      <w:r w:rsidRPr="007A2F36">
        <w:t xml:space="preserve">. In our cohort, while Azithromycin was the predominant choice for prophylaxis, </w:t>
      </w:r>
      <w:r w:rsidR="00813690">
        <w:t>the</w:t>
      </w:r>
      <w:r w:rsidRPr="007A2F36">
        <w:t xml:space="preserve"> use</w:t>
      </w:r>
      <w:r w:rsidR="00813690">
        <w:t xml:space="preserve"> of prophylactic antibiotics</w:t>
      </w:r>
      <w:r w:rsidRPr="007A2F36">
        <w:t xml:space="preserve"> was not associated with a significant improvement in SGRQ total scores among patients with established lung disease. This lack of difference in HRQoL may reflect the 'real-world' clinical application of prophylaxis, where antibiotics are often initiated in patients with higher symptom burdens or more frequent flares. While these agents </w:t>
      </w:r>
      <w:r w:rsidR="00813690">
        <w:t>may be</w:t>
      </w:r>
      <w:r w:rsidRPr="007A2F36">
        <w:t xml:space="preserve"> effective at decreasing infection rates, their impact on the daily physical and psychosocial dimensions of HRQoL may be tempered by the underlying structural lung damage already present in 6</w:t>
      </w:r>
      <w:r w:rsidR="004104C1">
        <w:t>0</w:t>
      </w:r>
      <w:r w:rsidRPr="007A2F36">
        <w:t>% of the adult XLA population</w:t>
      </w:r>
      <w:r w:rsidR="009E195C">
        <w:t xml:space="preserve"> </w:t>
      </w:r>
      <w:r w:rsidR="009E195C">
        <w:fldChar w:fldCharType="begin"/>
      </w:r>
      <w:r w:rsidR="00D106AB">
        <w:instrText xml:space="preserve"> ADDIN ZOTERO_ITEM CSL_CITATION {"citationID":"IUwEVUjR","properties":{"formattedCitation":"(26,38)","plainCitation":"(26,38)","noteIndex":0},"citationItems":[{"id":508,"uris":["http://zotero.org/users/12098505/items/ZQ378IKU"],"itemData":{"id":508,"type":"article-journal","abstract":"BACKGROUND: X-linked agammaglobulinaemia (XLA), caused by mutations in BTK, is characterised by low or absent peripheral CD19 + B lymphocytes and agammaglobulinaemia. The mainstay of treatment consists of immunoglobulin replacement therapy (IgRT). As this cannot fully compensate for the immune defects in XLA, patients may therefore continue to be at risk of complications.\nOBJECTIVES: To describe the clinical outcomes of XLA patients in the United Kingdom and Hong Kong and evaluate current treatment strategies.\nMETHODS: Patients with a definitive diagnosis of XLA were included in this cross-sectional and retrospective analysis of clinical health outcomes. Data pertaining to diagnosis, infection incidence, IgG trough levels and lung function were collected and analysed.\nRESULTS: 99 patients with a median age of 29.02 years (IQR 12.83-37.41) and a total follow up of 1922 patient years, were included this study. The median age at diagnosis was 3.30 years (IQR 1.04-8.38) which decreased over time (p = 0.004). 40% of the cohort had radiological evidence of bronchiectasis. Risk of bronchiectasis was not significantly associated with clinical infection incidence (p = 0.880) or IgG trough levels (p = 0.407). Two patients demonstrated novel complications, namely persistent norovirus infection, leading to haemopoietic stem cell transplantation (HSCT).\nCONCLUSIONS: Despite modern therapy, most XLA patients continue to experience complications, most notably bronchiectasis, likely due to absence of IgA/M in current therapies, but lack of B lymphocytes may also lead to additional sequalae. These data strongly support the need for further research, particularly that of curative modalities including HSCT and gene therapy.","container-title":"Journal of Clinical Immunology","DOI":"10.1007/s10875-024-01829-z","ISSN":"1573-2592","issue":"1","journalAbbreviation":"J Clin Immunol","language":"eng","page":"40","PMID":"39541002","source":"PubMed","title":"Outcomes of X-Linked Agammaglobulinaemia Patients","volume":"45","author":[{"family":"Shillitoe","given":"Ben"},{"family":"Duque","given":"Jaime S. Rosa"},{"family":"Lai","given":"Sophie H. Y."},{"family":"Lau","given":"Tsun Ming"},{"family":"Chan","given":"Jeffery C. H."},{"family":"Bourne","given":"Helen"},{"family":"Stroud","given":"Catherine"},{"family":"Flood","given":"Terry"},{"family":"Buckland","given":"Matthew"},{"family":"Ip","given":"Winnie"},{"family":"Worth","given":"Austen"},{"family":"Hackett","given":"Scott"},{"family":"Herwadkar","given":"Archana"},{"family":"Coulter","given":"Tanya"},{"family":"Blaney","given":"Catherine"},{"family":"Jolles","given":"Stephen"},{"family":"Garcez","given":"Tomaz"},{"family":"Moya","given":"Eduardo"},{"family":"Faust","given":"Saul"},{"family":"Pearce","given":"Mark S."},{"family":"Lau","given":"Yu Lung"},{"family":"Gennery","given":"Andrew R."}],"issued":{"date-parts":[["2024",11,14]]}}},{"id":1736,"uris":["http://zotero.org/users/12098505/items/V73959UP"],"itemData":{"id":1736,"type":"article-journal","container-title":"Thorax","DOI":"10.1136/thoraxjnl-2018-212463","ISSN":"1468-3296","issue":"Suppl 1","journalAbbreviation":"Thorax","language":"eng","page":"1-69","PMID":"30545985","source":"PubMed","title":"British Thoracic Society Guideline for bronchiectasis in adults","volume":"74","author":[{"family":"Hill","given":"Adam T."},{"family":"Sullivan","given":"Anita L."},{"family":"Chalmers","given":"James D."},{"family":"De Soyza","given":"Anthony"},{"family":"Elborn","given":"Stuart J."},{"family":"Floto","given":"Andres R."},{"family":"Grillo","given":"Lizzie"},{"family":"Gruffydd-Jones","given":"Kevin"},{"family":"Harvey","given":"Alex"},{"family":"Haworth","given":"Charles S."},{"family":"Hiscocks","given":"Edwin"},{"family":"Hurst","given":"John R."},{"family":"Johnson","given":"Christopher"},{"family":"Kelleher","given":"Peter W."},{"family":"Bedi","given":"Pallavi"},{"family":"Payne","given":"Karen"},{"family":"Saleh","given":"Hashem"},{"family":"Screaton","given":"Nicholas J."},{"family":"Smith","given":"Maeve"},{"family":"Tunney","given":"Michael"},{"family":"Whitters","given":"Deborah"},{"family":"Wilson","given":"Robert"},{"family":"Loebinger","given":"Michael R."}],"issued":{"date-parts":[["2019",1]]}}}],"schema":"https://github.com/citation-style-language/schema/raw/master/csl-citation.json"} </w:instrText>
      </w:r>
      <w:r w:rsidR="009E195C">
        <w:fldChar w:fldCharType="separate"/>
      </w:r>
      <w:r w:rsidR="00D106AB" w:rsidRPr="00D106AB">
        <w:rPr>
          <w:rFonts w:cs="Times New Roman"/>
        </w:rPr>
        <w:t>(26,38)</w:t>
      </w:r>
      <w:r w:rsidR="009E195C">
        <w:fldChar w:fldCharType="end"/>
      </w:r>
      <w:r w:rsidRPr="007A2F36">
        <w:t>.</w:t>
      </w:r>
    </w:p>
    <w:p w14:paraId="3337FDFA" w14:textId="64346371" w:rsidR="00ED572F" w:rsidRDefault="00ED572F" w:rsidP="00ED572F">
      <w:r>
        <w:t>These data also show that, whilst the majority of XLA patients (7</w:t>
      </w:r>
      <w:r w:rsidR="002D5D86">
        <w:t>0</w:t>
      </w:r>
      <w:r>
        <w:t xml:space="preserve">%) are on home IgRT, there are no significant differences in HRQoL in those receiving home versus hospital IgRT. </w:t>
      </w:r>
      <w:r w:rsidR="00303BB7">
        <w:t xml:space="preserve"> </w:t>
      </w:r>
      <w:r w:rsidR="00303BB7" w:rsidRPr="00303BB7">
        <w:t xml:space="preserve">While the convenience of home-based SC therapy is often preferred by patients, our data </w:t>
      </w:r>
      <w:r w:rsidR="0096123E">
        <w:t xml:space="preserve">also </w:t>
      </w:r>
      <w:r w:rsidR="00303BB7" w:rsidRPr="00303BB7">
        <w:t>demonstrate that the route of administration (IV vs SC) does not significantly influence physical or mental HRQoL scores. This suggests that the overall burden of XLA and its clinical complications, rather than the mode of immunoglobulin delivery, remains the primary driver of patient well-being.</w:t>
      </w:r>
      <w:r>
        <w:t xml:space="preserve"> The decision to offer home or hospital IgRT is therefore likely to be a personalised decision and may change over time depending on personal circumstances.  The ability to remain flexible </w:t>
      </w:r>
      <w:r w:rsidR="001C2523">
        <w:t>in regard to</w:t>
      </w:r>
      <w:r>
        <w:t xml:space="preserve"> IgRT services must be maintained by clinical services to able to offer patients the most appropriate IgRT route and service for them at that time.</w:t>
      </w:r>
      <w:r w:rsidR="001C2523">
        <w:t xml:space="preserve">  Efforts by national groups to ensure secure and ready supply of IgRT to patients with IEI must remain a priority </w:t>
      </w:r>
      <w:r w:rsidR="001C2523">
        <w:fldChar w:fldCharType="begin"/>
      </w:r>
      <w:r w:rsidR="00D106AB">
        <w:instrText xml:space="preserve"> ADDIN ZOTERO_ITEM CSL_CITATION {"citationID":"yZyh9Qbi","properties":{"formattedCitation":"(39)","plainCitation":"(39)","noteIndex":0},"citationItems":[{"id":1257,"uris":["http://zotero.org/users/12098505/items/2FUYXERZ"],"itemData":{"id":1257,"type":"article-journal","abstract":"Supply of immunoglobulin in the UK faces pressures due to increasing demand, cost and variable supply. This paper describes immunoglobulin replacement therapy (IGRT) in primary immunodeficiency (PID) and secondary immunodeficiency (SID) to assist in the ongoing planning of UK immunoglobulin provision. A retrospective analysis of the National Immunoglobulin Database and the UKPID registry was carried out. In total, 3,222 patients are registered as receiving IGRT for immunodeficiencies. Predominately antibody disorders made up the largest diagnostic category (61% of patients). The total cost of IGRT for immunodeficiency for 2015/16 was £40,673,350; an average annual cost of £1,099,254 per centre and £12,124 per PID patient. SCIg accounted for 43.8% and 50.1% of IGRT, with home therapy accounting for 42.7% and 57.5% of place of therapy in the National Immunoglobulin Database and UKPID registry respectively. In 2015/16 use of immunoglobulin in SID increased by 24% over the previous financial year. The overall trends of increasing demand in immunology are mirrored in other specialties, most notably neurology and haematology. These data are the first national overview of IGRT for immunodeficiencies, providing a valuable resource for clinicians and policy makers in the ongoing management of UK immunoglobulin supply.","container-title":"Clinical Medicine","DOI":"10.7861/clinmedicine.18-5-364","issue":"5","page":"364-370","title":"Immunoglobulin use in immune deficiency in the UK: a report of the UKPID and National Immunoglobulin Databases","volume":"18","author":[{"family":"Shillitoe","given":"Ben"},{"family":"Hollingsworth","given":"Rob"},{"family":"Foster","given":"Mark"},{"family":"Garcez","given":"Tomaz"},{"family":"Guzman","given":"David"},{"family":"Edgar","given":"J David"},{"family":"Buckland","given":"Matthew"}],"issued":{"date-parts":[["2018",10]]}}}],"schema":"https://github.com/citation-style-language/schema/raw/master/csl-citation.json"} </w:instrText>
      </w:r>
      <w:r w:rsidR="001C2523">
        <w:fldChar w:fldCharType="separate"/>
      </w:r>
      <w:r w:rsidR="00D106AB" w:rsidRPr="00D106AB">
        <w:rPr>
          <w:rFonts w:cs="Times New Roman"/>
        </w:rPr>
        <w:t>(39)</w:t>
      </w:r>
      <w:r w:rsidR="001C2523">
        <w:fldChar w:fldCharType="end"/>
      </w:r>
      <w:r w:rsidR="001C2523">
        <w:t xml:space="preserve">. </w:t>
      </w:r>
    </w:p>
    <w:p w14:paraId="06172B94" w14:textId="3EFC6937" w:rsidR="00ED572F" w:rsidRDefault="00ED572F" w:rsidP="00ED572F">
      <w:r>
        <w:t>C</w:t>
      </w:r>
      <w:r w:rsidR="00226DF2">
        <w:t>ystic fibrosis</w:t>
      </w:r>
      <w:r>
        <w:t xml:space="preserve"> was chosen as a comparator group, not only due its similarities in long term evolving lung disease but also </w:t>
      </w:r>
      <w:r w:rsidR="00145871">
        <w:t xml:space="preserve">because </w:t>
      </w:r>
      <w:r>
        <w:t>CF outcomes have benefited greatly from significant investment and progress into research and therapies, namely that of newborn screening</w:t>
      </w:r>
      <w:r w:rsidR="00DF1DBB">
        <w:t>, CFTR modulators</w:t>
      </w:r>
      <w:r>
        <w:t xml:space="preserve"> and gene therapy </w:t>
      </w:r>
      <w:r>
        <w:fldChar w:fldCharType="begin"/>
      </w:r>
      <w:r w:rsidR="00D106AB">
        <w:instrText xml:space="preserve"> ADDIN ZOTERO_ITEM CSL_CITATION {"citationID":"FomJXE4u","properties":{"formattedCitation":"(40,41)","plainCitation":"(40,41)","noteIndex":0},"citationItems":[{"id":577,"uris":["http://zotero.org/users/12098505/items/DJ79RASE"],"itemData":{"id":577,"type":"article-journal","abstract":"Serum-immunoreactive-trypsin (I.R.T.) was measured in children with cystic fibrosis (C.F.) and a variety of controls. In the first few months of life all C.F. children had a raised serum-I.R.T. A dried blood-spot assay for I.R.T. was established and has potential as a screening test for C.F. in the newborn.","container-title":"Lancet (London, England)","DOI":"10.1016/s0140-6736(79)90825-0","ISSN":"0140-6736","issue":"8114","journalAbbreviation":"Lancet","language":"eng","page":"472-474","PMID":"85057","source":"PubMed","title":"Dried-blood spot screening for cystic fibrosis in the newborn","volume":"1","author":[{"family":"Crossley","given":"J. R."},{"family":"Elliott","given":"R. B."},{"family":"Smith","given":"P. A."}],"issued":{"date-parts":[["1979",3,3]]}}},{"id":576,"uris":["http://zotero.org/users/12098505/items/T4RUR4TN"],"itemData":{"id":576,"type":"article-journal","abstract":"We have administered a recombinant adenovirus vector (AdCFTR) containing the normal human CFTR cDNA to the nasal and bronchial epithelium of four individuals with cystic fibrosis (CF). We show that this vector can express the CFTR cDNA in the CF respiratory epithelium in vivo. With doses up to 2 x 10(9) pfu, there was no recombination/complementation or shedding of the vector or rise of neutralizing antibody titres. At 2 x 10(9) pfu, a transient systemic and pulmonary syndrome was observed, possibly mediated by interleukin-6. Follow-up at 6-12 months demonstrated no long term adverse effects. Thus, it is feasible to use an adenovirus vector to transfer and express the CFTR cDNA in the respiratory epithelium of individuals with CF. Correction of the CF phenotype of the airway epithelium might be achieved with this strategy.","container-title":"Nature Genetics","DOI":"10.1038/ng0994-42","ISSN":"1061-4036","issue":"1","journalAbbreviation":"Nat Genet","language":"eng","page":"42-51","PMID":"7527271","source":"PubMed","title":"Administration of an adenovirus containing the human CFTR cDNA to the respiratory tract of individuals with cystic fibrosis","volume":"8","author":[{"family":"Crystal","given":"R. G."},{"family":"McElvaney","given":"N. G."},{"family":"Rosenfeld","given":"M. A."},{"family":"Chu","given":"C. S."},{"family":"Mastrangeli","given":"A."},{"family":"Hay","given":"J. G."},{"family":"Brody","given":"S. L."},{"family":"Jaffe","given":"H. A."},{"family":"Eissa","given":"N. T."},{"family":"Danel","given":"C."}],"issued":{"date-parts":[["1994",9]]}}}],"schema":"https://github.com/citation-style-language/schema/raw/master/csl-citation.json"} </w:instrText>
      </w:r>
      <w:r>
        <w:fldChar w:fldCharType="separate"/>
      </w:r>
      <w:r w:rsidR="00D106AB" w:rsidRPr="00D106AB">
        <w:rPr>
          <w:rFonts w:cs="Times New Roman"/>
        </w:rPr>
        <w:t>(40,41)</w:t>
      </w:r>
      <w:r>
        <w:fldChar w:fldCharType="end"/>
      </w:r>
      <w:r>
        <w:t xml:space="preserve">.  Although the long-term outcomes are yet to fully realised, it is possible that CF patients born today will have a better </w:t>
      </w:r>
      <w:r w:rsidR="001C2523">
        <w:t>HRQoL</w:t>
      </w:r>
      <w:r>
        <w:t xml:space="preserve"> than XLA patients born today.  </w:t>
      </w:r>
      <w:r w:rsidR="001C2523">
        <w:t>It should be noted t</w:t>
      </w:r>
      <w:r>
        <w:t xml:space="preserve">he CF </w:t>
      </w:r>
      <w:r w:rsidR="001C2523">
        <w:t>HRQoL</w:t>
      </w:r>
      <w:r>
        <w:t xml:space="preserve"> comparator data used in this analysis</w:t>
      </w:r>
      <w:r w:rsidR="001C2523">
        <w:t xml:space="preserve"> (which is, at best, comparable to XLA patients and in some areas better) </w:t>
      </w:r>
      <w:r>
        <w:t xml:space="preserve">is taken </w:t>
      </w:r>
      <w:r w:rsidR="001C2523">
        <w:t>from</w:t>
      </w:r>
      <w:r>
        <w:t xml:space="preserve"> before either newborn screening or gene therapy entered routine clinical practice.</w:t>
      </w:r>
    </w:p>
    <w:p w14:paraId="387B5A12" w14:textId="1CC46DE7" w:rsidR="007D2057" w:rsidRDefault="007D2057" w:rsidP="00ED572F">
      <w:r w:rsidRPr="007D2057">
        <w:t xml:space="preserve">While our results identify bronchiectasis as a primary determinant of HRQoL, we acknowledge that less frequent complications, such as GI disease and deafness, can be significantly debilitating for individual patients. Although the prevalence of these complications in our cohort was too low to </w:t>
      </w:r>
      <w:r w:rsidRPr="007D2057">
        <w:lastRenderedPageBreak/>
        <w:t>ascertain a statistically significant impact on aggregate QoL scores, their presence underscores the complex, multi-system management required for XLA beyond immunoglobulin replacement therap</w:t>
      </w:r>
      <w:r>
        <w:t>y.</w:t>
      </w:r>
    </w:p>
    <w:p w14:paraId="64D1FC6F" w14:textId="11FA4BB4" w:rsidR="001C2523" w:rsidRDefault="001C2523" w:rsidP="00ED572F">
      <w:r>
        <w:t>These data, potentially have implications for other primary antibody deficienc</w:t>
      </w:r>
      <w:r w:rsidR="00CB1EA7">
        <w:t>ies</w:t>
      </w:r>
      <w:r>
        <w:t xml:space="preserve"> (PAD) where the mainstay of treatment is IgRT rather </w:t>
      </w:r>
      <w:r w:rsidR="00CB1EA7">
        <w:t xml:space="preserve">than </w:t>
      </w:r>
      <w:r>
        <w:t>cure.  It is possible that for these cohorts the limitations of IgRT and lack of cure may also result in high rates of complications such as bronchiectasis.  HRQoL from PAD cohorts contain</w:t>
      </w:r>
      <w:r w:rsidR="00CB1EA7">
        <w:t>ing</w:t>
      </w:r>
      <w:r>
        <w:t xml:space="preserve"> multiple individual IEIs</w:t>
      </w:r>
      <w:r w:rsidR="00CB1EA7">
        <w:t xml:space="preserve"> do consistently</w:t>
      </w:r>
      <w:r>
        <w:t xml:space="preserve"> demonstrate lower HRQoL in both paediatric and adult cohorts </w:t>
      </w:r>
      <w:r w:rsidR="00CB1EA7">
        <w:fldChar w:fldCharType="begin"/>
      </w:r>
      <w:r w:rsidR="00D106AB">
        <w:instrText xml:space="preserve"> ADDIN ZOTERO_ITEM CSL_CITATION {"citationID":"IgTG5g9F","properties":{"formattedCitation":"(24,42,43)","plainCitation":"(24,42,43)","noteIndex":0},"citationItems":[{"id":505,"uris":["http://zotero.org/users/12098505/items/VTLFI9VQ"],"itemData":{"id":505,"type":"article-journal","container-title":"Journal of Clinical Immunology","DOI":"10.1007/s10875-014-0072-x","issue":"7","page":"844-852","title":"Quality of Life in Children with Primary Antibody Deficiency","volume":"34","author":[{"family":"Titman","given":"P."},{"family":"Allwood","given":"Z."},{"family":"Gilmour","given":"C."},{"family":"Malcolmson","given":"C."},{"family":"Duran-Persson","given":"C."},{"family":"Cale","given":"C."},{"family":"Davies","given":"G."},{"family":"Gaspar","given":"H."},{"family":"Jones","given":"a."}],"issued":{"date-parts":[["2014"]]}}},{"id":574,"uris":["http://zotero.org/users/12098505/items/RBRF4R2P"],"itemData":{"id":574,"type":"article-journal","abstract":"AIM: To evaluate health-related quality of life, mental health and treatment-related stress responses in children with primary antibody deficiency and both their parents.\nMETHODS: Children and their parents completed the standardised questionnaires Pediatric Quality of life Inventory, Strength and Difficulties Questionnaire and Impact of Event Scale. Parents also completed standardised questionnaires regarding their own mental health and quality of life. The results were compared to those of healthy children, kidney transplanted children and children in remission from acute lymphoblastic leukaemia.\nRESULTS: Children with primary antibody deficiency reported a poorer health-related quality of life compared to healthy children and children in remission from acute lymphoblastic leukaemia. They reported poorer mental health compared with healthy children. Mothers of children with primary antibody deficiency reported poorer mental health compared to mothers of healthy children but comparable to mothers of chronically ill children. Parents reported a similar quality of life as the general Norwegian population. Treatment with subcutaneous immunoglobulin infusions at home is generally well tolerated, but some report severe treatment-related stress.\nCONCLUSION: Primary antibody deficiency has a significant impact on quality of life and mental health of affected children. Patients and parents with severe treatment-related stress should be identified and helped.","container-title":"Acta Paediatrica (Oslo, Norway: 1992)","DOI":"10.1111/apa.15752","ISSN":"1651-2227","issue":"5","journalAbbreviation":"Acta Paediatr","language":"eng","page":"1645-1652","PMID":"33420742","source":"PubMed","title":"Primary antibody deficiency: The impact on the quality of life and mental health of affected children and their parents","title-short":"Primary antibody deficiency","volume":"110","author":[{"family":"Berg","given":"Annika Klungland"},{"family":"Diseth","given":"Trond H."},{"family":"Abrahamsen","given":"Tore Gunnar"},{"family":"Halvorsen","given":"Kathleen"},{"family":"Reinfjell","given":"Trude"},{"family":"Erichsen","given":"Hans Christian"}],"issued":{"date-parts":[["2021",5]]}}},{"id":1387,"uris":["http://zotero.org/users/12098505/items/SUCCNEI4"],"itemData":{"id":1387,"type":"article-journal","abstract":"BACKGROUND: Primary immunodeficiency diseases are a group of disorders that result from a variety of defects of the immune system. Primary antibody deficiencies (PADs) are the most common forms of these disorders. Occurrence of recurrent infections, autoimmune diseases, cancers, and lymphoproliferative disorders is higher in PAD patients. Chronicity of these diseases, delayed diagnosis, inadequate treatment, and treatment side effects may affect the quality of life (QoL) of PAD patients. Evaluating QoL is important for patient care, understanding the burden of these diseases, and finding the patients' major health problems. We investigated the QoL in a group of PAD patients undergoing regular follow-up and treatment at the Children's Medical Center Hospital in Tehran, Iran. METHODS: Seventy patients with a diagnosis of PAD in two age groups (younger and older than 18 years) were included. QoL was measured using PedsQL and SF-36 questionnaires. Correlation of demographic, clinical, and immunological parameters with QoL scores was assessed and patients' scores were compared with the normal population, using nonparametric tests of SPSS software. RESULTS: Patients expressed significantly reduced scores in some mental and physical components. Patients with longer follow-up periods had higher scores in mental components but physical component scores were still low. There was no significant correlation between sex, age, and disease types with scores. CONCLUSIONS: PAD patients had significantly lower scores in mental and physical components compared to normal population. By early diagnosis and long-term follow-up periods, we may be able to prevent complications and help patients to have a better QoL.","container-title":"Immunological Investigations","DOI":"10.1080/08820139.2016.1258710","issue":"4","page":"329-340","publisher":"Taylor &amp; Francis","title":"Measurement of Health-Related Quality of Life in Primary Antibody-Deficient Patients","volume":"46","author":[{"family":"Ataeinia","given":"Bahar"},{"family":"Montazeri","given":"Ali"},{"family":"Tavakol","given":"Marzieh"},{"family":"Azizi","given":"Gholamreza"},{"family":"Kiaee","given":"Fatemeh"},{"family":"Tavakolinia","given":"Naiimeh"},{"family":"Negahdari","given":"Babak"},{"family":"Mohammadi","given":"Javad"},{"family":"Abolhassani","given":"Hassan"},{"family":"Rezaei","given":"Nima"},{"family":"Aghamohammadi","given":"Asghar"}],"issued":{"date-parts":[["2017"]]}}}],"schema":"https://github.com/citation-style-language/schema/raw/master/csl-citation.json"} </w:instrText>
      </w:r>
      <w:r w:rsidR="00CB1EA7">
        <w:fldChar w:fldCharType="separate"/>
      </w:r>
      <w:r w:rsidR="00D106AB" w:rsidRPr="00D106AB">
        <w:rPr>
          <w:rFonts w:cs="Times New Roman"/>
        </w:rPr>
        <w:t>(24,42,43)</w:t>
      </w:r>
      <w:r w:rsidR="00CB1EA7">
        <w:fldChar w:fldCharType="end"/>
      </w:r>
      <w:r>
        <w:t>.</w:t>
      </w:r>
    </w:p>
    <w:p w14:paraId="6857BA7A" w14:textId="08DC8D65" w:rsidR="0054652D" w:rsidRDefault="00010E9B" w:rsidP="00ED572F">
      <w:r>
        <w:t xml:space="preserve">Our </w:t>
      </w:r>
      <w:r w:rsidR="00ED572F">
        <w:t xml:space="preserve">study has several limitations.   Although it is one of the largest </w:t>
      </w:r>
      <w:r>
        <w:t xml:space="preserve">to </w:t>
      </w:r>
      <w:r w:rsidR="00ED572F">
        <w:t>specifically examin</w:t>
      </w:r>
      <w:r>
        <w:t>e</w:t>
      </w:r>
      <w:r w:rsidR="00ED572F">
        <w:t xml:space="preserve"> XLA patients, the study size is still small</w:t>
      </w:r>
      <w:r w:rsidR="002E2DE2">
        <w:t xml:space="preserve"> and </w:t>
      </w:r>
      <w:r w:rsidR="002E2DE2" w:rsidRPr="002E2DE2">
        <w:t>the cohort of 6</w:t>
      </w:r>
      <w:r w:rsidR="002D5D86">
        <w:t>7</w:t>
      </w:r>
      <w:r w:rsidR="002E2DE2" w:rsidRPr="002E2DE2">
        <w:t xml:space="preserve"> participants represents a partial (approximately one-third) representation of the estimated 200 XLA patients living in the UK</w:t>
      </w:r>
      <w:r w:rsidR="009E195C">
        <w:t xml:space="preserve"> </w:t>
      </w:r>
      <w:r w:rsidR="009E195C">
        <w:fldChar w:fldCharType="begin"/>
      </w:r>
      <w:r w:rsidR="00D106AB">
        <w:instrText xml:space="preserve"> ADDIN ZOTERO_ITEM CSL_CITATION {"citationID":"T4fEqg4h","properties":{"formattedCitation":"(25)","plainCitation":"(25)","noteIndex":0},"citationItems":[{"id":579,"uris":["http://zotero.org/users/12098505/items/JBPNG5G4"],"itemData":{"id":579,"type":"article-journal","abstract":"This is the second report of the United Kingdom Primary Immunodeficiency (UKPID) registry. The registry will be a decade old in 2018 and, as of August 2017, had recruited 4758 patients encompassing 97% of immunology centres within the United Kingdom. This represents a doubling of recruitment into the registry since we reported on 2229 patients included in our first report of 2013. Minimum PID prevalence in the United Kingdom is currently 5·90/100 000 and an average incidence of PID between 1980 and 2000 of 7·6 cases per 100 000 UK live births. Data are presented on the frequency of diseases recorded, disease prevalence, diagnostic delay and treatment modality, including haematopoietic stem cell transplantation (HSCT) and gene therapy. The registry provides valuable information to clinicians, researchers, service commissioners and industry alike on PID within the United Kingdom, which may not otherwise be available without the existence of a well-established registry.","container-title":"Clinical and Experimental Immunology","DOI":"10.1111/cei.13125","ISSN":"1365-2249","issue":"3","journalAbbreviation":"Clin Exp Immunol","language":"eng","page":"284-291","PMID":"29878323","PMCID":"PMC5980391","source":"PubMed","title":"The United Kingdom Primary Immune Deficiency (UKPID) registry 2012 to 2017","volume":"192","author":[{"family":"Shillitoe","given":"B."},{"family":"Bangs","given":"C."},{"family":"Guzman","given":"D."},{"family":"Gennery","given":"A. R."},{"family":"Longhurst","given":"H. J."},{"family":"Slatter","given":"M."},{"family":"Edgar","given":"D. M."},{"family":"Thomas","given":"M."},{"family":"Worth","given":"A."},{"family":"Huissoon","given":"A."},{"family":"Arkwright","given":"P. D."},{"family":"Jolles","given":"S."},{"family":"Bourne","given":"H."},{"family":"Alachkar","given":"H."},{"family":"Savic","given":"S."},{"family":"Kumararatne","given":"D. S."},{"family":"Patel","given":"S."},{"family":"Baxendale","given":"H."},{"family":"Noorani","given":"S."},{"family":"Yong","given":"P. F. K."},{"family":"Waruiru","given":"C."},{"family":"Pavaladurai","given":"V."},{"family":"Kelleher","given":"P."},{"family":"Herriot","given":"R."},{"family":"Bernatonienne","given":"J."},{"family":"Bhole","given":"M."},{"family":"Steele","given":"C."},{"family":"Hayman","given":"G."},{"family":"Richter","given":"A."},{"family":"Gompels","given":"M."},{"family":"Chopra","given":"C."},{"family":"Garcez","given":"T."},{"family":"Buckland","given":"M."}],"issued":{"date-parts":[["2018",6]]}}}],"schema":"https://github.com/citation-style-language/schema/raw/master/csl-citation.json"} </w:instrText>
      </w:r>
      <w:r w:rsidR="009E195C">
        <w:fldChar w:fldCharType="separate"/>
      </w:r>
      <w:r w:rsidR="009E195C" w:rsidRPr="009E195C">
        <w:rPr>
          <w:rFonts w:cs="Times New Roman"/>
        </w:rPr>
        <w:t>(25)</w:t>
      </w:r>
      <w:r w:rsidR="009E195C">
        <w:fldChar w:fldCharType="end"/>
      </w:r>
      <w:r w:rsidR="002E2DE2">
        <w:t xml:space="preserve">.  </w:t>
      </w:r>
      <w:r w:rsidR="00EC3712" w:rsidRPr="00EC3712">
        <w:t xml:space="preserve">Furthermore, the cross-sectional design captures only a single point in time, which limits our ability to assess the longitudinal progression of lung disease and its evolving impact on HRQoL. As a national study involving multiple UK sites, we must acknowledge potential </w:t>
      </w:r>
      <w:r w:rsidR="0054652D" w:rsidRPr="00EC3712">
        <w:t>centre</w:t>
      </w:r>
      <w:r w:rsidR="00EC3712" w:rsidRPr="00EC3712">
        <w:t>-level practice variations that may influence management and patient reporting. Additionally, survivorship bias may be present; our adult cohort likely represents patients who have successfully navigated childhood complications, potentially underestimating disease severity in the wider population. The reliance on voluntary participation also introduces potential non-response bias, as patients with very poor health or those who are asymptomatic may be less likely to complete lengthy questionnaires</w:t>
      </w:r>
      <w:r w:rsidR="0054652D">
        <w:t>.</w:t>
      </w:r>
      <w:r w:rsidR="00943F3B">
        <w:t xml:space="preserve">  </w:t>
      </w:r>
      <w:r w:rsidR="00943F3B" w:rsidRPr="00943F3B">
        <w:t>We also acknowledge era differences regarding our comparator datasets, noting that many healthy norms were established prior to more recent shifts in general population health expectations</w:t>
      </w:r>
      <w:r w:rsidR="00943F3B">
        <w:t>.</w:t>
      </w:r>
      <w:r w:rsidR="00ED572F">
        <w:t xml:space="preserve">  </w:t>
      </w:r>
    </w:p>
    <w:p w14:paraId="27AB8B7C" w14:textId="4AE5AE2C" w:rsidR="00B407E6" w:rsidRDefault="00E2341E" w:rsidP="00ED572F">
      <w:r>
        <w:t xml:space="preserve">Whilst we were able to examine the impact of bronchiectasis on QoL, rates of other complications (such as GI disease) were too small to ascertain their impact.  </w:t>
      </w:r>
      <w:r w:rsidR="00ED572F">
        <w:t>Collaboration with international partners would help overcome this problem.</w:t>
      </w:r>
      <w:r w:rsidR="00711A87">
        <w:t xml:space="preserve">  </w:t>
      </w:r>
      <w:r w:rsidR="00ED572F" w:rsidRPr="00367D62">
        <w:t xml:space="preserve">Whilst the </w:t>
      </w:r>
      <w:r w:rsidR="001C2523">
        <w:t>HRQoL</w:t>
      </w:r>
      <w:r w:rsidR="00ED572F" w:rsidRPr="00367D62">
        <w:t xml:space="preserve"> tools used in this study are widely used and validated in medical research they are not specifically designed, nor validated </w:t>
      </w:r>
      <w:r w:rsidR="00ED572F">
        <w:t xml:space="preserve">in patients with </w:t>
      </w:r>
      <w:r w:rsidR="00010E9B">
        <w:t>IEI</w:t>
      </w:r>
      <w:r w:rsidR="00ED572F">
        <w:t xml:space="preserve">.  Patients with IEI may have unique factors not covered/assessed by the current tools available, particularly coping with living with severe and rare diseases where knowledge regarding prognosis and treatment options are </w:t>
      </w:r>
      <w:r w:rsidR="001C2523">
        <w:t>constantly</w:t>
      </w:r>
      <w:r w:rsidR="00ED572F">
        <w:t xml:space="preserve"> evolving/changing resulting in a substantial amount of uncertainty for patients and families.</w:t>
      </w:r>
    </w:p>
    <w:p w14:paraId="1CC97258" w14:textId="198C9DE7" w:rsidR="00B274A3" w:rsidRDefault="00B274A3" w:rsidP="00ED572F">
      <w:r w:rsidRPr="00B274A3">
        <w:t>We acknowledge that while our results identify bronchiectasis as a primary determinant of HRQoL, several other factors may act as confounders. In our cohort, increasing age was significantly associated with both a higher prevalence of bronchiectasis and a decline in SF36v2 Physical Component Scores (PCS). This suggests that age may independently influence physical health outcomes alongside chronic lung disease. Other potential confounders often cited in chronic immune deficiencies</w:t>
      </w:r>
      <w:r w:rsidR="00CD4B3D">
        <w:t xml:space="preserve">, </w:t>
      </w:r>
      <w:r w:rsidRPr="00B274A3">
        <w:t>such as socioeconomic status, the burden of therapy (e.g., home vs. hospital IgRT), and the cumulative frequency of infections</w:t>
      </w:r>
      <w:r w:rsidR="00CD4B3D">
        <w:t xml:space="preserve"> </w:t>
      </w:r>
      <w:r w:rsidRPr="00B274A3">
        <w:t xml:space="preserve">could also play a role. However, given the rarity of XLA and </w:t>
      </w:r>
      <w:r w:rsidRPr="00B274A3">
        <w:lastRenderedPageBreak/>
        <w:t>our relatively small adult cohort</w:t>
      </w:r>
      <w:r>
        <w:t xml:space="preserve">, </w:t>
      </w:r>
      <w:r w:rsidRPr="00B274A3">
        <w:t xml:space="preserve">it was not statistically feasible to perform a multivariable analysis to isolate these independent effects. Despite these limitations, the stark difference in HRQoL scores between those with and without bronchiectasis across multiple independent domains indicates that respiratory health remains </w:t>
      </w:r>
      <w:r w:rsidR="0046095F">
        <w:t>a</w:t>
      </w:r>
      <w:r w:rsidRPr="00B274A3">
        <w:t xml:space="preserve"> critical factor impacting patient well-being</w:t>
      </w:r>
    </w:p>
    <w:p w14:paraId="1A03D420" w14:textId="18591DAA" w:rsidR="00ED572F" w:rsidRPr="00FC7E3B" w:rsidRDefault="00ED572F" w:rsidP="00ED572F">
      <w:pPr>
        <w:rPr>
          <w:rFonts w:cs="Times New Roman"/>
          <w:color w:val="FF0000"/>
        </w:rPr>
      </w:pPr>
      <w:r>
        <w:t xml:space="preserve">Given the </w:t>
      </w:r>
      <w:r w:rsidR="006645D0">
        <w:t xml:space="preserve">expanding number </w:t>
      </w:r>
      <w:r>
        <w:t xml:space="preserve">of IEIs being discovered, an increased awareness of disease phenotype, an ever-increasing improving safety profile of </w:t>
      </w:r>
      <w:r w:rsidRPr="00FC7E3B">
        <w:rPr>
          <w:rFonts w:cs="Times New Roman"/>
        </w:rPr>
        <w:t xml:space="preserve">curative HSCT and the evolution of novel treatment options, </w:t>
      </w:r>
      <w:r w:rsidR="001C2523" w:rsidRPr="00FC7E3B">
        <w:rPr>
          <w:rFonts w:cs="Times New Roman"/>
        </w:rPr>
        <w:t>HRQoL</w:t>
      </w:r>
      <w:r w:rsidRPr="00FC7E3B">
        <w:rPr>
          <w:rFonts w:cs="Times New Roman"/>
        </w:rPr>
        <w:t xml:space="preserve"> assessment must form a vital cornerstone of evaluating disease cohorts</w:t>
      </w:r>
      <w:r w:rsidR="004848B1">
        <w:rPr>
          <w:rFonts w:cs="Times New Roman"/>
        </w:rPr>
        <w:t>. This will</w:t>
      </w:r>
      <w:r w:rsidRPr="00FC7E3B">
        <w:rPr>
          <w:rFonts w:cs="Times New Roman"/>
        </w:rPr>
        <w:t xml:space="preserve"> help decide which patient and/or disease cohorts warrant consideration of changing treatment </w:t>
      </w:r>
      <w:r w:rsidR="005E0473" w:rsidRPr="00FC7E3B">
        <w:rPr>
          <w:rFonts w:cs="Times New Roman"/>
        </w:rPr>
        <w:t>guidelines,</w:t>
      </w:r>
      <w:r w:rsidRPr="00FC7E3B">
        <w:rPr>
          <w:rFonts w:cs="Times New Roman"/>
        </w:rPr>
        <w:t xml:space="preserve"> and </w:t>
      </w:r>
      <w:r w:rsidR="006645D0" w:rsidRPr="00FC7E3B">
        <w:rPr>
          <w:rFonts w:cs="Times New Roman"/>
        </w:rPr>
        <w:t xml:space="preserve">which </w:t>
      </w:r>
      <w:r w:rsidR="004848B1">
        <w:rPr>
          <w:rFonts w:cs="Times New Roman"/>
        </w:rPr>
        <w:t>will need</w:t>
      </w:r>
      <w:r w:rsidR="004848B1" w:rsidRPr="00FC7E3B">
        <w:rPr>
          <w:rFonts w:cs="Times New Roman"/>
        </w:rPr>
        <w:t xml:space="preserve"> </w:t>
      </w:r>
      <w:r w:rsidRPr="00FC7E3B">
        <w:rPr>
          <w:rFonts w:cs="Times New Roman"/>
        </w:rPr>
        <w:t>radical curative</w:t>
      </w:r>
      <w:r w:rsidR="006645D0" w:rsidRPr="00FC7E3B">
        <w:rPr>
          <w:rFonts w:cs="Times New Roman"/>
        </w:rPr>
        <w:t xml:space="preserve"> </w:t>
      </w:r>
      <w:r w:rsidRPr="00FC7E3B">
        <w:rPr>
          <w:rFonts w:cs="Times New Roman"/>
        </w:rPr>
        <w:t xml:space="preserve">treatment options such as HSCT or gene therapy.  </w:t>
      </w:r>
    </w:p>
    <w:p w14:paraId="1FED7DC8" w14:textId="1D918831" w:rsidR="00ED572F" w:rsidRDefault="00ED572F" w:rsidP="00ED572F">
      <w:r w:rsidRPr="00FC7E3B">
        <w:rPr>
          <w:rFonts w:cs="Times New Roman"/>
        </w:rPr>
        <w:t xml:space="preserve">To improve the utility of </w:t>
      </w:r>
      <w:r w:rsidR="001C2523" w:rsidRPr="00FC7E3B">
        <w:rPr>
          <w:rFonts w:cs="Times New Roman"/>
        </w:rPr>
        <w:t>HRQoL</w:t>
      </w:r>
      <w:r w:rsidRPr="00FC7E3B">
        <w:rPr>
          <w:rFonts w:cs="Times New Roman"/>
        </w:rPr>
        <w:t xml:space="preserve"> assessment in IEI, </w:t>
      </w:r>
      <w:r w:rsidR="004848B1">
        <w:rPr>
          <w:rFonts w:cs="Times New Roman"/>
        </w:rPr>
        <w:t xml:space="preserve">recent work has </w:t>
      </w:r>
      <w:r w:rsidRPr="00FC7E3B">
        <w:rPr>
          <w:rFonts w:cs="Times New Roman"/>
        </w:rPr>
        <w:t>design</w:t>
      </w:r>
      <w:r w:rsidR="004848B1">
        <w:rPr>
          <w:rFonts w:cs="Times New Roman"/>
        </w:rPr>
        <w:t>ed</w:t>
      </w:r>
      <w:r w:rsidRPr="00FC7E3B">
        <w:rPr>
          <w:rFonts w:cs="Times New Roman"/>
        </w:rPr>
        <w:t xml:space="preserve"> specific IEI </w:t>
      </w:r>
      <w:r w:rsidR="001C2523" w:rsidRPr="00FC7E3B">
        <w:rPr>
          <w:rFonts w:cs="Times New Roman"/>
        </w:rPr>
        <w:t xml:space="preserve">HRQoL </w:t>
      </w:r>
      <w:r w:rsidRPr="00FC7E3B">
        <w:rPr>
          <w:rFonts w:cs="Times New Roman"/>
        </w:rPr>
        <w:t>measurement tools</w:t>
      </w:r>
      <w:r w:rsidR="00555D68">
        <w:rPr>
          <w:rFonts w:cs="Times New Roman"/>
        </w:rPr>
        <w:t xml:space="preserve"> </w:t>
      </w:r>
      <w:r w:rsidR="004848B1" w:rsidRPr="00FC7E3B">
        <w:rPr>
          <w:rFonts w:cs="Times New Roman"/>
        </w:rPr>
        <w:fldChar w:fldCharType="begin"/>
      </w:r>
      <w:r w:rsidR="00D106AB">
        <w:rPr>
          <w:rFonts w:cs="Times New Roman"/>
        </w:rPr>
        <w:instrText xml:space="preserve"> ADDIN ZOTERO_ITEM CSL_CITATION {"citationID":"Hfhlt9BR","properties":{"formattedCitation":"(44)","plainCitation":"(44)","noteIndex":0},"citationItems":[{"id":586,"uris":["http://zotero.org/users/12098505/items/AT2ZFIVL"],"itemData":{"id":586,"type":"article-journal","container-title":"The Journal of Allergy and Clinical Immunology","DOI":"10.1016/j.jaci.2016.11.029","ISSN":"1097-6825","issue":"6","journalAbbreviation":"J Allergy Clin Immunol","language":"eng","page":"2007-2010.e8","PMID":"28065678","source":"PubMed","title":"Construction and validation of a novel disease-specific quality-of-life instrument for patients with primary antibody deficiency disease (PADQOL-16)","volume":"139","author":[{"family":"Ballow","given":"Mark"},{"family":"Conaway","given":"Mark R."},{"family":"Sriaroon","given":"Panida"},{"family":"Rachid","given":"Rima A."},{"family":"Seeborg","given":"Filiz O."},{"family":"Duff","given":"Carla M."},{"family":"Bonilla","given":"Francisco A."},{"family":"Younger","given":"M. Elizabeth M."},{"family":"Shapiro","given":"Ralph"},{"family":"Burns","given":"Ted M."}],"issued":{"date-parts":[["2017",6]]}}}],"schema":"https://github.com/citation-style-language/schema/raw/master/csl-citation.json"} </w:instrText>
      </w:r>
      <w:r w:rsidR="004848B1" w:rsidRPr="00FC7E3B">
        <w:rPr>
          <w:rFonts w:cs="Times New Roman"/>
        </w:rPr>
        <w:fldChar w:fldCharType="separate"/>
      </w:r>
      <w:r w:rsidR="00D106AB" w:rsidRPr="00D106AB">
        <w:rPr>
          <w:rFonts w:cs="Times New Roman"/>
        </w:rPr>
        <w:t>(44)</w:t>
      </w:r>
      <w:r w:rsidR="004848B1" w:rsidRPr="00FC7E3B">
        <w:rPr>
          <w:rFonts w:cs="Times New Roman"/>
        </w:rPr>
        <w:fldChar w:fldCharType="end"/>
      </w:r>
      <w:r w:rsidR="004848B1">
        <w:rPr>
          <w:rFonts w:cs="Times New Roman"/>
        </w:rPr>
        <w:t xml:space="preserve">. </w:t>
      </w:r>
      <w:r w:rsidRPr="00FC7E3B">
        <w:rPr>
          <w:rFonts w:cs="Times New Roman"/>
        </w:rPr>
        <w:t xml:space="preserve"> </w:t>
      </w:r>
      <w:r w:rsidR="004848B1">
        <w:rPr>
          <w:rFonts w:cs="Times New Roman"/>
        </w:rPr>
        <w:t>F</w:t>
      </w:r>
      <w:r w:rsidR="004848B1" w:rsidRPr="00FC7E3B">
        <w:rPr>
          <w:rFonts w:cs="Times New Roman"/>
        </w:rPr>
        <w:t xml:space="preserve">urther </w:t>
      </w:r>
      <w:r w:rsidRPr="00FC7E3B">
        <w:rPr>
          <w:rFonts w:cs="Times New Roman"/>
        </w:rPr>
        <w:t xml:space="preserve">work </w:t>
      </w:r>
      <w:r w:rsidR="004848B1">
        <w:rPr>
          <w:rFonts w:cs="Times New Roman"/>
        </w:rPr>
        <w:t>is needed</w:t>
      </w:r>
      <w:r w:rsidRPr="00FC7E3B">
        <w:rPr>
          <w:rFonts w:cs="Times New Roman"/>
        </w:rPr>
        <w:t xml:space="preserve"> to design and promote validated QoL scoring tools</w:t>
      </w:r>
      <w:r>
        <w:t xml:space="preserve"> for XLA and the wider IEI spectrum.</w:t>
      </w:r>
    </w:p>
    <w:p w14:paraId="6080DCDC" w14:textId="1D7E391B" w:rsidR="00ED572F" w:rsidRDefault="00ED572F" w:rsidP="00ED572F">
      <w:r>
        <w:t xml:space="preserve">This </w:t>
      </w:r>
      <w:r w:rsidR="00FF576E">
        <w:t xml:space="preserve">study </w:t>
      </w:r>
      <w:r>
        <w:t xml:space="preserve">adds to the existing literature that </w:t>
      </w:r>
      <w:r w:rsidR="006A781C">
        <w:t>bronchiectasis is the major determining factor of QoL in XLA.</w:t>
      </w:r>
      <w:r w:rsidR="00922F45">
        <w:t xml:space="preserve">  </w:t>
      </w:r>
      <w:r>
        <w:t xml:space="preserve">Without lung disease it would appear that XLA patients could enjoy a normal QoL.   </w:t>
      </w:r>
      <w:r w:rsidR="006A781C">
        <w:t>As</w:t>
      </w:r>
      <w:r>
        <w:t xml:space="preserve"> bronchiectasis may be inevitable due to the limitations in current therapies, it is possible that over time most patients with XLA will develop worse </w:t>
      </w:r>
      <w:r w:rsidR="001C2523">
        <w:t>HRQoL</w:t>
      </w:r>
      <w:r>
        <w:t xml:space="preserve"> scores than the healthy population</w:t>
      </w:r>
      <w:r w:rsidR="006A781C">
        <w:t xml:space="preserve">. At </w:t>
      </w:r>
      <w:r w:rsidR="00922F45">
        <w:t>best, comparable</w:t>
      </w:r>
      <w:r>
        <w:t xml:space="preserve"> scores to CF patients</w:t>
      </w:r>
      <w:r w:rsidR="006A781C">
        <w:t xml:space="preserve"> may be achieved</w:t>
      </w:r>
      <w:r>
        <w:t xml:space="preserve">.  </w:t>
      </w:r>
      <w:r w:rsidR="008449E9">
        <w:t xml:space="preserve">The value of novel </w:t>
      </w:r>
      <w:r>
        <w:t>therapy strategies,</w:t>
      </w:r>
      <w:r w:rsidR="008449E9">
        <w:t xml:space="preserve"> </w:t>
      </w:r>
      <w:r w:rsidR="00514DD5">
        <w:t>namely advances in IgRT,</w:t>
      </w:r>
      <w:r>
        <w:t xml:space="preserve"> HSCT and gene therapy</w:t>
      </w:r>
      <w:r w:rsidR="008449E9">
        <w:t xml:space="preserve"> urgently need to be reassessed</w:t>
      </w:r>
      <w:r w:rsidR="00A344AC">
        <w:t xml:space="preserve"> specifically for XLA</w:t>
      </w:r>
      <w:r w:rsidR="008449E9">
        <w:t>.</w:t>
      </w:r>
    </w:p>
    <w:p w14:paraId="6A7ADD74" w14:textId="77777777" w:rsidR="00FF1EBD" w:rsidRDefault="00FF1EBD" w:rsidP="00FF1EBD">
      <w:pPr>
        <w:pStyle w:val="Heading2"/>
        <w:ind w:left="576" w:hanging="576"/>
        <w:sectPr w:rsidR="00FF1EBD" w:rsidSect="00FF1EBD">
          <w:type w:val="continuous"/>
          <w:pgSz w:w="11906" w:h="16838"/>
          <w:pgMar w:top="1440" w:right="1440" w:bottom="1440" w:left="1440" w:header="709" w:footer="709" w:gutter="0"/>
          <w:cols w:space="708"/>
          <w:docGrid w:linePitch="360"/>
        </w:sectPr>
      </w:pPr>
    </w:p>
    <w:p w14:paraId="52DAE363" w14:textId="77777777" w:rsidR="00FF1EBD" w:rsidRPr="00367D62" w:rsidRDefault="00FF1EBD" w:rsidP="00FF1EBD">
      <w:pPr>
        <w:pStyle w:val="Heading2"/>
        <w:ind w:left="576" w:hanging="576"/>
      </w:pPr>
      <w:r w:rsidRPr="00367D62">
        <w:lastRenderedPageBreak/>
        <w:t>Methods</w:t>
      </w:r>
    </w:p>
    <w:p w14:paraId="32521DF7" w14:textId="47C07005" w:rsidR="00FF1EBD" w:rsidRPr="00684E38" w:rsidRDefault="00FF1EBD" w:rsidP="00FF1EBD">
      <w:pPr>
        <w:rPr>
          <w:rFonts w:cs="Times New Roman"/>
        </w:rPr>
      </w:pPr>
      <w:r w:rsidRPr="00367D62">
        <w:t xml:space="preserve">This was a cross-sectional analysis of </w:t>
      </w:r>
      <w:r>
        <w:t>HRQoL</w:t>
      </w:r>
      <w:r w:rsidRPr="00367D62">
        <w:t xml:space="preserve"> of UK XLA patients.</w:t>
      </w:r>
      <w:r>
        <w:t xml:space="preserve">  The design of the study and choice of HRQoL instruments was influenced by our group’s previous pilot study </w:t>
      </w:r>
      <w:r>
        <w:fldChar w:fldCharType="begin"/>
      </w:r>
      <w:r w:rsidR="00D106AB">
        <w:instrText xml:space="preserve"> ADDIN ZOTERO_ITEM CSL_CITATION {"citationID":"9vRNvvDY","properties":{"formattedCitation":"(45)","plainCitation":"(45)","noteIndex":0},"citationItems":[{"id":1575,"uris":["http://zotero.org/users/12098505/items/8MWINTEH"],"itemData":{"id":1575,"type":"article-journal","abstract":"Introduction Patients with congenital agammaglobulinemia, characterized by a defect in B lymphocyte differentiation causing B alymphocytosis, require life-long IgG replacement. There is scant literature regarding the effectiveness of IgG treatment at preventing mucosal (particularly sinopulmonary tract) infection and whether current management adequately restores “normal” health and quality of life (QoL). We aimed to document infective episodes pre- and post-commencing IgG replacement, determine any change in lung function and structure and assess respiratory status and QoL in a cohort of patients treated in Newcastle. Methods Clinical data were extracted from medical records of 15 patients identified from the immunology database, focusing on infective episodes, serial chest CT and spirometry results. Thirteen patients completed a selection of standardized and validated questionnaires assessing physical health, respiratory health and QoL. Results Pediatric patients on IgG therapy suffered fewer infections per patient year (0.74) than adults (2.13). 6/14 patients showed deteriorating respiratory status despite adequate therapy. Health questionnaires revealed a significant burden of respiratory disease on a patient’s life. Conclusion Clinical data showed patients with congenital agammaglobulinemia receiving immunoglobulin therapy retained a higher than average infection rate, most of which affected mucosal barriers. Most patients self-reported worse respiratory symptoms, a lower respiratory-related QoL and a lower general health QoL relative to a healthy population. Most participants had progressive structural lung damage and decreased lung function. These results suggest that current management is not entirely effective at preventing deterioration of respiratory health or restoring QoL.","container-title":"Journal of Clinical Immunology","DOI":"10.1007/s10875-016-0284-3","issue":"5","page":"472-479","publisher":"Journal of Clinical Immunology","title":"Respiratory Health and Related Quality of Life in Patients with Congenital Agammaglobulinemia in the Northern Region of the UK","volume":"36","author":[{"family":"Bryan","given":"Branwen A."},{"family":"Battersby","given":"Alex"},{"family":"Shillitoe","given":"Benjamin Martin James"},{"family":"Barge","given":"Dawn"},{"family":"Bourne","given":"Helen"},{"family":"Flood","given":"Terry"},{"family":"Cant","given":"Andrew J."},{"family":"Stroud","given":"Catherine"},{"family":"Gennery","given":"Andrew R."}],"issued":{"date-parts":[["2016",7]]}}}],"schema":"https://github.com/citation-style-language/schema/raw/master/csl-citation.json"} </w:instrText>
      </w:r>
      <w:r>
        <w:fldChar w:fldCharType="separate"/>
      </w:r>
      <w:r w:rsidR="00D106AB" w:rsidRPr="00D106AB">
        <w:rPr>
          <w:rFonts w:cs="Times New Roman"/>
        </w:rPr>
        <w:t>(45)</w:t>
      </w:r>
      <w:r>
        <w:fldChar w:fldCharType="end"/>
      </w:r>
      <w:r>
        <w:t>.</w:t>
      </w:r>
    </w:p>
    <w:p w14:paraId="13544DC5" w14:textId="6093553F" w:rsidR="00FF1EBD" w:rsidRPr="00684E38" w:rsidRDefault="00FF1EBD" w:rsidP="00FF1EBD">
      <w:pPr>
        <w:rPr>
          <w:rFonts w:cs="Times New Roman"/>
        </w:rPr>
      </w:pPr>
      <w:r w:rsidRPr="00684E38">
        <w:rPr>
          <w:rFonts w:cs="Times New Roman"/>
        </w:rPr>
        <w:t xml:space="preserve">Eligible patients were those who met the criteria for definitive diagnosis of XLA as per the European Society for Immunodeficiencies (ESID) guidelines </w:t>
      </w:r>
      <w:r w:rsidRPr="00684E38">
        <w:rPr>
          <w:rFonts w:cs="Times New Roman"/>
        </w:rPr>
        <w:fldChar w:fldCharType="begin"/>
      </w:r>
      <w:r w:rsidR="00D106AB">
        <w:rPr>
          <w:rFonts w:cs="Times New Roman"/>
        </w:rPr>
        <w:instrText xml:space="preserve"> ADDIN ZOTERO_ITEM CSL_CITATION {"citationID":"N0mXu9Ip","properties":{"formattedCitation":"(46)","plainCitation":"(46)","noteIndex":0},"citationItems":[{"id":575,"uris":["http://zotero.org/users/12098505/items/4K8UHA8N"],"itemData":{"id":575,"type":"article-journal","abstract":"Patient registries are instrumental for clinical research in rare diseases. They help to achieve a sufficient sample size for epidemiological and clinical research and to assess the feasibility of clinical trials. The European Society for Immunodeficiencies (ESID) registry currently comprises information on more than 25,000 patients with inborn errors of immunity (IEI). The prerequisite of a patient to be included into the ESID registry is an IEI either defined by a defect in a gene included in the disease classification of the international union of immunological societies, or verified by applying clinical criteria. Because a relevant number of patients, including those with common variable immunodeficiency (CVID), representing the largest group of patients in the registry, remain without a genetic diagnosis, consensus on classification of these patients is mandatory. Here, we present clinical criteria for a large number of IEI that were designed in expert panels with an external review. They were implemented for novel entries and verification of existing data sets from 2014, yielding a substantial refinement. For instance, 8% of adults and 27% of children with CVID (176 of 1704 patients) were reclassified to 22 different immunodeficiencies, illustrating progress in genetics, but also the previous lack of standardized disease definitions. Importantly, apart from registry purposes, the clinical criteria are also helpful to support treatment decisions in the absence of a genetic diagnosis or in patients with variants of unknown significance.","container-title":"The Journal of Allergy and Clinical Immunology. In Practice","DOI":"10.1016/j.jaip.2019.02.004","ISSN":"2213-2201","issue":"6","journalAbbreviation":"J Allergy Clin Immunol Pract","language":"eng","page":"1763-1770","PMID":"30776527","source":"PubMed","title":"The European Society for Immunodeficiencies (ESID) Registry Working Definitions for the Clinical Diagnosis of Inborn Errors of Immunity","volume":"7","author":[{"family":"Seidel","given":"Markus G."},{"family":"Kindle","given":"Gerhard"},{"family":"Gathmann","given":"Benjamin"},{"family":"Quinti","given":"Isabella"},{"family":"Buckland","given":"Matthew"},{"family":"Montfrans","given":"Joris","non-dropping-particle":"van"},{"family":"Scheible","given":"Raphael"},{"family":"Rusch","given":"Stephan"},{"family":"Gasteiger","given":"Lukas M."},{"family":"Grimbacher","given":"Bodo"},{"family":"Mahlaoui","given":"Nizar"},{"family":"Ehl","given":"Stephan"},{"literal":"ESID Registry Working Party and collaborators"}],"issued":{"date-parts":[["2019"]]}}}],"schema":"https://github.com/citation-style-language/schema/raw/master/csl-citation.json"} </w:instrText>
      </w:r>
      <w:r w:rsidRPr="00684E38">
        <w:rPr>
          <w:rFonts w:cs="Times New Roman"/>
        </w:rPr>
        <w:fldChar w:fldCharType="separate"/>
      </w:r>
      <w:r w:rsidR="00D106AB" w:rsidRPr="00D106AB">
        <w:rPr>
          <w:rFonts w:cs="Times New Roman"/>
        </w:rPr>
        <w:t>(46)</w:t>
      </w:r>
      <w:r w:rsidRPr="00684E38">
        <w:rPr>
          <w:rFonts w:cs="Times New Roman"/>
        </w:rPr>
        <w:fldChar w:fldCharType="end"/>
      </w:r>
      <w:r w:rsidRPr="00684E38">
        <w:rPr>
          <w:rFonts w:cs="Times New Roman"/>
        </w:rPr>
        <w:t>.</w:t>
      </w:r>
    </w:p>
    <w:p w14:paraId="24384B85" w14:textId="77777777" w:rsidR="00FF1EBD" w:rsidRPr="00684E38" w:rsidRDefault="00FF1EBD" w:rsidP="00FF1EBD">
      <w:pPr>
        <w:rPr>
          <w:rFonts w:cs="Times New Roman"/>
        </w:rPr>
      </w:pPr>
      <w:r w:rsidRPr="00684E38">
        <w:rPr>
          <w:rFonts w:cs="Times New Roman"/>
        </w:rPr>
        <w:t>Ineligible patients were those who did not meet the criteria for a definite diagnosis for XLA, those who lacked capacity or who refused consent to partake in the study.  Centres with potential eligible patients were identified through data provided by the UKPID registry</w:t>
      </w:r>
      <w:r>
        <w:rPr>
          <w:rFonts w:cs="Times New Roman"/>
        </w:rPr>
        <w:t xml:space="preserve"> (www.ukpid-registry.co.uk)</w:t>
      </w:r>
      <w:r w:rsidRPr="00684E38">
        <w:rPr>
          <w:rFonts w:cs="Times New Roman"/>
        </w:rPr>
        <w:t xml:space="preserve">.  Centres were invited to participate in the study and confirm eligible patients for study inclusion. </w:t>
      </w:r>
    </w:p>
    <w:p w14:paraId="1EB5F5B3" w14:textId="77777777" w:rsidR="00FF1EBD" w:rsidRPr="00684E38" w:rsidRDefault="00FF1EBD" w:rsidP="00FF1EBD">
      <w:pPr>
        <w:rPr>
          <w:rFonts w:cs="Times New Roman"/>
        </w:rPr>
      </w:pPr>
      <w:r w:rsidRPr="00684E38">
        <w:rPr>
          <w:rFonts w:cs="Times New Roman"/>
          <w:noProof/>
        </w:rPr>
        <w:t>A favourable ethical opinion for the study was granted by the Tyne</w:t>
      </w:r>
      <w:r w:rsidRPr="00684E38">
        <w:rPr>
          <w:rFonts w:cs="Times New Roman"/>
        </w:rPr>
        <w:t xml:space="preserve"> and Wear South </w:t>
      </w:r>
      <w:r>
        <w:rPr>
          <w:rFonts w:cs="Times New Roman"/>
        </w:rPr>
        <w:t xml:space="preserve">NHS </w:t>
      </w:r>
      <w:r w:rsidRPr="00684E38">
        <w:rPr>
          <w:rFonts w:cs="Times New Roman"/>
        </w:rPr>
        <w:t xml:space="preserve">Research Ethics Committee (reference 16/NE/0268).  </w:t>
      </w:r>
    </w:p>
    <w:p w14:paraId="459F9956" w14:textId="1DF4F51D" w:rsidR="00FF1EBD" w:rsidRDefault="00FF1EBD" w:rsidP="00FF1EBD">
      <w:pPr>
        <w:rPr>
          <w:rFonts w:cs="Times New Roman"/>
        </w:rPr>
      </w:pPr>
      <w:r w:rsidRPr="00F60883">
        <w:rPr>
          <w:rFonts w:cs="Times New Roman"/>
        </w:rPr>
        <w:t>Clinical outcome data were also collected as part of this research project and are reported in a separate manuscript</w:t>
      </w:r>
      <w:r>
        <w:rPr>
          <w:rFonts w:cs="Times New Roman"/>
        </w:rPr>
        <w:t xml:space="preserve"> </w:t>
      </w:r>
      <w:r>
        <w:rPr>
          <w:rFonts w:cs="Times New Roman"/>
        </w:rPr>
        <w:fldChar w:fldCharType="begin"/>
      </w:r>
      <w:r w:rsidR="00D106AB">
        <w:rPr>
          <w:rFonts w:cs="Times New Roman"/>
        </w:rPr>
        <w:instrText xml:space="preserve"> ADDIN ZOTERO_ITEM CSL_CITATION {"citationID":"6uNNJnET","properties":{"formattedCitation":"(26)","plainCitation":"(26)","noteIndex":0},"citationItems":[{"id":508,"uris":["http://zotero.org/users/12098505/items/ZQ378IKU"],"itemData":{"id":508,"type":"article-journal","abstract":"BACKGROUND: X-linked agammaglobulinaemia (XLA), caused by mutations in BTK, is characterised by low or absent peripheral CD19 + B lymphocytes and agammaglobulinaemia. The mainstay of treatment consists of immunoglobulin replacement therapy (IgRT). As this cannot fully compensate for the immune defects in XLA, patients may therefore continue to be at risk of complications.\nOBJECTIVES: To describe the clinical outcomes of XLA patients in the United Kingdom and Hong Kong and evaluate current treatment strategies.\nMETHODS: Patients with a definitive diagnosis of XLA were included in this cross-sectional and retrospective analysis of clinical health outcomes. Data pertaining to diagnosis, infection incidence, IgG trough levels and lung function were collected and analysed.\nRESULTS: 99 patients with a median age of 29.02 years (IQR 12.83-37.41) and a total follow up of 1922 patient years, were included this study. The median age at diagnosis was 3.30 years (IQR 1.04-8.38) which decreased over time (p = 0.004). 40% of the cohort had radiological evidence of bronchiectasis. Risk of bronchiectasis was not significantly associated with clinical infection incidence (p = 0.880) or IgG trough levels (p = 0.407). Two patients demonstrated novel complications, namely persistent norovirus infection, leading to haemopoietic stem cell transplantation (HSCT).\nCONCLUSIONS: Despite modern therapy, most XLA patients continue to experience complications, most notably bronchiectasis, likely due to absence of IgA/M in current therapies, but lack of B lymphocytes may also lead to additional sequalae. These data strongly support the need for further research, particularly that of curative modalities including HSCT and gene therapy.","container-title":"Journal of Clinical Immunology","DOI":"10.1007/s10875-024-01829-z","ISSN":"1573-2592","issue":"1","journalAbbreviation":"J Clin Immunol","language":"eng","page":"40","PMID":"39541002","source":"PubMed","title":"Outcomes of X-Linked Agammaglobulinaemia Patients","volume":"45","author":[{"family":"Shillitoe","given":"Ben"},{"family":"Duque","given":"Jaime S. Rosa"},{"family":"Lai","given":"Sophie H. Y."},{"family":"Lau","given":"Tsun Ming"},{"family":"Chan","given":"Jeffery C. H."},{"family":"Bourne","given":"Helen"},{"family":"Stroud","given":"Catherine"},{"family":"Flood","given":"Terry"},{"family":"Buckland","given":"Matthew"},{"family":"Ip","given":"Winnie"},{"family":"Worth","given":"Austen"},{"family":"Hackett","given":"Scott"},{"family":"Herwadkar","given":"Archana"},{"family":"Coulter","given":"Tanya"},{"family":"Blaney","given":"Catherine"},{"family":"Jolles","given":"Stephen"},{"family":"Garcez","given":"Tomaz"},{"family":"Moya","given":"Eduardo"},{"family":"Faust","given":"Saul"},{"family":"Pearce","given":"Mark S."},{"family":"Lau","given":"Yu Lung"},{"family":"Gennery","given":"Andrew R."}],"issued":{"date-parts":[["2024",11,14]]}}}],"schema":"https://github.com/citation-style-language/schema/raw/master/csl-citation.json"} </w:instrText>
      </w:r>
      <w:r>
        <w:rPr>
          <w:rFonts w:cs="Times New Roman"/>
        </w:rPr>
        <w:fldChar w:fldCharType="separate"/>
      </w:r>
      <w:r w:rsidR="00D106AB" w:rsidRPr="00D106AB">
        <w:rPr>
          <w:rFonts w:cs="Times New Roman"/>
        </w:rPr>
        <w:t>(26)</w:t>
      </w:r>
      <w:r>
        <w:rPr>
          <w:rFonts w:cs="Times New Roman"/>
        </w:rPr>
        <w:fldChar w:fldCharType="end"/>
      </w:r>
      <w:r w:rsidRPr="00684E38">
        <w:rPr>
          <w:rFonts w:cs="Times New Roman"/>
        </w:rPr>
        <w:t>.  Relevant outcomes from that analysis are presented here for analysis of correlation with HRQoL.</w:t>
      </w:r>
    </w:p>
    <w:p w14:paraId="16CA52C2" w14:textId="77777777" w:rsidR="00FF1EBD" w:rsidRPr="00684E38" w:rsidRDefault="00FF1EBD" w:rsidP="00FF1EBD">
      <w:pPr>
        <w:rPr>
          <w:rFonts w:cs="Times New Roman"/>
        </w:rPr>
      </w:pPr>
      <w:r w:rsidRPr="00C916F5">
        <w:rPr>
          <w:rFonts w:cs="Times New Roman"/>
        </w:rPr>
        <w:t>Bronchiectasis was defined as the presence of characteristic radiological features on the patient’s most recent high-resolution computed tomography (HRCT) chest scan. In accordance with routine clinical practice across participating centres, the indications for and timing of HRCT imaging were determined by local clinical teams based on clinical judgment. Diagnoses were based on official reports provided by local radiologists at each centre. While specific scoring systems (such as airway-to-artery ratio or lack of tapering) were utilized at the discretion of the reporting radiologist, these data were not uniformly collected for this study. To ensure clinical relevance, HRQoL</w:t>
      </w:r>
      <w:r>
        <w:rPr>
          <w:rFonts w:cs="Times New Roman"/>
        </w:rPr>
        <w:t xml:space="preserve"> </w:t>
      </w:r>
      <w:r w:rsidRPr="00C916F5">
        <w:rPr>
          <w:rFonts w:cs="Times New Roman"/>
        </w:rPr>
        <w:t>assessments were completed at the time of the patient's last recorded follow-up, following the radiological diagnosis of bronchiectasis</w:t>
      </w:r>
      <w:r>
        <w:rPr>
          <w:rFonts w:cs="Times New Roman"/>
        </w:rPr>
        <w:t>.</w:t>
      </w:r>
    </w:p>
    <w:p w14:paraId="6AD5A022" w14:textId="77777777" w:rsidR="00FF1EBD" w:rsidRPr="00684E38" w:rsidRDefault="00FF1EBD" w:rsidP="00FF1EBD">
      <w:pPr>
        <w:rPr>
          <w:rFonts w:cs="Times New Roman"/>
        </w:rPr>
      </w:pPr>
      <w:r w:rsidRPr="00684E38">
        <w:rPr>
          <w:rFonts w:cs="Times New Roman"/>
        </w:rPr>
        <w:t>Data are presented as median and interquartile range (IQR).  Some comparative population data and norms are published as mean (SD) where only mean values were available.  Where this occurs, this will be clearly highlighted in the text.  Given that means are provided, it can be safely assumed their data is normally distributed and the median value will lie closely to the mean.  Data were compared against published norms and comparative population data using the one sample Wilcoxon signed-rank test.  Spearman’s correlation was used to analyse correlations between continuous variables.</w:t>
      </w:r>
      <w:r>
        <w:rPr>
          <w:rFonts w:cs="Times New Roman"/>
        </w:rPr>
        <w:t xml:space="preserve">  </w:t>
      </w:r>
      <w:r w:rsidRPr="00EB315B">
        <w:rPr>
          <w:rFonts w:cs="Times New Roman"/>
        </w:rPr>
        <w:t>To account for multiple testing, p-values were adjusted using the Holm–Bonferroni method</w:t>
      </w:r>
      <w:r>
        <w:rPr>
          <w:rFonts w:cs="Times New Roman"/>
        </w:rPr>
        <w:t xml:space="preserve">.  </w:t>
      </w:r>
      <w:r w:rsidRPr="00684E38">
        <w:rPr>
          <w:rFonts w:cs="Times New Roman"/>
        </w:rPr>
        <w:t xml:space="preserve">Statistical analysis was performed using STATA v15.1 (www.stata.com). </w:t>
      </w:r>
    </w:p>
    <w:p w14:paraId="206D3961" w14:textId="77777777" w:rsidR="00FF1EBD" w:rsidRPr="00684E38" w:rsidRDefault="00FF1EBD" w:rsidP="00FF1EBD">
      <w:pPr>
        <w:rPr>
          <w:rFonts w:cs="Times New Roman"/>
        </w:rPr>
      </w:pPr>
      <w:r w:rsidRPr="00684E38">
        <w:rPr>
          <w:rFonts w:cs="Times New Roman"/>
        </w:rPr>
        <w:t>HRQoL scores were compared against UK norms and, where available, UK patients with cystic fibrosis.  Cystic fibrosis</w:t>
      </w:r>
      <w:r>
        <w:rPr>
          <w:rFonts w:cs="Times New Roman"/>
        </w:rPr>
        <w:t xml:space="preserve"> (CF)</w:t>
      </w:r>
      <w:r w:rsidRPr="00684E38">
        <w:rPr>
          <w:rFonts w:cs="Times New Roman"/>
        </w:rPr>
        <w:t xml:space="preserve"> was chosen as a comparator given its similarities with XLA as a </w:t>
      </w:r>
      <w:r w:rsidRPr="00684E38">
        <w:rPr>
          <w:rFonts w:cs="Times New Roman"/>
        </w:rPr>
        <w:lastRenderedPageBreak/>
        <w:t xml:space="preserve">congenital </w:t>
      </w:r>
      <w:r>
        <w:rPr>
          <w:rFonts w:cs="Times New Roman"/>
        </w:rPr>
        <w:t>disorder</w:t>
      </w:r>
      <w:r w:rsidRPr="00684E38">
        <w:rPr>
          <w:rFonts w:cs="Times New Roman"/>
        </w:rPr>
        <w:t xml:space="preserve"> with lung disease as the major comorbidity and </w:t>
      </w:r>
      <w:r>
        <w:rPr>
          <w:rFonts w:cs="Times New Roman"/>
        </w:rPr>
        <w:t>that current therapies do not aim to cure the underlying disease</w:t>
      </w:r>
      <w:r w:rsidRPr="00684E38">
        <w:rPr>
          <w:rFonts w:cs="Times New Roman"/>
        </w:rPr>
        <w:t>.</w:t>
      </w:r>
      <w:r>
        <w:rPr>
          <w:rFonts w:cs="Times New Roman"/>
        </w:rPr>
        <w:t xml:space="preserve">  </w:t>
      </w:r>
      <w:r w:rsidRPr="002B3074">
        <w:rPr>
          <w:rFonts w:cs="Times New Roman"/>
        </w:rPr>
        <w:t>As XLA is an X-linked recessive disorder, all participants in this study were male. Consequently, to ensure the most accurate comparisons, male-specific UK healthy norms and data from UK male C</w:t>
      </w:r>
      <w:r>
        <w:rPr>
          <w:rFonts w:cs="Times New Roman"/>
        </w:rPr>
        <w:t>F</w:t>
      </w:r>
      <w:r w:rsidRPr="002B3074">
        <w:rPr>
          <w:rFonts w:cs="Times New Roman"/>
        </w:rPr>
        <w:t xml:space="preserve"> cohorts were utilized for HRQoL assessments where such specific data w</w:t>
      </w:r>
      <w:r>
        <w:rPr>
          <w:rFonts w:cs="Times New Roman"/>
        </w:rPr>
        <w:t>h</w:t>
      </w:r>
      <w:r w:rsidRPr="002B3074">
        <w:rPr>
          <w:rFonts w:cs="Times New Roman"/>
        </w:rPr>
        <w:t>ere available</w:t>
      </w:r>
      <w:r>
        <w:rPr>
          <w:rFonts w:cs="Times New Roman"/>
        </w:rPr>
        <w:t>.</w:t>
      </w:r>
    </w:p>
    <w:p w14:paraId="193F0FFD" w14:textId="77777777" w:rsidR="00FF1EBD" w:rsidRPr="00684E38" w:rsidRDefault="00FF1EBD" w:rsidP="00FF1EBD">
      <w:pPr>
        <w:rPr>
          <w:rFonts w:cs="Times New Roman"/>
        </w:rPr>
      </w:pPr>
      <w:r w:rsidRPr="00684E38">
        <w:rPr>
          <w:rFonts w:cs="Times New Roman"/>
        </w:rPr>
        <w:t>The following HRQoL measures were used:</w:t>
      </w:r>
    </w:p>
    <w:p w14:paraId="235516E8" w14:textId="5E4D2FA7" w:rsidR="00FF1EBD" w:rsidRPr="00684E38" w:rsidRDefault="00FF1EBD" w:rsidP="00FF1EBD">
      <w:pPr>
        <w:pStyle w:val="ListParagraph"/>
        <w:numPr>
          <w:ilvl w:val="0"/>
          <w:numId w:val="13"/>
        </w:numPr>
        <w:rPr>
          <w:rFonts w:cs="Times New Roman"/>
        </w:rPr>
      </w:pPr>
      <w:r w:rsidRPr="00684E38">
        <w:rPr>
          <w:rFonts w:cs="Times New Roman"/>
        </w:rPr>
        <w:t xml:space="preserve">Short Form 36v2 (SF36v2) </w:t>
      </w:r>
      <w:r w:rsidRPr="00684E38">
        <w:rPr>
          <w:rFonts w:cs="Times New Roman"/>
        </w:rPr>
        <w:fldChar w:fldCharType="begin"/>
      </w:r>
      <w:r w:rsidR="00D106AB">
        <w:rPr>
          <w:rFonts w:cs="Times New Roman"/>
        </w:rPr>
        <w:instrText xml:space="preserve"> ADDIN ZOTERO_ITEM CSL_CITATION {"citationID":"DWpfInBA","properties":{"formattedCitation":"(47)","plainCitation":"(47)","noteIndex":0},"citationItems":[{"id":1118,"uris":["http://zotero.org/users/12098505/items/8ZIJ952T"],"itemData":{"id":1118,"type":"book","edition":"3rd","ISBN":"1-891810-28-6","publisher":"QualityMetric Incorporated","title":"User's manual for the SF36v2 Health Survey","author":[{"family":"Lincoln","given":"RI"}],"editor":[{"family":"Maruish","given":"M E"}],"issued":{"date-parts":[["2011"]]}}}],"schema":"https://github.com/citation-style-language/schema/raw/master/csl-citation.json"} </w:instrText>
      </w:r>
      <w:r w:rsidRPr="00684E38">
        <w:rPr>
          <w:rFonts w:cs="Times New Roman"/>
        </w:rPr>
        <w:fldChar w:fldCharType="separate"/>
      </w:r>
      <w:r w:rsidR="00D106AB" w:rsidRPr="00D106AB">
        <w:rPr>
          <w:rFonts w:cs="Times New Roman"/>
        </w:rPr>
        <w:t>(47)</w:t>
      </w:r>
      <w:r w:rsidRPr="00684E38">
        <w:rPr>
          <w:rFonts w:cs="Times New Roman"/>
        </w:rPr>
        <w:fldChar w:fldCharType="end"/>
      </w:r>
    </w:p>
    <w:p w14:paraId="125C8C63" w14:textId="1BFE3F4B" w:rsidR="00FF1EBD" w:rsidRPr="00684E38" w:rsidRDefault="00FF1EBD" w:rsidP="00FF1EBD">
      <w:pPr>
        <w:rPr>
          <w:rFonts w:cs="Times New Roman"/>
        </w:rPr>
      </w:pPr>
      <w:r w:rsidRPr="00684E38">
        <w:rPr>
          <w:rFonts w:cs="Times New Roman"/>
        </w:rPr>
        <w:t xml:space="preserve">The short form 36 version 2 (SF36v2) is a well-recognised tool for measuring the quality of life in adolescents and adults and has been used extensively when researching patients with </w:t>
      </w:r>
      <w:r>
        <w:rPr>
          <w:rFonts w:cs="Times New Roman"/>
        </w:rPr>
        <w:t>IEI</w:t>
      </w:r>
      <w:r w:rsidRPr="00684E38">
        <w:rPr>
          <w:rFonts w:cs="Times New Roman"/>
        </w:rPr>
        <w:t xml:space="preserve"> and a range of other disease groups </w:t>
      </w:r>
      <w:r w:rsidRPr="00684E38">
        <w:rPr>
          <w:rFonts w:cs="Times New Roman"/>
        </w:rPr>
        <w:fldChar w:fldCharType="begin"/>
      </w:r>
      <w:r w:rsidR="00D106AB">
        <w:rPr>
          <w:rFonts w:cs="Times New Roman"/>
        </w:rPr>
        <w:instrText xml:space="preserve"> ADDIN ZOTERO_ITEM CSL_CITATION {"citationID":"KyX53CZq","properties":{"formattedCitation":"(48)","plainCitation":"(48)","noteIndex":0},"citationItems":[{"id":507,"uris":["http://zotero.org/users/12098505/items/A3YYU9DA"],"itemData":{"id":507,"type":"article-journal","abstract":"Forty-one adults (mean age 33) with a definitive diagnosis of X-linked agammaglobulinemia (XLA) completed a questionnaire concerning current and past medical problems and quality of life. Thirty-six of the 41 were working full time or were full time students; 18 had not missed any work or school due to infection in the previous year. Their quality of life was equivalent to that of the general US male population. Thirteen of the 41 reported that they had chronic lung disease, and 33 indicated that they had one or more episodes of sinusitis in the preceding year. Arthritis, diarrhea and skin infections were common but not debilitating. The 41 study subjects were more likely to have a prior family history of XLA, and they were more likely to have milder mutations in Btk, the gene responsible for XLA. These results indicate that most adults with XLA are moderately healthy and lead productive lives. ?? 2005 Elsevier Inc. All rights reserved.","container-title":"Clinical Immunology","DOI":"10.1016/j.clim.2005.11.002","issue":"2-3","page":"201-208","title":"The health status and quality of life of adults with X-linked agammaglobulinemia","volume":"118","author":[{"family":"Howard","given":"Vanessa"},{"family":"Greene","given":"Jeffrey M."},{"family":"Pahwa","given":"Savita"},{"family":"Winkelstein","given":"Jerry","dropping-particle":"a."},{"family":"Boyle","given":"John M."},{"family":"Kocak","given":"Mehmet"},{"family":"Conley","given":"Mary Ellen"}],"issued":{"date-parts":[["2006"]]}}}],"schema":"https://github.com/citation-style-language/schema/raw/master/csl-citation.json"} </w:instrText>
      </w:r>
      <w:r w:rsidRPr="00684E38">
        <w:rPr>
          <w:rFonts w:cs="Times New Roman"/>
        </w:rPr>
        <w:fldChar w:fldCharType="separate"/>
      </w:r>
      <w:r w:rsidR="00D106AB" w:rsidRPr="00D106AB">
        <w:rPr>
          <w:rFonts w:cs="Times New Roman"/>
        </w:rPr>
        <w:t>(48)</w:t>
      </w:r>
      <w:r w:rsidRPr="00684E38">
        <w:rPr>
          <w:rFonts w:cs="Times New Roman"/>
        </w:rPr>
        <w:fldChar w:fldCharType="end"/>
      </w:r>
      <w:r w:rsidRPr="00684E38">
        <w:rPr>
          <w:rFonts w:cs="Times New Roman"/>
        </w:rPr>
        <w:t xml:space="preserve">. </w:t>
      </w:r>
      <w:r>
        <w:rPr>
          <w:rFonts w:cs="Times New Roman"/>
        </w:rPr>
        <w:t xml:space="preserve">  It is a broad instrument to measure both physical and mental health; the Physical Component Score (PCS) provides a consolidated measure of overall physical well-being and limitations </w:t>
      </w:r>
      <w:r>
        <w:rPr>
          <w:rFonts w:cs="Times New Roman"/>
        </w:rPr>
        <w:fldChar w:fldCharType="begin"/>
      </w:r>
      <w:r w:rsidR="00D106AB">
        <w:rPr>
          <w:rFonts w:cs="Times New Roman"/>
        </w:rPr>
        <w:instrText xml:space="preserve"> ADDIN ZOTERO_ITEM CSL_CITATION {"citationID":"jGx9XNAV","properties":{"formattedCitation":"(47)","plainCitation":"(47)","noteIndex":0},"citationItems":[{"id":1118,"uris":["http://zotero.org/users/12098505/items/8ZIJ952T"],"itemData":{"id":1118,"type":"book","edition":"3rd","ISBN":"1-891810-28-6","publisher":"QualityMetric Incorporated","title":"User's manual for the SF36v2 Health Survey","author":[{"family":"Lincoln","given":"RI"}],"editor":[{"family":"Maruish","given":"M E"}],"issued":{"date-parts":[["2011"]]}}}],"schema":"https://github.com/citation-style-language/schema/raw/master/csl-citation.json"} </w:instrText>
      </w:r>
      <w:r>
        <w:rPr>
          <w:rFonts w:cs="Times New Roman"/>
        </w:rPr>
        <w:fldChar w:fldCharType="separate"/>
      </w:r>
      <w:r w:rsidR="00D106AB" w:rsidRPr="00D106AB">
        <w:rPr>
          <w:rFonts w:cs="Times New Roman"/>
        </w:rPr>
        <w:t>(47)</w:t>
      </w:r>
      <w:r>
        <w:rPr>
          <w:rFonts w:cs="Times New Roman"/>
        </w:rPr>
        <w:fldChar w:fldCharType="end"/>
      </w:r>
      <w:r>
        <w:rPr>
          <w:rFonts w:cs="Times New Roman"/>
        </w:rPr>
        <w:t xml:space="preserve">.  </w:t>
      </w:r>
      <w:r w:rsidRPr="00684E38">
        <w:rPr>
          <w:rFonts w:cs="Times New Roman"/>
        </w:rPr>
        <w:t xml:space="preserve"> The SF36v2 was used for patients over 16 years of age.  These data were compared against normative UK data </w:t>
      </w:r>
      <w:r w:rsidRPr="00684E38">
        <w:rPr>
          <w:rFonts w:cs="Times New Roman"/>
        </w:rPr>
        <w:fldChar w:fldCharType="begin"/>
      </w:r>
      <w:r w:rsidR="00D106AB">
        <w:rPr>
          <w:rFonts w:cs="Times New Roman"/>
        </w:rPr>
        <w:instrText xml:space="preserve"> ADDIN ZOTERO_ITEM CSL_CITATION {"citationID":"xQPgKZ1w","properties":{"formattedCitation":"(30)","plainCitation":"(30)","noteIndex":0},"citationItems":[{"id":337,"uris":["http://zotero.org/users/12098505/items/55Z57YDK"],"itemData":{"id":337,"type":"article-journal","abstract":"OBJECTIVES: To introduce the UK SF36 Version II (SF36-II), and to (a) gain population norms for the UK SF36-II in a large community sample as well as to explore the instrument's internal consistency reliability and construct validity, and (b) to derive the Physical Component Summary (PCS) and Mental Component Summary (MCS) algorithms for the UK SF36-II. DESIGN: Postal survey using a questionnaire booklet, containing the SF-36-II and questions on demographics and long term illness. SETTING: The sample was drawn from General Practitioner Records held by the Health Authorities for Berkshire, Buckinghamshire, Northamptonshire, and Oxfordshire. SAMPLE: The questionnaire was sent to 13,800 randomly selected subjects between the ages of 18-64 inclusive. OUTCOME MEASURES: Scores for the eight dimensions of the UK SF36-II and the PCS and MCS summary scores. RESULTS: The survey achieved a response rate of 64.4% (n = 8889). Internal consistency of the different dimensions of the questionnaire were found to be high. Normative data for the SF-36 are reported, broken down by age and sex, and social class. Factor analysis of the eight domains produced a two factor solution and provided weights for the UK SF36-II. CONCLUSION: The SF36-II domains were shown to have improved reliability over the previous version of the UK SF36. Furthermore, enhancements to wording and response categories reduces the extent of floor and ceiling effects in the role performance dimensions. These advances are likely to lead to better precision as well as greater responsiveness in longitudinal studies.","container-title":"Journal of epidemiology and community health","DOI":"10.1136/jech.53.10.651","ISSN":"0143-005X (Print)\\r0143-005X (Linking)","issue":"1","page":"46-50","title":"Assessment of the SF-36 version 2 in the United Kingdom.","volume":"53","author":[{"family":"Jenkinson","given":"C"},{"family":"Stewart-Brown","given":"S"},{"family":"Petersen","given":"S"},{"family":"Paice","given":"C"}],"issued":{"date-parts":[["1999"]]}}}],"schema":"https://github.com/citation-style-language/schema/raw/master/csl-citation.json"} </w:instrText>
      </w:r>
      <w:r w:rsidRPr="00684E38">
        <w:rPr>
          <w:rFonts w:cs="Times New Roman"/>
        </w:rPr>
        <w:fldChar w:fldCharType="separate"/>
      </w:r>
      <w:r w:rsidR="00D106AB" w:rsidRPr="00D106AB">
        <w:rPr>
          <w:rFonts w:cs="Times New Roman"/>
        </w:rPr>
        <w:t>(30)</w:t>
      </w:r>
      <w:r w:rsidRPr="00684E38">
        <w:rPr>
          <w:rFonts w:cs="Times New Roman"/>
        </w:rPr>
        <w:fldChar w:fldCharType="end"/>
      </w:r>
      <w:r w:rsidRPr="00684E38">
        <w:rPr>
          <w:rFonts w:cs="Times New Roman"/>
        </w:rPr>
        <w:t xml:space="preserve"> and for UK </w:t>
      </w:r>
      <w:r>
        <w:rPr>
          <w:rFonts w:cs="Times New Roman"/>
        </w:rPr>
        <w:t xml:space="preserve">male </w:t>
      </w:r>
      <w:r w:rsidRPr="00684E38">
        <w:rPr>
          <w:rFonts w:cs="Times New Roman"/>
        </w:rPr>
        <w:t xml:space="preserve">patients with cystic fibrosis (CF) </w:t>
      </w:r>
      <w:r w:rsidRPr="00684E38">
        <w:rPr>
          <w:rFonts w:cs="Times New Roman"/>
        </w:rPr>
        <w:fldChar w:fldCharType="begin"/>
      </w:r>
      <w:r w:rsidR="00D106AB">
        <w:rPr>
          <w:rFonts w:cs="Times New Roman"/>
        </w:rPr>
        <w:instrText xml:space="preserve"> ADDIN ZOTERO_ITEM CSL_CITATION {"citationID":"65gvSK6T","properties":{"formattedCitation":"(31)","plainCitation":"(31)","noteIndex":0},"citationItems":[{"id":1296,"uris":["http://zotero.org/users/12098505/items/WKMWSZAY"],"itemData":{"id":1296,"type":"article-journal","abstract":"BACKGROUND: Generic health-related quality of life measures are often applied to disease groups without assessment of their psychometric properties. The current work assesses the properties of the Short Form 36-item (SF-36) questionnaire in a British sample of adolescents and adults with cystic fibrosis (CF). METHODS: Two hundred and twenty-three adolescents and adults with CF completed the SF-36 with a further 185 approached and not responding by non-completion of the questionnaire. The structure and internal reliability of the instrument was assessed by principal components analysis, Cronbach alpha coefficients and item to domain correlations. Differences between disease severity groups were assessed by analysis of variance. RESULTS: Factor analysis of the SF-36 scores broadly confirmed domain structures for the SF-36. Cronbach alpha coefficients were high (range 0.82-0.91) and item-to-same domain correlations were stronger than item-to-unrelated domain correlations. Examination of differences between mild, moderate and severe disease states revealed four significant main effects for: physical functioning, role limitation due to physical functioning, general health perceptions and energy and vitality. The analysis also revealed the presence of numerous ceiling effects across domains. CONCLUSIONS: The domain structure of the SF-36 was demonstrated to be robust. However, the discriminatory ability of the measure was disappointing. The presence of ceiling effects and the low frequency of differences between intermediate disease severity groups indicated that the SF-36 was not discriminatory with respect to mild disease states or progression of illness.","container-title":"Journal of cystic fibrosis : official journal of the European Cystic Fibrosis Society","DOI":"10.1016/S1569-1993(02)00079-6","issue":"3","page":"137-145","publisher":"Elsevier","title":"Validation of the SF-36 for the assessment of quality of life in adolescents and adults with cystic fibrosis.","volume":"1","author":[{"family":"Gee","given":"L"},{"family":"Abbott","given":"J"},{"family":"Conway","given":"S P"},{"family":"Etherington","given":"C"},{"family":"Webb","given":"A K"}],"issued":{"date-parts":[["2002",9]]}}}],"schema":"https://github.com/citation-style-language/schema/raw/master/csl-citation.json"} </w:instrText>
      </w:r>
      <w:r w:rsidRPr="00684E38">
        <w:rPr>
          <w:rFonts w:cs="Times New Roman"/>
        </w:rPr>
        <w:fldChar w:fldCharType="separate"/>
      </w:r>
      <w:r w:rsidR="00D106AB" w:rsidRPr="00D106AB">
        <w:rPr>
          <w:rFonts w:cs="Times New Roman"/>
        </w:rPr>
        <w:t>(31)</w:t>
      </w:r>
      <w:r w:rsidRPr="00684E38">
        <w:rPr>
          <w:rFonts w:cs="Times New Roman"/>
        </w:rPr>
        <w:fldChar w:fldCharType="end"/>
      </w:r>
      <w:r w:rsidRPr="00684E38">
        <w:rPr>
          <w:rFonts w:cs="Times New Roman"/>
        </w:rPr>
        <w:t xml:space="preserve">. </w:t>
      </w:r>
      <w:r>
        <w:rPr>
          <w:rFonts w:cs="Times New Roman"/>
        </w:rPr>
        <w:t xml:space="preserve">  The mean age of this CF cohort was 25.15 years, and the mean FEV1 percentage prediction was 55.6% </w:t>
      </w:r>
      <w:r>
        <w:rPr>
          <w:rFonts w:cs="Times New Roman"/>
        </w:rPr>
        <w:fldChar w:fldCharType="begin"/>
      </w:r>
      <w:r w:rsidR="00D106AB">
        <w:rPr>
          <w:rFonts w:cs="Times New Roman"/>
        </w:rPr>
        <w:instrText xml:space="preserve"> ADDIN ZOTERO_ITEM CSL_CITATION {"citationID":"1Ko37uJY","properties":{"formattedCitation":"(31)","plainCitation":"(31)","noteIndex":0},"citationItems":[{"id":1296,"uris":["http://zotero.org/users/12098505/items/WKMWSZAY"],"itemData":{"id":1296,"type":"article-journal","abstract":"BACKGROUND: Generic health-related quality of life measures are often applied to disease groups without assessment of their psychometric properties. The current work assesses the properties of the Short Form 36-item (SF-36) questionnaire in a British sample of adolescents and adults with cystic fibrosis (CF). METHODS: Two hundred and twenty-three adolescents and adults with CF completed the SF-36 with a further 185 approached and not responding by non-completion of the questionnaire. The structure and internal reliability of the instrument was assessed by principal components analysis, Cronbach alpha coefficients and item to domain correlations. Differences between disease severity groups were assessed by analysis of variance. RESULTS: Factor analysis of the SF-36 scores broadly confirmed domain structures for the SF-36. Cronbach alpha coefficients were high (range 0.82-0.91) and item-to-same domain correlations were stronger than item-to-unrelated domain correlations. Examination of differences between mild, moderate and severe disease states revealed four significant main effects for: physical functioning, role limitation due to physical functioning, general health perceptions and energy and vitality. The analysis also revealed the presence of numerous ceiling effects across domains. CONCLUSIONS: The domain structure of the SF-36 was demonstrated to be robust. However, the discriminatory ability of the measure was disappointing. The presence of ceiling effects and the low frequency of differences between intermediate disease severity groups indicated that the SF-36 was not discriminatory with respect to mild disease states or progression of illness.","container-title":"Journal of cystic fibrosis : official journal of the European Cystic Fibrosis Society","DOI":"10.1016/S1569-1993(02)00079-6","issue":"3","page":"137-145","publisher":"Elsevier","title":"Validation of the SF-36 for the assessment of quality of life in adolescents and adults with cystic fibrosis.","volume":"1","author":[{"family":"Gee","given":"L"},{"family":"Abbott","given":"J"},{"family":"Conway","given":"S P"},{"family":"Etherington","given":"C"},{"family":"Webb","given":"A K"}],"issued":{"date-parts":[["2002",9]]}}}],"schema":"https://github.com/citation-style-language/schema/raw/master/csl-citation.json"} </w:instrText>
      </w:r>
      <w:r>
        <w:rPr>
          <w:rFonts w:cs="Times New Roman"/>
        </w:rPr>
        <w:fldChar w:fldCharType="separate"/>
      </w:r>
      <w:r w:rsidR="00D106AB" w:rsidRPr="00D106AB">
        <w:rPr>
          <w:rFonts w:cs="Times New Roman"/>
        </w:rPr>
        <w:t>(31)</w:t>
      </w:r>
      <w:r>
        <w:rPr>
          <w:rFonts w:cs="Times New Roman"/>
        </w:rPr>
        <w:fldChar w:fldCharType="end"/>
      </w:r>
      <w:r>
        <w:rPr>
          <w:rFonts w:cs="Times New Roman"/>
        </w:rPr>
        <w:t xml:space="preserve">.  </w:t>
      </w:r>
      <w:r w:rsidRPr="00684E38">
        <w:rPr>
          <w:rFonts w:cs="Times New Roman"/>
        </w:rPr>
        <w:t>Lower scores indicate a lower HRQoL.</w:t>
      </w:r>
    </w:p>
    <w:p w14:paraId="03827E19" w14:textId="27FC48B7" w:rsidR="00FF1EBD" w:rsidRPr="00684E38" w:rsidRDefault="00FF1EBD" w:rsidP="00FF1EBD">
      <w:pPr>
        <w:pStyle w:val="ListParagraph"/>
        <w:numPr>
          <w:ilvl w:val="0"/>
          <w:numId w:val="13"/>
        </w:numPr>
        <w:rPr>
          <w:rFonts w:cs="Times New Roman"/>
        </w:rPr>
      </w:pPr>
      <w:r w:rsidRPr="00684E38">
        <w:rPr>
          <w:rFonts w:cs="Times New Roman"/>
        </w:rPr>
        <w:t xml:space="preserve">PedsQL 4.0 </w:t>
      </w:r>
      <w:r w:rsidRPr="00684E38">
        <w:rPr>
          <w:rFonts w:cs="Times New Roman"/>
        </w:rPr>
        <w:fldChar w:fldCharType="begin"/>
      </w:r>
      <w:r w:rsidR="00D106AB">
        <w:rPr>
          <w:rFonts w:cs="Times New Roman"/>
        </w:rPr>
        <w:instrText xml:space="preserve"> ADDIN ZOTERO_ITEM CSL_CITATION {"citationID":"HbPpLG0D","properties":{"formattedCitation":"(27)","plainCitation":"(27)","noteIndex":0},"citationItems":[{"id":840,"uris":["http://zotero.org/users/12098505/items/Q39WIDHM"],"itemData":{"id":840,"type":"article-journal","abstract":"BACKGROUND: Health related quality of life (HRQL) has been recognised as an important paediatric outcome measurement. One of the more promising measures to emerge in recent years is the Pediatric Quality Of Life Inventory (PedsQL), developed in the US. Advantages of the PedsQL include brevity, availability of age appropriate versions and parallel forms for child and parent. This study developed a UK-English version of PedsQL generic module and assessed its performance in a group of UK children and their parents.\\n\\nMETHODS: PedsQL was translated to UK-English. The psychometric properties of the UK version were then tested following administration to 1399 children and 970 of their parents. The sample included healthy children, children diagnosed with asthma, diabetes or inflammatory bowel disease and children in remission from cancer.\\n\\nRESULTS: Psychometric properties were similar to those reported for the original PedsQL. Internal reliability exceeded 0.70 for all proxy and self-report sub-scales. Discriminant validity was established for proxy and self-report with higher HRQL being reported for healthy children than those with health problems. Sex differences were noted on the emotional functioning subscale, with females reporting lower HRQL than males. Proxy and self-report correlation was higher for children with health problems than for healthy children.\\n\\nCONCLUSION: The UK-English version of PedsQL performed as well as the original PedsQL and is recommended for assessment of paediatric HRQL in the UK.","container-title":"Health and quality of life outcomes","DOI":"10.1186/1477-7525-3-22","ISSN":"1477-7525 (Electronic)\\n1477-7525 (Linking)","page":"22-22","title":"Measurement properties of the UK-English version of the Pediatric Quality of Life Inventory 4.0 (PedsQL) generic core scales.","volume":"3","author":[{"family":"Upton","given":"Penney"},{"family":"Eiser","given":"Christine"},{"family":"Cheung","given":"Ivy"},{"family":"Hutchings","given":"Hayley","dropping-particle":"a"},{"family":"Jenney","given":"Meriel"},{"family":"Maddocks","given":"Alison"},{"family":"Russell","given":"Ian T"},{"family":"Williams","given":"John G"}],"issued":{"date-parts":[["2005"]]}}}],"schema":"https://github.com/citation-style-language/schema/raw/master/csl-citation.json"} </w:instrText>
      </w:r>
      <w:r w:rsidRPr="00684E38">
        <w:rPr>
          <w:rFonts w:cs="Times New Roman"/>
        </w:rPr>
        <w:fldChar w:fldCharType="separate"/>
      </w:r>
      <w:r w:rsidR="00D106AB" w:rsidRPr="00D106AB">
        <w:rPr>
          <w:rFonts w:cs="Times New Roman"/>
        </w:rPr>
        <w:t>(27)</w:t>
      </w:r>
      <w:r w:rsidRPr="00684E38">
        <w:rPr>
          <w:rFonts w:cs="Times New Roman"/>
        </w:rPr>
        <w:fldChar w:fldCharType="end"/>
      </w:r>
    </w:p>
    <w:p w14:paraId="402C272D" w14:textId="29B16B87" w:rsidR="00FF1EBD" w:rsidRPr="00684E38" w:rsidRDefault="00FF1EBD" w:rsidP="00FF1EBD">
      <w:pPr>
        <w:rPr>
          <w:rFonts w:cs="Times New Roman"/>
        </w:rPr>
      </w:pPr>
      <w:r w:rsidRPr="00684E38">
        <w:rPr>
          <w:rFonts w:cs="Times New Roman"/>
        </w:rPr>
        <w:t xml:space="preserve">The PedsQL 4.0 generic core scale questionnaire is a well-recognised self-reporting tool for measuring HRQoL </w:t>
      </w:r>
      <w:r w:rsidRPr="00684E38">
        <w:rPr>
          <w:rFonts w:cs="Times New Roman"/>
        </w:rPr>
        <w:fldChar w:fldCharType="begin"/>
      </w:r>
      <w:r w:rsidR="00D106AB">
        <w:rPr>
          <w:rFonts w:cs="Times New Roman"/>
        </w:rPr>
        <w:instrText xml:space="preserve"> ADDIN ZOTERO_ITEM CSL_CITATION {"citationID":"FqEFf5IM","properties":{"formattedCitation":"(23,49)","plainCitation":"(23,49)","noteIndex":0},"citationItems":[{"id":830,"uris":["http://zotero.org/users/12098505/items/EGJYWJJ4"],"itemData":{"id":830,"type":"article-journal","abstract":"BACKGROUND: The PedsQL (Pediatric Quality of Life Inventory) (Children's Hospital and Health Center, San Diego, California) is a modular instrument for measuring health-related quality of life (HRQOL) in children and adolescents ages 2 to 18. The PedsQL 4.0 Generic Core Scales are multidimensional child self-report and parent proxy-report scales developed as the generic core measure to be integrated with the PedsQL Disease-Specific Modules. The PedsQL 4.0 Generic Core Scales consist of 23 items applicable for healthy school and community populations, as well as pediatric populations with acute and chronic health conditions. METHODS: The 4 PedsQL 4.0 Generic Core Scales (Physical, Emotional, Social, School) were administered to 963 children and 1,629 parents (1,677 subjects accrued overall) recruited from pediatric health care settings. Item-level and scale-level measurement properties were computed. RESULTS: Internal consistency reliability for the Total Scale Score (alpha = 0.88 child, 0.90 parent report), Physical Health Summary Score (alpha = 0.80 child, 0.88 parent), and Psychosocial Health Summary Score (alpha = 0.83 child, 0.86 parent) were acceptable for group comparisons. Validity was demonstrated using the known-groups method, correlations with indicators of morbidity and illness burden, and factor analysis. The PedsQL distinguished between healthy children and pediatric patients with acute or chronic health conditions, was related to indicators of morbidity and illness burden, and displayed a factor-derived solution largely consistent with the a priori conceptually-derived scales. CONCLUSION: The results demonstrate the reliability and validity of the PedsQL 4.0 Generic Core Scales. The PedsQL 4.0 Generic Core Scales may be applicable in clinical trials, research, clinical practice, school health settings, and community populations.","container-title":"Medical care","DOI":"10.1097/00005650-200108000-00006","ISSN":"0025-7079","issue":"8","page":"800-12","title":"PedsQL 4.0: reliability and validity of the Pediatric Quality of Life Inventory version 4.0 generic core scales in healthy and patient populations.","volume":"39","author":[{"family":"Varni","given":"James W"},{"family":"Seid","given":"Michael"},{"family":"Kurtin","given":"Paul S"}],"issued":{"date-parts":[["2001"]]}}},{"id":347,"uris":["http://zotero.org/users/12098505/items/TTNUEB9F"],"itemData":{"id":347,"type":"article-journal","abstract":"INTRODUCTION: The health-related quality of life in X-linked agammaglobulinemia was investigated in 25 children and adolescents patients through the Italian version of Pediatric Quality of Life Inventory 4.0 Generic Core Scale for patients aged less then 18 years, comparing child perception to that of the parents and the physician's evaluation. The data were compared with the ones of 80 healthy controls and the literature data of a group of patients with rheumatic diseases. DISCUSSION: The agammaglobulinemia subjects perceived a lower global quality of life than the healthy subjects, but significantly higher than the rheumatic diseases controls. The clinical relevance of health-related quality of life assessment in X-linked agammaglobulinemia pediatric patients is discussed.","container-title":"Journal of Clinical Immunology","DOI":"10.1007/s10875-008-9270-8","issue":"4","page":"501-507","title":"The quality of life of children and adolescents with X-linked agammaglobulinemia","volume":"29","author":[{"family":"Soresina","given":"Annarosa"},{"family":"Nacinovich","given":"Renata"},{"family":"Bomba","given":"Monica"},{"family":"Cassani","given":"Morena"},{"family":"Molinaro","given":"Anna"},{"family":"Sciotto","given":"Antonella"},{"family":"Martino","given":"Silvana"},{"family":"Cardinale","given":"Fabio"},{"family":"De Mattia","given":"Domenico"},{"family":"Putti","given":"Caterina"},{"family":"Dellepiane","given":"Rosa Maria"},{"family":"Felici","given":"Leonardo"},{"family":"Parrinello","given":"Giovanni"},{"family":"Neri","given":"Francesca"},{"family":"Plebani","given":"Alessandro"},{"family":"Pierani","given":"P."},{"family":"DeMattia","given":"D."},{"family":"Martire","given":"B."},{"family":"Armenio","given":"L."},{"family":"Cardinale","given":"F."},{"family":"Dammacco","given":"F."},{"family":"Ranieri","given":"G."},{"family":"Masi","given":"M."},{"family":"Miniaci","given":"a."},{"family":"Pession","given":"a."},{"family":"Rondelli","given":"R."},{"family":"Plebani","given":"a."},{"family":"Notarangelo","given":"L. D."},{"family":"Soresina","given":"a."},{"literal":"Cao"},{"family":"Cossu","given":"F."},{"family":"Del Giacco","given":"S."},{"family":"Manconi","given":"P."},{"family":"Evangelista","given":"I."},{"family":"Magro","given":"S."},{"family":"Morgione","given":"S."},{"family":"Strisciuglio","given":"P."},{"family":"Anastasio","given":"E."},{"family":"Schillirò","given":"G."},{"family":"Sciotto","given":"a."},{"family":"Paganelli","given":"R."},{"family":"Sticca","given":"M."},{"family":"Sperlì","given":"D."},{"family":"Carpino","given":"L."},{"family":"Bernini","given":"G."},{"family":"Azzari","given":"C."},{"family":"Maggi","given":"E."},{"family":"Romagnani","given":"S."},{"family":"Matucci","given":"a."},{"family":"Vultaggio","given":"a."},{"family":"Castagnola","given":"E."},{"family":"Gattorno","given":"M."},{"family":"Presta","given":"G."},{"family":"Civino","given":"a."},{"family":"Gambaretto","given":"G."},{"family":"Fasoli","given":"S."},{"family":"Salpietro","given":"C."},{"family":"Pietrogrande","given":"M. C."},{"family":"DellePiane","given":"R. M."},{"family":"Panisi","given":"C."},{"family":"Cambiaghi","given":"G."},{"family":"Pietrogrande","given":"M."},{"family":"Roncarolo","given":"M. G."},{"family":"Aiuti","given":"a."},{"family":"Masera","given":"G."},{"family":"Biondi","given":"a."},{"family":"Sala","given":"a."},{"family":"Pignata","given":"C."},{"family":"Poggi","given":"V."},{"family":"Menna","given":"G."},{"family":"Di Nardo","given":"R."},{"family":"D'Apuzzo","given":"a."},{"family":"Pelliccia","given":"a."},{"family":"Correra","given":"a."},{"family":"Marone","given":"G."},{"family":"Spadaro","given":"G."},{"family":"Carli","given":"M."},{"family":"Zanesco","given":"L."},{"family":"Basso","given":"G."},{"family":"Putti","given":"M. C."},{"family":"Semenzato","given":"G."},{"family":"Agostini","given":"C."},{"family":"Amato","given":"G. M."},{"family":"Aricò","given":"M."},{"family":"Trizzino","given":"a."},{"family":"Izzi","given":"G."},{"family":"Bertolini","given":"P."},{"family":"Locatelli","given":"F."},{"family":"Zecca","given":"M."},{"family":"Rondini","given":"G."},{"family":"Marseglia","given":"G. L."},{"family":"Maccario","given":"R."},{"family":"Bossi","given":"G."},{"family":"Felici","given":"L."},{"family":"Favre","given":"C."},{"family":"Consolini","given":"R."},{"family":"Vecchi","given":"V."},{"family":"Sacchini","given":"P."},{"family":"Rinaldi","given":"G."},{"family":"Ugazio","given":"a. G."},{"family":"Rossi","given":"P."},{"family":"Livadiotti","given":"S."},{"family":"Cancrini","given":"C."},{"family":"Finocchi","given":"a."},{"family":"Stabile","given":"a."},{"family":"Duse","given":"M."},{"family":"Iacobini","given":"M."},{"family":"Quinti","given":"I."},{"family":"Moschese","given":"V."},{"family":"Cecere","given":"F."},{"family":"Morgese","given":"G."},{"family":"Acquaviva","given":"a."},{"family":"De Zan","given":"G."},{"family":"Strafella","given":"S."},{"family":"Tamaro","given":"P."},{"family":"Rabusin","given":"M."},{"family":"Tovo","given":"P.","dropping-particle":"a."},{"family":"Martino","given":"S."},{"family":"Nespoli","given":"L."},{"family":"Marinoni","given":"M."},{"family":"Porcellini","given":"a."},{"family":"Cazzola","given":"G.","dropping-particle":"a."}],"issued":{"date-parts":[["2009"]]}}}],"schema":"https://github.com/citation-style-language/schema/raw/master/csl-citation.json"} </w:instrText>
      </w:r>
      <w:r w:rsidRPr="00684E38">
        <w:rPr>
          <w:rFonts w:cs="Times New Roman"/>
        </w:rPr>
        <w:fldChar w:fldCharType="separate"/>
      </w:r>
      <w:r w:rsidR="00D106AB" w:rsidRPr="00D106AB">
        <w:rPr>
          <w:rFonts w:cs="Times New Roman"/>
        </w:rPr>
        <w:t>(23,49)</w:t>
      </w:r>
      <w:r w:rsidRPr="00684E38">
        <w:rPr>
          <w:rFonts w:cs="Times New Roman"/>
        </w:rPr>
        <w:fldChar w:fldCharType="end"/>
      </w:r>
      <w:r w:rsidRPr="00684E38">
        <w:rPr>
          <w:rFonts w:cs="Times New Roman"/>
        </w:rPr>
        <w:t>.</w:t>
      </w:r>
      <w:r>
        <w:rPr>
          <w:rFonts w:cs="Times New Roman"/>
        </w:rPr>
        <w:t xml:space="preserve"> </w:t>
      </w:r>
      <w:r w:rsidRPr="003B4507">
        <w:rPr>
          <w:rFonts w:cs="Times New Roman"/>
        </w:rPr>
        <w:t xml:space="preserve">This tool assesses health status across four domains; </w:t>
      </w:r>
      <w:r>
        <w:rPr>
          <w:rFonts w:cs="Times New Roman"/>
        </w:rPr>
        <w:t>for example</w:t>
      </w:r>
      <w:r w:rsidRPr="003B4507">
        <w:rPr>
          <w:rFonts w:cs="Times New Roman"/>
        </w:rPr>
        <w:t xml:space="preserve">, the </w:t>
      </w:r>
      <w:r w:rsidRPr="00B34BF7">
        <w:rPr>
          <w:rFonts w:cs="Times New Roman"/>
        </w:rPr>
        <w:t>Social Functioning</w:t>
      </w:r>
      <w:r w:rsidRPr="003B4507">
        <w:rPr>
          <w:rFonts w:cs="Times New Roman"/>
        </w:rPr>
        <w:t xml:space="preserve"> subscale measures a child's ability to interact with peers and keep up with others their own ag</w:t>
      </w:r>
      <w:r>
        <w:rPr>
          <w:rFonts w:cs="Times New Roman"/>
        </w:rPr>
        <w:t xml:space="preserve">e </w:t>
      </w:r>
      <w:r>
        <w:rPr>
          <w:rFonts w:cs="Times New Roman"/>
        </w:rPr>
        <w:fldChar w:fldCharType="begin"/>
      </w:r>
      <w:r w:rsidR="00D106AB">
        <w:rPr>
          <w:rFonts w:cs="Times New Roman"/>
        </w:rPr>
        <w:instrText xml:space="preserve"> ADDIN ZOTERO_ITEM CSL_CITATION {"citationID":"zMv1EBZH","properties":{"formattedCitation":"(27)","plainCitation":"(27)","noteIndex":0},"citationItems":[{"id":840,"uris":["http://zotero.org/users/12098505/items/Q39WIDHM"],"itemData":{"id":840,"type":"article-journal","abstract":"BACKGROUND: Health related quality of life (HRQL) has been recognised as an important paediatric outcome measurement. One of the more promising measures to emerge in recent years is the Pediatric Quality Of Life Inventory (PedsQL), developed in the US. Advantages of the PedsQL include brevity, availability of age appropriate versions and parallel forms for child and parent. This study developed a UK-English version of PedsQL generic module and assessed its performance in a group of UK children and their parents.\\n\\nMETHODS: PedsQL was translated to UK-English. The psychometric properties of the UK version were then tested following administration to 1399 children and 970 of their parents. The sample included healthy children, children diagnosed with asthma, diabetes or inflammatory bowel disease and children in remission from cancer.\\n\\nRESULTS: Psychometric properties were similar to those reported for the original PedsQL. Internal reliability exceeded 0.70 for all proxy and self-report sub-scales. Discriminant validity was established for proxy and self-report with higher HRQL being reported for healthy children than those with health problems. Sex differences were noted on the emotional functioning subscale, with females reporting lower HRQL than males. Proxy and self-report correlation was higher for children with health problems than for healthy children.\\n\\nCONCLUSION: The UK-English version of PedsQL performed as well as the original PedsQL and is recommended for assessment of paediatric HRQL in the UK.","container-title":"Health and quality of life outcomes","DOI":"10.1186/1477-7525-3-22","ISSN":"1477-7525 (Electronic)\\n1477-7525 (Linking)","page":"22-22","title":"Measurement properties of the UK-English version of the Pediatric Quality of Life Inventory 4.0 (PedsQL) generic core scales.","volume":"3","author":[{"family":"Upton","given":"Penney"},{"family":"Eiser","given":"Christine"},{"family":"Cheung","given":"Ivy"},{"family":"Hutchings","given":"Hayley","dropping-particle":"a"},{"family":"Jenney","given":"Meriel"},{"family":"Maddocks","given":"Alison"},{"family":"Russell","given":"Ian T"},{"family":"Williams","given":"John G"}],"issued":{"date-parts":[["2005"]]}}}],"schema":"https://github.com/citation-style-language/schema/raw/master/csl-citation.json"} </w:instrText>
      </w:r>
      <w:r>
        <w:rPr>
          <w:rFonts w:cs="Times New Roman"/>
        </w:rPr>
        <w:fldChar w:fldCharType="separate"/>
      </w:r>
      <w:r w:rsidR="00D106AB" w:rsidRPr="00D106AB">
        <w:rPr>
          <w:rFonts w:cs="Times New Roman"/>
        </w:rPr>
        <w:t>(27)</w:t>
      </w:r>
      <w:r>
        <w:rPr>
          <w:rFonts w:cs="Times New Roman"/>
        </w:rPr>
        <w:fldChar w:fldCharType="end"/>
      </w:r>
      <w:r>
        <w:rPr>
          <w:rFonts w:cs="Times New Roman"/>
        </w:rPr>
        <w:t>.</w:t>
      </w:r>
      <w:r w:rsidRPr="00684E38">
        <w:rPr>
          <w:rFonts w:cs="Times New Roman"/>
        </w:rPr>
        <w:t xml:space="preserve">  It has been well validated, shown to be reliable and able to differentiate between healthy children and those with chronic diseases </w:t>
      </w:r>
      <w:r w:rsidRPr="00684E38">
        <w:rPr>
          <w:rFonts w:cs="Times New Roman"/>
        </w:rPr>
        <w:fldChar w:fldCharType="begin"/>
      </w:r>
      <w:r w:rsidR="00D106AB">
        <w:rPr>
          <w:rFonts w:cs="Times New Roman"/>
        </w:rPr>
        <w:instrText xml:space="preserve"> ADDIN ZOTERO_ITEM CSL_CITATION {"citationID":"L4ebjMYx","properties":{"formattedCitation":"(49)","plainCitation":"(49)","noteIndex":0},"citationItems":[{"id":830,"uris":["http://zotero.org/users/12098505/items/EGJYWJJ4"],"itemData":{"id":830,"type":"article-journal","abstract":"BACKGROUND: The PedsQL (Pediatric Quality of Life Inventory) (Children's Hospital and Health Center, San Diego, California) is a modular instrument for measuring health-related quality of life (HRQOL) in children and adolescents ages 2 to 18. The PedsQL 4.0 Generic Core Scales are multidimensional child self-report and parent proxy-report scales developed as the generic core measure to be integrated with the PedsQL Disease-Specific Modules. The PedsQL 4.0 Generic Core Scales consist of 23 items applicable for healthy school and community populations, as well as pediatric populations with acute and chronic health conditions. METHODS: The 4 PedsQL 4.0 Generic Core Scales (Physical, Emotional, Social, School) were administered to 963 children and 1,629 parents (1,677 subjects accrued overall) recruited from pediatric health care settings. Item-level and scale-level measurement properties were computed. RESULTS: Internal consistency reliability for the Total Scale Score (alpha = 0.88 child, 0.90 parent report), Physical Health Summary Score (alpha = 0.80 child, 0.88 parent), and Psychosocial Health Summary Score (alpha = 0.83 child, 0.86 parent) were acceptable for group comparisons. Validity was demonstrated using the known-groups method, correlations with indicators of morbidity and illness burden, and factor analysis. The PedsQL distinguished between healthy children and pediatric patients with acute or chronic health conditions, was related to indicators of morbidity and illness burden, and displayed a factor-derived solution largely consistent with the a priori conceptually-derived scales. CONCLUSION: The results demonstrate the reliability and validity of the PedsQL 4.0 Generic Core Scales. The PedsQL 4.0 Generic Core Scales may be applicable in clinical trials, research, clinical practice, school health settings, and community populations.","container-title":"Medical care","DOI":"10.1097/00005650-200108000-00006","ISSN":"0025-7079","issue":"8","page":"800-12","title":"PedsQL 4.0: reliability and validity of the Pediatric Quality of Life Inventory version 4.0 generic core scales in healthy and patient populations.","volume":"39","author":[{"family":"Varni","given":"James W"},{"family":"Seid","given":"Michael"},{"family":"Kurtin","given":"Paul S"}],"issued":{"date-parts":[["2001"]]}}}],"schema":"https://github.com/citation-style-language/schema/raw/master/csl-citation.json"} </w:instrText>
      </w:r>
      <w:r w:rsidRPr="00684E38">
        <w:rPr>
          <w:rFonts w:cs="Times New Roman"/>
        </w:rPr>
        <w:fldChar w:fldCharType="separate"/>
      </w:r>
      <w:r w:rsidR="00D106AB" w:rsidRPr="00D106AB">
        <w:rPr>
          <w:rFonts w:cs="Times New Roman"/>
        </w:rPr>
        <w:t>(49)</w:t>
      </w:r>
      <w:r w:rsidRPr="00684E38">
        <w:rPr>
          <w:rFonts w:cs="Times New Roman"/>
        </w:rPr>
        <w:fldChar w:fldCharType="end"/>
      </w:r>
      <w:r w:rsidRPr="00684E38">
        <w:rPr>
          <w:rFonts w:cs="Times New Roman"/>
        </w:rPr>
        <w:t xml:space="preserve">. It has been used previously to study the quality of life in patients with primary antibody deficiency (PAD) </w:t>
      </w:r>
      <w:r w:rsidRPr="00684E38">
        <w:rPr>
          <w:rFonts w:cs="Times New Roman"/>
        </w:rPr>
        <w:fldChar w:fldCharType="begin"/>
      </w:r>
      <w:r>
        <w:rPr>
          <w:rFonts w:cs="Times New Roman"/>
        </w:rPr>
        <w:instrText xml:space="preserve"> ADDIN ZOTERO_ITEM CSL_CITATION {"citationID":"FsziWSsG","properties":{"formattedCitation":"(24)","plainCitation":"(24)","noteIndex":0},"citationItems":[{"id":505,"uris":["http://zotero.org/users/12098505/items/VTLFI9VQ"],"itemData":{"id":505,"type":"article-journal","container-title":"Journal of Clinical Immunology","DOI":"10.1007/s10875-014-0072-x","issue":"7","page":"844-852","title":"Quality of Life in Children with Primary Antibody Deficiency","volume":"34","author":[{"family":"Titman","given":"P."},{"family":"Allwood","given":"Z."},{"family":"Gilmour","given":"C."},{"family":"Malcolmson","given":"C."},{"family":"Duran-Persson","given":"C."},{"family":"Cale","given":"C."},{"family":"Davies","given":"G."},{"family":"Gaspar","given":"H."},{"family":"Jones","given":"a."}],"issued":{"date-parts":[["2014"]]}}}],"schema":"https://github.com/citation-style-language/schema/raw/master/csl-citation.json"} </w:instrText>
      </w:r>
      <w:r w:rsidRPr="00684E38">
        <w:rPr>
          <w:rFonts w:cs="Times New Roman"/>
        </w:rPr>
        <w:fldChar w:fldCharType="separate"/>
      </w:r>
      <w:r w:rsidRPr="006666AC">
        <w:rPr>
          <w:rFonts w:cs="Times New Roman"/>
        </w:rPr>
        <w:t>(24)</w:t>
      </w:r>
      <w:r w:rsidRPr="00684E38">
        <w:rPr>
          <w:rFonts w:cs="Times New Roman"/>
        </w:rPr>
        <w:fldChar w:fldCharType="end"/>
      </w:r>
      <w:r w:rsidRPr="00684E38">
        <w:rPr>
          <w:rFonts w:cs="Times New Roman"/>
        </w:rPr>
        <w:t xml:space="preserve">.  There are modified versions of the questionnaire for children and young people, depending on their age and a separate one for parents.  The questionnaire was given to children aged 5 to 16 and parents of children aged 2-16.  The data were compared against UK population norms </w:t>
      </w:r>
      <w:r w:rsidRPr="00684E38">
        <w:rPr>
          <w:rFonts w:cs="Times New Roman"/>
        </w:rPr>
        <w:fldChar w:fldCharType="begin"/>
      </w:r>
      <w:r w:rsidR="00D106AB">
        <w:rPr>
          <w:rFonts w:cs="Times New Roman"/>
        </w:rPr>
        <w:instrText xml:space="preserve"> ADDIN ZOTERO_ITEM CSL_CITATION {"citationID":"u215He0M","properties":{"formattedCitation":"(27)","plainCitation":"(27)","noteIndex":0},"citationItems":[{"id":840,"uris":["http://zotero.org/users/12098505/items/Q39WIDHM"],"itemData":{"id":840,"type":"article-journal","abstract":"BACKGROUND: Health related quality of life (HRQL) has been recognised as an important paediatric outcome measurement. One of the more promising measures to emerge in recent years is the Pediatric Quality Of Life Inventory (PedsQL), developed in the US. Advantages of the PedsQL include brevity, availability of age appropriate versions and parallel forms for child and parent. This study developed a UK-English version of PedsQL generic module and assessed its performance in a group of UK children and their parents.\\n\\nMETHODS: PedsQL was translated to UK-English. The psychometric properties of the UK version were then tested following administration to 1399 children and 970 of their parents. The sample included healthy children, children diagnosed with asthma, diabetes or inflammatory bowel disease and children in remission from cancer.\\n\\nRESULTS: Psychometric properties were similar to those reported for the original PedsQL. Internal reliability exceeded 0.70 for all proxy and self-report sub-scales. Discriminant validity was established for proxy and self-report with higher HRQL being reported for healthy children than those with health problems. Sex differences were noted on the emotional functioning subscale, with females reporting lower HRQL than males. Proxy and self-report correlation was higher for children with health problems than for healthy children.\\n\\nCONCLUSION: The UK-English version of PedsQL performed as well as the original PedsQL and is recommended for assessment of paediatric HRQL in the UK.","container-title":"Health and quality of life outcomes","DOI":"10.1186/1477-7525-3-22","ISSN":"1477-7525 (Electronic)\\n1477-7525 (Linking)","page":"22-22","title":"Measurement properties of the UK-English version of the Pediatric Quality of Life Inventory 4.0 (PedsQL) generic core scales.","volume":"3","author":[{"family":"Upton","given":"Penney"},{"family":"Eiser","given":"Christine"},{"family":"Cheung","given":"Ivy"},{"family":"Hutchings","given":"Hayley","dropping-particle":"a"},{"family":"Jenney","given":"Meriel"},{"family":"Maddocks","given":"Alison"},{"family":"Russell","given":"Ian T"},{"family":"Williams","given":"John G"}],"issued":{"date-parts":[["2005"]]}}}],"schema":"https://github.com/citation-style-language/schema/raw/master/csl-citation.json"} </w:instrText>
      </w:r>
      <w:r w:rsidRPr="00684E38">
        <w:rPr>
          <w:rFonts w:cs="Times New Roman"/>
        </w:rPr>
        <w:fldChar w:fldCharType="separate"/>
      </w:r>
      <w:r w:rsidR="00D106AB" w:rsidRPr="00D106AB">
        <w:rPr>
          <w:rFonts w:cs="Times New Roman"/>
        </w:rPr>
        <w:t>(27)</w:t>
      </w:r>
      <w:r w:rsidRPr="00684E38">
        <w:rPr>
          <w:rFonts w:cs="Times New Roman"/>
        </w:rPr>
        <w:fldChar w:fldCharType="end"/>
      </w:r>
      <w:r w:rsidRPr="00684E38">
        <w:rPr>
          <w:rFonts w:cs="Times New Roman"/>
        </w:rPr>
        <w:t xml:space="preserve"> and patients with CF</w:t>
      </w:r>
      <w:r>
        <w:rPr>
          <w:rFonts w:cs="Times New Roman"/>
        </w:rPr>
        <w:t xml:space="preserve"> (male and female)</w:t>
      </w:r>
      <w:r w:rsidRPr="00684E38">
        <w:rPr>
          <w:rFonts w:cs="Times New Roman"/>
        </w:rPr>
        <w:t xml:space="preserve"> </w:t>
      </w:r>
      <w:r w:rsidRPr="00684E38">
        <w:rPr>
          <w:rFonts w:cs="Times New Roman"/>
        </w:rPr>
        <w:fldChar w:fldCharType="begin"/>
      </w:r>
      <w:r w:rsidR="00D106AB">
        <w:rPr>
          <w:rFonts w:cs="Times New Roman"/>
        </w:rPr>
        <w:instrText xml:space="preserve"> ADDIN ZOTERO_ITEM CSL_CITATION {"citationID":"m1ujarUW","properties":{"formattedCitation":"(28)","plainCitation":"(28)","noteIndex":0},"citationItems":[{"id":1120,"uris":["http://zotero.org/users/12098505/items/688G2FJF"],"itemData":{"id":1120,"type":"article-journal","abstract":"OBJECTIVES To assess the health-related quality-of-life (HRQOL) of children/adolescents with cystic fibrosis (CF) and compare HRQOL in children managed by cystic fibrosis outreach service (CFOS) with those treated in a cystic fibrosis center (CFC). To compare HRQOL of children with CF in Queensland with previously published HRQOL data from the United States and examine the relationship between HRQOL scores and pulmonary function. STUDY DESIGN Participants were children/adolescents with CF and their parents managed by the Royal Children’s Hospital Queensland at a CFC or CFOS. Two HRQOL surveys were used: PedsQL™ and Cystic Fibrosis Questionnaire (CFQ). RESULTS There were 91 CFC and 71 CFOS participants with similar demographics. PedsQL™ total summary score was statistically higher in CFOS, P = .05. There was no significant difference in CFQ scores between groups. Queensland parents reported lower HRQOL for their children compared with US parents (P&lt;.01) despite similar pulmonary function. Declining pulmonary function correlated with worse CFQ scores in adolescents, P &lt;.05. CONCLUSIONS Children living in regional Queensland reported as good as or slightly better HRQOL compared with children attending a CFC. Parent proxy HRQOL scores were generally low suggesting a reduced perception of HRQOL by parents for their children.","container-title":"The Journal of Pediatrics","DOI":"10.1016/j.jpeds.2005.11.040","issue":"4","page":"508-516.e1","publisher":"Mosby","title":"Quality-of-life in children and adolescents with cystic fibrosis managed in both regional outreach and cystic fibrosis center settings in queensland","volume":"148","author":[{"family":"Thomas","given":"Clare"},{"family":"Mitchell","given":"Penny"},{"family":"O’Rourke","given":"Peter"},{"family":"Wainwright","given":"Claire"}],"issued":{"date-parts":[["2006",4]]}}}],"schema":"https://github.com/citation-style-language/schema/raw/master/csl-citation.json"} </w:instrText>
      </w:r>
      <w:r w:rsidRPr="00684E38">
        <w:rPr>
          <w:rFonts w:cs="Times New Roman"/>
        </w:rPr>
        <w:fldChar w:fldCharType="separate"/>
      </w:r>
      <w:r w:rsidR="00D106AB" w:rsidRPr="00D106AB">
        <w:rPr>
          <w:rFonts w:cs="Times New Roman"/>
        </w:rPr>
        <w:t>(28)</w:t>
      </w:r>
      <w:r w:rsidRPr="00684E38">
        <w:rPr>
          <w:rFonts w:cs="Times New Roman"/>
        </w:rPr>
        <w:fldChar w:fldCharType="end"/>
      </w:r>
      <w:r w:rsidRPr="00684E38">
        <w:rPr>
          <w:rFonts w:cs="Times New Roman"/>
        </w:rPr>
        <w:t>.</w:t>
      </w:r>
      <w:r>
        <w:rPr>
          <w:rFonts w:cs="Times New Roman"/>
        </w:rPr>
        <w:t xml:space="preserve">  The age range of this CF cohort was 2-18 years, with a mean FEV1 percentage predicted of 88.5% </w:t>
      </w:r>
      <w:r>
        <w:rPr>
          <w:rFonts w:cs="Times New Roman"/>
        </w:rPr>
        <w:fldChar w:fldCharType="begin"/>
      </w:r>
      <w:r w:rsidR="00D106AB">
        <w:rPr>
          <w:rFonts w:cs="Times New Roman"/>
        </w:rPr>
        <w:instrText xml:space="preserve"> ADDIN ZOTERO_ITEM CSL_CITATION {"citationID":"mwL4zRWk","properties":{"formattedCitation":"(28)","plainCitation":"(28)","noteIndex":0},"citationItems":[{"id":1120,"uris":["http://zotero.org/users/12098505/items/688G2FJF"],"itemData":{"id":1120,"type":"article-journal","abstract":"OBJECTIVES To assess the health-related quality-of-life (HRQOL) of children/adolescents with cystic fibrosis (CF) and compare HRQOL in children managed by cystic fibrosis outreach service (CFOS) with those treated in a cystic fibrosis center (CFC). To compare HRQOL of children with CF in Queensland with previously published HRQOL data from the United States and examine the relationship between HRQOL scores and pulmonary function. STUDY DESIGN Participants were children/adolescents with CF and their parents managed by the Royal Children’s Hospital Queensland at a CFC or CFOS. Two HRQOL surveys were used: PedsQL™ and Cystic Fibrosis Questionnaire (CFQ). RESULTS There were 91 CFC and 71 CFOS participants with similar demographics. PedsQL™ total summary score was statistically higher in CFOS, P = .05. There was no significant difference in CFQ scores between groups. Queensland parents reported lower HRQOL for their children compared with US parents (P&lt;.01) despite similar pulmonary function. Declining pulmonary function correlated with worse CFQ scores in adolescents, P &lt;.05. CONCLUSIONS Children living in regional Queensland reported as good as or slightly better HRQOL compared with children attending a CFC. Parent proxy HRQOL scores were generally low suggesting a reduced perception of HRQOL by parents for their children.","container-title":"The Journal of Pediatrics","DOI":"10.1016/j.jpeds.2005.11.040","issue":"4","page":"508-516.e1","publisher":"Mosby","title":"Quality-of-life in children and adolescents with cystic fibrosis managed in both regional outreach and cystic fibrosis center settings in queensland","volume":"148","author":[{"family":"Thomas","given":"Clare"},{"family":"Mitchell","given":"Penny"},{"family":"O’Rourke","given":"Peter"},{"family":"Wainwright","given":"Claire"}],"issued":{"date-parts":[["2006",4]]}}}],"schema":"https://github.com/citation-style-language/schema/raw/master/csl-citation.json"} </w:instrText>
      </w:r>
      <w:r>
        <w:rPr>
          <w:rFonts w:cs="Times New Roman"/>
        </w:rPr>
        <w:fldChar w:fldCharType="separate"/>
      </w:r>
      <w:r w:rsidR="00D106AB" w:rsidRPr="00D106AB">
        <w:rPr>
          <w:rFonts w:cs="Times New Roman"/>
        </w:rPr>
        <w:t>(28)</w:t>
      </w:r>
      <w:r>
        <w:rPr>
          <w:rFonts w:cs="Times New Roman"/>
        </w:rPr>
        <w:fldChar w:fldCharType="end"/>
      </w:r>
      <w:r>
        <w:rPr>
          <w:rFonts w:cs="Times New Roman"/>
        </w:rPr>
        <w:t xml:space="preserve">. </w:t>
      </w:r>
      <w:r w:rsidRPr="00684E38">
        <w:rPr>
          <w:rFonts w:cs="Times New Roman"/>
        </w:rPr>
        <w:t xml:space="preserve"> Lower scores indicate a lower HRQoL.</w:t>
      </w:r>
    </w:p>
    <w:p w14:paraId="78E7B59F" w14:textId="539E1E6C" w:rsidR="00FF1EBD" w:rsidRPr="00684E38" w:rsidRDefault="00FF1EBD" w:rsidP="00FF1EBD">
      <w:pPr>
        <w:pStyle w:val="ListParagraph"/>
        <w:numPr>
          <w:ilvl w:val="0"/>
          <w:numId w:val="13"/>
        </w:numPr>
        <w:rPr>
          <w:rFonts w:cs="Times New Roman"/>
        </w:rPr>
      </w:pPr>
      <w:r w:rsidRPr="00684E38">
        <w:rPr>
          <w:rFonts w:cs="Times New Roman"/>
        </w:rPr>
        <w:t xml:space="preserve">The St George’s Respiratory Questionnaire (SGRQ) </w:t>
      </w:r>
      <w:r w:rsidRPr="00684E38">
        <w:rPr>
          <w:rFonts w:cs="Times New Roman"/>
        </w:rPr>
        <w:fldChar w:fldCharType="begin"/>
      </w:r>
      <w:r w:rsidR="00D106AB">
        <w:rPr>
          <w:rFonts w:cs="Times New Roman"/>
        </w:rPr>
        <w:instrText xml:space="preserve"> ADDIN ZOTERO_ITEM CSL_CITATION {"citationID":"IvWgV27K","properties":{"formattedCitation":"(32)","plainCitation":"(32)","noteIndex":0},"citationItems":[{"id":369,"uris":["http://zotero.org/users/12098505/items/788KNKPJ"],"itemData":{"id":369,"type":"article-journal","issue":"June","page":"0-16","title":"SGRQ Manual June 2009","volume":"44","author":[{"family":"Jones","given":"Paul W"}],"issued":{"date-parts":[["2009"]]}}}],"schema":"https://github.com/citation-style-language/schema/raw/master/csl-citation.json"} </w:instrText>
      </w:r>
      <w:r w:rsidRPr="00684E38">
        <w:rPr>
          <w:rFonts w:cs="Times New Roman"/>
        </w:rPr>
        <w:fldChar w:fldCharType="separate"/>
      </w:r>
      <w:r w:rsidR="00D106AB" w:rsidRPr="00D106AB">
        <w:rPr>
          <w:rFonts w:cs="Times New Roman"/>
        </w:rPr>
        <w:t>(32)</w:t>
      </w:r>
      <w:r w:rsidRPr="00684E38">
        <w:rPr>
          <w:rFonts w:cs="Times New Roman"/>
        </w:rPr>
        <w:fldChar w:fldCharType="end"/>
      </w:r>
    </w:p>
    <w:p w14:paraId="6C2F9184" w14:textId="22A75CC3" w:rsidR="00FF1EBD" w:rsidRPr="00684E38" w:rsidRDefault="00FF1EBD" w:rsidP="00FF1EBD">
      <w:pPr>
        <w:rPr>
          <w:rFonts w:cs="Times New Roman"/>
        </w:rPr>
      </w:pPr>
      <w:r w:rsidRPr="00684E38">
        <w:rPr>
          <w:rFonts w:cs="Times New Roman"/>
        </w:rPr>
        <w:t>The St. George’s respiratory questionnaire (SGRQ) is a widely used tool for recording HRQoL regarding respiratory health in adults</w:t>
      </w:r>
      <w:r>
        <w:rPr>
          <w:rFonts w:cs="Times New Roman"/>
        </w:rPr>
        <w:t xml:space="preserve">, measuring the impact of chronic respiratory symptoms and (e.g., cough and wheeze) associated activity limitations on daily life </w:t>
      </w:r>
      <w:r>
        <w:rPr>
          <w:rFonts w:cs="Times New Roman"/>
        </w:rPr>
        <w:fldChar w:fldCharType="begin"/>
      </w:r>
      <w:r w:rsidR="00D106AB">
        <w:rPr>
          <w:rFonts w:cs="Times New Roman"/>
        </w:rPr>
        <w:instrText xml:space="preserve"> ADDIN ZOTERO_ITEM CSL_CITATION {"citationID":"0ctpxb3w","properties":{"formattedCitation":"(32)","plainCitation":"(32)","noteIndex":0},"citationItems":[{"id":369,"uris":["http://zotero.org/users/12098505/items/788KNKPJ"],"itemData":{"id":369,"type":"article-journal","issue":"June","page":"0-16","title":"SGRQ Manual June 2009","volume":"44","author":[{"family":"Jones","given":"Paul W"}],"issued":{"date-parts":[["2009"]]}}}],"schema":"https://github.com/citation-style-language/schema/raw/master/csl-citation.json"} </w:instrText>
      </w:r>
      <w:r>
        <w:rPr>
          <w:rFonts w:cs="Times New Roman"/>
        </w:rPr>
        <w:fldChar w:fldCharType="separate"/>
      </w:r>
      <w:r w:rsidR="00D106AB" w:rsidRPr="00D106AB">
        <w:rPr>
          <w:rFonts w:cs="Times New Roman"/>
        </w:rPr>
        <w:t>(32)</w:t>
      </w:r>
      <w:r>
        <w:rPr>
          <w:rFonts w:cs="Times New Roman"/>
        </w:rPr>
        <w:fldChar w:fldCharType="end"/>
      </w:r>
      <w:r>
        <w:rPr>
          <w:rFonts w:cs="Times New Roman"/>
        </w:rPr>
        <w:t>.</w:t>
      </w:r>
      <w:r w:rsidRPr="00684E38">
        <w:rPr>
          <w:rFonts w:cs="Times New Roman"/>
        </w:rPr>
        <w:t xml:space="preserve">  It was initially designed for chronic obstructive pulmonary disease (COPD) and asthma but has since been well validated in bronchiectasis </w:t>
      </w:r>
      <w:r w:rsidRPr="00684E38">
        <w:rPr>
          <w:rFonts w:cs="Times New Roman"/>
        </w:rPr>
        <w:fldChar w:fldCharType="begin"/>
      </w:r>
      <w:r w:rsidR="00D106AB">
        <w:rPr>
          <w:rFonts w:cs="Times New Roman"/>
        </w:rPr>
        <w:instrText xml:space="preserve"> ADDIN ZOTERO_ITEM CSL_CITATION {"citationID":"uA8cisfF","properties":{"formattedCitation":"(50)","plainCitation":"(50)","noteIndex":0},"citationItems":[{"id":905,"uris":["http://zotero.org/users/12098505/items/6KR7E6SC"],"itemData":{"id":905,"type":"article-journal","abstract":"There is no disease-specific instrument available for health status assessment in bronchiectasis. We examined the stability, validity and responsiveness of a measure designed for asthma and COPD, the St. George's Respiratory Questionnaire (SGRQ), in this condition. One hundred and eleven patients were studied on 2 separate d 6 mo apart. On both days each patient completed the SGRQ and measures of general and disease-specific health, mood, and fatigue. They also performed a shuttle walking test and comprehensive lung function tests. Repeatability was tested over 2 wk in 23 patients. The intraclass correlation (ri) for the SGRQ Total score was 0.97. The SGRQ component scores correlated well with relevant markers of disease activity. Examples include: SGRQ Symptoms score versus MRC Wheeze score, r = 0.634, p &lt; 0.0001; Activity score versus shuttle walking test, r = -0.659, p &lt; 0.0001; and impacts score versus physical fatigue, r = 0.610, p &lt; 0.0001. Changes in the SGRQ Total score from entry to follow-up also correlated with changes in other measures of the patients' health. There were significant differences in the SGRQ total score between patients who improved and those who deteriorated over the 6 mo in respect to wheeze (F = 5.6, p &lt; 0.01) and breathlessness (F = 6.05, p &lt; 0.01). We conclude that the SGRQ reflects impaired health in bronchiectasis patients.","container-title":"American Journal of Respiratory and Critical Care Medicine","DOI":"10.1097/00008483-199803000-00011","issue":"2 I","page":"536-541","title":"Validation of the St. George's respiratory questionnaire in bronchiectasis","volume":"156","author":[{"family":"Wilson","given":"Carolyn B."},{"family":"Jones","given":"Paul W."},{"family":"O'Leary","given":"Catherine J."},{"family":"Cole","given":"Peter J."},{"family":"Wilson","given":"Robert"}],"issued":{"date-parts":[["1997"]]}}}],"schema":"https://github.com/citation-style-language/schema/raw/master/csl-citation.json"} </w:instrText>
      </w:r>
      <w:r w:rsidRPr="00684E38">
        <w:rPr>
          <w:rFonts w:cs="Times New Roman"/>
        </w:rPr>
        <w:fldChar w:fldCharType="separate"/>
      </w:r>
      <w:r w:rsidR="00D106AB" w:rsidRPr="00D106AB">
        <w:rPr>
          <w:rFonts w:cs="Times New Roman"/>
        </w:rPr>
        <w:t>(50)</w:t>
      </w:r>
      <w:r w:rsidRPr="00684E38">
        <w:rPr>
          <w:rFonts w:cs="Times New Roman"/>
        </w:rPr>
        <w:fldChar w:fldCharType="end"/>
      </w:r>
      <w:r w:rsidRPr="00684E38">
        <w:rPr>
          <w:rFonts w:cs="Times New Roman"/>
        </w:rPr>
        <w:t xml:space="preserve"> including a direct correlation with mortality </w:t>
      </w:r>
      <w:r w:rsidRPr="00684E38">
        <w:rPr>
          <w:rFonts w:cs="Times New Roman"/>
        </w:rPr>
        <w:fldChar w:fldCharType="begin"/>
      </w:r>
      <w:r w:rsidR="00D106AB">
        <w:rPr>
          <w:rFonts w:cs="Times New Roman"/>
        </w:rPr>
        <w:instrText xml:space="preserve"> ADDIN ZOTERO_ITEM CSL_CITATION {"citationID":"2HxGJUwG","properties":{"formattedCitation":"(51)","plainCitation":"(51)","noteIndex":0},"citationItems":[{"id":756,"uris":["http://zotero.org/users/12098505/items/6T2T9H4D"],"itemData":{"id":756,"type":"article-journal","abstract":"There is little literature about the mortality associated with bronchiectasis. The aim of the present study was to investigate factors affecting mortality in patients with bronchiectasis. In total, 91 patients were examined for aetiology, pulmonary function tests, high-resolution computed tomography, sputum microbiology and quality of life scores and were then followed over 13 yrs. Overall, 29.7% of the patients died. On multivariate analysis, age, St George’s Respiratory Questionnaire activity score, Pseudomonas aeruginosa infection, total lung capacity (TLC), residual volume/TLC and the transfer factor coefficient were all independently associated with mortality. In patients with moderate to severe bronchiectasis, mortality is associated with a degree of restrictive and obstructive disease, poor gas transfer and chronic pseudomonas infection. These features should guide future research into disease progression, and identify those patients needing intensive treatment. KEYWORDS:","container-title":"European Respiratory Journal","DOI":"10.1183/09031936.00003709","ISSN":"1399-3003 (Electronic)\\r0903-1936 (Linking)","issue":"4","page":"843-849","title":"Mortality in bronchiectasis: A long-term study assessing the factors influencing survival","volume":"34","author":[{"family":"Loebinger","given":"M. R."},{"family":"Wells","given":"A. U."},{"family":"Hansell","given":"D. M."},{"family":"Chinyanganya","given":"N."},{"family":"Devaraj","given":"A."},{"family":"Meister","given":"M."},{"family":"Wilson","given":"R."}],"issued":{"date-parts":[["2009"]]}}}],"schema":"https://github.com/citation-style-language/schema/raw/master/csl-citation.json"} </w:instrText>
      </w:r>
      <w:r w:rsidRPr="00684E38">
        <w:rPr>
          <w:rFonts w:cs="Times New Roman"/>
        </w:rPr>
        <w:fldChar w:fldCharType="separate"/>
      </w:r>
      <w:r w:rsidR="00D106AB" w:rsidRPr="00D106AB">
        <w:rPr>
          <w:rFonts w:cs="Times New Roman"/>
        </w:rPr>
        <w:t>(51)</w:t>
      </w:r>
      <w:r w:rsidRPr="00684E38">
        <w:rPr>
          <w:rFonts w:cs="Times New Roman"/>
        </w:rPr>
        <w:fldChar w:fldCharType="end"/>
      </w:r>
      <w:r w:rsidRPr="00684E38">
        <w:rPr>
          <w:rFonts w:cs="Times New Roman"/>
        </w:rPr>
        <w:t xml:space="preserve">.  It has also been shown to be reliable studying patients with primary antibody deficiency </w:t>
      </w:r>
      <w:r w:rsidRPr="00684E38">
        <w:rPr>
          <w:rFonts w:cs="Times New Roman"/>
        </w:rPr>
        <w:fldChar w:fldCharType="begin"/>
      </w:r>
      <w:r w:rsidR="00D106AB">
        <w:rPr>
          <w:rFonts w:cs="Times New Roman"/>
        </w:rPr>
        <w:instrText xml:space="preserve"> ADDIN ZOTERO_ITEM CSL_CITATION {"citationID":"YGgnkCCT","properties":{"formattedCitation":"(52)","plainCitation":"(52)","noteIndex":0},"citationItems":[{"id":387,"uris":["http://zotero.org/users/12098505/items/N3PTPML7"],"itemData":{"id":387,"type":"article-journal","abstract":"PURPOSE: Some patients with primary antibody deficiency (PAD) syndromes develop bronchiectasis. In immunocompetent patients with bronchiectasis, key clinico-pathophysiological relationships exist between exacerbation frequency, lung function, health-status, infection and inflammation. It is not known whether such relationships are present in PAD. It is also not known how local and systemic inflammation in PAD compares with that in immunocompetent (non-PAD) bronchiectasis patients. METHOD: We assessed symptoms, exacerbation frequency, health-status, lung function, CT, airway and systemic inflammation and infection in 33 PAD patients and 20 immunocompetent controls with bronchiectasis. RESULTS: Despite less severe airflow obstruction, PAD patients had similar health-status impairment and greater airway (sputum log10 IL-6 2.71 vs. 1.81 pg/ml, p = 0.001) and greater systemic inflammation than immunocompetent bronchiectasis controls (serum log10 CRP 0.77 vs. 0.36 mg/l, p = 0.001). In PAD, cross-sectional markers of disease severity (CT and lung function) did not relate to inflammatory markers of disease activity, however there was a relationship between FEV1 decline rate and systemic inflammation (IL-6; r = 0.42, p = 0.036) and the magnitude of the systemic inflammatory response was related to that in the airway. Correlation between generic SF36 and respiratory SGRQ questionnaires (r = -0.79, p &lt; 0.001) suggests that much health-status impairment in PAD relates to respiratory involvement. Health-status was associated with dyspnoea (rho = 0.77, p &lt; 0.001), respiratory infection frequency (rho = 0.48, p = 0.016), lung function (FEV1: r = -0.60, p = 0.001) and rate of lung function decline (r = 0.41, p = 0.047). CONCLUSION: The major findings of this analysis are that in patients with PAD, cross-sectional markers of disease severity such as lung function and CT extent of disease do not reflect disease activity as assessed by airway and systemic inflammation. In addition, there is a relationship between the rate of progression of lung disease and the severity of the systemic inflammatory response which itself is related to that in the airway. Much of the quality of life impact in PAD relates to respiratory involvement, specifically the severity of airflow obstruction, respiratory exacerbation frequency and dyspnoea. Finally, patients with PAD had greater airway and systemic inflammation than a control population with non-PAD bronchiectasis which may suggest a dysregulated airway immune response.","container-title":"Journal of Clinical Immunology","DOI":"10.1007/s10875-013-9942-x","ISSN":"1573-2592 (Electronic)\\r0271-9142 (Linking)","issue":"1","page":"68-75","title":"Activity, severity and impact of respiratory disease in primary antibody deficiency syndromes","volume":"34","author":[{"family":"Hurst","given":"John R."},{"family":"Workman","given":"Sarita"},{"family":"Garcha","given":"Davinder S."},{"family":"Seneviratne","given":"Suranjith L."},{"family":"Haddock","given":"Jamanda","dropping-particle":"a."},{"family":"Grimbacher","given":"Bodo"}],"issued":{"date-parts":[["2014"]]}}}],"schema":"https://github.com/citation-style-language/schema/raw/master/csl-citation.json"} </w:instrText>
      </w:r>
      <w:r w:rsidRPr="00684E38">
        <w:rPr>
          <w:rFonts w:cs="Times New Roman"/>
        </w:rPr>
        <w:fldChar w:fldCharType="separate"/>
      </w:r>
      <w:r w:rsidR="00D106AB" w:rsidRPr="00D106AB">
        <w:rPr>
          <w:rFonts w:cs="Times New Roman"/>
        </w:rPr>
        <w:t>(52)</w:t>
      </w:r>
      <w:r w:rsidRPr="00684E38">
        <w:rPr>
          <w:rFonts w:cs="Times New Roman"/>
        </w:rPr>
        <w:fldChar w:fldCharType="end"/>
      </w:r>
      <w:r w:rsidRPr="00684E38">
        <w:rPr>
          <w:rFonts w:cs="Times New Roman"/>
        </w:rPr>
        <w:t xml:space="preserve">.  These data were compared against </w:t>
      </w:r>
      <w:r w:rsidRPr="00684E38">
        <w:rPr>
          <w:rFonts w:cs="Times New Roman"/>
        </w:rPr>
        <w:lastRenderedPageBreak/>
        <w:t xml:space="preserve">UK healthy norms data </w:t>
      </w:r>
      <w:r w:rsidRPr="00684E38">
        <w:rPr>
          <w:rFonts w:cs="Times New Roman"/>
        </w:rPr>
        <w:fldChar w:fldCharType="begin"/>
      </w:r>
      <w:r w:rsidR="00D106AB">
        <w:rPr>
          <w:rFonts w:cs="Times New Roman"/>
        </w:rPr>
        <w:instrText xml:space="preserve"> ADDIN ZOTERO_ITEM CSL_CITATION {"citationID":"EXHFmCYN","properties":{"formattedCitation":"(32)","plainCitation":"(32)","noteIndex":0},"citationItems":[{"id":369,"uris":["http://zotero.org/users/12098505/items/788KNKPJ"],"itemData":{"id":369,"type":"article-journal","issue":"June","page":"0-16","title":"SGRQ Manual June 2009","volume":"44","author":[{"family":"Jones","given":"Paul W"}],"issued":{"date-parts":[["2009"]]}}}],"schema":"https://github.com/citation-style-language/schema/raw/master/csl-citation.json"} </w:instrText>
      </w:r>
      <w:r w:rsidRPr="00684E38">
        <w:rPr>
          <w:rFonts w:cs="Times New Roman"/>
        </w:rPr>
        <w:fldChar w:fldCharType="separate"/>
      </w:r>
      <w:r w:rsidR="00D106AB" w:rsidRPr="00D106AB">
        <w:rPr>
          <w:rFonts w:cs="Times New Roman"/>
        </w:rPr>
        <w:t>(32)</w:t>
      </w:r>
      <w:r w:rsidRPr="00684E38">
        <w:rPr>
          <w:rFonts w:cs="Times New Roman"/>
        </w:rPr>
        <w:fldChar w:fldCharType="end"/>
      </w:r>
      <w:r w:rsidRPr="00684E38">
        <w:rPr>
          <w:rFonts w:cs="Times New Roman"/>
        </w:rPr>
        <w:t xml:space="preserve"> and patients with CF</w:t>
      </w:r>
      <w:r>
        <w:rPr>
          <w:rFonts w:cs="Times New Roman"/>
        </w:rPr>
        <w:t xml:space="preserve"> (male and female)</w:t>
      </w:r>
      <w:r w:rsidRPr="00684E38">
        <w:rPr>
          <w:rFonts w:cs="Times New Roman"/>
        </w:rPr>
        <w:t xml:space="preserve"> </w:t>
      </w:r>
      <w:r w:rsidRPr="00684E38">
        <w:rPr>
          <w:rFonts w:cs="Times New Roman"/>
        </w:rPr>
        <w:fldChar w:fldCharType="begin"/>
      </w:r>
      <w:r w:rsidR="00D106AB">
        <w:rPr>
          <w:rFonts w:cs="Times New Roman"/>
        </w:rPr>
        <w:instrText xml:space="preserve"> ADDIN ZOTERO_ITEM CSL_CITATION {"citationID":"iNpCsovo","properties":{"formattedCitation":"(33)","plainCitation":"(33)","noteIndex":0},"citationItems":[{"id":1246,"uris":["http://zotero.org/users/12098505/items/5GZPA67T"],"itemData":{"id":1246,"type":"article-journal","container-title":"Archivos de Bronconeumología","DOI":"10.1157/13100539","issue":"4","page":"205-211","publisher":"Elsevier","title":"Validity and reliability of the St. George Respiratory Questionnaire in the adult population with cystic fibrosi","volume":"43","author":[{"family":"Padilla","given":"Alicia"},{"family":"Olveira","given":"Gabriel"},{"family":"Olveira","given":"Casilda"},{"family":"Dorado","given":"Antonio"},{"family":"Plata","given":"Antonio J."},{"family":"Gaspar","given":"Inmaculada"},{"family":"Pérez-Frías","given":"Javier"}],"issued":{"date-parts":[["2007",4]]}}}],"schema":"https://github.com/citation-style-language/schema/raw/master/csl-citation.json"} </w:instrText>
      </w:r>
      <w:r w:rsidRPr="00684E38">
        <w:rPr>
          <w:rFonts w:cs="Times New Roman"/>
        </w:rPr>
        <w:fldChar w:fldCharType="separate"/>
      </w:r>
      <w:r w:rsidR="00D106AB" w:rsidRPr="00D106AB">
        <w:rPr>
          <w:rFonts w:cs="Times New Roman"/>
        </w:rPr>
        <w:t>(33)</w:t>
      </w:r>
      <w:r w:rsidRPr="00684E38">
        <w:rPr>
          <w:rFonts w:cs="Times New Roman"/>
        </w:rPr>
        <w:fldChar w:fldCharType="end"/>
      </w:r>
      <w:r w:rsidRPr="00684E38">
        <w:rPr>
          <w:rFonts w:cs="Times New Roman"/>
        </w:rPr>
        <w:t>.</w:t>
      </w:r>
      <w:r>
        <w:rPr>
          <w:rFonts w:cs="Times New Roman"/>
        </w:rPr>
        <w:t xml:space="preserve">  The mean age of this CF cohort was 24.50 years, and the mean FEV1 percentage predicted was 63.6% </w:t>
      </w:r>
      <w:r>
        <w:rPr>
          <w:rFonts w:cs="Times New Roman"/>
        </w:rPr>
        <w:fldChar w:fldCharType="begin"/>
      </w:r>
      <w:r w:rsidR="00D106AB">
        <w:rPr>
          <w:rFonts w:cs="Times New Roman"/>
        </w:rPr>
        <w:instrText xml:space="preserve"> ADDIN ZOTERO_ITEM CSL_CITATION {"citationID":"ZUUBJHrS","properties":{"formattedCitation":"(33)","plainCitation":"(33)","noteIndex":0},"citationItems":[{"id":1246,"uris":["http://zotero.org/users/12098505/items/5GZPA67T"],"itemData":{"id":1246,"type":"article-journal","container-title":"Archivos de Bronconeumología","DOI":"10.1157/13100539","issue":"4","page":"205-211","publisher":"Elsevier","title":"Validity and reliability of the St. George Respiratory Questionnaire in the adult population with cystic fibrosi","volume":"43","author":[{"family":"Padilla","given":"Alicia"},{"family":"Olveira","given":"Gabriel"},{"family":"Olveira","given":"Casilda"},{"family":"Dorado","given":"Antonio"},{"family":"Plata","given":"Antonio J."},{"family":"Gaspar","given":"Inmaculada"},{"family":"Pérez-Frías","given":"Javier"}],"issued":{"date-parts":[["2007",4]]}},"locator":"200"}],"schema":"https://github.com/citation-style-language/schema/raw/master/csl-citation.json"} </w:instrText>
      </w:r>
      <w:r>
        <w:rPr>
          <w:rFonts w:cs="Times New Roman"/>
        </w:rPr>
        <w:fldChar w:fldCharType="separate"/>
      </w:r>
      <w:r w:rsidR="00D106AB" w:rsidRPr="00D106AB">
        <w:rPr>
          <w:rFonts w:cs="Times New Roman"/>
        </w:rPr>
        <w:t>(33)</w:t>
      </w:r>
      <w:r>
        <w:rPr>
          <w:rFonts w:cs="Times New Roman"/>
        </w:rPr>
        <w:fldChar w:fldCharType="end"/>
      </w:r>
      <w:r>
        <w:rPr>
          <w:rFonts w:cs="Times New Roman"/>
        </w:rPr>
        <w:t>.  Higher scores indicate a lower HRQoL.</w:t>
      </w:r>
    </w:p>
    <w:p w14:paraId="77EE5F6C" w14:textId="6A6D3AA3" w:rsidR="00FF1EBD" w:rsidRPr="00684E38" w:rsidRDefault="00FF1EBD" w:rsidP="00FF1EBD">
      <w:pPr>
        <w:pStyle w:val="ListParagraph"/>
        <w:numPr>
          <w:ilvl w:val="0"/>
          <w:numId w:val="13"/>
        </w:numPr>
        <w:rPr>
          <w:rFonts w:cs="Times New Roman"/>
        </w:rPr>
      </w:pPr>
      <w:r w:rsidRPr="00684E38">
        <w:rPr>
          <w:rFonts w:cs="Times New Roman"/>
        </w:rPr>
        <w:t xml:space="preserve">Strength and Difficulties Questionnaire (SDQ) </w:t>
      </w:r>
      <w:r w:rsidRPr="00684E38">
        <w:rPr>
          <w:rFonts w:cs="Times New Roman"/>
        </w:rPr>
        <w:fldChar w:fldCharType="begin"/>
      </w:r>
      <w:r w:rsidR="00D106AB">
        <w:rPr>
          <w:rFonts w:cs="Times New Roman"/>
        </w:rPr>
        <w:instrText xml:space="preserve"> ADDIN ZOTERO_ITEM CSL_CITATION {"citationID":"tNfjzGXK","properties":{"formattedCitation":"(53)","plainCitation":"(53)","noteIndex":0},"citationItems":[{"id":309,"uris":["http://zotero.org/users/12098505/items/CQDEHBVL"],"itemData":{"id":309,"type":"article-journal","container-title":"European Child &amp; Adolescent Psychiatry","DOI":"10.1007/s00787-003-0298-2","ISSN":"0078700302","issue":"1","page":"1-8","title":"The Strengths and Difficulties Questionnaire (SDQ)","volume":"12","author":[{"family":"Muris","given":"Peter"},{"family":"Meesters","given":"Cor"},{"family":"Berg","given":"Frank","non-dropping-particle":"van den"}],"issued":{"date-parts":[["2003"]]}}}],"schema":"https://github.com/citation-style-language/schema/raw/master/csl-citation.json"} </w:instrText>
      </w:r>
      <w:r w:rsidRPr="00684E38">
        <w:rPr>
          <w:rFonts w:cs="Times New Roman"/>
        </w:rPr>
        <w:fldChar w:fldCharType="separate"/>
      </w:r>
      <w:r w:rsidR="00D106AB" w:rsidRPr="00D106AB">
        <w:rPr>
          <w:rFonts w:cs="Times New Roman"/>
        </w:rPr>
        <w:t>(53)</w:t>
      </w:r>
      <w:r w:rsidRPr="00684E38">
        <w:rPr>
          <w:rFonts w:cs="Times New Roman"/>
        </w:rPr>
        <w:fldChar w:fldCharType="end"/>
      </w:r>
    </w:p>
    <w:p w14:paraId="0ECFB6C9" w14:textId="61A6BB50" w:rsidR="00FF1EBD" w:rsidRPr="00684E38" w:rsidRDefault="00FF1EBD" w:rsidP="00FF1EBD">
      <w:pPr>
        <w:rPr>
          <w:rFonts w:cs="Times New Roman"/>
        </w:rPr>
      </w:pPr>
      <w:r w:rsidRPr="00684E38">
        <w:rPr>
          <w:rFonts w:cs="Times New Roman"/>
        </w:rPr>
        <w:t xml:space="preserve">The strength and difficulties questionnaire (SDQ) was used for children aged 4-16 years old.  The SDQ is a well-recognised measure of social, emotional and behavioural difficulties in children and is a widely used tool for screening for psychological difficulties in childhood </w:t>
      </w:r>
      <w:r w:rsidRPr="00684E38">
        <w:rPr>
          <w:rFonts w:cs="Times New Roman"/>
        </w:rPr>
        <w:fldChar w:fldCharType="begin"/>
      </w:r>
      <w:r w:rsidR="00D106AB">
        <w:rPr>
          <w:rFonts w:cs="Times New Roman"/>
        </w:rPr>
        <w:instrText xml:space="preserve"> ADDIN ZOTERO_ITEM CSL_CITATION {"citationID":"8xhBo0vc","properties":{"formattedCitation":"(53)","plainCitation":"(53)","noteIndex":0},"citationItems":[{"id":309,"uris":["http://zotero.org/users/12098505/items/CQDEHBVL"],"itemData":{"id":309,"type":"article-journal","container-title":"European Child &amp; Adolescent Psychiatry","DOI":"10.1007/s00787-003-0298-2","ISSN":"0078700302","issue":"1","page":"1-8","title":"The Strengths and Difficulties Questionnaire (SDQ)","volume":"12","author":[{"family":"Muris","given":"Peter"},{"family":"Meesters","given":"Cor"},{"family":"Berg","given":"Frank","non-dropping-particle":"van den"}],"issued":{"date-parts":[["2003"]]}}}],"schema":"https://github.com/citation-style-language/schema/raw/master/csl-citation.json"} </w:instrText>
      </w:r>
      <w:r w:rsidRPr="00684E38">
        <w:rPr>
          <w:rFonts w:cs="Times New Roman"/>
        </w:rPr>
        <w:fldChar w:fldCharType="separate"/>
      </w:r>
      <w:r w:rsidR="00D106AB" w:rsidRPr="00D106AB">
        <w:rPr>
          <w:rFonts w:cs="Times New Roman"/>
        </w:rPr>
        <w:t>(53)</w:t>
      </w:r>
      <w:r w:rsidRPr="00684E38">
        <w:rPr>
          <w:rFonts w:cs="Times New Roman"/>
        </w:rPr>
        <w:fldChar w:fldCharType="end"/>
      </w:r>
      <w:r w:rsidRPr="00684E38">
        <w:rPr>
          <w:rFonts w:cs="Times New Roman"/>
        </w:rPr>
        <w:t>.</w:t>
      </w:r>
      <w:r>
        <w:rPr>
          <w:rFonts w:cs="Times New Roman"/>
        </w:rPr>
        <w:t xml:space="preserve">  It scores across several domains, for example the Peer Problems score specifically evaluates difficulties with friendships, social isolation or bullying </w:t>
      </w:r>
      <w:r>
        <w:rPr>
          <w:rFonts w:cs="Times New Roman"/>
        </w:rPr>
        <w:fldChar w:fldCharType="begin"/>
      </w:r>
      <w:r w:rsidR="00D106AB">
        <w:rPr>
          <w:rFonts w:cs="Times New Roman"/>
        </w:rPr>
        <w:instrText xml:space="preserve"> ADDIN ZOTERO_ITEM CSL_CITATION {"citationID":"z7APMony","properties":{"formattedCitation":"(53)","plainCitation":"(53)","noteIndex":0},"citationItems":[{"id":309,"uris":["http://zotero.org/users/12098505/items/CQDEHBVL"],"itemData":{"id":309,"type":"article-journal","container-title":"European Child &amp; Adolescent Psychiatry","DOI":"10.1007/s00787-003-0298-2","ISSN":"0078700302","issue":"1","page":"1-8","title":"The Strengths and Difficulties Questionnaire (SDQ)","volume":"12","author":[{"family":"Muris","given":"Peter"},{"family":"Meesters","given":"Cor"},{"family":"Berg","given":"Frank","non-dropping-particle":"van den"}],"issued":{"date-parts":[["2003"]]}}}],"schema":"https://github.com/citation-style-language/schema/raw/master/csl-citation.json"} </w:instrText>
      </w:r>
      <w:r>
        <w:rPr>
          <w:rFonts w:cs="Times New Roman"/>
        </w:rPr>
        <w:fldChar w:fldCharType="separate"/>
      </w:r>
      <w:r w:rsidR="00D106AB" w:rsidRPr="00D106AB">
        <w:rPr>
          <w:rFonts w:cs="Times New Roman"/>
        </w:rPr>
        <w:t>(53)</w:t>
      </w:r>
      <w:r>
        <w:rPr>
          <w:rFonts w:cs="Times New Roman"/>
        </w:rPr>
        <w:fldChar w:fldCharType="end"/>
      </w:r>
      <w:r>
        <w:rPr>
          <w:rFonts w:cs="Times New Roman"/>
        </w:rPr>
        <w:t>.</w:t>
      </w:r>
      <w:r w:rsidRPr="00684E38">
        <w:rPr>
          <w:rFonts w:cs="Times New Roman"/>
        </w:rPr>
        <w:t xml:space="preserve">  It has also been used in studies of patients with </w:t>
      </w:r>
      <w:r>
        <w:rPr>
          <w:rFonts w:cs="Times New Roman"/>
        </w:rPr>
        <w:t>IEI</w:t>
      </w:r>
      <w:r w:rsidRPr="00684E38">
        <w:rPr>
          <w:rFonts w:cs="Times New Roman"/>
        </w:rPr>
        <w:t xml:space="preserve"> </w:t>
      </w:r>
      <w:r w:rsidRPr="00684E38">
        <w:rPr>
          <w:rFonts w:cs="Times New Roman"/>
        </w:rPr>
        <w:fldChar w:fldCharType="begin"/>
      </w:r>
      <w:r>
        <w:rPr>
          <w:rFonts w:cs="Times New Roman"/>
        </w:rPr>
        <w:instrText xml:space="preserve"> ADDIN ZOTERO_ITEM CSL_CITATION {"citationID":"qnaHIqTN","properties":{"formattedCitation":"(24)","plainCitation":"(24)","noteIndex":0},"citationItems":[{"id":505,"uris":["http://zotero.org/users/12098505/items/VTLFI9VQ"],"itemData":{"id":505,"type":"article-journal","container-title":"Journal of Clinical Immunology","DOI":"10.1007/s10875-014-0072-x","issue":"7","page":"844-852","title":"Quality of Life in Children with Primary Antibody Deficiency","volume":"34","author":[{"family":"Titman","given":"P."},{"family":"Allwood","given":"Z."},{"family":"Gilmour","given":"C."},{"family":"Malcolmson","given":"C."},{"family":"Duran-Persson","given":"C."},{"family":"Cale","given":"C."},{"family":"Davies","given":"G."},{"family":"Gaspar","given":"H."},{"family":"Jones","given":"a."}],"issued":{"date-parts":[["2014"]]}}}],"schema":"https://github.com/citation-style-language/schema/raw/master/csl-citation.json"} </w:instrText>
      </w:r>
      <w:r w:rsidRPr="00684E38">
        <w:rPr>
          <w:rFonts w:cs="Times New Roman"/>
        </w:rPr>
        <w:fldChar w:fldCharType="separate"/>
      </w:r>
      <w:r w:rsidRPr="006666AC">
        <w:rPr>
          <w:rFonts w:cs="Times New Roman"/>
        </w:rPr>
        <w:t>(24)</w:t>
      </w:r>
      <w:r w:rsidRPr="00684E38">
        <w:rPr>
          <w:rFonts w:cs="Times New Roman"/>
        </w:rPr>
        <w:fldChar w:fldCharType="end"/>
      </w:r>
      <w:r w:rsidRPr="00684E38">
        <w:rPr>
          <w:rFonts w:cs="Times New Roman"/>
        </w:rPr>
        <w:t xml:space="preserve">.  There are both self-reporting and parent scores.  These were compared against published normative UK data </w:t>
      </w:r>
      <w:r w:rsidRPr="00684E38">
        <w:rPr>
          <w:rFonts w:cs="Times New Roman"/>
        </w:rPr>
        <w:fldChar w:fldCharType="begin"/>
      </w:r>
      <w:r w:rsidR="00D106AB">
        <w:rPr>
          <w:rFonts w:cs="Times New Roman"/>
        </w:rPr>
        <w:instrText xml:space="preserve"> ADDIN ZOTERO_ITEM CSL_CITATION {"citationID":"eqxtEAd5","properties":{"formattedCitation":"(29)","plainCitation":"(29)","noteIndex":0},"citationItems":[{"id":1248,"uris":["http://zotero.org/users/12098505/items/3UPD6GRN"],"itemData":{"id":1248,"type":"article-journal","abstract":"The findings described in this report and summarized here focus on the prevalence of mental disorders among 5-15 year olds and on the associations between the presence of a mental disorder and biographic, sociodemographic, socio-economic, and social functioning characteristics of the child and the family. Causal relationships should not be assumed for any of the results presented in this report.","container-title":"International Review of Psychiatry","DOI":"10.1080/0954026021000046155","issue":"1-2","page":"185-187","title":"Mental health of children and adolescents in Great Britain","volume":"15","author":[{"family":"Meltzer","given":"H."},{"family":"Gatward","given":"R."},{"family":"Goodman","given":"R."},{"family":"Ford","given":"T."}],"issued":{"date-parts":[["2003",1]]}}}],"schema":"https://github.com/citation-style-language/schema/raw/master/csl-citation.json"} </w:instrText>
      </w:r>
      <w:r w:rsidRPr="00684E38">
        <w:rPr>
          <w:rFonts w:cs="Times New Roman"/>
        </w:rPr>
        <w:fldChar w:fldCharType="separate"/>
      </w:r>
      <w:r w:rsidR="00D106AB" w:rsidRPr="00D106AB">
        <w:rPr>
          <w:rFonts w:cs="Times New Roman"/>
        </w:rPr>
        <w:t>(29)</w:t>
      </w:r>
      <w:r w:rsidRPr="00684E38">
        <w:rPr>
          <w:rFonts w:cs="Times New Roman"/>
        </w:rPr>
        <w:fldChar w:fldCharType="end"/>
      </w:r>
      <w:r w:rsidRPr="00684E38">
        <w:rPr>
          <w:rFonts w:cs="Times New Roman"/>
        </w:rPr>
        <w:t>.</w:t>
      </w:r>
      <w:r>
        <w:rPr>
          <w:rFonts w:cs="Times New Roman"/>
        </w:rPr>
        <w:t xml:space="preserve">  Higher SDQ scores indicate more difficulties in the areas measured.</w:t>
      </w:r>
    </w:p>
    <w:p w14:paraId="51A3FCEF" w14:textId="77777777" w:rsidR="00FF1EBD" w:rsidRPr="00684E38" w:rsidRDefault="00FF1EBD" w:rsidP="00FF1EBD">
      <w:pPr>
        <w:pStyle w:val="ListParagraph"/>
        <w:numPr>
          <w:ilvl w:val="0"/>
          <w:numId w:val="13"/>
        </w:numPr>
        <w:rPr>
          <w:rFonts w:cs="Times New Roman"/>
        </w:rPr>
      </w:pPr>
      <w:r w:rsidRPr="00684E38">
        <w:rPr>
          <w:rFonts w:cs="Times New Roman"/>
        </w:rPr>
        <w:t>Hospital and Anxiety Depression Scale (HADS)</w:t>
      </w:r>
    </w:p>
    <w:p w14:paraId="1B2B3458" w14:textId="24234BC4" w:rsidR="00FF1EBD" w:rsidRPr="006010E2" w:rsidRDefault="00FF1EBD" w:rsidP="00FF1EBD">
      <w:pPr>
        <w:rPr>
          <w:rFonts w:cs="Times New Roman"/>
        </w:rPr>
      </w:pPr>
      <w:r w:rsidRPr="00684E38">
        <w:rPr>
          <w:rFonts w:cs="Times New Roman"/>
        </w:rPr>
        <w:t xml:space="preserve">The hospital anxiety and depression scale (HADS) </w:t>
      </w:r>
      <w:r>
        <w:rPr>
          <w:rFonts w:cs="Times New Roman"/>
        </w:rPr>
        <w:t xml:space="preserve">is </w:t>
      </w:r>
      <w:r w:rsidRPr="00B767A8">
        <w:rPr>
          <w:rFonts w:cs="Times New Roman"/>
        </w:rPr>
        <w:t>14-item scale screens for symptoms of anxiety and depression while intentionally excluding somatic symptoms that could be confused with medical illness</w:t>
      </w:r>
      <w:r>
        <w:rPr>
          <w:rFonts w:cs="Times New Roman"/>
        </w:rPr>
        <w:t xml:space="preserve"> </w:t>
      </w:r>
      <w:r w:rsidRPr="00684E38">
        <w:rPr>
          <w:rFonts w:cs="Times New Roman"/>
        </w:rPr>
        <w:t xml:space="preserve">and is validated in both adolescents and adults (12 years and </w:t>
      </w:r>
      <w:r w:rsidRPr="009B2CAF">
        <w:rPr>
          <w:rFonts w:cs="Times New Roman"/>
        </w:rPr>
        <w:t xml:space="preserve">over) </w:t>
      </w:r>
      <w:r w:rsidRPr="009B2CAF">
        <w:rPr>
          <w:rFonts w:cs="Times New Roman"/>
        </w:rPr>
        <w:fldChar w:fldCharType="begin"/>
      </w:r>
      <w:r w:rsidR="00D106AB">
        <w:rPr>
          <w:rFonts w:cs="Times New Roman"/>
        </w:rPr>
        <w:instrText xml:space="preserve"> ADDIN ZOTERO_ITEM CSL_CITATION {"citationID":"CqJwX2ij","properties":{"formattedCitation":"(54)","plainCitation":"(54)","noteIndex":0},"citationItems":[{"id":327,"uris":["http://zotero.org/users/12098505/items/7C87IZIV"],"itemData":{"id":327,"type":"article-journal","container-title":"British Journal of Psychiatry","issue":"5","page":"452-454","title":"Validation of the Hospital Anxiety and Depression Scale for use with adolescents","volume":"175","author":[{"family":"White","given":"D.","suffix":"Leach, C., Sims, R., &amp; Cottrell, D."}],"issued":{"date-parts":[["1999"]]}}}],"schema":"https://github.com/citation-style-language/schema/raw/master/csl-citation.json"} </w:instrText>
      </w:r>
      <w:r w:rsidRPr="009B2CAF">
        <w:rPr>
          <w:rFonts w:cs="Times New Roman"/>
        </w:rPr>
        <w:fldChar w:fldCharType="separate"/>
      </w:r>
      <w:r w:rsidR="00D106AB" w:rsidRPr="00D106AB">
        <w:rPr>
          <w:rFonts w:cs="Times New Roman"/>
        </w:rPr>
        <w:t>(54)</w:t>
      </w:r>
      <w:r w:rsidRPr="009B2CAF">
        <w:rPr>
          <w:rFonts w:cs="Times New Roman"/>
        </w:rPr>
        <w:fldChar w:fldCharType="end"/>
      </w:r>
      <w:r w:rsidRPr="009B2CAF">
        <w:rPr>
          <w:rFonts w:cs="Times New Roman"/>
        </w:rPr>
        <w:t xml:space="preserve">.  It can be used to both screen for disease and to assess severity.  Higher scores indicate more symptoms associated with anxiety and depression.  </w:t>
      </w:r>
      <w:r w:rsidRPr="009B2CAF">
        <w:rPr>
          <w:rFonts w:cs="Times New Roman"/>
          <w:bCs/>
        </w:rPr>
        <w:t xml:space="preserve">Raw HADS scores were compared against UK male norms </w:t>
      </w:r>
      <w:r w:rsidRPr="009B2CAF">
        <w:rPr>
          <w:rFonts w:cs="Times New Roman"/>
          <w:b/>
          <w:bCs/>
          <w:i/>
          <w:iCs/>
        </w:rPr>
        <w:fldChar w:fldCharType="begin"/>
      </w:r>
      <w:r w:rsidR="00D106AB">
        <w:rPr>
          <w:rFonts w:cs="Times New Roman"/>
          <w:bCs/>
        </w:rPr>
        <w:instrText xml:space="preserve"> ADDIN ZOTERO_ITEM CSL_CITATION {"citationID":"HyBt9imN","properties":{"formattedCitation":"(34)","plainCitation":"(34)","noteIndex":0},"citationItems":[{"id":1249,"uris":["http://zotero.org/users/12098505/items/ZQCAZKEY"],"itemData":{"id":1249,"type":"article-journal","abstract":"PURPOSE The Hospital Anxiety and Depression Scale (HADS) is widely used in both research and clinical contexts. However, UK normative data from HADS remain limited. In our recent review of the literature, only six reports from four studies were identified as reporting UK normative data and all had limitations. The aim of our study was to use a large population-based dataset to address this. METHODS The Epidemiology of Functional Disorders Study is a large longitudinal population-based study carried out in Northwest England. All adults aged between 25 and 65 years registered with three general practices were sent a self-completion questionnaire which contained the HADS and other health-related instruments. Scores were calculated for participants completing all items on each sub-scale (anxiety 6,189 participants and depression 6,198 participants). Scores are presented by gender and by 5-year age groups. Percentile scores were also generated. RESULTS The median anxiety score was higher in women [6, interquartile range (IQR) 4-9] than in men (5, IQR 2-8) and increased with age in both groups. The median depression score for both women and men was 3 (IQR 1-6). CONCLUSIONS Our study is the largest population-based study providing UK normative data from the HADS. While our data confirm some of the normative data reported previously, subtle and important differences emerged, particularly at the upper end of the percentile scores. Due to the nature of our study design and the number of participants sampled, we believe that our data are likely to be more representative of the UK population than existing published normative values.","container-title":"Quality of Life Research","DOI":"10.1007/s11136-014-0763-z","issue":"2","page":"391-398","title":"Normative data for the Hospital Anxiety and Depression Scale","volume":"24","author":[{"family":"Breeman","given":"Suzanne"},{"family":"Cotton","given":"Seonaidh"},{"family":"Fielding","given":"Shona"},{"family":"Jones","given":"Gareth T."}],"issued":{"date-parts":[["2015",2]]}}}],"schema":"https://github.com/citation-style-language/schema/raw/master/csl-citation.json"} </w:instrText>
      </w:r>
      <w:r w:rsidRPr="009B2CAF">
        <w:rPr>
          <w:rFonts w:cs="Times New Roman"/>
          <w:b/>
          <w:bCs/>
          <w:i/>
          <w:iCs/>
        </w:rPr>
        <w:fldChar w:fldCharType="separate"/>
      </w:r>
      <w:r w:rsidR="00D106AB" w:rsidRPr="00D106AB">
        <w:rPr>
          <w:rFonts w:cs="Times New Roman"/>
        </w:rPr>
        <w:t>(34)</w:t>
      </w:r>
      <w:r w:rsidRPr="009B2CAF">
        <w:rPr>
          <w:rFonts w:cs="Times New Roman"/>
          <w:b/>
          <w:bCs/>
          <w:i/>
          <w:iCs/>
        </w:rPr>
        <w:fldChar w:fldCharType="end"/>
      </w:r>
      <w:r w:rsidRPr="009B2CAF">
        <w:rPr>
          <w:rFonts w:cs="Times New Roman"/>
          <w:bCs/>
        </w:rPr>
        <w:t xml:space="preserve"> and UK male CF patients </w:t>
      </w:r>
      <w:r w:rsidRPr="009B2CAF">
        <w:rPr>
          <w:rFonts w:cs="Times New Roman"/>
          <w:b/>
          <w:bCs/>
          <w:i/>
          <w:iCs/>
        </w:rPr>
        <w:fldChar w:fldCharType="begin"/>
      </w:r>
      <w:r w:rsidR="00D106AB">
        <w:rPr>
          <w:rFonts w:cs="Times New Roman"/>
          <w:bCs/>
        </w:rPr>
        <w:instrText xml:space="preserve"> ADDIN ZOTERO_ITEM CSL_CITATION {"citationID":"ec73Xs2O","properties":{"formattedCitation":"(35)","plainCitation":"(35)","noteIndex":0},"citationItems":[{"id":1739,"uris":["http://zotero.org/users/12098505/items/LASHFCR7"],"itemData":{"id":1739,"type":"article-journal","abstract":"BACKGROUND: The International Depression/anxiety Epidemiological Study (TIDES) in the UK aimed: (i) to establish the prevalence of anxiety and depression amongst people with CF compared to a normative sample; (ii) to establish the association between mood, demographic and clinical variables; and (iii) to provide guidance for specialist-referral decision-making.\nMETHODS: Patients (≥12years) completed the Hospital Anxiety and Depression Scale (HADS). CF-HADS scores, expressed as percentiles, were compared with a normative sample. Multiple-regression analysis explored associations between demographic, clinical and mood variables.\nRESULTS: Thirty-nine CF centres recruited 2065 patients. Adults with CF were similar in terms of anxiety and depression to the general population. Adolescents with CF were less anxious and depressed. For adult patients, older age, unemployment for health reasons and poor lung function were associated with disordered mood. Gender-specific CF-percentile scores were calculated.\nCONCLUSION: Surveillance, with attention to gender and risk factors is advocated. This work provides unique benchmark scores to aid referral decision-making.","container-title":"Journal of Cystic Fibrosis: Official Journal of the European Cystic Fibrosis Society","DOI":"10.1016/j.jcf.2014.02.010","ISSN":"1873-5010","issue":"6","journalAbbreviation":"J Cyst Fibros","language":"eng","page":"745-753","PMID":"24642184","source":"PubMed","title":"Depression and anxiety in adolescents and adults with cystic fibrosis in the UK: a cross-sectional study","title-short":"Depression and anxiety in adolescents and adults with cystic fibrosis in the UK","volume":"13","author":[{"family":"Duff","given":"Alistair J. A."},{"family":"Abbott","given":"Janice"},{"family":"Cowperthwaite","given":"Carolyn"},{"family":"Sumner","given":"Clare"},{"family":"Hurley","given":"Margaret A."},{"family":"Quittner","given":"Alexandra"},{"literal":"TIDES-UK Group"}],"issued":{"date-parts":[["2014",12]]}}}],"schema":"https://github.com/citation-style-language/schema/raw/master/csl-citation.json"} </w:instrText>
      </w:r>
      <w:r w:rsidRPr="009B2CAF">
        <w:rPr>
          <w:rFonts w:cs="Times New Roman"/>
          <w:b/>
          <w:bCs/>
          <w:i/>
          <w:iCs/>
        </w:rPr>
        <w:fldChar w:fldCharType="separate"/>
      </w:r>
      <w:r w:rsidR="00D106AB" w:rsidRPr="00D106AB">
        <w:rPr>
          <w:rFonts w:cs="Times New Roman"/>
        </w:rPr>
        <w:t>(35)</w:t>
      </w:r>
      <w:r w:rsidRPr="009B2CAF">
        <w:rPr>
          <w:rFonts w:cs="Times New Roman"/>
          <w:b/>
          <w:bCs/>
          <w:i/>
          <w:iCs/>
        </w:rPr>
        <w:fldChar w:fldCharType="end"/>
      </w:r>
      <w:r w:rsidRPr="00B34BF7">
        <w:rPr>
          <w:rFonts w:cs="Times New Roman"/>
          <w:b/>
          <w:bCs/>
          <w:i/>
          <w:iCs/>
        </w:rPr>
        <w:t>.</w:t>
      </w:r>
      <w:r>
        <w:rPr>
          <w:b/>
          <w:bCs/>
        </w:rPr>
        <w:t xml:space="preserve">  </w:t>
      </w:r>
      <w:r>
        <w:t xml:space="preserve">The mean FEV1 percentage predicted for this CF cohort was 61.6% </w:t>
      </w:r>
      <w:r>
        <w:fldChar w:fldCharType="begin"/>
      </w:r>
      <w:r w:rsidR="00D106AB">
        <w:instrText xml:space="preserve"> ADDIN ZOTERO_ITEM CSL_CITATION {"citationID":"SbozdDpJ","properties":{"formattedCitation":"(35)","plainCitation":"(35)","noteIndex":0},"citationItems":[{"id":1739,"uris":["http://zotero.org/users/12098505/items/LASHFCR7"],"itemData":{"id":1739,"type":"article-journal","abstract":"BACKGROUND: The International Depression/anxiety Epidemiological Study (TIDES) in the UK aimed: (i) to establish the prevalence of anxiety and depression amongst people with CF compared to a normative sample; (ii) to establish the association between mood, demographic and clinical variables; and (iii) to provide guidance for specialist-referral decision-making.\nMETHODS: Patients (≥12years) completed the Hospital Anxiety and Depression Scale (HADS). CF-HADS scores, expressed as percentiles, were compared with a normative sample. Multiple-regression analysis explored associations between demographic, clinical and mood variables.\nRESULTS: Thirty-nine CF centres recruited 2065 patients. Adults with CF were similar in terms of anxiety and depression to the general population. Adolescents with CF were less anxious and depressed. For adult patients, older age, unemployment for health reasons and poor lung function were associated with disordered mood. Gender-specific CF-percentile scores were calculated.\nCONCLUSION: Surveillance, with attention to gender and risk factors is advocated. This work provides unique benchmark scores to aid referral decision-making.","container-title":"Journal of Cystic Fibrosis: Official Journal of the European Cystic Fibrosis Society","DOI":"10.1016/j.jcf.2014.02.010","ISSN":"1873-5010","issue":"6","journalAbbreviation":"J Cyst Fibros","language":"eng","page":"745-753","PMID":"24642184","source":"PubMed","title":"Depression and anxiety in adolescents and adults with cystic fibrosis in the UK: a cross-sectional study","title-short":"Depression and anxiety in adolescents and adults with cystic fibrosis in the UK","volume":"13","author":[{"family":"Duff","given":"Alistair J. A."},{"family":"Abbott","given":"Janice"},{"family":"Cowperthwaite","given":"Carolyn"},{"family":"Sumner","given":"Clare"},{"family":"Hurley","given":"Margaret A."},{"family":"Quittner","given":"Alexandra"},{"literal":"TIDES-UK Group"}],"issued":{"date-parts":[["2014",12]]}}}],"schema":"https://github.com/citation-style-language/schema/raw/master/csl-citation.json"} </w:instrText>
      </w:r>
      <w:r>
        <w:fldChar w:fldCharType="separate"/>
      </w:r>
      <w:r w:rsidR="00D106AB" w:rsidRPr="00D106AB">
        <w:rPr>
          <w:rFonts w:cs="Times New Roman"/>
        </w:rPr>
        <w:t>(35)</w:t>
      </w:r>
      <w:r>
        <w:fldChar w:fldCharType="end"/>
      </w:r>
      <w:r>
        <w:t>.</w:t>
      </w:r>
      <w:r>
        <w:rPr>
          <w:b/>
          <w:bCs/>
        </w:rPr>
        <w:t xml:space="preserve"> </w:t>
      </w:r>
    </w:p>
    <w:p w14:paraId="6383CD70" w14:textId="4184D760" w:rsidR="00FF1EBD" w:rsidRPr="00684E38" w:rsidRDefault="00FF1EBD" w:rsidP="00FF1EBD">
      <w:pPr>
        <w:pStyle w:val="ListParagraph"/>
        <w:numPr>
          <w:ilvl w:val="0"/>
          <w:numId w:val="13"/>
        </w:numPr>
        <w:rPr>
          <w:rFonts w:cs="Times New Roman"/>
        </w:rPr>
      </w:pPr>
      <w:r w:rsidRPr="00684E38">
        <w:rPr>
          <w:rFonts w:cs="Times New Roman"/>
        </w:rPr>
        <w:t xml:space="preserve">Rosenberg </w:t>
      </w:r>
      <w:r>
        <w:rPr>
          <w:rFonts w:cs="Times New Roman"/>
        </w:rPr>
        <w:t>S</w:t>
      </w:r>
      <w:r w:rsidRPr="00684E38">
        <w:rPr>
          <w:rFonts w:cs="Times New Roman"/>
        </w:rPr>
        <w:t>elf-</w:t>
      </w:r>
      <w:r>
        <w:rPr>
          <w:rFonts w:cs="Times New Roman"/>
        </w:rPr>
        <w:t>E</w:t>
      </w:r>
      <w:r w:rsidRPr="00684E38">
        <w:rPr>
          <w:rFonts w:cs="Times New Roman"/>
        </w:rPr>
        <w:t xml:space="preserve">steem </w:t>
      </w:r>
      <w:r>
        <w:rPr>
          <w:rFonts w:cs="Times New Roman"/>
        </w:rPr>
        <w:t>S</w:t>
      </w:r>
      <w:r w:rsidRPr="00684E38">
        <w:rPr>
          <w:rFonts w:cs="Times New Roman"/>
        </w:rPr>
        <w:t xml:space="preserve">cale </w:t>
      </w:r>
      <w:r w:rsidRPr="00684E38">
        <w:rPr>
          <w:rFonts w:cs="Times New Roman"/>
        </w:rPr>
        <w:fldChar w:fldCharType="begin"/>
      </w:r>
      <w:r w:rsidR="00D106AB">
        <w:rPr>
          <w:rFonts w:cs="Times New Roman"/>
        </w:rPr>
        <w:instrText xml:space="preserve"> ADDIN ZOTERO_ITEM CSL_CITATION {"citationID":"FPoBUBXy","properties":{"formattedCitation":"(55)","plainCitation":"(55)","noteIndex":0},"citationItems":[{"id":1108,"uris":["http://zotero.org/users/12098505/items/P8HNXIDR"],"itemData":{"id":1108,"type":"book","abstract":"Self-attitudes and other attitudes -- The measurement of self-esteem -- The social fabric -- The dissonant religious context -- The broken family -- Birth order and self-esteem -- Parental interest and children's self-conceptions -- Self-esteem and anxiety -- Interpersonal attitudes and behavior -- Participation and leadership in the high school community -- Self-esteem and concern with public affairs -- Occupational orientation -- Society and self-values -- Area for further research.","ISBN":"978-1-4008-7613-6","note":"page: 326","number-of-pages":"326","publisher":"Princeton University Press","publisher-place":"Princeton","title":"Society and the adolescent self-image.","URL":"https://www.jstor.org/stable/j.ctt183pjjh","author":[{"family":"Rosenberg","given":"Morris."}],"issued":{"date-parts":[["1965"]]}}}],"schema":"https://github.com/citation-style-language/schema/raw/master/csl-citation.json"} </w:instrText>
      </w:r>
      <w:r w:rsidRPr="00684E38">
        <w:rPr>
          <w:rFonts w:cs="Times New Roman"/>
        </w:rPr>
        <w:fldChar w:fldCharType="separate"/>
      </w:r>
      <w:r w:rsidR="00D106AB" w:rsidRPr="00D106AB">
        <w:rPr>
          <w:rFonts w:cs="Times New Roman"/>
        </w:rPr>
        <w:t>(55)</w:t>
      </w:r>
      <w:r w:rsidRPr="00684E38">
        <w:rPr>
          <w:rFonts w:cs="Times New Roman"/>
        </w:rPr>
        <w:fldChar w:fldCharType="end"/>
      </w:r>
    </w:p>
    <w:p w14:paraId="526D27BD" w14:textId="3C19D8A6" w:rsidR="00FF1EBD" w:rsidRDefault="00FF1EBD" w:rsidP="00FF1EBD">
      <w:pPr>
        <w:rPr>
          <w:rFonts w:cs="Times New Roman"/>
        </w:rPr>
      </w:pPr>
      <w:r w:rsidRPr="00684E38">
        <w:rPr>
          <w:rFonts w:cs="Times New Roman"/>
        </w:rPr>
        <w:t>The Rosenberg Self-Esteem Scale (RSES) is</w:t>
      </w:r>
      <w:r>
        <w:rPr>
          <w:rFonts w:cs="Times New Roman"/>
        </w:rPr>
        <w:t xml:space="preserve"> a</w:t>
      </w:r>
      <w:r w:rsidRPr="00684E38">
        <w:rPr>
          <w:rFonts w:cs="Times New Roman"/>
        </w:rPr>
        <w:t xml:space="preserve"> </w:t>
      </w:r>
      <w:r>
        <w:rPr>
          <w:rFonts w:cs="Times New Roman"/>
        </w:rPr>
        <w:t>10-item scale</w:t>
      </w:r>
      <w:r w:rsidRPr="00684E38">
        <w:rPr>
          <w:rFonts w:cs="Times New Roman"/>
        </w:rPr>
        <w:t xml:space="preserve"> widely used in clinical research to ascertain self-esteem </w:t>
      </w:r>
      <w:r w:rsidRPr="00684E38">
        <w:rPr>
          <w:rFonts w:cs="Times New Roman"/>
        </w:rPr>
        <w:fldChar w:fldCharType="begin"/>
      </w:r>
      <w:r w:rsidR="00D106AB">
        <w:rPr>
          <w:rFonts w:cs="Times New Roman"/>
        </w:rPr>
        <w:instrText xml:space="preserve"> ADDIN ZOTERO_ITEM CSL_CITATION {"citationID":"9iHJhLo6","properties":{"formattedCitation":"(55)","plainCitation":"(55)","noteIndex":0},"citationItems":[{"id":1108,"uris":["http://zotero.org/users/12098505/items/P8HNXIDR"],"itemData":{"id":1108,"type":"book","abstract":"Self-attitudes and other attitudes -- The measurement of self-esteem -- The social fabric -- The dissonant religious context -- The broken family -- Birth order and self-esteem -- Parental interest and children's self-conceptions -- Self-esteem and anxiety -- Interpersonal attitudes and behavior -- Participation and leadership in the high school community -- Self-esteem and concern with public affairs -- Occupational orientation -- Society and self-values -- Area for further research.","ISBN":"978-1-4008-7613-6","note":"page: 326","number-of-pages":"326","publisher":"Princeton University Press","publisher-place":"Princeton","title":"Society and the adolescent self-image.","URL":"https://www.jstor.org/stable/j.ctt183pjjh","author":[{"family":"Rosenberg","given":"Morris."}],"issued":{"date-parts":[["1965"]]}}}],"schema":"https://github.com/citation-style-language/schema/raw/master/csl-citation.json"} </w:instrText>
      </w:r>
      <w:r w:rsidRPr="00684E38">
        <w:rPr>
          <w:rFonts w:cs="Times New Roman"/>
        </w:rPr>
        <w:fldChar w:fldCharType="separate"/>
      </w:r>
      <w:r w:rsidR="00D106AB" w:rsidRPr="00D106AB">
        <w:rPr>
          <w:rFonts w:cs="Times New Roman"/>
        </w:rPr>
        <w:t>(55)</w:t>
      </w:r>
      <w:r w:rsidRPr="00684E38">
        <w:rPr>
          <w:rFonts w:cs="Times New Roman"/>
        </w:rPr>
        <w:fldChar w:fldCharType="end"/>
      </w:r>
      <w:r w:rsidRPr="00684E38">
        <w:rPr>
          <w:rFonts w:cs="Times New Roman"/>
        </w:rPr>
        <w:t xml:space="preserve">.  The RSES was used in participants aged 12 and upwards.  Raw scores were compared against UK male CF patients </w:t>
      </w:r>
      <w:r w:rsidRPr="00684E38">
        <w:rPr>
          <w:rFonts w:cs="Times New Roman"/>
        </w:rPr>
        <w:fldChar w:fldCharType="begin"/>
      </w:r>
      <w:r w:rsidR="00D106AB">
        <w:rPr>
          <w:rFonts w:cs="Times New Roman"/>
        </w:rPr>
        <w:instrText xml:space="preserve"> ADDIN ZOTERO_ITEM CSL_CITATION {"citationID":"K4SUl220","properties":{"formattedCitation":"(56)","plainCitation":"(56)","noteIndex":0},"citationItems":[{"id":1123,"uris":["http://zotero.org/users/12098505/items/AVAPCELD"],"itemData":{"id":1123,"type":"article-journal","abstract":"Research from the general population indicates an important role for self-esteem in mental health, but lim-ited research in this area exists in the cystic fibrosis (CF) literature. This study aimed to explore the predictive value of self-esteem and health-related quality of life (HRQoL) in mental health symptoms in adults with CF. Seventy-four participants, recruited online, completed the Clinical Out-comes in Routine Evaluation-Outcome Measure 34 (CORE-OM), Rosenberg Self-esteem Scale and Cystic Fibrosis Questionnaire-Revised (CFQ-R). Comparably high levels of self-esteem were found, but HRQoL was lower than previous research. Thirty percent of participants scored within the clinical range for mental health difficulty. Hierarchical regression, controlling for gender, explored the value of four CFQ-R subscales (physical, social, emotional and role functioning) and self-esteem in predicting CORE-OM total score. Gender accounted for 8.2 % of the variance in mental health scores while the five independent variables accounted for a further 73.0 % of variance. Of the five variables, CFQ-R emotional functioning and self-esteem were significant predictors of mental health symptoms. Results are discussed in relation to clinical implications and potential uses for internet technologies to promote socialisation.","container-title":"Journal of Clinical Psychology in Medical Settings","DOI":"10.1007/s10880-012-9346-8","issue":"3","page":"392-399","title":"Self-Esteem and Its Relationship to Mental Health and Quality of Life in Adults with Cystic Fibrosis","volume":"20","author":[{"family":"Platten","given":"Melanie Jane"},{"family":"Newman","given":"Emily"},{"family":"Quayle","given":"Ethel"}],"issued":{"date-parts":[["2013",9]]}}}],"schema":"https://github.com/citation-style-language/schema/raw/master/csl-citation.json"} </w:instrText>
      </w:r>
      <w:r w:rsidRPr="00684E38">
        <w:rPr>
          <w:rFonts w:cs="Times New Roman"/>
        </w:rPr>
        <w:fldChar w:fldCharType="separate"/>
      </w:r>
      <w:r w:rsidR="00D106AB" w:rsidRPr="00D106AB">
        <w:rPr>
          <w:rFonts w:cs="Times New Roman"/>
        </w:rPr>
        <w:t>(56)</w:t>
      </w:r>
      <w:r w:rsidRPr="00684E38">
        <w:rPr>
          <w:rFonts w:cs="Times New Roman"/>
        </w:rPr>
        <w:fldChar w:fldCharType="end"/>
      </w:r>
      <w:r w:rsidRPr="00684E38">
        <w:rPr>
          <w:rFonts w:cs="Times New Roman"/>
        </w:rPr>
        <w:t xml:space="preserve"> and UK normative male data </w:t>
      </w:r>
      <w:r w:rsidRPr="00684E38">
        <w:rPr>
          <w:rFonts w:cs="Times New Roman"/>
        </w:rPr>
        <w:fldChar w:fldCharType="begin"/>
      </w:r>
      <w:r w:rsidR="00D106AB">
        <w:rPr>
          <w:rFonts w:cs="Times New Roman"/>
        </w:rPr>
        <w:instrText xml:space="preserve"> ADDIN ZOTERO_ITEM CSL_CITATION {"citationID":"8M6i2Cig","properties":{"formattedCitation":"(57)","plainCitation":"(57)","noteIndex":0},"citationItems":[{"id":1119,"uris":["http://zotero.org/users/12098505/items/CSGQGULM"],"itemData":{"id":1119,"type":"article-journal","abstract":"Notes that self-esteem is a potentially important measure for screening problems of social adaptation which underlie and predict mental health problems. Measuring change in self-esteem is also an important way of assessing success of therapeutic programs of various kinds. The usefulness of the Rosenberg Self-Esteem Scale (RSES) is indicated from a review of various studies in Canada and America. In the present study, a stratified sample of 4 comprehensive schools in England, and of classes in 2 6th form colleges yielded normative data on the Likert-scaled RSES for 665 male and 665 female pupils aged 12 to 19. Among the measures completed was the RSES. In each age group females had significantly lower self-esteem than males, and females were more than twice as likely to have \"devastated\" self-esteem. Some evidence of construct validity is available for both sex groups within age categories, from significant correlations with previously validated measures of mental health problem categories, using scales from the Ontario Child Health Survey, (PsycINFO Database Record (c) 2002 APA, all rights reserved)","container-title":"International Journal of Adolescence and Youth","DOI":"10.1080/02673843.2001.9747871","ISSN":"0267-3843, 0267-3843","issue":"2-3","page":"117-126","title":"Normative Data and Mental Health Construct Validity for the Rosenberg Self-Esteem Scale in British Adolescents","volume":"9","author":[{"family":"Bagley","given":"Christopher"},{"family":"Mallick","given":"Kanka"}],"issued":{"date-parts":[["2001"]]}}}],"schema":"https://github.com/citation-style-language/schema/raw/master/csl-citation.json"} </w:instrText>
      </w:r>
      <w:r w:rsidRPr="00684E38">
        <w:rPr>
          <w:rFonts w:cs="Times New Roman"/>
        </w:rPr>
        <w:fldChar w:fldCharType="separate"/>
      </w:r>
      <w:r w:rsidR="00D106AB" w:rsidRPr="00D106AB">
        <w:rPr>
          <w:rFonts w:cs="Times New Roman"/>
        </w:rPr>
        <w:t>(57)</w:t>
      </w:r>
      <w:r w:rsidRPr="00684E38">
        <w:rPr>
          <w:rFonts w:cs="Times New Roman"/>
        </w:rPr>
        <w:fldChar w:fldCharType="end"/>
      </w:r>
      <w:r w:rsidRPr="00684E38">
        <w:rPr>
          <w:rFonts w:cs="Times New Roman"/>
        </w:rPr>
        <w:t>.</w:t>
      </w:r>
      <w:r>
        <w:rPr>
          <w:rFonts w:cs="Times New Roman"/>
        </w:rPr>
        <w:t xml:space="preserve">  The mean age of the UK male CF patients was 27.8 years, with a mean FEV1 percentage predicted of 61.7% </w:t>
      </w:r>
      <w:r>
        <w:rPr>
          <w:rFonts w:cs="Times New Roman"/>
        </w:rPr>
        <w:fldChar w:fldCharType="begin"/>
      </w:r>
      <w:r w:rsidR="00D106AB">
        <w:rPr>
          <w:rFonts w:cs="Times New Roman"/>
        </w:rPr>
        <w:instrText xml:space="preserve"> ADDIN ZOTERO_ITEM CSL_CITATION {"citationID":"jGCcgaFx","properties":{"formattedCitation":"(57)","plainCitation":"(57)","noteIndex":0},"citationItems":[{"id":1119,"uris":["http://zotero.org/users/12098505/items/CSGQGULM"],"itemData":{"id":1119,"type":"article-journal","abstract":"Notes that self-esteem is a potentially important measure for screening problems of social adaptation which underlie and predict mental health problems. Measuring change in self-esteem is also an important way of assessing success of therapeutic programs of various kinds. The usefulness of the Rosenberg Self-Esteem Scale (RSES) is indicated from a review of various studies in Canada and America. In the present study, a stratified sample of 4 comprehensive schools in England, and of classes in 2 6th form colleges yielded normative data on the Likert-scaled RSES for 665 male and 665 female pupils aged 12 to 19. Among the measures completed was the RSES. In each age group females had significantly lower self-esteem than males, and females were more than twice as likely to have \"devastated\" self-esteem. Some evidence of construct validity is available for both sex groups within age categories, from significant correlations with previously validated measures of mental health problem categories, using scales from the Ontario Child Health Survey, (PsycINFO Database Record (c) 2002 APA, all rights reserved)","container-title":"International Journal of Adolescence and Youth","DOI":"10.1080/02673843.2001.9747871","ISSN":"0267-3843, 0267-3843","issue":"2-3","page":"117-126","title":"Normative Data and Mental Health Construct Validity for the Rosenberg Self-Esteem Scale in British Adolescents","volume":"9","author":[{"family":"Bagley","given":"Christopher"},{"family":"Mallick","given":"Kanka"}],"issued":{"date-parts":[["2001"]]}}}],"schema":"https://github.com/citation-style-language/schema/raw/master/csl-citation.json"} </w:instrText>
      </w:r>
      <w:r>
        <w:rPr>
          <w:rFonts w:cs="Times New Roman"/>
        </w:rPr>
        <w:fldChar w:fldCharType="separate"/>
      </w:r>
      <w:r w:rsidR="00D106AB" w:rsidRPr="00D106AB">
        <w:rPr>
          <w:rFonts w:cs="Times New Roman"/>
        </w:rPr>
        <w:t>(57)</w:t>
      </w:r>
      <w:r>
        <w:rPr>
          <w:rFonts w:cs="Times New Roman"/>
        </w:rPr>
        <w:fldChar w:fldCharType="end"/>
      </w:r>
      <w:r>
        <w:rPr>
          <w:rFonts w:cs="Times New Roman"/>
        </w:rPr>
        <w:t>.   A higher score indicates a higher self-esteem.</w:t>
      </w:r>
      <w:r w:rsidRPr="00684E38">
        <w:rPr>
          <w:rFonts w:cs="Times New Roman"/>
        </w:rPr>
        <w:t xml:space="preserve">  </w:t>
      </w:r>
    </w:p>
    <w:p w14:paraId="755BE2B4" w14:textId="492FF0B4" w:rsidR="005D78F6" w:rsidRDefault="005D78F6" w:rsidP="005D78F6">
      <w:pPr>
        <w:pStyle w:val="Heading2"/>
      </w:pPr>
      <w:r>
        <w:t>Ethics</w:t>
      </w:r>
    </w:p>
    <w:p w14:paraId="07B6C249" w14:textId="37F035A7" w:rsidR="00724071" w:rsidRPr="00684E38" w:rsidRDefault="00724071" w:rsidP="00724071">
      <w:pPr>
        <w:rPr>
          <w:rFonts w:cs="Times New Roman"/>
        </w:rPr>
      </w:pPr>
      <w:r w:rsidRPr="00724071">
        <w:t>All participants</w:t>
      </w:r>
      <w:r>
        <w:t xml:space="preserve"> </w:t>
      </w:r>
      <w:r w:rsidR="00A7062A">
        <w:t xml:space="preserve">and/or their carers/parents </w:t>
      </w:r>
      <w:r w:rsidRPr="00724071">
        <w:t xml:space="preserve">provided informed consent and </w:t>
      </w:r>
      <w:r>
        <w:rPr>
          <w:rFonts w:cs="Times New Roman"/>
          <w:noProof/>
        </w:rPr>
        <w:t>a</w:t>
      </w:r>
      <w:r w:rsidRPr="00684E38">
        <w:rPr>
          <w:rFonts w:cs="Times New Roman"/>
          <w:noProof/>
        </w:rPr>
        <w:t xml:space="preserve"> favourable ethical opinion for the study was granted by the Tyne</w:t>
      </w:r>
      <w:r w:rsidRPr="00684E38">
        <w:rPr>
          <w:rFonts w:cs="Times New Roman"/>
        </w:rPr>
        <w:t xml:space="preserve"> and Wear South </w:t>
      </w:r>
      <w:r>
        <w:rPr>
          <w:rFonts w:cs="Times New Roman"/>
        </w:rPr>
        <w:t xml:space="preserve">NHS </w:t>
      </w:r>
      <w:r w:rsidRPr="00684E38">
        <w:rPr>
          <w:rFonts w:cs="Times New Roman"/>
        </w:rPr>
        <w:t xml:space="preserve">Research Ethics Committee (reference 16/NE/0268).  </w:t>
      </w:r>
    </w:p>
    <w:p w14:paraId="4B039381" w14:textId="09481F1F" w:rsidR="005D78F6" w:rsidRPr="005D78F6" w:rsidRDefault="005D78F6" w:rsidP="005D78F6"/>
    <w:p w14:paraId="4065D06D" w14:textId="1C594626" w:rsidR="00BC5B7B" w:rsidRDefault="00BC5B7B" w:rsidP="00BC5B7B">
      <w:pPr>
        <w:pStyle w:val="Heading2"/>
      </w:pPr>
      <w:r>
        <w:lastRenderedPageBreak/>
        <w:t>Online</w:t>
      </w:r>
      <w:r w:rsidR="00EC7D08">
        <w:t xml:space="preserve"> supplemental material</w:t>
      </w:r>
    </w:p>
    <w:p w14:paraId="0724F2EC" w14:textId="74B1A2F5" w:rsidR="00F52E59" w:rsidRDefault="00F52E59" w:rsidP="0038057D">
      <w:pPr>
        <w:rPr>
          <w:bCs/>
          <w:iCs/>
        </w:rPr>
      </w:pPr>
      <w:r>
        <w:rPr>
          <w:bCs/>
        </w:rPr>
        <w:t>Supplemental table</w:t>
      </w:r>
      <w:r w:rsidRPr="00367D62">
        <w:rPr>
          <w:bCs/>
        </w:rPr>
        <w:t xml:space="preserve"> </w:t>
      </w:r>
      <w:r w:rsidRPr="00CF395B">
        <w:t>1</w:t>
      </w:r>
      <w:r w:rsidRPr="00367D62">
        <w:rPr>
          <w:bCs/>
        </w:rPr>
        <w:t xml:space="preserve"> </w:t>
      </w:r>
      <w:r w:rsidR="0038057D">
        <w:rPr>
          <w:bCs/>
        </w:rPr>
        <w:t>displays the l</w:t>
      </w:r>
      <w:r w:rsidRPr="00367D62">
        <w:rPr>
          <w:bCs/>
        </w:rPr>
        <w:t xml:space="preserve">ikelihood of emotional, conduct and hyperactivity disorders </w:t>
      </w:r>
      <w:r w:rsidR="007C742B">
        <w:rPr>
          <w:bCs/>
        </w:rPr>
        <w:t>from</w:t>
      </w:r>
      <w:r w:rsidRPr="00367D62">
        <w:rPr>
          <w:bCs/>
        </w:rPr>
        <w:t xml:space="preserve"> the SDQ</w:t>
      </w:r>
      <w:r w:rsidR="0038057D">
        <w:rPr>
          <w:bCs/>
        </w:rPr>
        <w:t xml:space="preserve"> in the UK XLA cohort.  </w:t>
      </w:r>
      <w:r>
        <w:rPr>
          <w:bCs/>
        </w:rPr>
        <w:t xml:space="preserve">Supplemental </w:t>
      </w:r>
      <w:r w:rsidRPr="00367D62">
        <w:rPr>
          <w:bCs/>
        </w:rPr>
        <w:t xml:space="preserve">Table </w:t>
      </w:r>
      <w:r w:rsidRPr="00367D62">
        <w:rPr>
          <w:b/>
          <w:bCs/>
          <w:i/>
          <w:iCs/>
        </w:rPr>
        <w:fldChar w:fldCharType="begin"/>
      </w:r>
      <w:r w:rsidRPr="00367D62">
        <w:rPr>
          <w:bCs/>
        </w:rPr>
        <w:instrText xml:space="preserve"> SEQ Table \* ARABIC </w:instrText>
      </w:r>
      <w:r w:rsidRPr="00367D62">
        <w:rPr>
          <w:b/>
          <w:bCs/>
          <w:i/>
          <w:iCs/>
        </w:rPr>
        <w:fldChar w:fldCharType="separate"/>
      </w:r>
      <w:r>
        <w:rPr>
          <w:bCs/>
          <w:noProof/>
        </w:rPr>
        <w:t>2</w:t>
      </w:r>
      <w:r w:rsidRPr="00367D62">
        <w:rPr>
          <w:b/>
          <w:bCs/>
          <w:i/>
          <w:iCs/>
        </w:rPr>
        <w:fldChar w:fldCharType="end"/>
      </w:r>
      <w:r w:rsidRPr="00367D62">
        <w:rPr>
          <w:bCs/>
        </w:rPr>
        <w:t xml:space="preserve"> </w:t>
      </w:r>
      <w:r>
        <w:rPr>
          <w:bCs/>
          <w:iCs/>
        </w:rPr>
        <w:t xml:space="preserve">shows </w:t>
      </w:r>
      <w:r w:rsidRPr="00367D62">
        <w:rPr>
          <w:bCs/>
        </w:rPr>
        <w:t xml:space="preserve">RSES </w:t>
      </w:r>
      <w:r w:rsidR="007C742B">
        <w:rPr>
          <w:bCs/>
        </w:rPr>
        <w:t>0</w:t>
      </w:r>
      <w:r w:rsidRPr="00367D62">
        <w:rPr>
          <w:bCs/>
        </w:rPr>
        <w:t>utcomes</w:t>
      </w:r>
      <w:r w:rsidR="0038057D">
        <w:rPr>
          <w:bCs/>
          <w:iCs/>
        </w:rPr>
        <w:t xml:space="preserve"> in the UK XLA cohort</w:t>
      </w:r>
      <w:r>
        <w:rPr>
          <w:bCs/>
        </w:rPr>
        <w:t xml:space="preserve"> versus UK norms</w:t>
      </w:r>
      <w:r>
        <w:rPr>
          <w:bCs/>
          <w:iCs/>
        </w:rPr>
        <w:t xml:space="preserve"> and</w:t>
      </w:r>
      <w:r>
        <w:rPr>
          <w:bCs/>
        </w:rPr>
        <w:t xml:space="preserve"> </w:t>
      </w:r>
      <w:r>
        <w:rPr>
          <w:bCs/>
          <w:iCs/>
        </w:rPr>
        <w:t xml:space="preserve">CF </w:t>
      </w:r>
      <w:r>
        <w:rPr>
          <w:bCs/>
        </w:rPr>
        <w:t>patients</w:t>
      </w:r>
      <w:r>
        <w:rPr>
          <w:bCs/>
          <w:iCs/>
        </w:rPr>
        <w:t>.</w:t>
      </w:r>
    </w:p>
    <w:p w14:paraId="3CB5A560" w14:textId="48F100B1" w:rsidR="00E0214F" w:rsidRDefault="00E0214F" w:rsidP="00E0214F">
      <w:pPr>
        <w:pStyle w:val="Heading2"/>
      </w:pPr>
      <w:r>
        <w:t>Data availability</w:t>
      </w:r>
    </w:p>
    <w:p w14:paraId="679C17DF" w14:textId="28DEF90E" w:rsidR="00E0214F" w:rsidRDefault="00390BD2" w:rsidP="00E0214F">
      <w:r w:rsidRPr="00390BD2">
        <w:t>All relevant data that can be shared can be found in supplemental material. Additional data are available from the corresponding author upon reasonable request from health care professionals and within national General Data Protection Regulation rules and regulations.</w:t>
      </w:r>
    </w:p>
    <w:p w14:paraId="008F09E7" w14:textId="7509F70E" w:rsidR="00DA44AC" w:rsidRDefault="00DA44AC" w:rsidP="00DA44AC">
      <w:pPr>
        <w:pStyle w:val="Heading2"/>
      </w:pPr>
      <w:r>
        <w:t>Acknowledgements</w:t>
      </w:r>
    </w:p>
    <w:p w14:paraId="352D5B6E" w14:textId="12301D7A" w:rsidR="00DA44AC" w:rsidRPr="00DA44AC" w:rsidRDefault="00112775" w:rsidP="00A81E84">
      <w:r w:rsidRPr="00112775">
        <w:t>This work was funded in part by the the Jeffrey Modell Foundation and the Bubble Foundation.</w:t>
      </w:r>
      <w:r>
        <w:t xml:space="preserve">  We would like to thank the UKPID registry</w:t>
      </w:r>
      <w:r w:rsidR="00A81E84">
        <w:t xml:space="preserve"> (</w:t>
      </w:r>
      <w:hyperlink r:id="rId7" w:history="1">
        <w:r w:rsidR="005D78F6" w:rsidRPr="00A81E84">
          <w:rPr>
            <w:rStyle w:val="Hyperlink"/>
          </w:rPr>
          <w:t>https://www.ukpid-registry.co.uk</w:t>
        </w:r>
      </w:hyperlink>
      <w:r w:rsidR="00A81E84">
        <w:t>)</w:t>
      </w:r>
      <w:r>
        <w:t xml:space="preserve"> for their assistance in identifying potential participants. </w:t>
      </w:r>
    </w:p>
    <w:p w14:paraId="7360135A" w14:textId="77777777" w:rsidR="00DA44AC" w:rsidRPr="00DA44AC" w:rsidRDefault="00DA44AC" w:rsidP="00DA44AC"/>
    <w:p w14:paraId="5CB259BC" w14:textId="77777777" w:rsidR="00390BD2" w:rsidRPr="00E0214F" w:rsidRDefault="00390BD2" w:rsidP="00E0214F"/>
    <w:p w14:paraId="0268BCF0" w14:textId="77777777" w:rsidR="00F52E59" w:rsidRPr="00F52E59" w:rsidRDefault="00F52E59" w:rsidP="00F52E59"/>
    <w:p w14:paraId="1278AC96" w14:textId="77777777" w:rsidR="00EC7D08" w:rsidRPr="00EC7D08" w:rsidRDefault="00EC7D08" w:rsidP="00EC7D08"/>
    <w:p w14:paraId="0E14B13D" w14:textId="77777777" w:rsidR="00FF1EBD" w:rsidRDefault="00FF1EBD" w:rsidP="00FF1EBD"/>
    <w:p w14:paraId="76E04949" w14:textId="77777777" w:rsidR="00A407E5" w:rsidRPr="00FF1EBD" w:rsidRDefault="00A407E5" w:rsidP="00FF1EBD">
      <w:pPr>
        <w:sectPr w:rsidR="00A407E5" w:rsidRPr="00FF1EBD" w:rsidSect="00FF1EBD">
          <w:pgSz w:w="11906" w:h="16838"/>
          <w:pgMar w:top="1440" w:right="1440" w:bottom="1440" w:left="1440" w:header="709" w:footer="709" w:gutter="0"/>
          <w:cols w:space="708"/>
          <w:docGrid w:linePitch="360"/>
        </w:sectPr>
      </w:pPr>
    </w:p>
    <w:p w14:paraId="269E94A2" w14:textId="77777777" w:rsidR="00E61BA0" w:rsidRDefault="00E61BA0" w:rsidP="00ED572F">
      <w:pPr>
        <w:pStyle w:val="Heading2"/>
        <w:sectPr w:rsidR="00E61BA0" w:rsidSect="00FF1EBD">
          <w:type w:val="continuous"/>
          <w:pgSz w:w="11906" w:h="16838"/>
          <w:pgMar w:top="1440" w:right="1440" w:bottom="1440" w:left="1440" w:header="709" w:footer="709" w:gutter="0"/>
          <w:cols w:space="708"/>
          <w:docGrid w:linePitch="360"/>
        </w:sectPr>
      </w:pPr>
    </w:p>
    <w:p w14:paraId="5664915E" w14:textId="77777777" w:rsidR="00ED572F" w:rsidRDefault="00ED572F" w:rsidP="00ED572F">
      <w:pPr>
        <w:pStyle w:val="Heading2"/>
      </w:pPr>
      <w:r>
        <w:lastRenderedPageBreak/>
        <w:t>References</w:t>
      </w:r>
    </w:p>
    <w:p w14:paraId="037D5257" w14:textId="77777777" w:rsidR="00D106AB" w:rsidRDefault="00ED572F" w:rsidP="00D106AB">
      <w:pPr>
        <w:pStyle w:val="Bibliography"/>
        <w:rPr>
          <w:rFonts w:cs="Times New Roman"/>
          <w:kern w:val="0"/>
        </w:rPr>
      </w:pPr>
      <w:r>
        <w:fldChar w:fldCharType="begin"/>
      </w:r>
      <w:r w:rsidR="00D106AB">
        <w:instrText xml:space="preserve"> ADDIN ZOTERO_BIBL {"uncited":[],"omitted":[],"custom":[]} CSL_BIBLIOGRAPHY </w:instrText>
      </w:r>
      <w:r>
        <w:fldChar w:fldCharType="separate"/>
      </w:r>
      <w:r w:rsidR="00D106AB">
        <w:rPr>
          <w:rFonts w:cs="Times New Roman"/>
          <w:kern w:val="0"/>
        </w:rPr>
        <w:t>1.</w:t>
      </w:r>
      <w:r w:rsidR="00D106AB">
        <w:rPr>
          <w:rFonts w:cs="Times New Roman"/>
          <w:kern w:val="0"/>
        </w:rPr>
        <w:tab/>
        <w:t xml:space="preserve">Bruton OC. Agammaglobulinemia. Pediatrics. 1952;9(6):722–8. </w:t>
      </w:r>
    </w:p>
    <w:p w14:paraId="79CC72C6" w14:textId="77777777" w:rsidR="00D106AB" w:rsidRDefault="00D106AB" w:rsidP="00D106AB">
      <w:pPr>
        <w:pStyle w:val="Bibliography"/>
        <w:rPr>
          <w:rFonts w:cs="Times New Roman"/>
          <w:kern w:val="0"/>
        </w:rPr>
      </w:pPr>
      <w:r>
        <w:rPr>
          <w:rFonts w:cs="Times New Roman"/>
          <w:kern w:val="0"/>
        </w:rPr>
        <w:t>2.</w:t>
      </w:r>
      <w:r>
        <w:rPr>
          <w:rFonts w:cs="Times New Roman"/>
          <w:kern w:val="0"/>
        </w:rPr>
        <w:tab/>
        <w:t xml:space="preserve">Stiehm ER, Johnston RB. A History of Pediatric Immunology. Pediatr Res. 2005 Mar;57(3):458–67. </w:t>
      </w:r>
    </w:p>
    <w:p w14:paraId="335C0559" w14:textId="77777777" w:rsidR="00D106AB" w:rsidRDefault="00D106AB" w:rsidP="00D106AB">
      <w:pPr>
        <w:pStyle w:val="Bibliography"/>
        <w:rPr>
          <w:rFonts w:cs="Times New Roman"/>
          <w:kern w:val="0"/>
        </w:rPr>
      </w:pPr>
      <w:r>
        <w:rPr>
          <w:rFonts w:cs="Times New Roman"/>
          <w:kern w:val="0"/>
        </w:rPr>
        <w:t>3.</w:t>
      </w:r>
      <w:r>
        <w:rPr>
          <w:rFonts w:cs="Times New Roman"/>
          <w:kern w:val="0"/>
        </w:rPr>
        <w:tab/>
        <w:t xml:space="preserve">Siegal FP, Pernis B, Kunkel HG. Lymphocytes in human immunodeficiency states: a study of membrane-associated immunoglobulins. Eur J Immunol. 1971 Jan;1(6):482–6. </w:t>
      </w:r>
    </w:p>
    <w:p w14:paraId="6C460511" w14:textId="77777777" w:rsidR="00D106AB" w:rsidRDefault="00D106AB" w:rsidP="00D106AB">
      <w:pPr>
        <w:pStyle w:val="Bibliography"/>
        <w:rPr>
          <w:rFonts w:cs="Times New Roman"/>
          <w:kern w:val="0"/>
        </w:rPr>
      </w:pPr>
      <w:r>
        <w:rPr>
          <w:rFonts w:cs="Times New Roman"/>
          <w:kern w:val="0"/>
        </w:rPr>
        <w:t>4.</w:t>
      </w:r>
      <w:r>
        <w:rPr>
          <w:rFonts w:cs="Times New Roman"/>
          <w:kern w:val="0"/>
        </w:rPr>
        <w:tab/>
        <w:t xml:space="preserve">Cooper MD, Lawton AR. Circulating B-cells in patients with immunodeficiency. Am J Pathol. 1972 Dec;69(3):513–28. </w:t>
      </w:r>
    </w:p>
    <w:p w14:paraId="553D3FEE" w14:textId="77777777" w:rsidR="00D106AB" w:rsidRDefault="00D106AB" w:rsidP="00D106AB">
      <w:pPr>
        <w:pStyle w:val="Bibliography"/>
        <w:rPr>
          <w:rFonts w:cs="Times New Roman"/>
          <w:kern w:val="0"/>
        </w:rPr>
      </w:pPr>
      <w:r>
        <w:rPr>
          <w:rFonts w:cs="Times New Roman"/>
          <w:kern w:val="0"/>
        </w:rPr>
        <w:t>5.</w:t>
      </w:r>
      <w:r>
        <w:rPr>
          <w:rFonts w:cs="Times New Roman"/>
          <w:kern w:val="0"/>
        </w:rPr>
        <w:tab/>
        <w:t xml:space="preserve">Geha RS, Rosen FS, Merler E. Identification and Characterization of Subpopulations of Lymphocytes in Human Peripheral Blood after Fractionation on Discontinuous Gradients of Albumin: The Cellular Defect in X-Linked Agammaglobulinaemia. J Clin Invest. 1973 Jul;52(7):1726–34. </w:t>
      </w:r>
    </w:p>
    <w:p w14:paraId="29CA76E3" w14:textId="77777777" w:rsidR="00D106AB" w:rsidRDefault="00D106AB" w:rsidP="00D106AB">
      <w:pPr>
        <w:pStyle w:val="Bibliography"/>
        <w:rPr>
          <w:rFonts w:cs="Times New Roman"/>
          <w:kern w:val="0"/>
        </w:rPr>
      </w:pPr>
      <w:r>
        <w:rPr>
          <w:rFonts w:cs="Times New Roman"/>
          <w:kern w:val="0"/>
        </w:rPr>
        <w:t>6.</w:t>
      </w:r>
      <w:r>
        <w:rPr>
          <w:rFonts w:cs="Times New Roman"/>
          <w:kern w:val="0"/>
        </w:rPr>
        <w:tab/>
        <w:t xml:space="preserve">Preud’Homme JL, Griscelli C, Seligmann M. Immunoglobulins on the surface of lymphocytes in fifty patients with primary immunodeficiency diseases. Clin Immunol Immunopathol. 1973 Jan;1(2):241–56. </w:t>
      </w:r>
    </w:p>
    <w:p w14:paraId="573FABBE" w14:textId="77777777" w:rsidR="00D106AB" w:rsidRDefault="00D106AB" w:rsidP="00D106AB">
      <w:pPr>
        <w:pStyle w:val="Bibliography"/>
        <w:rPr>
          <w:rFonts w:cs="Times New Roman"/>
          <w:kern w:val="0"/>
        </w:rPr>
      </w:pPr>
      <w:r>
        <w:rPr>
          <w:rFonts w:cs="Times New Roman"/>
          <w:kern w:val="0"/>
        </w:rPr>
        <w:t>7.</w:t>
      </w:r>
      <w:r>
        <w:rPr>
          <w:rFonts w:cs="Times New Roman"/>
          <w:kern w:val="0"/>
        </w:rPr>
        <w:tab/>
        <w:t xml:space="preserve">Pearl ER, Vogler LB, Okos AJ, Crist WM, Lawton AR, Cooper MD. B Lymphocyte Precursors in Human Bone Marrow: An Analysis of Normal Individuals and Patients with Antibody-Deficiency States. J Immunol. 1978 Apr;120(4):1169–75. </w:t>
      </w:r>
    </w:p>
    <w:p w14:paraId="40AC8A97" w14:textId="77777777" w:rsidR="00D106AB" w:rsidRDefault="00D106AB" w:rsidP="00D106AB">
      <w:pPr>
        <w:pStyle w:val="Bibliography"/>
        <w:rPr>
          <w:rFonts w:cs="Times New Roman"/>
          <w:kern w:val="0"/>
        </w:rPr>
      </w:pPr>
      <w:r>
        <w:rPr>
          <w:rFonts w:cs="Times New Roman"/>
          <w:kern w:val="0"/>
        </w:rPr>
        <w:t>8.</w:t>
      </w:r>
      <w:r>
        <w:rPr>
          <w:rFonts w:cs="Times New Roman"/>
          <w:kern w:val="0"/>
        </w:rPr>
        <w:tab/>
        <w:t xml:space="preserve">Tsukada S, Saffran DC, Rawlings DJ, Parolini O, Allen RC, Klisak I, et al. Deficient expression of a B cell cytoplasmic tyrosine kinase in human X-linked agammaglobulinemia. Cell. 1993;72(2):279–90. </w:t>
      </w:r>
    </w:p>
    <w:p w14:paraId="364D9248" w14:textId="77777777" w:rsidR="00D106AB" w:rsidRDefault="00D106AB" w:rsidP="00D106AB">
      <w:pPr>
        <w:pStyle w:val="Bibliography"/>
        <w:rPr>
          <w:rFonts w:cs="Times New Roman"/>
          <w:kern w:val="0"/>
        </w:rPr>
      </w:pPr>
      <w:r>
        <w:rPr>
          <w:rFonts w:cs="Times New Roman"/>
          <w:kern w:val="0"/>
        </w:rPr>
        <w:t>9.</w:t>
      </w:r>
      <w:r>
        <w:rPr>
          <w:rFonts w:cs="Times New Roman"/>
          <w:kern w:val="0"/>
        </w:rPr>
        <w:tab/>
        <w:t xml:space="preserve">Vetrie D, Vorechovský I, Sideras P, Holland J, Davies A, Flinter F, et al. The gene involved in X-linked agammaglobulinaemia is a member of the src family of protein-tyrosine kinases. Nature. 1993;361(6409):226–33. </w:t>
      </w:r>
    </w:p>
    <w:p w14:paraId="58F19C50" w14:textId="77777777" w:rsidR="00D106AB" w:rsidRDefault="00D106AB" w:rsidP="00D106AB">
      <w:pPr>
        <w:pStyle w:val="Bibliography"/>
        <w:rPr>
          <w:rFonts w:cs="Times New Roman"/>
          <w:kern w:val="0"/>
        </w:rPr>
      </w:pPr>
      <w:r>
        <w:rPr>
          <w:rFonts w:cs="Times New Roman"/>
          <w:kern w:val="0"/>
        </w:rPr>
        <w:t>10.</w:t>
      </w:r>
      <w:r>
        <w:rPr>
          <w:rFonts w:cs="Times New Roman"/>
          <w:kern w:val="0"/>
        </w:rPr>
        <w:tab/>
        <w:t xml:space="preserve">Pirofsky B, Campbell SM, Montanaro A. Individual patient variations in the kinetics of intravenous immune globulin administration. J Clin Immunol. 1982 Apr;2(2 Suppl):7S-14S. </w:t>
      </w:r>
    </w:p>
    <w:p w14:paraId="48067FD4" w14:textId="77777777" w:rsidR="00D106AB" w:rsidRDefault="00D106AB" w:rsidP="00D106AB">
      <w:pPr>
        <w:pStyle w:val="Bibliography"/>
        <w:rPr>
          <w:rFonts w:cs="Times New Roman"/>
          <w:kern w:val="0"/>
        </w:rPr>
      </w:pPr>
      <w:r>
        <w:rPr>
          <w:rFonts w:cs="Times New Roman"/>
          <w:kern w:val="0"/>
        </w:rPr>
        <w:t>11.</w:t>
      </w:r>
      <w:r>
        <w:rPr>
          <w:rFonts w:cs="Times New Roman"/>
          <w:kern w:val="0"/>
        </w:rPr>
        <w:tab/>
        <w:t xml:space="preserve">Garbett ND, Currie DC, Cole PJ. Comparison of the clinical efficacy and safety of an intramuscular and an intravenous immunoglobulin preparation for replacement therapy in idiopathic adult onset panhypogammaglobulinaemia. Clin Exp Immunol. 1989 Apr;76(1):1–7. </w:t>
      </w:r>
    </w:p>
    <w:p w14:paraId="3C62CEE5" w14:textId="77777777" w:rsidR="00D106AB" w:rsidRDefault="00D106AB" w:rsidP="00D106AB">
      <w:pPr>
        <w:pStyle w:val="Bibliography"/>
        <w:rPr>
          <w:rFonts w:cs="Times New Roman"/>
          <w:kern w:val="0"/>
        </w:rPr>
      </w:pPr>
      <w:r>
        <w:rPr>
          <w:rFonts w:cs="Times New Roman"/>
          <w:kern w:val="0"/>
        </w:rPr>
        <w:t>12.</w:t>
      </w:r>
      <w:r>
        <w:rPr>
          <w:rFonts w:cs="Times New Roman"/>
          <w:kern w:val="0"/>
        </w:rPr>
        <w:tab/>
        <w:t xml:space="preserve">Plebani A, Soresina A, Rondelli R, Amato GM, Azzari C, Cardinale F, et al. Clinical, immunological, and molecular analysis in a large cohort of patients with X-linked agammaglobulinemia: an Italian multicenter study. Clin Immunol. 2002;104(3):221–30. </w:t>
      </w:r>
    </w:p>
    <w:p w14:paraId="35A7E9BB" w14:textId="77777777" w:rsidR="00D106AB" w:rsidRDefault="00D106AB" w:rsidP="00D106AB">
      <w:pPr>
        <w:pStyle w:val="Bibliography"/>
        <w:rPr>
          <w:rFonts w:cs="Times New Roman"/>
          <w:kern w:val="0"/>
        </w:rPr>
      </w:pPr>
      <w:r>
        <w:rPr>
          <w:rFonts w:cs="Times New Roman"/>
          <w:kern w:val="0"/>
        </w:rPr>
        <w:t>13.</w:t>
      </w:r>
      <w:r>
        <w:rPr>
          <w:rFonts w:cs="Times New Roman"/>
          <w:kern w:val="0"/>
        </w:rPr>
        <w:tab/>
        <w:t xml:space="preserve">Hendriks RW, Bredius RG, Pike-Overzet K, Staal FJ. Biology and novel treatment options for XLA, the most common monogenetic immunodeficiency in man. Expert Opin Ther Targets. 2011 Aug;8222(December 2015):9–18. </w:t>
      </w:r>
    </w:p>
    <w:p w14:paraId="05BE69CD" w14:textId="77777777" w:rsidR="00D106AB" w:rsidRDefault="00D106AB" w:rsidP="00D106AB">
      <w:pPr>
        <w:pStyle w:val="Bibliography"/>
        <w:rPr>
          <w:rFonts w:cs="Times New Roman"/>
          <w:kern w:val="0"/>
        </w:rPr>
      </w:pPr>
      <w:r>
        <w:rPr>
          <w:rFonts w:cs="Times New Roman"/>
          <w:kern w:val="0"/>
        </w:rPr>
        <w:t>14.</w:t>
      </w:r>
      <w:r>
        <w:rPr>
          <w:rFonts w:cs="Times New Roman"/>
          <w:kern w:val="0"/>
        </w:rPr>
        <w:tab/>
        <w:t xml:space="preserve">LeBien TW, Tedder TF. B lymphocytes : how they develop and function. Am Soc Hematol. 2008 Sep;112(5):1570–80. </w:t>
      </w:r>
    </w:p>
    <w:p w14:paraId="74EDA028" w14:textId="77777777" w:rsidR="00D106AB" w:rsidRDefault="00D106AB" w:rsidP="00D106AB">
      <w:pPr>
        <w:pStyle w:val="Bibliography"/>
        <w:rPr>
          <w:rFonts w:cs="Times New Roman"/>
          <w:kern w:val="0"/>
        </w:rPr>
      </w:pPr>
      <w:r>
        <w:rPr>
          <w:rFonts w:cs="Times New Roman"/>
          <w:kern w:val="0"/>
        </w:rPr>
        <w:t>15.</w:t>
      </w:r>
      <w:r>
        <w:rPr>
          <w:rFonts w:cs="Times New Roman"/>
          <w:kern w:val="0"/>
        </w:rPr>
        <w:tab/>
        <w:t xml:space="preserve">Weber ANR, Bittner Z, Liu X, Dang TM, Radsak MP, Brunner C. Bruton’s Tyrosine Kinase: An Emerging Key Player in Innate Immunity. Front Immunol. 2017 Nov;8:1454–1454. </w:t>
      </w:r>
    </w:p>
    <w:p w14:paraId="5B2611B2" w14:textId="77777777" w:rsidR="00D106AB" w:rsidRDefault="00D106AB" w:rsidP="00D106AB">
      <w:pPr>
        <w:pStyle w:val="Bibliography"/>
        <w:rPr>
          <w:rFonts w:cs="Times New Roman"/>
          <w:kern w:val="0"/>
        </w:rPr>
      </w:pPr>
      <w:r>
        <w:rPr>
          <w:rFonts w:cs="Times New Roman"/>
          <w:kern w:val="0"/>
        </w:rPr>
        <w:t>16.</w:t>
      </w:r>
      <w:r>
        <w:rPr>
          <w:rFonts w:cs="Times New Roman"/>
          <w:kern w:val="0"/>
        </w:rPr>
        <w:tab/>
        <w:t xml:space="preserve">Schroeder HW, Cavacini L. Structure and function of immunoglobulins. J Allergy Clin Immunol. 2010 Feb;125(2):S41–52. </w:t>
      </w:r>
    </w:p>
    <w:p w14:paraId="5E81BA8B" w14:textId="77777777" w:rsidR="00D106AB" w:rsidRDefault="00D106AB" w:rsidP="00D106AB">
      <w:pPr>
        <w:pStyle w:val="Bibliography"/>
        <w:rPr>
          <w:rFonts w:cs="Times New Roman"/>
          <w:kern w:val="0"/>
        </w:rPr>
      </w:pPr>
      <w:r>
        <w:rPr>
          <w:rFonts w:cs="Times New Roman"/>
          <w:kern w:val="0"/>
        </w:rPr>
        <w:t>17.</w:t>
      </w:r>
      <w:r>
        <w:rPr>
          <w:rFonts w:cs="Times New Roman"/>
          <w:kern w:val="0"/>
        </w:rPr>
        <w:tab/>
        <w:t xml:space="preserve">Woof JM, Mestecky J. Mucosal immunoglobulins. Immunol Rev. 2005 Aug;206(1):64–82. </w:t>
      </w:r>
    </w:p>
    <w:p w14:paraId="31DE6161" w14:textId="77777777" w:rsidR="00D106AB" w:rsidRDefault="00D106AB" w:rsidP="00D106AB">
      <w:pPr>
        <w:pStyle w:val="Bibliography"/>
        <w:rPr>
          <w:rFonts w:cs="Times New Roman"/>
          <w:kern w:val="0"/>
        </w:rPr>
      </w:pPr>
      <w:r>
        <w:rPr>
          <w:rFonts w:cs="Times New Roman"/>
          <w:kern w:val="0"/>
        </w:rPr>
        <w:t>18.</w:t>
      </w:r>
      <w:r>
        <w:rPr>
          <w:rFonts w:cs="Times New Roman"/>
          <w:kern w:val="0"/>
        </w:rPr>
        <w:tab/>
        <w:t>Nakagawa N, Imai K, Kanegane H, Sato H,</w:t>
      </w:r>
      <w:r>
        <w:rPr>
          <w:rFonts w:cs="Times New Roman"/>
          <w:kern w:val="0"/>
        </w:rPr>
        <w:lastRenderedPageBreak/>
        <w:t xml:space="preserve"> Yamada M, Kondoh K, et al. Quantification of k-deleting recombination excision circles in Guthrie cards for the identification of early B-cell maturation defects. J Allergy Clin Immunol. 2011 Dec;128(1):223–5. </w:t>
      </w:r>
    </w:p>
    <w:p w14:paraId="3B4A9BE2" w14:textId="77777777" w:rsidR="00D106AB" w:rsidRDefault="00D106AB" w:rsidP="00D106AB">
      <w:pPr>
        <w:pStyle w:val="Bibliography"/>
        <w:rPr>
          <w:rFonts w:cs="Times New Roman"/>
          <w:kern w:val="0"/>
        </w:rPr>
      </w:pPr>
      <w:r>
        <w:rPr>
          <w:rFonts w:cs="Times New Roman"/>
          <w:kern w:val="0"/>
        </w:rPr>
        <w:t>19.</w:t>
      </w:r>
      <w:r>
        <w:rPr>
          <w:rFonts w:cs="Times New Roman"/>
          <w:kern w:val="0"/>
        </w:rPr>
        <w:tab/>
        <w:t xml:space="preserve">Moreau T, Barlogis V, Bardin F, Nunes J a, Calmels B, Chabannon C, et al. Development of an enhanced B-specific lentiviral vector expressing BTK: a tool for gene therapy of XLA. Gene Ther. 2008;15(12):942–52. </w:t>
      </w:r>
    </w:p>
    <w:p w14:paraId="384AF82E" w14:textId="77777777" w:rsidR="00D106AB" w:rsidRDefault="00D106AB" w:rsidP="00D106AB">
      <w:pPr>
        <w:pStyle w:val="Bibliography"/>
        <w:rPr>
          <w:rFonts w:cs="Times New Roman"/>
          <w:kern w:val="0"/>
        </w:rPr>
      </w:pPr>
      <w:r>
        <w:rPr>
          <w:rFonts w:cs="Times New Roman"/>
          <w:kern w:val="0"/>
        </w:rPr>
        <w:t>20.</w:t>
      </w:r>
      <w:r>
        <w:rPr>
          <w:rFonts w:cs="Times New Roman"/>
          <w:kern w:val="0"/>
        </w:rPr>
        <w:tab/>
        <w:t xml:space="preserve">Shillitoe BMJ, Ponsford M, Slatter MA, Evans J, Struik S, Cosgrove M, et al. Haematopoietic Stem Cell Transplant for Norovirus-Induced Intestinal Failure in X-linked Agammaglobulinemia. J Clin Immunol. 2021 Oct;41(7):1574–81. </w:t>
      </w:r>
    </w:p>
    <w:p w14:paraId="2F1FD6B4" w14:textId="77777777" w:rsidR="00D106AB" w:rsidRDefault="00D106AB" w:rsidP="00D106AB">
      <w:pPr>
        <w:pStyle w:val="Bibliography"/>
        <w:rPr>
          <w:rFonts w:cs="Times New Roman"/>
          <w:kern w:val="0"/>
        </w:rPr>
      </w:pPr>
      <w:r>
        <w:rPr>
          <w:rFonts w:cs="Times New Roman"/>
          <w:kern w:val="0"/>
        </w:rPr>
        <w:t>21.</w:t>
      </w:r>
      <w:r>
        <w:rPr>
          <w:rFonts w:cs="Times New Roman"/>
          <w:kern w:val="0"/>
        </w:rPr>
        <w:tab/>
        <w:t xml:space="preserve">Cole T, McKendrick F, Titman P, Cant AJ, Pearce MS, Cale CM, et al. Health Related Quality of Life and Emotional Health in Children with Chronic Granulomatous Disease: A Comparison of Those Managed Conservatively with Those That Have Undergone Haematopoietic Stem Cell Transplant. J Clin Immunol. 2013;33(1):8–13. </w:t>
      </w:r>
    </w:p>
    <w:p w14:paraId="737C70A2" w14:textId="77777777" w:rsidR="00D106AB" w:rsidRDefault="00D106AB" w:rsidP="00D106AB">
      <w:pPr>
        <w:pStyle w:val="Bibliography"/>
        <w:rPr>
          <w:rFonts w:cs="Times New Roman"/>
          <w:kern w:val="0"/>
        </w:rPr>
      </w:pPr>
      <w:r>
        <w:rPr>
          <w:rFonts w:cs="Times New Roman"/>
          <w:kern w:val="0"/>
        </w:rPr>
        <w:t>22.</w:t>
      </w:r>
      <w:r>
        <w:rPr>
          <w:rFonts w:cs="Times New Roman"/>
          <w:kern w:val="0"/>
        </w:rPr>
        <w:tab/>
        <w:t xml:space="preserve">Shah AJ, Sokolic R, Logan B, Yin Z, Iyengar S, Scalchunes C, et al. Quality of Life of Patients with Wiskott Aldrich Syndrome and X-Linked Thrombocytopenia: a Study of the Primary Immune Deficiency Consortium (PIDTC), Immune Deficiency Foundation, and the Wiskott-Aldrich Foundation. J Clin Immunol. 2019 Nov;39(8):786–94. </w:t>
      </w:r>
    </w:p>
    <w:p w14:paraId="07F9EE5E" w14:textId="77777777" w:rsidR="00D106AB" w:rsidRDefault="00D106AB" w:rsidP="00D106AB">
      <w:pPr>
        <w:pStyle w:val="Bibliography"/>
        <w:rPr>
          <w:rFonts w:cs="Times New Roman"/>
          <w:kern w:val="0"/>
        </w:rPr>
      </w:pPr>
      <w:r>
        <w:rPr>
          <w:rFonts w:cs="Times New Roman"/>
          <w:kern w:val="0"/>
        </w:rPr>
        <w:t>23.</w:t>
      </w:r>
      <w:r>
        <w:rPr>
          <w:rFonts w:cs="Times New Roman"/>
          <w:kern w:val="0"/>
        </w:rPr>
        <w:tab/>
        <w:t xml:space="preserve">Soresina A, Nacinovich R, Bomba M, Cassani M, Molinaro A, Sciotto A, et al. The quality of life of children and adolescents with X-linked agammaglobulinemia. J Clin Immunol. 2009;29(4):501–7. </w:t>
      </w:r>
    </w:p>
    <w:p w14:paraId="1A3A34D6" w14:textId="77777777" w:rsidR="00D106AB" w:rsidRDefault="00D106AB" w:rsidP="00D106AB">
      <w:pPr>
        <w:pStyle w:val="Bibliography"/>
        <w:rPr>
          <w:rFonts w:cs="Times New Roman"/>
          <w:kern w:val="0"/>
        </w:rPr>
      </w:pPr>
      <w:r>
        <w:rPr>
          <w:rFonts w:cs="Times New Roman"/>
          <w:kern w:val="0"/>
        </w:rPr>
        <w:t>24.</w:t>
      </w:r>
      <w:r>
        <w:rPr>
          <w:rFonts w:cs="Times New Roman"/>
          <w:kern w:val="0"/>
        </w:rPr>
        <w:tab/>
        <w:t xml:space="preserve">Titman P, Allwood Z, Gilmour C, Malcolmson C, Duran-Persson C, Cale C, et al. Quality of Life in Children with Primary Antibody Deficiency. J Clin Immunol. 2014;34(7):844–52. </w:t>
      </w:r>
    </w:p>
    <w:p w14:paraId="4609C16B" w14:textId="77777777" w:rsidR="00D106AB" w:rsidRDefault="00D106AB" w:rsidP="00D106AB">
      <w:pPr>
        <w:pStyle w:val="Bibliography"/>
        <w:rPr>
          <w:rFonts w:cs="Times New Roman"/>
          <w:kern w:val="0"/>
        </w:rPr>
      </w:pPr>
      <w:r>
        <w:rPr>
          <w:rFonts w:cs="Times New Roman"/>
          <w:kern w:val="0"/>
        </w:rPr>
        <w:t>25.</w:t>
      </w:r>
      <w:r>
        <w:rPr>
          <w:rFonts w:cs="Times New Roman"/>
          <w:kern w:val="0"/>
        </w:rPr>
        <w:tab/>
        <w:t xml:space="preserve">Shillitoe B, Bangs C, Guzman D, Gennery AR, Longhurst HJ, Slatter M, et al. The United Kingdom Primary Immune Deficiency (UKPID) registry 2012 to 2017. Clin Exp Immunol. 2018 Jun;192(3):284–91. </w:t>
      </w:r>
    </w:p>
    <w:p w14:paraId="7F4E113D" w14:textId="77777777" w:rsidR="00D106AB" w:rsidRDefault="00D106AB" w:rsidP="00D106AB">
      <w:pPr>
        <w:pStyle w:val="Bibliography"/>
        <w:rPr>
          <w:rFonts w:cs="Times New Roman"/>
          <w:kern w:val="0"/>
        </w:rPr>
      </w:pPr>
      <w:r>
        <w:rPr>
          <w:rFonts w:cs="Times New Roman"/>
          <w:kern w:val="0"/>
        </w:rPr>
        <w:t>26.</w:t>
      </w:r>
      <w:r>
        <w:rPr>
          <w:rFonts w:cs="Times New Roman"/>
          <w:kern w:val="0"/>
        </w:rPr>
        <w:tab/>
        <w:t xml:space="preserve">Shillitoe B, Duque JSR, Lai SHY, Lau TM, Chan JCH, Bourne H, et al. Outcomes of X-Linked Agammaglobulinaemia Patients. J Clin Immunol. 2024 Nov 14;45(1):40. </w:t>
      </w:r>
    </w:p>
    <w:p w14:paraId="70F85C86" w14:textId="77777777" w:rsidR="00D106AB" w:rsidRDefault="00D106AB" w:rsidP="00D106AB">
      <w:pPr>
        <w:pStyle w:val="Bibliography"/>
        <w:rPr>
          <w:rFonts w:cs="Times New Roman"/>
          <w:kern w:val="0"/>
        </w:rPr>
      </w:pPr>
      <w:r>
        <w:rPr>
          <w:rFonts w:cs="Times New Roman"/>
          <w:kern w:val="0"/>
        </w:rPr>
        <w:t>27.</w:t>
      </w:r>
      <w:r>
        <w:rPr>
          <w:rFonts w:cs="Times New Roman"/>
          <w:kern w:val="0"/>
        </w:rPr>
        <w:tab/>
        <w:t xml:space="preserve">Upton P, Eiser C, Cheung I, Hutchings H a, Jenney M, Maddocks A, et al. Measurement properties of the UK-English version of the Pediatric Quality of Life Inventory 4.0 (PedsQL) generic core scales. Health Qual Life Outcomes. 2005;3:22–22. </w:t>
      </w:r>
    </w:p>
    <w:p w14:paraId="03027B31" w14:textId="77777777" w:rsidR="00D106AB" w:rsidRDefault="00D106AB" w:rsidP="00D106AB">
      <w:pPr>
        <w:pStyle w:val="Bibliography"/>
        <w:rPr>
          <w:rFonts w:cs="Times New Roman"/>
          <w:kern w:val="0"/>
        </w:rPr>
      </w:pPr>
      <w:r>
        <w:rPr>
          <w:rFonts w:cs="Times New Roman"/>
          <w:kern w:val="0"/>
        </w:rPr>
        <w:t>28.</w:t>
      </w:r>
      <w:r>
        <w:rPr>
          <w:rFonts w:cs="Times New Roman"/>
          <w:kern w:val="0"/>
        </w:rPr>
        <w:tab/>
        <w:t xml:space="preserve">Thomas C, Mitchell P, O’Rourke P, Wainwright C. Quality-of-life in children and adolescents with cystic fibrosis managed in both regional outreach and cystic fibrosis center settings in queensland. J Pediatr. 2006 Apr;148(4):508-516.e1. </w:t>
      </w:r>
    </w:p>
    <w:p w14:paraId="113CB9AE" w14:textId="77777777" w:rsidR="00D106AB" w:rsidRDefault="00D106AB" w:rsidP="00D106AB">
      <w:pPr>
        <w:pStyle w:val="Bibliography"/>
        <w:rPr>
          <w:rFonts w:cs="Times New Roman"/>
          <w:kern w:val="0"/>
        </w:rPr>
      </w:pPr>
      <w:r>
        <w:rPr>
          <w:rFonts w:cs="Times New Roman"/>
          <w:kern w:val="0"/>
        </w:rPr>
        <w:t>29.</w:t>
      </w:r>
      <w:r>
        <w:rPr>
          <w:rFonts w:cs="Times New Roman"/>
          <w:kern w:val="0"/>
        </w:rPr>
        <w:tab/>
        <w:t xml:space="preserve">Meltzer H, Gatward R, Goodman R, Ford T. Mental health of children and adolescents in Great Britain. Int Rev Psychiatry. 2003 Jan;15(1–2):185–7. </w:t>
      </w:r>
    </w:p>
    <w:p w14:paraId="61AC0880" w14:textId="77777777" w:rsidR="00D106AB" w:rsidRDefault="00D106AB" w:rsidP="00D106AB">
      <w:pPr>
        <w:pStyle w:val="Bibliography"/>
        <w:rPr>
          <w:rFonts w:cs="Times New Roman"/>
          <w:kern w:val="0"/>
        </w:rPr>
      </w:pPr>
      <w:r>
        <w:rPr>
          <w:rFonts w:cs="Times New Roman"/>
          <w:kern w:val="0"/>
        </w:rPr>
        <w:t>30.</w:t>
      </w:r>
      <w:r>
        <w:rPr>
          <w:rFonts w:cs="Times New Roman"/>
          <w:kern w:val="0"/>
        </w:rPr>
        <w:tab/>
        <w:t xml:space="preserve">Jenkinson C, Stewart-Brown S, Petersen S, Paice C. Assessment of the SF-36 version 2 in the United Kingdom. J Epidemiol Community Health. 1999;53(1):46–50. </w:t>
      </w:r>
    </w:p>
    <w:p w14:paraId="1FCF0180" w14:textId="77777777" w:rsidR="00D106AB" w:rsidRDefault="00D106AB" w:rsidP="00D106AB">
      <w:pPr>
        <w:pStyle w:val="Bibliography"/>
        <w:rPr>
          <w:rFonts w:cs="Times New Roman"/>
          <w:kern w:val="0"/>
        </w:rPr>
      </w:pPr>
      <w:r>
        <w:rPr>
          <w:rFonts w:cs="Times New Roman"/>
          <w:kern w:val="0"/>
        </w:rPr>
        <w:t>31.</w:t>
      </w:r>
      <w:r>
        <w:rPr>
          <w:rFonts w:cs="Times New Roman"/>
          <w:kern w:val="0"/>
        </w:rPr>
        <w:tab/>
        <w:t xml:space="preserve">Gee L, Abbott J, Conway SP, Etherington C, Webb AK. Validation of the SF-36 for the assessment of quality of life in adolescents and adults with cystic fibrosis. J Cyst Fibros Off J Eur Cyst Fibros Soc. 2002 Sep;1(3):137–45. </w:t>
      </w:r>
    </w:p>
    <w:p w14:paraId="63794DA9" w14:textId="77777777" w:rsidR="00D106AB" w:rsidRDefault="00D106AB" w:rsidP="00D106AB">
      <w:pPr>
        <w:pStyle w:val="Bibliography"/>
        <w:rPr>
          <w:rFonts w:cs="Times New Roman"/>
          <w:kern w:val="0"/>
        </w:rPr>
      </w:pPr>
      <w:r>
        <w:rPr>
          <w:rFonts w:cs="Times New Roman"/>
          <w:kern w:val="0"/>
        </w:rPr>
        <w:t>32.</w:t>
      </w:r>
      <w:r>
        <w:rPr>
          <w:rFonts w:cs="Times New Roman"/>
          <w:kern w:val="0"/>
        </w:rPr>
        <w:tab/>
        <w:t xml:space="preserve">Jones PW. SGRQ Manual June 2009. 2009;44(June):0–16. </w:t>
      </w:r>
    </w:p>
    <w:p w14:paraId="3FA53525" w14:textId="77777777" w:rsidR="00D106AB" w:rsidRDefault="00D106AB" w:rsidP="00D106AB">
      <w:pPr>
        <w:pStyle w:val="Bibliography"/>
        <w:rPr>
          <w:rFonts w:cs="Times New Roman"/>
          <w:kern w:val="0"/>
        </w:rPr>
      </w:pPr>
      <w:r>
        <w:rPr>
          <w:rFonts w:cs="Times New Roman"/>
          <w:kern w:val="0"/>
        </w:rPr>
        <w:t>33.</w:t>
      </w:r>
      <w:r>
        <w:rPr>
          <w:rFonts w:cs="Times New Roman"/>
          <w:kern w:val="0"/>
        </w:rPr>
        <w:tab/>
        <w:t xml:space="preserve">Padilla A, Olveira G, Olveira C, Dorado A, Plata AJ, Gaspar I, et al. Validity and reliability of the St. George Respiratory Questionnaire in the adult population with cystic fibrosi. Arch Bronconeumol. 2007 Apr;43(4):205–11. </w:t>
      </w:r>
    </w:p>
    <w:p w14:paraId="3FF4A3BC" w14:textId="77777777" w:rsidR="00D106AB" w:rsidRDefault="00D106AB" w:rsidP="00D106AB">
      <w:pPr>
        <w:pStyle w:val="Bibliography"/>
        <w:rPr>
          <w:rFonts w:cs="Times New Roman"/>
          <w:kern w:val="0"/>
        </w:rPr>
      </w:pPr>
      <w:r>
        <w:rPr>
          <w:rFonts w:cs="Times New Roman"/>
          <w:kern w:val="0"/>
        </w:rPr>
        <w:t>34.</w:t>
      </w:r>
      <w:r>
        <w:rPr>
          <w:rFonts w:cs="Times New Roman"/>
          <w:kern w:val="0"/>
        </w:rPr>
        <w:tab/>
        <w:t xml:space="preserve">Breeman S, Cotton S, Fielding S, Jones GT. Normative data for the Hospital Anxiety and Depression Scale. Qual Life Res. 2015 Feb;24(2):391–8. </w:t>
      </w:r>
    </w:p>
    <w:p w14:paraId="273A2E3A" w14:textId="77777777" w:rsidR="00D106AB" w:rsidRDefault="00D106AB" w:rsidP="00D106AB">
      <w:pPr>
        <w:pStyle w:val="Bibliography"/>
        <w:rPr>
          <w:rFonts w:cs="Times New Roman"/>
          <w:kern w:val="0"/>
        </w:rPr>
      </w:pPr>
      <w:r>
        <w:rPr>
          <w:rFonts w:cs="Times New Roman"/>
          <w:kern w:val="0"/>
        </w:rPr>
        <w:t>35.</w:t>
      </w:r>
      <w:r>
        <w:rPr>
          <w:rFonts w:cs="Times New Roman"/>
          <w:kern w:val="0"/>
        </w:rPr>
        <w:tab/>
        <w:t xml:space="preserve">Duff AJA, Abbott J, Cowperthwaite C, Sumner C, Hurley MA, Quittner A, et al. Depression and anxiety in adolescents and adults with cystic fibrosis in the UK: a cross-sectional study. J Cyst Fibros Off J Eur Cyst Fibros Soc. 2014 Dec;13(6):745–53. </w:t>
      </w:r>
    </w:p>
    <w:p w14:paraId="7E0C331E" w14:textId="77777777" w:rsidR="00D106AB" w:rsidRDefault="00D106AB" w:rsidP="00D106AB">
      <w:pPr>
        <w:pStyle w:val="Bibliography"/>
        <w:rPr>
          <w:rFonts w:cs="Times New Roman"/>
          <w:kern w:val="0"/>
        </w:rPr>
      </w:pPr>
      <w:r>
        <w:rPr>
          <w:rFonts w:cs="Times New Roman"/>
          <w:kern w:val="0"/>
        </w:rPr>
        <w:t>36.</w:t>
      </w:r>
      <w:r>
        <w:rPr>
          <w:rFonts w:cs="Times New Roman"/>
          <w:kern w:val="0"/>
        </w:rPr>
        <w:tab/>
        <w:t xml:space="preserve">Altman K, Zhou C, Hernandez-Trujillo V, Scalchunes C, Rawlings DJ, de la Morena MT. Health-Related Quality of Life in 91 Patients with X-Linked Agammaglobulinemia. J Clin Immunol. 2022 May;42(4):811–8. </w:t>
      </w:r>
    </w:p>
    <w:p w14:paraId="3512141D" w14:textId="77777777" w:rsidR="00D106AB" w:rsidRDefault="00D106AB" w:rsidP="00D106AB">
      <w:pPr>
        <w:pStyle w:val="Bibliography"/>
        <w:rPr>
          <w:rFonts w:cs="Times New Roman"/>
          <w:kern w:val="0"/>
        </w:rPr>
      </w:pPr>
      <w:r>
        <w:rPr>
          <w:rFonts w:cs="Times New Roman"/>
          <w:kern w:val="0"/>
        </w:rPr>
        <w:t>37.</w:t>
      </w:r>
      <w:r>
        <w:rPr>
          <w:rFonts w:cs="Times New Roman"/>
          <w:kern w:val="0"/>
        </w:rPr>
        <w:tab/>
        <w:t xml:space="preserve">Winkelstein JA, Marino MC, Lederman HM, Jones SM, Sullivan K, Burks AW, et al. X-linked agammaglobulinemia: Report on a United States registry of 201 patients. Medicine (Baltimore). 2006 Jul;85(4):193–202. </w:t>
      </w:r>
    </w:p>
    <w:p w14:paraId="119A6D16" w14:textId="77777777" w:rsidR="00D106AB" w:rsidRDefault="00D106AB" w:rsidP="00D106AB">
      <w:pPr>
        <w:pStyle w:val="Bibliography"/>
        <w:rPr>
          <w:rFonts w:cs="Times New Roman"/>
          <w:kern w:val="0"/>
        </w:rPr>
      </w:pPr>
      <w:r>
        <w:rPr>
          <w:rFonts w:cs="Times New Roman"/>
          <w:kern w:val="0"/>
        </w:rPr>
        <w:t>38.</w:t>
      </w:r>
      <w:r>
        <w:rPr>
          <w:rFonts w:cs="Times New Roman"/>
          <w:kern w:val="0"/>
        </w:rPr>
        <w:tab/>
        <w:t xml:space="preserve">Hill AT, Sullivan AL, Chalmers JD, De Soyza A, Elborn SJ, Floto AR, et al. British Thoracic Society Guideline for bronchiectasis in adults. Thorax. 2019 Jan;74(Suppl 1):1–69. </w:t>
      </w:r>
    </w:p>
    <w:p w14:paraId="6C57A295" w14:textId="77777777" w:rsidR="00D106AB" w:rsidRDefault="00D106AB" w:rsidP="00D106AB">
      <w:pPr>
        <w:pStyle w:val="Bibliography"/>
        <w:rPr>
          <w:rFonts w:cs="Times New Roman"/>
          <w:kern w:val="0"/>
        </w:rPr>
      </w:pPr>
      <w:r>
        <w:rPr>
          <w:rFonts w:cs="Times New Roman"/>
          <w:kern w:val="0"/>
        </w:rPr>
        <w:t>39.</w:t>
      </w:r>
      <w:r>
        <w:rPr>
          <w:rFonts w:cs="Times New Roman"/>
          <w:kern w:val="0"/>
        </w:rPr>
        <w:tab/>
        <w:t xml:space="preserve">Shillitoe B, Hollingsworth R, Foster M, Garcez T, Guzman D, Edgar JD, et al. Immunoglobulin use in immune deficiency in the UK: a report of the UKPID and National Immunoglobulin Databases. Clin Med. 2018 Oct;18(5):364–70. </w:t>
      </w:r>
    </w:p>
    <w:p w14:paraId="790513CE" w14:textId="77777777" w:rsidR="00D106AB" w:rsidRDefault="00D106AB" w:rsidP="00D106AB">
      <w:pPr>
        <w:pStyle w:val="Bibliography"/>
        <w:rPr>
          <w:rFonts w:cs="Times New Roman"/>
          <w:kern w:val="0"/>
        </w:rPr>
      </w:pPr>
      <w:r>
        <w:rPr>
          <w:rFonts w:cs="Times New Roman"/>
          <w:kern w:val="0"/>
        </w:rPr>
        <w:t>40.</w:t>
      </w:r>
      <w:r>
        <w:rPr>
          <w:rFonts w:cs="Times New Roman"/>
          <w:kern w:val="0"/>
        </w:rPr>
        <w:tab/>
        <w:t xml:space="preserve">Crossley JR, Elliott RB, Smith PA. Dried-blood spot screening for cystic fibrosis in the newborn. Lancet Lond Engl. 1979 Mar 3;1(8114):472–4. </w:t>
      </w:r>
    </w:p>
    <w:p w14:paraId="52D5B268" w14:textId="77777777" w:rsidR="00D106AB" w:rsidRDefault="00D106AB" w:rsidP="00D106AB">
      <w:pPr>
        <w:pStyle w:val="Bibliography"/>
        <w:rPr>
          <w:rFonts w:cs="Times New Roman"/>
          <w:kern w:val="0"/>
        </w:rPr>
      </w:pPr>
      <w:r>
        <w:rPr>
          <w:rFonts w:cs="Times New Roman"/>
          <w:kern w:val="0"/>
        </w:rPr>
        <w:t>41.</w:t>
      </w:r>
      <w:r>
        <w:rPr>
          <w:rFonts w:cs="Times New Roman"/>
          <w:kern w:val="0"/>
        </w:rPr>
        <w:tab/>
        <w:t xml:space="preserve">Crystal RG, McElvaney NG, Rosenfeld MA, Chu CS, Mastrangeli A, Hay JG, et al. Administration of an adenovirus containing the human CFTR cDNA to the respiratory tract of individuals with cystic fibrosis. Nat Genet. 1994 Sep;8(1):42–51. </w:t>
      </w:r>
    </w:p>
    <w:p w14:paraId="6B2A2143" w14:textId="77777777" w:rsidR="00D106AB" w:rsidRDefault="00D106AB" w:rsidP="00D106AB">
      <w:pPr>
        <w:pStyle w:val="Bibliography"/>
        <w:rPr>
          <w:rFonts w:cs="Times New Roman"/>
          <w:kern w:val="0"/>
        </w:rPr>
      </w:pPr>
      <w:r>
        <w:rPr>
          <w:rFonts w:cs="Times New Roman"/>
          <w:kern w:val="0"/>
        </w:rPr>
        <w:t>42.</w:t>
      </w:r>
      <w:r>
        <w:rPr>
          <w:rFonts w:cs="Times New Roman"/>
          <w:kern w:val="0"/>
        </w:rPr>
        <w:tab/>
        <w:t xml:space="preserve">Berg AK, Diseth TH, Abrahamsen TG, Halvorsen K, Reinfjell T, Erichsen HC. Primary antibody deficiency: The impact on the quality of life and mental health of affected children and their parents. Acta Paediatr Oslo Nor 1992. 2021 May;110(5):1645–52. </w:t>
      </w:r>
    </w:p>
    <w:p w14:paraId="4A4AED3E" w14:textId="77777777" w:rsidR="00D106AB" w:rsidRDefault="00D106AB" w:rsidP="00D106AB">
      <w:pPr>
        <w:pStyle w:val="Bibliography"/>
        <w:rPr>
          <w:rFonts w:cs="Times New Roman"/>
          <w:kern w:val="0"/>
        </w:rPr>
      </w:pPr>
      <w:r>
        <w:rPr>
          <w:rFonts w:cs="Times New Roman"/>
          <w:kern w:val="0"/>
        </w:rPr>
        <w:t>43.</w:t>
      </w:r>
      <w:r>
        <w:rPr>
          <w:rFonts w:cs="Times New Roman"/>
          <w:kern w:val="0"/>
        </w:rPr>
        <w:tab/>
        <w:t xml:space="preserve">Ataeinia B, Montazeri A, Tavakol M, Azizi G, Kiaee F, Tavakolinia N, et al. Measurement of Health-Related Quality of Life in Primary Antibody-Deficient Patients. Immunol Invest. 2017;46(4):329–40. </w:t>
      </w:r>
    </w:p>
    <w:p w14:paraId="377C3E90" w14:textId="77777777" w:rsidR="00D106AB" w:rsidRDefault="00D106AB" w:rsidP="00D106AB">
      <w:pPr>
        <w:pStyle w:val="Bibliography"/>
        <w:rPr>
          <w:rFonts w:cs="Times New Roman"/>
          <w:kern w:val="0"/>
        </w:rPr>
      </w:pPr>
      <w:r>
        <w:rPr>
          <w:rFonts w:cs="Times New Roman"/>
          <w:kern w:val="0"/>
        </w:rPr>
        <w:t>44.</w:t>
      </w:r>
      <w:r>
        <w:rPr>
          <w:rFonts w:cs="Times New Roman"/>
          <w:kern w:val="0"/>
        </w:rPr>
        <w:tab/>
        <w:t xml:space="preserve">Ballow M, Conaway MR, Sriaroon P, Rachid RA, Seeborg FO, Duff CM, et al. Construction and validation of a novel disease-specific quality-of-life instrument for patients with primary antibody deficiency disease (PADQOL-16). J Allergy Clin Immunol. 2017 Jun;139(6):2007-2010.e8. </w:t>
      </w:r>
    </w:p>
    <w:p w14:paraId="3478E864" w14:textId="77777777" w:rsidR="00D106AB" w:rsidRDefault="00D106AB" w:rsidP="00D106AB">
      <w:pPr>
        <w:pStyle w:val="Bibliography"/>
        <w:rPr>
          <w:rFonts w:cs="Times New Roman"/>
          <w:kern w:val="0"/>
        </w:rPr>
      </w:pPr>
      <w:r>
        <w:rPr>
          <w:rFonts w:cs="Times New Roman"/>
          <w:kern w:val="0"/>
        </w:rPr>
        <w:t>45.</w:t>
      </w:r>
      <w:r>
        <w:rPr>
          <w:rFonts w:cs="Times New Roman"/>
          <w:kern w:val="0"/>
        </w:rPr>
        <w:tab/>
        <w:t xml:space="preserve">Bryan BA, Battersby A, Shillitoe BMJ, Barge D, Bourne H, Flood T, et al. Respiratory Health and Related Quality of Life in Patients with Congenital Agammaglobulinemia in the Northern Region of the UK. J Clin Immunol. 2016 Jul;36(5):472–9. </w:t>
      </w:r>
    </w:p>
    <w:p w14:paraId="1D780225" w14:textId="77777777" w:rsidR="00D106AB" w:rsidRDefault="00D106AB" w:rsidP="00D106AB">
      <w:pPr>
        <w:pStyle w:val="Bibliography"/>
        <w:rPr>
          <w:rFonts w:cs="Times New Roman"/>
          <w:kern w:val="0"/>
        </w:rPr>
      </w:pPr>
      <w:r>
        <w:rPr>
          <w:rFonts w:cs="Times New Roman"/>
          <w:kern w:val="0"/>
        </w:rPr>
        <w:t>46.</w:t>
      </w:r>
      <w:r>
        <w:rPr>
          <w:rFonts w:cs="Times New Roman"/>
          <w:kern w:val="0"/>
        </w:rPr>
        <w:tab/>
        <w:t>Seidel MG, Kindle G, Gathmann B, Quinti I, Buckland M, van Montfrans J, et al. The European Society for Immunodeficiencies (ESID) Registry Working Definitions for the Clinical Diagnosis</w:t>
      </w:r>
      <w:r>
        <w:rPr>
          <w:rFonts w:cs="Times New Roman"/>
          <w:kern w:val="0"/>
        </w:rPr>
        <w:lastRenderedPageBreak/>
        <w:t xml:space="preserve"> of Inborn Errors of Immunity. J Allergy Clin Immunol Pract. 2019;7(6):1763–70. </w:t>
      </w:r>
    </w:p>
    <w:p w14:paraId="1FF719AA" w14:textId="77777777" w:rsidR="00D106AB" w:rsidRDefault="00D106AB" w:rsidP="00D106AB">
      <w:pPr>
        <w:pStyle w:val="Bibliography"/>
        <w:rPr>
          <w:rFonts w:cs="Times New Roman"/>
          <w:kern w:val="0"/>
        </w:rPr>
      </w:pPr>
      <w:r>
        <w:rPr>
          <w:rFonts w:cs="Times New Roman"/>
          <w:kern w:val="0"/>
        </w:rPr>
        <w:t>47.</w:t>
      </w:r>
      <w:r>
        <w:rPr>
          <w:rFonts w:cs="Times New Roman"/>
          <w:kern w:val="0"/>
        </w:rPr>
        <w:tab/>
        <w:t xml:space="preserve">Lincoln R. User’s manual for the SF36v2 Health Survey. 3rd ed. Maruish ME, editor. QualityMetric Incorporated; 2011. </w:t>
      </w:r>
    </w:p>
    <w:p w14:paraId="65A04887" w14:textId="77777777" w:rsidR="00D106AB" w:rsidRDefault="00D106AB" w:rsidP="00D106AB">
      <w:pPr>
        <w:pStyle w:val="Bibliography"/>
        <w:rPr>
          <w:rFonts w:cs="Times New Roman"/>
          <w:kern w:val="0"/>
        </w:rPr>
      </w:pPr>
      <w:r>
        <w:rPr>
          <w:rFonts w:cs="Times New Roman"/>
          <w:kern w:val="0"/>
        </w:rPr>
        <w:t>48.</w:t>
      </w:r>
      <w:r>
        <w:rPr>
          <w:rFonts w:cs="Times New Roman"/>
          <w:kern w:val="0"/>
        </w:rPr>
        <w:tab/>
        <w:t xml:space="preserve">Howard V, Greene JM, Pahwa S, Winkelstein J a., Boyle JM, Kocak M, et al. The health status and quality of life of adults with X-linked agammaglobulinemia. Clin Immunol. 2006;118(2–3):201–8. </w:t>
      </w:r>
    </w:p>
    <w:p w14:paraId="510B3E9B" w14:textId="77777777" w:rsidR="00D106AB" w:rsidRDefault="00D106AB" w:rsidP="00D106AB">
      <w:pPr>
        <w:pStyle w:val="Bibliography"/>
        <w:rPr>
          <w:rFonts w:cs="Times New Roman"/>
          <w:kern w:val="0"/>
        </w:rPr>
      </w:pPr>
      <w:r>
        <w:rPr>
          <w:rFonts w:cs="Times New Roman"/>
          <w:kern w:val="0"/>
        </w:rPr>
        <w:t>49.</w:t>
      </w:r>
      <w:r>
        <w:rPr>
          <w:rFonts w:cs="Times New Roman"/>
          <w:kern w:val="0"/>
        </w:rPr>
        <w:tab/>
        <w:t xml:space="preserve">Varni JW, Seid M, Kurtin PS. PedsQL 4.0: reliability and validity of the Pediatric Quality of Life Inventory version 4.0 generic core scales in healthy and patient populations. Med Care. 2001;39(8):800–12. </w:t>
      </w:r>
    </w:p>
    <w:p w14:paraId="376D98CD" w14:textId="77777777" w:rsidR="00D106AB" w:rsidRDefault="00D106AB" w:rsidP="00D106AB">
      <w:pPr>
        <w:pStyle w:val="Bibliography"/>
        <w:rPr>
          <w:rFonts w:cs="Times New Roman"/>
          <w:kern w:val="0"/>
        </w:rPr>
      </w:pPr>
      <w:r>
        <w:rPr>
          <w:rFonts w:cs="Times New Roman"/>
          <w:kern w:val="0"/>
        </w:rPr>
        <w:t>50.</w:t>
      </w:r>
      <w:r>
        <w:rPr>
          <w:rFonts w:cs="Times New Roman"/>
          <w:kern w:val="0"/>
        </w:rPr>
        <w:tab/>
        <w:t xml:space="preserve">Wilson CB, Jones PW, O’Leary CJ, Cole PJ, Wilson R. Validation of the St. George’s respiratory questionnaire in bronchiectasis. Am J Respir Crit Care Med. 1997;156(2 I):536–41. </w:t>
      </w:r>
    </w:p>
    <w:p w14:paraId="028BB7CF" w14:textId="77777777" w:rsidR="00D106AB" w:rsidRDefault="00D106AB" w:rsidP="00D106AB">
      <w:pPr>
        <w:pStyle w:val="Bibliography"/>
        <w:rPr>
          <w:rFonts w:cs="Times New Roman"/>
          <w:kern w:val="0"/>
        </w:rPr>
      </w:pPr>
      <w:r>
        <w:rPr>
          <w:rFonts w:cs="Times New Roman"/>
          <w:kern w:val="0"/>
        </w:rPr>
        <w:t>51.</w:t>
      </w:r>
      <w:r>
        <w:rPr>
          <w:rFonts w:cs="Times New Roman"/>
          <w:kern w:val="0"/>
        </w:rPr>
        <w:tab/>
        <w:t xml:space="preserve">Loebinger MR, Wells AU, Hansell DM, Chinyanganya N, Devaraj A, Meister M, et al. Mortality in bronchiectasis: A long-term study assessing the factors influencing survival. Eur Respir J. 2009;34(4):843–9. </w:t>
      </w:r>
    </w:p>
    <w:p w14:paraId="451730AE" w14:textId="77777777" w:rsidR="00D106AB" w:rsidRDefault="00D106AB" w:rsidP="00D106AB">
      <w:pPr>
        <w:pStyle w:val="Bibliography"/>
        <w:rPr>
          <w:rFonts w:cs="Times New Roman"/>
          <w:kern w:val="0"/>
        </w:rPr>
      </w:pPr>
      <w:r>
        <w:rPr>
          <w:rFonts w:cs="Times New Roman"/>
          <w:kern w:val="0"/>
        </w:rPr>
        <w:t>52.</w:t>
      </w:r>
      <w:r>
        <w:rPr>
          <w:rFonts w:cs="Times New Roman"/>
          <w:kern w:val="0"/>
        </w:rPr>
        <w:tab/>
        <w:t xml:space="preserve">Hurst JR, Workman S, Garcha DS, Seneviratne SL, Haddock J a., Grimbacher B. Activity, severity and impact of respiratory disease in primary antibody deficiency syndromes. J Clin Immunol. 2014;34(1):68–75. </w:t>
      </w:r>
    </w:p>
    <w:p w14:paraId="25B34AB2" w14:textId="77777777" w:rsidR="00D106AB" w:rsidRDefault="00D106AB" w:rsidP="00D106AB">
      <w:pPr>
        <w:pStyle w:val="Bibliography"/>
        <w:rPr>
          <w:rFonts w:cs="Times New Roman"/>
          <w:kern w:val="0"/>
        </w:rPr>
      </w:pPr>
      <w:r>
        <w:rPr>
          <w:rFonts w:cs="Times New Roman"/>
          <w:kern w:val="0"/>
        </w:rPr>
        <w:t>53.</w:t>
      </w:r>
      <w:r>
        <w:rPr>
          <w:rFonts w:cs="Times New Roman"/>
          <w:kern w:val="0"/>
        </w:rPr>
        <w:tab/>
        <w:t xml:space="preserve">Muris P, Meesters C, van den Berg F. The Strengths and Difficulties Questionnaire (SDQ). Eur Child Adolesc Psychiatry. 2003;12(1):1–8. </w:t>
      </w:r>
    </w:p>
    <w:p w14:paraId="6A456414" w14:textId="77777777" w:rsidR="00D106AB" w:rsidRDefault="00D106AB" w:rsidP="00D106AB">
      <w:pPr>
        <w:pStyle w:val="Bibliography"/>
        <w:rPr>
          <w:rFonts w:cs="Times New Roman"/>
          <w:kern w:val="0"/>
        </w:rPr>
      </w:pPr>
      <w:r>
        <w:rPr>
          <w:rFonts w:cs="Times New Roman"/>
          <w:kern w:val="0"/>
        </w:rPr>
        <w:t>54.</w:t>
      </w:r>
      <w:r>
        <w:rPr>
          <w:rFonts w:cs="Times New Roman"/>
          <w:kern w:val="0"/>
        </w:rPr>
        <w:tab/>
        <w:t xml:space="preserve">White D Leach, C, Sims, R,&amp; Cottrell, D. Validation of the Hospital Anxiety and Depression Scale for use with adolescents. Br J Psychiatry. 1999;175(5):452–4. </w:t>
      </w:r>
    </w:p>
    <w:p w14:paraId="031D562B" w14:textId="77777777" w:rsidR="00D106AB" w:rsidRDefault="00D106AB" w:rsidP="00D106AB">
      <w:pPr>
        <w:pStyle w:val="Bibliography"/>
        <w:rPr>
          <w:rFonts w:cs="Times New Roman"/>
          <w:kern w:val="0"/>
        </w:rPr>
      </w:pPr>
      <w:r>
        <w:rPr>
          <w:rFonts w:cs="Times New Roman"/>
          <w:kern w:val="0"/>
        </w:rPr>
        <w:t>55.</w:t>
      </w:r>
      <w:r>
        <w:rPr>
          <w:rFonts w:cs="Times New Roman"/>
          <w:kern w:val="0"/>
        </w:rPr>
        <w:tab/>
        <w:t>Rosenberg Morris. Society and the adolescent self-image. [Internet]. Princeton: Princeton University Press; 1965. 326 p. Available from: https://www.jstor.org/stable/j.ctt183pjjh</w:t>
      </w:r>
    </w:p>
    <w:p w14:paraId="177F6F9D" w14:textId="77777777" w:rsidR="00D106AB" w:rsidRDefault="00D106AB" w:rsidP="00D106AB">
      <w:pPr>
        <w:pStyle w:val="Bibliography"/>
        <w:rPr>
          <w:rFonts w:cs="Times New Roman"/>
          <w:kern w:val="0"/>
        </w:rPr>
      </w:pPr>
      <w:r>
        <w:rPr>
          <w:rFonts w:cs="Times New Roman"/>
          <w:kern w:val="0"/>
        </w:rPr>
        <w:t>56.</w:t>
      </w:r>
      <w:r>
        <w:rPr>
          <w:rFonts w:cs="Times New Roman"/>
          <w:kern w:val="0"/>
        </w:rPr>
        <w:tab/>
        <w:t xml:space="preserve">Platten MJ, Newman E, Quayle E. Self-Esteem and Its Relationship to Mental Health and Quality of Life in Adults with Cystic Fibrosis. J Clin Psychol Med Settings. 2013 Sep;20(3):392–9. </w:t>
      </w:r>
    </w:p>
    <w:p w14:paraId="0EE9922A" w14:textId="77777777" w:rsidR="00D106AB" w:rsidRDefault="00D106AB" w:rsidP="00D106AB">
      <w:pPr>
        <w:pStyle w:val="Bibliography"/>
        <w:rPr>
          <w:rFonts w:cs="Times New Roman"/>
          <w:kern w:val="0"/>
        </w:rPr>
      </w:pPr>
      <w:r>
        <w:rPr>
          <w:rFonts w:cs="Times New Roman"/>
          <w:kern w:val="0"/>
        </w:rPr>
        <w:t>57.</w:t>
      </w:r>
      <w:r>
        <w:rPr>
          <w:rFonts w:cs="Times New Roman"/>
          <w:kern w:val="0"/>
        </w:rPr>
        <w:tab/>
        <w:t xml:space="preserve">Bagley C, Mallick K. Normative Data and Mental Health Construct Validity for the Rosenberg Self-Esteem Scale in British Adolescents. Int J Adolesc Youth. 2001;9(2–3):117–26. </w:t>
      </w:r>
    </w:p>
    <w:p w14:paraId="1FB008D3" w14:textId="54EB7D3F" w:rsidR="00ED572F" w:rsidRPr="005E30A6" w:rsidRDefault="00ED572F" w:rsidP="00ED572F">
      <w:r>
        <w:fldChar w:fldCharType="end"/>
      </w:r>
    </w:p>
    <w:p w14:paraId="3F4F534E" w14:textId="77777777" w:rsidR="00ED572F" w:rsidRPr="000B6A90" w:rsidRDefault="00ED572F" w:rsidP="00ED572F"/>
    <w:p w14:paraId="613BAA34" w14:textId="77777777" w:rsidR="00ED572F" w:rsidRPr="00DC1A99" w:rsidRDefault="00ED572F" w:rsidP="00ED572F"/>
    <w:p w14:paraId="48FD890C" w14:textId="77777777" w:rsidR="00ED572F" w:rsidRDefault="00ED572F" w:rsidP="00ED572F"/>
    <w:p w14:paraId="417F6A60" w14:textId="77777777" w:rsidR="00ED572F" w:rsidRDefault="00ED572F" w:rsidP="00ED572F"/>
    <w:p w14:paraId="5020B69F" w14:textId="77777777" w:rsidR="00ED572F" w:rsidRDefault="00ED572F" w:rsidP="00ED572F"/>
    <w:p w14:paraId="120AD21F" w14:textId="77777777" w:rsidR="00ED572F" w:rsidRDefault="00ED572F" w:rsidP="00ED572F"/>
    <w:p w14:paraId="2954EC24" w14:textId="77777777" w:rsidR="00CF395B" w:rsidRDefault="00CF395B" w:rsidP="00CF395B">
      <w:pPr>
        <w:pStyle w:val="Heading2"/>
        <w:sectPr w:rsidR="00CF395B" w:rsidSect="00FF1EBD">
          <w:pgSz w:w="11906" w:h="16838"/>
          <w:pgMar w:top="1440" w:right="1440" w:bottom="1440" w:left="1440" w:header="709" w:footer="709" w:gutter="0"/>
          <w:cols w:space="708"/>
          <w:docGrid w:linePitch="360"/>
        </w:sectPr>
      </w:pPr>
    </w:p>
    <w:p w14:paraId="77A158A4" w14:textId="62F8B250" w:rsidR="00C57FA5" w:rsidRDefault="00CF395B" w:rsidP="00CF395B">
      <w:pPr>
        <w:pStyle w:val="Heading2"/>
      </w:pPr>
      <w:r>
        <w:lastRenderedPageBreak/>
        <w:t>Supplemental tables</w:t>
      </w:r>
    </w:p>
    <w:p w14:paraId="60EC98C3" w14:textId="77777777" w:rsidR="00CF395B" w:rsidRPr="00367D62" w:rsidRDefault="00CF395B" w:rsidP="00CF395B">
      <w:pPr>
        <w:pStyle w:val="Caption"/>
        <w:rPr>
          <w:b w:val="0"/>
          <w:bCs/>
          <w:i/>
          <w:iCs w:val="0"/>
        </w:rPr>
      </w:pPr>
      <w:r>
        <w:rPr>
          <w:bCs/>
          <w:iCs w:val="0"/>
        </w:rPr>
        <w:t>Supplemental table</w:t>
      </w:r>
      <w:r w:rsidRPr="00367D62">
        <w:rPr>
          <w:bCs/>
          <w:iCs w:val="0"/>
        </w:rPr>
        <w:t xml:space="preserve"> </w:t>
      </w:r>
      <w:r w:rsidRPr="00CF395B">
        <w:t>1</w:t>
      </w:r>
      <w:r w:rsidRPr="00367D62">
        <w:rPr>
          <w:bCs/>
          <w:iCs w:val="0"/>
        </w:rPr>
        <w:t xml:space="preserve"> Likelihood of emotional, conduct and hyperactivity disorders on the SDQ</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0"/>
        <w:gridCol w:w="1177"/>
        <w:gridCol w:w="1580"/>
        <w:gridCol w:w="3469"/>
      </w:tblGrid>
      <w:tr w:rsidR="002D1EF2" w:rsidRPr="002D1EF2" w14:paraId="7AEC06EB" w14:textId="77777777" w:rsidTr="00B34BF7">
        <w:trPr>
          <w:trHeight w:val="315"/>
        </w:trPr>
        <w:tc>
          <w:tcPr>
            <w:tcW w:w="1547" w:type="pct"/>
            <w:tcMar>
              <w:top w:w="30" w:type="dxa"/>
              <w:left w:w="45" w:type="dxa"/>
              <w:bottom w:w="30" w:type="dxa"/>
              <w:right w:w="45" w:type="dxa"/>
            </w:tcMar>
            <w:vAlign w:val="bottom"/>
            <w:hideMark/>
          </w:tcPr>
          <w:p w14:paraId="13B57D61" w14:textId="56660A46" w:rsidR="002D1EF2" w:rsidRPr="002D1EF2" w:rsidRDefault="002D1EF2" w:rsidP="00B34BF7">
            <w:pPr>
              <w:pStyle w:val="TableText"/>
            </w:pPr>
          </w:p>
        </w:tc>
        <w:tc>
          <w:tcPr>
            <w:tcW w:w="653" w:type="pct"/>
            <w:tcMar>
              <w:top w:w="30" w:type="dxa"/>
              <w:left w:w="45" w:type="dxa"/>
              <w:bottom w:w="30" w:type="dxa"/>
              <w:right w:w="45" w:type="dxa"/>
            </w:tcMar>
            <w:vAlign w:val="bottom"/>
            <w:hideMark/>
          </w:tcPr>
          <w:p w14:paraId="3497B9F2" w14:textId="77777777" w:rsidR="002D1EF2" w:rsidRPr="00B34BF7" w:rsidRDefault="002D1EF2" w:rsidP="00B34BF7">
            <w:pPr>
              <w:pStyle w:val="TableText"/>
              <w:rPr>
                <w:b/>
                <w:bCs/>
              </w:rPr>
            </w:pPr>
            <w:r w:rsidRPr="00B34BF7">
              <w:rPr>
                <w:b/>
                <w:bCs/>
              </w:rPr>
              <w:t>Category</w:t>
            </w:r>
          </w:p>
        </w:tc>
        <w:tc>
          <w:tcPr>
            <w:tcW w:w="876" w:type="pct"/>
            <w:tcMar>
              <w:top w:w="30" w:type="dxa"/>
              <w:left w:w="45" w:type="dxa"/>
              <w:bottom w:w="30" w:type="dxa"/>
              <w:right w:w="45" w:type="dxa"/>
            </w:tcMar>
            <w:vAlign w:val="bottom"/>
            <w:hideMark/>
          </w:tcPr>
          <w:p w14:paraId="3BC54C3C" w14:textId="77777777" w:rsidR="002D1EF2" w:rsidRPr="00B34BF7" w:rsidRDefault="002D1EF2" w:rsidP="00B34BF7">
            <w:pPr>
              <w:pStyle w:val="TableText"/>
              <w:rPr>
                <w:b/>
                <w:bCs/>
              </w:rPr>
            </w:pPr>
            <w:r w:rsidRPr="00B34BF7">
              <w:rPr>
                <w:b/>
                <w:bCs/>
              </w:rPr>
              <w:t>n (%)</w:t>
            </w:r>
          </w:p>
        </w:tc>
        <w:tc>
          <w:tcPr>
            <w:tcW w:w="1924" w:type="pct"/>
            <w:tcMar>
              <w:top w:w="30" w:type="dxa"/>
              <w:left w:w="0" w:type="dxa"/>
              <w:bottom w:w="30" w:type="dxa"/>
              <w:right w:w="0" w:type="dxa"/>
            </w:tcMar>
            <w:vAlign w:val="bottom"/>
            <w:hideMark/>
          </w:tcPr>
          <w:p w14:paraId="1B0A730A" w14:textId="77777777" w:rsidR="002D1EF2" w:rsidRPr="00B34BF7" w:rsidRDefault="002D1EF2" w:rsidP="00B34BF7">
            <w:pPr>
              <w:pStyle w:val="TableText"/>
              <w:rPr>
                <w:b/>
                <w:bCs/>
              </w:rPr>
            </w:pPr>
            <w:r w:rsidRPr="00B34BF7">
              <w:rPr>
                <w:b/>
                <w:bCs/>
              </w:rPr>
              <w:t>95% Confidence Interval (CI)</w:t>
            </w:r>
          </w:p>
        </w:tc>
      </w:tr>
      <w:tr w:rsidR="002D1EF2" w:rsidRPr="002D1EF2" w14:paraId="70221221" w14:textId="77777777" w:rsidTr="00B34BF7">
        <w:trPr>
          <w:trHeight w:val="315"/>
        </w:trPr>
        <w:tc>
          <w:tcPr>
            <w:tcW w:w="1547" w:type="pct"/>
            <w:vMerge w:val="restart"/>
            <w:tcMar>
              <w:top w:w="30" w:type="dxa"/>
              <w:left w:w="45" w:type="dxa"/>
              <w:bottom w:w="30" w:type="dxa"/>
              <w:right w:w="45" w:type="dxa"/>
            </w:tcMar>
            <w:hideMark/>
          </w:tcPr>
          <w:p w14:paraId="4BD25FBB" w14:textId="77777777" w:rsidR="002D1EF2" w:rsidRPr="00B34BF7" w:rsidRDefault="002D1EF2" w:rsidP="00B34BF7">
            <w:pPr>
              <w:pStyle w:val="TableText"/>
              <w:spacing w:after="0"/>
              <w:jc w:val="center"/>
              <w:rPr>
                <w:b/>
                <w:bCs/>
              </w:rPr>
            </w:pPr>
            <w:r w:rsidRPr="00B34BF7">
              <w:rPr>
                <w:b/>
                <w:bCs/>
              </w:rPr>
              <w:t>Hyperactivity Disorder</w:t>
            </w:r>
          </w:p>
        </w:tc>
        <w:tc>
          <w:tcPr>
            <w:tcW w:w="653" w:type="pct"/>
            <w:tcMar>
              <w:top w:w="30" w:type="dxa"/>
              <w:left w:w="45" w:type="dxa"/>
              <w:bottom w:w="30" w:type="dxa"/>
              <w:right w:w="45" w:type="dxa"/>
            </w:tcMar>
            <w:vAlign w:val="bottom"/>
            <w:hideMark/>
          </w:tcPr>
          <w:p w14:paraId="60AF543C" w14:textId="77777777" w:rsidR="002D1EF2" w:rsidRPr="002D1EF2" w:rsidRDefault="002D1EF2" w:rsidP="00B34BF7">
            <w:pPr>
              <w:pStyle w:val="TableText"/>
            </w:pPr>
            <w:r w:rsidRPr="002D1EF2">
              <w:t>Unlikely</w:t>
            </w:r>
          </w:p>
        </w:tc>
        <w:tc>
          <w:tcPr>
            <w:tcW w:w="876" w:type="pct"/>
            <w:tcMar>
              <w:top w:w="30" w:type="dxa"/>
              <w:left w:w="45" w:type="dxa"/>
              <w:bottom w:w="30" w:type="dxa"/>
              <w:right w:w="45" w:type="dxa"/>
            </w:tcMar>
            <w:vAlign w:val="bottom"/>
            <w:hideMark/>
          </w:tcPr>
          <w:p w14:paraId="413F70B1" w14:textId="3AD5329D" w:rsidR="002D1EF2" w:rsidRPr="002D1EF2" w:rsidRDefault="002D1EF2" w:rsidP="00B34BF7">
            <w:pPr>
              <w:pStyle w:val="TableText"/>
            </w:pPr>
            <w:r w:rsidRPr="002D1EF2">
              <w:t xml:space="preserve">19 (79%) </w:t>
            </w:r>
          </w:p>
        </w:tc>
        <w:tc>
          <w:tcPr>
            <w:tcW w:w="1924" w:type="pct"/>
            <w:tcMar>
              <w:top w:w="30" w:type="dxa"/>
              <w:left w:w="0" w:type="dxa"/>
              <w:bottom w:w="30" w:type="dxa"/>
              <w:right w:w="0" w:type="dxa"/>
            </w:tcMar>
            <w:vAlign w:val="bottom"/>
            <w:hideMark/>
          </w:tcPr>
          <w:p w14:paraId="39D3098C" w14:textId="61A3100A" w:rsidR="002D1EF2" w:rsidRPr="002D1EF2" w:rsidRDefault="002D1EF2" w:rsidP="00B34BF7">
            <w:pPr>
              <w:pStyle w:val="TableText"/>
            </w:pPr>
            <w:r w:rsidRPr="002D1EF2">
              <w:t>59.5% – 90.9%</w:t>
            </w:r>
          </w:p>
        </w:tc>
      </w:tr>
      <w:tr w:rsidR="002D1EF2" w:rsidRPr="002D1EF2" w14:paraId="156B1E73" w14:textId="77777777" w:rsidTr="00B34BF7">
        <w:trPr>
          <w:trHeight w:val="315"/>
        </w:trPr>
        <w:tc>
          <w:tcPr>
            <w:tcW w:w="1547" w:type="pct"/>
            <w:vMerge/>
            <w:tcMar>
              <w:top w:w="30" w:type="dxa"/>
              <w:left w:w="45" w:type="dxa"/>
              <w:bottom w:w="30" w:type="dxa"/>
              <w:right w:w="45" w:type="dxa"/>
            </w:tcMar>
            <w:hideMark/>
          </w:tcPr>
          <w:p w14:paraId="661E66C2" w14:textId="77777777" w:rsidR="002D1EF2" w:rsidRPr="00B34BF7" w:rsidRDefault="002D1EF2" w:rsidP="00B34BF7">
            <w:pPr>
              <w:pStyle w:val="TableText"/>
              <w:spacing w:after="0"/>
              <w:jc w:val="center"/>
              <w:rPr>
                <w:b/>
                <w:bCs/>
              </w:rPr>
            </w:pPr>
          </w:p>
        </w:tc>
        <w:tc>
          <w:tcPr>
            <w:tcW w:w="653" w:type="pct"/>
            <w:tcMar>
              <w:top w:w="30" w:type="dxa"/>
              <w:left w:w="45" w:type="dxa"/>
              <w:bottom w:w="30" w:type="dxa"/>
              <w:right w:w="45" w:type="dxa"/>
            </w:tcMar>
            <w:vAlign w:val="bottom"/>
            <w:hideMark/>
          </w:tcPr>
          <w:p w14:paraId="37591A89" w14:textId="77777777" w:rsidR="002D1EF2" w:rsidRPr="002D1EF2" w:rsidRDefault="002D1EF2" w:rsidP="00B34BF7">
            <w:pPr>
              <w:pStyle w:val="TableText"/>
            </w:pPr>
            <w:r w:rsidRPr="002D1EF2">
              <w:t>Possible</w:t>
            </w:r>
          </w:p>
        </w:tc>
        <w:tc>
          <w:tcPr>
            <w:tcW w:w="876" w:type="pct"/>
            <w:tcMar>
              <w:top w:w="30" w:type="dxa"/>
              <w:left w:w="45" w:type="dxa"/>
              <w:bottom w:w="30" w:type="dxa"/>
              <w:right w:w="45" w:type="dxa"/>
            </w:tcMar>
            <w:vAlign w:val="bottom"/>
            <w:hideMark/>
          </w:tcPr>
          <w:p w14:paraId="705BCF7C" w14:textId="426DB5BB" w:rsidR="002D1EF2" w:rsidRPr="002D1EF2" w:rsidRDefault="002D1EF2" w:rsidP="00B34BF7">
            <w:pPr>
              <w:pStyle w:val="TableText"/>
            </w:pPr>
            <w:r w:rsidRPr="002D1EF2">
              <w:t xml:space="preserve">5 (21%) </w:t>
            </w:r>
          </w:p>
        </w:tc>
        <w:tc>
          <w:tcPr>
            <w:tcW w:w="1924" w:type="pct"/>
            <w:tcMar>
              <w:top w:w="30" w:type="dxa"/>
              <w:left w:w="45" w:type="dxa"/>
              <w:bottom w:w="30" w:type="dxa"/>
              <w:right w:w="45" w:type="dxa"/>
            </w:tcMar>
            <w:vAlign w:val="bottom"/>
            <w:hideMark/>
          </w:tcPr>
          <w:p w14:paraId="0D33C076" w14:textId="43B1355B" w:rsidR="002D1EF2" w:rsidRPr="002D1EF2" w:rsidRDefault="002D1EF2" w:rsidP="00B34BF7">
            <w:pPr>
              <w:pStyle w:val="TableText"/>
            </w:pPr>
            <w:r w:rsidRPr="002D1EF2">
              <w:t>9.2% – 40.5%</w:t>
            </w:r>
          </w:p>
        </w:tc>
      </w:tr>
      <w:tr w:rsidR="002D1EF2" w:rsidRPr="002D1EF2" w14:paraId="59CDC956" w14:textId="77777777" w:rsidTr="00B34BF7">
        <w:trPr>
          <w:trHeight w:val="315"/>
        </w:trPr>
        <w:tc>
          <w:tcPr>
            <w:tcW w:w="1547" w:type="pct"/>
            <w:vMerge/>
            <w:tcMar>
              <w:top w:w="30" w:type="dxa"/>
              <w:left w:w="45" w:type="dxa"/>
              <w:bottom w:w="30" w:type="dxa"/>
              <w:right w:w="45" w:type="dxa"/>
            </w:tcMar>
            <w:hideMark/>
          </w:tcPr>
          <w:p w14:paraId="497BE25E" w14:textId="77777777" w:rsidR="002D1EF2" w:rsidRPr="00B34BF7" w:rsidRDefault="002D1EF2" w:rsidP="00B34BF7">
            <w:pPr>
              <w:pStyle w:val="TableText"/>
              <w:spacing w:after="0"/>
              <w:jc w:val="center"/>
              <w:rPr>
                <w:b/>
                <w:bCs/>
              </w:rPr>
            </w:pPr>
          </w:p>
        </w:tc>
        <w:tc>
          <w:tcPr>
            <w:tcW w:w="653" w:type="pct"/>
            <w:tcMar>
              <w:top w:w="30" w:type="dxa"/>
              <w:left w:w="45" w:type="dxa"/>
              <w:bottom w:w="30" w:type="dxa"/>
              <w:right w:w="45" w:type="dxa"/>
            </w:tcMar>
            <w:vAlign w:val="bottom"/>
            <w:hideMark/>
          </w:tcPr>
          <w:p w14:paraId="30A7F9A8" w14:textId="77777777" w:rsidR="002D1EF2" w:rsidRPr="002D1EF2" w:rsidRDefault="002D1EF2" w:rsidP="00B34BF7">
            <w:pPr>
              <w:pStyle w:val="TableText"/>
            </w:pPr>
            <w:r w:rsidRPr="002D1EF2">
              <w:t>Probable</w:t>
            </w:r>
          </w:p>
        </w:tc>
        <w:tc>
          <w:tcPr>
            <w:tcW w:w="876" w:type="pct"/>
            <w:tcMar>
              <w:top w:w="30" w:type="dxa"/>
              <w:left w:w="45" w:type="dxa"/>
              <w:bottom w:w="30" w:type="dxa"/>
              <w:right w:w="45" w:type="dxa"/>
            </w:tcMar>
            <w:vAlign w:val="bottom"/>
            <w:hideMark/>
          </w:tcPr>
          <w:p w14:paraId="37215CC7" w14:textId="5D0AD7EF" w:rsidR="002D1EF2" w:rsidRPr="002D1EF2" w:rsidRDefault="002D1EF2" w:rsidP="00B34BF7">
            <w:pPr>
              <w:pStyle w:val="TableText"/>
            </w:pPr>
            <w:r w:rsidRPr="002D1EF2">
              <w:t xml:space="preserve">0 (0%) </w:t>
            </w:r>
          </w:p>
        </w:tc>
        <w:tc>
          <w:tcPr>
            <w:tcW w:w="1924" w:type="pct"/>
            <w:tcMar>
              <w:top w:w="30" w:type="dxa"/>
              <w:left w:w="45" w:type="dxa"/>
              <w:bottom w:w="30" w:type="dxa"/>
              <w:right w:w="45" w:type="dxa"/>
            </w:tcMar>
            <w:vAlign w:val="bottom"/>
            <w:hideMark/>
          </w:tcPr>
          <w:p w14:paraId="15F1015B" w14:textId="31990947" w:rsidR="002D1EF2" w:rsidRPr="002D1EF2" w:rsidRDefault="002D1EF2" w:rsidP="00B34BF7">
            <w:pPr>
              <w:pStyle w:val="TableText"/>
            </w:pPr>
            <w:r w:rsidRPr="002D1EF2">
              <w:t>0.0% – 14.3%</w:t>
            </w:r>
          </w:p>
        </w:tc>
      </w:tr>
      <w:tr w:rsidR="002D1EF2" w:rsidRPr="002D1EF2" w14:paraId="2CFFD4C3" w14:textId="77777777" w:rsidTr="00B34BF7">
        <w:trPr>
          <w:trHeight w:val="315"/>
        </w:trPr>
        <w:tc>
          <w:tcPr>
            <w:tcW w:w="1547" w:type="pct"/>
            <w:vMerge w:val="restart"/>
            <w:tcMar>
              <w:top w:w="30" w:type="dxa"/>
              <w:left w:w="45" w:type="dxa"/>
              <w:bottom w:w="30" w:type="dxa"/>
              <w:right w:w="45" w:type="dxa"/>
            </w:tcMar>
            <w:hideMark/>
          </w:tcPr>
          <w:p w14:paraId="46B1DACF" w14:textId="77777777" w:rsidR="002D1EF2" w:rsidRPr="00B34BF7" w:rsidRDefault="002D1EF2" w:rsidP="00B34BF7">
            <w:pPr>
              <w:pStyle w:val="TableText"/>
              <w:spacing w:after="0"/>
              <w:jc w:val="center"/>
              <w:rPr>
                <w:b/>
                <w:bCs/>
              </w:rPr>
            </w:pPr>
            <w:r w:rsidRPr="00B34BF7">
              <w:rPr>
                <w:b/>
                <w:bCs/>
              </w:rPr>
              <w:t>Conduct Disorder</w:t>
            </w:r>
          </w:p>
        </w:tc>
        <w:tc>
          <w:tcPr>
            <w:tcW w:w="653" w:type="pct"/>
            <w:tcMar>
              <w:top w:w="30" w:type="dxa"/>
              <w:left w:w="45" w:type="dxa"/>
              <w:bottom w:w="30" w:type="dxa"/>
              <w:right w:w="45" w:type="dxa"/>
            </w:tcMar>
            <w:vAlign w:val="bottom"/>
            <w:hideMark/>
          </w:tcPr>
          <w:p w14:paraId="302406A0" w14:textId="77777777" w:rsidR="002D1EF2" w:rsidRPr="002D1EF2" w:rsidRDefault="002D1EF2" w:rsidP="00B34BF7">
            <w:pPr>
              <w:pStyle w:val="TableText"/>
            </w:pPr>
            <w:r w:rsidRPr="002D1EF2">
              <w:t>Unlikely</w:t>
            </w:r>
          </w:p>
        </w:tc>
        <w:tc>
          <w:tcPr>
            <w:tcW w:w="876" w:type="pct"/>
            <w:tcMar>
              <w:top w:w="30" w:type="dxa"/>
              <w:left w:w="45" w:type="dxa"/>
              <w:bottom w:w="30" w:type="dxa"/>
              <w:right w:w="45" w:type="dxa"/>
            </w:tcMar>
            <w:vAlign w:val="bottom"/>
            <w:hideMark/>
          </w:tcPr>
          <w:p w14:paraId="711EF047" w14:textId="73586D45" w:rsidR="002D1EF2" w:rsidRPr="002D1EF2" w:rsidRDefault="002D1EF2" w:rsidP="00B34BF7">
            <w:pPr>
              <w:pStyle w:val="TableText"/>
            </w:pPr>
            <w:r w:rsidRPr="002D1EF2">
              <w:t xml:space="preserve">16 (67%) </w:t>
            </w:r>
          </w:p>
        </w:tc>
        <w:tc>
          <w:tcPr>
            <w:tcW w:w="1924" w:type="pct"/>
            <w:tcMar>
              <w:top w:w="30" w:type="dxa"/>
              <w:left w:w="0" w:type="dxa"/>
              <w:bottom w:w="30" w:type="dxa"/>
              <w:right w:w="0" w:type="dxa"/>
            </w:tcMar>
            <w:vAlign w:val="bottom"/>
            <w:hideMark/>
          </w:tcPr>
          <w:p w14:paraId="4AF4D0EC" w14:textId="3FF36696" w:rsidR="002D1EF2" w:rsidRPr="002D1EF2" w:rsidRDefault="002D1EF2" w:rsidP="00B34BF7">
            <w:pPr>
              <w:pStyle w:val="TableText"/>
            </w:pPr>
            <w:r w:rsidRPr="002D1EF2">
              <w:t>47.1% – 82.1%</w:t>
            </w:r>
          </w:p>
        </w:tc>
      </w:tr>
      <w:tr w:rsidR="002D1EF2" w:rsidRPr="002D1EF2" w14:paraId="0A361586" w14:textId="77777777" w:rsidTr="00B34BF7">
        <w:trPr>
          <w:trHeight w:val="315"/>
        </w:trPr>
        <w:tc>
          <w:tcPr>
            <w:tcW w:w="1547" w:type="pct"/>
            <w:vMerge/>
            <w:tcMar>
              <w:top w:w="30" w:type="dxa"/>
              <w:left w:w="45" w:type="dxa"/>
              <w:bottom w:w="30" w:type="dxa"/>
              <w:right w:w="45" w:type="dxa"/>
            </w:tcMar>
            <w:hideMark/>
          </w:tcPr>
          <w:p w14:paraId="6D920D4F" w14:textId="77777777" w:rsidR="002D1EF2" w:rsidRPr="00B34BF7" w:rsidRDefault="002D1EF2" w:rsidP="00B34BF7">
            <w:pPr>
              <w:pStyle w:val="TableText"/>
              <w:spacing w:after="0"/>
              <w:jc w:val="center"/>
              <w:rPr>
                <w:b/>
                <w:bCs/>
              </w:rPr>
            </w:pPr>
          </w:p>
        </w:tc>
        <w:tc>
          <w:tcPr>
            <w:tcW w:w="653" w:type="pct"/>
            <w:tcMar>
              <w:top w:w="30" w:type="dxa"/>
              <w:left w:w="45" w:type="dxa"/>
              <w:bottom w:w="30" w:type="dxa"/>
              <w:right w:w="45" w:type="dxa"/>
            </w:tcMar>
            <w:vAlign w:val="bottom"/>
            <w:hideMark/>
          </w:tcPr>
          <w:p w14:paraId="1715930D" w14:textId="77777777" w:rsidR="002D1EF2" w:rsidRPr="002D1EF2" w:rsidRDefault="002D1EF2" w:rsidP="00B34BF7">
            <w:pPr>
              <w:pStyle w:val="TableText"/>
            </w:pPr>
            <w:r w:rsidRPr="002D1EF2">
              <w:t>Possible</w:t>
            </w:r>
          </w:p>
        </w:tc>
        <w:tc>
          <w:tcPr>
            <w:tcW w:w="876" w:type="pct"/>
            <w:tcMar>
              <w:top w:w="30" w:type="dxa"/>
              <w:left w:w="45" w:type="dxa"/>
              <w:bottom w:w="30" w:type="dxa"/>
              <w:right w:w="45" w:type="dxa"/>
            </w:tcMar>
            <w:vAlign w:val="bottom"/>
            <w:hideMark/>
          </w:tcPr>
          <w:p w14:paraId="31B71D3C" w14:textId="71F505B2" w:rsidR="002D1EF2" w:rsidRPr="002D1EF2" w:rsidRDefault="002D1EF2" w:rsidP="00B34BF7">
            <w:pPr>
              <w:pStyle w:val="TableText"/>
            </w:pPr>
            <w:r w:rsidRPr="002D1EF2">
              <w:t xml:space="preserve">6 (25%) </w:t>
            </w:r>
          </w:p>
        </w:tc>
        <w:tc>
          <w:tcPr>
            <w:tcW w:w="1924" w:type="pct"/>
            <w:tcMar>
              <w:top w:w="30" w:type="dxa"/>
              <w:left w:w="45" w:type="dxa"/>
              <w:bottom w:w="30" w:type="dxa"/>
              <w:right w:w="45" w:type="dxa"/>
            </w:tcMar>
            <w:vAlign w:val="bottom"/>
            <w:hideMark/>
          </w:tcPr>
          <w:p w14:paraId="58E95386" w14:textId="54A5E66C" w:rsidR="002D1EF2" w:rsidRPr="002D1EF2" w:rsidRDefault="002D1EF2" w:rsidP="00B34BF7">
            <w:pPr>
              <w:pStyle w:val="TableText"/>
            </w:pPr>
            <w:r w:rsidRPr="002D1EF2">
              <w:t>11.9% – 44.9%</w:t>
            </w:r>
          </w:p>
        </w:tc>
      </w:tr>
      <w:tr w:rsidR="002D1EF2" w:rsidRPr="002D1EF2" w14:paraId="6EA18D22" w14:textId="77777777" w:rsidTr="00B34BF7">
        <w:trPr>
          <w:trHeight w:val="315"/>
        </w:trPr>
        <w:tc>
          <w:tcPr>
            <w:tcW w:w="1547" w:type="pct"/>
            <w:vMerge/>
            <w:tcMar>
              <w:top w:w="30" w:type="dxa"/>
              <w:left w:w="45" w:type="dxa"/>
              <w:bottom w:w="30" w:type="dxa"/>
              <w:right w:w="45" w:type="dxa"/>
            </w:tcMar>
            <w:hideMark/>
          </w:tcPr>
          <w:p w14:paraId="57E460FD" w14:textId="77777777" w:rsidR="002D1EF2" w:rsidRPr="00B34BF7" w:rsidRDefault="002D1EF2" w:rsidP="00B34BF7">
            <w:pPr>
              <w:pStyle w:val="TableText"/>
              <w:spacing w:after="0"/>
              <w:jc w:val="center"/>
              <w:rPr>
                <w:b/>
                <w:bCs/>
              </w:rPr>
            </w:pPr>
          </w:p>
        </w:tc>
        <w:tc>
          <w:tcPr>
            <w:tcW w:w="653" w:type="pct"/>
            <w:tcMar>
              <w:top w:w="30" w:type="dxa"/>
              <w:left w:w="45" w:type="dxa"/>
              <w:bottom w:w="30" w:type="dxa"/>
              <w:right w:w="45" w:type="dxa"/>
            </w:tcMar>
            <w:vAlign w:val="bottom"/>
            <w:hideMark/>
          </w:tcPr>
          <w:p w14:paraId="6F69A34C" w14:textId="77777777" w:rsidR="002D1EF2" w:rsidRPr="002D1EF2" w:rsidRDefault="002D1EF2" w:rsidP="00B34BF7">
            <w:pPr>
              <w:pStyle w:val="TableText"/>
            </w:pPr>
            <w:r w:rsidRPr="002D1EF2">
              <w:t>Probable</w:t>
            </w:r>
          </w:p>
        </w:tc>
        <w:tc>
          <w:tcPr>
            <w:tcW w:w="876" w:type="pct"/>
            <w:tcMar>
              <w:top w:w="30" w:type="dxa"/>
              <w:left w:w="45" w:type="dxa"/>
              <w:bottom w:w="30" w:type="dxa"/>
              <w:right w:w="45" w:type="dxa"/>
            </w:tcMar>
            <w:vAlign w:val="bottom"/>
            <w:hideMark/>
          </w:tcPr>
          <w:p w14:paraId="42AA8F33" w14:textId="6AF192DE" w:rsidR="002D1EF2" w:rsidRPr="002D1EF2" w:rsidRDefault="002D1EF2" w:rsidP="00B34BF7">
            <w:pPr>
              <w:pStyle w:val="TableText"/>
            </w:pPr>
            <w:r w:rsidRPr="002D1EF2">
              <w:t xml:space="preserve">2 (9%) </w:t>
            </w:r>
          </w:p>
        </w:tc>
        <w:tc>
          <w:tcPr>
            <w:tcW w:w="1924" w:type="pct"/>
            <w:tcMar>
              <w:top w:w="30" w:type="dxa"/>
              <w:left w:w="45" w:type="dxa"/>
              <w:bottom w:w="30" w:type="dxa"/>
              <w:right w:w="45" w:type="dxa"/>
            </w:tcMar>
            <w:vAlign w:val="bottom"/>
            <w:hideMark/>
          </w:tcPr>
          <w:p w14:paraId="24446348" w14:textId="4948FD2F" w:rsidR="002D1EF2" w:rsidRPr="002D1EF2" w:rsidRDefault="002D1EF2" w:rsidP="00B34BF7">
            <w:pPr>
              <w:pStyle w:val="TableText"/>
            </w:pPr>
            <w:r w:rsidRPr="002D1EF2">
              <w:t>2.3% – 25.8%</w:t>
            </w:r>
          </w:p>
        </w:tc>
      </w:tr>
      <w:tr w:rsidR="002D1EF2" w:rsidRPr="002D1EF2" w14:paraId="4083AD97" w14:textId="77777777" w:rsidTr="00B34BF7">
        <w:trPr>
          <w:trHeight w:val="315"/>
        </w:trPr>
        <w:tc>
          <w:tcPr>
            <w:tcW w:w="1547" w:type="pct"/>
            <w:vMerge w:val="restart"/>
            <w:tcMar>
              <w:top w:w="30" w:type="dxa"/>
              <w:left w:w="45" w:type="dxa"/>
              <w:bottom w:w="30" w:type="dxa"/>
              <w:right w:w="45" w:type="dxa"/>
            </w:tcMar>
            <w:hideMark/>
          </w:tcPr>
          <w:p w14:paraId="46B0323C" w14:textId="77777777" w:rsidR="002D1EF2" w:rsidRPr="00B34BF7" w:rsidRDefault="002D1EF2" w:rsidP="00B34BF7">
            <w:pPr>
              <w:pStyle w:val="TableText"/>
              <w:spacing w:after="0"/>
              <w:jc w:val="center"/>
              <w:rPr>
                <w:b/>
                <w:bCs/>
              </w:rPr>
            </w:pPr>
            <w:r w:rsidRPr="00B34BF7">
              <w:rPr>
                <w:b/>
                <w:bCs/>
              </w:rPr>
              <w:t>Emotional Disorder</w:t>
            </w:r>
          </w:p>
        </w:tc>
        <w:tc>
          <w:tcPr>
            <w:tcW w:w="653" w:type="pct"/>
            <w:tcMar>
              <w:top w:w="30" w:type="dxa"/>
              <w:left w:w="45" w:type="dxa"/>
              <w:bottom w:w="30" w:type="dxa"/>
              <w:right w:w="45" w:type="dxa"/>
            </w:tcMar>
            <w:vAlign w:val="bottom"/>
            <w:hideMark/>
          </w:tcPr>
          <w:p w14:paraId="7083FC63" w14:textId="77777777" w:rsidR="002D1EF2" w:rsidRPr="002D1EF2" w:rsidRDefault="002D1EF2" w:rsidP="00B34BF7">
            <w:pPr>
              <w:pStyle w:val="TableText"/>
            </w:pPr>
            <w:r w:rsidRPr="002D1EF2">
              <w:t>Unlikely</w:t>
            </w:r>
          </w:p>
        </w:tc>
        <w:tc>
          <w:tcPr>
            <w:tcW w:w="876" w:type="pct"/>
            <w:tcMar>
              <w:top w:w="30" w:type="dxa"/>
              <w:left w:w="45" w:type="dxa"/>
              <w:bottom w:w="30" w:type="dxa"/>
              <w:right w:w="45" w:type="dxa"/>
            </w:tcMar>
            <w:vAlign w:val="bottom"/>
            <w:hideMark/>
          </w:tcPr>
          <w:p w14:paraId="127664F1" w14:textId="7AA112BF" w:rsidR="002D1EF2" w:rsidRPr="002D1EF2" w:rsidRDefault="002D1EF2" w:rsidP="00B34BF7">
            <w:pPr>
              <w:pStyle w:val="TableText"/>
            </w:pPr>
            <w:r w:rsidRPr="002D1EF2">
              <w:t xml:space="preserve">19 (79%) </w:t>
            </w:r>
          </w:p>
        </w:tc>
        <w:tc>
          <w:tcPr>
            <w:tcW w:w="1924" w:type="pct"/>
            <w:tcMar>
              <w:top w:w="30" w:type="dxa"/>
              <w:left w:w="0" w:type="dxa"/>
              <w:bottom w:w="30" w:type="dxa"/>
              <w:right w:w="0" w:type="dxa"/>
            </w:tcMar>
            <w:vAlign w:val="bottom"/>
            <w:hideMark/>
          </w:tcPr>
          <w:p w14:paraId="630B3882" w14:textId="47FE5E8E" w:rsidR="002D1EF2" w:rsidRPr="002D1EF2" w:rsidRDefault="002D1EF2" w:rsidP="00B34BF7">
            <w:pPr>
              <w:pStyle w:val="TableText"/>
            </w:pPr>
            <w:r w:rsidRPr="002D1EF2">
              <w:t>59.5% – 90.9%</w:t>
            </w:r>
          </w:p>
        </w:tc>
      </w:tr>
      <w:tr w:rsidR="002D1EF2" w:rsidRPr="002D1EF2" w14:paraId="37B57E17" w14:textId="77777777" w:rsidTr="00B34BF7">
        <w:trPr>
          <w:trHeight w:val="315"/>
        </w:trPr>
        <w:tc>
          <w:tcPr>
            <w:tcW w:w="1547" w:type="pct"/>
            <w:vMerge/>
            <w:tcMar>
              <w:top w:w="30" w:type="dxa"/>
              <w:left w:w="45" w:type="dxa"/>
              <w:bottom w:w="30" w:type="dxa"/>
              <w:right w:w="45" w:type="dxa"/>
            </w:tcMar>
            <w:vAlign w:val="bottom"/>
            <w:hideMark/>
          </w:tcPr>
          <w:p w14:paraId="16A755F2" w14:textId="77777777" w:rsidR="002D1EF2" w:rsidRPr="002D1EF2" w:rsidRDefault="002D1EF2" w:rsidP="00B34BF7">
            <w:pPr>
              <w:pStyle w:val="TableText"/>
            </w:pPr>
          </w:p>
        </w:tc>
        <w:tc>
          <w:tcPr>
            <w:tcW w:w="653" w:type="pct"/>
            <w:tcMar>
              <w:top w:w="30" w:type="dxa"/>
              <w:left w:w="45" w:type="dxa"/>
              <w:bottom w:w="30" w:type="dxa"/>
              <w:right w:w="45" w:type="dxa"/>
            </w:tcMar>
            <w:vAlign w:val="bottom"/>
            <w:hideMark/>
          </w:tcPr>
          <w:p w14:paraId="2C98E175" w14:textId="77777777" w:rsidR="002D1EF2" w:rsidRPr="002D1EF2" w:rsidRDefault="002D1EF2" w:rsidP="00B34BF7">
            <w:pPr>
              <w:pStyle w:val="TableText"/>
            </w:pPr>
            <w:r w:rsidRPr="002D1EF2">
              <w:t>Possible</w:t>
            </w:r>
          </w:p>
        </w:tc>
        <w:tc>
          <w:tcPr>
            <w:tcW w:w="876" w:type="pct"/>
            <w:tcMar>
              <w:top w:w="30" w:type="dxa"/>
              <w:left w:w="45" w:type="dxa"/>
              <w:bottom w:w="30" w:type="dxa"/>
              <w:right w:w="45" w:type="dxa"/>
            </w:tcMar>
            <w:vAlign w:val="bottom"/>
            <w:hideMark/>
          </w:tcPr>
          <w:p w14:paraId="000E165B" w14:textId="2D66A3FA" w:rsidR="002D1EF2" w:rsidRPr="002D1EF2" w:rsidRDefault="002D1EF2" w:rsidP="00B34BF7">
            <w:pPr>
              <w:pStyle w:val="TableText"/>
            </w:pPr>
            <w:r w:rsidRPr="002D1EF2">
              <w:t xml:space="preserve">4 (17%) </w:t>
            </w:r>
          </w:p>
        </w:tc>
        <w:tc>
          <w:tcPr>
            <w:tcW w:w="1924" w:type="pct"/>
            <w:tcMar>
              <w:top w:w="30" w:type="dxa"/>
              <w:left w:w="45" w:type="dxa"/>
              <w:bottom w:w="30" w:type="dxa"/>
              <w:right w:w="45" w:type="dxa"/>
            </w:tcMar>
            <w:vAlign w:val="bottom"/>
            <w:hideMark/>
          </w:tcPr>
          <w:p w14:paraId="377C5429" w14:textId="13859CF6" w:rsidR="002D1EF2" w:rsidRPr="002D1EF2" w:rsidRDefault="002D1EF2" w:rsidP="00B34BF7">
            <w:pPr>
              <w:pStyle w:val="TableText"/>
            </w:pPr>
            <w:r w:rsidRPr="002D1EF2">
              <w:t>6.7% – 35.9%</w:t>
            </w:r>
          </w:p>
        </w:tc>
      </w:tr>
      <w:tr w:rsidR="002D1EF2" w:rsidRPr="002D1EF2" w14:paraId="01C4F603" w14:textId="77777777" w:rsidTr="00B34BF7">
        <w:trPr>
          <w:trHeight w:val="315"/>
        </w:trPr>
        <w:tc>
          <w:tcPr>
            <w:tcW w:w="1547" w:type="pct"/>
            <w:vMerge/>
            <w:tcMar>
              <w:top w:w="30" w:type="dxa"/>
              <w:left w:w="45" w:type="dxa"/>
              <w:bottom w:w="30" w:type="dxa"/>
              <w:right w:w="45" w:type="dxa"/>
            </w:tcMar>
            <w:vAlign w:val="bottom"/>
            <w:hideMark/>
          </w:tcPr>
          <w:p w14:paraId="48B30DA0" w14:textId="77777777" w:rsidR="002D1EF2" w:rsidRPr="002D1EF2" w:rsidRDefault="002D1EF2" w:rsidP="00B34BF7">
            <w:pPr>
              <w:pStyle w:val="TableText"/>
            </w:pPr>
          </w:p>
        </w:tc>
        <w:tc>
          <w:tcPr>
            <w:tcW w:w="653" w:type="pct"/>
            <w:tcMar>
              <w:top w:w="30" w:type="dxa"/>
              <w:left w:w="45" w:type="dxa"/>
              <w:bottom w:w="30" w:type="dxa"/>
              <w:right w:w="45" w:type="dxa"/>
            </w:tcMar>
            <w:vAlign w:val="bottom"/>
            <w:hideMark/>
          </w:tcPr>
          <w:p w14:paraId="181E81BA" w14:textId="77777777" w:rsidR="002D1EF2" w:rsidRPr="002D1EF2" w:rsidRDefault="002D1EF2" w:rsidP="00B34BF7">
            <w:pPr>
              <w:pStyle w:val="TableText"/>
            </w:pPr>
            <w:r w:rsidRPr="002D1EF2">
              <w:t>Probable</w:t>
            </w:r>
          </w:p>
        </w:tc>
        <w:tc>
          <w:tcPr>
            <w:tcW w:w="876" w:type="pct"/>
            <w:tcMar>
              <w:top w:w="30" w:type="dxa"/>
              <w:left w:w="45" w:type="dxa"/>
              <w:bottom w:w="30" w:type="dxa"/>
              <w:right w:w="45" w:type="dxa"/>
            </w:tcMar>
            <w:vAlign w:val="bottom"/>
            <w:hideMark/>
          </w:tcPr>
          <w:p w14:paraId="656384CD" w14:textId="0AEBDA80" w:rsidR="002D1EF2" w:rsidRPr="002D1EF2" w:rsidRDefault="002D1EF2" w:rsidP="00B34BF7">
            <w:pPr>
              <w:pStyle w:val="TableText"/>
            </w:pPr>
            <w:r w:rsidRPr="002D1EF2">
              <w:t xml:space="preserve">1 (4%) </w:t>
            </w:r>
          </w:p>
        </w:tc>
        <w:tc>
          <w:tcPr>
            <w:tcW w:w="1924" w:type="pct"/>
            <w:tcMar>
              <w:top w:w="30" w:type="dxa"/>
              <w:left w:w="45" w:type="dxa"/>
              <w:bottom w:w="30" w:type="dxa"/>
              <w:right w:w="45" w:type="dxa"/>
            </w:tcMar>
            <w:vAlign w:val="bottom"/>
            <w:hideMark/>
          </w:tcPr>
          <w:p w14:paraId="35EA8A35" w14:textId="2E6A726C" w:rsidR="002D1EF2" w:rsidRPr="002D1EF2" w:rsidRDefault="002D1EF2" w:rsidP="00B34BF7">
            <w:pPr>
              <w:pStyle w:val="TableText"/>
            </w:pPr>
            <w:r w:rsidRPr="002D1EF2">
              <w:t>0.7% – 20.8%</w:t>
            </w:r>
          </w:p>
        </w:tc>
      </w:tr>
    </w:tbl>
    <w:p w14:paraId="68F8BB51" w14:textId="77777777" w:rsidR="002D1EF2" w:rsidRPr="002D1EF2" w:rsidRDefault="002D1EF2" w:rsidP="00B34BF7"/>
    <w:p w14:paraId="344965BF" w14:textId="04E9393F" w:rsidR="00CF395B" w:rsidRPr="00367D62" w:rsidRDefault="00CF395B" w:rsidP="00CF395B">
      <w:pPr>
        <w:pStyle w:val="Caption"/>
        <w:rPr>
          <w:b w:val="0"/>
          <w:bCs/>
          <w:i/>
          <w:iCs w:val="0"/>
        </w:rPr>
      </w:pPr>
      <w:r>
        <w:rPr>
          <w:bCs/>
          <w:iCs w:val="0"/>
        </w:rPr>
        <w:t xml:space="preserve">Supplemental </w:t>
      </w:r>
      <w:r w:rsidRPr="00367D62">
        <w:rPr>
          <w:bCs/>
          <w:iCs w:val="0"/>
        </w:rPr>
        <w:t xml:space="preserve">Table </w:t>
      </w:r>
      <w:r w:rsidRPr="00367D62">
        <w:rPr>
          <w:b w:val="0"/>
          <w:bCs/>
          <w:i/>
          <w:iCs w:val="0"/>
        </w:rPr>
        <w:fldChar w:fldCharType="begin"/>
      </w:r>
      <w:r w:rsidRPr="00367D62">
        <w:rPr>
          <w:bCs/>
          <w:iCs w:val="0"/>
        </w:rPr>
        <w:instrText xml:space="preserve"> SEQ Table \* ARABIC </w:instrText>
      </w:r>
      <w:r w:rsidRPr="00367D62">
        <w:rPr>
          <w:b w:val="0"/>
          <w:bCs/>
          <w:i/>
          <w:iCs w:val="0"/>
        </w:rPr>
        <w:fldChar w:fldCharType="separate"/>
      </w:r>
      <w:r>
        <w:rPr>
          <w:bCs/>
          <w:iCs w:val="0"/>
          <w:noProof/>
        </w:rPr>
        <w:t>2</w:t>
      </w:r>
      <w:r w:rsidRPr="00367D62">
        <w:rPr>
          <w:b w:val="0"/>
          <w:bCs/>
          <w:i/>
          <w:iCs w:val="0"/>
        </w:rPr>
        <w:fldChar w:fldCharType="end"/>
      </w:r>
      <w:r w:rsidRPr="00367D62">
        <w:rPr>
          <w:bCs/>
          <w:iCs w:val="0"/>
        </w:rPr>
        <w:t xml:space="preserve"> RSES Outcomes</w:t>
      </w:r>
      <w:r>
        <w:rPr>
          <w:bCs/>
          <w:iCs w:val="0"/>
        </w:rPr>
        <w:t xml:space="preserve"> and comparison (median, IQR) versus UK norms (mean, SD) </w:t>
      </w:r>
      <w:r>
        <w:rPr>
          <w:bCs/>
          <w:iCs w:val="0"/>
        </w:rPr>
        <w:fldChar w:fldCharType="begin"/>
      </w:r>
      <w:r w:rsidR="00D106AB">
        <w:rPr>
          <w:bCs/>
          <w:iCs w:val="0"/>
        </w:rPr>
        <w:instrText xml:space="preserve"> ADDIN ZOTERO_ITEM CSL_CITATION {"citationID":"CYhBJBut","properties":{"formattedCitation":"(57)","plainCitation":"(57)","noteIndex":0},"citationItems":[{"id":1119,"uris":["http://zotero.org/users/12098505/items/CSGQGULM"],"itemData":{"id":1119,"type":"article-journal","abstract":"Notes that self-esteem is a potentially important measure for screening problems of social adaptation which underlie and predict mental health problems. Measuring change in self-esteem is also an important way of assessing success of therapeutic programs of various kinds. The usefulness of the Rosenberg Self-Esteem Scale (RSES) is indicated from a review of various studies in Canada and America. In the present study, a stratified sample of 4 comprehensive schools in England, and of classes in 2 6th form colleges yielded normative data on the Likert-scaled RSES for 665 male and 665 female pupils aged 12 to 19. Among the measures completed was the RSES. In each age group females had significantly lower self-esteem than males, and females were more than twice as likely to have \"devastated\" self-esteem. Some evidence of construct validity is available for both sex groups within age categories, from significant correlations with previously validated measures of mental health problem categories, using scales from the Ontario Child Health Survey, (PsycINFO Database Record (c) 2002 APA, all rights reserved)","container-title":"International Journal of Adolescence and Youth","DOI":"10.1080/02673843.2001.9747871","ISSN":"0267-3843, 0267-3843","issue":"2-3","page":"117-126","title":"Normative Data and Mental Health Construct Validity for the Rosenberg Self-Esteem Scale in British Adolescents","volume":"9","author":[{"family":"Bagley","given":"Christopher"},{"family":"Mallick","given":"Kanka"}],"issued":{"date-parts":[["2001"]]}}}],"schema":"https://github.com/citation-style-language/schema/raw/master/csl-citation.json"} </w:instrText>
      </w:r>
      <w:r>
        <w:rPr>
          <w:bCs/>
          <w:iCs w:val="0"/>
        </w:rPr>
        <w:fldChar w:fldCharType="separate"/>
      </w:r>
      <w:r w:rsidR="00D106AB" w:rsidRPr="00D106AB">
        <w:rPr>
          <w:rFonts w:cs="Times New Roman"/>
        </w:rPr>
        <w:t>(57)</w:t>
      </w:r>
      <w:r>
        <w:rPr>
          <w:bCs/>
          <w:iCs w:val="0"/>
        </w:rPr>
        <w:fldChar w:fldCharType="end"/>
      </w:r>
      <w:r>
        <w:rPr>
          <w:bCs/>
          <w:iCs w:val="0"/>
        </w:rPr>
        <w:t xml:space="preserve"> and CF patients (mean, SD) </w:t>
      </w:r>
      <w:r>
        <w:rPr>
          <w:bCs/>
          <w:iCs w:val="0"/>
        </w:rPr>
        <w:fldChar w:fldCharType="begin"/>
      </w:r>
      <w:r w:rsidR="00D106AB">
        <w:rPr>
          <w:bCs/>
          <w:iCs w:val="0"/>
        </w:rPr>
        <w:instrText xml:space="preserve"> ADDIN ZOTERO_ITEM CSL_CITATION {"citationID":"aDCSTuV7","properties":{"formattedCitation":"(56)","plainCitation":"(56)","noteIndex":0},"citationItems":[{"id":1123,"uris":["http://zotero.org/users/12098505/items/AVAPCELD"],"itemData":{"id":1123,"type":"article-journal","abstract":"Research from the general population indicates an important role for self-esteem in mental health, but lim-ited research in this area exists in the cystic fibrosis (CF) literature. This study aimed to explore the predictive value of self-esteem and health-related quality of life (HRQoL) in mental health symptoms in adults with CF. Seventy-four participants, recruited online, completed the Clinical Out-comes in Routine Evaluation-Outcome Measure 34 (CORE-OM), Rosenberg Self-esteem Scale and Cystic Fibrosis Questionnaire-Revised (CFQ-R). Comparably high levels of self-esteem were found, but HRQoL was lower than previous research. Thirty percent of participants scored within the clinical range for mental health difficulty. Hierarchical regression, controlling for gender, explored the value of four CFQ-R subscales (physical, social, emotional and role functioning) and self-esteem in predicting CORE-OM total score. Gender accounted for 8.2 % of the variance in mental health scores while the five independent variables accounted for a further 73.0 % of variance. Of the five variables, CFQ-R emotional functioning and self-esteem were significant predictors of mental health symptoms. Results are discussed in relation to clinical implications and potential uses for internet technologies to promote socialisation.","container-title":"Journal of Clinical Psychology in Medical Settings","DOI":"10.1007/s10880-012-9346-8","issue":"3","page":"392-399","title":"Self-Esteem and Its Relationship to Mental Health and Quality of Life in Adults with Cystic Fibrosis","volume":"20","author":[{"family":"Platten","given":"Melanie Jane"},{"family":"Newman","given":"Emily"},{"family":"Quayle","given":"Ethel"}],"issued":{"date-parts":[["2013",9]]}}}],"schema":"https://github.com/citation-style-language/schema/raw/master/csl-citation.json"} </w:instrText>
      </w:r>
      <w:r>
        <w:rPr>
          <w:bCs/>
          <w:iCs w:val="0"/>
        </w:rPr>
        <w:fldChar w:fldCharType="separate"/>
      </w:r>
      <w:r w:rsidR="00D106AB" w:rsidRPr="00D106AB">
        <w:rPr>
          <w:rFonts w:cs="Times New Roman"/>
        </w:rPr>
        <w:t>(56)</w:t>
      </w:r>
      <w:r>
        <w:rPr>
          <w:bCs/>
          <w:iCs w:val="0"/>
        </w:rPr>
        <w:fldChar w:fldCharType="end"/>
      </w:r>
      <w:r>
        <w:rPr>
          <w:bCs/>
          <w:iCs w:val="0"/>
        </w:rPr>
        <w:t>.</w:t>
      </w:r>
    </w:p>
    <w:tbl>
      <w:tblPr>
        <w:tblStyle w:val="ListTable33"/>
        <w:tblW w:w="0" w:type="auto"/>
        <w:tblLook w:val="04A0" w:firstRow="1" w:lastRow="0" w:firstColumn="1" w:lastColumn="0" w:noHBand="0" w:noVBand="1"/>
      </w:tblPr>
      <w:tblGrid>
        <w:gridCol w:w="1041"/>
        <w:gridCol w:w="1886"/>
        <w:gridCol w:w="75"/>
        <w:gridCol w:w="1292"/>
        <w:gridCol w:w="1890"/>
        <w:gridCol w:w="2832"/>
      </w:tblGrid>
      <w:tr w:rsidR="00D97F73" w:rsidRPr="00367D62" w14:paraId="0DC3935F" w14:textId="0C320F4E" w:rsidTr="00B34BF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79" w:type="dxa"/>
            <w:gridSpan w:val="2"/>
            <w:tcBorders>
              <w:right w:val="single" w:sz="4" w:space="0" w:color="auto"/>
            </w:tcBorders>
            <w:shd w:val="clear" w:color="auto" w:fill="auto"/>
          </w:tcPr>
          <w:p w14:paraId="7ED11252" w14:textId="77777777" w:rsidR="00D97F73" w:rsidRPr="00367D62" w:rsidRDefault="00D97F73" w:rsidP="00443903">
            <w:pPr>
              <w:pStyle w:val="TableText"/>
              <w:rPr>
                <w:color w:val="auto"/>
              </w:rPr>
            </w:pPr>
            <w:r w:rsidRPr="00367D62">
              <w:rPr>
                <w:color w:val="auto"/>
              </w:rPr>
              <w:t>RSES outcome</w:t>
            </w:r>
          </w:p>
        </w:tc>
        <w:tc>
          <w:tcPr>
            <w:tcW w:w="3654" w:type="dxa"/>
            <w:gridSpan w:val="3"/>
            <w:tcBorders>
              <w:left w:val="single" w:sz="4" w:space="0" w:color="auto"/>
            </w:tcBorders>
            <w:shd w:val="clear" w:color="auto" w:fill="auto"/>
          </w:tcPr>
          <w:p w14:paraId="35B8CE00" w14:textId="77777777" w:rsidR="00D97F73" w:rsidRPr="00367D62" w:rsidRDefault="00D97F73" w:rsidP="00443903">
            <w:pPr>
              <w:pStyle w:val="TableText"/>
              <w:cnfStyle w:val="100000000000" w:firstRow="1" w:lastRow="0" w:firstColumn="0" w:lastColumn="0" w:oddVBand="0" w:evenVBand="0" w:oddHBand="0" w:evenHBand="0" w:firstRowFirstColumn="0" w:firstRowLastColumn="0" w:lastRowFirstColumn="0" w:lastRowLastColumn="0"/>
              <w:rPr>
                <w:color w:val="auto"/>
              </w:rPr>
            </w:pPr>
            <w:r w:rsidRPr="00367D62">
              <w:rPr>
                <w:color w:val="auto"/>
              </w:rPr>
              <w:t>Number of patients (n, %)</w:t>
            </w:r>
          </w:p>
        </w:tc>
        <w:tc>
          <w:tcPr>
            <w:tcW w:w="3183" w:type="dxa"/>
            <w:tcBorders>
              <w:left w:val="single" w:sz="4" w:space="0" w:color="auto"/>
            </w:tcBorders>
            <w:shd w:val="clear" w:color="auto" w:fill="auto"/>
          </w:tcPr>
          <w:p w14:paraId="7781DA1B" w14:textId="5B388DEC" w:rsidR="00D97F73" w:rsidRPr="00B34BF7" w:rsidRDefault="00D97F73" w:rsidP="00443903">
            <w:pPr>
              <w:pStyle w:val="TableText"/>
              <w:cnfStyle w:val="100000000000" w:firstRow="1" w:lastRow="0" w:firstColumn="0" w:lastColumn="0" w:oddVBand="0" w:evenVBand="0" w:oddHBand="0" w:evenHBand="0" w:firstRowFirstColumn="0" w:firstRowLastColumn="0" w:lastRowFirstColumn="0" w:lastRowLastColumn="0"/>
              <w:rPr>
                <w:color w:val="auto"/>
              </w:rPr>
            </w:pPr>
            <w:r>
              <w:t>9</w:t>
            </w:r>
            <w:r>
              <w:rPr>
                <w:color w:val="auto"/>
              </w:rPr>
              <w:t>95% Confidence Internal (CI)</w:t>
            </w:r>
          </w:p>
        </w:tc>
      </w:tr>
      <w:tr w:rsidR="00D97F73" w:rsidRPr="00367D62" w14:paraId="194D95C0" w14:textId="7A1C7653" w:rsidTr="00D97F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gridSpan w:val="2"/>
            <w:tcBorders>
              <w:right w:val="single" w:sz="4" w:space="0" w:color="auto"/>
            </w:tcBorders>
          </w:tcPr>
          <w:p w14:paraId="22F94DEC" w14:textId="77777777" w:rsidR="00D97F73" w:rsidRPr="00367D62" w:rsidRDefault="00D97F73" w:rsidP="00443903">
            <w:pPr>
              <w:pStyle w:val="TableText"/>
              <w:rPr>
                <w:b w:val="0"/>
                <w:bCs w:val="0"/>
              </w:rPr>
            </w:pPr>
            <w:r w:rsidRPr="00367D62">
              <w:rPr>
                <w:b w:val="0"/>
                <w:bCs w:val="0"/>
              </w:rPr>
              <w:t>Low self-esteem</w:t>
            </w:r>
          </w:p>
        </w:tc>
        <w:tc>
          <w:tcPr>
            <w:tcW w:w="3654" w:type="dxa"/>
            <w:gridSpan w:val="3"/>
            <w:tcBorders>
              <w:left w:val="single" w:sz="4" w:space="0" w:color="auto"/>
            </w:tcBorders>
          </w:tcPr>
          <w:p w14:paraId="512F293B" w14:textId="77777777" w:rsidR="00D97F73" w:rsidRPr="00367D62" w:rsidRDefault="00D97F73" w:rsidP="00443903">
            <w:pPr>
              <w:pStyle w:val="TableText"/>
              <w:jc w:val="center"/>
              <w:cnfStyle w:val="000000100000" w:firstRow="0" w:lastRow="0" w:firstColumn="0" w:lastColumn="0" w:oddVBand="0" w:evenVBand="0" w:oddHBand="1" w:evenHBand="0" w:firstRowFirstColumn="0" w:firstRowLastColumn="0" w:lastRowFirstColumn="0" w:lastRowLastColumn="0"/>
            </w:pPr>
            <w:r w:rsidRPr="00367D62">
              <w:t>5, 16%</w:t>
            </w:r>
          </w:p>
        </w:tc>
        <w:tc>
          <w:tcPr>
            <w:tcW w:w="3183" w:type="dxa"/>
            <w:tcBorders>
              <w:left w:val="single" w:sz="4" w:space="0" w:color="auto"/>
            </w:tcBorders>
          </w:tcPr>
          <w:p w14:paraId="30F43687" w14:textId="5C665F45" w:rsidR="00D97F73" w:rsidRPr="00367D62" w:rsidRDefault="00F3217C" w:rsidP="00443903">
            <w:pPr>
              <w:pStyle w:val="TableText"/>
              <w:jc w:val="center"/>
              <w:cnfStyle w:val="000000100000" w:firstRow="0" w:lastRow="0" w:firstColumn="0" w:lastColumn="0" w:oddVBand="0" w:evenVBand="0" w:oddHBand="1" w:evenHBand="0" w:firstRowFirstColumn="0" w:firstRowLastColumn="0" w:lastRowFirstColumn="0" w:lastRowLastColumn="0"/>
            </w:pPr>
            <w:r>
              <w:t>0.0% - 30.1%</w:t>
            </w:r>
          </w:p>
        </w:tc>
      </w:tr>
      <w:tr w:rsidR="00D97F73" w:rsidRPr="00367D62" w14:paraId="7EB3A98B" w14:textId="56A5A4CA" w:rsidTr="00D97F73">
        <w:tc>
          <w:tcPr>
            <w:cnfStyle w:val="001000000000" w:firstRow="0" w:lastRow="0" w:firstColumn="1" w:lastColumn="0" w:oddVBand="0" w:evenVBand="0" w:oddHBand="0" w:evenHBand="0" w:firstRowFirstColumn="0" w:firstRowLastColumn="0" w:lastRowFirstColumn="0" w:lastRowLastColumn="0"/>
            <w:tcW w:w="2179" w:type="dxa"/>
            <w:gridSpan w:val="2"/>
            <w:tcBorders>
              <w:right w:val="single" w:sz="4" w:space="0" w:color="auto"/>
            </w:tcBorders>
          </w:tcPr>
          <w:p w14:paraId="5076AE02" w14:textId="77777777" w:rsidR="00D97F73" w:rsidRPr="00367D62" w:rsidRDefault="00D97F73" w:rsidP="00443903">
            <w:pPr>
              <w:pStyle w:val="TableText"/>
              <w:rPr>
                <w:b w:val="0"/>
                <w:bCs w:val="0"/>
              </w:rPr>
            </w:pPr>
            <w:r w:rsidRPr="00367D62">
              <w:rPr>
                <w:b w:val="0"/>
                <w:bCs w:val="0"/>
              </w:rPr>
              <w:t>Normal self-esteem</w:t>
            </w:r>
          </w:p>
        </w:tc>
        <w:tc>
          <w:tcPr>
            <w:tcW w:w="3654" w:type="dxa"/>
            <w:gridSpan w:val="3"/>
            <w:tcBorders>
              <w:left w:val="single" w:sz="4" w:space="0" w:color="auto"/>
            </w:tcBorders>
          </w:tcPr>
          <w:p w14:paraId="73FE5299" w14:textId="77777777" w:rsidR="00D97F73" w:rsidRPr="00367D62" w:rsidRDefault="00D97F73" w:rsidP="00443903">
            <w:pPr>
              <w:pStyle w:val="TableText"/>
              <w:jc w:val="center"/>
              <w:cnfStyle w:val="000000000000" w:firstRow="0" w:lastRow="0" w:firstColumn="0" w:lastColumn="0" w:oddVBand="0" w:evenVBand="0" w:oddHBand="0" w:evenHBand="0" w:firstRowFirstColumn="0" w:firstRowLastColumn="0" w:lastRowFirstColumn="0" w:lastRowLastColumn="0"/>
            </w:pPr>
            <w:r w:rsidRPr="00367D62">
              <w:t>11, 34%</w:t>
            </w:r>
          </w:p>
        </w:tc>
        <w:tc>
          <w:tcPr>
            <w:tcW w:w="3183" w:type="dxa"/>
            <w:tcBorders>
              <w:left w:val="single" w:sz="4" w:space="0" w:color="auto"/>
            </w:tcBorders>
          </w:tcPr>
          <w:p w14:paraId="2BAFACDB" w14:textId="65CF9A65" w:rsidR="00D97F73" w:rsidRPr="00367D62" w:rsidRDefault="00F3217C" w:rsidP="00443903">
            <w:pPr>
              <w:pStyle w:val="TableText"/>
              <w:jc w:val="center"/>
              <w:cnfStyle w:val="000000000000" w:firstRow="0" w:lastRow="0" w:firstColumn="0" w:lastColumn="0" w:oddVBand="0" w:evenVBand="0" w:oddHBand="0" w:evenHBand="0" w:firstRowFirstColumn="0" w:firstRowLastColumn="0" w:lastRowFirstColumn="0" w:lastRowLastColumn="0"/>
            </w:pPr>
            <w:r>
              <w:t xml:space="preserve">3.9% - </w:t>
            </w:r>
            <w:r w:rsidR="00615E01">
              <w:t>68.4%</w:t>
            </w:r>
          </w:p>
        </w:tc>
      </w:tr>
      <w:tr w:rsidR="00D97F73" w:rsidRPr="00367D62" w14:paraId="19959DC4" w14:textId="4044A27B" w:rsidTr="00D97F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gridSpan w:val="2"/>
            <w:tcBorders>
              <w:right w:val="single" w:sz="4" w:space="0" w:color="auto"/>
            </w:tcBorders>
          </w:tcPr>
          <w:p w14:paraId="4D7C4456" w14:textId="77777777" w:rsidR="00D97F73" w:rsidRPr="00367D62" w:rsidRDefault="00D97F73" w:rsidP="00443903">
            <w:pPr>
              <w:pStyle w:val="TableText"/>
              <w:rPr>
                <w:b w:val="0"/>
                <w:bCs w:val="0"/>
              </w:rPr>
            </w:pPr>
            <w:r w:rsidRPr="00367D62">
              <w:rPr>
                <w:b w:val="0"/>
                <w:bCs w:val="0"/>
              </w:rPr>
              <w:t>High self-esteem</w:t>
            </w:r>
          </w:p>
        </w:tc>
        <w:tc>
          <w:tcPr>
            <w:tcW w:w="3654" w:type="dxa"/>
            <w:gridSpan w:val="3"/>
            <w:tcBorders>
              <w:left w:val="single" w:sz="4" w:space="0" w:color="auto"/>
              <w:right w:val="single" w:sz="4" w:space="0" w:color="auto"/>
            </w:tcBorders>
          </w:tcPr>
          <w:p w14:paraId="33568769" w14:textId="77777777" w:rsidR="00D97F73" w:rsidRPr="00367D62" w:rsidRDefault="00D97F73" w:rsidP="00443903">
            <w:pPr>
              <w:pStyle w:val="TableText"/>
              <w:jc w:val="center"/>
              <w:cnfStyle w:val="000000100000" w:firstRow="0" w:lastRow="0" w:firstColumn="0" w:lastColumn="0" w:oddVBand="0" w:evenVBand="0" w:oddHBand="1" w:evenHBand="0" w:firstRowFirstColumn="0" w:firstRowLastColumn="0" w:lastRowFirstColumn="0" w:lastRowLastColumn="0"/>
            </w:pPr>
            <w:r w:rsidRPr="00367D62">
              <w:t>16, 50%</w:t>
            </w:r>
          </w:p>
        </w:tc>
        <w:tc>
          <w:tcPr>
            <w:tcW w:w="3183" w:type="dxa"/>
            <w:tcBorders>
              <w:left w:val="single" w:sz="4" w:space="0" w:color="auto"/>
              <w:right w:val="single" w:sz="4" w:space="0" w:color="auto"/>
            </w:tcBorders>
          </w:tcPr>
          <w:p w14:paraId="241A0CDF" w14:textId="4C3B4736" w:rsidR="00D97F73" w:rsidRPr="00367D62" w:rsidRDefault="00615E01" w:rsidP="00443903">
            <w:pPr>
              <w:pStyle w:val="TableText"/>
              <w:jc w:val="center"/>
              <w:cnfStyle w:val="000000100000" w:firstRow="0" w:lastRow="0" w:firstColumn="0" w:lastColumn="0" w:oddVBand="0" w:evenVBand="0" w:oddHBand="1" w:evenHBand="0" w:firstRowFirstColumn="0" w:firstRowLastColumn="0" w:lastRowFirstColumn="0" w:lastRowLastColumn="0"/>
            </w:pPr>
            <w:r>
              <w:t>31.6% - 86.1%</w:t>
            </w:r>
          </w:p>
        </w:tc>
      </w:tr>
      <w:tr w:rsidR="00D97F73" w:rsidRPr="00367D62" w14:paraId="665A356F" w14:textId="78F40D9D" w:rsidTr="00CF773A">
        <w:tc>
          <w:tcPr>
            <w:cnfStyle w:val="001000000000" w:firstRow="0" w:lastRow="0" w:firstColumn="1" w:lastColumn="0" w:oddVBand="0" w:evenVBand="0" w:oddHBand="0" w:evenHBand="0" w:firstRowFirstColumn="0" w:firstRowLastColumn="0" w:lastRowFirstColumn="0" w:lastRowLastColumn="0"/>
            <w:tcW w:w="9016" w:type="dxa"/>
            <w:gridSpan w:val="6"/>
            <w:tcBorders>
              <w:right w:val="single" w:sz="4" w:space="0" w:color="auto"/>
            </w:tcBorders>
          </w:tcPr>
          <w:p w14:paraId="45BB4675" w14:textId="77777777" w:rsidR="00D97F73" w:rsidRPr="00367D62" w:rsidRDefault="00D97F73" w:rsidP="00443903">
            <w:pPr>
              <w:pStyle w:val="TableText"/>
              <w:jc w:val="center"/>
            </w:pPr>
          </w:p>
        </w:tc>
      </w:tr>
      <w:tr w:rsidR="00D97F73" w:rsidRPr="00367D62" w14:paraId="04AC3A38" w14:textId="3996F967" w:rsidTr="00B34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gridSpan w:val="2"/>
            <w:tcBorders>
              <w:right w:val="single" w:sz="4" w:space="0" w:color="auto"/>
            </w:tcBorders>
            <w:shd w:val="clear" w:color="auto" w:fill="auto"/>
          </w:tcPr>
          <w:p w14:paraId="2DC0C7CE" w14:textId="77777777" w:rsidR="00D97F73" w:rsidRPr="00367D62" w:rsidRDefault="00D97F73" w:rsidP="00443903">
            <w:pPr>
              <w:pStyle w:val="TableText"/>
              <w:jc w:val="center"/>
            </w:pPr>
            <w:r w:rsidRPr="00367D62">
              <w:t>RSES outcome</w:t>
            </w:r>
          </w:p>
        </w:tc>
        <w:tc>
          <w:tcPr>
            <w:tcW w:w="3654" w:type="dxa"/>
            <w:gridSpan w:val="3"/>
            <w:tcBorders>
              <w:left w:val="single" w:sz="4" w:space="0" w:color="auto"/>
            </w:tcBorders>
          </w:tcPr>
          <w:p w14:paraId="57BDF390" w14:textId="77777777" w:rsidR="00D97F73" w:rsidRPr="00367D62" w:rsidRDefault="00D97F73" w:rsidP="00443903">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367D62">
              <w:rPr>
                <w:b/>
                <w:bCs/>
              </w:rPr>
              <w:t>Bronchiectasis (n = 1</w:t>
            </w:r>
            <w:r>
              <w:rPr>
                <w:b/>
                <w:bCs/>
              </w:rPr>
              <w:t>8</w:t>
            </w:r>
            <w:r w:rsidRPr="00367D62">
              <w:rPr>
                <w:b/>
                <w:bCs/>
              </w:rPr>
              <w:t>)</w:t>
            </w:r>
          </w:p>
        </w:tc>
        <w:tc>
          <w:tcPr>
            <w:tcW w:w="3183" w:type="dxa"/>
            <w:tcBorders>
              <w:left w:val="single" w:sz="4" w:space="0" w:color="auto"/>
              <w:right w:val="single" w:sz="4" w:space="0" w:color="auto"/>
            </w:tcBorders>
          </w:tcPr>
          <w:p w14:paraId="6FEABF87" w14:textId="526BC4C7" w:rsidR="00D97F73" w:rsidRPr="00367D62" w:rsidRDefault="00D97F73" w:rsidP="00443903">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367D62">
              <w:rPr>
                <w:b/>
                <w:bCs/>
              </w:rPr>
              <w:t>No bronchiectasis (n = 9)</w:t>
            </w:r>
          </w:p>
        </w:tc>
      </w:tr>
      <w:tr w:rsidR="00D97F73" w:rsidRPr="00367D62" w14:paraId="06D192F0" w14:textId="0AE0B636" w:rsidTr="00B34BF7">
        <w:tc>
          <w:tcPr>
            <w:cnfStyle w:val="001000000000" w:firstRow="0" w:lastRow="0" w:firstColumn="1" w:lastColumn="0" w:oddVBand="0" w:evenVBand="0" w:oddHBand="0" w:evenHBand="0" w:firstRowFirstColumn="0" w:firstRowLastColumn="0" w:lastRowFirstColumn="0" w:lastRowLastColumn="0"/>
            <w:tcW w:w="2179" w:type="dxa"/>
            <w:gridSpan w:val="2"/>
            <w:tcBorders>
              <w:right w:val="single" w:sz="4" w:space="0" w:color="auto"/>
            </w:tcBorders>
          </w:tcPr>
          <w:p w14:paraId="5E421A62" w14:textId="77777777" w:rsidR="00D97F73" w:rsidRPr="00367D62" w:rsidRDefault="00D97F73" w:rsidP="00443903">
            <w:pPr>
              <w:pStyle w:val="TableText"/>
              <w:jc w:val="center"/>
            </w:pPr>
            <w:r w:rsidRPr="00367D62">
              <w:rPr>
                <w:b w:val="0"/>
                <w:bCs w:val="0"/>
              </w:rPr>
              <w:t>Low self-esteem</w:t>
            </w:r>
          </w:p>
        </w:tc>
        <w:tc>
          <w:tcPr>
            <w:tcW w:w="3654" w:type="dxa"/>
            <w:gridSpan w:val="3"/>
            <w:tcBorders>
              <w:left w:val="single" w:sz="4" w:space="0" w:color="auto"/>
            </w:tcBorders>
          </w:tcPr>
          <w:p w14:paraId="28FB099B" w14:textId="77777777" w:rsidR="00D97F73" w:rsidRPr="00367D62" w:rsidRDefault="00D97F73" w:rsidP="00443903">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367D62">
              <w:t>5, 2</w:t>
            </w:r>
            <w:r>
              <w:t>8</w:t>
            </w:r>
            <w:r w:rsidRPr="00367D62">
              <w:t>%</w:t>
            </w:r>
          </w:p>
        </w:tc>
        <w:tc>
          <w:tcPr>
            <w:tcW w:w="3183" w:type="dxa"/>
            <w:tcBorders>
              <w:left w:val="single" w:sz="4" w:space="0" w:color="auto"/>
            </w:tcBorders>
          </w:tcPr>
          <w:p w14:paraId="69BAE7BE" w14:textId="4A5219F6" w:rsidR="00D97F73" w:rsidRPr="00367D62" w:rsidRDefault="00D97F73" w:rsidP="00443903">
            <w:pPr>
              <w:pStyle w:val="TableText"/>
              <w:jc w:val="center"/>
              <w:cnfStyle w:val="000000000000" w:firstRow="0" w:lastRow="0" w:firstColumn="0" w:lastColumn="0" w:oddVBand="0" w:evenVBand="0" w:oddHBand="0" w:evenHBand="0" w:firstRowFirstColumn="0" w:firstRowLastColumn="0" w:lastRowFirstColumn="0" w:lastRowLastColumn="0"/>
            </w:pPr>
            <w:r w:rsidRPr="00367D62">
              <w:t>0, 0%</w:t>
            </w:r>
          </w:p>
        </w:tc>
      </w:tr>
      <w:tr w:rsidR="00D97F73" w:rsidRPr="00367D62" w14:paraId="24A8437A" w14:textId="7058E56B" w:rsidTr="00B34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gridSpan w:val="2"/>
            <w:tcBorders>
              <w:right w:val="single" w:sz="4" w:space="0" w:color="auto"/>
            </w:tcBorders>
          </w:tcPr>
          <w:p w14:paraId="30FEA322" w14:textId="77777777" w:rsidR="00D97F73" w:rsidRPr="00367D62" w:rsidRDefault="00D97F73" w:rsidP="00443903">
            <w:pPr>
              <w:pStyle w:val="TableText"/>
              <w:jc w:val="center"/>
            </w:pPr>
            <w:r w:rsidRPr="00367D62">
              <w:rPr>
                <w:b w:val="0"/>
                <w:bCs w:val="0"/>
              </w:rPr>
              <w:t>Normal self-esteem</w:t>
            </w:r>
          </w:p>
        </w:tc>
        <w:tc>
          <w:tcPr>
            <w:tcW w:w="3654" w:type="dxa"/>
            <w:gridSpan w:val="3"/>
            <w:tcBorders>
              <w:left w:val="single" w:sz="4" w:space="0" w:color="auto"/>
            </w:tcBorders>
          </w:tcPr>
          <w:p w14:paraId="33C50DB1" w14:textId="77777777" w:rsidR="00D97F73" w:rsidRPr="00367D62" w:rsidRDefault="00D97F73" w:rsidP="00443903">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367D62">
              <w:t>5 2</w:t>
            </w:r>
            <w:r>
              <w:t>8</w:t>
            </w:r>
            <w:r w:rsidRPr="00367D62">
              <w:t>%</w:t>
            </w:r>
          </w:p>
        </w:tc>
        <w:tc>
          <w:tcPr>
            <w:tcW w:w="3183" w:type="dxa"/>
            <w:tcBorders>
              <w:left w:val="single" w:sz="4" w:space="0" w:color="auto"/>
            </w:tcBorders>
          </w:tcPr>
          <w:p w14:paraId="1D661ECD" w14:textId="471471DB" w:rsidR="00D97F73" w:rsidRDefault="00D97F73" w:rsidP="00443903">
            <w:pPr>
              <w:pStyle w:val="TableText"/>
              <w:jc w:val="center"/>
              <w:cnfStyle w:val="000000100000" w:firstRow="0" w:lastRow="0" w:firstColumn="0" w:lastColumn="0" w:oddVBand="0" w:evenVBand="0" w:oddHBand="1" w:evenHBand="0" w:firstRowFirstColumn="0" w:firstRowLastColumn="0" w:lastRowFirstColumn="0" w:lastRowLastColumn="0"/>
            </w:pPr>
            <w:r>
              <w:t>5</w:t>
            </w:r>
            <w:r w:rsidRPr="00367D62">
              <w:t>, 38%</w:t>
            </w:r>
          </w:p>
        </w:tc>
      </w:tr>
      <w:tr w:rsidR="00D97F73" w:rsidRPr="00367D62" w14:paraId="6B416558" w14:textId="45F89634" w:rsidTr="00B34BF7">
        <w:tc>
          <w:tcPr>
            <w:cnfStyle w:val="001000000000" w:firstRow="0" w:lastRow="0" w:firstColumn="1" w:lastColumn="0" w:oddVBand="0" w:evenVBand="0" w:oddHBand="0" w:evenHBand="0" w:firstRowFirstColumn="0" w:firstRowLastColumn="0" w:lastRowFirstColumn="0" w:lastRowLastColumn="0"/>
            <w:tcW w:w="2179" w:type="dxa"/>
            <w:gridSpan w:val="2"/>
            <w:tcBorders>
              <w:right w:val="single" w:sz="4" w:space="0" w:color="auto"/>
            </w:tcBorders>
          </w:tcPr>
          <w:p w14:paraId="66315724" w14:textId="77777777" w:rsidR="00D97F73" w:rsidRPr="00367D62" w:rsidRDefault="00D97F73" w:rsidP="00443903">
            <w:pPr>
              <w:pStyle w:val="TableText"/>
              <w:jc w:val="center"/>
            </w:pPr>
            <w:r w:rsidRPr="00367D62">
              <w:rPr>
                <w:b w:val="0"/>
                <w:bCs w:val="0"/>
              </w:rPr>
              <w:t>High self-esteem</w:t>
            </w:r>
          </w:p>
        </w:tc>
        <w:tc>
          <w:tcPr>
            <w:tcW w:w="3654" w:type="dxa"/>
            <w:gridSpan w:val="3"/>
            <w:tcBorders>
              <w:left w:val="single" w:sz="4" w:space="0" w:color="auto"/>
            </w:tcBorders>
          </w:tcPr>
          <w:p w14:paraId="0DE8E649" w14:textId="77777777" w:rsidR="00D97F73" w:rsidRPr="00367D62" w:rsidRDefault="00D97F73" w:rsidP="00443903">
            <w:pPr>
              <w:pStyle w:val="TableText"/>
              <w:jc w:val="center"/>
              <w:cnfStyle w:val="000000000000" w:firstRow="0" w:lastRow="0" w:firstColumn="0" w:lastColumn="0" w:oddVBand="0" w:evenVBand="0" w:oddHBand="0" w:evenHBand="0" w:firstRowFirstColumn="0" w:firstRowLastColumn="0" w:lastRowFirstColumn="0" w:lastRowLastColumn="0"/>
              <w:rPr>
                <w:b/>
                <w:bCs/>
              </w:rPr>
            </w:pPr>
            <w:r>
              <w:t>8</w:t>
            </w:r>
            <w:r w:rsidRPr="00367D62">
              <w:t>, 4</w:t>
            </w:r>
            <w:r>
              <w:t>4</w:t>
            </w:r>
            <w:r w:rsidRPr="00367D62">
              <w:t>%</w:t>
            </w:r>
          </w:p>
        </w:tc>
        <w:tc>
          <w:tcPr>
            <w:tcW w:w="3183" w:type="dxa"/>
            <w:tcBorders>
              <w:left w:val="single" w:sz="4" w:space="0" w:color="auto"/>
              <w:right w:val="single" w:sz="4" w:space="0" w:color="auto"/>
            </w:tcBorders>
          </w:tcPr>
          <w:p w14:paraId="6CA732D6" w14:textId="47C05672" w:rsidR="00D97F73" w:rsidRDefault="00D97F73" w:rsidP="00443903">
            <w:pPr>
              <w:pStyle w:val="TableText"/>
              <w:jc w:val="center"/>
              <w:cnfStyle w:val="000000000000" w:firstRow="0" w:lastRow="0" w:firstColumn="0" w:lastColumn="0" w:oddVBand="0" w:evenVBand="0" w:oddHBand="0" w:evenHBand="0" w:firstRowFirstColumn="0" w:firstRowLastColumn="0" w:lastRowFirstColumn="0" w:lastRowLastColumn="0"/>
            </w:pPr>
            <w:r>
              <w:t>8</w:t>
            </w:r>
            <w:r w:rsidRPr="00367D62">
              <w:t>, 62%</w:t>
            </w:r>
          </w:p>
        </w:tc>
      </w:tr>
      <w:tr w:rsidR="00D97F73" w:rsidRPr="00367D62" w14:paraId="2BA69484" w14:textId="31CE3CB8" w:rsidTr="001B78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6"/>
            <w:tcBorders>
              <w:right w:val="single" w:sz="4" w:space="0" w:color="auto"/>
            </w:tcBorders>
          </w:tcPr>
          <w:p w14:paraId="4FFC3097" w14:textId="77777777" w:rsidR="00D97F73" w:rsidRPr="00367D62" w:rsidRDefault="00D97F73" w:rsidP="00443903">
            <w:pPr>
              <w:pStyle w:val="TableText"/>
              <w:jc w:val="center"/>
            </w:pPr>
          </w:p>
        </w:tc>
      </w:tr>
      <w:tr w:rsidR="00615E01" w:rsidRPr="00367D62" w14:paraId="1440AF2D" w14:textId="7A6E391E" w:rsidTr="00B34BF7">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309C46FF" w14:textId="77777777" w:rsidR="00D97F73" w:rsidRPr="00367D62" w:rsidRDefault="00D97F73" w:rsidP="00443903">
            <w:pPr>
              <w:pStyle w:val="TableText"/>
              <w:jc w:val="center"/>
            </w:pPr>
            <w:r w:rsidRPr="00367D62">
              <w:t>XLA (median, IOR)</w:t>
            </w:r>
          </w:p>
        </w:tc>
        <w:tc>
          <w:tcPr>
            <w:tcW w:w="2268" w:type="dxa"/>
            <w:gridSpan w:val="2"/>
            <w:tcBorders>
              <w:left w:val="single" w:sz="4" w:space="0" w:color="auto"/>
            </w:tcBorders>
          </w:tcPr>
          <w:p w14:paraId="3F6F6DF0" w14:textId="77777777" w:rsidR="00392135" w:rsidRDefault="00D97F73" w:rsidP="00443903">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367D62">
              <w:rPr>
                <w:b/>
                <w:bCs/>
              </w:rPr>
              <w:t>UK Norms</w:t>
            </w:r>
            <w:r w:rsidR="00392135">
              <w:rPr>
                <w:b/>
                <w:bCs/>
              </w:rPr>
              <w:t xml:space="preserve"> </w:t>
            </w:r>
          </w:p>
          <w:p w14:paraId="765C8391" w14:textId="1EA1C781" w:rsidR="00D97F73" w:rsidRPr="00367D62" w:rsidRDefault="00392135" w:rsidP="00443903">
            <w:pPr>
              <w:pStyle w:val="TableText"/>
              <w:jc w:val="center"/>
              <w:cnfStyle w:val="000000000000" w:firstRow="0" w:lastRow="0" w:firstColumn="0" w:lastColumn="0" w:oddVBand="0" w:evenVBand="0" w:oddHBand="0" w:evenHBand="0" w:firstRowFirstColumn="0" w:firstRowLastColumn="0" w:lastRowFirstColumn="0" w:lastRowLastColumn="0"/>
              <w:rPr>
                <w:b/>
                <w:bCs/>
              </w:rPr>
            </w:pPr>
            <w:r>
              <w:rPr>
                <w:b/>
                <w:bCs/>
              </w:rPr>
              <w:t>(n = 32)</w:t>
            </w:r>
          </w:p>
        </w:tc>
        <w:tc>
          <w:tcPr>
            <w:tcW w:w="1418" w:type="dxa"/>
            <w:tcBorders>
              <w:left w:val="single" w:sz="4" w:space="0" w:color="auto"/>
            </w:tcBorders>
          </w:tcPr>
          <w:p w14:paraId="56305732" w14:textId="77777777" w:rsidR="00D97F73" w:rsidRPr="00367D62" w:rsidRDefault="00D97F73" w:rsidP="00443903">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367D62">
              <w:rPr>
                <w:b/>
                <w:bCs/>
              </w:rPr>
              <w:t>p value</w:t>
            </w:r>
          </w:p>
        </w:tc>
        <w:tc>
          <w:tcPr>
            <w:tcW w:w="1843" w:type="dxa"/>
            <w:tcBorders>
              <w:left w:val="single" w:sz="4" w:space="0" w:color="auto"/>
            </w:tcBorders>
          </w:tcPr>
          <w:p w14:paraId="178E0D61" w14:textId="77777777" w:rsidR="00D97F73" w:rsidRPr="00367D62" w:rsidRDefault="00D97F73" w:rsidP="00443903">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367D62">
              <w:rPr>
                <w:b/>
                <w:bCs/>
              </w:rPr>
              <w:t>CF patients</w:t>
            </w:r>
          </w:p>
        </w:tc>
        <w:tc>
          <w:tcPr>
            <w:tcW w:w="1791" w:type="dxa"/>
            <w:tcBorders>
              <w:left w:val="single" w:sz="4" w:space="0" w:color="auto"/>
              <w:right w:val="single" w:sz="4" w:space="0" w:color="auto"/>
            </w:tcBorders>
          </w:tcPr>
          <w:p w14:paraId="719222B7" w14:textId="2B0EFABE" w:rsidR="00D97F73" w:rsidRPr="00367D62" w:rsidRDefault="00D97F73" w:rsidP="00443903">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367D62">
              <w:rPr>
                <w:b/>
                <w:bCs/>
              </w:rPr>
              <w:t>p value</w:t>
            </w:r>
          </w:p>
        </w:tc>
      </w:tr>
      <w:tr w:rsidR="00615E01" w:rsidRPr="00367D62" w14:paraId="1D6E68E4" w14:textId="614B2AD3" w:rsidTr="00B34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108D09FF" w14:textId="77777777" w:rsidR="00D97F73" w:rsidRPr="00367D62" w:rsidRDefault="00D97F73" w:rsidP="00443903">
            <w:pPr>
              <w:pStyle w:val="TableText"/>
              <w:jc w:val="center"/>
            </w:pPr>
            <w:r w:rsidRPr="00367D62">
              <w:rPr>
                <w:b w:val="0"/>
              </w:rPr>
              <w:t>25.50 (19.50</w:t>
            </w:r>
            <w:r>
              <w:rPr>
                <w:b w:val="0"/>
              </w:rPr>
              <w:t xml:space="preserve">, </w:t>
            </w:r>
            <w:r w:rsidRPr="00367D62">
              <w:rPr>
                <w:b w:val="0"/>
              </w:rPr>
              <w:t>29)</w:t>
            </w:r>
          </w:p>
        </w:tc>
        <w:tc>
          <w:tcPr>
            <w:tcW w:w="2268" w:type="dxa"/>
            <w:gridSpan w:val="2"/>
            <w:tcBorders>
              <w:left w:val="single" w:sz="4" w:space="0" w:color="auto"/>
            </w:tcBorders>
          </w:tcPr>
          <w:p w14:paraId="0DC53B67" w14:textId="77777777" w:rsidR="00D97F73" w:rsidRPr="00367D62" w:rsidRDefault="00D97F73" w:rsidP="00443903">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367D62">
              <w:t>31.68 (5.67)</w:t>
            </w:r>
          </w:p>
        </w:tc>
        <w:tc>
          <w:tcPr>
            <w:tcW w:w="1418" w:type="dxa"/>
            <w:tcBorders>
              <w:left w:val="single" w:sz="4" w:space="0" w:color="auto"/>
            </w:tcBorders>
          </w:tcPr>
          <w:p w14:paraId="6284A7FF" w14:textId="77777777" w:rsidR="00D97F73" w:rsidRPr="00367D62" w:rsidRDefault="00D97F73" w:rsidP="00443903">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367D62">
              <w:rPr>
                <w:b/>
                <w:bCs/>
              </w:rPr>
              <w:t>&lt;0.001</w:t>
            </w:r>
          </w:p>
        </w:tc>
        <w:tc>
          <w:tcPr>
            <w:tcW w:w="1843" w:type="dxa"/>
            <w:tcBorders>
              <w:left w:val="single" w:sz="4" w:space="0" w:color="auto"/>
            </w:tcBorders>
          </w:tcPr>
          <w:p w14:paraId="162DC9B7" w14:textId="77777777" w:rsidR="00D97F73" w:rsidRPr="00367D62" w:rsidRDefault="00D97F73" w:rsidP="00443903">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367D62">
              <w:t>33.94 (5.1)</w:t>
            </w:r>
          </w:p>
        </w:tc>
        <w:tc>
          <w:tcPr>
            <w:tcW w:w="1791" w:type="dxa"/>
            <w:tcBorders>
              <w:left w:val="single" w:sz="4" w:space="0" w:color="auto"/>
            </w:tcBorders>
          </w:tcPr>
          <w:p w14:paraId="1BB6DA6A" w14:textId="50428874" w:rsidR="00D97F73" w:rsidRPr="00367D62" w:rsidRDefault="00D97F73" w:rsidP="00443903">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367D62">
              <w:rPr>
                <w:b/>
                <w:bCs/>
              </w:rPr>
              <w:t>&lt;0.001</w:t>
            </w:r>
          </w:p>
        </w:tc>
      </w:tr>
    </w:tbl>
    <w:p w14:paraId="423988FF" w14:textId="77777777" w:rsidR="00CF395B" w:rsidRPr="00CF395B" w:rsidRDefault="00CF395B" w:rsidP="00CF395B"/>
    <w:sectPr w:rsidR="00CF395B" w:rsidRPr="00CF395B" w:rsidSect="00FF1EBD">
      <w:type w:val="continuous"/>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B2C2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25102"/>
    <w:multiLevelType w:val="hybridMultilevel"/>
    <w:tmpl w:val="CE5E69E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637FE"/>
    <w:multiLevelType w:val="hybridMultilevel"/>
    <w:tmpl w:val="A3020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41377"/>
    <w:multiLevelType w:val="hybridMultilevel"/>
    <w:tmpl w:val="BDFE2E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A1929"/>
    <w:multiLevelType w:val="hybridMultilevel"/>
    <w:tmpl w:val="F5C65170"/>
    <w:lvl w:ilvl="0" w:tplc="8B5E2278">
      <w:start w:val="1"/>
      <w:numFmt w:val="decimal"/>
      <w:lvlText w:val="%1)"/>
      <w:lvlJc w:val="left"/>
      <w:pPr>
        <w:ind w:left="1020" w:hanging="360"/>
      </w:pPr>
    </w:lvl>
    <w:lvl w:ilvl="1" w:tplc="BFAE23BC">
      <w:start w:val="1"/>
      <w:numFmt w:val="decimal"/>
      <w:lvlText w:val="%2)"/>
      <w:lvlJc w:val="left"/>
      <w:pPr>
        <w:ind w:left="1020" w:hanging="360"/>
      </w:pPr>
    </w:lvl>
    <w:lvl w:ilvl="2" w:tplc="385C68EE">
      <w:start w:val="1"/>
      <w:numFmt w:val="decimal"/>
      <w:lvlText w:val="%3)"/>
      <w:lvlJc w:val="left"/>
      <w:pPr>
        <w:ind w:left="1020" w:hanging="360"/>
      </w:pPr>
    </w:lvl>
    <w:lvl w:ilvl="3" w:tplc="FD14A9E8">
      <w:start w:val="1"/>
      <w:numFmt w:val="decimal"/>
      <w:lvlText w:val="%4)"/>
      <w:lvlJc w:val="left"/>
      <w:pPr>
        <w:ind w:left="1020" w:hanging="360"/>
      </w:pPr>
    </w:lvl>
    <w:lvl w:ilvl="4" w:tplc="CB46EA14">
      <w:start w:val="1"/>
      <w:numFmt w:val="decimal"/>
      <w:lvlText w:val="%5)"/>
      <w:lvlJc w:val="left"/>
      <w:pPr>
        <w:ind w:left="1020" w:hanging="360"/>
      </w:pPr>
    </w:lvl>
    <w:lvl w:ilvl="5" w:tplc="A4EEC864">
      <w:start w:val="1"/>
      <w:numFmt w:val="decimal"/>
      <w:lvlText w:val="%6)"/>
      <w:lvlJc w:val="left"/>
      <w:pPr>
        <w:ind w:left="1020" w:hanging="360"/>
      </w:pPr>
    </w:lvl>
    <w:lvl w:ilvl="6" w:tplc="56A2EBFA">
      <w:start w:val="1"/>
      <w:numFmt w:val="decimal"/>
      <w:lvlText w:val="%7)"/>
      <w:lvlJc w:val="left"/>
      <w:pPr>
        <w:ind w:left="1020" w:hanging="360"/>
      </w:pPr>
    </w:lvl>
    <w:lvl w:ilvl="7" w:tplc="59848C56">
      <w:start w:val="1"/>
      <w:numFmt w:val="decimal"/>
      <w:lvlText w:val="%8)"/>
      <w:lvlJc w:val="left"/>
      <w:pPr>
        <w:ind w:left="1020" w:hanging="360"/>
      </w:pPr>
    </w:lvl>
    <w:lvl w:ilvl="8" w:tplc="37A6679A">
      <w:start w:val="1"/>
      <w:numFmt w:val="decimal"/>
      <w:lvlText w:val="%9)"/>
      <w:lvlJc w:val="left"/>
      <w:pPr>
        <w:ind w:left="1020" w:hanging="360"/>
      </w:pPr>
    </w:lvl>
  </w:abstractNum>
  <w:abstractNum w:abstractNumId="5" w15:restartNumberingAfterBreak="0">
    <w:nsid w:val="26444831"/>
    <w:multiLevelType w:val="hybridMultilevel"/>
    <w:tmpl w:val="917E1E4C"/>
    <w:lvl w:ilvl="0" w:tplc="B9CC752C">
      <w:start w:val="1"/>
      <w:numFmt w:val="decimal"/>
      <w:lvlText w:val="%1)"/>
      <w:lvlJc w:val="left"/>
      <w:pPr>
        <w:ind w:left="1020" w:hanging="360"/>
      </w:pPr>
    </w:lvl>
    <w:lvl w:ilvl="1" w:tplc="89B2121E">
      <w:start w:val="1"/>
      <w:numFmt w:val="decimal"/>
      <w:lvlText w:val="%2)"/>
      <w:lvlJc w:val="left"/>
      <w:pPr>
        <w:ind w:left="1020" w:hanging="360"/>
      </w:pPr>
    </w:lvl>
    <w:lvl w:ilvl="2" w:tplc="4CB2BE78">
      <w:start w:val="1"/>
      <w:numFmt w:val="decimal"/>
      <w:lvlText w:val="%3)"/>
      <w:lvlJc w:val="left"/>
      <w:pPr>
        <w:ind w:left="1020" w:hanging="360"/>
      </w:pPr>
    </w:lvl>
    <w:lvl w:ilvl="3" w:tplc="B51ED7DA">
      <w:start w:val="1"/>
      <w:numFmt w:val="decimal"/>
      <w:lvlText w:val="%4)"/>
      <w:lvlJc w:val="left"/>
      <w:pPr>
        <w:ind w:left="1020" w:hanging="360"/>
      </w:pPr>
    </w:lvl>
    <w:lvl w:ilvl="4" w:tplc="551EBE26">
      <w:start w:val="1"/>
      <w:numFmt w:val="decimal"/>
      <w:lvlText w:val="%5)"/>
      <w:lvlJc w:val="left"/>
      <w:pPr>
        <w:ind w:left="1020" w:hanging="360"/>
      </w:pPr>
    </w:lvl>
    <w:lvl w:ilvl="5" w:tplc="608E8F14">
      <w:start w:val="1"/>
      <w:numFmt w:val="decimal"/>
      <w:lvlText w:val="%6)"/>
      <w:lvlJc w:val="left"/>
      <w:pPr>
        <w:ind w:left="1020" w:hanging="360"/>
      </w:pPr>
    </w:lvl>
    <w:lvl w:ilvl="6" w:tplc="59E2B66A">
      <w:start w:val="1"/>
      <w:numFmt w:val="decimal"/>
      <w:lvlText w:val="%7)"/>
      <w:lvlJc w:val="left"/>
      <w:pPr>
        <w:ind w:left="1020" w:hanging="360"/>
      </w:pPr>
    </w:lvl>
    <w:lvl w:ilvl="7" w:tplc="A170D7B0">
      <w:start w:val="1"/>
      <w:numFmt w:val="decimal"/>
      <w:lvlText w:val="%8)"/>
      <w:lvlJc w:val="left"/>
      <w:pPr>
        <w:ind w:left="1020" w:hanging="360"/>
      </w:pPr>
    </w:lvl>
    <w:lvl w:ilvl="8" w:tplc="F6E204A2">
      <w:start w:val="1"/>
      <w:numFmt w:val="decimal"/>
      <w:lvlText w:val="%9)"/>
      <w:lvlJc w:val="left"/>
      <w:pPr>
        <w:ind w:left="1020" w:hanging="360"/>
      </w:pPr>
    </w:lvl>
  </w:abstractNum>
  <w:abstractNum w:abstractNumId="6" w15:restartNumberingAfterBreak="0">
    <w:nsid w:val="26B93D35"/>
    <w:multiLevelType w:val="hybridMultilevel"/>
    <w:tmpl w:val="B442C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D19F9"/>
    <w:multiLevelType w:val="hybridMultilevel"/>
    <w:tmpl w:val="1376D3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97073E5"/>
    <w:multiLevelType w:val="hybridMultilevel"/>
    <w:tmpl w:val="B7C0B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3D40"/>
    <w:multiLevelType w:val="hybridMultilevel"/>
    <w:tmpl w:val="F7040B06"/>
    <w:lvl w:ilvl="0" w:tplc="39502538">
      <w:start w:val="1"/>
      <w:numFmt w:val="decimal"/>
      <w:lvlText w:val="%1)"/>
      <w:lvlJc w:val="left"/>
      <w:pPr>
        <w:ind w:left="1020" w:hanging="360"/>
      </w:pPr>
    </w:lvl>
    <w:lvl w:ilvl="1" w:tplc="32D45AB4">
      <w:start w:val="1"/>
      <w:numFmt w:val="decimal"/>
      <w:lvlText w:val="%2)"/>
      <w:lvlJc w:val="left"/>
      <w:pPr>
        <w:ind w:left="1020" w:hanging="360"/>
      </w:pPr>
    </w:lvl>
    <w:lvl w:ilvl="2" w:tplc="01545D00">
      <w:start w:val="1"/>
      <w:numFmt w:val="decimal"/>
      <w:lvlText w:val="%3)"/>
      <w:lvlJc w:val="left"/>
      <w:pPr>
        <w:ind w:left="1020" w:hanging="360"/>
      </w:pPr>
    </w:lvl>
    <w:lvl w:ilvl="3" w:tplc="27740CCE">
      <w:start w:val="1"/>
      <w:numFmt w:val="decimal"/>
      <w:lvlText w:val="%4)"/>
      <w:lvlJc w:val="left"/>
      <w:pPr>
        <w:ind w:left="1020" w:hanging="360"/>
      </w:pPr>
    </w:lvl>
    <w:lvl w:ilvl="4" w:tplc="964EB036">
      <w:start w:val="1"/>
      <w:numFmt w:val="decimal"/>
      <w:lvlText w:val="%5)"/>
      <w:lvlJc w:val="left"/>
      <w:pPr>
        <w:ind w:left="1020" w:hanging="360"/>
      </w:pPr>
    </w:lvl>
    <w:lvl w:ilvl="5" w:tplc="B37C1CC0">
      <w:start w:val="1"/>
      <w:numFmt w:val="decimal"/>
      <w:lvlText w:val="%6)"/>
      <w:lvlJc w:val="left"/>
      <w:pPr>
        <w:ind w:left="1020" w:hanging="360"/>
      </w:pPr>
    </w:lvl>
    <w:lvl w:ilvl="6" w:tplc="33D60D4A">
      <w:start w:val="1"/>
      <w:numFmt w:val="decimal"/>
      <w:lvlText w:val="%7)"/>
      <w:lvlJc w:val="left"/>
      <w:pPr>
        <w:ind w:left="1020" w:hanging="360"/>
      </w:pPr>
    </w:lvl>
    <w:lvl w:ilvl="7" w:tplc="11FAEA38">
      <w:start w:val="1"/>
      <w:numFmt w:val="decimal"/>
      <w:lvlText w:val="%8)"/>
      <w:lvlJc w:val="left"/>
      <w:pPr>
        <w:ind w:left="1020" w:hanging="360"/>
      </w:pPr>
    </w:lvl>
    <w:lvl w:ilvl="8" w:tplc="F9E8E8E8">
      <w:start w:val="1"/>
      <w:numFmt w:val="decimal"/>
      <w:lvlText w:val="%9)"/>
      <w:lvlJc w:val="left"/>
      <w:pPr>
        <w:ind w:left="1020" w:hanging="360"/>
      </w:pPr>
    </w:lvl>
  </w:abstractNum>
  <w:abstractNum w:abstractNumId="10" w15:restartNumberingAfterBreak="0">
    <w:nsid w:val="4C615B2A"/>
    <w:multiLevelType w:val="hybridMultilevel"/>
    <w:tmpl w:val="5B9E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DA3740"/>
    <w:multiLevelType w:val="hybridMultilevel"/>
    <w:tmpl w:val="A9C22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E2C56"/>
    <w:multiLevelType w:val="hybridMultilevel"/>
    <w:tmpl w:val="48EE2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B1B67"/>
    <w:multiLevelType w:val="multilevel"/>
    <w:tmpl w:val="FE9C4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183A78"/>
    <w:multiLevelType w:val="hybridMultilevel"/>
    <w:tmpl w:val="A75C1A30"/>
    <w:lvl w:ilvl="0" w:tplc="17B8325E">
      <w:start w:val="1"/>
      <w:numFmt w:val="decimal"/>
      <w:lvlText w:val="%1)"/>
      <w:lvlJc w:val="left"/>
      <w:pPr>
        <w:ind w:left="1020" w:hanging="360"/>
      </w:pPr>
    </w:lvl>
    <w:lvl w:ilvl="1" w:tplc="B6D0E714">
      <w:start w:val="1"/>
      <w:numFmt w:val="decimal"/>
      <w:lvlText w:val="%2)"/>
      <w:lvlJc w:val="left"/>
      <w:pPr>
        <w:ind w:left="1020" w:hanging="360"/>
      </w:pPr>
    </w:lvl>
    <w:lvl w:ilvl="2" w:tplc="797278D2">
      <w:start w:val="1"/>
      <w:numFmt w:val="decimal"/>
      <w:lvlText w:val="%3)"/>
      <w:lvlJc w:val="left"/>
      <w:pPr>
        <w:ind w:left="1020" w:hanging="360"/>
      </w:pPr>
    </w:lvl>
    <w:lvl w:ilvl="3" w:tplc="839A19A2">
      <w:start w:val="1"/>
      <w:numFmt w:val="decimal"/>
      <w:lvlText w:val="%4)"/>
      <w:lvlJc w:val="left"/>
      <w:pPr>
        <w:ind w:left="1020" w:hanging="360"/>
      </w:pPr>
    </w:lvl>
    <w:lvl w:ilvl="4" w:tplc="BB809084">
      <w:start w:val="1"/>
      <w:numFmt w:val="decimal"/>
      <w:lvlText w:val="%5)"/>
      <w:lvlJc w:val="left"/>
      <w:pPr>
        <w:ind w:left="1020" w:hanging="360"/>
      </w:pPr>
    </w:lvl>
    <w:lvl w:ilvl="5" w:tplc="C2FE3EB4">
      <w:start w:val="1"/>
      <w:numFmt w:val="decimal"/>
      <w:lvlText w:val="%6)"/>
      <w:lvlJc w:val="left"/>
      <w:pPr>
        <w:ind w:left="1020" w:hanging="360"/>
      </w:pPr>
    </w:lvl>
    <w:lvl w:ilvl="6" w:tplc="FE385DAE">
      <w:start w:val="1"/>
      <w:numFmt w:val="decimal"/>
      <w:lvlText w:val="%7)"/>
      <w:lvlJc w:val="left"/>
      <w:pPr>
        <w:ind w:left="1020" w:hanging="360"/>
      </w:pPr>
    </w:lvl>
    <w:lvl w:ilvl="7" w:tplc="69042ADA">
      <w:start w:val="1"/>
      <w:numFmt w:val="decimal"/>
      <w:lvlText w:val="%8)"/>
      <w:lvlJc w:val="left"/>
      <w:pPr>
        <w:ind w:left="1020" w:hanging="360"/>
      </w:pPr>
    </w:lvl>
    <w:lvl w:ilvl="8" w:tplc="4D228AE6">
      <w:start w:val="1"/>
      <w:numFmt w:val="decimal"/>
      <w:lvlText w:val="%9)"/>
      <w:lvlJc w:val="left"/>
      <w:pPr>
        <w:ind w:left="1020" w:hanging="360"/>
      </w:pPr>
    </w:lvl>
  </w:abstractNum>
  <w:abstractNum w:abstractNumId="15" w15:restartNumberingAfterBreak="0">
    <w:nsid w:val="66E234DC"/>
    <w:multiLevelType w:val="hybridMultilevel"/>
    <w:tmpl w:val="44722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52794E"/>
    <w:multiLevelType w:val="hybridMultilevel"/>
    <w:tmpl w:val="F4BEA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4A1CB2"/>
    <w:multiLevelType w:val="hybridMultilevel"/>
    <w:tmpl w:val="20222C6A"/>
    <w:lvl w:ilvl="0" w:tplc="49EC5F62">
      <w:start w:val="1"/>
      <w:numFmt w:val="decimal"/>
      <w:lvlText w:val="%1)"/>
      <w:lvlJc w:val="left"/>
      <w:pPr>
        <w:ind w:left="1020" w:hanging="360"/>
      </w:pPr>
    </w:lvl>
    <w:lvl w:ilvl="1" w:tplc="CF0484DA">
      <w:start w:val="1"/>
      <w:numFmt w:val="decimal"/>
      <w:lvlText w:val="%2)"/>
      <w:lvlJc w:val="left"/>
      <w:pPr>
        <w:ind w:left="1020" w:hanging="360"/>
      </w:pPr>
    </w:lvl>
    <w:lvl w:ilvl="2" w:tplc="38CC7490">
      <w:start w:val="1"/>
      <w:numFmt w:val="decimal"/>
      <w:lvlText w:val="%3)"/>
      <w:lvlJc w:val="left"/>
      <w:pPr>
        <w:ind w:left="1020" w:hanging="360"/>
      </w:pPr>
    </w:lvl>
    <w:lvl w:ilvl="3" w:tplc="5CCC8EFC">
      <w:start w:val="1"/>
      <w:numFmt w:val="decimal"/>
      <w:lvlText w:val="%4)"/>
      <w:lvlJc w:val="left"/>
      <w:pPr>
        <w:ind w:left="1020" w:hanging="360"/>
      </w:pPr>
    </w:lvl>
    <w:lvl w:ilvl="4" w:tplc="C7E07C9A">
      <w:start w:val="1"/>
      <w:numFmt w:val="decimal"/>
      <w:lvlText w:val="%5)"/>
      <w:lvlJc w:val="left"/>
      <w:pPr>
        <w:ind w:left="1020" w:hanging="360"/>
      </w:pPr>
    </w:lvl>
    <w:lvl w:ilvl="5" w:tplc="8E9809E0">
      <w:start w:val="1"/>
      <w:numFmt w:val="decimal"/>
      <w:lvlText w:val="%6)"/>
      <w:lvlJc w:val="left"/>
      <w:pPr>
        <w:ind w:left="1020" w:hanging="360"/>
      </w:pPr>
    </w:lvl>
    <w:lvl w:ilvl="6" w:tplc="2E5E3B84">
      <w:start w:val="1"/>
      <w:numFmt w:val="decimal"/>
      <w:lvlText w:val="%7)"/>
      <w:lvlJc w:val="left"/>
      <w:pPr>
        <w:ind w:left="1020" w:hanging="360"/>
      </w:pPr>
    </w:lvl>
    <w:lvl w:ilvl="7" w:tplc="B67652D0">
      <w:start w:val="1"/>
      <w:numFmt w:val="decimal"/>
      <w:lvlText w:val="%8)"/>
      <w:lvlJc w:val="left"/>
      <w:pPr>
        <w:ind w:left="1020" w:hanging="360"/>
      </w:pPr>
    </w:lvl>
    <w:lvl w:ilvl="8" w:tplc="812C15E2">
      <w:start w:val="1"/>
      <w:numFmt w:val="decimal"/>
      <w:lvlText w:val="%9)"/>
      <w:lvlJc w:val="left"/>
      <w:pPr>
        <w:ind w:left="1020" w:hanging="360"/>
      </w:pPr>
    </w:lvl>
  </w:abstractNum>
  <w:abstractNum w:abstractNumId="18" w15:restartNumberingAfterBreak="0">
    <w:nsid w:val="7C896B28"/>
    <w:multiLevelType w:val="hybridMultilevel"/>
    <w:tmpl w:val="43903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796D75"/>
    <w:multiLevelType w:val="hybridMultilevel"/>
    <w:tmpl w:val="B25887EC"/>
    <w:lvl w:ilvl="0" w:tplc="5F36F38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152D11"/>
    <w:multiLevelType w:val="hybridMultilevel"/>
    <w:tmpl w:val="14C66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924198">
    <w:abstractNumId w:val="0"/>
  </w:num>
  <w:num w:numId="2" w16cid:durableId="1908957777">
    <w:abstractNumId w:val="3"/>
  </w:num>
  <w:num w:numId="3" w16cid:durableId="1094936095">
    <w:abstractNumId w:val="13"/>
  </w:num>
  <w:num w:numId="4" w16cid:durableId="101725653">
    <w:abstractNumId w:val="11"/>
  </w:num>
  <w:num w:numId="5" w16cid:durableId="1816486302">
    <w:abstractNumId w:val="12"/>
  </w:num>
  <w:num w:numId="6" w16cid:durableId="823013637">
    <w:abstractNumId w:val="10"/>
  </w:num>
  <w:num w:numId="7" w16cid:durableId="493178912">
    <w:abstractNumId w:val="8"/>
  </w:num>
  <w:num w:numId="8" w16cid:durableId="1833331241">
    <w:abstractNumId w:val="7"/>
  </w:num>
  <w:num w:numId="9" w16cid:durableId="1218971663">
    <w:abstractNumId w:val="2"/>
  </w:num>
  <w:num w:numId="10" w16cid:durableId="1015034881">
    <w:abstractNumId w:val="6"/>
  </w:num>
  <w:num w:numId="11" w16cid:durableId="1705518649">
    <w:abstractNumId w:val="15"/>
  </w:num>
  <w:num w:numId="12" w16cid:durableId="83037110">
    <w:abstractNumId w:val="16"/>
  </w:num>
  <w:num w:numId="13" w16cid:durableId="594093961">
    <w:abstractNumId w:val="1"/>
  </w:num>
  <w:num w:numId="14" w16cid:durableId="1136531039">
    <w:abstractNumId w:val="19"/>
  </w:num>
  <w:num w:numId="15" w16cid:durableId="812337002">
    <w:abstractNumId w:val="4"/>
  </w:num>
  <w:num w:numId="16" w16cid:durableId="662511457">
    <w:abstractNumId w:val="17"/>
  </w:num>
  <w:num w:numId="17" w16cid:durableId="1218664384">
    <w:abstractNumId w:val="9"/>
  </w:num>
  <w:num w:numId="18" w16cid:durableId="98259294">
    <w:abstractNumId w:val="20"/>
  </w:num>
  <w:num w:numId="19" w16cid:durableId="1479571523">
    <w:abstractNumId w:val="14"/>
  </w:num>
  <w:num w:numId="20" w16cid:durableId="1211189326">
    <w:abstractNumId w:val="18"/>
  </w:num>
  <w:num w:numId="21" w16cid:durableId="64107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xMzO3NDMxNTK0MDNT0lEKTi0uzszPAykwrAUAv+udbiwAAAA="/>
  </w:docVars>
  <w:rsids>
    <w:rsidRoot w:val="00ED572F"/>
    <w:rsid w:val="00002871"/>
    <w:rsid w:val="00010E9B"/>
    <w:rsid w:val="00015F65"/>
    <w:rsid w:val="0001757D"/>
    <w:rsid w:val="00033C33"/>
    <w:rsid w:val="0003785D"/>
    <w:rsid w:val="00037CE3"/>
    <w:rsid w:val="00044942"/>
    <w:rsid w:val="00044E04"/>
    <w:rsid w:val="000452B9"/>
    <w:rsid w:val="00051788"/>
    <w:rsid w:val="00074514"/>
    <w:rsid w:val="000920AA"/>
    <w:rsid w:val="000963C3"/>
    <w:rsid w:val="000A71A3"/>
    <w:rsid w:val="000B4653"/>
    <w:rsid w:val="000B5132"/>
    <w:rsid w:val="000B7589"/>
    <w:rsid w:val="000C0673"/>
    <w:rsid w:val="000C25C5"/>
    <w:rsid w:val="000C2EB4"/>
    <w:rsid w:val="000C651A"/>
    <w:rsid w:val="000E39F1"/>
    <w:rsid w:val="000F055D"/>
    <w:rsid w:val="000F38A2"/>
    <w:rsid w:val="00100766"/>
    <w:rsid w:val="00101A4B"/>
    <w:rsid w:val="001021FB"/>
    <w:rsid w:val="00112775"/>
    <w:rsid w:val="00117D06"/>
    <w:rsid w:val="00126BEB"/>
    <w:rsid w:val="001438DA"/>
    <w:rsid w:val="00145871"/>
    <w:rsid w:val="00172656"/>
    <w:rsid w:val="001819D4"/>
    <w:rsid w:val="00182545"/>
    <w:rsid w:val="001848AC"/>
    <w:rsid w:val="001900B7"/>
    <w:rsid w:val="0019115C"/>
    <w:rsid w:val="00197B97"/>
    <w:rsid w:val="001A1DAE"/>
    <w:rsid w:val="001A1EF2"/>
    <w:rsid w:val="001A27C0"/>
    <w:rsid w:val="001A4FD9"/>
    <w:rsid w:val="001C2523"/>
    <w:rsid w:val="001C3D43"/>
    <w:rsid w:val="001C4EAA"/>
    <w:rsid w:val="001C55A1"/>
    <w:rsid w:val="001E4247"/>
    <w:rsid w:val="001E7005"/>
    <w:rsid w:val="001F2FFF"/>
    <w:rsid w:val="00201FE7"/>
    <w:rsid w:val="0020451B"/>
    <w:rsid w:val="00221462"/>
    <w:rsid w:val="00226DF2"/>
    <w:rsid w:val="002317C8"/>
    <w:rsid w:val="00234252"/>
    <w:rsid w:val="00246213"/>
    <w:rsid w:val="00246B9A"/>
    <w:rsid w:val="00247A2C"/>
    <w:rsid w:val="0025111F"/>
    <w:rsid w:val="002554D0"/>
    <w:rsid w:val="00284288"/>
    <w:rsid w:val="00287F8C"/>
    <w:rsid w:val="002A0FAB"/>
    <w:rsid w:val="002A46EC"/>
    <w:rsid w:val="002A626D"/>
    <w:rsid w:val="002B3074"/>
    <w:rsid w:val="002D1EF2"/>
    <w:rsid w:val="002D5D86"/>
    <w:rsid w:val="002E2DE2"/>
    <w:rsid w:val="002E4266"/>
    <w:rsid w:val="002F728B"/>
    <w:rsid w:val="00303BB7"/>
    <w:rsid w:val="00322C6D"/>
    <w:rsid w:val="00327B28"/>
    <w:rsid w:val="00335DDD"/>
    <w:rsid w:val="00344B49"/>
    <w:rsid w:val="0036673C"/>
    <w:rsid w:val="003775A3"/>
    <w:rsid w:val="0038057D"/>
    <w:rsid w:val="00382EA7"/>
    <w:rsid w:val="00382FAC"/>
    <w:rsid w:val="00386205"/>
    <w:rsid w:val="00390BD2"/>
    <w:rsid w:val="00392135"/>
    <w:rsid w:val="003A6D81"/>
    <w:rsid w:val="003B4507"/>
    <w:rsid w:val="003B6026"/>
    <w:rsid w:val="003C3EF0"/>
    <w:rsid w:val="003C4613"/>
    <w:rsid w:val="003C69B1"/>
    <w:rsid w:val="003D5F39"/>
    <w:rsid w:val="003E255E"/>
    <w:rsid w:val="003E45BC"/>
    <w:rsid w:val="003F3C12"/>
    <w:rsid w:val="003F594D"/>
    <w:rsid w:val="00406F48"/>
    <w:rsid w:val="004104C1"/>
    <w:rsid w:val="00410903"/>
    <w:rsid w:val="00427654"/>
    <w:rsid w:val="00436708"/>
    <w:rsid w:val="0044741B"/>
    <w:rsid w:val="004475C7"/>
    <w:rsid w:val="00452A8E"/>
    <w:rsid w:val="0046095F"/>
    <w:rsid w:val="004668A3"/>
    <w:rsid w:val="0047264B"/>
    <w:rsid w:val="00473585"/>
    <w:rsid w:val="00482C86"/>
    <w:rsid w:val="00482EBB"/>
    <w:rsid w:val="004847FE"/>
    <w:rsid w:val="004848B1"/>
    <w:rsid w:val="004920C3"/>
    <w:rsid w:val="00494269"/>
    <w:rsid w:val="00496843"/>
    <w:rsid w:val="004C63A4"/>
    <w:rsid w:val="004D0BE8"/>
    <w:rsid w:val="004D3289"/>
    <w:rsid w:val="004D79F1"/>
    <w:rsid w:val="004E4499"/>
    <w:rsid w:val="004E452A"/>
    <w:rsid w:val="004E54D7"/>
    <w:rsid w:val="004E6C47"/>
    <w:rsid w:val="004F7651"/>
    <w:rsid w:val="004F7688"/>
    <w:rsid w:val="00513D0D"/>
    <w:rsid w:val="00514DD5"/>
    <w:rsid w:val="00517C44"/>
    <w:rsid w:val="0052169D"/>
    <w:rsid w:val="005308C8"/>
    <w:rsid w:val="0054044D"/>
    <w:rsid w:val="00544B2A"/>
    <w:rsid w:val="0054566A"/>
    <w:rsid w:val="0054652D"/>
    <w:rsid w:val="005478AC"/>
    <w:rsid w:val="00552765"/>
    <w:rsid w:val="00555D68"/>
    <w:rsid w:val="0056412E"/>
    <w:rsid w:val="0057637C"/>
    <w:rsid w:val="00585DCF"/>
    <w:rsid w:val="00587E65"/>
    <w:rsid w:val="00590820"/>
    <w:rsid w:val="005936CA"/>
    <w:rsid w:val="005A4524"/>
    <w:rsid w:val="005A7FC8"/>
    <w:rsid w:val="005B7D7D"/>
    <w:rsid w:val="005D166D"/>
    <w:rsid w:val="005D2742"/>
    <w:rsid w:val="005D78F6"/>
    <w:rsid w:val="005E0473"/>
    <w:rsid w:val="005E2762"/>
    <w:rsid w:val="005E4881"/>
    <w:rsid w:val="00602B12"/>
    <w:rsid w:val="00615E01"/>
    <w:rsid w:val="00620F3B"/>
    <w:rsid w:val="00624C88"/>
    <w:rsid w:val="0062538A"/>
    <w:rsid w:val="00641EC0"/>
    <w:rsid w:val="00643CB2"/>
    <w:rsid w:val="0065609D"/>
    <w:rsid w:val="006645D0"/>
    <w:rsid w:val="006666AC"/>
    <w:rsid w:val="006729E9"/>
    <w:rsid w:val="00681740"/>
    <w:rsid w:val="00682510"/>
    <w:rsid w:val="0068652A"/>
    <w:rsid w:val="00691299"/>
    <w:rsid w:val="006A781C"/>
    <w:rsid w:val="006B53E4"/>
    <w:rsid w:val="006C0CBF"/>
    <w:rsid w:val="006D2A5B"/>
    <w:rsid w:val="006D3F7E"/>
    <w:rsid w:val="006D72D2"/>
    <w:rsid w:val="006D77FF"/>
    <w:rsid w:val="006F09F8"/>
    <w:rsid w:val="006F114E"/>
    <w:rsid w:val="00700A73"/>
    <w:rsid w:val="00704511"/>
    <w:rsid w:val="00711A87"/>
    <w:rsid w:val="00714DCD"/>
    <w:rsid w:val="0071597F"/>
    <w:rsid w:val="00722754"/>
    <w:rsid w:val="00722BF4"/>
    <w:rsid w:val="00724071"/>
    <w:rsid w:val="0073390C"/>
    <w:rsid w:val="007352D1"/>
    <w:rsid w:val="007368E6"/>
    <w:rsid w:val="0076062B"/>
    <w:rsid w:val="00785F7E"/>
    <w:rsid w:val="00796860"/>
    <w:rsid w:val="007A2F36"/>
    <w:rsid w:val="007A4A3B"/>
    <w:rsid w:val="007A55EE"/>
    <w:rsid w:val="007B2784"/>
    <w:rsid w:val="007C088D"/>
    <w:rsid w:val="007C2BE3"/>
    <w:rsid w:val="007C742B"/>
    <w:rsid w:val="007C7CFE"/>
    <w:rsid w:val="007D2057"/>
    <w:rsid w:val="007E4FBD"/>
    <w:rsid w:val="00800471"/>
    <w:rsid w:val="008044CC"/>
    <w:rsid w:val="00804853"/>
    <w:rsid w:val="00806675"/>
    <w:rsid w:val="00813690"/>
    <w:rsid w:val="00836016"/>
    <w:rsid w:val="00844906"/>
    <w:rsid w:val="008449E9"/>
    <w:rsid w:val="00845AFA"/>
    <w:rsid w:val="00846707"/>
    <w:rsid w:val="00853420"/>
    <w:rsid w:val="00864FA7"/>
    <w:rsid w:val="00884566"/>
    <w:rsid w:val="00892548"/>
    <w:rsid w:val="008A57B1"/>
    <w:rsid w:val="008B01EE"/>
    <w:rsid w:val="008B2796"/>
    <w:rsid w:val="008B67BB"/>
    <w:rsid w:val="008C2E5D"/>
    <w:rsid w:val="008C469D"/>
    <w:rsid w:val="008E1F14"/>
    <w:rsid w:val="008E31D6"/>
    <w:rsid w:val="008E37D8"/>
    <w:rsid w:val="008F6D2F"/>
    <w:rsid w:val="008F7F17"/>
    <w:rsid w:val="00922F45"/>
    <w:rsid w:val="00933367"/>
    <w:rsid w:val="0094295C"/>
    <w:rsid w:val="00943F3B"/>
    <w:rsid w:val="00944CDC"/>
    <w:rsid w:val="009457FC"/>
    <w:rsid w:val="0096123E"/>
    <w:rsid w:val="00961680"/>
    <w:rsid w:val="00967F66"/>
    <w:rsid w:val="00987AE3"/>
    <w:rsid w:val="0099154E"/>
    <w:rsid w:val="00997125"/>
    <w:rsid w:val="009A2238"/>
    <w:rsid w:val="009A23B4"/>
    <w:rsid w:val="009B1227"/>
    <w:rsid w:val="009B2CAF"/>
    <w:rsid w:val="009B711D"/>
    <w:rsid w:val="009C1C8B"/>
    <w:rsid w:val="009C3BC8"/>
    <w:rsid w:val="009C4156"/>
    <w:rsid w:val="009C4768"/>
    <w:rsid w:val="009D052C"/>
    <w:rsid w:val="009E195C"/>
    <w:rsid w:val="009E2A48"/>
    <w:rsid w:val="009F0F5F"/>
    <w:rsid w:val="00A00DDD"/>
    <w:rsid w:val="00A16D45"/>
    <w:rsid w:val="00A17D41"/>
    <w:rsid w:val="00A22D33"/>
    <w:rsid w:val="00A344AC"/>
    <w:rsid w:val="00A407E5"/>
    <w:rsid w:val="00A540AA"/>
    <w:rsid w:val="00A6209D"/>
    <w:rsid w:val="00A7062A"/>
    <w:rsid w:val="00A76F4F"/>
    <w:rsid w:val="00A807FC"/>
    <w:rsid w:val="00A81E84"/>
    <w:rsid w:val="00A8575E"/>
    <w:rsid w:val="00A8772D"/>
    <w:rsid w:val="00A91947"/>
    <w:rsid w:val="00A9645A"/>
    <w:rsid w:val="00AA607A"/>
    <w:rsid w:val="00AB1FD8"/>
    <w:rsid w:val="00AB2758"/>
    <w:rsid w:val="00AB5405"/>
    <w:rsid w:val="00AD27CD"/>
    <w:rsid w:val="00AD3D54"/>
    <w:rsid w:val="00AE0418"/>
    <w:rsid w:val="00AF4BF5"/>
    <w:rsid w:val="00AF6C0F"/>
    <w:rsid w:val="00B00A42"/>
    <w:rsid w:val="00B02CA6"/>
    <w:rsid w:val="00B1302C"/>
    <w:rsid w:val="00B17661"/>
    <w:rsid w:val="00B267A7"/>
    <w:rsid w:val="00B274A3"/>
    <w:rsid w:val="00B27CA2"/>
    <w:rsid w:val="00B30759"/>
    <w:rsid w:val="00B34BF7"/>
    <w:rsid w:val="00B35D2E"/>
    <w:rsid w:val="00B407E6"/>
    <w:rsid w:val="00B41D06"/>
    <w:rsid w:val="00B44C4B"/>
    <w:rsid w:val="00B67B7E"/>
    <w:rsid w:val="00B730B0"/>
    <w:rsid w:val="00B767A8"/>
    <w:rsid w:val="00B86CF6"/>
    <w:rsid w:val="00B90733"/>
    <w:rsid w:val="00B9249A"/>
    <w:rsid w:val="00B93B75"/>
    <w:rsid w:val="00B96F29"/>
    <w:rsid w:val="00BB01CC"/>
    <w:rsid w:val="00BB1A9F"/>
    <w:rsid w:val="00BB5351"/>
    <w:rsid w:val="00BB6F45"/>
    <w:rsid w:val="00BC5B7B"/>
    <w:rsid w:val="00BE758B"/>
    <w:rsid w:val="00BF1058"/>
    <w:rsid w:val="00BF62D4"/>
    <w:rsid w:val="00BF7C10"/>
    <w:rsid w:val="00C07066"/>
    <w:rsid w:val="00C16219"/>
    <w:rsid w:val="00C16603"/>
    <w:rsid w:val="00C201BA"/>
    <w:rsid w:val="00C242EA"/>
    <w:rsid w:val="00C24D3D"/>
    <w:rsid w:val="00C35042"/>
    <w:rsid w:val="00C46A9E"/>
    <w:rsid w:val="00C5310E"/>
    <w:rsid w:val="00C55146"/>
    <w:rsid w:val="00C57FA5"/>
    <w:rsid w:val="00C61CCF"/>
    <w:rsid w:val="00C649D6"/>
    <w:rsid w:val="00C824EE"/>
    <w:rsid w:val="00C916F5"/>
    <w:rsid w:val="00C93DE6"/>
    <w:rsid w:val="00C97F70"/>
    <w:rsid w:val="00CA4588"/>
    <w:rsid w:val="00CB1EA7"/>
    <w:rsid w:val="00CC710E"/>
    <w:rsid w:val="00CD0A40"/>
    <w:rsid w:val="00CD1A04"/>
    <w:rsid w:val="00CD4A30"/>
    <w:rsid w:val="00CD4B3D"/>
    <w:rsid w:val="00CD5E67"/>
    <w:rsid w:val="00CE0517"/>
    <w:rsid w:val="00CE200E"/>
    <w:rsid w:val="00CE2494"/>
    <w:rsid w:val="00CE6390"/>
    <w:rsid w:val="00CE651C"/>
    <w:rsid w:val="00CE71BD"/>
    <w:rsid w:val="00CF395B"/>
    <w:rsid w:val="00CF4EA0"/>
    <w:rsid w:val="00D0271C"/>
    <w:rsid w:val="00D029BE"/>
    <w:rsid w:val="00D106AB"/>
    <w:rsid w:val="00D123BF"/>
    <w:rsid w:val="00D163B5"/>
    <w:rsid w:val="00D21859"/>
    <w:rsid w:val="00D223AA"/>
    <w:rsid w:val="00D430A4"/>
    <w:rsid w:val="00D53AFA"/>
    <w:rsid w:val="00D66002"/>
    <w:rsid w:val="00D74992"/>
    <w:rsid w:val="00D85766"/>
    <w:rsid w:val="00D94D68"/>
    <w:rsid w:val="00D966E4"/>
    <w:rsid w:val="00D97F73"/>
    <w:rsid w:val="00D97F7B"/>
    <w:rsid w:val="00DA44AC"/>
    <w:rsid w:val="00DB3B72"/>
    <w:rsid w:val="00DC13A5"/>
    <w:rsid w:val="00DC2AF1"/>
    <w:rsid w:val="00DC5924"/>
    <w:rsid w:val="00DE67C1"/>
    <w:rsid w:val="00DF1DBB"/>
    <w:rsid w:val="00DF5D33"/>
    <w:rsid w:val="00E0214F"/>
    <w:rsid w:val="00E0583B"/>
    <w:rsid w:val="00E130E1"/>
    <w:rsid w:val="00E22BC6"/>
    <w:rsid w:val="00E2341E"/>
    <w:rsid w:val="00E33628"/>
    <w:rsid w:val="00E429A5"/>
    <w:rsid w:val="00E44D96"/>
    <w:rsid w:val="00E4546F"/>
    <w:rsid w:val="00E500DF"/>
    <w:rsid w:val="00E5042D"/>
    <w:rsid w:val="00E61BA0"/>
    <w:rsid w:val="00E63DB5"/>
    <w:rsid w:val="00E65E90"/>
    <w:rsid w:val="00E75212"/>
    <w:rsid w:val="00E817BA"/>
    <w:rsid w:val="00E82BBB"/>
    <w:rsid w:val="00E866FF"/>
    <w:rsid w:val="00E93B94"/>
    <w:rsid w:val="00E96210"/>
    <w:rsid w:val="00EB2282"/>
    <w:rsid w:val="00EB2C55"/>
    <w:rsid w:val="00EB315B"/>
    <w:rsid w:val="00EB32E5"/>
    <w:rsid w:val="00EB4AF3"/>
    <w:rsid w:val="00EB4EB1"/>
    <w:rsid w:val="00EB580B"/>
    <w:rsid w:val="00EC3712"/>
    <w:rsid w:val="00EC3E01"/>
    <w:rsid w:val="00EC7D08"/>
    <w:rsid w:val="00ED3C80"/>
    <w:rsid w:val="00ED572F"/>
    <w:rsid w:val="00EF5A52"/>
    <w:rsid w:val="00EF673F"/>
    <w:rsid w:val="00F005A0"/>
    <w:rsid w:val="00F0095D"/>
    <w:rsid w:val="00F05D98"/>
    <w:rsid w:val="00F07D0F"/>
    <w:rsid w:val="00F10CE9"/>
    <w:rsid w:val="00F3217C"/>
    <w:rsid w:val="00F34DDE"/>
    <w:rsid w:val="00F421B5"/>
    <w:rsid w:val="00F44A9B"/>
    <w:rsid w:val="00F44F82"/>
    <w:rsid w:val="00F47881"/>
    <w:rsid w:val="00F50786"/>
    <w:rsid w:val="00F511DD"/>
    <w:rsid w:val="00F52C35"/>
    <w:rsid w:val="00F52E59"/>
    <w:rsid w:val="00F60883"/>
    <w:rsid w:val="00F6137D"/>
    <w:rsid w:val="00F73943"/>
    <w:rsid w:val="00F73EE7"/>
    <w:rsid w:val="00F76363"/>
    <w:rsid w:val="00F7735F"/>
    <w:rsid w:val="00F830B1"/>
    <w:rsid w:val="00F87457"/>
    <w:rsid w:val="00F93ECB"/>
    <w:rsid w:val="00F964E5"/>
    <w:rsid w:val="00FA6B7E"/>
    <w:rsid w:val="00FA78C3"/>
    <w:rsid w:val="00FB1574"/>
    <w:rsid w:val="00FC0B45"/>
    <w:rsid w:val="00FC1AA1"/>
    <w:rsid w:val="00FC3BD6"/>
    <w:rsid w:val="00FC55C0"/>
    <w:rsid w:val="00FC7E3B"/>
    <w:rsid w:val="00FD1BEA"/>
    <w:rsid w:val="00FD57D4"/>
    <w:rsid w:val="00FD57F5"/>
    <w:rsid w:val="00FE47FB"/>
    <w:rsid w:val="00FE48DA"/>
    <w:rsid w:val="00FE718F"/>
    <w:rsid w:val="00FF1EBD"/>
    <w:rsid w:val="00FF57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4680F7"/>
  <w15:docId w15:val="{0D123CAD-A891-472F-9A0C-E0D875B2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071"/>
    <w:pPr>
      <w:spacing w:line="360" w:lineRule="auto"/>
    </w:pPr>
    <w:rPr>
      <w:rFonts w:ascii="Times New Roman" w:hAnsi="Times New Roman"/>
    </w:rPr>
  </w:style>
  <w:style w:type="paragraph" w:styleId="Heading1">
    <w:name w:val="heading 1"/>
    <w:basedOn w:val="Normal"/>
    <w:next w:val="Normal"/>
    <w:link w:val="Heading1Char"/>
    <w:uiPriority w:val="9"/>
    <w:qFormat/>
    <w:rsid w:val="004E452A"/>
    <w:pPr>
      <w:keepNext/>
      <w:keepLines/>
      <w:spacing w:before="360" w:after="80"/>
      <w:outlineLvl w:val="0"/>
    </w:pPr>
    <w:rPr>
      <w:rFonts w:ascii="Arial" w:eastAsiaTheme="majorEastAsia" w:hAnsi="Arial" w:cstheme="majorBidi"/>
      <w:sz w:val="40"/>
      <w:szCs w:val="40"/>
    </w:rPr>
  </w:style>
  <w:style w:type="paragraph" w:styleId="Heading2">
    <w:name w:val="heading 2"/>
    <w:basedOn w:val="Normal"/>
    <w:next w:val="Normal"/>
    <w:link w:val="Heading2Char"/>
    <w:uiPriority w:val="9"/>
    <w:unhideWhenUsed/>
    <w:qFormat/>
    <w:rsid w:val="004E452A"/>
    <w:pPr>
      <w:keepNext/>
      <w:keepLines/>
      <w:spacing w:before="160" w:after="80"/>
      <w:outlineLvl w:val="1"/>
    </w:pPr>
    <w:rPr>
      <w:rFonts w:ascii="Arial" w:eastAsiaTheme="majorEastAsia" w:hAnsi="Arial" w:cstheme="majorBidi"/>
      <w:sz w:val="32"/>
      <w:szCs w:val="32"/>
    </w:rPr>
  </w:style>
  <w:style w:type="paragraph" w:styleId="Heading3">
    <w:name w:val="heading 3"/>
    <w:basedOn w:val="Normal"/>
    <w:next w:val="Normal"/>
    <w:link w:val="Heading3Char"/>
    <w:uiPriority w:val="9"/>
    <w:unhideWhenUsed/>
    <w:qFormat/>
    <w:rsid w:val="004E452A"/>
    <w:pPr>
      <w:keepNext/>
      <w:keepLines/>
      <w:spacing w:before="160" w:after="80"/>
      <w:outlineLvl w:val="2"/>
    </w:pPr>
    <w:rPr>
      <w:rFonts w:ascii="Arial" w:eastAsiaTheme="majorEastAsia" w:hAnsi="Arial" w:cstheme="majorBidi"/>
      <w:sz w:val="28"/>
      <w:szCs w:val="28"/>
    </w:rPr>
  </w:style>
  <w:style w:type="paragraph" w:styleId="Heading4">
    <w:name w:val="heading 4"/>
    <w:basedOn w:val="Normal"/>
    <w:next w:val="Normal"/>
    <w:link w:val="Heading4Char"/>
    <w:uiPriority w:val="9"/>
    <w:unhideWhenUsed/>
    <w:qFormat/>
    <w:rsid w:val="00ED5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52A"/>
    <w:rPr>
      <w:rFonts w:ascii="Arial" w:eastAsiaTheme="majorEastAsia" w:hAnsi="Arial" w:cstheme="majorBidi"/>
      <w:sz w:val="40"/>
      <w:szCs w:val="40"/>
    </w:rPr>
  </w:style>
  <w:style w:type="character" w:customStyle="1" w:styleId="Heading2Char">
    <w:name w:val="Heading 2 Char"/>
    <w:basedOn w:val="DefaultParagraphFont"/>
    <w:link w:val="Heading2"/>
    <w:uiPriority w:val="9"/>
    <w:rsid w:val="004E452A"/>
    <w:rPr>
      <w:rFonts w:ascii="Arial" w:eastAsiaTheme="majorEastAsia" w:hAnsi="Arial" w:cstheme="majorBidi"/>
      <w:sz w:val="32"/>
      <w:szCs w:val="32"/>
    </w:rPr>
  </w:style>
  <w:style w:type="character" w:customStyle="1" w:styleId="Heading3Char">
    <w:name w:val="Heading 3 Char"/>
    <w:basedOn w:val="DefaultParagraphFont"/>
    <w:link w:val="Heading3"/>
    <w:uiPriority w:val="9"/>
    <w:rsid w:val="004E452A"/>
    <w:rPr>
      <w:rFonts w:ascii="Arial" w:eastAsiaTheme="majorEastAsia" w:hAnsi="Arial" w:cstheme="majorBidi"/>
      <w:sz w:val="28"/>
      <w:szCs w:val="28"/>
    </w:rPr>
  </w:style>
  <w:style w:type="character" w:customStyle="1" w:styleId="Heading4Char">
    <w:name w:val="Heading 4 Char"/>
    <w:basedOn w:val="DefaultParagraphFont"/>
    <w:link w:val="Heading4"/>
    <w:uiPriority w:val="9"/>
    <w:rsid w:val="00ED5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72F"/>
    <w:rPr>
      <w:rFonts w:eastAsiaTheme="majorEastAsia" w:cstheme="majorBidi"/>
      <w:color w:val="272727" w:themeColor="text1" w:themeTint="D8"/>
    </w:rPr>
  </w:style>
  <w:style w:type="paragraph" w:styleId="Title">
    <w:name w:val="Title"/>
    <w:basedOn w:val="Normal"/>
    <w:next w:val="Normal"/>
    <w:link w:val="TitleChar"/>
    <w:uiPriority w:val="10"/>
    <w:qFormat/>
    <w:rsid w:val="00ED5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72F"/>
    <w:pPr>
      <w:spacing w:before="160"/>
      <w:jc w:val="center"/>
    </w:pPr>
    <w:rPr>
      <w:i/>
      <w:iCs/>
      <w:color w:val="404040" w:themeColor="text1" w:themeTint="BF"/>
    </w:rPr>
  </w:style>
  <w:style w:type="character" w:customStyle="1" w:styleId="QuoteChar">
    <w:name w:val="Quote Char"/>
    <w:basedOn w:val="DefaultParagraphFont"/>
    <w:link w:val="Quote"/>
    <w:uiPriority w:val="29"/>
    <w:rsid w:val="00ED572F"/>
    <w:rPr>
      <w:i/>
      <w:iCs/>
      <w:color w:val="404040" w:themeColor="text1" w:themeTint="BF"/>
    </w:rPr>
  </w:style>
  <w:style w:type="paragraph" w:styleId="ListParagraph">
    <w:name w:val="List Paragraph"/>
    <w:basedOn w:val="Normal"/>
    <w:uiPriority w:val="34"/>
    <w:qFormat/>
    <w:rsid w:val="00ED572F"/>
    <w:pPr>
      <w:ind w:left="720"/>
      <w:contextualSpacing/>
    </w:pPr>
  </w:style>
  <w:style w:type="character" w:styleId="IntenseEmphasis">
    <w:name w:val="Intense Emphasis"/>
    <w:basedOn w:val="DefaultParagraphFont"/>
    <w:uiPriority w:val="21"/>
    <w:qFormat/>
    <w:rsid w:val="00ED572F"/>
    <w:rPr>
      <w:i/>
      <w:iCs/>
      <w:color w:val="0F4761" w:themeColor="accent1" w:themeShade="BF"/>
    </w:rPr>
  </w:style>
  <w:style w:type="paragraph" w:styleId="IntenseQuote">
    <w:name w:val="Intense Quote"/>
    <w:basedOn w:val="Normal"/>
    <w:next w:val="Normal"/>
    <w:link w:val="IntenseQuoteChar"/>
    <w:uiPriority w:val="30"/>
    <w:qFormat/>
    <w:rsid w:val="00ED5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72F"/>
    <w:rPr>
      <w:i/>
      <w:iCs/>
      <w:color w:val="0F4761" w:themeColor="accent1" w:themeShade="BF"/>
    </w:rPr>
  </w:style>
  <w:style w:type="character" w:styleId="IntenseReference">
    <w:name w:val="Intense Reference"/>
    <w:basedOn w:val="DefaultParagraphFont"/>
    <w:uiPriority w:val="32"/>
    <w:qFormat/>
    <w:rsid w:val="00ED572F"/>
    <w:rPr>
      <w:b/>
      <w:bCs/>
      <w:smallCaps/>
      <w:color w:val="0F4761" w:themeColor="accent1" w:themeShade="BF"/>
      <w:spacing w:val="5"/>
    </w:rPr>
  </w:style>
  <w:style w:type="paragraph" w:styleId="BalloonText">
    <w:name w:val="Balloon Text"/>
    <w:basedOn w:val="Normal"/>
    <w:link w:val="BalloonTextChar"/>
    <w:uiPriority w:val="99"/>
    <w:semiHidden/>
    <w:unhideWhenUsed/>
    <w:rsid w:val="00ED57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72F"/>
    <w:rPr>
      <w:rFonts w:ascii="Segoe UI" w:hAnsi="Segoe UI" w:cs="Segoe UI"/>
      <w:sz w:val="18"/>
      <w:szCs w:val="18"/>
    </w:rPr>
  </w:style>
  <w:style w:type="character" w:styleId="BookTitle">
    <w:name w:val="Book Title"/>
    <w:basedOn w:val="DefaultParagraphFont"/>
    <w:uiPriority w:val="33"/>
    <w:qFormat/>
    <w:rsid w:val="00ED572F"/>
    <w:rPr>
      <w:b/>
      <w:bCs/>
      <w:i/>
      <w:iCs/>
      <w:spacing w:val="5"/>
    </w:rPr>
  </w:style>
  <w:style w:type="paragraph" w:styleId="Caption">
    <w:name w:val="caption"/>
    <w:basedOn w:val="Normal"/>
    <w:next w:val="Normal"/>
    <w:uiPriority w:val="35"/>
    <w:qFormat/>
    <w:rsid w:val="00ED572F"/>
    <w:pPr>
      <w:keepNext/>
      <w:spacing w:before="240" w:after="60" w:line="240" w:lineRule="auto"/>
    </w:pPr>
    <w:rPr>
      <w:b/>
      <w:iCs/>
      <w:szCs w:val="18"/>
    </w:rPr>
  </w:style>
  <w:style w:type="character" w:styleId="CommentReference">
    <w:name w:val="annotation reference"/>
    <w:basedOn w:val="DefaultParagraphFont"/>
    <w:uiPriority w:val="99"/>
    <w:semiHidden/>
    <w:unhideWhenUsed/>
    <w:rsid w:val="00ED572F"/>
    <w:rPr>
      <w:sz w:val="16"/>
      <w:szCs w:val="16"/>
    </w:rPr>
  </w:style>
  <w:style w:type="paragraph" w:styleId="CommentText">
    <w:name w:val="annotation text"/>
    <w:basedOn w:val="Normal"/>
    <w:link w:val="CommentTextChar"/>
    <w:uiPriority w:val="99"/>
    <w:unhideWhenUsed/>
    <w:rsid w:val="00ED572F"/>
    <w:pPr>
      <w:spacing w:line="240" w:lineRule="auto"/>
    </w:pPr>
    <w:rPr>
      <w:sz w:val="20"/>
      <w:szCs w:val="20"/>
    </w:rPr>
  </w:style>
  <w:style w:type="character" w:customStyle="1" w:styleId="CommentTextChar">
    <w:name w:val="Comment Text Char"/>
    <w:basedOn w:val="DefaultParagraphFont"/>
    <w:link w:val="CommentText"/>
    <w:uiPriority w:val="99"/>
    <w:rsid w:val="00ED572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D572F"/>
    <w:rPr>
      <w:b/>
      <w:bCs/>
    </w:rPr>
  </w:style>
  <w:style w:type="character" w:customStyle="1" w:styleId="CommentSubjectChar">
    <w:name w:val="Comment Subject Char"/>
    <w:basedOn w:val="CommentTextChar"/>
    <w:link w:val="CommentSubject"/>
    <w:uiPriority w:val="99"/>
    <w:semiHidden/>
    <w:rsid w:val="00ED572F"/>
    <w:rPr>
      <w:rFonts w:ascii="Times New Roman" w:hAnsi="Times New Roman"/>
      <w:b/>
      <w:bCs/>
      <w:sz w:val="20"/>
      <w:szCs w:val="20"/>
    </w:rPr>
  </w:style>
  <w:style w:type="character" w:styleId="Emphasis">
    <w:name w:val="Emphasis"/>
    <w:basedOn w:val="DefaultParagraphFont"/>
    <w:uiPriority w:val="20"/>
    <w:qFormat/>
    <w:rsid w:val="00ED572F"/>
    <w:rPr>
      <w:i/>
      <w:iCs/>
      <w:color w:val="auto"/>
    </w:rPr>
  </w:style>
  <w:style w:type="character" w:styleId="Hyperlink">
    <w:name w:val="Hyperlink"/>
    <w:basedOn w:val="DefaultParagraphFont"/>
    <w:uiPriority w:val="99"/>
    <w:unhideWhenUsed/>
    <w:rsid w:val="00ED572F"/>
    <w:rPr>
      <w:color w:val="467886" w:themeColor="hyperlink"/>
      <w:u w:val="single"/>
    </w:rPr>
  </w:style>
  <w:style w:type="paragraph" w:styleId="ListBullet">
    <w:name w:val="List Bullet"/>
    <w:basedOn w:val="Normal"/>
    <w:uiPriority w:val="99"/>
    <w:qFormat/>
    <w:rsid w:val="00ED572F"/>
    <w:pPr>
      <w:numPr>
        <w:numId w:val="1"/>
      </w:numPr>
      <w:spacing w:after="120"/>
      <w:contextualSpacing/>
    </w:pPr>
  </w:style>
  <w:style w:type="paragraph" w:styleId="ListNumber">
    <w:name w:val="List Number"/>
    <w:basedOn w:val="Normal"/>
    <w:uiPriority w:val="99"/>
    <w:qFormat/>
    <w:rsid w:val="00ED572F"/>
    <w:pPr>
      <w:tabs>
        <w:tab w:val="num" w:pos="360"/>
      </w:tabs>
      <w:spacing w:after="120"/>
      <w:ind w:left="360" w:hanging="360"/>
      <w:contextualSpacing/>
    </w:pPr>
  </w:style>
  <w:style w:type="paragraph" w:styleId="NoSpacing">
    <w:name w:val="No Spacing"/>
    <w:link w:val="NoSpacingChar"/>
    <w:uiPriority w:val="1"/>
    <w:qFormat/>
    <w:rsid w:val="00ED572F"/>
    <w:pPr>
      <w:spacing w:after="0" w:line="240" w:lineRule="auto"/>
    </w:pPr>
    <w:rPr>
      <w:rFonts w:ascii="Times New Roman" w:eastAsiaTheme="minorEastAsia" w:hAnsi="Times New Roman"/>
      <w:kern w:val="0"/>
      <w14:ligatures w14:val="none"/>
    </w:rPr>
  </w:style>
  <w:style w:type="character" w:customStyle="1" w:styleId="NoSpacingChar">
    <w:name w:val="No Spacing Char"/>
    <w:basedOn w:val="DefaultParagraphFont"/>
    <w:link w:val="NoSpacing"/>
    <w:uiPriority w:val="1"/>
    <w:rsid w:val="00ED572F"/>
    <w:rPr>
      <w:rFonts w:ascii="Times New Roman" w:eastAsiaTheme="minorEastAsia" w:hAnsi="Times New Roman"/>
      <w:kern w:val="0"/>
      <w14:ligatures w14:val="none"/>
    </w:rPr>
  </w:style>
  <w:style w:type="character" w:styleId="Strong">
    <w:name w:val="Strong"/>
    <w:basedOn w:val="DefaultParagraphFont"/>
    <w:uiPriority w:val="22"/>
    <w:qFormat/>
    <w:rsid w:val="00ED572F"/>
    <w:rPr>
      <w:b/>
      <w:bCs/>
      <w:color w:val="auto"/>
    </w:rPr>
  </w:style>
  <w:style w:type="character" w:styleId="SubtleEmphasis">
    <w:name w:val="Subtle Emphasis"/>
    <w:basedOn w:val="DefaultParagraphFont"/>
    <w:uiPriority w:val="19"/>
    <w:qFormat/>
    <w:rsid w:val="00ED572F"/>
    <w:rPr>
      <w:i/>
      <w:iCs/>
      <w:color w:val="404040" w:themeColor="text1" w:themeTint="BF"/>
    </w:rPr>
  </w:style>
  <w:style w:type="character" w:styleId="SubtleReference">
    <w:name w:val="Subtle Reference"/>
    <w:basedOn w:val="DefaultParagraphFont"/>
    <w:uiPriority w:val="31"/>
    <w:qFormat/>
    <w:rsid w:val="00ED572F"/>
    <w:rPr>
      <w:smallCaps/>
      <w:color w:val="404040" w:themeColor="text1" w:themeTint="BF"/>
    </w:rPr>
  </w:style>
  <w:style w:type="table" w:styleId="TableGrid">
    <w:name w:val="Table Grid"/>
    <w:basedOn w:val="TableNormal"/>
    <w:uiPriority w:val="39"/>
    <w:rsid w:val="00ED572F"/>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ED572F"/>
    <w:pPr>
      <w:spacing w:after="120" w:line="240" w:lineRule="auto"/>
    </w:pPr>
  </w:style>
  <w:style w:type="paragraph" w:styleId="TOCHeading">
    <w:name w:val="TOC Heading"/>
    <w:next w:val="Normal"/>
    <w:uiPriority w:val="39"/>
    <w:semiHidden/>
    <w:unhideWhenUsed/>
    <w:qFormat/>
    <w:rsid w:val="00ED572F"/>
    <w:pPr>
      <w:jc w:val="center"/>
    </w:pPr>
    <w:rPr>
      <w:rFonts w:ascii="Arial" w:eastAsiaTheme="minorEastAsia" w:hAnsi="Arial"/>
      <w:b/>
      <w:kern w:val="0"/>
      <w:sz w:val="32"/>
      <w14:ligatures w14:val="none"/>
    </w:rPr>
  </w:style>
  <w:style w:type="paragraph" w:customStyle="1" w:styleId="UnlinkedHeading4">
    <w:name w:val="Unlinked Heading 4"/>
    <w:qFormat/>
    <w:rsid w:val="00ED572F"/>
    <w:rPr>
      <w:rFonts w:ascii="Arial" w:eastAsiaTheme="majorEastAsia" w:hAnsi="Arial" w:cstheme="majorBidi"/>
      <w:i/>
      <w:iCs/>
      <w:color w:val="404040" w:themeColor="text1" w:themeTint="BF"/>
      <w:kern w:val="0"/>
      <w14:ligatures w14:val="none"/>
    </w:rPr>
  </w:style>
  <w:style w:type="character" w:customStyle="1" w:styleId="highlight">
    <w:name w:val="highlight"/>
    <w:basedOn w:val="DefaultParagraphFont"/>
    <w:rsid w:val="00ED572F"/>
  </w:style>
  <w:style w:type="table" w:customStyle="1" w:styleId="ListTable31">
    <w:name w:val="List Table 31"/>
    <w:basedOn w:val="TableNormal"/>
    <w:uiPriority w:val="48"/>
    <w:rsid w:val="00ED572F"/>
    <w:pPr>
      <w:spacing w:after="0" w:line="240" w:lineRule="auto"/>
    </w:pPr>
    <w:rPr>
      <w:rFonts w:eastAsiaTheme="minorEastAsia"/>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2">
    <w:name w:val="List Table 32"/>
    <w:basedOn w:val="TableNormal"/>
    <w:uiPriority w:val="48"/>
    <w:rsid w:val="00ED572F"/>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ED572F"/>
    <w:pPr>
      <w:spacing w:after="0" w:line="240" w:lineRule="auto"/>
    </w:pPr>
    <w:rPr>
      <w:rFonts w:ascii="Times New Roman" w:eastAsiaTheme="minorEastAsia" w:hAnsi="Times New Roman"/>
      <w:kern w:val="0"/>
      <w:sz w:val="24"/>
      <w14:ligatures w14:val="none"/>
    </w:rPr>
  </w:style>
  <w:style w:type="character" w:customStyle="1" w:styleId="UnresolvedMention1">
    <w:name w:val="Unresolved Mention1"/>
    <w:basedOn w:val="DefaultParagraphFont"/>
    <w:uiPriority w:val="99"/>
    <w:semiHidden/>
    <w:unhideWhenUsed/>
    <w:rsid w:val="00ED572F"/>
    <w:rPr>
      <w:color w:val="605E5C"/>
      <w:shd w:val="clear" w:color="auto" w:fill="E1DFDD"/>
    </w:rPr>
  </w:style>
  <w:style w:type="table" w:customStyle="1" w:styleId="ListTable311">
    <w:name w:val="List Table 311"/>
    <w:basedOn w:val="TableNormal"/>
    <w:uiPriority w:val="48"/>
    <w:rsid w:val="00ED572F"/>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rmalWeb">
    <w:name w:val="Normal (Web)"/>
    <w:basedOn w:val="Normal"/>
    <w:uiPriority w:val="99"/>
    <w:unhideWhenUsed/>
    <w:rsid w:val="00ED572F"/>
    <w:pPr>
      <w:spacing w:before="100" w:beforeAutospacing="1" w:after="100" w:afterAutospacing="1" w:line="240" w:lineRule="auto"/>
    </w:pPr>
    <w:rPr>
      <w:rFonts w:ascii="Times" w:hAnsi="Times" w:cs="Times New Roman"/>
      <w:sz w:val="20"/>
      <w:szCs w:val="20"/>
    </w:rPr>
  </w:style>
  <w:style w:type="character" w:customStyle="1" w:styleId="hgkelc">
    <w:name w:val="hgkelc"/>
    <w:basedOn w:val="DefaultParagraphFont"/>
    <w:rsid w:val="00ED572F"/>
  </w:style>
  <w:style w:type="paragraph" w:customStyle="1" w:styleId="EndNoteBibliographyTitle">
    <w:name w:val="EndNote Bibliography Title"/>
    <w:basedOn w:val="Normal"/>
    <w:link w:val="EndNoteBibliographyTitleChar"/>
    <w:rsid w:val="00ED572F"/>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ED572F"/>
    <w:rPr>
      <w:rFonts w:ascii="Times New Roman" w:hAnsi="Times New Roman" w:cs="Times New Roman"/>
      <w:noProof/>
      <w:lang w:val="en-US"/>
    </w:rPr>
  </w:style>
  <w:style w:type="paragraph" w:customStyle="1" w:styleId="EndNoteBibliography">
    <w:name w:val="EndNote Bibliography"/>
    <w:basedOn w:val="Normal"/>
    <w:link w:val="EndNoteBibliographyChar"/>
    <w:rsid w:val="00ED572F"/>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ED572F"/>
    <w:rPr>
      <w:rFonts w:ascii="Times New Roman" w:hAnsi="Times New Roman" w:cs="Times New Roman"/>
      <w:noProof/>
      <w:lang w:val="en-US"/>
    </w:rPr>
  </w:style>
  <w:style w:type="paragraph" w:customStyle="1" w:styleId="pf0">
    <w:name w:val="pf0"/>
    <w:basedOn w:val="Normal"/>
    <w:rsid w:val="00ED572F"/>
    <w:pPr>
      <w:spacing w:before="100" w:beforeAutospacing="1" w:after="100" w:afterAutospacing="1" w:line="240" w:lineRule="auto"/>
    </w:pPr>
    <w:rPr>
      <w:rFonts w:eastAsia="Times New Roman" w:cs="Times New Roman"/>
      <w:szCs w:val="24"/>
      <w:lang w:eastAsia="en-GB"/>
    </w:rPr>
  </w:style>
  <w:style w:type="character" w:customStyle="1" w:styleId="cf01">
    <w:name w:val="cf01"/>
    <w:basedOn w:val="DefaultParagraphFont"/>
    <w:rsid w:val="00ED572F"/>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ED572F"/>
    <w:rPr>
      <w:color w:val="605E5C"/>
      <w:shd w:val="clear" w:color="auto" w:fill="E1DFDD"/>
    </w:rPr>
  </w:style>
  <w:style w:type="character" w:styleId="PlaceholderText">
    <w:name w:val="Placeholder Text"/>
    <w:basedOn w:val="DefaultParagraphFont"/>
    <w:uiPriority w:val="99"/>
    <w:semiHidden/>
    <w:rsid w:val="00ED572F"/>
    <w:rPr>
      <w:color w:val="808080"/>
    </w:rPr>
  </w:style>
  <w:style w:type="table" w:customStyle="1" w:styleId="ListTable33">
    <w:name w:val="List Table 33"/>
    <w:basedOn w:val="TableNormal"/>
    <w:uiPriority w:val="48"/>
    <w:rsid w:val="00ED572F"/>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ibliography">
    <w:name w:val="Bibliography"/>
    <w:basedOn w:val="Normal"/>
    <w:next w:val="Normal"/>
    <w:uiPriority w:val="37"/>
    <w:unhideWhenUsed/>
    <w:rsid w:val="00ED572F"/>
    <w:pPr>
      <w:tabs>
        <w:tab w:val="left" w:pos="384"/>
      </w:tabs>
      <w:spacing w:after="240" w:line="240" w:lineRule="auto"/>
      <w:ind w:left="384" w:hanging="384"/>
    </w:pPr>
  </w:style>
  <w:style w:type="character" w:styleId="FollowedHyperlink">
    <w:name w:val="FollowedHyperlink"/>
    <w:basedOn w:val="DefaultParagraphFont"/>
    <w:uiPriority w:val="99"/>
    <w:semiHidden/>
    <w:unhideWhenUsed/>
    <w:rsid w:val="00ED572F"/>
    <w:rPr>
      <w:color w:val="96607D" w:themeColor="followedHyperlink"/>
      <w:u w:val="single"/>
    </w:rPr>
  </w:style>
  <w:style w:type="character" w:styleId="UnresolvedMention">
    <w:name w:val="Unresolved Mention"/>
    <w:basedOn w:val="DefaultParagraphFont"/>
    <w:uiPriority w:val="99"/>
    <w:semiHidden/>
    <w:unhideWhenUsed/>
    <w:rsid w:val="001021FB"/>
    <w:rPr>
      <w:color w:val="605E5C"/>
      <w:shd w:val="clear" w:color="auto" w:fill="E1DFDD"/>
    </w:rPr>
  </w:style>
  <w:style w:type="character" w:styleId="LineNumber">
    <w:name w:val="line number"/>
    <w:basedOn w:val="DefaultParagraphFont"/>
    <w:uiPriority w:val="99"/>
    <w:semiHidden/>
    <w:unhideWhenUsed/>
    <w:rsid w:val="00997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7717">
      <w:bodyDiv w:val="1"/>
      <w:marLeft w:val="0"/>
      <w:marRight w:val="0"/>
      <w:marTop w:val="0"/>
      <w:marBottom w:val="0"/>
      <w:divBdr>
        <w:top w:val="none" w:sz="0" w:space="0" w:color="auto"/>
        <w:left w:val="none" w:sz="0" w:space="0" w:color="auto"/>
        <w:bottom w:val="none" w:sz="0" w:space="0" w:color="auto"/>
        <w:right w:val="none" w:sz="0" w:space="0" w:color="auto"/>
      </w:divBdr>
      <w:divsChild>
        <w:div w:id="1988053589">
          <w:marLeft w:val="0"/>
          <w:marRight w:val="0"/>
          <w:marTop w:val="0"/>
          <w:marBottom w:val="0"/>
          <w:divBdr>
            <w:top w:val="none" w:sz="0" w:space="0" w:color="auto"/>
            <w:left w:val="none" w:sz="0" w:space="0" w:color="auto"/>
            <w:bottom w:val="none" w:sz="0" w:space="0" w:color="auto"/>
            <w:right w:val="none" w:sz="0" w:space="0" w:color="auto"/>
          </w:divBdr>
          <w:divsChild>
            <w:div w:id="477383164">
              <w:marLeft w:val="0"/>
              <w:marRight w:val="0"/>
              <w:marTop w:val="0"/>
              <w:marBottom w:val="0"/>
              <w:divBdr>
                <w:top w:val="none" w:sz="0" w:space="0" w:color="auto"/>
                <w:left w:val="none" w:sz="0" w:space="0" w:color="auto"/>
                <w:bottom w:val="none" w:sz="0" w:space="0" w:color="auto"/>
                <w:right w:val="none" w:sz="0" w:space="0" w:color="auto"/>
              </w:divBdr>
            </w:div>
          </w:divsChild>
        </w:div>
        <w:div w:id="1496652280">
          <w:marLeft w:val="0"/>
          <w:marRight w:val="0"/>
          <w:marTop w:val="0"/>
          <w:marBottom w:val="0"/>
          <w:divBdr>
            <w:top w:val="none" w:sz="0" w:space="0" w:color="auto"/>
            <w:left w:val="none" w:sz="0" w:space="0" w:color="auto"/>
            <w:bottom w:val="none" w:sz="0" w:space="0" w:color="auto"/>
            <w:right w:val="none" w:sz="0" w:space="0" w:color="auto"/>
          </w:divBdr>
          <w:divsChild>
            <w:div w:id="944000017">
              <w:marLeft w:val="0"/>
              <w:marRight w:val="0"/>
              <w:marTop w:val="0"/>
              <w:marBottom w:val="0"/>
              <w:divBdr>
                <w:top w:val="none" w:sz="0" w:space="0" w:color="auto"/>
                <w:left w:val="none" w:sz="0" w:space="0" w:color="auto"/>
                <w:bottom w:val="none" w:sz="0" w:space="0" w:color="auto"/>
                <w:right w:val="none" w:sz="0" w:space="0" w:color="auto"/>
              </w:divBdr>
            </w:div>
          </w:divsChild>
        </w:div>
        <w:div w:id="634523715">
          <w:marLeft w:val="0"/>
          <w:marRight w:val="0"/>
          <w:marTop w:val="0"/>
          <w:marBottom w:val="0"/>
          <w:divBdr>
            <w:top w:val="none" w:sz="0" w:space="0" w:color="auto"/>
            <w:left w:val="none" w:sz="0" w:space="0" w:color="auto"/>
            <w:bottom w:val="none" w:sz="0" w:space="0" w:color="auto"/>
            <w:right w:val="none" w:sz="0" w:space="0" w:color="auto"/>
          </w:divBdr>
          <w:divsChild>
            <w:div w:id="1601060586">
              <w:marLeft w:val="0"/>
              <w:marRight w:val="0"/>
              <w:marTop w:val="0"/>
              <w:marBottom w:val="0"/>
              <w:divBdr>
                <w:top w:val="none" w:sz="0" w:space="0" w:color="auto"/>
                <w:left w:val="none" w:sz="0" w:space="0" w:color="auto"/>
                <w:bottom w:val="none" w:sz="0" w:space="0" w:color="auto"/>
                <w:right w:val="none" w:sz="0" w:space="0" w:color="auto"/>
              </w:divBdr>
            </w:div>
          </w:divsChild>
        </w:div>
        <w:div w:id="1375082866">
          <w:marLeft w:val="0"/>
          <w:marRight w:val="0"/>
          <w:marTop w:val="0"/>
          <w:marBottom w:val="0"/>
          <w:divBdr>
            <w:top w:val="none" w:sz="0" w:space="0" w:color="auto"/>
            <w:left w:val="none" w:sz="0" w:space="0" w:color="auto"/>
            <w:bottom w:val="none" w:sz="0" w:space="0" w:color="auto"/>
            <w:right w:val="none" w:sz="0" w:space="0" w:color="auto"/>
          </w:divBdr>
          <w:divsChild>
            <w:div w:id="156390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155">
      <w:bodyDiv w:val="1"/>
      <w:marLeft w:val="0"/>
      <w:marRight w:val="0"/>
      <w:marTop w:val="0"/>
      <w:marBottom w:val="0"/>
      <w:divBdr>
        <w:top w:val="none" w:sz="0" w:space="0" w:color="auto"/>
        <w:left w:val="none" w:sz="0" w:space="0" w:color="auto"/>
        <w:bottom w:val="none" w:sz="0" w:space="0" w:color="auto"/>
        <w:right w:val="none" w:sz="0" w:space="0" w:color="auto"/>
      </w:divBdr>
      <w:divsChild>
        <w:div w:id="1980916446">
          <w:marLeft w:val="0"/>
          <w:marRight w:val="0"/>
          <w:marTop w:val="0"/>
          <w:marBottom w:val="0"/>
          <w:divBdr>
            <w:top w:val="none" w:sz="0" w:space="0" w:color="auto"/>
            <w:left w:val="none" w:sz="0" w:space="0" w:color="auto"/>
            <w:bottom w:val="none" w:sz="0" w:space="0" w:color="auto"/>
            <w:right w:val="none" w:sz="0" w:space="0" w:color="auto"/>
          </w:divBdr>
          <w:divsChild>
            <w:div w:id="1048721558">
              <w:marLeft w:val="0"/>
              <w:marRight w:val="0"/>
              <w:marTop w:val="0"/>
              <w:marBottom w:val="0"/>
              <w:divBdr>
                <w:top w:val="none" w:sz="0" w:space="0" w:color="auto"/>
                <w:left w:val="none" w:sz="0" w:space="0" w:color="auto"/>
                <w:bottom w:val="none" w:sz="0" w:space="0" w:color="auto"/>
                <w:right w:val="none" w:sz="0" w:space="0" w:color="auto"/>
              </w:divBdr>
              <w:divsChild>
                <w:div w:id="617300735">
                  <w:marLeft w:val="0"/>
                  <w:marRight w:val="0"/>
                  <w:marTop w:val="0"/>
                  <w:marBottom w:val="0"/>
                  <w:divBdr>
                    <w:top w:val="none" w:sz="0" w:space="0" w:color="auto"/>
                    <w:left w:val="none" w:sz="0" w:space="0" w:color="auto"/>
                    <w:bottom w:val="none" w:sz="0" w:space="0" w:color="auto"/>
                    <w:right w:val="none" w:sz="0" w:space="0" w:color="auto"/>
                  </w:divBdr>
                  <w:divsChild>
                    <w:div w:id="10791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829867">
      <w:bodyDiv w:val="1"/>
      <w:marLeft w:val="0"/>
      <w:marRight w:val="0"/>
      <w:marTop w:val="0"/>
      <w:marBottom w:val="0"/>
      <w:divBdr>
        <w:top w:val="none" w:sz="0" w:space="0" w:color="auto"/>
        <w:left w:val="none" w:sz="0" w:space="0" w:color="auto"/>
        <w:bottom w:val="none" w:sz="0" w:space="0" w:color="auto"/>
        <w:right w:val="none" w:sz="0" w:space="0" w:color="auto"/>
      </w:divBdr>
    </w:div>
    <w:div w:id="403719455">
      <w:bodyDiv w:val="1"/>
      <w:marLeft w:val="0"/>
      <w:marRight w:val="0"/>
      <w:marTop w:val="0"/>
      <w:marBottom w:val="0"/>
      <w:divBdr>
        <w:top w:val="none" w:sz="0" w:space="0" w:color="auto"/>
        <w:left w:val="none" w:sz="0" w:space="0" w:color="auto"/>
        <w:bottom w:val="none" w:sz="0" w:space="0" w:color="auto"/>
        <w:right w:val="none" w:sz="0" w:space="0" w:color="auto"/>
      </w:divBdr>
    </w:div>
    <w:div w:id="569468077">
      <w:bodyDiv w:val="1"/>
      <w:marLeft w:val="0"/>
      <w:marRight w:val="0"/>
      <w:marTop w:val="0"/>
      <w:marBottom w:val="0"/>
      <w:divBdr>
        <w:top w:val="none" w:sz="0" w:space="0" w:color="auto"/>
        <w:left w:val="none" w:sz="0" w:space="0" w:color="auto"/>
        <w:bottom w:val="none" w:sz="0" w:space="0" w:color="auto"/>
        <w:right w:val="none" w:sz="0" w:space="0" w:color="auto"/>
      </w:divBdr>
    </w:div>
    <w:div w:id="716664079">
      <w:bodyDiv w:val="1"/>
      <w:marLeft w:val="0"/>
      <w:marRight w:val="0"/>
      <w:marTop w:val="0"/>
      <w:marBottom w:val="0"/>
      <w:divBdr>
        <w:top w:val="none" w:sz="0" w:space="0" w:color="auto"/>
        <w:left w:val="none" w:sz="0" w:space="0" w:color="auto"/>
        <w:bottom w:val="none" w:sz="0" w:space="0" w:color="auto"/>
        <w:right w:val="none" w:sz="0" w:space="0" w:color="auto"/>
      </w:divBdr>
      <w:divsChild>
        <w:div w:id="334840566">
          <w:marLeft w:val="0"/>
          <w:marRight w:val="0"/>
          <w:marTop w:val="0"/>
          <w:marBottom w:val="0"/>
          <w:divBdr>
            <w:top w:val="none" w:sz="0" w:space="0" w:color="auto"/>
            <w:left w:val="none" w:sz="0" w:space="0" w:color="auto"/>
            <w:bottom w:val="none" w:sz="0" w:space="0" w:color="auto"/>
            <w:right w:val="none" w:sz="0" w:space="0" w:color="auto"/>
          </w:divBdr>
          <w:divsChild>
            <w:div w:id="902453204">
              <w:marLeft w:val="0"/>
              <w:marRight w:val="0"/>
              <w:marTop w:val="0"/>
              <w:marBottom w:val="0"/>
              <w:divBdr>
                <w:top w:val="none" w:sz="0" w:space="0" w:color="auto"/>
                <w:left w:val="none" w:sz="0" w:space="0" w:color="auto"/>
                <w:bottom w:val="none" w:sz="0" w:space="0" w:color="auto"/>
                <w:right w:val="none" w:sz="0" w:space="0" w:color="auto"/>
              </w:divBdr>
            </w:div>
          </w:divsChild>
        </w:div>
        <w:div w:id="1783381818">
          <w:marLeft w:val="0"/>
          <w:marRight w:val="0"/>
          <w:marTop w:val="0"/>
          <w:marBottom w:val="0"/>
          <w:divBdr>
            <w:top w:val="none" w:sz="0" w:space="0" w:color="auto"/>
            <w:left w:val="none" w:sz="0" w:space="0" w:color="auto"/>
            <w:bottom w:val="none" w:sz="0" w:space="0" w:color="auto"/>
            <w:right w:val="none" w:sz="0" w:space="0" w:color="auto"/>
          </w:divBdr>
          <w:divsChild>
            <w:div w:id="1919557804">
              <w:marLeft w:val="0"/>
              <w:marRight w:val="0"/>
              <w:marTop w:val="0"/>
              <w:marBottom w:val="0"/>
              <w:divBdr>
                <w:top w:val="none" w:sz="0" w:space="0" w:color="auto"/>
                <w:left w:val="none" w:sz="0" w:space="0" w:color="auto"/>
                <w:bottom w:val="none" w:sz="0" w:space="0" w:color="auto"/>
                <w:right w:val="none" w:sz="0" w:space="0" w:color="auto"/>
              </w:divBdr>
            </w:div>
          </w:divsChild>
        </w:div>
        <w:div w:id="1379090241">
          <w:marLeft w:val="0"/>
          <w:marRight w:val="0"/>
          <w:marTop w:val="0"/>
          <w:marBottom w:val="0"/>
          <w:divBdr>
            <w:top w:val="none" w:sz="0" w:space="0" w:color="auto"/>
            <w:left w:val="none" w:sz="0" w:space="0" w:color="auto"/>
            <w:bottom w:val="none" w:sz="0" w:space="0" w:color="auto"/>
            <w:right w:val="none" w:sz="0" w:space="0" w:color="auto"/>
          </w:divBdr>
          <w:divsChild>
            <w:div w:id="786705179">
              <w:marLeft w:val="0"/>
              <w:marRight w:val="0"/>
              <w:marTop w:val="0"/>
              <w:marBottom w:val="0"/>
              <w:divBdr>
                <w:top w:val="none" w:sz="0" w:space="0" w:color="auto"/>
                <w:left w:val="none" w:sz="0" w:space="0" w:color="auto"/>
                <w:bottom w:val="none" w:sz="0" w:space="0" w:color="auto"/>
                <w:right w:val="none" w:sz="0" w:space="0" w:color="auto"/>
              </w:divBdr>
            </w:div>
          </w:divsChild>
        </w:div>
        <w:div w:id="38863040">
          <w:marLeft w:val="0"/>
          <w:marRight w:val="0"/>
          <w:marTop w:val="0"/>
          <w:marBottom w:val="0"/>
          <w:divBdr>
            <w:top w:val="none" w:sz="0" w:space="0" w:color="auto"/>
            <w:left w:val="none" w:sz="0" w:space="0" w:color="auto"/>
            <w:bottom w:val="none" w:sz="0" w:space="0" w:color="auto"/>
            <w:right w:val="none" w:sz="0" w:space="0" w:color="auto"/>
          </w:divBdr>
          <w:divsChild>
            <w:div w:id="6977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2619">
      <w:bodyDiv w:val="1"/>
      <w:marLeft w:val="0"/>
      <w:marRight w:val="0"/>
      <w:marTop w:val="0"/>
      <w:marBottom w:val="0"/>
      <w:divBdr>
        <w:top w:val="none" w:sz="0" w:space="0" w:color="auto"/>
        <w:left w:val="none" w:sz="0" w:space="0" w:color="auto"/>
        <w:bottom w:val="none" w:sz="0" w:space="0" w:color="auto"/>
        <w:right w:val="none" w:sz="0" w:space="0" w:color="auto"/>
      </w:divBdr>
      <w:divsChild>
        <w:div w:id="759570689">
          <w:marLeft w:val="0"/>
          <w:marRight w:val="0"/>
          <w:marTop w:val="0"/>
          <w:marBottom w:val="0"/>
          <w:divBdr>
            <w:top w:val="none" w:sz="0" w:space="0" w:color="auto"/>
            <w:left w:val="none" w:sz="0" w:space="0" w:color="auto"/>
            <w:bottom w:val="none" w:sz="0" w:space="0" w:color="auto"/>
            <w:right w:val="none" w:sz="0" w:space="0" w:color="auto"/>
          </w:divBdr>
          <w:divsChild>
            <w:div w:id="910192265">
              <w:marLeft w:val="0"/>
              <w:marRight w:val="0"/>
              <w:marTop w:val="0"/>
              <w:marBottom w:val="0"/>
              <w:divBdr>
                <w:top w:val="none" w:sz="0" w:space="0" w:color="auto"/>
                <w:left w:val="none" w:sz="0" w:space="0" w:color="auto"/>
                <w:bottom w:val="none" w:sz="0" w:space="0" w:color="auto"/>
                <w:right w:val="none" w:sz="0" w:space="0" w:color="auto"/>
              </w:divBdr>
              <w:divsChild>
                <w:div w:id="618754988">
                  <w:marLeft w:val="0"/>
                  <w:marRight w:val="0"/>
                  <w:marTop w:val="0"/>
                  <w:marBottom w:val="0"/>
                  <w:divBdr>
                    <w:top w:val="none" w:sz="0" w:space="0" w:color="auto"/>
                    <w:left w:val="none" w:sz="0" w:space="0" w:color="auto"/>
                    <w:bottom w:val="none" w:sz="0" w:space="0" w:color="auto"/>
                    <w:right w:val="none" w:sz="0" w:space="0" w:color="auto"/>
                  </w:divBdr>
                  <w:divsChild>
                    <w:div w:id="13208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426961">
      <w:bodyDiv w:val="1"/>
      <w:marLeft w:val="0"/>
      <w:marRight w:val="0"/>
      <w:marTop w:val="0"/>
      <w:marBottom w:val="0"/>
      <w:divBdr>
        <w:top w:val="none" w:sz="0" w:space="0" w:color="auto"/>
        <w:left w:val="none" w:sz="0" w:space="0" w:color="auto"/>
        <w:bottom w:val="none" w:sz="0" w:space="0" w:color="auto"/>
        <w:right w:val="none" w:sz="0" w:space="0" w:color="auto"/>
      </w:divBdr>
    </w:div>
    <w:div w:id="1064062094">
      <w:bodyDiv w:val="1"/>
      <w:marLeft w:val="0"/>
      <w:marRight w:val="0"/>
      <w:marTop w:val="0"/>
      <w:marBottom w:val="0"/>
      <w:divBdr>
        <w:top w:val="none" w:sz="0" w:space="0" w:color="auto"/>
        <w:left w:val="none" w:sz="0" w:space="0" w:color="auto"/>
        <w:bottom w:val="none" w:sz="0" w:space="0" w:color="auto"/>
        <w:right w:val="none" w:sz="0" w:space="0" w:color="auto"/>
      </w:divBdr>
    </w:div>
    <w:div w:id="1132477538">
      <w:bodyDiv w:val="1"/>
      <w:marLeft w:val="0"/>
      <w:marRight w:val="0"/>
      <w:marTop w:val="0"/>
      <w:marBottom w:val="0"/>
      <w:divBdr>
        <w:top w:val="none" w:sz="0" w:space="0" w:color="auto"/>
        <w:left w:val="none" w:sz="0" w:space="0" w:color="auto"/>
        <w:bottom w:val="none" w:sz="0" w:space="0" w:color="auto"/>
        <w:right w:val="none" w:sz="0" w:space="0" w:color="auto"/>
      </w:divBdr>
    </w:div>
    <w:div w:id="1356078845">
      <w:bodyDiv w:val="1"/>
      <w:marLeft w:val="0"/>
      <w:marRight w:val="0"/>
      <w:marTop w:val="0"/>
      <w:marBottom w:val="0"/>
      <w:divBdr>
        <w:top w:val="none" w:sz="0" w:space="0" w:color="auto"/>
        <w:left w:val="none" w:sz="0" w:space="0" w:color="auto"/>
        <w:bottom w:val="none" w:sz="0" w:space="0" w:color="auto"/>
        <w:right w:val="none" w:sz="0" w:space="0" w:color="auto"/>
      </w:divBdr>
      <w:divsChild>
        <w:div w:id="279803080">
          <w:marLeft w:val="0"/>
          <w:marRight w:val="0"/>
          <w:marTop w:val="0"/>
          <w:marBottom w:val="0"/>
          <w:divBdr>
            <w:top w:val="none" w:sz="0" w:space="0" w:color="auto"/>
            <w:left w:val="none" w:sz="0" w:space="0" w:color="auto"/>
            <w:bottom w:val="none" w:sz="0" w:space="0" w:color="auto"/>
            <w:right w:val="none" w:sz="0" w:space="0" w:color="auto"/>
          </w:divBdr>
          <w:divsChild>
            <w:div w:id="1536890004">
              <w:marLeft w:val="0"/>
              <w:marRight w:val="0"/>
              <w:marTop w:val="0"/>
              <w:marBottom w:val="0"/>
              <w:divBdr>
                <w:top w:val="none" w:sz="0" w:space="0" w:color="auto"/>
                <w:left w:val="none" w:sz="0" w:space="0" w:color="auto"/>
                <w:bottom w:val="none" w:sz="0" w:space="0" w:color="auto"/>
                <w:right w:val="none" w:sz="0" w:space="0" w:color="auto"/>
              </w:divBdr>
              <w:divsChild>
                <w:div w:id="1428187449">
                  <w:marLeft w:val="0"/>
                  <w:marRight w:val="0"/>
                  <w:marTop w:val="0"/>
                  <w:marBottom w:val="0"/>
                  <w:divBdr>
                    <w:top w:val="none" w:sz="0" w:space="0" w:color="auto"/>
                    <w:left w:val="none" w:sz="0" w:space="0" w:color="auto"/>
                    <w:bottom w:val="none" w:sz="0" w:space="0" w:color="auto"/>
                    <w:right w:val="none" w:sz="0" w:space="0" w:color="auto"/>
                  </w:divBdr>
                  <w:divsChild>
                    <w:div w:id="3612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10260">
      <w:bodyDiv w:val="1"/>
      <w:marLeft w:val="0"/>
      <w:marRight w:val="0"/>
      <w:marTop w:val="0"/>
      <w:marBottom w:val="0"/>
      <w:divBdr>
        <w:top w:val="none" w:sz="0" w:space="0" w:color="auto"/>
        <w:left w:val="none" w:sz="0" w:space="0" w:color="auto"/>
        <w:bottom w:val="none" w:sz="0" w:space="0" w:color="auto"/>
        <w:right w:val="none" w:sz="0" w:space="0" w:color="auto"/>
      </w:divBdr>
    </w:div>
    <w:div w:id="1448239559">
      <w:bodyDiv w:val="1"/>
      <w:marLeft w:val="0"/>
      <w:marRight w:val="0"/>
      <w:marTop w:val="0"/>
      <w:marBottom w:val="0"/>
      <w:divBdr>
        <w:top w:val="none" w:sz="0" w:space="0" w:color="auto"/>
        <w:left w:val="none" w:sz="0" w:space="0" w:color="auto"/>
        <w:bottom w:val="none" w:sz="0" w:space="0" w:color="auto"/>
        <w:right w:val="none" w:sz="0" w:space="0" w:color="auto"/>
      </w:divBdr>
      <w:divsChild>
        <w:div w:id="1889299146">
          <w:marLeft w:val="0"/>
          <w:marRight w:val="0"/>
          <w:marTop w:val="0"/>
          <w:marBottom w:val="0"/>
          <w:divBdr>
            <w:top w:val="none" w:sz="0" w:space="0" w:color="auto"/>
            <w:left w:val="none" w:sz="0" w:space="0" w:color="auto"/>
            <w:bottom w:val="none" w:sz="0" w:space="0" w:color="auto"/>
            <w:right w:val="none" w:sz="0" w:space="0" w:color="auto"/>
          </w:divBdr>
          <w:divsChild>
            <w:div w:id="609356754">
              <w:marLeft w:val="0"/>
              <w:marRight w:val="0"/>
              <w:marTop w:val="0"/>
              <w:marBottom w:val="0"/>
              <w:divBdr>
                <w:top w:val="none" w:sz="0" w:space="0" w:color="auto"/>
                <w:left w:val="none" w:sz="0" w:space="0" w:color="auto"/>
                <w:bottom w:val="none" w:sz="0" w:space="0" w:color="auto"/>
                <w:right w:val="none" w:sz="0" w:space="0" w:color="auto"/>
              </w:divBdr>
            </w:div>
          </w:divsChild>
        </w:div>
        <w:div w:id="1484354756">
          <w:marLeft w:val="0"/>
          <w:marRight w:val="0"/>
          <w:marTop w:val="0"/>
          <w:marBottom w:val="0"/>
          <w:divBdr>
            <w:top w:val="none" w:sz="0" w:space="0" w:color="auto"/>
            <w:left w:val="none" w:sz="0" w:space="0" w:color="auto"/>
            <w:bottom w:val="none" w:sz="0" w:space="0" w:color="auto"/>
            <w:right w:val="none" w:sz="0" w:space="0" w:color="auto"/>
          </w:divBdr>
          <w:divsChild>
            <w:div w:id="1648167722">
              <w:marLeft w:val="0"/>
              <w:marRight w:val="0"/>
              <w:marTop w:val="0"/>
              <w:marBottom w:val="0"/>
              <w:divBdr>
                <w:top w:val="none" w:sz="0" w:space="0" w:color="auto"/>
                <w:left w:val="none" w:sz="0" w:space="0" w:color="auto"/>
                <w:bottom w:val="none" w:sz="0" w:space="0" w:color="auto"/>
                <w:right w:val="none" w:sz="0" w:space="0" w:color="auto"/>
              </w:divBdr>
            </w:div>
          </w:divsChild>
        </w:div>
        <w:div w:id="1302690586">
          <w:marLeft w:val="0"/>
          <w:marRight w:val="0"/>
          <w:marTop w:val="0"/>
          <w:marBottom w:val="0"/>
          <w:divBdr>
            <w:top w:val="none" w:sz="0" w:space="0" w:color="auto"/>
            <w:left w:val="none" w:sz="0" w:space="0" w:color="auto"/>
            <w:bottom w:val="none" w:sz="0" w:space="0" w:color="auto"/>
            <w:right w:val="none" w:sz="0" w:space="0" w:color="auto"/>
          </w:divBdr>
          <w:divsChild>
            <w:div w:id="822821057">
              <w:marLeft w:val="0"/>
              <w:marRight w:val="0"/>
              <w:marTop w:val="0"/>
              <w:marBottom w:val="0"/>
              <w:divBdr>
                <w:top w:val="none" w:sz="0" w:space="0" w:color="auto"/>
                <w:left w:val="none" w:sz="0" w:space="0" w:color="auto"/>
                <w:bottom w:val="none" w:sz="0" w:space="0" w:color="auto"/>
                <w:right w:val="none" w:sz="0" w:space="0" w:color="auto"/>
              </w:divBdr>
            </w:div>
          </w:divsChild>
        </w:div>
        <w:div w:id="458114243">
          <w:marLeft w:val="0"/>
          <w:marRight w:val="0"/>
          <w:marTop w:val="0"/>
          <w:marBottom w:val="0"/>
          <w:divBdr>
            <w:top w:val="none" w:sz="0" w:space="0" w:color="auto"/>
            <w:left w:val="none" w:sz="0" w:space="0" w:color="auto"/>
            <w:bottom w:val="none" w:sz="0" w:space="0" w:color="auto"/>
            <w:right w:val="none" w:sz="0" w:space="0" w:color="auto"/>
          </w:divBdr>
          <w:divsChild>
            <w:div w:id="13001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2555">
      <w:bodyDiv w:val="1"/>
      <w:marLeft w:val="0"/>
      <w:marRight w:val="0"/>
      <w:marTop w:val="0"/>
      <w:marBottom w:val="0"/>
      <w:divBdr>
        <w:top w:val="none" w:sz="0" w:space="0" w:color="auto"/>
        <w:left w:val="none" w:sz="0" w:space="0" w:color="auto"/>
        <w:bottom w:val="none" w:sz="0" w:space="0" w:color="auto"/>
        <w:right w:val="none" w:sz="0" w:space="0" w:color="auto"/>
      </w:divBdr>
    </w:div>
    <w:div w:id="1656031492">
      <w:bodyDiv w:val="1"/>
      <w:marLeft w:val="0"/>
      <w:marRight w:val="0"/>
      <w:marTop w:val="0"/>
      <w:marBottom w:val="0"/>
      <w:divBdr>
        <w:top w:val="none" w:sz="0" w:space="0" w:color="auto"/>
        <w:left w:val="none" w:sz="0" w:space="0" w:color="auto"/>
        <w:bottom w:val="none" w:sz="0" w:space="0" w:color="auto"/>
        <w:right w:val="none" w:sz="0" w:space="0" w:color="auto"/>
      </w:divBdr>
    </w:div>
    <w:div w:id="1879849520">
      <w:bodyDiv w:val="1"/>
      <w:marLeft w:val="0"/>
      <w:marRight w:val="0"/>
      <w:marTop w:val="0"/>
      <w:marBottom w:val="0"/>
      <w:divBdr>
        <w:top w:val="none" w:sz="0" w:space="0" w:color="auto"/>
        <w:left w:val="none" w:sz="0" w:space="0" w:color="auto"/>
        <w:bottom w:val="none" w:sz="0" w:space="0" w:color="auto"/>
        <w:right w:val="none" w:sz="0" w:space="0" w:color="auto"/>
      </w:divBdr>
    </w:div>
    <w:div w:id="2118788574">
      <w:bodyDiv w:val="1"/>
      <w:marLeft w:val="0"/>
      <w:marRight w:val="0"/>
      <w:marTop w:val="0"/>
      <w:marBottom w:val="0"/>
      <w:divBdr>
        <w:top w:val="none" w:sz="0" w:space="0" w:color="auto"/>
        <w:left w:val="none" w:sz="0" w:space="0" w:color="auto"/>
        <w:bottom w:val="none" w:sz="0" w:space="0" w:color="auto"/>
        <w:right w:val="none" w:sz="0" w:space="0" w:color="auto"/>
      </w:divBdr>
      <w:divsChild>
        <w:div w:id="707414868">
          <w:marLeft w:val="0"/>
          <w:marRight w:val="0"/>
          <w:marTop w:val="0"/>
          <w:marBottom w:val="0"/>
          <w:divBdr>
            <w:top w:val="none" w:sz="0" w:space="0" w:color="auto"/>
            <w:left w:val="none" w:sz="0" w:space="0" w:color="auto"/>
            <w:bottom w:val="none" w:sz="0" w:space="0" w:color="auto"/>
            <w:right w:val="none" w:sz="0" w:space="0" w:color="auto"/>
          </w:divBdr>
          <w:divsChild>
            <w:div w:id="329647099">
              <w:marLeft w:val="0"/>
              <w:marRight w:val="0"/>
              <w:marTop w:val="0"/>
              <w:marBottom w:val="0"/>
              <w:divBdr>
                <w:top w:val="none" w:sz="0" w:space="0" w:color="auto"/>
                <w:left w:val="none" w:sz="0" w:space="0" w:color="auto"/>
                <w:bottom w:val="none" w:sz="0" w:space="0" w:color="auto"/>
                <w:right w:val="none" w:sz="0" w:space="0" w:color="auto"/>
              </w:divBdr>
              <w:divsChild>
                <w:div w:id="64648811">
                  <w:marLeft w:val="0"/>
                  <w:marRight w:val="0"/>
                  <w:marTop w:val="0"/>
                  <w:marBottom w:val="0"/>
                  <w:divBdr>
                    <w:top w:val="none" w:sz="0" w:space="0" w:color="auto"/>
                    <w:left w:val="none" w:sz="0" w:space="0" w:color="auto"/>
                    <w:bottom w:val="none" w:sz="0" w:space="0" w:color="auto"/>
                    <w:right w:val="none" w:sz="0" w:space="0" w:color="auto"/>
                  </w:divBdr>
                  <w:divsChild>
                    <w:div w:id="2915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kpid-registry.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enjamin.shillitoe@nhs.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70430-3855-4AA3-A58F-7598F25A9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28</Pages>
  <Words>37023</Words>
  <Characters>211034</Characters>
  <Application>Microsoft Office Word</Application>
  <DocSecurity>0</DocSecurity>
  <Lines>1758</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Shillitoe</dc:creator>
  <cp:keywords/>
  <dc:description/>
  <cp:lastModifiedBy>Ben Shillitoe</cp:lastModifiedBy>
  <cp:revision>241</cp:revision>
  <dcterms:created xsi:type="dcterms:W3CDTF">2025-09-15T07:51:00Z</dcterms:created>
  <dcterms:modified xsi:type="dcterms:W3CDTF">2026-02-05T13:30:00Z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id="UDHD7EI7"/&gt;&lt;style id="http://www.zotero.org/styles/nlm-citation-sequence" locale="en-US"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