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4C83" w14:textId="6D933CAA" w:rsidR="00797EE4" w:rsidRPr="00F32020" w:rsidRDefault="2A942985" w:rsidP="00810E56">
      <w:pPr>
        <w:spacing w:line="360" w:lineRule="auto"/>
        <w:jc w:val="center"/>
        <w:rPr>
          <w:b/>
          <w:bCs/>
        </w:rPr>
      </w:pPr>
      <w:bookmarkStart w:id="0" w:name="_Hlk55499787"/>
      <w:r w:rsidRPr="2A942985">
        <w:rPr>
          <w:b/>
          <w:bCs/>
          <w:sz w:val="32"/>
          <w:szCs w:val="32"/>
        </w:rPr>
        <w:t>Cultural diversity in new venture founding teams and accelerators’ selection decisions</w:t>
      </w:r>
    </w:p>
    <w:p w14:paraId="09F99D7C" w14:textId="77777777" w:rsidR="0087472C" w:rsidRPr="00F32020" w:rsidRDefault="0087472C" w:rsidP="00837640">
      <w:pPr>
        <w:spacing w:line="480" w:lineRule="auto"/>
        <w:rPr>
          <w:b/>
          <w:bCs/>
        </w:rPr>
      </w:pPr>
    </w:p>
    <w:p w14:paraId="33DCD40B" w14:textId="77777777" w:rsidR="0087472C" w:rsidRPr="00F32020" w:rsidRDefault="0087472C" w:rsidP="0087472C">
      <w:pPr>
        <w:spacing w:line="480" w:lineRule="auto"/>
        <w:jc w:val="center"/>
        <w:rPr>
          <w:vertAlign w:val="superscript"/>
          <w:lang w:val="en-US"/>
        </w:rPr>
      </w:pPr>
      <w:r w:rsidRPr="00F32020">
        <w:rPr>
          <w:lang w:val="en-US"/>
        </w:rPr>
        <w:t>Chrysovalantis Gaganis</w:t>
      </w:r>
      <w:r w:rsidRPr="00F32020">
        <w:rPr>
          <w:vertAlign w:val="superscript"/>
          <w:lang w:val="en-US"/>
        </w:rPr>
        <w:t>1</w:t>
      </w:r>
      <w:r w:rsidRPr="00F32020">
        <w:rPr>
          <w:lang w:val="en-US"/>
        </w:rPr>
        <w:t>, Panagiota Papadimitri</w:t>
      </w:r>
      <w:r w:rsidRPr="00F32020">
        <w:rPr>
          <w:vertAlign w:val="superscript"/>
          <w:lang w:val="en-US"/>
        </w:rPr>
        <w:t>2</w:t>
      </w:r>
      <w:r w:rsidRPr="00F32020">
        <w:rPr>
          <w:lang w:val="en-US"/>
        </w:rPr>
        <w:t>, Fotios Pasiouras</w:t>
      </w:r>
      <w:r w:rsidRPr="00F32020">
        <w:rPr>
          <w:vertAlign w:val="superscript"/>
          <w:lang w:val="en-US"/>
        </w:rPr>
        <w:t>3</w:t>
      </w:r>
      <w:r w:rsidRPr="00F32020">
        <w:rPr>
          <w:rStyle w:val="FootnoteReference"/>
          <w:lang w:val="en-US"/>
        </w:rPr>
        <w:footnoteReference w:customMarkFollows="1" w:id="1"/>
        <w:t>*</w:t>
      </w:r>
      <w:r w:rsidRPr="00F32020">
        <w:rPr>
          <w:lang w:val="en-US"/>
        </w:rPr>
        <w:t>, Menelaos Tasiou</w:t>
      </w:r>
      <w:r w:rsidRPr="00F32020">
        <w:rPr>
          <w:vertAlign w:val="superscript"/>
          <w:lang w:val="en-US"/>
        </w:rPr>
        <w:t>4</w:t>
      </w:r>
    </w:p>
    <w:p w14:paraId="39BF7347" w14:textId="77777777" w:rsidR="0087472C" w:rsidRPr="00F32020" w:rsidRDefault="0087472C" w:rsidP="0087472C">
      <w:pPr>
        <w:spacing w:line="480" w:lineRule="auto"/>
        <w:jc w:val="center"/>
        <w:rPr>
          <w:vertAlign w:val="superscript"/>
          <w:lang w:val="en-US"/>
        </w:rPr>
      </w:pPr>
    </w:p>
    <w:p w14:paraId="00B63700" w14:textId="77777777" w:rsidR="0087472C" w:rsidRPr="00F32020" w:rsidRDefault="0087472C" w:rsidP="0087472C">
      <w:pPr>
        <w:spacing w:line="480" w:lineRule="auto"/>
        <w:jc w:val="center"/>
      </w:pPr>
      <w:r w:rsidRPr="00F32020">
        <w:rPr>
          <w:vertAlign w:val="superscript"/>
        </w:rPr>
        <w:t>1</w:t>
      </w:r>
      <w:r w:rsidRPr="00F32020">
        <w:t xml:space="preserve"> University of Crete, Greece</w:t>
      </w:r>
    </w:p>
    <w:p w14:paraId="6968A40F" w14:textId="77777777" w:rsidR="0087472C" w:rsidRPr="00F32020" w:rsidRDefault="0087472C" w:rsidP="0087472C">
      <w:pPr>
        <w:spacing w:line="480" w:lineRule="auto"/>
        <w:jc w:val="center"/>
      </w:pPr>
      <w:r w:rsidRPr="00F32020">
        <w:rPr>
          <w:vertAlign w:val="superscript"/>
        </w:rPr>
        <w:t xml:space="preserve">2 </w:t>
      </w:r>
      <w:r w:rsidRPr="00F32020">
        <w:t>University of Southampton, UK</w:t>
      </w:r>
    </w:p>
    <w:p w14:paraId="6E6AC1F8" w14:textId="77777777" w:rsidR="0087472C" w:rsidRPr="00F32020" w:rsidRDefault="0087472C" w:rsidP="0087472C">
      <w:pPr>
        <w:spacing w:line="480" w:lineRule="auto"/>
        <w:jc w:val="center"/>
      </w:pPr>
      <w:r w:rsidRPr="00F32020">
        <w:rPr>
          <w:vertAlign w:val="superscript"/>
        </w:rPr>
        <w:t xml:space="preserve">3 </w:t>
      </w:r>
      <w:r w:rsidRPr="00F32020">
        <w:t>MBS School of Business, France</w:t>
      </w:r>
    </w:p>
    <w:p w14:paraId="1330243C" w14:textId="1F307E5C" w:rsidR="0087472C" w:rsidRPr="00F32020" w:rsidRDefault="0087472C" w:rsidP="00D6017F">
      <w:pPr>
        <w:spacing w:line="480" w:lineRule="auto"/>
        <w:jc w:val="center"/>
      </w:pPr>
      <w:r w:rsidRPr="00F32020">
        <w:rPr>
          <w:vertAlign w:val="superscript"/>
        </w:rPr>
        <w:t xml:space="preserve">4 </w:t>
      </w:r>
      <w:r w:rsidRPr="00F32020">
        <w:t>University of Surrey, UK</w:t>
      </w:r>
    </w:p>
    <w:p w14:paraId="350CFB6C" w14:textId="067A0C22" w:rsidR="00C97461" w:rsidRPr="00F32020" w:rsidRDefault="007E582B" w:rsidP="00D6017F">
      <w:pPr>
        <w:spacing w:line="480" w:lineRule="auto"/>
        <w:jc w:val="center"/>
        <w:rPr>
          <w:b/>
          <w:bCs/>
        </w:rPr>
      </w:pPr>
      <w:r w:rsidRPr="00F32020">
        <w:rPr>
          <w:b/>
          <w:bCs/>
        </w:rPr>
        <w:t>Abstract</w:t>
      </w:r>
    </w:p>
    <w:p w14:paraId="358F3478" w14:textId="5C915FC7" w:rsidR="00924A23" w:rsidRPr="00F32020" w:rsidRDefault="00924A23" w:rsidP="007B650E">
      <w:pPr>
        <w:jc w:val="both"/>
      </w:pPr>
      <w:bookmarkStart w:id="1" w:name="_Hlk54634192"/>
      <w:bookmarkEnd w:id="0"/>
      <w:r w:rsidRPr="00F32020">
        <w:t xml:space="preserve">We use a cross-country sample of </w:t>
      </w:r>
      <w:r w:rsidR="00EA0697" w:rsidRPr="00F32020">
        <w:t>over</w:t>
      </w:r>
      <w:r w:rsidRPr="00F32020">
        <w:t xml:space="preserve"> 9,000 startup ventures from over 100 countries, to examine the relationship between the cultural diversity in the founding team and the likelihood of admission into impact-oriented acceleration program</w:t>
      </w:r>
      <w:r w:rsidR="00864316" w:rsidRPr="00F32020">
        <w:t>me</w:t>
      </w:r>
      <w:r w:rsidRPr="00F32020">
        <w:t>s. Building on signalling theory</w:t>
      </w:r>
      <w:r w:rsidR="002953B3" w:rsidRPr="00F32020">
        <w:t>,</w:t>
      </w:r>
      <w:r w:rsidRPr="00F32020">
        <w:t xml:space="preserve"> we hypothesi</w:t>
      </w:r>
      <w:r w:rsidR="0018552A" w:rsidRPr="00F32020">
        <w:t>s</w:t>
      </w:r>
      <w:r w:rsidRPr="00F32020">
        <w:t>e that the formation of multi-cultural founding teams send</w:t>
      </w:r>
      <w:r w:rsidR="002953B3" w:rsidRPr="00F32020">
        <w:t>s</w:t>
      </w:r>
      <w:r w:rsidRPr="00F32020">
        <w:t xml:space="preserve"> a signal from the applicants to the decision makers of social impact accelerators. The results confirm this hypothesis, showing that cultural diversity has a positive and statistically significant association with the likelihood </w:t>
      </w:r>
      <w:r w:rsidR="002953B3" w:rsidRPr="00F32020">
        <w:t>of being</w:t>
      </w:r>
      <w:r w:rsidR="0018552A" w:rsidRPr="00F32020">
        <w:t xml:space="preserve"> </w:t>
      </w:r>
      <w:r w:rsidRPr="00F32020">
        <w:t>admitted. This finding is robust across several specifications, and account</w:t>
      </w:r>
      <w:r w:rsidR="002953B3" w:rsidRPr="00F32020">
        <w:t>s</w:t>
      </w:r>
      <w:r w:rsidRPr="00F32020">
        <w:t xml:space="preserve"> for the potential endogeneity of cultural diversity.</w:t>
      </w:r>
      <w:r w:rsidR="002C4F2B" w:rsidRPr="00F32020">
        <w:t xml:space="preserve"> In further analysis</w:t>
      </w:r>
      <w:r w:rsidR="002953B3" w:rsidRPr="00F32020">
        <w:t>,</w:t>
      </w:r>
      <w:r w:rsidR="002C4F2B" w:rsidRPr="00F32020">
        <w:t xml:space="preserve"> we examine whether and how cultural diversity interacts with other signals concerning the human capital and demographical characteristics of the founding team. </w:t>
      </w:r>
      <w:r w:rsidR="006C57C7" w:rsidRPr="00F32020">
        <w:t xml:space="preserve">We find that </w:t>
      </w:r>
      <w:r w:rsidR="002C4F2B" w:rsidRPr="00F32020">
        <w:t xml:space="preserve">these signals </w:t>
      </w:r>
      <w:r w:rsidR="006C57C7" w:rsidRPr="00F32020">
        <w:t xml:space="preserve">do not only have </w:t>
      </w:r>
      <w:r w:rsidR="002C4F2B" w:rsidRPr="00F32020">
        <w:t xml:space="preserve">an individual effect on the admission likelihood, </w:t>
      </w:r>
      <w:r w:rsidR="006C57C7" w:rsidRPr="00F32020">
        <w:t xml:space="preserve">but their </w:t>
      </w:r>
      <w:r w:rsidR="002C4F2B" w:rsidRPr="00F32020">
        <w:t xml:space="preserve">interaction effects are </w:t>
      </w:r>
      <w:r w:rsidR="00A92ABC" w:rsidRPr="00F32020">
        <w:t xml:space="preserve">also </w:t>
      </w:r>
      <w:r w:rsidR="002C4F2B" w:rsidRPr="00F32020">
        <w:t xml:space="preserve">statistically significant. </w:t>
      </w:r>
    </w:p>
    <w:p w14:paraId="79CDA39D" w14:textId="77777777" w:rsidR="00924A23" w:rsidRPr="00F32020" w:rsidRDefault="00924A23" w:rsidP="00924A23">
      <w:pPr>
        <w:rPr>
          <w:b/>
          <w:bCs/>
          <w:sz w:val="28"/>
          <w:szCs w:val="28"/>
        </w:rPr>
      </w:pPr>
    </w:p>
    <w:p w14:paraId="610AB0F9" w14:textId="77777777" w:rsidR="00924A23" w:rsidRPr="00F32020" w:rsidRDefault="00924A23" w:rsidP="00924A23">
      <w:pPr>
        <w:jc w:val="both"/>
        <w:rPr>
          <w:b/>
          <w:bCs/>
        </w:rPr>
      </w:pPr>
      <w:r w:rsidRPr="00F32020">
        <w:rPr>
          <w:b/>
          <w:bCs/>
        </w:rPr>
        <w:t xml:space="preserve">Keywords: </w:t>
      </w:r>
      <w:r w:rsidRPr="00F32020">
        <w:t>Accelerators, National culture, New ventures, Founding team diversity, Signalling theory</w:t>
      </w:r>
      <w:r w:rsidRPr="00F32020">
        <w:rPr>
          <w:b/>
          <w:bCs/>
        </w:rPr>
        <w:t xml:space="preserve"> </w:t>
      </w:r>
    </w:p>
    <w:p w14:paraId="723432DF" w14:textId="77777777" w:rsidR="00924A23" w:rsidRPr="00F32020" w:rsidRDefault="00924A23" w:rsidP="00924A23">
      <w:pPr>
        <w:rPr>
          <w:b/>
          <w:bCs/>
        </w:rPr>
      </w:pPr>
    </w:p>
    <w:p w14:paraId="57907CDC" w14:textId="77777777" w:rsidR="00924A23" w:rsidRPr="00F32020" w:rsidRDefault="00924A23" w:rsidP="00924A23">
      <w:r w:rsidRPr="00F32020">
        <w:rPr>
          <w:b/>
          <w:bCs/>
        </w:rPr>
        <w:t>JEL:</w:t>
      </w:r>
      <w:r w:rsidRPr="00F32020">
        <w:t xml:space="preserve"> M13; M14; L26; L31</w:t>
      </w:r>
    </w:p>
    <w:p w14:paraId="16DDCB29" w14:textId="77777777" w:rsidR="007B650E" w:rsidRPr="00F32020" w:rsidRDefault="007B650E">
      <w:pPr>
        <w:rPr>
          <w:b/>
          <w:bCs/>
          <w:sz w:val="28"/>
          <w:szCs w:val="28"/>
        </w:rPr>
      </w:pPr>
      <w:r w:rsidRPr="00F32020">
        <w:rPr>
          <w:b/>
          <w:bCs/>
          <w:sz w:val="28"/>
          <w:szCs w:val="28"/>
        </w:rPr>
        <w:br w:type="page"/>
      </w:r>
    </w:p>
    <w:p w14:paraId="6232F7F9" w14:textId="62F973D6" w:rsidR="007E582B" w:rsidRPr="00F32020" w:rsidRDefault="00C567A6" w:rsidP="00670B0A">
      <w:pPr>
        <w:spacing w:line="480" w:lineRule="auto"/>
        <w:rPr>
          <w:b/>
          <w:bCs/>
          <w:sz w:val="28"/>
          <w:szCs w:val="28"/>
        </w:rPr>
      </w:pPr>
      <w:r w:rsidRPr="00F32020">
        <w:rPr>
          <w:b/>
          <w:bCs/>
          <w:sz w:val="28"/>
          <w:szCs w:val="28"/>
        </w:rPr>
        <w:lastRenderedPageBreak/>
        <w:t>1</w:t>
      </w:r>
      <w:r w:rsidR="007E582B" w:rsidRPr="00F32020">
        <w:rPr>
          <w:b/>
          <w:bCs/>
          <w:sz w:val="28"/>
          <w:szCs w:val="28"/>
        </w:rPr>
        <w:t>. Introduction</w:t>
      </w:r>
    </w:p>
    <w:p w14:paraId="66A5CDF6" w14:textId="0E10E1D6" w:rsidR="008E6869" w:rsidRPr="00F32020" w:rsidRDefault="2A942985" w:rsidP="005546EC">
      <w:pPr>
        <w:spacing w:line="480" w:lineRule="auto"/>
        <w:jc w:val="both"/>
      </w:pPr>
      <w:r>
        <w:t xml:space="preserve">In recent years, the media, market participants, and academics, have emphasised the role of team diversity across various dimensions in new ventures. They argue that diversity is the key to startup success, that new ventures should focus on diversity from the very beginning, and that they should communicate externally their commitment to diversity (Wang, 2018; Moghimi, 2019; Gompers and Kovvali, 2018). </w:t>
      </w:r>
      <w:bookmarkEnd w:id="1"/>
    </w:p>
    <w:p w14:paraId="64C65F81" w14:textId="72A231C9" w:rsidR="00CB0718" w:rsidRPr="00F32020" w:rsidRDefault="2A942985" w:rsidP="005546EC">
      <w:pPr>
        <w:spacing w:line="480" w:lineRule="auto"/>
        <w:ind w:firstLine="720"/>
        <w:jc w:val="both"/>
      </w:pPr>
      <w:r>
        <w:t xml:space="preserve">In the present study, we examine whether and how the cultural diversity of the founding team matters for the admission of startup ventures into impact-oriented acceleration programmes. In more detail, drawing on signalling theory, we hypothesise that the composition of the founding team, and in particular its cultural diversity, might serve as a signal to decision-makers in accelerators. Subsequently, this has implications for the selection or rejection of the startups’ applications. To shed further light on the selection process, we extend our analysis to examine whether and how the effect of this signal depends on other signals  sent simultaneously from the new venture during its application.  </w:t>
      </w:r>
    </w:p>
    <w:p w14:paraId="38305D8C" w14:textId="20FEC3C4" w:rsidR="00936550" w:rsidRPr="00F32020" w:rsidRDefault="2A942985">
      <w:pPr>
        <w:spacing w:line="480" w:lineRule="auto"/>
        <w:ind w:firstLine="720"/>
        <w:jc w:val="both"/>
        <w:rPr>
          <w:lang w:val="en-US"/>
        </w:rPr>
      </w:pPr>
      <w:bookmarkStart w:id="2" w:name="_Hlk211444597"/>
      <w:r>
        <w:t>Thus, we build on past studies that: (i) examine the association between the diversity of the founding team with the decisions and evaluations of third parties, such as venture capitalists (Franke et al., 2008; Åstebro et al., 2022), angel investors (Boerner et al., 2025), IPO investors (Eesley et al., 2014), and acquirers (Soleimani and Stau, 2024); (ii) show that cultural diversity in the board of listed firms is associated with corporate value and profitability (Frijns et al., 2016), corporate social responsibility (Dodd et al., 2022), corporate innovation (Luo et al., 2023), sales growth (Dodd et al., 2024); and (iii) examine trade-offs between different team characteristics, and whether and how multiple signals of new ventures shape the decision of third parties in the entrepreneurial ecosystem, like venture capitalists (Franke et al., 2008; Ko and McKelvie, 2018), angel investing (Edelman et al., 2021) and crowdfunding backers (Kulkarni et al., 2024)</w:t>
      </w:r>
      <w:r w:rsidRPr="2A942985">
        <w:rPr>
          <w:lang w:val="en-US"/>
        </w:rPr>
        <w:t xml:space="preserve">, </w:t>
      </w:r>
      <w:r>
        <w:t xml:space="preserve">and (iv) more broadly examine the role of diversity in work </w:t>
      </w:r>
      <w:r>
        <w:lastRenderedPageBreak/>
        <w:t>groups (</w:t>
      </w:r>
      <w:r w:rsidRPr="2A942985">
        <w:rPr>
          <w:lang w:val="en-US"/>
        </w:rPr>
        <w:t xml:space="preserve">van Knippenberg and Schippers, 2007; Bezrukova et al., 2009; Duchek et al, 2020).  </w:t>
      </w:r>
      <w:bookmarkEnd w:id="2"/>
      <w:r>
        <w:t xml:space="preserve">Within this context, we   propose that forming </w:t>
      </w:r>
      <w:r w:rsidR="005D350B">
        <w:t xml:space="preserve">culturally diverse </w:t>
      </w:r>
      <w:r>
        <w:t xml:space="preserve">founding teams can signal a distinct capability to accelerators and help overcome informational asymmetries. </w:t>
      </w:r>
    </w:p>
    <w:p w14:paraId="7469EBF9" w14:textId="107D6A1C" w:rsidR="00736500" w:rsidRPr="00F32020" w:rsidRDefault="00AD4EA2" w:rsidP="005546EC">
      <w:pPr>
        <w:autoSpaceDE w:val="0"/>
        <w:autoSpaceDN w:val="0"/>
        <w:adjustRightInd w:val="0"/>
        <w:spacing w:line="480" w:lineRule="auto"/>
        <w:ind w:firstLine="720"/>
        <w:jc w:val="both"/>
      </w:pPr>
      <w:bookmarkStart w:id="3" w:name="_Hlk182252483"/>
      <w:bookmarkStart w:id="4" w:name="_Hlk180587566"/>
      <w:r w:rsidRPr="00F32020">
        <w:t>A review of the literature by Colombo (2021) illustrates that</w:t>
      </w:r>
      <w:r w:rsidR="00B735D0" w:rsidRPr="00F32020">
        <w:t xml:space="preserve"> </w:t>
      </w:r>
      <w:bookmarkStart w:id="5" w:name="_Hlk182252497"/>
      <w:bookmarkEnd w:id="3"/>
      <w:r w:rsidR="00B735D0" w:rsidRPr="00F32020">
        <w:t xml:space="preserve">there are many studies </w:t>
      </w:r>
      <w:bookmarkEnd w:id="4"/>
      <w:bookmarkEnd w:id="5"/>
      <w:r w:rsidR="007E52EC" w:rsidRPr="00F32020">
        <w:t>associating</w:t>
      </w:r>
      <w:r w:rsidR="00B735D0" w:rsidRPr="00F32020">
        <w:t xml:space="preserve"> the use of signals with new-venture financing</w:t>
      </w:r>
      <w:r w:rsidR="005C36E7" w:rsidRPr="00F32020">
        <w:t xml:space="preserve"> decisions</w:t>
      </w:r>
      <w:r w:rsidR="00E04B45" w:rsidRPr="00F32020">
        <w:t xml:space="preserve"> in the case of crowdfunding investors, angel investors, venture capital investors, and equity investors</w:t>
      </w:r>
      <w:r w:rsidRPr="00F32020">
        <w:t>. However,</w:t>
      </w:r>
      <w:r w:rsidR="00B735D0" w:rsidRPr="00F32020">
        <w:t xml:space="preserve"> </w:t>
      </w:r>
      <w:r w:rsidR="00F44E9F" w:rsidRPr="00F32020">
        <w:t>such research in the</w:t>
      </w:r>
      <w:r w:rsidR="00B735D0" w:rsidRPr="00F32020">
        <w:t xml:space="preserve"> accelerators’ literature</w:t>
      </w:r>
      <w:r w:rsidR="00F44E9F" w:rsidRPr="00F32020">
        <w:t xml:space="preserve"> is almost non</w:t>
      </w:r>
      <w:r w:rsidR="001F0EDF" w:rsidRPr="00F32020">
        <w:t>-</w:t>
      </w:r>
      <w:r w:rsidR="00F44E9F" w:rsidRPr="00F32020">
        <w:t>existent</w:t>
      </w:r>
      <w:r w:rsidR="001F0EDF" w:rsidRPr="00F32020">
        <w:t>, consisting of a handful studies (Yang et al., 2020; Lall et al., 2020, Assenova, 2021)</w:t>
      </w:r>
      <w:r w:rsidR="00B735D0" w:rsidRPr="00F32020">
        <w:t xml:space="preserve">. </w:t>
      </w:r>
    </w:p>
    <w:p w14:paraId="40BD6786" w14:textId="4EF3E35C" w:rsidR="00EB068E" w:rsidRPr="00F32020" w:rsidRDefault="00CF385A" w:rsidP="005546EC">
      <w:pPr>
        <w:spacing w:line="480" w:lineRule="auto"/>
        <w:ind w:firstLine="720"/>
        <w:jc w:val="both"/>
      </w:pPr>
      <w:r w:rsidRPr="00F32020">
        <w:t xml:space="preserve"> </w:t>
      </w:r>
      <w:r w:rsidR="00F4475C" w:rsidRPr="00F32020">
        <w:t>There are various reasons for which such signal could be of use to accelerator decision</w:t>
      </w:r>
      <w:r w:rsidR="007E52EC" w:rsidRPr="00F32020">
        <w:t>-</w:t>
      </w:r>
      <w:r w:rsidR="00F4475C" w:rsidRPr="00F32020">
        <w:t xml:space="preserve">makers. First, ventures </w:t>
      </w:r>
      <w:r w:rsidR="00AB268C" w:rsidRPr="00F32020">
        <w:t xml:space="preserve">that apply to accelerators </w:t>
      </w:r>
      <w:r w:rsidR="00F4475C" w:rsidRPr="00F32020">
        <w:t>are typically at a</w:t>
      </w:r>
      <w:r w:rsidR="00502DB0" w:rsidRPr="00F32020">
        <w:t xml:space="preserve"> very early stage</w:t>
      </w:r>
      <w:r w:rsidR="00F4475C" w:rsidRPr="00F32020">
        <w:t xml:space="preserve"> compared </w:t>
      </w:r>
      <w:r w:rsidR="00502DB0" w:rsidRPr="00F32020">
        <w:t xml:space="preserve">even </w:t>
      </w:r>
      <w:r w:rsidR="00F4475C" w:rsidRPr="00F32020">
        <w:t>to the ones applying to angel investors,</w:t>
      </w:r>
      <w:r w:rsidR="00502DB0" w:rsidRPr="00F32020">
        <w:t xml:space="preserve"> not to mention</w:t>
      </w:r>
      <w:r w:rsidR="00F4475C" w:rsidRPr="00F32020">
        <w:t xml:space="preserve"> venture capitalists and </w:t>
      </w:r>
      <w:r w:rsidR="00502DB0" w:rsidRPr="00F32020">
        <w:t>initial public offerings (</w:t>
      </w:r>
      <w:r w:rsidR="00F4475C" w:rsidRPr="00F32020">
        <w:t>IPOs</w:t>
      </w:r>
      <w:r w:rsidR="00502DB0" w:rsidRPr="00F32020">
        <w:t>). Thus,</w:t>
      </w:r>
      <w:r w:rsidR="00F4475C" w:rsidRPr="00F32020">
        <w:t xml:space="preserve"> substantial information asymmetry </w:t>
      </w:r>
      <w:r w:rsidR="00205AFB">
        <w:t xml:space="preserve">exists </w:t>
      </w:r>
      <w:r w:rsidR="00F4475C" w:rsidRPr="00F32020">
        <w:t>between the two parties. As a result, similar to the case of angel investment (Colombo,</w:t>
      </w:r>
      <w:r w:rsidR="00E04B45" w:rsidRPr="00F32020">
        <w:t xml:space="preserve"> 202</w:t>
      </w:r>
      <w:r w:rsidR="0040792D" w:rsidRPr="00F32020">
        <w:t>1</w:t>
      </w:r>
      <w:r w:rsidR="00F4475C" w:rsidRPr="00F32020">
        <w:t>), signalling in the context of accelerators primarily rests on transmitting signals based on subjective and non</w:t>
      </w:r>
      <w:r w:rsidR="00627705" w:rsidRPr="00F32020">
        <w:t>-</w:t>
      </w:r>
      <w:r w:rsidR="00F4475C" w:rsidRPr="00F32020">
        <w:t xml:space="preserve">verifiable claims, with the characteristics of the founding team playing a central role in developing an appealing narrative to successfully transfer relevant information to prospective investors. </w:t>
      </w:r>
      <w:r w:rsidR="00374D87" w:rsidRPr="00F32020">
        <w:t xml:space="preserve">Therefore, </w:t>
      </w:r>
      <w:r w:rsidR="005C6DE3" w:rsidRPr="00F32020">
        <w:t>the</w:t>
      </w:r>
      <w:r w:rsidR="00374D87" w:rsidRPr="00F32020">
        <w:t xml:space="preserve"> cultural differences</w:t>
      </w:r>
      <w:r w:rsidR="005C6DE3" w:rsidRPr="00F32020">
        <w:t xml:space="preserve"> of the founders</w:t>
      </w:r>
      <w:r w:rsidR="00374D87" w:rsidRPr="00F32020">
        <w:t xml:space="preserve"> </w:t>
      </w:r>
      <w:r w:rsidR="003B5EDD" w:rsidRPr="00F32020">
        <w:t>could be associated with a wide range of knowledge, perspectives, values, beliefs, and experiences resulting in differing points of view, the ability to consider a larger set of problems</w:t>
      </w:r>
      <w:r w:rsidR="007E52EC" w:rsidRPr="00F32020">
        <w:t xml:space="preserve"> and</w:t>
      </w:r>
      <w:r w:rsidR="00FB0956" w:rsidRPr="00F32020">
        <w:t xml:space="preserve"> come up with a</w:t>
      </w:r>
      <w:r w:rsidR="003B5EDD" w:rsidRPr="00F32020">
        <w:t xml:space="preserve"> </w:t>
      </w:r>
      <w:r w:rsidR="00FB0956" w:rsidRPr="00F32020">
        <w:t xml:space="preserve">wider </w:t>
      </w:r>
      <w:r w:rsidR="003B5EDD" w:rsidRPr="00F32020">
        <w:t>set of alternative potential solution</w:t>
      </w:r>
      <w:r w:rsidR="00EE7E4E" w:rsidRPr="00F32020">
        <w:t>s</w:t>
      </w:r>
      <w:r w:rsidR="003B5EDD" w:rsidRPr="00F32020">
        <w:t xml:space="preserve"> and</w:t>
      </w:r>
      <w:r w:rsidR="00FB0956" w:rsidRPr="00F32020">
        <w:t xml:space="preserve"> hence</w:t>
      </w:r>
      <w:r w:rsidR="003B5EDD" w:rsidRPr="00F32020">
        <w:t xml:space="preserve"> be better </w:t>
      </w:r>
      <w:r w:rsidR="00FB0956" w:rsidRPr="00F32020">
        <w:t>in</w:t>
      </w:r>
      <w:r w:rsidR="003B5EDD" w:rsidRPr="00F32020">
        <w:t xml:space="preserve"> solving complex tasks and </w:t>
      </w:r>
      <w:r w:rsidR="00FB0956" w:rsidRPr="00F32020">
        <w:t xml:space="preserve">reaching </w:t>
      </w:r>
      <w:r w:rsidR="003B5EDD" w:rsidRPr="00F32020">
        <w:t xml:space="preserve">innovative solutions. </w:t>
      </w:r>
      <w:r w:rsidR="00695AE9" w:rsidRPr="00F32020">
        <w:t>For example, Richard et al. (2004) mention that</w:t>
      </w:r>
      <w:r w:rsidR="007E52EC" w:rsidRPr="00F32020">
        <w:t>,</w:t>
      </w:r>
      <w:r w:rsidR="00695AE9" w:rsidRPr="00F32020">
        <w:t xml:space="preserve"> in terms of strategy formulation and implementation within management groups, this value-in-diversity perspective suggests that the attributes of </w:t>
      </w:r>
      <w:r w:rsidR="007E52EC" w:rsidRPr="00F32020">
        <w:t xml:space="preserve">a </w:t>
      </w:r>
      <w:r w:rsidR="00695AE9" w:rsidRPr="00F32020">
        <w:t>heterogenous management group enhance the development of strategic alternatives and promote creat</w:t>
      </w:r>
      <w:r w:rsidR="00EB068E" w:rsidRPr="00F32020">
        <w:t>ive</w:t>
      </w:r>
      <w:r w:rsidR="00695AE9" w:rsidRPr="00F32020">
        <w:t xml:space="preserve"> and effective competitive strategies. </w:t>
      </w:r>
      <w:bookmarkStart w:id="6" w:name="_Hlk182252527"/>
      <w:r w:rsidR="00B61082" w:rsidRPr="00F32020">
        <w:t xml:space="preserve">This might be </w:t>
      </w:r>
      <w:r w:rsidR="00152F16" w:rsidRPr="00F32020">
        <w:t>even more important in the case of new venture teams that</w:t>
      </w:r>
      <w:r w:rsidR="00FA0C88" w:rsidRPr="00F32020">
        <w:t>:</w:t>
      </w:r>
      <w:r w:rsidR="00152F16" w:rsidRPr="00F32020">
        <w:t xml:space="preserve"> </w:t>
      </w:r>
      <w:r w:rsidR="00FA0C88" w:rsidRPr="00F32020">
        <w:t xml:space="preserve">(i) </w:t>
      </w:r>
      <w:r w:rsidR="00152F16" w:rsidRPr="00F32020">
        <w:t xml:space="preserve">have to direct the startups through </w:t>
      </w:r>
      <w:r w:rsidR="007F7F5F" w:rsidRPr="00F32020">
        <w:t xml:space="preserve">the </w:t>
      </w:r>
      <w:r w:rsidR="007F7F5F" w:rsidRPr="00F32020">
        <w:lastRenderedPageBreak/>
        <w:t>various stages of entrepreneurial process</w:t>
      </w:r>
      <w:r w:rsidR="007E52EC" w:rsidRPr="00F32020">
        <w:t>;</w:t>
      </w:r>
      <w:r w:rsidR="007F7F5F" w:rsidRPr="00F32020">
        <w:t xml:space="preserve"> </w:t>
      </w:r>
      <w:r w:rsidR="00FA0C88" w:rsidRPr="00F32020">
        <w:t>(ii) are characteri</w:t>
      </w:r>
      <w:r w:rsidR="005B793F" w:rsidRPr="00F32020">
        <w:t>s</w:t>
      </w:r>
      <w:r w:rsidR="00FA0C88" w:rsidRPr="00F32020">
        <w:t xml:space="preserve">ed by </w:t>
      </w:r>
      <w:r w:rsidR="007F7F5F" w:rsidRPr="00F32020">
        <w:t xml:space="preserve">great managerial discretion and latitude, and </w:t>
      </w:r>
      <w:r w:rsidR="00FA0C88" w:rsidRPr="00F32020">
        <w:t xml:space="preserve">(iii) </w:t>
      </w:r>
      <w:r w:rsidR="000C6D2B" w:rsidRPr="00F32020">
        <w:t xml:space="preserve">need various skills to deal with diverse </w:t>
      </w:r>
      <w:r w:rsidR="007F7F5F" w:rsidRPr="00F32020">
        <w:t>activities wh</w:t>
      </w:r>
      <w:r w:rsidR="00205AFB">
        <w:t>en</w:t>
      </w:r>
      <w:r w:rsidR="007F7F5F" w:rsidRPr="00F32020">
        <w:t xml:space="preserve"> start</w:t>
      </w:r>
      <w:r w:rsidR="00205AFB">
        <w:t>ing</w:t>
      </w:r>
      <w:r w:rsidR="007F7F5F" w:rsidRPr="00F32020">
        <w:t xml:space="preserve"> the organi</w:t>
      </w:r>
      <w:r w:rsidR="007E52EC" w:rsidRPr="00F32020">
        <w:t>s</w:t>
      </w:r>
      <w:r w:rsidR="007F7F5F" w:rsidRPr="00F32020">
        <w:t>ation, including creativity, problem</w:t>
      </w:r>
      <w:r w:rsidR="007E52EC" w:rsidRPr="00F32020">
        <w:t>-</w:t>
      </w:r>
      <w:r w:rsidR="007F7F5F" w:rsidRPr="00F32020">
        <w:t>solving and implementation tasks (Klotz et al., 2014; Ensley et al., 2002; Lazear, 2005).</w:t>
      </w:r>
    </w:p>
    <w:bookmarkEnd w:id="6"/>
    <w:p w14:paraId="379739F0" w14:textId="170CDC02" w:rsidR="00C176C9" w:rsidRPr="00F32020" w:rsidRDefault="2A942985">
      <w:pPr>
        <w:spacing w:line="480" w:lineRule="auto"/>
        <w:ind w:firstLine="720"/>
        <w:jc w:val="both"/>
      </w:pPr>
      <w:r>
        <w:t>Furthermore, our interest in accelerator programme decisions stems from their substantial growth and increasing attention in recent years, becoming an important part of the entrepreneurial ecosystems around the world (Roberts and Lall, 2019). Whilst the median investment per venture is not very large, participation in an acceleration programme is associated with numerous benefits like networking, entrepreneurship education, venture performance differences, mentorship opportunities and shared office space (Cohen and Hochberg, 2014; Gonzalez-Uribe and Leatherbee, 2018). Most importantly, accelerators</w:t>
      </w:r>
      <w:r w:rsidRPr="2A942985">
        <w:rPr>
          <w:rFonts w:ascii="YcrnbvPvysfqBjpyqbAGaramondPro-" w:hAnsi="YcrnbvPvysfqBjpyqbAGaramondPro-" w:cs="YcrnbvPvysfqBjpyqbAGaramondPro-"/>
          <w:sz w:val="23"/>
          <w:szCs w:val="23"/>
        </w:rPr>
        <w:t xml:space="preserve"> </w:t>
      </w:r>
      <w:r>
        <w:t xml:space="preserve">play an important role in identifying and supporting the most promising ventures, and they aim to help startups hone their strategy, identify market opportunities, strengthen their management teams, and connect to potential investors (Kempner, 2019). Additionally, they help resolve uncertainties around company quality sooner, allowing founders to make funding and exit decisions (Yu, 2020). For example, Hallen et al. (2020) find that accelerators increase both the likelihood and speed of reaching key outcomes for participating ventures. Along the same lines, Gonzalez-Uribe and Leatherbee (2018) conclude that entrepreneurship schooling bundled with basic services of cash and coworking space leads to significant increases in venture fundraising and scale. Finally, Cohen et al. (2019) point out that a third of all startups securing venture capital in 2015 had been through an accelerator programme. </w:t>
      </w:r>
    </w:p>
    <w:p w14:paraId="3E5337BE" w14:textId="6DAA16B3" w:rsidR="000A66E8" w:rsidRPr="00F32020" w:rsidRDefault="003E767D" w:rsidP="005546EC">
      <w:pPr>
        <w:spacing w:line="480" w:lineRule="auto"/>
        <w:ind w:firstLine="720"/>
        <w:jc w:val="both"/>
      </w:pPr>
      <w:r w:rsidRPr="00F32020">
        <w:t>Therefore, admission into a program</w:t>
      </w:r>
      <w:r w:rsidR="007E52EC" w:rsidRPr="00F32020">
        <w:t>me</w:t>
      </w:r>
      <w:r w:rsidRPr="00F32020">
        <w:t xml:space="preserve"> may have profound implications for new ventures. However, such an admission is very challenging, with the median acceptance rate being around 10% (Roberts and Lall, 2019). As discussed in Yu (2020), because of the large number of applicants, founders may not get feedback on why their applications were rejected. </w:t>
      </w:r>
      <w:r w:rsidRPr="00F32020">
        <w:lastRenderedPageBreak/>
        <w:t xml:space="preserve">Nonetheless, knowledge of the factors that drive the decisions of accelerators may be of interest to firm founders, policy makers and other stakeholders of the startup ecosystem. </w:t>
      </w:r>
    </w:p>
    <w:p w14:paraId="3BFBBD8B" w14:textId="4B318BDD" w:rsidR="007E582B" w:rsidRPr="00F32020" w:rsidRDefault="007E582B" w:rsidP="005546EC">
      <w:pPr>
        <w:spacing w:line="480" w:lineRule="auto"/>
        <w:ind w:firstLine="720"/>
        <w:jc w:val="both"/>
      </w:pPr>
      <w:r w:rsidRPr="00F32020">
        <w:t xml:space="preserve">The data </w:t>
      </w:r>
      <w:r w:rsidR="00E13686" w:rsidRPr="00F32020">
        <w:t>employed in</w:t>
      </w:r>
      <w:r w:rsidRPr="00F32020">
        <w:t xml:space="preserve"> our study come from</w:t>
      </w:r>
      <w:r w:rsidRPr="00F32020">
        <w:rPr>
          <w:shd w:val="clear" w:color="auto" w:fill="FFFFFF"/>
        </w:rPr>
        <w:t xml:space="preserve"> the </w:t>
      </w:r>
      <w:bookmarkStart w:id="7" w:name="_Hlk51000643"/>
      <w:r w:rsidRPr="00F32020">
        <w:rPr>
          <w:shd w:val="clear" w:color="auto" w:fill="FFFFFF"/>
        </w:rPr>
        <w:t>Entrepreneurship Database Program</w:t>
      </w:r>
      <w:r w:rsidR="00864316" w:rsidRPr="00F32020">
        <w:rPr>
          <w:shd w:val="clear" w:color="auto" w:fill="FFFFFF"/>
        </w:rPr>
        <w:t>me</w:t>
      </w:r>
      <w:r w:rsidR="00670B0A" w:rsidRPr="00F32020">
        <w:rPr>
          <w:shd w:val="clear" w:color="auto" w:fill="FFFFFF"/>
        </w:rPr>
        <w:t xml:space="preserve"> </w:t>
      </w:r>
      <w:bookmarkEnd w:id="7"/>
      <w:r w:rsidR="00670B0A" w:rsidRPr="00F32020">
        <w:rPr>
          <w:shd w:val="clear" w:color="auto" w:fill="FFFFFF"/>
        </w:rPr>
        <w:t>(EDP)</w:t>
      </w:r>
      <w:r w:rsidRPr="00F32020">
        <w:rPr>
          <w:shd w:val="clear" w:color="auto" w:fill="FFFFFF"/>
        </w:rPr>
        <w:t xml:space="preserve"> at Emory University, supported by the Global Accelerator Learning Initiative</w:t>
      </w:r>
      <w:r w:rsidR="00670B0A" w:rsidRPr="00F32020">
        <w:rPr>
          <w:shd w:val="clear" w:color="auto" w:fill="FFFFFF"/>
        </w:rPr>
        <w:t xml:space="preserve"> (GALI)</w:t>
      </w:r>
      <w:r w:rsidRPr="00F32020">
        <w:t xml:space="preserve">. In addition to details about the new venture, the dataset includes information about the nationality of the founders. Following </w:t>
      </w:r>
      <w:r w:rsidR="006A2D98" w:rsidRPr="00F32020">
        <w:t>earlier</w:t>
      </w:r>
      <w:r w:rsidRPr="00F32020">
        <w:t xml:space="preserve"> studies on board characteristics of listed companies</w:t>
      </w:r>
      <w:r w:rsidR="006E4D80" w:rsidRPr="00F32020">
        <w:t>,</w:t>
      </w:r>
      <w:r w:rsidRPr="00F32020">
        <w:t xml:space="preserve"> we use founders’ country of birth to assign   country-level values</w:t>
      </w:r>
      <w:r w:rsidR="00B13B6B" w:rsidRPr="00F32020">
        <w:t>,</w:t>
      </w:r>
      <w:r w:rsidR="006E4D80" w:rsidRPr="00F32020">
        <w:t xml:space="preserve"> </w:t>
      </w:r>
      <w:r w:rsidRPr="00F32020">
        <w:t xml:space="preserve">specifically Hofstede’s (1980) national culture dimensions. Subsequently, we construct a diversity measure by calculating the average cultural distance between founding members. </w:t>
      </w:r>
      <w:r w:rsidR="005A6AE9" w:rsidRPr="00F32020">
        <w:t xml:space="preserve">In the first stage of our analysis, we </w:t>
      </w:r>
      <w:r w:rsidRPr="00F32020">
        <w:t xml:space="preserve">examine whether and how </w:t>
      </w:r>
      <w:r w:rsidR="006E4D80" w:rsidRPr="00F32020">
        <w:t xml:space="preserve">this </w:t>
      </w:r>
      <w:r w:rsidRPr="00F32020">
        <w:t>firm-specific diversity metric</w:t>
      </w:r>
      <w:r w:rsidR="004E7E81" w:rsidRPr="00F32020">
        <w:t xml:space="preserve"> </w:t>
      </w:r>
      <w:r w:rsidRPr="00F32020">
        <w:t>influences the probability of admission into an accelerator program</w:t>
      </w:r>
      <w:r w:rsidR="00864316" w:rsidRPr="00F32020">
        <w:t>me</w:t>
      </w:r>
      <w:r w:rsidRPr="00F32020">
        <w:t xml:space="preserve">. The results show that diversity </w:t>
      </w:r>
      <w:r w:rsidR="00FE3365" w:rsidRPr="00F32020">
        <w:t xml:space="preserve">is positively associated with </w:t>
      </w:r>
      <w:r w:rsidRPr="00F32020">
        <w:t xml:space="preserve">the probability </w:t>
      </w:r>
      <w:r w:rsidR="007E3348" w:rsidRPr="00F32020">
        <w:t>of being</w:t>
      </w:r>
      <w:r w:rsidRPr="00F32020">
        <w:t xml:space="preserve"> selected. This finding is robust across various specifications and robustness tests. </w:t>
      </w:r>
      <w:r w:rsidR="005A6AE9" w:rsidRPr="00F32020">
        <w:t>In the second stage</w:t>
      </w:r>
      <w:r w:rsidR="007E3348" w:rsidRPr="00F32020">
        <w:t>,</w:t>
      </w:r>
      <w:r w:rsidR="005A6AE9" w:rsidRPr="00F32020">
        <w:t xml:space="preserve"> we examine whether and how cultural diversity interacts with other potential signals about the human capital and characteristics of the founding team. Our results show that these characteristics </w:t>
      </w:r>
      <w:r w:rsidR="006C57C7" w:rsidRPr="00F32020">
        <w:t xml:space="preserve">not only have </w:t>
      </w:r>
      <w:r w:rsidR="005A6AE9" w:rsidRPr="00F32020">
        <w:t xml:space="preserve">individual effects on the probability of </w:t>
      </w:r>
      <w:r w:rsidR="00227DC4" w:rsidRPr="00F32020">
        <w:t>admission but</w:t>
      </w:r>
      <w:r w:rsidR="00692E56" w:rsidRPr="00692E56">
        <w:rPr>
          <w:lang w:val="en-US"/>
        </w:rPr>
        <w:t xml:space="preserve"> </w:t>
      </w:r>
      <w:r w:rsidR="2A942985">
        <w:t>also exhibit significant interaction effect</w:t>
      </w:r>
      <w:r w:rsidR="005A6AE9" w:rsidRPr="00F32020">
        <w:t>s.</w:t>
      </w:r>
    </w:p>
    <w:p w14:paraId="6F9C6DDC" w14:textId="77777777" w:rsidR="00581F1E" w:rsidRPr="00F32020" w:rsidRDefault="00581F1E" w:rsidP="005546EC">
      <w:pPr>
        <w:autoSpaceDE w:val="0"/>
        <w:autoSpaceDN w:val="0"/>
        <w:adjustRightInd w:val="0"/>
        <w:spacing w:line="480" w:lineRule="auto"/>
        <w:jc w:val="both"/>
        <w:rPr>
          <w:b/>
          <w:bCs/>
          <w:sz w:val="28"/>
          <w:szCs w:val="28"/>
        </w:rPr>
      </w:pPr>
    </w:p>
    <w:p w14:paraId="6A970437" w14:textId="7C47F55A" w:rsidR="007E582B" w:rsidRPr="00F32020" w:rsidRDefault="00EA783F" w:rsidP="005546EC">
      <w:pPr>
        <w:autoSpaceDE w:val="0"/>
        <w:autoSpaceDN w:val="0"/>
        <w:adjustRightInd w:val="0"/>
        <w:spacing w:line="480" w:lineRule="auto"/>
        <w:jc w:val="both"/>
        <w:rPr>
          <w:b/>
          <w:bCs/>
          <w:sz w:val="28"/>
          <w:szCs w:val="28"/>
        </w:rPr>
      </w:pPr>
      <w:r w:rsidRPr="00F32020">
        <w:rPr>
          <w:b/>
          <w:bCs/>
          <w:sz w:val="28"/>
          <w:szCs w:val="28"/>
        </w:rPr>
        <w:t>2</w:t>
      </w:r>
      <w:r w:rsidR="007E582B" w:rsidRPr="00F32020">
        <w:rPr>
          <w:b/>
          <w:bCs/>
          <w:sz w:val="28"/>
          <w:szCs w:val="28"/>
        </w:rPr>
        <w:t>. Background discussion</w:t>
      </w:r>
    </w:p>
    <w:p w14:paraId="3E89AC90" w14:textId="5A9AC760" w:rsidR="007E582B" w:rsidRPr="00F32020" w:rsidRDefault="00EA783F" w:rsidP="005546EC">
      <w:pPr>
        <w:autoSpaceDE w:val="0"/>
        <w:autoSpaceDN w:val="0"/>
        <w:adjustRightInd w:val="0"/>
        <w:spacing w:line="480" w:lineRule="auto"/>
        <w:jc w:val="both"/>
        <w:rPr>
          <w:b/>
          <w:bCs/>
          <w:i/>
          <w:iCs/>
        </w:rPr>
      </w:pPr>
      <w:r w:rsidRPr="00F32020">
        <w:rPr>
          <w:b/>
          <w:bCs/>
          <w:i/>
          <w:iCs/>
        </w:rPr>
        <w:t>2</w:t>
      </w:r>
      <w:r w:rsidR="007E582B" w:rsidRPr="00F32020">
        <w:rPr>
          <w:b/>
          <w:bCs/>
          <w:i/>
          <w:iCs/>
        </w:rPr>
        <w:t xml:space="preserve">.1. </w:t>
      </w:r>
      <w:r w:rsidR="00BF32C9" w:rsidRPr="00F32020">
        <w:rPr>
          <w:b/>
          <w:bCs/>
          <w:i/>
          <w:iCs/>
        </w:rPr>
        <w:t>Accelerator program</w:t>
      </w:r>
      <w:r w:rsidR="00864316" w:rsidRPr="00F32020">
        <w:rPr>
          <w:b/>
          <w:bCs/>
          <w:i/>
          <w:iCs/>
        </w:rPr>
        <w:t>me</w:t>
      </w:r>
      <w:r w:rsidR="00BF32C9" w:rsidRPr="00F32020">
        <w:rPr>
          <w:b/>
          <w:bCs/>
          <w:i/>
          <w:iCs/>
        </w:rPr>
        <w:t xml:space="preserve">s and the selection process </w:t>
      </w:r>
    </w:p>
    <w:p w14:paraId="62783485" w14:textId="781E2BE7" w:rsidR="008B02A1" w:rsidRPr="00F32020" w:rsidRDefault="008B02A1" w:rsidP="005546EC">
      <w:pPr>
        <w:autoSpaceDE w:val="0"/>
        <w:autoSpaceDN w:val="0"/>
        <w:adjustRightInd w:val="0"/>
        <w:spacing w:line="480" w:lineRule="auto"/>
        <w:jc w:val="both"/>
        <w:rPr>
          <w:i/>
          <w:iCs/>
        </w:rPr>
      </w:pPr>
      <w:r w:rsidRPr="00F32020">
        <w:rPr>
          <w:i/>
          <w:iCs/>
        </w:rPr>
        <w:t xml:space="preserve">2.1.1. </w:t>
      </w:r>
      <w:r w:rsidR="00C50BC3" w:rsidRPr="00F32020">
        <w:rPr>
          <w:i/>
          <w:iCs/>
        </w:rPr>
        <w:t xml:space="preserve">Impact-oriented </w:t>
      </w:r>
      <w:r w:rsidRPr="00F32020">
        <w:rPr>
          <w:i/>
          <w:iCs/>
        </w:rPr>
        <w:t>Accelerators</w:t>
      </w:r>
    </w:p>
    <w:p w14:paraId="586AB9EE" w14:textId="4A715BC0" w:rsidR="002B70D8" w:rsidRPr="00F32020" w:rsidRDefault="002B70D8" w:rsidP="005546EC">
      <w:pPr>
        <w:autoSpaceDE w:val="0"/>
        <w:autoSpaceDN w:val="0"/>
        <w:adjustRightInd w:val="0"/>
        <w:spacing w:line="480" w:lineRule="auto"/>
        <w:jc w:val="both"/>
      </w:pPr>
      <w:r w:rsidRPr="00F32020">
        <w:t xml:space="preserve">The history of accelerators </w:t>
      </w:r>
      <w:r w:rsidR="007E3348" w:rsidRPr="00F32020">
        <w:t xml:space="preserve">dates </w:t>
      </w:r>
      <w:r w:rsidRPr="00F32020">
        <w:t>back to 2005</w:t>
      </w:r>
      <w:r w:rsidR="007E3348" w:rsidRPr="00F32020">
        <w:t>,</w:t>
      </w:r>
      <w:r w:rsidRPr="00F32020">
        <w:t xml:space="preserve"> with the launch of the Y Combinator, </w:t>
      </w:r>
      <w:r w:rsidR="00587782" w:rsidRPr="00F32020">
        <w:t xml:space="preserve">while </w:t>
      </w:r>
      <w:r w:rsidRPr="00F32020">
        <w:t>the popularity of this organi</w:t>
      </w:r>
      <w:r w:rsidR="007E3348" w:rsidRPr="00F32020">
        <w:t>s</w:t>
      </w:r>
      <w:r w:rsidRPr="00F32020">
        <w:t xml:space="preserve">ational form was enhanced by well-known participants such as Dropbox, Reddit, and Airbnb (Yu, 2020). In general, one may distinguish between the following three different types of accelerators: (i) private seed accelerators, (ii) corporate accelerators, (iii) impact-oriented accelerators. </w:t>
      </w:r>
    </w:p>
    <w:p w14:paraId="76CFCDCC" w14:textId="614E48D2" w:rsidR="00B738CC" w:rsidRPr="00F32020" w:rsidRDefault="2A942985" w:rsidP="005546EC">
      <w:pPr>
        <w:autoSpaceDE w:val="0"/>
        <w:autoSpaceDN w:val="0"/>
        <w:adjustRightInd w:val="0"/>
        <w:spacing w:line="480" w:lineRule="auto"/>
        <w:ind w:firstLine="720"/>
        <w:jc w:val="both"/>
      </w:pPr>
      <w:r>
        <w:lastRenderedPageBreak/>
        <w:t>The last type of accelerators, the impact-oriented ones, which is the focus of the present study, have received limited attention in the existing literature. We still know</w:t>
      </w:r>
      <w:r w:rsidR="00EE2FB8" w:rsidRPr="00EE2FB8">
        <w:rPr>
          <w:lang w:val="en-US"/>
        </w:rPr>
        <w:t xml:space="preserve"> </w:t>
      </w:r>
      <w:r>
        <w:t xml:space="preserve">too little about many aspects surrounding their operations, including who is selected to participate into these programmes (Roberts and Lall, 2019; Yang et al., 2020). This is surprising, for at least two reasons outlined in Lall et al. (2020). First, it is widely believed that impact-oriented entrepreneurship is critical for widespread economic development. Second, accelerators view selection as a key component of their models. </w:t>
      </w:r>
    </w:p>
    <w:p w14:paraId="711BAE73" w14:textId="58DC6416" w:rsidR="00E21F7A" w:rsidRPr="00F32020" w:rsidRDefault="2A942985" w:rsidP="005546EC">
      <w:pPr>
        <w:autoSpaceDE w:val="0"/>
        <w:autoSpaceDN w:val="0"/>
        <w:adjustRightInd w:val="0"/>
        <w:spacing w:line="480" w:lineRule="auto"/>
        <w:ind w:firstLine="720"/>
        <w:jc w:val="both"/>
      </w:pPr>
      <w:r>
        <w:t xml:space="preserve">One underlying difference, compared to the other two types of accelerators, is that the impact-oriented accelerators admit new ventures that seek some combination of financial returns and societal impact. </w:t>
      </w:r>
      <w:bookmarkStart w:id="8" w:name="_Hlk181022758"/>
      <w:r>
        <w:t>This societal impact is broadly defined. For example, some of the impact objectives most frequently cited by ventures in the EDP/GALI database are employment generation, income or productivity growth, and community development. Others are typical entrepreneurs whose ventures’ impacts are needed in marginalised regions and sectors. As discussed in Roberts and Lall (2019), roughly 60% of the impact accelerators in the EDP/GALI database focus on a particular sector or set of sectors, with the most common sectors being: (i) healthcare and life sciences, (ii) agriculture and food, and (iii) information and communication technology</w:t>
      </w:r>
      <w:bookmarkStart w:id="9" w:name="_Hlk182252410"/>
      <w:r>
        <w:t>. It should be noted that the interest in social and environmental issues does not mean that ventures are non-profit. As outlined in Roberts and Lall (2019), 79% of the ventures in the EDP/GALI database are for-profit companies, with the remaining 21% being a mix of non-profit or hybrid ones.</w:t>
      </w:r>
      <w:bookmarkEnd w:id="9"/>
    </w:p>
    <w:bookmarkEnd w:id="8"/>
    <w:p w14:paraId="5A307315" w14:textId="5A37F3D9" w:rsidR="00312E17" w:rsidRPr="00F32020" w:rsidRDefault="2A942985" w:rsidP="005546EC">
      <w:pPr>
        <w:autoSpaceDE w:val="0"/>
        <w:autoSpaceDN w:val="0"/>
        <w:adjustRightInd w:val="0"/>
        <w:spacing w:line="480" w:lineRule="auto"/>
        <w:ind w:firstLine="720"/>
        <w:jc w:val="both"/>
      </w:pPr>
      <w:r>
        <w:t xml:space="preserve">Additionally, social impact accelerators differ in terms of funding structures and sources, as they have greater reliance on philanthropic funders. Although they are less likely than impact-agnostic accelerators to provide direct funding, still one in two provide some kind of equity investment, grants, quasi-equity instruments, or debt.  </w:t>
      </w:r>
    </w:p>
    <w:p w14:paraId="5E21DD83" w14:textId="77777777" w:rsidR="0015070D" w:rsidRPr="00F32020" w:rsidRDefault="0015070D" w:rsidP="005546EC">
      <w:pPr>
        <w:autoSpaceDE w:val="0"/>
        <w:autoSpaceDN w:val="0"/>
        <w:adjustRightInd w:val="0"/>
        <w:spacing w:line="480" w:lineRule="auto"/>
        <w:ind w:firstLine="720"/>
        <w:jc w:val="both"/>
      </w:pPr>
    </w:p>
    <w:p w14:paraId="5384F7DA" w14:textId="514DC9DA" w:rsidR="00A008E4" w:rsidRPr="00F32020" w:rsidRDefault="008B02A1" w:rsidP="005546EC">
      <w:pPr>
        <w:autoSpaceDE w:val="0"/>
        <w:autoSpaceDN w:val="0"/>
        <w:adjustRightInd w:val="0"/>
        <w:spacing w:line="480" w:lineRule="auto"/>
        <w:jc w:val="both"/>
        <w:rPr>
          <w:i/>
          <w:iCs/>
        </w:rPr>
      </w:pPr>
      <w:r w:rsidRPr="00F32020">
        <w:rPr>
          <w:i/>
          <w:iCs/>
        </w:rPr>
        <w:lastRenderedPageBreak/>
        <w:t>2.</w:t>
      </w:r>
      <w:r w:rsidR="00D808DE" w:rsidRPr="00F32020">
        <w:rPr>
          <w:i/>
          <w:iCs/>
        </w:rPr>
        <w:t>1</w:t>
      </w:r>
      <w:r w:rsidRPr="00F32020">
        <w:rPr>
          <w:i/>
          <w:iCs/>
        </w:rPr>
        <w:t xml:space="preserve">.2. </w:t>
      </w:r>
      <w:r w:rsidR="00470D90" w:rsidRPr="00F32020">
        <w:rPr>
          <w:i/>
          <w:iCs/>
        </w:rPr>
        <w:t>Selection criteria</w:t>
      </w:r>
      <w:r w:rsidR="00C63135" w:rsidRPr="00F32020">
        <w:rPr>
          <w:i/>
          <w:iCs/>
        </w:rPr>
        <w:t xml:space="preserve"> and </w:t>
      </w:r>
      <w:r w:rsidR="000F51AC" w:rsidRPr="00F32020">
        <w:rPr>
          <w:i/>
          <w:iCs/>
        </w:rPr>
        <w:t xml:space="preserve">the </w:t>
      </w:r>
      <w:r w:rsidR="00C63135" w:rsidRPr="00F32020">
        <w:rPr>
          <w:i/>
          <w:iCs/>
        </w:rPr>
        <w:t>importance</w:t>
      </w:r>
      <w:r w:rsidR="000F51AC" w:rsidRPr="00F32020">
        <w:rPr>
          <w:i/>
          <w:iCs/>
        </w:rPr>
        <w:t xml:space="preserve"> of founding team</w:t>
      </w:r>
    </w:p>
    <w:p w14:paraId="0B110E0C" w14:textId="7B0E2C32" w:rsidR="001F0EDF" w:rsidRPr="00F32020" w:rsidRDefault="00E008B5" w:rsidP="005546EC">
      <w:pPr>
        <w:autoSpaceDE w:val="0"/>
        <w:autoSpaceDN w:val="0"/>
        <w:adjustRightInd w:val="0"/>
        <w:spacing w:line="480" w:lineRule="auto"/>
        <w:jc w:val="both"/>
      </w:pPr>
      <w:r w:rsidRPr="00F32020">
        <w:t>Roberts and Lall (2019) point out that</w:t>
      </w:r>
      <w:r w:rsidR="007E582B" w:rsidRPr="00F32020">
        <w:t xml:space="preserve"> conversations with accelerator program</w:t>
      </w:r>
      <w:r w:rsidR="007E3348" w:rsidRPr="00F32020">
        <w:t>me</w:t>
      </w:r>
      <w:r w:rsidR="007E582B" w:rsidRPr="00F32020">
        <w:t xml:space="preserve"> managers and publicly-espoused preferences </w:t>
      </w:r>
      <w:r w:rsidRPr="00F32020">
        <w:t>reveal</w:t>
      </w:r>
      <w:r w:rsidR="007E582B" w:rsidRPr="00F32020">
        <w:t xml:space="preserve"> that accelerators consider </w:t>
      </w:r>
      <w:r w:rsidR="00681836" w:rsidRPr="00F32020">
        <w:t xml:space="preserve">a mix of </w:t>
      </w:r>
      <w:r w:rsidR="007E582B" w:rsidRPr="00F32020">
        <w:t xml:space="preserve">both objective criteria (positive revenues, </w:t>
      </w:r>
      <w:r w:rsidR="00171E27" w:rsidRPr="00F32020">
        <w:t xml:space="preserve">own </w:t>
      </w:r>
      <w:r w:rsidR="007E582B" w:rsidRPr="00F32020">
        <w:t>intellectual property</w:t>
      </w:r>
      <w:r w:rsidR="001C781E" w:rsidRPr="00F32020">
        <w:t>, etc.</w:t>
      </w:r>
      <w:r w:rsidR="007E582B" w:rsidRPr="00F32020">
        <w:t>) and intangible factors (entrepreneurship passion, leadership, etc.).</w:t>
      </w:r>
      <w:r w:rsidR="00171E27" w:rsidRPr="00F32020">
        <w:t xml:space="preserve"> </w:t>
      </w:r>
      <w:r w:rsidR="00BC18A6" w:rsidRPr="00F32020">
        <w:t>Lall</w:t>
      </w:r>
      <w:r w:rsidR="007D1D30" w:rsidRPr="00F32020">
        <w:t xml:space="preserve"> et al. </w:t>
      </w:r>
      <w:r w:rsidR="00BC18A6" w:rsidRPr="00F32020">
        <w:t>(2020) distinguish between generic observable criteria and idiosyncratic selection practices.</w:t>
      </w:r>
      <w:r w:rsidR="001A07C9" w:rsidRPr="00F32020">
        <w:t xml:space="preserve"> </w:t>
      </w:r>
      <w:r w:rsidR="003223C2" w:rsidRPr="00F32020">
        <w:t>Leatherbee and Gonzalez-Uribe (2018) also</w:t>
      </w:r>
      <w:r w:rsidR="003223C2" w:rsidRPr="00F32020">
        <w:rPr>
          <w:b/>
          <w:bCs/>
        </w:rPr>
        <w:t xml:space="preserve"> </w:t>
      </w:r>
      <w:r w:rsidR="003223C2" w:rsidRPr="00F32020">
        <w:t>discuss that</w:t>
      </w:r>
      <w:r w:rsidR="00600EEB">
        <w:t>,</w:t>
      </w:r>
      <w:r w:rsidR="003223C2" w:rsidRPr="00F32020">
        <w:t xml:space="preserve"> for the process of identification and selection of future performance to be effective, it must somehow recogni</w:t>
      </w:r>
      <w:r w:rsidR="007E3348" w:rsidRPr="00F32020">
        <w:t>s</w:t>
      </w:r>
      <w:r w:rsidR="003223C2" w:rsidRPr="00F32020">
        <w:t>e the potential of entrepreneur</w:t>
      </w:r>
      <w:r w:rsidR="007E3348" w:rsidRPr="00F32020">
        <w:t>s</w:t>
      </w:r>
      <w:r w:rsidR="003223C2" w:rsidRPr="00F32020">
        <w:t xml:space="preserve"> to discover a high-potential opportunity.</w:t>
      </w:r>
    </w:p>
    <w:p w14:paraId="52A825DB" w14:textId="1BAA4D16" w:rsidR="005410AF" w:rsidRPr="00F32020" w:rsidRDefault="2A942985">
      <w:pPr>
        <w:spacing w:line="480" w:lineRule="auto"/>
        <w:ind w:firstLine="720"/>
        <w:jc w:val="both"/>
      </w:pPr>
      <w:r>
        <w:t xml:space="preserve">Empirical research in the field is still limited. In more detail, Yang et al. (2020) show that: (i) social impact accelerators are more likely to accept startups that signal their economic and social credibility, as these are reflected in prior equity investment and prior philanthropic investment, respectively, and (ii) the impact of these signals differs by the lead founder’s gender. The estimations in Lall et al. (2020) also reveal that the likelihood of participating in a programme depends primarily on the business model, having a social media page, debt sources, and founders with a graduate degree. </w:t>
      </w:r>
      <w:bookmarkStart w:id="10" w:name="_Hlk182252621"/>
      <w:r>
        <w:t xml:space="preserve">Finally, Assenova (2021) finds that national-level institutional reforms that reduced the barriers to entry, growth, and exit for new firms decrease the startups’ average probability of being admitted into accelerators. </w:t>
      </w:r>
      <w:bookmarkEnd w:id="10"/>
    </w:p>
    <w:p w14:paraId="1950CE6D" w14:textId="15BC69D4" w:rsidR="00553C65" w:rsidRPr="00F32020" w:rsidRDefault="000234F7" w:rsidP="005546EC">
      <w:pPr>
        <w:autoSpaceDE w:val="0"/>
        <w:autoSpaceDN w:val="0"/>
        <w:adjustRightInd w:val="0"/>
        <w:spacing w:line="480" w:lineRule="auto"/>
        <w:ind w:firstLine="720"/>
        <w:jc w:val="both"/>
      </w:pPr>
      <w:r w:rsidRPr="00F32020">
        <w:t>Another aspect that appears to be p</w:t>
      </w:r>
      <w:r w:rsidR="007E582B" w:rsidRPr="00F32020">
        <w:t>articularly relevant in our context is that the venture team appears to be an important factor in the selection process</w:t>
      </w:r>
      <w:r w:rsidR="00AB0B49" w:rsidRPr="00F32020">
        <w:t>, as discussed in</w:t>
      </w:r>
      <w:r w:rsidR="007E582B" w:rsidRPr="00F32020">
        <w:t xml:space="preserve"> Pauwels et al. (2016) </w:t>
      </w:r>
      <w:r w:rsidR="00AB0B49" w:rsidRPr="00F32020">
        <w:t>and</w:t>
      </w:r>
      <w:r w:rsidR="007E582B" w:rsidRPr="00F32020">
        <w:t xml:space="preserve"> Roberts and Lall (2019). They both provide examples illustrat</w:t>
      </w:r>
      <w:r w:rsidR="00B65539" w:rsidRPr="00F32020">
        <w:t>ing</w:t>
      </w:r>
      <w:r w:rsidR="007E582B" w:rsidRPr="00F32020">
        <w:t xml:space="preserve"> that there is a preference for multi-founders’ ventures, and that accelerators are trying to assess the personality, energy and passion of the entrepreneurs, along with the </w:t>
      </w:r>
      <w:r w:rsidR="00095AFA" w:rsidRPr="00F32020">
        <w:t>“</w:t>
      </w:r>
      <w:r w:rsidR="007E582B" w:rsidRPr="00F32020">
        <w:t>culture fit</w:t>
      </w:r>
      <w:r w:rsidR="00095AFA" w:rsidRPr="00F32020">
        <w:t>”</w:t>
      </w:r>
      <w:r w:rsidR="007E582B" w:rsidRPr="00F32020">
        <w:t xml:space="preserve"> and the founding team cohesion. The underlying reason is that the business idea can change entirely in the early years, and even an incredible idea is not going to succeed without the appropriate </w:t>
      </w:r>
      <w:r w:rsidR="007E582B" w:rsidRPr="00F32020">
        <w:lastRenderedPageBreak/>
        <w:t xml:space="preserve">team (Roberts and Lall, 2019). </w:t>
      </w:r>
      <w:r w:rsidR="003433F7" w:rsidRPr="00F32020">
        <w:rPr>
          <w:rFonts w:eastAsiaTheme="minorHAnsi"/>
          <w:lang w:eastAsia="en-US"/>
        </w:rPr>
        <w:t>A</w:t>
      </w:r>
      <w:r w:rsidR="00993F0F" w:rsidRPr="00F32020">
        <w:rPr>
          <w:rFonts w:eastAsiaTheme="minorHAnsi"/>
          <w:lang w:eastAsia="en-US"/>
        </w:rPr>
        <w:t>l</w:t>
      </w:r>
      <w:r w:rsidR="003433F7" w:rsidRPr="00F32020">
        <w:rPr>
          <w:rFonts w:eastAsiaTheme="minorHAnsi"/>
          <w:lang w:eastAsia="en-US"/>
        </w:rPr>
        <w:t>ong the same line</w:t>
      </w:r>
      <w:r w:rsidR="00993F0F" w:rsidRPr="00F32020">
        <w:rPr>
          <w:rFonts w:eastAsiaTheme="minorHAnsi"/>
          <w:lang w:eastAsia="en-US"/>
        </w:rPr>
        <w:t>s</w:t>
      </w:r>
      <w:r w:rsidR="003433F7" w:rsidRPr="00F32020">
        <w:rPr>
          <w:rFonts w:eastAsiaTheme="minorHAnsi"/>
          <w:lang w:eastAsia="en-US"/>
        </w:rPr>
        <w:t xml:space="preserve">, </w:t>
      </w:r>
      <w:r w:rsidR="003433F7" w:rsidRPr="00F32020">
        <w:t>Lall et al. (2020) highlight that the specifics describ</w:t>
      </w:r>
      <w:r w:rsidR="00600EEB">
        <w:t>ing</w:t>
      </w:r>
      <w:r w:rsidR="003433F7" w:rsidRPr="00F32020">
        <w:t xml:space="preserve"> each accelerator’s selection process </w:t>
      </w:r>
      <w:r w:rsidR="00B90AB3" w:rsidRPr="00F32020">
        <w:t xml:space="preserve">may </w:t>
      </w:r>
      <w:r w:rsidR="003433F7" w:rsidRPr="00F32020">
        <w:t>vary</w:t>
      </w:r>
      <w:r w:rsidR="00B90AB3" w:rsidRPr="00F32020">
        <w:t>; however,</w:t>
      </w:r>
      <w:r w:rsidR="003433F7" w:rsidRPr="00F32020">
        <w:t xml:space="preserve"> most </w:t>
      </w:r>
      <w:r w:rsidR="00B90AB3" w:rsidRPr="00F32020">
        <w:t xml:space="preserve">of them </w:t>
      </w:r>
      <w:r w:rsidR="003433F7" w:rsidRPr="00F32020">
        <w:t>focus on characteristics of the venture and its founding team.</w:t>
      </w:r>
      <w:r w:rsidR="00993F0F" w:rsidRPr="00F32020">
        <w:t xml:space="preserve"> It should be noted here that</w:t>
      </w:r>
      <w:r w:rsidR="007E3348" w:rsidRPr="00F32020">
        <w:t>,</w:t>
      </w:r>
      <w:r w:rsidR="00993F0F" w:rsidRPr="00F32020">
        <w:t xml:space="preserve"> despite the limited evidence in the case of accelerators, </w:t>
      </w:r>
      <w:r w:rsidR="00A30AFD" w:rsidRPr="00F32020">
        <w:t>t</w:t>
      </w:r>
      <w:r w:rsidR="001148FB" w:rsidRPr="00F32020">
        <w:t>he importance of the found</w:t>
      </w:r>
      <w:r w:rsidR="00801B58" w:rsidRPr="00F32020">
        <w:t>ing</w:t>
      </w:r>
      <w:r w:rsidR="001148FB" w:rsidRPr="00F32020">
        <w:t xml:space="preserve"> team has been highlighted before in the literature</w:t>
      </w:r>
      <w:r w:rsidR="00993F0F" w:rsidRPr="00F32020">
        <w:t xml:space="preserve"> of entrepreneurial financing decisions</w:t>
      </w:r>
      <w:r w:rsidR="00EA76FD" w:rsidRPr="00F32020">
        <w:t>, like in the case of business angels and venture capitalists (Mason and Star</w:t>
      </w:r>
      <w:r w:rsidR="00AD4EA2" w:rsidRPr="00F32020">
        <w:t>k</w:t>
      </w:r>
      <w:r w:rsidR="00EA76FD" w:rsidRPr="00F32020">
        <w:t>, 2004; Sudek, 2006), with many of them revealing that the team is even more important than the product or the industry (MacMillan et al., 1985; Muzyka et al., 1996</w:t>
      </w:r>
      <w:r w:rsidR="00804AB6" w:rsidRPr="00F32020">
        <w:t>)</w:t>
      </w:r>
      <w:r w:rsidR="00A30AFD" w:rsidRPr="00F32020">
        <w:t xml:space="preserve">. </w:t>
      </w:r>
      <w:r w:rsidR="00993F0F" w:rsidRPr="00F32020">
        <w:t xml:space="preserve"> </w:t>
      </w:r>
    </w:p>
    <w:p w14:paraId="5E47FE7E" w14:textId="6AB4C45D" w:rsidR="00553C65" w:rsidRPr="00F32020" w:rsidRDefault="2A942985" w:rsidP="005546EC">
      <w:pPr>
        <w:autoSpaceDE w:val="0"/>
        <w:autoSpaceDN w:val="0"/>
        <w:adjustRightInd w:val="0"/>
        <w:spacing w:line="480" w:lineRule="auto"/>
        <w:ind w:firstLine="720"/>
        <w:jc w:val="both"/>
      </w:pPr>
      <w:r>
        <w:t xml:space="preserve">Within this context, we assume that national culture can serve as a proxy for the values and behaviour of the venture founders. Whilst it is difficult to observe ex-post the behaviour of a given founder or team of founders, their cultural background might provide useful pieces of information. Being part of society, business managers and leaders share the same beliefs and values, and they must adhere to them. Therefore, it is not surprising that the literature suggests that differences in managerial and leadership beliefs, values, styles and behaviour reflect societal cultural differences (Shaw, 1990; House et al., 2004). </w:t>
      </w:r>
    </w:p>
    <w:p w14:paraId="19DE69EA" w14:textId="243F1C41" w:rsidR="00590696" w:rsidRPr="00F32020" w:rsidRDefault="00590696" w:rsidP="005546EC">
      <w:pPr>
        <w:autoSpaceDE w:val="0"/>
        <w:autoSpaceDN w:val="0"/>
        <w:adjustRightInd w:val="0"/>
        <w:spacing w:line="480" w:lineRule="auto"/>
        <w:jc w:val="both"/>
      </w:pPr>
    </w:p>
    <w:p w14:paraId="165097C4" w14:textId="0B1FCEB6" w:rsidR="00AB3168" w:rsidRPr="00F32020" w:rsidRDefault="00520E52" w:rsidP="005546EC">
      <w:pPr>
        <w:spacing w:line="480" w:lineRule="auto"/>
        <w:rPr>
          <w:b/>
          <w:bCs/>
          <w:i/>
          <w:iCs/>
        </w:rPr>
      </w:pPr>
      <w:r w:rsidRPr="00F32020">
        <w:rPr>
          <w:b/>
          <w:bCs/>
          <w:i/>
          <w:iCs/>
        </w:rPr>
        <w:t>2.2. The signal</w:t>
      </w:r>
      <w:r w:rsidR="00E326BE" w:rsidRPr="00F32020">
        <w:rPr>
          <w:b/>
          <w:bCs/>
          <w:i/>
          <w:iCs/>
        </w:rPr>
        <w:t>l</w:t>
      </w:r>
      <w:r w:rsidRPr="00F32020">
        <w:rPr>
          <w:b/>
          <w:bCs/>
          <w:i/>
          <w:iCs/>
        </w:rPr>
        <w:t>ing role of cultural diversity</w:t>
      </w:r>
    </w:p>
    <w:p w14:paraId="5173F139" w14:textId="3826FF72" w:rsidR="00342CF1" w:rsidRPr="00F32020" w:rsidRDefault="000F6FC5" w:rsidP="005546EC">
      <w:pPr>
        <w:autoSpaceDE w:val="0"/>
        <w:autoSpaceDN w:val="0"/>
        <w:adjustRightInd w:val="0"/>
        <w:spacing w:line="480" w:lineRule="auto"/>
        <w:jc w:val="both"/>
      </w:pPr>
      <w:r w:rsidRPr="00F32020">
        <w:t>In the preceding section</w:t>
      </w:r>
      <w:r w:rsidR="00694697" w:rsidRPr="00F32020">
        <w:t>,</w:t>
      </w:r>
      <w:r w:rsidRPr="00F32020">
        <w:t xml:space="preserve"> we </w:t>
      </w:r>
      <w:r w:rsidR="00AB4785" w:rsidRPr="00F32020">
        <w:t>established the importance of the founding team</w:t>
      </w:r>
      <w:r w:rsidRPr="00F32020">
        <w:t>,</w:t>
      </w:r>
      <w:r w:rsidR="00AB4785" w:rsidRPr="00F32020">
        <w:t xml:space="preserve"> not only for the new venture, but also for its potential selection in acceleration program</w:t>
      </w:r>
      <w:r w:rsidR="00864316" w:rsidRPr="00F32020">
        <w:t>me</w:t>
      </w:r>
      <w:r w:rsidR="00AB4785" w:rsidRPr="00F32020">
        <w:t>s</w:t>
      </w:r>
      <w:r w:rsidRPr="00F32020">
        <w:t>.</w:t>
      </w:r>
      <w:r w:rsidR="007A6B93" w:rsidRPr="00F32020">
        <w:t xml:space="preserve"> </w:t>
      </w:r>
      <w:r w:rsidRPr="00F32020">
        <w:t>I</w:t>
      </w:r>
      <w:r w:rsidR="00AB4785" w:rsidRPr="00F32020">
        <w:t>n the discussion t</w:t>
      </w:r>
      <w:r w:rsidR="00E65EF3" w:rsidRPr="00F32020">
        <w:t>hat</w:t>
      </w:r>
      <w:r w:rsidR="00AB4785" w:rsidRPr="00F32020">
        <w:t xml:space="preserve"> follow</w:t>
      </w:r>
      <w:r w:rsidR="00E65EF3" w:rsidRPr="00F32020">
        <w:t>s</w:t>
      </w:r>
      <w:r w:rsidR="00AB4785" w:rsidRPr="00F32020">
        <w:t xml:space="preserve">, we </w:t>
      </w:r>
      <w:r w:rsidR="00E65EF3" w:rsidRPr="00F32020">
        <w:t xml:space="preserve">refer to </w:t>
      </w:r>
      <w:r w:rsidR="00AB4785" w:rsidRPr="00F32020">
        <w:t xml:space="preserve">the role of </w:t>
      </w:r>
      <w:r w:rsidR="00A400A2" w:rsidRPr="00F32020">
        <w:t xml:space="preserve">cultural </w:t>
      </w:r>
      <w:r w:rsidR="00AB4785" w:rsidRPr="00F32020">
        <w:t xml:space="preserve">diversity as a potential signal, and we develop our hypothesis. </w:t>
      </w:r>
    </w:p>
    <w:p w14:paraId="10ABC721" w14:textId="1928DA23" w:rsidR="00981126" w:rsidRPr="00F32020" w:rsidRDefault="2A942985" w:rsidP="005546EC">
      <w:pPr>
        <w:autoSpaceDE w:val="0"/>
        <w:autoSpaceDN w:val="0"/>
        <w:adjustRightInd w:val="0"/>
        <w:spacing w:line="480" w:lineRule="auto"/>
        <w:ind w:firstLine="720"/>
        <w:jc w:val="both"/>
      </w:pPr>
      <w:r>
        <w:t xml:space="preserve">Drawing on signalling theory, we hypothesise that the cultural diversity of the founders’ team can serve as a signal of the ventures’ potential, therefore providing the basis for a more informed decision by accelerators. In general, signalling theory (Spence, 1973) is applicable in cases where one party (individual or corporation) may communicate information to another, </w:t>
      </w:r>
      <w:r>
        <w:lastRenderedPageBreak/>
        <w:t xml:space="preserve">through a signal, to reduce information asymmetry. Therefore, it has become very popular in the entrepreneurial financing literature, where information asymmetries constitute an important issue. </w:t>
      </w:r>
    </w:p>
    <w:p w14:paraId="69E1F665" w14:textId="11B33960" w:rsidR="00590696" w:rsidRPr="00F32020" w:rsidRDefault="00590696" w:rsidP="005546EC">
      <w:pPr>
        <w:autoSpaceDE w:val="0"/>
        <w:autoSpaceDN w:val="0"/>
        <w:adjustRightInd w:val="0"/>
        <w:spacing w:line="480" w:lineRule="auto"/>
        <w:ind w:firstLine="720"/>
        <w:jc w:val="both"/>
      </w:pPr>
      <w:r w:rsidRPr="00F32020">
        <w:t>In more detail, new ventures have limited or no track records of revenues and profits, they do not have well-established networks like public firms, they often possess assets that are knowledge-based and intangible, and thus they face challenges to prove their legitimacy, managerial capacity, and prospects for the future (Audretsch et al., 2012; Plummer et al., 201</w:t>
      </w:r>
      <w:r w:rsidR="001658A0" w:rsidRPr="00F32020">
        <w:t>5</w:t>
      </w:r>
      <w:r w:rsidRPr="00F32020">
        <w:t>; Ko and McKelvie, 2018; Yang et al., 2020). For example, Lee and Huang (2018) emphasi</w:t>
      </w:r>
      <w:r w:rsidR="00694697" w:rsidRPr="00F32020">
        <w:t>s</w:t>
      </w:r>
      <w:r w:rsidRPr="00F32020">
        <w:t xml:space="preserve">e the role of information that might be unrelated to the objective quality of a business, and the lack of “hard” information, mentioning that: “Evaluations of early-stage ventures frequently lack objective, “hard” venture information; contexts such as business plan reviews, pitch competitions, and informal meetings provide limited evidence on financial performance or proven products (MacMillan et al. </w:t>
      </w:r>
      <w:r w:rsidR="00742941" w:rsidRPr="00F32020">
        <w:t>1985</w:t>
      </w:r>
      <w:r w:rsidRPr="00F32020">
        <w:t xml:space="preserve">). Evaluators consequently rely heavily on subjective interpersonal signals and cues and form narratives about how a founder might achieve success in the founder’s venture (Martens et al. </w:t>
      </w:r>
      <w:r w:rsidR="00742941" w:rsidRPr="00F32020">
        <w:t>2007</w:t>
      </w:r>
      <w:r w:rsidRPr="00F32020">
        <w:t>). In such assessments, evaluations may be influenced by information unrelated to the objective quality of a business, including […] or observed characteristics of entrepreneurs, such as gender and attractiveness (Brooks et al. 2014)</w:t>
      </w:r>
      <w:r w:rsidRPr="00F32020">
        <w:rPr>
          <w:i/>
          <w:iCs/>
        </w:rPr>
        <w:t xml:space="preserve">” </w:t>
      </w:r>
      <w:r w:rsidRPr="00F32020">
        <w:t>(p. 2). Thus, external stakeholders have an information</w:t>
      </w:r>
      <w:r w:rsidR="00304662" w:rsidRPr="00F32020">
        <w:t>al</w:t>
      </w:r>
      <w:r w:rsidRPr="00F32020">
        <w:t xml:space="preserve"> disadvantage</w:t>
      </w:r>
      <w:r w:rsidR="00E858FA" w:rsidRPr="00F32020">
        <w:t>,</w:t>
      </w:r>
      <w:r w:rsidRPr="00F32020">
        <w:t xml:space="preserve"> and the underlying idea is that new ventures can reduce uncertainty for investors and decision makers by signa</w:t>
      </w:r>
      <w:r w:rsidR="00E326BE" w:rsidRPr="00F32020">
        <w:t>l</w:t>
      </w:r>
      <w:r w:rsidRPr="00F32020">
        <w:t>ling their potential value through venture attributes (Audretsch et al., 2012; Plummer et al., 201</w:t>
      </w:r>
      <w:r w:rsidR="001658A0" w:rsidRPr="00F32020">
        <w:t>5</w:t>
      </w:r>
      <w:r w:rsidRPr="00F32020">
        <w:t xml:space="preserve">; Ko and McKelvie, 2018; Yang et al., 2020). </w:t>
      </w:r>
    </w:p>
    <w:p w14:paraId="6CFCAB3D" w14:textId="7CE9F914" w:rsidR="002D7002" w:rsidRPr="00F32020" w:rsidRDefault="2A942985">
      <w:pPr>
        <w:spacing w:line="480" w:lineRule="auto"/>
        <w:ind w:firstLine="720"/>
        <w:jc w:val="both"/>
      </w:pPr>
      <w:bookmarkStart w:id="11" w:name="_Hlk211444308"/>
      <w:r>
        <w:t xml:space="preserve">The management and organizational behavioural literature have devoted a lot of attention to </w:t>
      </w:r>
      <w:r w:rsidRPr="2A942985">
        <w:rPr>
          <w:lang w:val="en-US"/>
        </w:rPr>
        <w:t xml:space="preserve">workgroup diversity and its positive and negative effects on various issues </w:t>
      </w:r>
      <w:r>
        <w:t>such as decision-making, cooperation, performance, etc. (</w:t>
      </w:r>
      <w:r w:rsidRPr="2A942985">
        <w:rPr>
          <w:lang w:val="en-US"/>
        </w:rPr>
        <w:t>Williams and O’Reilly, 1998; van Knippenberg and Schippers, 2007; Bezrukova</w:t>
      </w:r>
      <w:r>
        <w:t xml:space="preserve"> et al., 2009; Roberson, 2019</w:t>
      </w:r>
      <w:r w:rsidRPr="2A942985">
        <w:rPr>
          <w:lang w:val="en-US"/>
        </w:rPr>
        <w:t>)</w:t>
      </w:r>
      <w:r>
        <w:t xml:space="preserve">. Along the same </w:t>
      </w:r>
      <w:r>
        <w:lastRenderedPageBreak/>
        <w:t xml:space="preserve">lines, a related strand of the literature has examined the role of diversity among founders of new ventures, focusing on issues like team effectiveness, sales performance and evaluation by third parties (Klotz et al., 2014; Sundermeier and Mahlert, 2023). Building on these strands of the literature, we assume that there are numerous reasons for which the cultural diversity of the founding team could serve as a signal of the team’s potential, eventually influencing the decision of accelerators. </w:t>
      </w:r>
      <w:bookmarkEnd w:id="11"/>
      <w:r>
        <w:t xml:space="preserve">The literature suggests that national culture influences various behavioural aspects of entrepreneurs and firm founders, including risk-taking and proactiveness (Kreiser et al., 2010), growth aspirations (Autio et al., 2013), overconfidence (Cieślik et al., 2018), </w:t>
      </w:r>
      <w:r w:rsidRPr="2A942985">
        <w:rPr>
          <w:rFonts w:eastAsiaTheme="minorEastAsia"/>
          <w:lang w:eastAsia="en-US"/>
        </w:rPr>
        <w:t>entrepreneurs’ opportunity exploitation decision (Liu et al., 2019), entrepreneurs’ goals for value creation (Hechavarrıa et al., 2017), and entrepreneurial intentions (Schlaegel et al., 2013)</w:t>
      </w:r>
      <w:r>
        <w:t xml:space="preserve">. Along the same lines, in their review of the literature, </w:t>
      </w:r>
      <w:r w:rsidRPr="2A942985">
        <w:rPr>
          <w:rFonts w:eastAsiaTheme="minorEastAsia"/>
          <w:lang w:eastAsia="en-US"/>
        </w:rPr>
        <w:t>Hayton et al. (2002) refer to differences in entrepreneurial cognitive scripts (Mitchell et al., 2000), motives (Scheinberg and MacMillan, 1988), and internal locus of control (Mueller and Thomas, 2000) across cultures.</w:t>
      </w:r>
      <w:r>
        <w:t xml:space="preserve"> Hence, bringing together people from different cultures in the founding team would result in different views, values, and practices. At the same time, many studies suggest that cultural diversity engenders information elaboration, offering a </w:t>
      </w:r>
      <w:bookmarkStart w:id="12" w:name="_Hlk54525597"/>
      <w:r>
        <w:t xml:space="preserve">wide range of knowledge, perspectives and experiences with different institutional environments (Nederveen Pieterse et al., 2013; Nielsen and Nielsen, 2013; Frijns et al., 2016). Thus, as discussed in the literature, the presence of people with different points of view ensures the consideration of a larger set of problems and alternative potential solutions (Bantel and Jackson, 1989). </w:t>
      </w:r>
    </w:p>
    <w:p w14:paraId="587162A9" w14:textId="4DF89A1A" w:rsidR="0069588D" w:rsidRPr="00F32020" w:rsidRDefault="00BB769A" w:rsidP="005546EC">
      <w:pPr>
        <w:spacing w:line="480" w:lineRule="auto"/>
        <w:ind w:firstLine="720"/>
        <w:jc w:val="both"/>
        <w:rPr>
          <w:highlight w:val="yellow"/>
        </w:rPr>
      </w:pPr>
      <w:bookmarkStart w:id="13" w:name="_Hlk181953933"/>
      <w:r w:rsidRPr="00F32020">
        <w:t>Therefore, nationally diverse teams might be better at solving complex tasks and arriving at more innovative solutions (</w:t>
      </w:r>
      <w:r w:rsidR="0064533A" w:rsidRPr="00F32020">
        <w:t xml:space="preserve">Umans, 2009; </w:t>
      </w:r>
      <w:r w:rsidRPr="00F32020">
        <w:t>Nielsen and Nielsen, 2013</w:t>
      </w:r>
      <w:r w:rsidR="00EF78BB" w:rsidRPr="00F32020">
        <w:t xml:space="preserve"> and references therein</w:t>
      </w:r>
      <w:r w:rsidRPr="00F32020">
        <w:t>).</w:t>
      </w:r>
      <w:r w:rsidR="0044101D" w:rsidRPr="00F32020">
        <w:t xml:space="preserve"> </w:t>
      </w:r>
      <w:r w:rsidRPr="00F32020">
        <w:t xml:space="preserve">Considering that, in the case of new ventures, many problems will be </w:t>
      </w:r>
      <w:r w:rsidR="007B5B8E" w:rsidRPr="00F32020">
        <w:t>novel,</w:t>
      </w:r>
      <w:r w:rsidRPr="00F32020">
        <w:t xml:space="preserve"> and will require creative thinking, we would expect that a diverse team would </w:t>
      </w:r>
      <w:r w:rsidR="00AE1401" w:rsidRPr="00F32020">
        <w:t>serve</w:t>
      </w:r>
      <w:r w:rsidRPr="00F32020">
        <w:t xml:space="preserve"> as a positive signal. </w:t>
      </w:r>
      <w:r w:rsidR="00CA2823" w:rsidRPr="00F32020">
        <w:lastRenderedPageBreak/>
        <w:t xml:space="preserve">Additionally, </w:t>
      </w:r>
      <w:r w:rsidR="00CA2823" w:rsidRPr="00F32020">
        <w:rPr>
          <w:rFonts w:eastAsiaTheme="minorHAnsi"/>
          <w:lang w:eastAsia="en-US"/>
        </w:rPr>
        <w:t xml:space="preserve">impact-oriented entrepreneurs </w:t>
      </w:r>
      <w:r w:rsidR="005F36A1" w:rsidRPr="00F32020">
        <w:rPr>
          <w:rFonts w:eastAsiaTheme="minorHAnsi"/>
          <w:lang w:eastAsia="en-US"/>
        </w:rPr>
        <w:t xml:space="preserve">try </w:t>
      </w:r>
      <w:r w:rsidR="00CA2823" w:rsidRPr="00F32020">
        <w:rPr>
          <w:rFonts w:eastAsiaTheme="minorHAnsi"/>
          <w:lang w:eastAsia="en-US"/>
        </w:rPr>
        <w:t>not only</w:t>
      </w:r>
      <w:r w:rsidR="00AE1401" w:rsidRPr="00F32020">
        <w:rPr>
          <w:rFonts w:eastAsiaTheme="minorHAnsi"/>
          <w:lang w:eastAsia="en-US"/>
        </w:rPr>
        <w:t xml:space="preserve"> to</w:t>
      </w:r>
      <w:r w:rsidR="00CA2823" w:rsidRPr="00F32020">
        <w:rPr>
          <w:rFonts w:eastAsiaTheme="minorHAnsi"/>
          <w:lang w:eastAsia="en-US"/>
        </w:rPr>
        <w:t xml:space="preserve"> create high-quality jobs and reliable incomes, but also </w:t>
      </w:r>
      <w:r w:rsidR="005F36A1" w:rsidRPr="00F32020">
        <w:rPr>
          <w:rFonts w:eastAsiaTheme="minorHAnsi"/>
          <w:lang w:eastAsia="en-US"/>
        </w:rPr>
        <w:t xml:space="preserve">to </w:t>
      </w:r>
      <w:r w:rsidR="00CA2823" w:rsidRPr="00F32020">
        <w:rPr>
          <w:rFonts w:eastAsiaTheme="minorHAnsi"/>
          <w:lang w:eastAsia="en-US"/>
        </w:rPr>
        <w:t xml:space="preserve">develop innovative, market-based solutions to </w:t>
      </w:r>
      <w:r w:rsidR="004A4885" w:rsidRPr="00F32020">
        <w:rPr>
          <w:rFonts w:eastAsiaTheme="minorHAnsi"/>
          <w:lang w:eastAsia="en-US"/>
        </w:rPr>
        <w:t xml:space="preserve">address </w:t>
      </w:r>
      <w:r w:rsidR="00CA2823" w:rsidRPr="00F32020">
        <w:rPr>
          <w:rFonts w:eastAsiaTheme="minorHAnsi"/>
          <w:lang w:eastAsia="en-US"/>
        </w:rPr>
        <w:t>major social challenges, like the lack of access to energy, education, or healthcare</w:t>
      </w:r>
      <w:r w:rsidR="00493A4E" w:rsidRPr="00F32020">
        <w:rPr>
          <w:rFonts w:eastAsiaTheme="minorHAnsi"/>
          <w:lang w:eastAsia="en-US"/>
        </w:rPr>
        <w:t xml:space="preserve"> (Roberts and Lall, 2019)</w:t>
      </w:r>
      <w:r w:rsidR="00CA2823" w:rsidRPr="00F32020">
        <w:rPr>
          <w:rFonts w:eastAsiaTheme="minorHAnsi"/>
          <w:lang w:eastAsia="en-US"/>
        </w:rPr>
        <w:t xml:space="preserve">. </w:t>
      </w:r>
      <w:r w:rsidR="005F36A1" w:rsidRPr="00F32020">
        <w:rPr>
          <w:rFonts w:eastAsiaTheme="minorHAnsi"/>
          <w:lang w:eastAsia="en-US"/>
        </w:rPr>
        <w:t>Within this context</w:t>
      </w:r>
      <w:r w:rsidR="00694697" w:rsidRPr="00F32020">
        <w:rPr>
          <w:rFonts w:eastAsiaTheme="minorHAnsi"/>
          <w:lang w:eastAsia="en-US"/>
        </w:rPr>
        <w:t>,</w:t>
      </w:r>
      <w:r w:rsidR="005F36A1" w:rsidRPr="00F32020">
        <w:rPr>
          <w:rFonts w:eastAsiaTheme="minorHAnsi"/>
          <w:lang w:eastAsia="en-US"/>
        </w:rPr>
        <w:t xml:space="preserve"> they must</w:t>
      </w:r>
      <w:r w:rsidR="00CA2823" w:rsidRPr="00F32020">
        <w:t xml:space="preserve"> meet both financial and social or environmental targets, which </w:t>
      </w:r>
      <w:r w:rsidR="00600EEB">
        <w:t>creates</w:t>
      </w:r>
      <w:r w:rsidR="00600EEB" w:rsidRPr="00F32020">
        <w:t xml:space="preserve"> </w:t>
      </w:r>
      <w:r w:rsidR="00CA2823" w:rsidRPr="00F32020">
        <w:t xml:space="preserve">an additional difficulty as they </w:t>
      </w:r>
      <w:r w:rsidR="005F36A1" w:rsidRPr="00F32020">
        <w:t>must</w:t>
      </w:r>
      <w:r w:rsidR="00CA2823" w:rsidRPr="00F32020">
        <w:t xml:space="preserve"> balance the values of various stakeholders. </w:t>
      </w:r>
      <w:r w:rsidR="007B644C" w:rsidRPr="00F32020">
        <w:t xml:space="preserve">Duchek et al. (2020) </w:t>
      </w:r>
      <w:r w:rsidR="00FB0275" w:rsidRPr="00F32020">
        <w:t xml:space="preserve">highlight </w:t>
      </w:r>
      <w:r w:rsidR="007B644C" w:rsidRPr="00F32020">
        <w:t xml:space="preserve">that diversity in the top management team allows for better environmental scanning and perception of </w:t>
      </w:r>
      <w:r w:rsidR="007B644C" w:rsidRPr="00F32020">
        <w:rPr>
          <w:rStyle w:val="highlight"/>
        </w:rPr>
        <w:t>complex</w:t>
      </w:r>
      <w:r w:rsidR="007B644C" w:rsidRPr="00F32020">
        <w:t xml:space="preserve"> environments.</w:t>
      </w:r>
      <w:r w:rsidR="00AF74E4" w:rsidRPr="00F32020">
        <w:t xml:space="preserve"> Hence, different views originating from different cultures </w:t>
      </w:r>
      <w:r w:rsidR="00247DF2" w:rsidRPr="00F32020">
        <w:t xml:space="preserve">within the </w:t>
      </w:r>
      <w:r w:rsidR="00AF74E4" w:rsidRPr="00F32020">
        <w:t>founding team</w:t>
      </w:r>
      <w:r w:rsidR="00600EEB">
        <w:t>,</w:t>
      </w:r>
      <w:r w:rsidR="00AF74E4" w:rsidRPr="00F32020">
        <w:t xml:space="preserve"> </w:t>
      </w:r>
      <w:r w:rsidR="00600EEB">
        <w:t xml:space="preserve">along with </w:t>
      </w:r>
      <w:r w:rsidR="00247DF2" w:rsidRPr="00F32020">
        <w:t>superior</w:t>
      </w:r>
      <w:r w:rsidR="00AF74E4" w:rsidRPr="00F32020">
        <w:t xml:space="preserve"> ability to act </w:t>
      </w:r>
      <w:r w:rsidR="007B644C" w:rsidRPr="00F32020">
        <w:t>in</w:t>
      </w:r>
      <w:r w:rsidR="00AF74E4" w:rsidRPr="00F32020">
        <w:t xml:space="preserve"> </w:t>
      </w:r>
      <w:r w:rsidR="007B644C" w:rsidRPr="00F32020">
        <w:t>complex</w:t>
      </w:r>
      <w:r w:rsidR="00AF74E4" w:rsidRPr="00F32020">
        <w:t xml:space="preserve"> environment</w:t>
      </w:r>
      <w:r w:rsidR="007B644C" w:rsidRPr="00F32020">
        <w:t>s</w:t>
      </w:r>
      <w:r w:rsidR="00AF74E4" w:rsidRPr="00F32020">
        <w:t xml:space="preserve"> could be seen as an asset fro</w:t>
      </w:r>
      <w:r w:rsidR="00247DF2" w:rsidRPr="00F32020">
        <w:t xml:space="preserve">m </w:t>
      </w:r>
      <w:r w:rsidR="00AF74E4" w:rsidRPr="00F32020">
        <w:t xml:space="preserve">the perspective of the accelerators’ decision makers. </w:t>
      </w:r>
      <w:r w:rsidR="002D7002" w:rsidRPr="00F32020">
        <w:t>All these positive attributes and the superior ability of culturally diverse founding teams should translate in better future performance for the new venture. This would also be in line with findings about the positive impact of cultural diversity of the board of directors on the performance of listed firms</w:t>
      </w:r>
      <w:r w:rsidR="00AB4622" w:rsidRPr="00F32020">
        <w:t xml:space="preserve"> across various dimensions like social and environmental performance, financial performance, innovation and sales growth</w:t>
      </w:r>
      <w:r w:rsidR="002D7002" w:rsidRPr="00F32020">
        <w:t>. In this regard, we link cultural diversity of the founding team to signalling theory in as much as signalling theory reflects the signal receivers' perceived belief that there is a link between cultural diversity and future performance of the new venture.</w:t>
      </w:r>
      <w:r w:rsidR="00AB4622" w:rsidRPr="00F32020">
        <w:t xml:space="preserve"> </w:t>
      </w:r>
      <w:r w:rsidRPr="00F32020">
        <w:t>Therefore, we formulate our first hypothesis as follows</w:t>
      </w:r>
      <w:r w:rsidR="003D7F48" w:rsidRPr="00F32020">
        <w:t>:</w:t>
      </w:r>
      <w:r w:rsidRPr="00F32020">
        <w:t xml:space="preserve"> </w:t>
      </w:r>
      <w:bookmarkEnd w:id="12"/>
    </w:p>
    <w:bookmarkEnd w:id="13"/>
    <w:p w14:paraId="7C75E25A" w14:textId="77777777" w:rsidR="00642660" w:rsidRPr="00F32020" w:rsidRDefault="00642660" w:rsidP="005546EC">
      <w:pPr>
        <w:spacing w:line="480" w:lineRule="auto"/>
        <w:ind w:firstLine="720"/>
        <w:jc w:val="both"/>
      </w:pPr>
    </w:p>
    <w:p w14:paraId="66EDFB5F" w14:textId="4E2A4BAC" w:rsidR="0069588D" w:rsidRPr="00F32020" w:rsidRDefault="0069588D" w:rsidP="005546EC">
      <w:pPr>
        <w:spacing w:line="480" w:lineRule="auto"/>
        <w:ind w:firstLine="720"/>
        <w:jc w:val="both"/>
      </w:pPr>
      <w:r w:rsidRPr="00F32020">
        <w:t xml:space="preserve">H1a: </w:t>
      </w:r>
      <w:r w:rsidRPr="00F32020">
        <w:rPr>
          <w:i/>
          <w:iCs/>
        </w:rPr>
        <w:t>The cultural diversity of the founding team can serve as a positive signal that will enhance the likelihood of admission into an accelerati</w:t>
      </w:r>
      <w:r w:rsidR="00936786" w:rsidRPr="00F32020">
        <w:rPr>
          <w:i/>
          <w:iCs/>
        </w:rPr>
        <w:t>o</w:t>
      </w:r>
      <w:r w:rsidRPr="00F32020">
        <w:rPr>
          <w:i/>
          <w:iCs/>
        </w:rPr>
        <w:t>n program</w:t>
      </w:r>
      <w:r w:rsidR="00864316" w:rsidRPr="00F32020">
        <w:rPr>
          <w:i/>
          <w:iCs/>
        </w:rPr>
        <w:t>me</w:t>
      </w:r>
      <w:r w:rsidRPr="00F32020">
        <w:rPr>
          <w:i/>
          <w:iCs/>
        </w:rPr>
        <w:t xml:space="preserve"> </w:t>
      </w:r>
    </w:p>
    <w:p w14:paraId="79FD93F6" w14:textId="77777777" w:rsidR="00525B08" w:rsidRPr="00F32020" w:rsidRDefault="00525B08" w:rsidP="005546EC">
      <w:pPr>
        <w:spacing w:line="480" w:lineRule="auto"/>
        <w:jc w:val="both"/>
      </w:pPr>
    </w:p>
    <w:p w14:paraId="031194C6" w14:textId="3E08E0D4" w:rsidR="003549D7" w:rsidRPr="00F32020" w:rsidRDefault="00525B08" w:rsidP="005546EC">
      <w:pPr>
        <w:spacing w:line="480" w:lineRule="auto"/>
        <w:ind w:firstLine="720"/>
        <w:jc w:val="both"/>
      </w:pPr>
      <w:r w:rsidRPr="00F32020">
        <w:t xml:space="preserve">However, </w:t>
      </w:r>
      <w:r w:rsidR="001454B5" w:rsidRPr="00F32020">
        <w:t>some general patter</w:t>
      </w:r>
      <w:r w:rsidR="0053166B" w:rsidRPr="00F32020">
        <w:t>n</w:t>
      </w:r>
      <w:r w:rsidR="001454B5" w:rsidRPr="00F32020">
        <w:t>s in the signal</w:t>
      </w:r>
      <w:r w:rsidR="00E326BE" w:rsidRPr="00F32020">
        <w:t>l</w:t>
      </w:r>
      <w:r w:rsidR="001454B5" w:rsidRPr="00F32020">
        <w:t xml:space="preserve">ing literature imply that </w:t>
      </w:r>
      <w:r w:rsidRPr="00F32020">
        <w:t>cultural diversity may not</w:t>
      </w:r>
      <w:r w:rsidR="009F2529" w:rsidRPr="00F32020">
        <w:t xml:space="preserve"> </w:t>
      </w:r>
      <w:r w:rsidRPr="00F32020">
        <w:t xml:space="preserve">necessarily </w:t>
      </w:r>
      <w:r w:rsidR="001454B5" w:rsidRPr="00F32020">
        <w:t xml:space="preserve">have a </w:t>
      </w:r>
      <w:r w:rsidRPr="00F32020">
        <w:t xml:space="preserve">positive </w:t>
      </w:r>
      <w:r w:rsidR="00EA3068" w:rsidRPr="00F32020">
        <w:t xml:space="preserve">effect </w:t>
      </w:r>
      <w:r w:rsidR="001454B5" w:rsidRPr="00F32020">
        <w:t xml:space="preserve">on the decision of accelerators, </w:t>
      </w:r>
      <w:r w:rsidRPr="00F32020">
        <w:t>as hypothesi</w:t>
      </w:r>
      <w:r w:rsidR="00694697" w:rsidRPr="00F32020">
        <w:t>s</w:t>
      </w:r>
      <w:r w:rsidRPr="00F32020">
        <w:t>ed above.</w:t>
      </w:r>
      <w:r w:rsidRPr="00F32020">
        <w:rPr>
          <w:rFonts w:eastAsia="CharisSIL"/>
          <w:lang w:eastAsia="en-US"/>
        </w:rPr>
        <w:t xml:space="preserve"> </w:t>
      </w:r>
      <w:r w:rsidR="001454B5" w:rsidRPr="00F32020">
        <w:rPr>
          <w:rFonts w:eastAsia="CharisSIL"/>
          <w:lang w:eastAsia="en-US"/>
        </w:rPr>
        <w:t>In more detail</w:t>
      </w:r>
      <w:r w:rsidRPr="00F32020">
        <w:rPr>
          <w:rFonts w:eastAsia="CharisSIL"/>
          <w:lang w:eastAsia="en-US"/>
        </w:rPr>
        <w:t xml:space="preserve">, </w:t>
      </w:r>
      <w:r w:rsidRPr="00F32020">
        <w:t>w</w:t>
      </w:r>
      <w:r w:rsidR="004F3774" w:rsidRPr="00F32020">
        <w:t xml:space="preserve">hile the literature </w:t>
      </w:r>
      <w:r w:rsidR="00271293">
        <w:t xml:space="preserve">generally </w:t>
      </w:r>
      <w:r w:rsidR="004F3774" w:rsidRPr="00F32020">
        <w:t>refers</w:t>
      </w:r>
      <w:r w:rsidR="00271293">
        <w:t xml:space="preserve"> </w:t>
      </w:r>
      <w:r w:rsidR="004F3774" w:rsidRPr="00F32020">
        <w:t xml:space="preserve">to intentional communication, parties </w:t>
      </w:r>
      <w:r w:rsidR="004F3774" w:rsidRPr="00F32020">
        <w:lastRenderedPageBreak/>
        <w:t>may also send signals without being aware they are signalling (Spence, 1973, 2002; Connelly et al., 2011)</w:t>
      </w:r>
      <w:r w:rsidR="007236B6" w:rsidRPr="00F32020">
        <w:t>. Additionally, signals are not necessarily positive, but they can be negative as well (</w:t>
      </w:r>
      <w:r w:rsidR="007236B6" w:rsidRPr="00F32020">
        <w:rPr>
          <w:rFonts w:eastAsiaTheme="minorHAnsi"/>
          <w:lang w:eastAsia="en-US"/>
        </w:rPr>
        <w:t xml:space="preserve">Fischer </w:t>
      </w:r>
      <w:r w:rsidR="00C619A2" w:rsidRPr="00F32020">
        <w:rPr>
          <w:rFonts w:eastAsiaTheme="minorHAnsi"/>
          <w:lang w:eastAsia="en-US"/>
        </w:rPr>
        <w:t>and</w:t>
      </w:r>
      <w:r w:rsidR="007236B6" w:rsidRPr="00F32020">
        <w:rPr>
          <w:rFonts w:eastAsiaTheme="minorHAnsi"/>
          <w:lang w:eastAsia="en-US"/>
        </w:rPr>
        <w:t xml:space="preserve"> Reuber, 2007; Jain et al., 2008</w:t>
      </w:r>
      <w:r w:rsidR="007236B6" w:rsidRPr="00F32020">
        <w:t>)</w:t>
      </w:r>
      <w:r w:rsidR="00E10E61" w:rsidRPr="00F32020">
        <w:t xml:space="preserve">. </w:t>
      </w:r>
      <w:r w:rsidR="007236B6" w:rsidRPr="00F32020">
        <w:t xml:space="preserve">Therefore, as discussed in </w:t>
      </w:r>
      <w:r w:rsidR="007236B6" w:rsidRPr="00F32020">
        <w:rPr>
          <w:rFonts w:eastAsiaTheme="minorHAnsi"/>
          <w:lang w:eastAsia="en-US"/>
        </w:rPr>
        <w:t>Connelly et al. (2011), some actions of insiders may communicate negative information about organi</w:t>
      </w:r>
      <w:r w:rsidR="00694697" w:rsidRPr="00F32020">
        <w:rPr>
          <w:rFonts w:eastAsiaTheme="minorHAnsi"/>
          <w:lang w:eastAsia="en-US"/>
        </w:rPr>
        <w:t>s</w:t>
      </w:r>
      <w:r w:rsidR="007236B6" w:rsidRPr="00F32020">
        <w:rPr>
          <w:rFonts w:eastAsiaTheme="minorHAnsi"/>
          <w:lang w:eastAsia="en-US"/>
        </w:rPr>
        <w:t>ational attribute</w:t>
      </w:r>
      <w:r w:rsidR="001454B5" w:rsidRPr="00F32020">
        <w:rPr>
          <w:rFonts w:eastAsiaTheme="minorHAnsi"/>
          <w:lang w:eastAsia="en-US"/>
        </w:rPr>
        <w:t>s</w:t>
      </w:r>
      <w:r w:rsidR="007236B6" w:rsidRPr="00F32020">
        <w:rPr>
          <w:rFonts w:eastAsiaTheme="minorHAnsi"/>
          <w:lang w:eastAsia="en-US"/>
        </w:rPr>
        <w:t xml:space="preserve">. </w:t>
      </w:r>
      <w:r w:rsidR="00816773" w:rsidRPr="00F32020">
        <w:rPr>
          <w:rFonts w:eastAsiaTheme="minorHAnsi"/>
          <w:lang w:eastAsia="en-US"/>
        </w:rPr>
        <w:t>As they explain, i</w:t>
      </w:r>
      <w:r w:rsidR="007236B6" w:rsidRPr="00F32020">
        <w:rPr>
          <w:rFonts w:eastAsiaTheme="minorHAnsi"/>
          <w:lang w:eastAsia="en-US"/>
        </w:rPr>
        <w:t xml:space="preserve">nsiders </w:t>
      </w:r>
      <w:r w:rsidR="003D7F48" w:rsidRPr="00F32020">
        <w:rPr>
          <w:rFonts w:eastAsiaTheme="minorHAnsi"/>
          <w:lang w:eastAsia="en-US"/>
        </w:rPr>
        <w:t xml:space="preserve">do not </w:t>
      </w:r>
      <w:r w:rsidR="007236B6" w:rsidRPr="00F32020">
        <w:rPr>
          <w:rFonts w:eastAsiaTheme="minorHAnsi"/>
          <w:lang w:eastAsia="en-US"/>
        </w:rPr>
        <w:t xml:space="preserve">generally send these negative signals to outsiders with a view toward reducing information asymmetry; however, this is often an unintended consequence of the insider’s action. In our context, </w:t>
      </w:r>
      <w:r w:rsidR="00C5482B" w:rsidRPr="00F32020">
        <w:rPr>
          <w:rFonts w:eastAsiaTheme="minorHAnsi"/>
          <w:lang w:eastAsia="en-US"/>
        </w:rPr>
        <w:t>the</w:t>
      </w:r>
      <w:r w:rsidR="0069588D" w:rsidRPr="00F32020">
        <w:rPr>
          <w:rFonts w:eastAsiaTheme="minorHAnsi"/>
          <w:lang w:eastAsia="en-US"/>
        </w:rPr>
        <w:t xml:space="preserve"> decision to add a founder with a different cultural background </w:t>
      </w:r>
      <w:r w:rsidR="00C5482B" w:rsidRPr="00F32020">
        <w:rPr>
          <w:rFonts w:eastAsiaTheme="minorHAnsi"/>
          <w:lang w:eastAsia="en-US"/>
        </w:rPr>
        <w:t xml:space="preserve">could </w:t>
      </w:r>
      <w:r w:rsidR="0069588D" w:rsidRPr="00F32020">
        <w:rPr>
          <w:rFonts w:eastAsiaTheme="minorHAnsi"/>
          <w:lang w:eastAsia="en-US"/>
        </w:rPr>
        <w:t xml:space="preserve">eventually </w:t>
      </w:r>
      <w:r w:rsidR="00C5482B" w:rsidRPr="00F32020">
        <w:rPr>
          <w:rFonts w:eastAsiaTheme="minorHAnsi"/>
          <w:lang w:eastAsia="en-US"/>
        </w:rPr>
        <w:t>serve as</w:t>
      </w:r>
      <w:r w:rsidR="0069588D" w:rsidRPr="00F32020">
        <w:rPr>
          <w:rFonts w:eastAsiaTheme="minorHAnsi"/>
          <w:lang w:eastAsia="en-US"/>
        </w:rPr>
        <w:t xml:space="preserve"> a</w:t>
      </w:r>
      <w:r w:rsidR="003D7F48" w:rsidRPr="00F32020">
        <w:rPr>
          <w:rFonts w:eastAsiaTheme="minorHAnsi"/>
          <w:lang w:eastAsia="en-US"/>
        </w:rPr>
        <w:t>(</w:t>
      </w:r>
      <w:r w:rsidR="0069588D" w:rsidRPr="00F32020">
        <w:rPr>
          <w:rFonts w:eastAsiaTheme="minorHAnsi"/>
          <w:lang w:eastAsia="en-US"/>
        </w:rPr>
        <w:t>n</w:t>
      </w:r>
      <w:r w:rsidR="003D7F48" w:rsidRPr="00F32020">
        <w:rPr>
          <w:rFonts w:eastAsiaTheme="minorHAnsi"/>
          <w:lang w:eastAsia="en-US"/>
        </w:rPr>
        <w:t>)</w:t>
      </w:r>
      <w:r w:rsidR="0069588D" w:rsidRPr="00F32020">
        <w:rPr>
          <w:rFonts w:eastAsiaTheme="minorHAnsi"/>
          <w:lang w:eastAsia="en-US"/>
        </w:rPr>
        <w:t xml:space="preserve"> (unintentional)</w:t>
      </w:r>
      <w:r w:rsidR="00C5482B" w:rsidRPr="00F32020">
        <w:rPr>
          <w:rFonts w:eastAsiaTheme="minorHAnsi"/>
          <w:lang w:eastAsia="en-US"/>
        </w:rPr>
        <w:t xml:space="preserve"> negative signal,</w:t>
      </w:r>
      <w:r w:rsidR="007236B6" w:rsidRPr="00F32020">
        <w:rPr>
          <w:rFonts w:eastAsiaTheme="minorHAnsi"/>
          <w:lang w:eastAsia="en-US"/>
        </w:rPr>
        <w:t xml:space="preserve"> if the accelerators were to </w:t>
      </w:r>
      <w:r w:rsidR="003549D7" w:rsidRPr="00F32020">
        <w:rPr>
          <w:rFonts w:eastAsiaTheme="minorHAnsi"/>
          <w:lang w:eastAsia="en-US"/>
        </w:rPr>
        <w:t xml:space="preserve">hold the </w:t>
      </w:r>
      <w:r w:rsidR="007236B6" w:rsidRPr="00F32020">
        <w:rPr>
          <w:rFonts w:eastAsiaTheme="minorHAnsi"/>
          <w:lang w:eastAsia="en-US"/>
        </w:rPr>
        <w:t>view that</w:t>
      </w:r>
      <w:r w:rsidR="003D7F48" w:rsidRPr="00F32020">
        <w:rPr>
          <w:rFonts w:eastAsiaTheme="minorHAnsi"/>
          <w:lang w:eastAsia="en-US"/>
        </w:rPr>
        <w:t>,</w:t>
      </w:r>
      <w:r w:rsidR="007236B6" w:rsidRPr="00F32020">
        <w:rPr>
          <w:rFonts w:eastAsiaTheme="minorHAnsi"/>
          <w:lang w:eastAsia="en-US"/>
        </w:rPr>
        <w:t xml:space="preserve"> instead of having positive implications, the cultural diversity of the </w:t>
      </w:r>
      <w:r w:rsidR="0069588D" w:rsidRPr="00F32020">
        <w:rPr>
          <w:rFonts w:eastAsiaTheme="minorHAnsi"/>
          <w:lang w:eastAsia="en-US"/>
        </w:rPr>
        <w:t xml:space="preserve">founding </w:t>
      </w:r>
      <w:r w:rsidR="007236B6" w:rsidRPr="00F32020">
        <w:rPr>
          <w:rFonts w:eastAsiaTheme="minorHAnsi"/>
          <w:lang w:eastAsia="en-US"/>
        </w:rPr>
        <w:t>team could result in</w:t>
      </w:r>
      <w:r w:rsidR="001454B5" w:rsidRPr="00F32020">
        <w:rPr>
          <w:rFonts w:eastAsiaTheme="minorHAnsi"/>
          <w:lang w:eastAsia="en-US"/>
        </w:rPr>
        <w:t xml:space="preserve"> drawbacks</w:t>
      </w:r>
      <w:r w:rsidR="003549D7" w:rsidRPr="00F32020">
        <w:rPr>
          <w:rFonts w:eastAsiaTheme="minorHAnsi"/>
          <w:lang w:eastAsia="en-US"/>
        </w:rPr>
        <w:t xml:space="preserve">. This could be </w:t>
      </w:r>
      <w:r w:rsidR="0090605B" w:rsidRPr="00F32020">
        <w:rPr>
          <w:rFonts w:eastAsiaTheme="minorHAnsi"/>
          <w:lang w:eastAsia="en-US"/>
        </w:rPr>
        <w:t xml:space="preserve">the case </w:t>
      </w:r>
      <w:r w:rsidR="003549D7" w:rsidRPr="00F32020">
        <w:rPr>
          <w:rFonts w:eastAsiaTheme="minorHAnsi"/>
          <w:lang w:eastAsia="en-US"/>
        </w:rPr>
        <w:t>because of</w:t>
      </w:r>
      <w:r w:rsidR="003549D7" w:rsidRPr="00F32020">
        <w:t xml:space="preserve"> </w:t>
      </w:r>
      <w:bookmarkStart w:id="14" w:name="_Hlk54525695"/>
      <w:r w:rsidR="003549D7" w:rsidRPr="00F32020">
        <w:t xml:space="preserve">different norms, priorities, perceptions, </w:t>
      </w:r>
      <w:r w:rsidR="003D7F48" w:rsidRPr="00F32020">
        <w:t xml:space="preserve">and </w:t>
      </w:r>
      <w:r w:rsidR="003549D7" w:rsidRPr="00F32020">
        <w:t>assumptions about future events and beliefs, introducing barriers to communication and collaboration between the members of multicultural teams (Nederveen Pieterse et al., 2013; Jang, 2017), resulting in decreased communication, conflicts and inefficiencies in the decision-making process</w:t>
      </w:r>
      <w:r w:rsidR="0090605B" w:rsidRPr="00F32020">
        <w:t xml:space="preserve"> of the founding team</w:t>
      </w:r>
      <w:r w:rsidR="003549D7" w:rsidRPr="00F32020">
        <w:t xml:space="preserve"> (Bantel and Jackson, 1989; Giannetti and Zhao, 2019). </w:t>
      </w:r>
      <w:bookmarkEnd w:id="14"/>
      <w:r w:rsidR="001454B5" w:rsidRPr="00F32020">
        <w:t>This</w:t>
      </w:r>
      <w:r w:rsidR="00727723" w:rsidRPr="00F32020">
        <w:t xml:space="preserve"> </w:t>
      </w:r>
      <w:r w:rsidR="001454B5" w:rsidRPr="00F32020">
        <w:t>lead</w:t>
      </w:r>
      <w:r w:rsidR="00727723" w:rsidRPr="00F32020">
        <w:t>s</w:t>
      </w:r>
      <w:r w:rsidR="001454B5" w:rsidRPr="00F32020">
        <w:t xml:space="preserve"> to the following hypothesis: </w:t>
      </w:r>
    </w:p>
    <w:p w14:paraId="77CF0D3C" w14:textId="77777777" w:rsidR="001454B5" w:rsidRPr="00F32020" w:rsidRDefault="001454B5" w:rsidP="005546EC">
      <w:pPr>
        <w:spacing w:line="480" w:lineRule="auto"/>
        <w:ind w:firstLine="720"/>
        <w:jc w:val="both"/>
        <w:rPr>
          <w:rFonts w:eastAsiaTheme="minorHAnsi"/>
          <w:sz w:val="22"/>
          <w:szCs w:val="22"/>
          <w:lang w:eastAsia="en-US"/>
        </w:rPr>
      </w:pPr>
    </w:p>
    <w:p w14:paraId="21A81856" w14:textId="4401C778" w:rsidR="00D24773" w:rsidRPr="00F32020" w:rsidRDefault="0069588D" w:rsidP="005546EC">
      <w:pPr>
        <w:spacing w:line="480" w:lineRule="auto"/>
        <w:ind w:firstLine="720"/>
        <w:jc w:val="both"/>
      </w:pPr>
      <w:r w:rsidRPr="00F32020">
        <w:t>H1</w:t>
      </w:r>
      <w:r w:rsidR="00D24773" w:rsidRPr="00F32020">
        <w:t>b</w:t>
      </w:r>
      <w:r w:rsidRPr="00F32020">
        <w:t xml:space="preserve">: </w:t>
      </w:r>
      <w:r w:rsidRPr="00F32020">
        <w:rPr>
          <w:i/>
          <w:iCs/>
        </w:rPr>
        <w:t>The cultural diversity of the founding team can serve as a negative signal that will decrease the likelihood of admission into an accelerati</w:t>
      </w:r>
      <w:r w:rsidR="00EA3068" w:rsidRPr="00F32020">
        <w:rPr>
          <w:i/>
          <w:iCs/>
        </w:rPr>
        <w:t>on</w:t>
      </w:r>
      <w:r w:rsidRPr="00F32020">
        <w:rPr>
          <w:i/>
          <w:iCs/>
        </w:rPr>
        <w:t xml:space="preserve"> program</w:t>
      </w:r>
      <w:r w:rsidR="00864316" w:rsidRPr="00F32020">
        <w:rPr>
          <w:i/>
          <w:iCs/>
        </w:rPr>
        <w:t>me</w:t>
      </w:r>
      <w:r w:rsidR="00D24773" w:rsidRPr="00F32020">
        <w:rPr>
          <w:i/>
          <w:iCs/>
        </w:rPr>
        <w:t>.</w:t>
      </w:r>
    </w:p>
    <w:p w14:paraId="62602707" w14:textId="2EDD3B7F" w:rsidR="00434C53" w:rsidRPr="00F32020" w:rsidRDefault="00434C53" w:rsidP="005546EC">
      <w:pPr>
        <w:autoSpaceDE w:val="0"/>
        <w:autoSpaceDN w:val="0"/>
        <w:adjustRightInd w:val="0"/>
        <w:spacing w:line="480" w:lineRule="auto"/>
        <w:jc w:val="both"/>
      </w:pPr>
    </w:p>
    <w:p w14:paraId="4CE4F940" w14:textId="1BCB7D86" w:rsidR="00AB2E5B" w:rsidRPr="00F32020" w:rsidRDefault="00AB2E5B" w:rsidP="005546EC">
      <w:pPr>
        <w:autoSpaceDE w:val="0"/>
        <w:autoSpaceDN w:val="0"/>
        <w:adjustRightInd w:val="0"/>
        <w:spacing w:line="480" w:lineRule="auto"/>
        <w:jc w:val="both"/>
        <w:rPr>
          <w:b/>
          <w:bCs/>
          <w:i/>
          <w:iCs/>
        </w:rPr>
      </w:pPr>
      <w:r w:rsidRPr="00F32020">
        <w:rPr>
          <w:b/>
          <w:bCs/>
          <w:i/>
          <w:iCs/>
        </w:rPr>
        <w:t xml:space="preserve">2.3. The moderating role of </w:t>
      </w:r>
      <w:r w:rsidR="00847B2A" w:rsidRPr="00F32020">
        <w:rPr>
          <w:b/>
          <w:bCs/>
          <w:i/>
          <w:iCs/>
        </w:rPr>
        <w:t>other signals</w:t>
      </w:r>
      <w:r w:rsidR="00860A89" w:rsidRPr="00F32020">
        <w:rPr>
          <w:b/>
          <w:bCs/>
          <w:i/>
          <w:iCs/>
        </w:rPr>
        <w:t xml:space="preserve"> about the founding team</w:t>
      </w:r>
      <w:r w:rsidRPr="00F32020">
        <w:rPr>
          <w:b/>
          <w:bCs/>
          <w:i/>
          <w:iCs/>
        </w:rPr>
        <w:t xml:space="preserve"> </w:t>
      </w:r>
    </w:p>
    <w:p w14:paraId="76905C83" w14:textId="60D9670C" w:rsidR="005A6201" w:rsidRPr="00F32020" w:rsidRDefault="2A942985" w:rsidP="005546EC">
      <w:pPr>
        <w:autoSpaceDE w:val="0"/>
        <w:autoSpaceDN w:val="0"/>
        <w:adjustRightInd w:val="0"/>
        <w:spacing w:line="480" w:lineRule="auto"/>
        <w:jc w:val="both"/>
      </w:pPr>
      <w:r>
        <w:t xml:space="preserve">Research on organisational signalling has traditionally focused on the effect of individual signals on the decision-making of external parties (Hsu and Ziedonis, 2013). However, more recent studies suggest that corporations may send multiple signals (Courtney et al., 2017; Drover et al., 2018; Steigenberger and Wilhelm, 2018; Kulkarni et al., 2024). As discussed in the reviews of Colombo (2021) and Bafera and Kleinert (2023), multiple signals may </w:t>
      </w:r>
      <w:r>
        <w:lastRenderedPageBreak/>
        <w:t xml:space="preserve">complement one another, yet when they are inconsistent, or provide overlapping information, they may also conflict with one another. In the discussion that follows, we outline whether and how other signals of human capital quality and other demographic characteristics of the founding team can interact with cultural diversity in shaping the admission decision of accelerators. </w:t>
      </w:r>
    </w:p>
    <w:p w14:paraId="21C6B80B" w14:textId="741ACFC3" w:rsidR="005F699B" w:rsidRPr="00F32020" w:rsidRDefault="005A6201" w:rsidP="005546EC">
      <w:pPr>
        <w:autoSpaceDE w:val="0"/>
        <w:autoSpaceDN w:val="0"/>
        <w:adjustRightInd w:val="0"/>
        <w:spacing w:line="480" w:lineRule="auto"/>
        <w:ind w:firstLine="720"/>
        <w:jc w:val="both"/>
      </w:pPr>
      <w:r w:rsidRPr="00F32020">
        <w:t xml:space="preserve">In terms of human capital, the two most frequently discussed and explored characteristics in the literature are possibly education and prior experience (Franke et al., 2008; Barbi and Mattioli, 2019). Demographic characteristics, </w:t>
      </w:r>
      <w:r w:rsidR="00682F94" w:rsidRPr="00F32020">
        <w:t xml:space="preserve">often </w:t>
      </w:r>
      <w:r w:rsidRPr="00F32020">
        <w:t>considered in the literature</w:t>
      </w:r>
      <w:r w:rsidR="00B61D8C" w:rsidRPr="00F32020">
        <w:rPr>
          <w:lang w:val="en-US"/>
        </w:rPr>
        <w:t>,</w:t>
      </w:r>
      <w:r w:rsidRPr="00F32020">
        <w:t xml:space="preserve"> are age, gender and ethnicity (Nasra and Oliver, 2024). According to Beckman et al. (2007) demographic arguments differ from human capital </w:t>
      </w:r>
      <w:r w:rsidR="00682F94" w:rsidRPr="00F32020">
        <w:t xml:space="preserve">ones </w:t>
      </w:r>
      <w:r w:rsidRPr="00F32020">
        <w:t>in that demography theori</w:t>
      </w:r>
      <w:r w:rsidR="00682F94" w:rsidRPr="00F32020">
        <w:t>s</w:t>
      </w:r>
      <w:r w:rsidRPr="00F32020">
        <w:t>es about team composition and diversity in addition to the existence of any particular experience. However, this distinction is not universally accepted. For example, Barbi and Mattioli (2019) mention that the gender composition of the entrepreneurial team may be broadly included in the characteristics of human capital, which is consistent with the approach of Assenova (2021)</w:t>
      </w:r>
      <w:r w:rsidR="00682F94" w:rsidRPr="00F32020">
        <w:t>,</w:t>
      </w:r>
      <w:r w:rsidRPr="00F32020">
        <w:t xml:space="preserve"> who considers it as an indicator of human capital in her empirical analysis.</w:t>
      </w:r>
    </w:p>
    <w:p w14:paraId="51B9F75F" w14:textId="733E92F7" w:rsidR="004921D8" w:rsidRPr="00F32020" w:rsidRDefault="00B129E7" w:rsidP="00E505A0">
      <w:pPr>
        <w:autoSpaceDE w:val="0"/>
        <w:autoSpaceDN w:val="0"/>
        <w:adjustRightInd w:val="0"/>
        <w:spacing w:line="480" w:lineRule="auto"/>
        <w:ind w:firstLine="720"/>
        <w:jc w:val="both"/>
        <w:rPr>
          <w:lang w:val="en-US"/>
        </w:rPr>
      </w:pPr>
      <w:r w:rsidRPr="00F32020">
        <w:t xml:space="preserve">The use of </w:t>
      </w:r>
      <w:r w:rsidR="004D256D" w:rsidRPr="00F32020">
        <w:t>education</w:t>
      </w:r>
      <w:r w:rsidRPr="00F32020">
        <w:t xml:space="preserve"> as a signal</w:t>
      </w:r>
      <w:r w:rsidR="004D256D" w:rsidRPr="00F32020">
        <w:t xml:space="preserve"> goes back to the seminal work of Spence (1973)</w:t>
      </w:r>
      <w:r w:rsidR="008626AD" w:rsidRPr="00F32020">
        <w:t xml:space="preserve"> about the job market</w:t>
      </w:r>
      <w:r w:rsidR="009B2F0D" w:rsidRPr="00F32020">
        <w:t xml:space="preserve">. </w:t>
      </w:r>
      <w:r w:rsidR="00D959C5" w:rsidRPr="00F32020">
        <w:t>In general,</w:t>
      </w:r>
      <w:r w:rsidR="00D959C5" w:rsidRPr="00F32020">
        <w:rPr>
          <w:b/>
          <w:bCs/>
        </w:rPr>
        <w:t xml:space="preserve"> </w:t>
      </w:r>
      <w:r w:rsidR="00D959C5" w:rsidRPr="00F32020">
        <w:t xml:space="preserve">more educated individuals are supposed to have greater knowledge and higher skills necessary for a venture’s survival and performance (Barbi and Mattioli, 2019). Additionally, education signals the capacity to commit to a purpose and the acquisition of soft skills (D’Agostino et al., 2024). </w:t>
      </w:r>
      <w:r w:rsidR="00280DA7" w:rsidRPr="00F32020">
        <w:t>Most studies</w:t>
      </w:r>
      <w:r w:rsidR="008626AD" w:rsidRPr="00F32020">
        <w:t xml:space="preserve"> show that education </w:t>
      </w:r>
      <w:r w:rsidR="009C4D09" w:rsidRPr="00F32020">
        <w:t>is positively associated with</w:t>
      </w:r>
      <w:r w:rsidR="008626AD" w:rsidRPr="00F32020">
        <w:t xml:space="preserve"> </w:t>
      </w:r>
      <w:r w:rsidR="00D729DC" w:rsidRPr="00F32020">
        <w:t xml:space="preserve">the likelihood of receiving </w:t>
      </w:r>
      <w:r w:rsidR="003738EC" w:rsidRPr="00F32020">
        <w:t>venture</w:t>
      </w:r>
      <w:r w:rsidR="00D729DC" w:rsidRPr="00F32020">
        <w:t xml:space="preserve"> capital </w:t>
      </w:r>
      <w:r w:rsidR="003738EC" w:rsidRPr="00F32020">
        <w:t xml:space="preserve">investments </w:t>
      </w:r>
      <w:r w:rsidR="00D729DC" w:rsidRPr="00F32020">
        <w:t>(</w:t>
      </w:r>
      <w:r w:rsidR="00483950" w:rsidRPr="00F32020">
        <w:rPr>
          <w:shd w:val="clear" w:color="auto" w:fill="FFFFFF"/>
        </w:rPr>
        <w:t>Engel and Keilbach, 2007</w:t>
      </w:r>
      <w:r w:rsidR="00D729DC" w:rsidRPr="00F32020">
        <w:t>)</w:t>
      </w:r>
      <w:r w:rsidR="005D649E" w:rsidRPr="00F32020">
        <w:t xml:space="preserve"> and</w:t>
      </w:r>
      <w:r w:rsidR="009C4D09" w:rsidRPr="00F32020">
        <w:t xml:space="preserve"> </w:t>
      </w:r>
      <w:r w:rsidR="005D649E" w:rsidRPr="00F32020">
        <w:t>equity from business angels (</w:t>
      </w:r>
      <w:r w:rsidR="000D16CB" w:rsidRPr="00F32020">
        <w:t>Pierrakis and Owen, 2022</w:t>
      </w:r>
      <w:r w:rsidR="005D649E" w:rsidRPr="00F32020">
        <w:t>)</w:t>
      </w:r>
      <w:r w:rsidR="00682F94" w:rsidRPr="00F32020">
        <w:t>,</w:t>
      </w:r>
      <w:r w:rsidR="005D649E" w:rsidRPr="00F32020">
        <w:t xml:space="preserve"> as well as</w:t>
      </w:r>
      <w:r w:rsidR="009C4D09" w:rsidRPr="00F32020">
        <w:t xml:space="preserve"> </w:t>
      </w:r>
      <w:r w:rsidR="003738EC" w:rsidRPr="00F32020">
        <w:t xml:space="preserve">the outcomes of </w:t>
      </w:r>
      <w:r w:rsidR="008626AD" w:rsidRPr="00F32020">
        <w:t>crowdfunding</w:t>
      </w:r>
      <w:r w:rsidR="009C4D09" w:rsidRPr="00F32020">
        <w:t xml:space="preserve"> </w:t>
      </w:r>
      <w:r w:rsidR="00280DA7" w:rsidRPr="00F32020">
        <w:t>campaigns</w:t>
      </w:r>
      <w:r w:rsidR="008626AD" w:rsidRPr="00F32020">
        <w:t xml:space="preserve"> (Barbi and Mattioli, 2019</w:t>
      </w:r>
      <w:r w:rsidR="009C4D09" w:rsidRPr="00F32020">
        <w:t>; Coakley et al., 2022</w:t>
      </w:r>
      <w:r w:rsidR="008626AD" w:rsidRPr="00F32020">
        <w:t>).</w:t>
      </w:r>
      <w:r w:rsidR="009C4D09" w:rsidRPr="00F32020">
        <w:t xml:space="preserve"> </w:t>
      </w:r>
      <w:r w:rsidR="00AC4CB6" w:rsidRPr="00F32020">
        <w:t>Ko and McKelvie (2018) emphasi</w:t>
      </w:r>
      <w:r w:rsidR="00682F94" w:rsidRPr="00F32020">
        <w:t>s</w:t>
      </w:r>
      <w:r w:rsidR="00AC4CB6" w:rsidRPr="00F32020">
        <w:t xml:space="preserve">e that </w:t>
      </w:r>
      <w:r w:rsidR="00682F94" w:rsidRPr="00F32020">
        <w:t xml:space="preserve">founders’ </w:t>
      </w:r>
      <w:r w:rsidR="00AC4CB6" w:rsidRPr="00F32020">
        <w:t>educational background has an important effect in venture financing, not only in the first-round</w:t>
      </w:r>
      <w:r w:rsidR="00A859D1" w:rsidRPr="00F32020">
        <w:t xml:space="preserve"> (when ventures lack performance track records)</w:t>
      </w:r>
      <w:r w:rsidR="00AC4CB6" w:rsidRPr="00F32020">
        <w:t xml:space="preserve">, but also in </w:t>
      </w:r>
      <w:r w:rsidR="00AC4CB6" w:rsidRPr="00F32020">
        <w:lastRenderedPageBreak/>
        <w:t>subsequent stage</w:t>
      </w:r>
      <w:r w:rsidR="00682F94" w:rsidRPr="00F32020">
        <w:t>s</w:t>
      </w:r>
      <w:r w:rsidR="00AC4CB6" w:rsidRPr="00F32020">
        <w:t>.</w:t>
      </w:r>
      <w:r w:rsidR="005D649E" w:rsidRPr="00F32020">
        <w:t xml:space="preserve"> </w:t>
      </w:r>
      <w:r w:rsidR="009C4D09" w:rsidRPr="00F32020">
        <w:t>Along the same lines</w:t>
      </w:r>
      <w:r w:rsidR="004D256D" w:rsidRPr="00F32020">
        <w:t xml:space="preserve">, </w:t>
      </w:r>
      <w:r w:rsidR="009B2F0D" w:rsidRPr="00F32020">
        <w:t>Lall et al. (2020) find that having founders with a graduate degree enhances the probability of acceptance in impact-oriented accelerator program</w:t>
      </w:r>
      <w:r w:rsidR="00864316" w:rsidRPr="00F32020">
        <w:t>me</w:t>
      </w:r>
      <w:r w:rsidR="009B2F0D" w:rsidRPr="00F32020">
        <w:t>s.</w:t>
      </w:r>
      <w:r w:rsidR="009B2F0D" w:rsidRPr="00F32020">
        <w:rPr>
          <w:b/>
          <w:bCs/>
        </w:rPr>
        <w:t xml:space="preserve"> </w:t>
      </w:r>
      <w:r w:rsidR="009D283D" w:rsidRPr="00F32020">
        <w:t>Consistent with these studies we expect the</w:t>
      </w:r>
      <w:r w:rsidR="007140AA" w:rsidRPr="00F32020">
        <w:t xml:space="preserve"> </w:t>
      </w:r>
      <w:r w:rsidR="00656139" w:rsidRPr="00F32020">
        <w:t xml:space="preserve">education of the founders to have a positive effect on the admission decision of accelerators. </w:t>
      </w:r>
      <w:bookmarkStart w:id="15" w:name="_Hlk211426786"/>
      <w:r w:rsidR="00FD6167" w:rsidRPr="00F32020">
        <w:t xml:space="preserve">Culture and education may interact in complex ways. For example, </w:t>
      </w:r>
      <w:r w:rsidR="00E505A0" w:rsidRPr="00F32020">
        <w:t>Schueth and O’Loughlin (2008) find that</w:t>
      </w:r>
      <w:r w:rsidR="00FD6167" w:rsidRPr="00F32020">
        <w:rPr>
          <w:lang w:val="en-US"/>
        </w:rPr>
        <w:t xml:space="preserve"> </w:t>
      </w:r>
      <w:r w:rsidR="00E505A0" w:rsidRPr="00F32020">
        <w:rPr>
          <w:lang w:val="en-US"/>
        </w:rPr>
        <w:t xml:space="preserve">a higher level of education is associated with a </w:t>
      </w:r>
      <w:r w:rsidR="00FD6167" w:rsidRPr="00F32020">
        <w:rPr>
          <w:lang w:val="en-US"/>
        </w:rPr>
        <w:t>greater likelihood of cosmopolitan</w:t>
      </w:r>
      <w:r w:rsidR="00E505A0" w:rsidRPr="00F32020">
        <w:rPr>
          <w:lang w:val="en-US"/>
        </w:rPr>
        <w:t xml:space="preserve"> culture</w:t>
      </w:r>
      <w:r w:rsidR="00FD6167" w:rsidRPr="00F32020">
        <w:rPr>
          <w:lang w:val="en-US"/>
        </w:rPr>
        <w:t xml:space="preserve"> identification</w:t>
      </w:r>
      <w:r w:rsidR="00E505A0" w:rsidRPr="00F32020">
        <w:rPr>
          <w:lang w:val="en-US"/>
        </w:rPr>
        <w:t>, i.e.</w:t>
      </w:r>
      <w:r w:rsidR="2A942985" w:rsidRPr="2A942985">
        <w:rPr>
          <w:lang w:val="en-US"/>
        </w:rPr>
        <w:t>,</w:t>
      </w:r>
      <w:r w:rsidR="00E505A0" w:rsidRPr="00F32020">
        <w:rPr>
          <w:lang w:val="en-US"/>
        </w:rPr>
        <w:t xml:space="preserve"> </w:t>
      </w:r>
      <w:r w:rsidR="2A942985" w:rsidRPr="2A942985">
        <w:rPr>
          <w:lang w:val="en-US"/>
        </w:rPr>
        <w:t xml:space="preserve">a </w:t>
      </w:r>
      <w:r w:rsidR="00E505A0" w:rsidRPr="00F32020">
        <w:rPr>
          <w:lang w:val="en-US"/>
        </w:rPr>
        <w:t>sense of belonging to ‘‘the world as a whole</w:t>
      </w:r>
      <w:r w:rsidR="2A942985" w:rsidRPr="2A942985">
        <w:rPr>
          <w:lang w:val="en-US"/>
        </w:rPr>
        <w:t>”</w:t>
      </w:r>
      <w:r w:rsidR="00E505A0" w:rsidRPr="00F32020">
        <w:rPr>
          <w:lang w:val="en-US"/>
        </w:rPr>
        <w:t xml:space="preserve">. </w:t>
      </w:r>
      <w:bookmarkEnd w:id="15"/>
      <w:r w:rsidR="008171F1" w:rsidRPr="00F32020">
        <w:t>As it concern</w:t>
      </w:r>
      <w:r w:rsidR="003C4CD4" w:rsidRPr="00F32020">
        <w:t xml:space="preserve">s, the </w:t>
      </w:r>
      <w:r w:rsidR="00E505A0" w:rsidRPr="00F32020">
        <w:t xml:space="preserve">impact of the </w:t>
      </w:r>
      <w:r w:rsidR="003C4CD4" w:rsidRPr="00F32020">
        <w:t>interaction of the founding team’s education with its cultural diversity</w:t>
      </w:r>
      <w:r w:rsidR="00E505A0" w:rsidRPr="00F32020">
        <w:t xml:space="preserve"> on the accelerators’ decisions</w:t>
      </w:r>
      <w:r w:rsidR="003C4CD4" w:rsidRPr="00F32020">
        <w:t>, we hypothesi</w:t>
      </w:r>
      <w:r w:rsidR="00682F94" w:rsidRPr="00F32020">
        <w:t>s</w:t>
      </w:r>
      <w:r w:rsidR="003C4CD4" w:rsidRPr="00F32020">
        <w:t xml:space="preserve">e that education can either magnify or mitigate the effect of cultural diversity. </w:t>
      </w:r>
      <w:r w:rsidR="009B56C0" w:rsidRPr="00F32020">
        <w:t>On the one hand, s</w:t>
      </w:r>
      <w:r w:rsidR="003C4CD4" w:rsidRPr="00F32020">
        <w:t>hould the admission team</w:t>
      </w:r>
      <w:r w:rsidR="009B56C0" w:rsidRPr="00F32020">
        <w:t>s</w:t>
      </w:r>
      <w:r w:rsidR="003C4CD4" w:rsidRPr="00F32020">
        <w:t xml:space="preserve"> of the accelerator</w:t>
      </w:r>
      <w:r w:rsidR="009B56C0" w:rsidRPr="00F32020">
        <w:t>s</w:t>
      </w:r>
      <w:r w:rsidR="003C4CD4" w:rsidRPr="00F32020">
        <w:t xml:space="preserve"> hold a positive view about </w:t>
      </w:r>
      <w:r w:rsidR="009B56C0" w:rsidRPr="00F32020">
        <w:t xml:space="preserve">cultural </w:t>
      </w:r>
      <w:r w:rsidR="004F329A" w:rsidRPr="00F32020">
        <w:t xml:space="preserve">diversity </w:t>
      </w:r>
      <w:r w:rsidR="003C4CD4" w:rsidRPr="00F32020">
        <w:t xml:space="preserve">(consistent with Hypothesis </w:t>
      </w:r>
      <w:r w:rsidR="004F329A" w:rsidRPr="00F32020">
        <w:t>H1a)</w:t>
      </w:r>
      <w:r w:rsidR="00682F94" w:rsidRPr="00F32020">
        <w:t>,</w:t>
      </w:r>
      <w:r w:rsidR="004F329A" w:rsidRPr="00F32020">
        <w:t xml:space="preserve"> the</w:t>
      </w:r>
      <w:r w:rsidR="009B56C0" w:rsidRPr="00F32020">
        <w:t xml:space="preserve"> additional positive information from the signal about education will play a complementary role and result in a joint effect of higher magnitude. On the other hand, if the view about cultural diversity is negative (consistent with Hypothesis H1b), the positive signal about education could mitigate the negative effect of the signal about cultural diversity.</w:t>
      </w:r>
      <w:r w:rsidR="00FD6167" w:rsidRPr="00F32020">
        <w:t xml:space="preserve"> </w:t>
      </w:r>
      <w:r w:rsidR="009B56C0" w:rsidRPr="00F32020">
        <w:t>Therefore, we formulate two alternative hypotheses as follows:</w:t>
      </w:r>
    </w:p>
    <w:p w14:paraId="44DD611B" w14:textId="77777777" w:rsidR="00B6131B" w:rsidRPr="00F32020" w:rsidRDefault="00B6131B" w:rsidP="005546EC">
      <w:pPr>
        <w:spacing w:line="480" w:lineRule="auto"/>
        <w:ind w:firstLine="720"/>
        <w:jc w:val="both"/>
      </w:pPr>
    </w:p>
    <w:p w14:paraId="0C976AAA" w14:textId="1203FC9C" w:rsidR="00B6131B" w:rsidRPr="00F32020" w:rsidRDefault="00B6131B" w:rsidP="005546EC">
      <w:pPr>
        <w:spacing w:line="480" w:lineRule="auto"/>
        <w:ind w:firstLine="720"/>
        <w:jc w:val="both"/>
      </w:pPr>
      <w:r w:rsidRPr="00F32020">
        <w:t xml:space="preserve">H2a: </w:t>
      </w:r>
      <w:r w:rsidRPr="00F32020">
        <w:rPr>
          <w:i/>
          <w:iCs/>
        </w:rPr>
        <w:t>The education of the founding team will magnify the positive effect of the cultural diversity of the founding team on the likelihood of admission into an acceleration program</w:t>
      </w:r>
      <w:r w:rsidR="00864316" w:rsidRPr="00F32020">
        <w:rPr>
          <w:i/>
          <w:iCs/>
        </w:rPr>
        <w:t>me</w:t>
      </w:r>
      <w:r w:rsidRPr="00F32020">
        <w:rPr>
          <w:i/>
          <w:iCs/>
        </w:rPr>
        <w:t xml:space="preserve"> </w:t>
      </w:r>
    </w:p>
    <w:p w14:paraId="5F780BC0" w14:textId="77777777" w:rsidR="009B56C0" w:rsidRPr="00F32020" w:rsidRDefault="009B56C0" w:rsidP="005546EC">
      <w:pPr>
        <w:autoSpaceDE w:val="0"/>
        <w:autoSpaceDN w:val="0"/>
        <w:adjustRightInd w:val="0"/>
        <w:spacing w:line="480" w:lineRule="auto"/>
        <w:ind w:firstLine="720"/>
        <w:jc w:val="both"/>
      </w:pPr>
    </w:p>
    <w:p w14:paraId="60F64996" w14:textId="6DDC71C2" w:rsidR="00B6131B" w:rsidRPr="00F32020" w:rsidRDefault="00B6131B" w:rsidP="005546EC">
      <w:pPr>
        <w:spacing w:line="480" w:lineRule="auto"/>
        <w:ind w:firstLine="720"/>
        <w:jc w:val="both"/>
        <w:rPr>
          <w:i/>
          <w:iCs/>
        </w:rPr>
      </w:pPr>
      <w:r w:rsidRPr="00F32020">
        <w:t xml:space="preserve">H2b: </w:t>
      </w:r>
      <w:r w:rsidRPr="00F32020">
        <w:rPr>
          <w:i/>
          <w:iCs/>
        </w:rPr>
        <w:t>The education of the founding team will mitigate the negative effect of the cultural diversity of the founding team on the likelihood of admission into an acceleration program</w:t>
      </w:r>
      <w:r w:rsidR="00864316" w:rsidRPr="00F32020">
        <w:rPr>
          <w:i/>
          <w:iCs/>
        </w:rPr>
        <w:t>me</w:t>
      </w:r>
      <w:r w:rsidRPr="00F32020">
        <w:rPr>
          <w:i/>
          <w:iCs/>
        </w:rPr>
        <w:t xml:space="preserve"> </w:t>
      </w:r>
    </w:p>
    <w:p w14:paraId="3A69775A" w14:textId="77777777" w:rsidR="00B61D8C" w:rsidRPr="00F32020" w:rsidRDefault="00B61D8C" w:rsidP="005546EC">
      <w:pPr>
        <w:spacing w:line="480" w:lineRule="auto"/>
        <w:ind w:firstLine="720"/>
        <w:jc w:val="both"/>
      </w:pPr>
    </w:p>
    <w:p w14:paraId="57D0518A" w14:textId="121E6E78" w:rsidR="004921D8" w:rsidRPr="00F32020" w:rsidRDefault="2A942985" w:rsidP="005546EC">
      <w:pPr>
        <w:autoSpaceDE w:val="0"/>
        <w:autoSpaceDN w:val="0"/>
        <w:adjustRightInd w:val="0"/>
        <w:spacing w:line="480" w:lineRule="auto"/>
        <w:ind w:firstLine="720"/>
        <w:jc w:val="both"/>
      </w:pPr>
      <w:r>
        <w:t xml:space="preserve">Prior start-up experience, or else prior founding experience, of the founding team is being regarded as another important signal. The literature suggests that prior founding and entrepreneurial experience increase the likelihood of VC funding (Hsu, 2007) and success in </w:t>
      </w:r>
      <w:r>
        <w:lastRenderedPageBreak/>
        <w:t>equity crowdfunding (Piva and Rossi-Lamastra, 2018).</w:t>
      </w:r>
      <w:bookmarkStart w:id="16" w:name="_Hlk181784061"/>
      <w:r>
        <w:t xml:space="preserve"> Furthermore, Solodoha and</w:t>
      </w:r>
      <w:r w:rsidRPr="2A942985">
        <w:rPr>
          <w:u w:val="single"/>
        </w:rPr>
        <w:t xml:space="preserve"> </w:t>
      </w:r>
      <w:r>
        <w:t>Rosenzweig (2023) highlight the role of founding experience in signalling angels. Bengtsson (2013) finds that one in three serial founders enters into a repeated relationship with any previous VC firm, and Ko and McKelvie</w:t>
      </w:r>
      <w:bookmarkEnd w:id="16"/>
      <w:r>
        <w:t xml:space="preserve"> (2018) conclude that founders’ founding experience is one of the two characteristics with the greatest effect on acquiring first-round financing.</w:t>
      </w:r>
      <w:r w:rsidRPr="2A942985">
        <w:rPr>
          <w:rFonts w:eastAsia="CharisSIL"/>
          <w:lang w:eastAsia="en-US"/>
        </w:rPr>
        <w:t xml:space="preserve"> Turning to the limited evidence in the case of accelerators, Roberts and Lalls (2019) mention that accelerators value teams with some prior founding experience; however, the results of Yang et al. (2020) imply that </w:t>
      </w:r>
      <w:r>
        <w:t>prior entrepreneurial experience does not have a statistically significant effect on the probability of selection by accelerators. Various reasons in the literature explain this overall positive view about prior founding experience and its usefulness as a signal that transmits valuable information to third parties. For example, entrepreneurs without prior founding experience may face difficulties in both actual new venture development ability and perceived ability (Hsu, 2007), while experienced entrepreneurs have been associated with the ability to recognise new business opportunities (Baron and Ensley, 2006) and larger professional networks that can be leveraged for partnerships and business development (Boerner et al., 2025). As discussed in Delmar and Shane (2006), experience helps entrepreneurs to overcome liabilities of newness and improve the performance of their new ventures because of learning curves. That is, the more that entrepreneurs launch firms, the better they become at organising firms, hiring employees, acquiring resources, attracting customers and suppliers. Based on a reasoning similar to the case of education, we formulate our next two hypotheses as follows:</w:t>
      </w:r>
    </w:p>
    <w:p w14:paraId="1C54D96D" w14:textId="77777777" w:rsidR="0031277A" w:rsidRPr="00F32020" w:rsidRDefault="0031277A" w:rsidP="005546EC">
      <w:pPr>
        <w:autoSpaceDE w:val="0"/>
        <w:autoSpaceDN w:val="0"/>
        <w:adjustRightInd w:val="0"/>
        <w:spacing w:line="480" w:lineRule="auto"/>
        <w:jc w:val="both"/>
      </w:pPr>
    </w:p>
    <w:p w14:paraId="7699B556" w14:textId="45B9DB26" w:rsidR="00CE77A5" w:rsidRPr="00F32020" w:rsidRDefault="00CE77A5" w:rsidP="005546EC">
      <w:pPr>
        <w:spacing w:line="480" w:lineRule="auto"/>
        <w:ind w:firstLine="720"/>
        <w:jc w:val="both"/>
      </w:pPr>
      <w:r w:rsidRPr="00F32020">
        <w:t xml:space="preserve">H3a: </w:t>
      </w:r>
      <w:r w:rsidRPr="00F32020">
        <w:rPr>
          <w:i/>
          <w:iCs/>
        </w:rPr>
        <w:t xml:space="preserve">The </w:t>
      </w:r>
      <w:r w:rsidR="006C57C7" w:rsidRPr="00F32020">
        <w:rPr>
          <w:i/>
          <w:iCs/>
        </w:rPr>
        <w:t xml:space="preserve">prior </w:t>
      </w:r>
      <w:r w:rsidRPr="00F32020">
        <w:rPr>
          <w:i/>
          <w:iCs/>
        </w:rPr>
        <w:t>founding experience of the founding team will magnify the positive effect of the cultural diversity of the founding team on the likelihood of admission into an acceleration program</w:t>
      </w:r>
      <w:r w:rsidR="00864316" w:rsidRPr="00F32020">
        <w:rPr>
          <w:i/>
          <w:iCs/>
        </w:rPr>
        <w:t>me</w:t>
      </w:r>
      <w:r w:rsidRPr="00F32020">
        <w:rPr>
          <w:i/>
          <w:iCs/>
        </w:rPr>
        <w:t xml:space="preserve"> </w:t>
      </w:r>
    </w:p>
    <w:p w14:paraId="01CE8B6C" w14:textId="77777777" w:rsidR="00CE77A5" w:rsidRPr="00F32020" w:rsidRDefault="00CE77A5" w:rsidP="005546EC">
      <w:pPr>
        <w:autoSpaceDE w:val="0"/>
        <w:autoSpaceDN w:val="0"/>
        <w:adjustRightInd w:val="0"/>
        <w:spacing w:line="480" w:lineRule="auto"/>
        <w:ind w:firstLine="720"/>
        <w:jc w:val="both"/>
      </w:pPr>
    </w:p>
    <w:p w14:paraId="6BC7665A" w14:textId="53E77087" w:rsidR="00CE77A5" w:rsidRPr="00F32020" w:rsidRDefault="00CE77A5" w:rsidP="005546EC">
      <w:pPr>
        <w:spacing w:line="480" w:lineRule="auto"/>
        <w:ind w:firstLine="720"/>
        <w:jc w:val="both"/>
      </w:pPr>
      <w:r w:rsidRPr="00F32020">
        <w:t xml:space="preserve">H3b: </w:t>
      </w:r>
      <w:r w:rsidRPr="00F32020">
        <w:rPr>
          <w:i/>
          <w:iCs/>
        </w:rPr>
        <w:t xml:space="preserve">The </w:t>
      </w:r>
      <w:r w:rsidR="006C57C7" w:rsidRPr="00F32020">
        <w:rPr>
          <w:i/>
          <w:iCs/>
        </w:rPr>
        <w:t xml:space="preserve">prior </w:t>
      </w:r>
      <w:r w:rsidRPr="00F32020">
        <w:rPr>
          <w:i/>
          <w:iCs/>
        </w:rPr>
        <w:t>founding experience of the founding team will mitigate the negative effect of the cultural diversity of the founding team on the likelihood of admission into an acceleration program</w:t>
      </w:r>
      <w:r w:rsidR="00864316" w:rsidRPr="00F32020">
        <w:rPr>
          <w:i/>
          <w:iCs/>
        </w:rPr>
        <w:t>me</w:t>
      </w:r>
      <w:r w:rsidRPr="00F32020">
        <w:rPr>
          <w:i/>
          <w:iCs/>
        </w:rPr>
        <w:t xml:space="preserve"> </w:t>
      </w:r>
    </w:p>
    <w:p w14:paraId="2D5991D6" w14:textId="77777777" w:rsidR="00F92DB4" w:rsidRPr="00F32020" w:rsidRDefault="00F92DB4" w:rsidP="005546EC">
      <w:pPr>
        <w:autoSpaceDE w:val="0"/>
        <w:autoSpaceDN w:val="0"/>
        <w:adjustRightInd w:val="0"/>
        <w:spacing w:line="480" w:lineRule="auto"/>
        <w:jc w:val="both"/>
        <w:rPr>
          <w:b/>
          <w:bCs/>
          <w:sz w:val="32"/>
          <w:szCs w:val="32"/>
          <w:u w:val="single"/>
        </w:rPr>
      </w:pPr>
    </w:p>
    <w:p w14:paraId="423C11BF" w14:textId="3A4C571E" w:rsidR="00713FAB" w:rsidRPr="00F32020" w:rsidRDefault="00EB0CF0" w:rsidP="005546EC">
      <w:pPr>
        <w:autoSpaceDE w:val="0"/>
        <w:autoSpaceDN w:val="0"/>
        <w:adjustRightInd w:val="0"/>
        <w:spacing w:line="480" w:lineRule="auto"/>
        <w:ind w:firstLine="720"/>
        <w:jc w:val="both"/>
      </w:pPr>
      <w:r w:rsidRPr="00F32020">
        <w:t>The age of entrepreneurs and corporate directors</w:t>
      </w:r>
      <w:r w:rsidR="00B61D8C" w:rsidRPr="00F32020">
        <w:t xml:space="preserve"> of new ventures</w:t>
      </w:r>
      <w:r w:rsidRPr="00F32020">
        <w:t xml:space="preserve"> has been negatively associated with deal valuations in the case of angel investors (Boerner et al., 202</w:t>
      </w:r>
      <w:r w:rsidR="00CE3B1B" w:rsidRPr="00F32020">
        <w:t>5</w:t>
      </w:r>
      <w:r w:rsidRPr="00F32020">
        <w:t>)</w:t>
      </w:r>
      <w:r w:rsidR="009260A0" w:rsidRPr="00F32020">
        <w:t>,</w:t>
      </w:r>
      <w:r w:rsidRPr="00F32020">
        <w:t xml:space="preserve"> the probability of </w:t>
      </w:r>
      <w:r w:rsidR="00FB3742" w:rsidRPr="00F32020">
        <w:t>success in</w:t>
      </w:r>
      <w:r w:rsidRPr="00F32020">
        <w:t xml:space="preserve"> equity crowdfunding campaign</w:t>
      </w:r>
      <w:r w:rsidR="00FB3742" w:rsidRPr="00F32020">
        <w:t>s</w:t>
      </w:r>
      <w:r w:rsidRPr="00F32020">
        <w:t xml:space="preserve"> (Ralcheva and Roosenboom, 2020)</w:t>
      </w:r>
      <w:r w:rsidR="009260A0" w:rsidRPr="00F32020">
        <w:t xml:space="preserve"> and </w:t>
      </w:r>
      <w:r w:rsidR="00FC4B91" w:rsidRPr="00F32020">
        <w:t>selection by</w:t>
      </w:r>
      <w:r w:rsidR="009260A0" w:rsidRPr="00F32020">
        <w:t xml:space="preserve"> venture capitalists (Lyonnet and Stern, 2022)</w:t>
      </w:r>
      <w:r w:rsidRPr="00F32020">
        <w:t>.</w:t>
      </w:r>
      <w:r w:rsidR="00A54DB6" w:rsidRPr="00F32020">
        <w:t xml:space="preserve"> </w:t>
      </w:r>
      <w:r w:rsidR="006C1BC1" w:rsidRPr="00F32020">
        <w:t>While</w:t>
      </w:r>
      <w:r w:rsidR="00B61D8C" w:rsidRPr="00F32020">
        <w:t xml:space="preserve"> some perceive</w:t>
      </w:r>
      <w:r w:rsidR="006C1BC1" w:rsidRPr="00F32020">
        <w:t xml:space="preserve"> the age of </w:t>
      </w:r>
      <w:r w:rsidR="00EC54FF" w:rsidRPr="00F32020">
        <w:t xml:space="preserve">the </w:t>
      </w:r>
      <w:r w:rsidR="006C1BC1" w:rsidRPr="00F32020">
        <w:t xml:space="preserve">founders as a </w:t>
      </w:r>
      <w:r w:rsidR="00EC54FF" w:rsidRPr="00F32020">
        <w:t xml:space="preserve">broad </w:t>
      </w:r>
      <w:r w:rsidR="006C1BC1" w:rsidRPr="00F32020">
        <w:t>proxy for</w:t>
      </w:r>
      <w:r w:rsidR="00EC54FF" w:rsidRPr="00F32020">
        <w:t xml:space="preserve"> general</w:t>
      </w:r>
      <w:r w:rsidR="006C1BC1" w:rsidRPr="00F32020">
        <w:t xml:space="preserve"> experience</w:t>
      </w:r>
      <w:r w:rsidR="00EC54FF" w:rsidRPr="00F32020">
        <w:t xml:space="preserve"> (Ewens et al., 2018; Coakley et al., 2022)</w:t>
      </w:r>
      <w:r w:rsidR="00FD4CCC" w:rsidRPr="00F32020">
        <w:t>,</w:t>
      </w:r>
      <w:r w:rsidR="006C1BC1" w:rsidRPr="00F32020">
        <w:t xml:space="preserve"> insights from </w:t>
      </w:r>
      <w:r w:rsidR="00344708" w:rsidRPr="00F32020">
        <w:t>decision heuristics and social perception theory</w:t>
      </w:r>
      <w:r w:rsidR="00063E0A" w:rsidRPr="00F32020">
        <w:t xml:space="preserve"> suggest that</w:t>
      </w:r>
      <w:r w:rsidR="00344708" w:rsidRPr="00F32020">
        <w:t xml:space="preserve"> decision makers may discriminate amongst the applicants based on age stereotypes</w:t>
      </w:r>
      <w:r w:rsidR="00A96A0E" w:rsidRPr="00F32020">
        <w:t xml:space="preserve"> about entrepreneurs</w:t>
      </w:r>
      <w:r w:rsidR="00063E0A" w:rsidRPr="00F32020">
        <w:t xml:space="preserve"> </w:t>
      </w:r>
      <w:r w:rsidR="00344708" w:rsidRPr="00F32020">
        <w:t>(</w:t>
      </w:r>
      <w:r w:rsidR="00963E07" w:rsidRPr="00F32020">
        <w:t>Nelson, 2005;</w:t>
      </w:r>
      <w:r w:rsidR="00344708" w:rsidRPr="00F32020">
        <w:t xml:space="preserve"> </w:t>
      </w:r>
      <w:r w:rsidR="00963E07" w:rsidRPr="00F32020">
        <w:t>Boerner et al., 202</w:t>
      </w:r>
      <w:r w:rsidR="00CE3B1B" w:rsidRPr="00F32020">
        <w:t>5</w:t>
      </w:r>
      <w:r w:rsidR="00344708" w:rsidRPr="00F32020">
        <w:t xml:space="preserve">). </w:t>
      </w:r>
      <w:r w:rsidR="005229C7" w:rsidRPr="00F32020">
        <w:t>Boerner et al. (202</w:t>
      </w:r>
      <w:r w:rsidR="00CE3B1B" w:rsidRPr="00F32020">
        <w:t>5</w:t>
      </w:r>
      <w:r w:rsidR="005229C7" w:rsidRPr="00F32020">
        <w:t>) summari</w:t>
      </w:r>
      <w:r w:rsidR="00FD4CCC" w:rsidRPr="00F32020">
        <w:t>s</w:t>
      </w:r>
      <w:r w:rsidR="005229C7" w:rsidRPr="00F32020">
        <w:t xml:space="preserve">e several reasons </w:t>
      </w:r>
      <w:r w:rsidR="00B61D8C" w:rsidRPr="00F32020">
        <w:t xml:space="preserve">suggested </w:t>
      </w:r>
      <w:r w:rsidR="005229C7" w:rsidRPr="00F32020">
        <w:t xml:space="preserve">in the literature as for why angel investors, and by extension other decision makers in the entrepreneurial ecosystem, may </w:t>
      </w:r>
      <w:r w:rsidR="00B61D8C" w:rsidRPr="00F32020">
        <w:t>favour</w:t>
      </w:r>
      <w:r w:rsidR="005229C7" w:rsidRPr="00F32020">
        <w:t xml:space="preserve"> younger entrepreneurs. These include</w:t>
      </w:r>
      <w:r w:rsidR="0049611B" w:rsidRPr="00F32020">
        <w:t xml:space="preserve"> higher levels of motivation, productivity and persistence, willingness to learn as well as to accept risks, higher energy and resilience, </w:t>
      </w:r>
      <w:r w:rsidR="00212ABF" w:rsidRPr="00F32020">
        <w:t xml:space="preserve">longer time horizon to invest in the growth and success of their venture, </w:t>
      </w:r>
      <w:r w:rsidR="0049611B" w:rsidRPr="00F32020">
        <w:t>and ability to work long hours involved with early-stage entrepreneurship.</w:t>
      </w:r>
      <w:r w:rsidR="005229C7" w:rsidRPr="00F32020">
        <w:t xml:space="preserve"> </w:t>
      </w:r>
      <w:r w:rsidR="00D47F6F" w:rsidRPr="00F32020">
        <w:t>Ewens et al. (2018) p</w:t>
      </w:r>
      <w:r w:rsidR="00A54DB6" w:rsidRPr="00F32020">
        <w:t>ut forward another possible explanation</w:t>
      </w:r>
      <w:r w:rsidR="00067A05" w:rsidRPr="00F32020">
        <w:t xml:space="preserve"> in their discussion of the venture capitalists’ investment strategy. </w:t>
      </w:r>
      <w:r w:rsidR="00A54DB6" w:rsidRPr="00F32020">
        <w:t>They mention that younger and more</w:t>
      </w:r>
      <w:r w:rsidR="00B61D8C" w:rsidRPr="00F32020">
        <w:t xml:space="preserve"> </w:t>
      </w:r>
      <w:r w:rsidR="00A54DB6" w:rsidRPr="00F32020">
        <w:t>inexperienced founders, who have a technology that holds a lot of promise but are not</w:t>
      </w:r>
      <w:r w:rsidR="00A667F2" w:rsidRPr="00F32020">
        <w:t xml:space="preserve"> </w:t>
      </w:r>
      <w:r w:rsidR="00A54DB6" w:rsidRPr="00F32020">
        <w:t xml:space="preserve">experienced at running a company, need mentorship and governance more than </w:t>
      </w:r>
      <w:r w:rsidR="00B61D8C" w:rsidRPr="00F32020">
        <w:t>the</w:t>
      </w:r>
      <w:r w:rsidR="00A54DB6" w:rsidRPr="00F32020">
        <w:t xml:space="preserve"> experienced entrepreneurs.</w:t>
      </w:r>
      <w:r w:rsidR="00D47F6F" w:rsidRPr="00F32020">
        <w:t xml:space="preserve"> </w:t>
      </w:r>
      <w:r w:rsidR="00A667F2" w:rsidRPr="00F32020">
        <w:t>Boulton et al. (2019) m</w:t>
      </w:r>
      <w:r w:rsidR="00A96A0E" w:rsidRPr="00F32020">
        <w:t xml:space="preserve">ake a similar argument </w:t>
      </w:r>
      <w:r w:rsidR="00CD1277" w:rsidRPr="00F32020">
        <w:t>for</w:t>
      </w:r>
      <w:r w:rsidR="00A96A0E" w:rsidRPr="00F32020">
        <w:t xml:space="preserve"> angel investors</w:t>
      </w:r>
      <w:r w:rsidR="00FD4CCC" w:rsidRPr="00F32020">
        <w:t>,</w:t>
      </w:r>
      <w:r w:rsidR="00A96A0E" w:rsidRPr="00F32020">
        <w:t xml:space="preserve"> mentioning that</w:t>
      </w:r>
      <w:r w:rsidR="00FD4CCC" w:rsidRPr="00F32020">
        <w:t>,</w:t>
      </w:r>
      <w:r w:rsidR="00A96A0E" w:rsidRPr="00F32020">
        <w:t xml:space="preserve"> </w:t>
      </w:r>
      <w:r w:rsidR="00CD1277" w:rsidRPr="00F32020">
        <w:t>in cases where they</w:t>
      </w:r>
      <w:r w:rsidR="00A96A0E" w:rsidRPr="00F32020">
        <w:t xml:space="preserve"> place a high value on their role as mentors, they may favour</w:t>
      </w:r>
      <w:r w:rsidR="00963E07" w:rsidRPr="00F32020">
        <w:t xml:space="preserve"> </w:t>
      </w:r>
      <w:r w:rsidR="00A96A0E" w:rsidRPr="00F32020">
        <w:t xml:space="preserve">ventures with younger entrepreneurs. </w:t>
      </w:r>
      <w:r w:rsidR="00D47F6F" w:rsidRPr="00F32020">
        <w:t xml:space="preserve">Given that ventures </w:t>
      </w:r>
      <w:r w:rsidR="00FD4CCC" w:rsidRPr="00F32020">
        <w:t>applying</w:t>
      </w:r>
      <w:r w:rsidR="00D47F6F" w:rsidRPr="00F32020">
        <w:t xml:space="preserve"> to accelerators are at a much earlier stage of their life than </w:t>
      </w:r>
      <w:r w:rsidR="00FD4CCC" w:rsidRPr="00F32020">
        <w:t>those applying</w:t>
      </w:r>
      <w:r w:rsidR="00D47F6F" w:rsidRPr="00F32020">
        <w:t xml:space="preserve"> </w:t>
      </w:r>
      <w:r w:rsidR="00D47F6F" w:rsidRPr="00F32020">
        <w:lastRenderedPageBreak/>
        <w:t>for funding to venture capital firms</w:t>
      </w:r>
      <w:r w:rsidR="000B2D9A" w:rsidRPr="00F32020">
        <w:t xml:space="preserve"> or business angels, we believe that this issue will be even more important in our context. </w:t>
      </w:r>
      <w:r w:rsidR="00674B21" w:rsidRPr="00F32020">
        <w:t>Following the reasoning for education and founding experience, we formulate the following hypotheses:</w:t>
      </w:r>
    </w:p>
    <w:p w14:paraId="74811E30" w14:textId="77777777" w:rsidR="00674B21" w:rsidRPr="00F32020" w:rsidRDefault="00674B21" w:rsidP="005546EC">
      <w:pPr>
        <w:spacing w:line="480" w:lineRule="auto"/>
        <w:ind w:firstLine="720"/>
        <w:jc w:val="both"/>
      </w:pPr>
    </w:p>
    <w:p w14:paraId="3667E5C3" w14:textId="64E443B9" w:rsidR="00674B21" w:rsidRPr="00F32020" w:rsidRDefault="00674B21" w:rsidP="005546EC">
      <w:pPr>
        <w:spacing w:line="480" w:lineRule="auto"/>
        <w:ind w:firstLine="720"/>
        <w:jc w:val="both"/>
      </w:pPr>
      <w:r w:rsidRPr="00F32020">
        <w:t>H</w:t>
      </w:r>
      <w:r w:rsidR="00995515" w:rsidRPr="00F32020">
        <w:t>4</w:t>
      </w:r>
      <w:r w:rsidRPr="00F32020">
        <w:t xml:space="preserve">a: </w:t>
      </w:r>
      <w:r w:rsidRPr="00F32020">
        <w:rPr>
          <w:i/>
          <w:iCs/>
        </w:rPr>
        <w:t>Having a team with younger founders will magnify the positive effect of the cultural diversity of the founding team on the likelihood of admission into an acceleration program</w:t>
      </w:r>
      <w:r w:rsidR="00864316" w:rsidRPr="00F32020">
        <w:rPr>
          <w:i/>
          <w:iCs/>
        </w:rPr>
        <w:t>me</w:t>
      </w:r>
      <w:r w:rsidRPr="00F32020">
        <w:rPr>
          <w:i/>
          <w:iCs/>
        </w:rPr>
        <w:t xml:space="preserve"> </w:t>
      </w:r>
    </w:p>
    <w:p w14:paraId="4AE62927" w14:textId="77777777" w:rsidR="00674B21" w:rsidRPr="00F32020" w:rsidRDefault="00674B21" w:rsidP="005546EC">
      <w:pPr>
        <w:autoSpaceDE w:val="0"/>
        <w:autoSpaceDN w:val="0"/>
        <w:adjustRightInd w:val="0"/>
        <w:spacing w:line="480" w:lineRule="auto"/>
        <w:ind w:firstLine="720"/>
        <w:jc w:val="both"/>
      </w:pPr>
    </w:p>
    <w:p w14:paraId="7AC5A9A9" w14:textId="3D77E48B" w:rsidR="00674B21" w:rsidRPr="00F32020" w:rsidRDefault="00674B21" w:rsidP="005546EC">
      <w:pPr>
        <w:spacing w:line="480" w:lineRule="auto"/>
        <w:ind w:firstLine="720"/>
        <w:jc w:val="both"/>
      </w:pPr>
      <w:r w:rsidRPr="00F32020">
        <w:t>H</w:t>
      </w:r>
      <w:r w:rsidR="00995515" w:rsidRPr="00F32020">
        <w:t>4</w:t>
      </w:r>
      <w:r w:rsidRPr="00F32020">
        <w:t xml:space="preserve">b: </w:t>
      </w:r>
      <w:r w:rsidRPr="00F32020">
        <w:rPr>
          <w:i/>
          <w:iCs/>
        </w:rPr>
        <w:t>Having a team with younger founders will mitigate the negative effect of the cultural diversity of the founding team on the likelihood of admission into an acceleration program</w:t>
      </w:r>
      <w:r w:rsidR="00864316" w:rsidRPr="00F32020">
        <w:rPr>
          <w:i/>
          <w:iCs/>
        </w:rPr>
        <w:t>me</w:t>
      </w:r>
      <w:r w:rsidRPr="00F32020">
        <w:rPr>
          <w:i/>
          <w:iCs/>
        </w:rPr>
        <w:t xml:space="preserve"> </w:t>
      </w:r>
    </w:p>
    <w:p w14:paraId="5E3A8986" w14:textId="77777777" w:rsidR="00674B21" w:rsidRPr="00F32020" w:rsidRDefault="00674B21" w:rsidP="005546EC">
      <w:pPr>
        <w:autoSpaceDE w:val="0"/>
        <w:autoSpaceDN w:val="0"/>
        <w:adjustRightInd w:val="0"/>
        <w:spacing w:line="480" w:lineRule="auto"/>
        <w:jc w:val="both"/>
      </w:pPr>
    </w:p>
    <w:p w14:paraId="0117A33C" w14:textId="0A6571D3" w:rsidR="008067F1" w:rsidRPr="00F32020" w:rsidRDefault="2A942985">
      <w:pPr>
        <w:spacing w:line="480" w:lineRule="auto"/>
        <w:ind w:firstLine="720"/>
        <w:jc w:val="both"/>
      </w:pPr>
      <w:r w:rsidRPr="2A942985">
        <w:rPr>
          <w:rFonts w:eastAsiaTheme="minorEastAsia"/>
          <w:lang w:eastAsia="en-US"/>
        </w:rPr>
        <w:t>Earlier research on venture</w:t>
      </w:r>
      <w:r>
        <w:t xml:space="preserve"> </w:t>
      </w:r>
      <w:r w:rsidRPr="2A942985">
        <w:rPr>
          <w:rFonts w:eastAsiaTheme="minorEastAsia"/>
          <w:lang w:eastAsia="en-US"/>
        </w:rPr>
        <w:t xml:space="preserve">capitalists shows that investments in women-led businesses </w:t>
      </w:r>
      <w:r>
        <w:t>is</w:t>
      </w:r>
      <w:r w:rsidRPr="2A942985">
        <w:rPr>
          <w:rFonts w:eastAsiaTheme="minorEastAsia"/>
          <w:lang w:eastAsia="en-US"/>
        </w:rPr>
        <w:t xml:space="preserve"> small</w:t>
      </w:r>
      <w:r>
        <w:t xml:space="preserve"> (Greene et al., 2001; </w:t>
      </w:r>
      <w:r w:rsidRPr="2A942985">
        <w:rPr>
          <w:rFonts w:eastAsia="CharisSIL"/>
          <w:lang w:eastAsia="en-US"/>
        </w:rPr>
        <w:t>Guzman and Kacperczyk, 2019</w:t>
      </w:r>
      <w:r>
        <w:t xml:space="preserve">), and that women start their firms with a smaller amount of startup capital than men (Verheul and Thurik, 2001). Angel investors also offer lower deal valuations to teams of female entrepreneurs (Boerner et al, 2025). However, more recent research reveals that this is not necessarily the case when looking at financing from crowdfunding and the acceptance rates of accelerators.  For instance, Greenberg and Mollick (2015) and Gafni et al. (2021) find that women outperform their </w:t>
      </w:r>
      <w:r w:rsidRPr="2A942985">
        <w:rPr>
          <w:rFonts w:eastAsiaTheme="minorEastAsia"/>
          <w:lang w:eastAsia="en-US"/>
        </w:rPr>
        <w:t xml:space="preserve">male </w:t>
      </w:r>
      <w:r>
        <w:t xml:space="preserve">counterparts and are more likely to succeed </w:t>
      </w:r>
      <w:r w:rsidRPr="2A942985">
        <w:rPr>
          <w:rFonts w:eastAsiaTheme="minorEastAsia"/>
          <w:lang w:eastAsia="en-US"/>
        </w:rPr>
        <w:t xml:space="preserve">in </w:t>
      </w:r>
      <w:r>
        <w:t xml:space="preserve">a crowdfunding campaign. Turning to accelerators, Avnimelech and Rechter (2023) mention that female founders’ participation rate in Israeli accelerators is significantly higher (15.3 %) than their participation rate in the Israeli start-up sector (7.4 %).  Yang et al. (2020) conclude that social impact accelerators appear to select social startups with female entrepreneurs at a higher rate than those with male entrepreneurs; however, there still appears to be a gender bias toward women. In more detail, they find that </w:t>
      </w:r>
      <w:r>
        <w:lastRenderedPageBreak/>
        <w:t xml:space="preserve">the selection probabilities increase for both men and women who send economic (i.e. received equity investment in the past) and social (i.e. received philanthropic investment in the past) signals that are congruent with their gender (i.e. men sending economic signals or women sending social signals). However, when those signals are incongruent with the entrepreneur's gender, the selection probabilities increase only for men, while those for women decrease below those of women who send no signals at all. </w:t>
      </w:r>
    </w:p>
    <w:p w14:paraId="245D2B07" w14:textId="2B4160D1" w:rsidR="00124F09" w:rsidRPr="00F32020" w:rsidRDefault="0037252A" w:rsidP="005546EC">
      <w:pPr>
        <w:autoSpaceDE w:val="0"/>
        <w:autoSpaceDN w:val="0"/>
        <w:adjustRightInd w:val="0"/>
        <w:spacing w:line="480" w:lineRule="auto"/>
        <w:ind w:firstLine="720"/>
        <w:jc w:val="both"/>
      </w:pPr>
      <w:r w:rsidRPr="00F32020">
        <w:t>We hypothesi</w:t>
      </w:r>
      <w:r w:rsidR="00FD4CCC" w:rsidRPr="00F32020">
        <w:t>s</w:t>
      </w:r>
      <w:r w:rsidRPr="00F32020">
        <w:t xml:space="preserve">e that the joint effect of cultural diversity and gender diversity of the founding team will depend upon the perceptions of accelerators about diversity. Should they have a positive (negative) view about team diversity, it is possible that gender diversity will amplify the positive (negative) effects of cultural diversity. </w:t>
      </w:r>
      <w:r w:rsidR="008067F1" w:rsidRPr="00F32020">
        <w:t>Therefore, we formulate our last hypothesis as follows:</w:t>
      </w:r>
    </w:p>
    <w:p w14:paraId="2F88EE1B" w14:textId="77777777" w:rsidR="008067F1" w:rsidRPr="00F32020" w:rsidRDefault="008067F1" w:rsidP="005546EC">
      <w:pPr>
        <w:spacing w:line="480" w:lineRule="auto"/>
        <w:ind w:firstLine="720"/>
        <w:jc w:val="both"/>
      </w:pPr>
    </w:p>
    <w:p w14:paraId="030A9E0C" w14:textId="562D4B1B" w:rsidR="008067F1" w:rsidRPr="00F32020" w:rsidRDefault="008067F1" w:rsidP="005546EC">
      <w:pPr>
        <w:spacing w:line="480" w:lineRule="auto"/>
        <w:ind w:firstLine="720"/>
        <w:jc w:val="both"/>
      </w:pPr>
      <w:r w:rsidRPr="00F32020">
        <w:t xml:space="preserve">H5: </w:t>
      </w:r>
      <w:r w:rsidRPr="00F32020">
        <w:rPr>
          <w:i/>
          <w:iCs/>
        </w:rPr>
        <w:t>Higher gender diversity in terms of females in the founding team will amplify the effect of the cultural diversity of the founding team on the likelihood of admission into an acceleration program</w:t>
      </w:r>
      <w:r w:rsidR="00864316" w:rsidRPr="00F32020">
        <w:rPr>
          <w:i/>
          <w:iCs/>
        </w:rPr>
        <w:t>me</w:t>
      </w:r>
      <w:r w:rsidRPr="00F32020">
        <w:rPr>
          <w:i/>
          <w:iCs/>
        </w:rPr>
        <w:t xml:space="preserve"> </w:t>
      </w:r>
    </w:p>
    <w:p w14:paraId="58A8DC9B" w14:textId="77777777" w:rsidR="00D05081" w:rsidRPr="00F32020" w:rsidRDefault="00D05081" w:rsidP="005546EC">
      <w:pPr>
        <w:autoSpaceDE w:val="0"/>
        <w:autoSpaceDN w:val="0"/>
        <w:adjustRightInd w:val="0"/>
        <w:spacing w:line="480" w:lineRule="auto"/>
        <w:jc w:val="both"/>
      </w:pPr>
    </w:p>
    <w:p w14:paraId="7F59FFBD" w14:textId="44D5D5F8" w:rsidR="006F08BD" w:rsidRPr="00F32020" w:rsidRDefault="00EA783F" w:rsidP="005546EC">
      <w:pPr>
        <w:spacing w:line="480" w:lineRule="auto"/>
        <w:jc w:val="both"/>
        <w:rPr>
          <w:b/>
          <w:bCs/>
          <w:sz w:val="28"/>
          <w:szCs w:val="28"/>
        </w:rPr>
      </w:pPr>
      <w:r w:rsidRPr="00F32020">
        <w:rPr>
          <w:b/>
          <w:bCs/>
          <w:sz w:val="28"/>
          <w:szCs w:val="28"/>
        </w:rPr>
        <w:t>3</w:t>
      </w:r>
      <w:r w:rsidR="00722472" w:rsidRPr="00F32020">
        <w:rPr>
          <w:b/>
          <w:bCs/>
          <w:sz w:val="28"/>
          <w:szCs w:val="28"/>
        </w:rPr>
        <w:t>.</w:t>
      </w:r>
      <w:r w:rsidR="0091032F" w:rsidRPr="00F32020">
        <w:rPr>
          <w:b/>
          <w:bCs/>
          <w:sz w:val="28"/>
          <w:szCs w:val="28"/>
        </w:rPr>
        <w:t xml:space="preserve"> </w:t>
      </w:r>
      <w:r w:rsidR="006F08BD" w:rsidRPr="00F32020">
        <w:rPr>
          <w:b/>
          <w:bCs/>
          <w:sz w:val="28"/>
          <w:szCs w:val="28"/>
        </w:rPr>
        <w:t>Data, Variables and Methodology</w:t>
      </w:r>
    </w:p>
    <w:p w14:paraId="724D0902" w14:textId="5A021C60" w:rsidR="006F08BD" w:rsidRPr="00F32020" w:rsidRDefault="00EA783F" w:rsidP="005546EC">
      <w:pPr>
        <w:spacing w:line="480" w:lineRule="auto"/>
        <w:jc w:val="both"/>
        <w:rPr>
          <w:b/>
          <w:bCs/>
          <w:i/>
          <w:iCs/>
        </w:rPr>
      </w:pPr>
      <w:r w:rsidRPr="00F32020">
        <w:rPr>
          <w:b/>
          <w:bCs/>
          <w:i/>
          <w:iCs/>
        </w:rPr>
        <w:t>3</w:t>
      </w:r>
      <w:r w:rsidR="0091032F" w:rsidRPr="00F32020">
        <w:rPr>
          <w:b/>
          <w:bCs/>
          <w:i/>
          <w:iCs/>
        </w:rPr>
        <w:t>.1</w:t>
      </w:r>
      <w:r w:rsidR="00354161" w:rsidRPr="00F32020">
        <w:rPr>
          <w:b/>
          <w:bCs/>
          <w:i/>
          <w:iCs/>
        </w:rPr>
        <w:t>.</w:t>
      </w:r>
      <w:r w:rsidR="0091032F" w:rsidRPr="00F32020">
        <w:rPr>
          <w:b/>
          <w:bCs/>
          <w:i/>
          <w:iCs/>
        </w:rPr>
        <w:t xml:space="preserve"> </w:t>
      </w:r>
      <w:r w:rsidR="006F08BD" w:rsidRPr="00F32020">
        <w:rPr>
          <w:b/>
          <w:bCs/>
          <w:i/>
          <w:iCs/>
        </w:rPr>
        <w:t>Data</w:t>
      </w:r>
    </w:p>
    <w:p w14:paraId="3366A5F5" w14:textId="3020977D" w:rsidR="001B556A" w:rsidRPr="00F32020" w:rsidRDefault="00670B0A" w:rsidP="005546EC">
      <w:pPr>
        <w:spacing w:line="480" w:lineRule="auto"/>
        <w:jc w:val="both"/>
      </w:pPr>
      <w:r w:rsidRPr="00F32020">
        <w:t>As mentioned earlier, t</w:t>
      </w:r>
      <w:r w:rsidR="006F08BD" w:rsidRPr="00F32020">
        <w:t xml:space="preserve">he venture-level data were </w:t>
      </w:r>
      <w:r w:rsidR="002E29AC" w:rsidRPr="00F32020">
        <w:t xml:space="preserve">provided by the </w:t>
      </w:r>
      <w:r w:rsidRPr="00F32020">
        <w:t xml:space="preserve">EDP </w:t>
      </w:r>
      <w:r w:rsidR="006F08BD" w:rsidRPr="00F32020">
        <w:t>at Emory University</w:t>
      </w:r>
      <w:r w:rsidR="00AE4D1B" w:rsidRPr="00F32020">
        <w:t>, which is</w:t>
      </w:r>
      <w:r w:rsidR="00664731" w:rsidRPr="00F32020">
        <w:t xml:space="preserve"> part of the </w:t>
      </w:r>
      <w:r w:rsidRPr="00F32020">
        <w:t>GALI</w:t>
      </w:r>
      <w:r w:rsidR="00AE4D1B" w:rsidRPr="00F32020">
        <w:t>.</w:t>
      </w:r>
      <w:r w:rsidR="00664731" w:rsidRPr="00F32020">
        <w:t xml:space="preserve"> </w:t>
      </w:r>
      <w:r w:rsidR="002C5190" w:rsidRPr="00F32020">
        <w:t xml:space="preserve">Between </w:t>
      </w:r>
      <w:r w:rsidR="00B445ED" w:rsidRPr="00F32020">
        <w:t>2013</w:t>
      </w:r>
      <w:r w:rsidR="002C5190" w:rsidRPr="00F32020">
        <w:t xml:space="preserve"> and 2019</w:t>
      </w:r>
      <w:r w:rsidR="00B445ED" w:rsidRPr="00F32020">
        <w:t>, t</w:t>
      </w:r>
      <w:r w:rsidR="00664731" w:rsidRPr="00F32020">
        <w:t xml:space="preserve">he EDP </w:t>
      </w:r>
      <w:r w:rsidR="002C5190" w:rsidRPr="00F32020">
        <w:t>partnered</w:t>
      </w:r>
      <w:r w:rsidR="00664731" w:rsidRPr="00F32020">
        <w:t xml:space="preserve"> with accelerators </w:t>
      </w:r>
      <w:r w:rsidR="002C5190" w:rsidRPr="00F32020">
        <w:t>from</w:t>
      </w:r>
      <w:r w:rsidR="00664731" w:rsidRPr="00F32020">
        <w:t xml:space="preserve"> various countries around the worl</w:t>
      </w:r>
      <w:r w:rsidR="00431553" w:rsidRPr="00F32020">
        <w:t>d</w:t>
      </w:r>
      <w:r w:rsidR="00051030" w:rsidRPr="00F32020">
        <w:t xml:space="preserve"> to collect standardi</w:t>
      </w:r>
      <w:r w:rsidR="00D450B4" w:rsidRPr="00F32020">
        <w:t>s</w:t>
      </w:r>
      <w:r w:rsidR="00051030" w:rsidRPr="00F32020">
        <w:t xml:space="preserve">ed data based on a </w:t>
      </w:r>
      <w:r w:rsidR="00AE4D1B" w:rsidRPr="00F32020">
        <w:t>set of core questions that every participating accelerator program</w:t>
      </w:r>
      <w:r w:rsidR="00D450B4" w:rsidRPr="00F32020">
        <w:t>me</w:t>
      </w:r>
      <w:r w:rsidR="00AE4D1B" w:rsidRPr="00F32020">
        <w:t xml:space="preserve"> ask</w:t>
      </w:r>
      <w:r w:rsidR="002C5190" w:rsidRPr="00F32020">
        <w:t>ed</w:t>
      </w:r>
      <w:r w:rsidR="00AE4D1B" w:rsidRPr="00F32020">
        <w:t xml:space="preserve"> </w:t>
      </w:r>
      <w:r w:rsidR="006F6EF3">
        <w:t>in</w:t>
      </w:r>
      <w:r w:rsidR="006F6EF3" w:rsidRPr="00F32020">
        <w:t xml:space="preserve"> </w:t>
      </w:r>
      <w:r w:rsidR="00AE4D1B" w:rsidRPr="00F32020">
        <w:t>its application process.</w:t>
      </w:r>
      <w:r w:rsidR="00664731" w:rsidRPr="00F32020">
        <w:t xml:space="preserve"> </w:t>
      </w:r>
    </w:p>
    <w:p w14:paraId="1586F230" w14:textId="00EFF158" w:rsidR="001B556A" w:rsidRPr="00F32020" w:rsidRDefault="002E29AC" w:rsidP="005546EC">
      <w:pPr>
        <w:spacing w:line="480" w:lineRule="auto"/>
        <w:ind w:firstLine="720"/>
        <w:jc w:val="both"/>
        <w:rPr>
          <w:lang w:val="en-US"/>
        </w:rPr>
      </w:pPr>
      <w:r w:rsidRPr="00F32020">
        <w:t xml:space="preserve">The dataset </w:t>
      </w:r>
      <w:r w:rsidR="002C5190" w:rsidRPr="00F32020">
        <w:t xml:space="preserve">that was made available to us </w:t>
      </w:r>
      <w:r w:rsidRPr="00F32020">
        <w:t>includes application data collected from accelerator program</w:t>
      </w:r>
      <w:r w:rsidR="00D450B4" w:rsidRPr="00F32020">
        <w:t>me</w:t>
      </w:r>
      <w:r w:rsidRPr="00F32020">
        <w:t xml:space="preserve">s that </w:t>
      </w:r>
      <w:r w:rsidR="002B3E60" w:rsidRPr="00F32020">
        <w:t>accepted</w:t>
      </w:r>
      <w:r w:rsidRPr="00F32020">
        <w:t xml:space="preserve"> application</w:t>
      </w:r>
      <w:r w:rsidR="002B3E60" w:rsidRPr="00F32020">
        <w:t>s</w:t>
      </w:r>
      <w:r w:rsidRPr="00F32020">
        <w:t xml:space="preserve"> in the 2013</w:t>
      </w:r>
      <w:r w:rsidR="00D42B30" w:rsidRPr="00F32020">
        <w:t>-</w:t>
      </w:r>
      <w:r w:rsidRPr="00F32020">
        <w:t xml:space="preserve">2018 window. </w:t>
      </w:r>
      <w:r w:rsidR="00AF3278" w:rsidRPr="00F32020">
        <w:t xml:space="preserve">The </w:t>
      </w:r>
      <w:r w:rsidRPr="00F32020">
        <w:t xml:space="preserve">initial dataset includes </w:t>
      </w:r>
      <w:r w:rsidR="00AF3278" w:rsidRPr="00F32020">
        <w:t>14,313 ventures</w:t>
      </w:r>
      <w:r w:rsidRPr="00F32020">
        <w:t xml:space="preserve"> for which we have information on whether they have been </w:t>
      </w:r>
      <w:r w:rsidRPr="00F32020">
        <w:lastRenderedPageBreak/>
        <w:t>selected in a program</w:t>
      </w:r>
      <w:r w:rsidR="00D450B4" w:rsidRPr="00F32020">
        <w:t>me</w:t>
      </w:r>
      <w:r w:rsidRPr="00F32020">
        <w:t xml:space="preserve"> or not</w:t>
      </w:r>
      <w:r w:rsidR="00AF3278" w:rsidRPr="00F32020">
        <w:t>, and we narrow this down to 11,</w:t>
      </w:r>
      <w:r w:rsidR="00842126" w:rsidRPr="00F32020">
        <w:t>023</w:t>
      </w:r>
      <w:r w:rsidR="00AF3278" w:rsidRPr="00F32020">
        <w:t xml:space="preserve"> ventures for which we have data on the country of origin for all founders.</w:t>
      </w:r>
      <w:r w:rsidR="00A208FA" w:rsidRPr="00F32020">
        <w:t xml:space="preserve"> This information is necessary to calculate the diversity proxies of main interest to this study.</w:t>
      </w:r>
      <w:r w:rsidR="000E604B" w:rsidRPr="00F32020">
        <w:t xml:space="preserve"> As the proxies are not available for all countries, this narrows our sample down to 9,988 ventures for which we have available cultural data to proxy </w:t>
      </w:r>
      <w:r w:rsidR="00D450B4" w:rsidRPr="00F32020">
        <w:t>diversity</w:t>
      </w:r>
      <w:r w:rsidR="000E604B" w:rsidRPr="00F32020">
        <w:t xml:space="preserve">. </w:t>
      </w:r>
      <w:r w:rsidR="00A208FA" w:rsidRPr="00F32020">
        <w:t xml:space="preserve">Following the addition of all </w:t>
      </w:r>
      <w:r w:rsidR="00B67191" w:rsidRPr="00F32020">
        <w:t xml:space="preserve">the </w:t>
      </w:r>
      <w:r w:rsidR="00A208FA" w:rsidRPr="00F32020">
        <w:t>explanatory variables</w:t>
      </w:r>
      <w:r w:rsidR="000E604B" w:rsidRPr="00F32020">
        <w:t xml:space="preserve"> in the baseline model</w:t>
      </w:r>
      <w:r w:rsidR="00D450B4" w:rsidRPr="00F32020">
        <w:t>,</w:t>
      </w:r>
      <w:r w:rsidR="00A208FA" w:rsidRPr="00F32020">
        <w:t xml:space="preserve"> the data set is further narrowed down to 9,</w:t>
      </w:r>
      <w:r w:rsidR="00842126" w:rsidRPr="00F32020">
        <w:t>273</w:t>
      </w:r>
      <w:r w:rsidR="00B67191" w:rsidRPr="00F32020">
        <w:t xml:space="preserve"> ventures</w:t>
      </w:r>
      <w:r w:rsidR="00033238" w:rsidRPr="00F32020">
        <w:t>. These ventures</w:t>
      </w:r>
      <w:r w:rsidR="005C47B8" w:rsidRPr="00F32020">
        <w:t xml:space="preserve"> operate in </w:t>
      </w:r>
      <w:r w:rsidR="00842126" w:rsidRPr="00F32020">
        <w:t>106</w:t>
      </w:r>
      <w:r w:rsidR="005C47B8" w:rsidRPr="00F32020">
        <w:t xml:space="preserve"> countries and filled an application</w:t>
      </w:r>
      <w:r w:rsidR="00D5141B" w:rsidRPr="00F32020">
        <w:t xml:space="preserve"> to any partner accelerator program</w:t>
      </w:r>
      <w:r w:rsidR="00D450B4" w:rsidRPr="00F32020">
        <w:t>me</w:t>
      </w:r>
      <w:r w:rsidR="00D5141B" w:rsidRPr="00F32020">
        <w:t xml:space="preserve"> </w:t>
      </w:r>
      <w:r w:rsidR="00C018D1" w:rsidRPr="00F32020">
        <w:t>during</w:t>
      </w:r>
      <w:r w:rsidR="005C47B8" w:rsidRPr="00F32020">
        <w:t xml:space="preserve"> the period 2013-2018</w:t>
      </w:r>
      <w:r w:rsidR="00A208FA" w:rsidRPr="00F32020">
        <w:t>.</w:t>
      </w:r>
      <w:r w:rsidR="00012784" w:rsidRPr="00F32020">
        <w:t xml:space="preserve"> </w:t>
      </w:r>
      <w:bookmarkStart w:id="17" w:name="_Hlk206607780"/>
      <w:r w:rsidR="000C41EF" w:rsidRPr="00F32020">
        <w:t xml:space="preserve">Panel A in </w:t>
      </w:r>
      <w:r w:rsidR="00E208B2" w:rsidRPr="00F32020">
        <w:t xml:space="preserve">Table </w:t>
      </w:r>
      <w:r w:rsidR="000D48CE" w:rsidRPr="00F32020">
        <w:t>A1</w:t>
      </w:r>
      <w:r w:rsidR="000D48CE" w:rsidRPr="00F32020">
        <w:rPr>
          <w:lang w:val="en-US"/>
        </w:rPr>
        <w:t xml:space="preserve"> </w:t>
      </w:r>
      <w:r w:rsidR="00E208B2" w:rsidRPr="00F32020">
        <w:t xml:space="preserve">in the Appendix provides </w:t>
      </w:r>
      <w:r w:rsidR="00F5475A" w:rsidRPr="00F32020">
        <w:t>the</w:t>
      </w:r>
      <w:r w:rsidR="00E208B2" w:rsidRPr="00F32020">
        <w:t xml:space="preserve"> distribution of the applications </w:t>
      </w:r>
      <w:r w:rsidR="000C41EF" w:rsidRPr="00F32020">
        <w:t xml:space="preserve">of the new ventures </w:t>
      </w:r>
      <w:r w:rsidR="00E208B2" w:rsidRPr="00F32020">
        <w:t xml:space="preserve">and </w:t>
      </w:r>
      <w:r w:rsidR="00231FA1" w:rsidRPr="00F32020">
        <w:t xml:space="preserve">the </w:t>
      </w:r>
      <w:r w:rsidR="00E208B2" w:rsidRPr="00F32020">
        <w:t>acceptance rate</w:t>
      </w:r>
      <w:r w:rsidR="00231FA1" w:rsidRPr="00F32020">
        <w:t>,</w:t>
      </w:r>
      <w:r w:rsidR="00E208B2" w:rsidRPr="00F32020">
        <w:t xml:space="preserve"> </w:t>
      </w:r>
      <w:r w:rsidR="00F5475A" w:rsidRPr="00F32020">
        <w:t>based on the</w:t>
      </w:r>
      <w:r w:rsidR="00E208B2" w:rsidRPr="00F32020">
        <w:t xml:space="preserve"> country</w:t>
      </w:r>
      <w:r w:rsidR="00F5475A" w:rsidRPr="00F32020">
        <w:t xml:space="preserve"> of the ventures’ headquarters</w:t>
      </w:r>
      <w:r w:rsidR="00E208B2" w:rsidRPr="00F32020">
        <w:t>.</w:t>
      </w:r>
      <w:r w:rsidR="006524AF" w:rsidRPr="00F32020">
        <w:rPr>
          <w:lang w:val="en-US"/>
        </w:rPr>
        <w:t xml:space="preserve"> </w:t>
      </w:r>
      <w:r w:rsidR="001F648F">
        <w:t>Approximately</w:t>
      </w:r>
      <w:r w:rsidR="001F648F" w:rsidRPr="00F32020">
        <w:t xml:space="preserve"> </w:t>
      </w:r>
      <w:r w:rsidR="006524AF" w:rsidRPr="00F32020">
        <w:t xml:space="preserve">21% of applications are from new ventures headquartered in the USA, followed by Mexico (14%), India (13%), </w:t>
      </w:r>
      <w:r w:rsidR="006F6D17" w:rsidRPr="00F32020">
        <w:t>Kenya (9%), Chile (7%), and Brazil (</w:t>
      </w:r>
      <w:r w:rsidR="00231FA1" w:rsidRPr="00F32020">
        <w:rPr>
          <w:lang w:val="en-US"/>
        </w:rPr>
        <w:t>5</w:t>
      </w:r>
      <w:r w:rsidR="006F6D17" w:rsidRPr="00F32020">
        <w:t>%).</w:t>
      </w:r>
      <w:r w:rsidR="00E208B2" w:rsidRPr="00F32020">
        <w:t xml:space="preserve"> </w:t>
      </w:r>
      <w:r w:rsidR="000C41EF" w:rsidRPr="00F32020">
        <w:t>Panel B</w:t>
      </w:r>
      <w:r w:rsidR="00F5475A" w:rsidRPr="00F32020">
        <w:rPr>
          <w:lang w:val="en-US"/>
        </w:rPr>
        <w:t xml:space="preserve"> </w:t>
      </w:r>
      <w:r w:rsidR="00F5475A" w:rsidRPr="00F32020">
        <w:t xml:space="preserve">presents similar information for the accelerators; however, in the absence of information about the exact country of the accelerators we present this info grouped by geographical region. </w:t>
      </w:r>
      <w:r w:rsidR="006524AF" w:rsidRPr="00F32020">
        <w:t>Based on the applications that they received, a</w:t>
      </w:r>
      <w:r w:rsidR="00AA2ED7" w:rsidRPr="00F32020">
        <w:t>round 41% of the accelerators for which we have information about their region are from Latin America &amp; Caribbean, followed by North America (26%), Sub-Saharan Africa (19%), South Asia (10%), and other regions (4%).</w:t>
      </w:r>
      <w:bookmarkEnd w:id="17"/>
    </w:p>
    <w:p w14:paraId="3D934FFB" w14:textId="5C6CDB97" w:rsidR="00A717B3" w:rsidRPr="00F32020" w:rsidRDefault="00C018D1" w:rsidP="005546EC">
      <w:pPr>
        <w:spacing w:line="480" w:lineRule="auto"/>
        <w:ind w:firstLine="720"/>
        <w:jc w:val="both"/>
      </w:pPr>
      <w:r w:rsidRPr="00F32020">
        <w:t>The data for</w:t>
      </w:r>
      <w:r w:rsidR="004F1C7F" w:rsidRPr="00F32020">
        <w:t xml:space="preserve"> t</w:t>
      </w:r>
      <w:r w:rsidRPr="00F32020">
        <w:t>he</w:t>
      </w:r>
      <w:r w:rsidR="004F1C7F" w:rsidRPr="00F32020">
        <w:t xml:space="preserve"> </w:t>
      </w:r>
      <w:r w:rsidRPr="00F32020">
        <w:t>construction of</w:t>
      </w:r>
      <w:r w:rsidR="004F1C7F" w:rsidRPr="00F32020">
        <w:t xml:space="preserve"> the </w:t>
      </w:r>
      <w:r w:rsidRPr="00F32020">
        <w:t>cultural diversity</w:t>
      </w:r>
      <w:r w:rsidR="001B7EC7" w:rsidRPr="00F32020">
        <w:t xml:space="preserve"> measure</w:t>
      </w:r>
      <w:r w:rsidR="00460234" w:rsidRPr="00F32020">
        <w:t xml:space="preserve"> </w:t>
      </w:r>
      <w:r w:rsidR="004F1C7F" w:rsidRPr="00F32020">
        <w:t>stems from Hofstede Insights</w:t>
      </w:r>
      <w:r w:rsidR="001A34C2" w:rsidRPr="00F32020">
        <w:t>.</w:t>
      </w:r>
      <w:r w:rsidR="00D772EB" w:rsidRPr="00F32020">
        <w:t xml:space="preserve"> </w:t>
      </w:r>
      <w:r w:rsidR="001A34C2" w:rsidRPr="00F32020">
        <w:t>D</w:t>
      </w:r>
      <w:r w:rsidR="00A208FA" w:rsidRPr="00F32020">
        <w:t xml:space="preserve">ata for the country-level control variables </w:t>
      </w:r>
      <w:r w:rsidR="00A46B96" w:rsidRPr="00F32020">
        <w:t xml:space="preserve">are obtained from various databases. </w:t>
      </w:r>
      <w:r w:rsidR="001A34C2" w:rsidRPr="00F32020">
        <w:t xml:space="preserve">Information about </w:t>
      </w:r>
      <w:r w:rsidR="00A208FA" w:rsidRPr="00F32020">
        <w:t>GDP growth</w:t>
      </w:r>
      <w:r w:rsidR="001B7EC7" w:rsidRPr="00F32020">
        <w:t xml:space="preserve"> rate</w:t>
      </w:r>
      <w:r w:rsidR="004864EE" w:rsidRPr="00F32020">
        <w:t xml:space="preserve"> (%)</w:t>
      </w:r>
      <w:r w:rsidR="00A208FA" w:rsidRPr="00F32020">
        <w:t xml:space="preserve"> and inflation rate come</w:t>
      </w:r>
      <w:r w:rsidR="001A34C2" w:rsidRPr="00F32020">
        <w:t>s</w:t>
      </w:r>
      <w:r w:rsidR="00A208FA" w:rsidRPr="00F32020">
        <w:t xml:space="preserve"> from the </w:t>
      </w:r>
      <w:r w:rsidR="00A46B96" w:rsidRPr="00F32020">
        <w:t>World Development Indicators of the World Bank</w:t>
      </w:r>
      <w:r w:rsidR="00A208FA" w:rsidRPr="00F32020">
        <w:t xml:space="preserve">, whilst information on institutional development </w:t>
      </w:r>
      <w:r w:rsidR="001B7EC7" w:rsidRPr="00F32020">
        <w:t>comes</w:t>
      </w:r>
      <w:r w:rsidR="00A208FA" w:rsidRPr="00F32020">
        <w:t xml:space="preserve"> from the ‘Worldwide Governance Indicators’ project of the World Bank.</w:t>
      </w:r>
      <w:r w:rsidR="00F77313" w:rsidRPr="00F32020">
        <w:t xml:space="preserve"> </w:t>
      </w:r>
      <w:r w:rsidR="008730B2" w:rsidRPr="00F32020">
        <w:t>The r</w:t>
      </w:r>
      <w:r w:rsidR="00F77313" w:rsidRPr="00F32020">
        <w:t xml:space="preserve">egional categorisation is based on information from the </w:t>
      </w:r>
      <w:r w:rsidR="00A717B3" w:rsidRPr="00F32020">
        <w:t>Global State of Democracy Indices Codebook (Tufis, 2018).</w:t>
      </w:r>
    </w:p>
    <w:p w14:paraId="33DF8CDB" w14:textId="77777777" w:rsidR="00F95D3A" w:rsidRPr="00F32020" w:rsidRDefault="00F95D3A" w:rsidP="005546EC">
      <w:pPr>
        <w:spacing w:line="480" w:lineRule="auto"/>
        <w:jc w:val="both"/>
        <w:rPr>
          <w:b/>
          <w:bCs/>
          <w:sz w:val="28"/>
          <w:szCs w:val="28"/>
        </w:rPr>
      </w:pPr>
    </w:p>
    <w:p w14:paraId="212BDDEE" w14:textId="541A95A6" w:rsidR="2A942985" w:rsidRDefault="2A942985" w:rsidP="2A942985">
      <w:pPr>
        <w:spacing w:line="480" w:lineRule="auto"/>
        <w:jc w:val="both"/>
        <w:rPr>
          <w:b/>
          <w:bCs/>
          <w:sz w:val="28"/>
          <w:szCs w:val="28"/>
        </w:rPr>
      </w:pPr>
    </w:p>
    <w:p w14:paraId="4938253B" w14:textId="41DE8548" w:rsidR="2A942985" w:rsidRDefault="2A942985" w:rsidP="2A942985">
      <w:pPr>
        <w:spacing w:line="480" w:lineRule="auto"/>
        <w:jc w:val="both"/>
        <w:rPr>
          <w:b/>
          <w:bCs/>
          <w:sz w:val="28"/>
          <w:szCs w:val="28"/>
        </w:rPr>
      </w:pPr>
    </w:p>
    <w:p w14:paraId="0EBB1CF6" w14:textId="1E0772C2" w:rsidR="00D232ED" w:rsidRPr="00F32020" w:rsidRDefault="00EA783F" w:rsidP="005546EC">
      <w:pPr>
        <w:spacing w:line="480" w:lineRule="auto"/>
        <w:jc w:val="both"/>
        <w:rPr>
          <w:b/>
          <w:bCs/>
          <w:i/>
          <w:iCs/>
        </w:rPr>
      </w:pPr>
      <w:r w:rsidRPr="00F32020">
        <w:rPr>
          <w:b/>
          <w:bCs/>
          <w:i/>
          <w:iCs/>
        </w:rPr>
        <w:lastRenderedPageBreak/>
        <w:t>3</w:t>
      </w:r>
      <w:r w:rsidR="0091032F" w:rsidRPr="00F32020">
        <w:rPr>
          <w:b/>
          <w:bCs/>
          <w:i/>
          <w:iCs/>
        </w:rPr>
        <w:t>.2</w:t>
      </w:r>
      <w:r w:rsidR="00354161" w:rsidRPr="00F32020">
        <w:rPr>
          <w:b/>
          <w:bCs/>
          <w:i/>
          <w:iCs/>
        </w:rPr>
        <w:t>.</w:t>
      </w:r>
      <w:r w:rsidR="0091032F" w:rsidRPr="00F32020">
        <w:rPr>
          <w:b/>
          <w:bCs/>
          <w:i/>
          <w:iCs/>
        </w:rPr>
        <w:t xml:space="preserve"> </w:t>
      </w:r>
      <w:r w:rsidR="006F08BD" w:rsidRPr="00F32020">
        <w:rPr>
          <w:b/>
          <w:bCs/>
          <w:i/>
          <w:iCs/>
        </w:rPr>
        <w:t>Variables</w:t>
      </w:r>
    </w:p>
    <w:p w14:paraId="5A47DAD8" w14:textId="1ECA34D3" w:rsidR="006F08BD" w:rsidRPr="00F32020" w:rsidRDefault="00EA783F" w:rsidP="005546EC">
      <w:pPr>
        <w:spacing w:line="480" w:lineRule="auto"/>
        <w:jc w:val="both"/>
        <w:rPr>
          <w:i/>
          <w:iCs/>
        </w:rPr>
      </w:pPr>
      <w:r w:rsidRPr="00F32020">
        <w:rPr>
          <w:i/>
          <w:iCs/>
        </w:rPr>
        <w:t>3</w:t>
      </w:r>
      <w:r w:rsidR="008B7562" w:rsidRPr="00F32020">
        <w:rPr>
          <w:i/>
          <w:iCs/>
        </w:rPr>
        <w:t>.2.1</w:t>
      </w:r>
      <w:r w:rsidR="00354161" w:rsidRPr="00F32020">
        <w:rPr>
          <w:i/>
          <w:iCs/>
        </w:rPr>
        <w:t>.</w:t>
      </w:r>
      <w:r w:rsidR="008B7562" w:rsidRPr="00F32020">
        <w:rPr>
          <w:i/>
          <w:iCs/>
        </w:rPr>
        <w:t xml:space="preserve"> </w:t>
      </w:r>
      <w:r w:rsidR="00B630F0" w:rsidRPr="00F32020">
        <w:rPr>
          <w:i/>
          <w:iCs/>
        </w:rPr>
        <w:t>Dependent variable</w:t>
      </w:r>
    </w:p>
    <w:p w14:paraId="0E9211C9" w14:textId="233E7DE2" w:rsidR="00BD0893" w:rsidRPr="00AD7DB5" w:rsidRDefault="2A942985" w:rsidP="005546EC">
      <w:pPr>
        <w:spacing w:line="480" w:lineRule="auto"/>
        <w:jc w:val="both"/>
        <w:rPr>
          <w:rFonts w:eastAsiaTheme="minorEastAsia"/>
          <w:lang w:val="en-US"/>
        </w:rPr>
      </w:pPr>
      <w:r>
        <w:t xml:space="preserve">The dependent variable (‘Selected’) is binary </w:t>
      </w:r>
      <w:r w:rsidRPr="2A942985">
        <w:rPr>
          <w:rFonts w:eastAsiaTheme="minorEastAsia"/>
        </w:rPr>
        <w:t>and takes the value of ‘1’ if an enterprise has been successfully selected for an accelerator programme, and ‘0’ otherwise.</w:t>
      </w:r>
    </w:p>
    <w:p w14:paraId="29BE62CE" w14:textId="77777777" w:rsidR="004A4A11" w:rsidRPr="00AD7DB5" w:rsidRDefault="004A4A11" w:rsidP="005546EC">
      <w:pPr>
        <w:spacing w:line="480" w:lineRule="auto"/>
        <w:jc w:val="both"/>
        <w:rPr>
          <w:rFonts w:eastAsiaTheme="minorEastAsia"/>
          <w:iCs/>
          <w:lang w:val="en-US"/>
        </w:rPr>
      </w:pPr>
    </w:p>
    <w:p w14:paraId="7240C504" w14:textId="4E594CE8" w:rsidR="00B630F0" w:rsidRPr="00F32020" w:rsidRDefault="00EA783F" w:rsidP="005546EC">
      <w:pPr>
        <w:spacing w:line="480" w:lineRule="auto"/>
        <w:jc w:val="both"/>
        <w:rPr>
          <w:rFonts w:eastAsiaTheme="minorEastAsia"/>
          <w:i/>
        </w:rPr>
      </w:pPr>
      <w:r w:rsidRPr="00F32020">
        <w:rPr>
          <w:rFonts w:eastAsiaTheme="minorEastAsia"/>
          <w:i/>
        </w:rPr>
        <w:t>3</w:t>
      </w:r>
      <w:r w:rsidR="008B7562" w:rsidRPr="00F32020">
        <w:rPr>
          <w:rFonts w:eastAsiaTheme="minorEastAsia"/>
          <w:i/>
        </w:rPr>
        <w:t>.2.2</w:t>
      </w:r>
      <w:r w:rsidR="00354161" w:rsidRPr="00F32020">
        <w:rPr>
          <w:rFonts w:eastAsiaTheme="minorEastAsia"/>
          <w:i/>
        </w:rPr>
        <w:t>.</w:t>
      </w:r>
      <w:r w:rsidR="008B7562" w:rsidRPr="00F32020">
        <w:rPr>
          <w:rFonts w:eastAsiaTheme="minorEastAsia"/>
          <w:i/>
        </w:rPr>
        <w:t xml:space="preserve"> </w:t>
      </w:r>
      <w:r w:rsidR="00607141" w:rsidRPr="00F32020">
        <w:rPr>
          <w:rFonts w:eastAsiaTheme="minorEastAsia"/>
          <w:i/>
        </w:rPr>
        <w:t>Cultural Diversity</w:t>
      </w:r>
    </w:p>
    <w:p w14:paraId="1C71D8B5" w14:textId="0CEAC900" w:rsidR="00EE7ABB" w:rsidRPr="00F32020" w:rsidRDefault="00B630F0" w:rsidP="005546EC">
      <w:pPr>
        <w:spacing w:line="480" w:lineRule="auto"/>
        <w:jc w:val="both"/>
      </w:pPr>
      <w:r w:rsidRPr="00F32020">
        <w:t xml:space="preserve">The main explanatory variable of interest is a proxy that measures diversity (‘Diversity’) in the cultural values of a venture’s founders. </w:t>
      </w:r>
      <w:r w:rsidR="00D14828" w:rsidRPr="00F32020">
        <w:t xml:space="preserve">Following, </w:t>
      </w:r>
      <w:r w:rsidRPr="00F32020">
        <w:t>Frijns et al. (2016)</w:t>
      </w:r>
      <w:r w:rsidR="006A7484" w:rsidRPr="00F32020">
        <w:t xml:space="preserve">, </w:t>
      </w:r>
      <w:r w:rsidR="009B616C" w:rsidRPr="00F32020">
        <w:t xml:space="preserve">we rely on the following four dimensions of culture identified by Hofstede: </w:t>
      </w:r>
      <w:r w:rsidR="009B616C" w:rsidRPr="00F32020">
        <w:rPr>
          <w:i/>
          <w:iCs/>
        </w:rPr>
        <w:t>power distance</w:t>
      </w:r>
      <w:r w:rsidR="009B616C" w:rsidRPr="00F32020">
        <w:t xml:space="preserve">, </w:t>
      </w:r>
      <w:r w:rsidR="009B616C" w:rsidRPr="00F32020">
        <w:rPr>
          <w:i/>
          <w:iCs/>
        </w:rPr>
        <w:t>uncertainty avoidance</w:t>
      </w:r>
      <w:r w:rsidR="009B616C" w:rsidRPr="00F32020">
        <w:t xml:space="preserve">, </w:t>
      </w:r>
      <w:r w:rsidR="009B616C" w:rsidRPr="00F32020">
        <w:rPr>
          <w:i/>
          <w:iCs/>
        </w:rPr>
        <w:t>individualism</w:t>
      </w:r>
      <w:r w:rsidR="009B616C" w:rsidRPr="00F32020">
        <w:t xml:space="preserve">, </w:t>
      </w:r>
      <w:r w:rsidR="009B616C" w:rsidRPr="00F32020">
        <w:rPr>
          <w:i/>
          <w:iCs/>
        </w:rPr>
        <w:t>masculinity</w:t>
      </w:r>
      <w:r w:rsidR="009B616C" w:rsidRPr="00F32020">
        <w:t>.</w:t>
      </w:r>
      <w:r w:rsidR="00B41EE6" w:rsidRPr="00F32020" w:rsidDel="00B41EE6">
        <w:rPr>
          <w:rStyle w:val="FootnoteReference"/>
        </w:rPr>
        <w:t xml:space="preserve"> </w:t>
      </w:r>
      <w:r w:rsidR="00C64020" w:rsidRPr="00F32020">
        <w:t>Given that these cultural dimensions are well</w:t>
      </w:r>
      <w:r w:rsidR="001F648F">
        <w:t xml:space="preserve"> </w:t>
      </w:r>
      <w:r w:rsidR="00C64020" w:rsidRPr="00F32020">
        <w:t xml:space="preserve">known in the literature, we do not discuss them in detail here. However, a brief discussion of these cultural dimensions and how they could influence individual behaviour and managerial decisions is available in </w:t>
      </w:r>
      <w:r w:rsidR="001E271A" w:rsidRPr="00F32020">
        <w:t xml:space="preserve">section I of </w:t>
      </w:r>
      <w:r w:rsidR="00C64020" w:rsidRPr="00F32020">
        <w:t xml:space="preserve">the online </w:t>
      </w:r>
      <w:r w:rsidR="00EB6FA6" w:rsidRPr="00F32020">
        <w:t>a</w:t>
      </w:r>
      <w:r w:rsidR="00C64020" w:rsidRPr="00F32020">
        <w:t xml:space="preserve">ppendix. </w:t>
      </w:r>
    </w:p>
    <w:p w14:paraId="4A6EBCE4" w14:textId="01C52793" w:rsidR="003B2341" w:rsidRPr="00F32020" w:rsidRDefault="000013C2" w:rsidP="005546EC">
      <w:pPr>
        <w:spacing w:line="480" w:lineRule="auto"/>
        <w:ind w:firstLine="720"/>
        <w:jc w:val="both"/>
      </w:pPr>
      <w:r w:rsidRPr="00F32020">
        <w:t xml:space="preserve">To construct the </w:t>
      </w:r>
      <w:r w:rsidR="00CF0853" w:rsidRPr="00F32020">
        <w:t xml:space="preserve">cultural diversity indicator </w:t>
      </w:r>
      <w:r w:rsidR="00D450B4" w:rsidRPr="00F32020">
        <w:t>of the</w:t>
      </w:r>
      <w:r w:rsidR="00CF0853" w:rsidRPr="00F32020">
        <w:t xml:space="preserve"> founding members,</w:t>
      </w:r>
      <w:r w:rsidRPr="00F32020">
        <w:t xml:space="preserve"> we </w:t>
      </w:r>
      <w:r w:rsidR="004F011B" w:rsidRPr="00F32020">
        <w:t>w</w:t>
      </w:r>
      <w:r w:rsidR="00D450B4" w:rsidRPr="00F32020">
        <w:t>o</w:t>
      </w:r>
      <w:r w:rsidR="004F011B" w:rsidRPr="00F32020">
        <w:t>rk</w:t>
      </w:r>
      <w:r w:rsidR="00D450B4" w:rsidRPr="00F32020">
        <w:t xml:space="preserve"> </w:t>
      </w:r>
      <w:r w:rsidRPr="00F32020">
        <w:t xml:space="preserve">as follows. </w:t>
      </w:r>
      <w:r w:rsidR="00F7261B" w:rsidRPr="00F32020">
        <w:t>Initially</w:t>
      </w:r>
      <w:r w:rsidR="00246F49" w:rsidRPr="00F32020">
        <w:t>, we collect information from t</w:t>
      </w:r>
      <w:r w:rsidRPr="00F32020">
        <w:t>he EDP application survey</w:t>
      </w:r>
      <w:r w:rsidR="00246F49" w:rsidRPr="00F32020">
        <w:t xml:space="preserve"> which</w:t>
      </w:r>
      <w:r w:rsidRPr="00F32020">
        <w:t xml:space="preserve"> ask</w:t>
      </w:r>
      <w:r w:rsidR="00246F49" w:rsidRPr="00F32020">
        <w:t>s</w:t>
      </w:r>
      <w:r w:rsidRPr="00F32020">
        <w:t xml:space="preserve"> applicants to identify the top three members of their founding teams, and provide some basic information</w:t>
      </w:r>
      <w:r w:rsidR="00D450B4" w:rsidRPr="00F32020">
        <w:t>,</w:t>
      </w:r>
      <w:r w:rsidRPr="00F32020">
        <w:t xml:space="preserve"> like their age, gender, country of birth, etc. </w:t>
      </w:r>
      <w:r w:rsidR="00F7261B" w:rsidRPr="00F32020">
        <w:t>Then, w</w:t>
      </w:r>
      <w:r w:rsidR="00246F49" w:rsidRPr="00F32020">
        <w:t>e use the country of birth to assign</w:t>
      </w:r>
      <w:r w:rsidRPr="00F32020">
        <w:t xml:space="preserve"> </w:t>
      </w:r>
      <w:r w:rsidR="00246F49" w:rsidRPr="00F32020">
        <w:t xml:space="preserve">the values of national culture to each of the </w:t>
      </w:r>
      <w:r w:rsidR="00397CD2" w:rsidRPr="00F32020">
        <w:t>identified founders</w:t>
      </w:r>
      <w:r w:rsidR="00246F49" w:rsidRPr="00F32020">
        <w:t>.</w:t>
      </w:r>
      <w:r w:rsidR="00460FCA" w:rsidRPr="00F32020">
        <w:t xml:space="preserve"> As discussed in Frijns et al. (2016), an alternative would be to use the country of residence instead of the country of birth</w:t>
      </w:r>
      <w:r w:rsidR="00D450B4" w:rsidRPr="00F32020">
        <w:t>.</w:t>
      </w:r>
      <w:r w:rsidR="00BA7D46" w:rsidRPr="00F32020">
        <w:t xml:space="preserve"> </w:t>
      </w:r>
      <w:r w:rsidR="00D450B4" w:rsidRPr="00F32020">
        <w:t>H</w:t>
      </w:r>
      <w:r w:rsidR="00460FCA" w:rsidRPr="00F32020">
        <w:t>owever, as they point out, nationality (in our case</w:t>
      </w:r>
      <w:r w:rsidR="0049161F">
        <w:t>,</w:t>
      </w:r>
      <w:r w:rsidR="00460FCA" w:rsidRPr="00F32020">
        <w:t xml:space="preserve"> country of birth) reflects a person’s cultural values and norms more accurately than the country of residence.</w:t>
      </w:r>
      <w:r w:rsidR="00F7261B" w:rsidRPr="00F32020">
        <w:t xml:space="preserve"> </w:t>
      </w:r>
      <w:r w:rsidR="00F44E5F" w:rsidRPr="00F32020">
        <w:t>For example, when referring to the culture as a means of mental software, Hofstede et al. (2010</w:t>
      </w:r>
      <w:r w:rsidR="00D450B4" w:rsidRPr="00F32020">
        <w:t>, pp.4-5</w:t>
      </w:r>
      <w:r w:rsidR="00F44E5F" w:rsidRPr="00F32020">
        <w:t>) highlight that “Every person carries within him</w:t>
      </w:r>
      <w:r w:rsidR="00D450B4" w:rsidRPr="00F32020">
        <w:t xml:space="preserve"> </w:t>
      </w:r>
      <w:r w:rsidR="00F44E5F" w:rsidRPr="00F32020">
        <w:t xml:space="preserve">or herself patterns of thinking, feeling and potential acting that were learned throughout the person’s lifetime. Much of it was acquired in early childhood, because at that time a person is more susceptible to learning and assimilating. As </w:t>
      </w:r>
      <w:r w:rsidR="00F44E5F" w:rsidRPr="00F32020">
        <w:lastRenderedPageBreak/>
        <w:t xml:space="preserve">soon as certain patterns of thinking, feeling, and acting have established themselves within a person’s mind, he or she must unlearn these patterns before being able to learn something different, and unlearning is more difficult than learning for the first time”. </w:t>
      </w:r>
      <w:r w:rsidR="00246F49" w:rsidRPr="00F32020">
        <w:t xml:space="preserve">Therefore, our approach is similar to </w:t>
      </w:r>
      <w:r w:rsidR="00D450B4" w:rsidRPr="00F32020">
        <w:t>that of</w:t>
      </w:r>
      <w:r w:rsidR="00246F49" w:rsidRPr="00F32020">
        <w:t xml:space="preserve"> </w:t>
      </w:r>
      <w:r w:rsidR="00CF0853" w:rsidRPr="00F32020">
        <w:t>Frijns et al. (2016)</w:t>
      </w:r>
      <w:r w:rsidR="00D450B4" w:rsidRPr="00F32020">
        <w:t>,</w:t>
      </w:r>
      <w:r w:rsidR="000057AC" w:rsidRPr="00F32020">
        <w:t xml:space="preserve"> </w:t>
      </w:r>
      <w:r w:rsidR="00397CD2" w:rsidRPr="00F32020">
        <w:t>who use the nationality of the</w:t>
      </w:r>
      <w:r w:rsidR="00CF0853" w:rsidRPr="00F32020">
        <w:t xml:space="preserve"> board of directors</w:t>
      </w:r>
      <w:r w:rsidR="00397CD2" w:rsidRPr="00F32020">
        <w:t xml:space="preserve"> in the case of UK</w:t>
      </w:r>
      <w:r w:rsidR="00D450B4" w:rsidRPr="00F32020">
        <w:t>-</w:t>
      </w:r>
      <w:r w:rsidR="00397CD2" w:rsidRPr="00F32020">
        <w:t>listed firms</w:t>
      </w:r>
      <w:r w:rsidR="00D450B4" w:rsidRPr="00F32020">
        <w:t>,</w:t>
      </w:r>
      <w:r w:rsidR="004213C1" w:rsidRPr="00F32020">
        <w:t xml:space="preserve"> and Nguyen et al. (2018)</w:t>
      </w:r>
      <w:r w:rsidR="00D450B4" w:rsidRPr="00F32020">
        <w:t>,</w:t>
      </w:r>
      <w:r w:rsidR="004213C1" w:rsidRPr="00F32020">
        <w:t xml:space="preserve"> who consider the cultural values that prevail in the country of the US CEO’s ancestors</w:t>
      </w:r>
      <w:r w:rsidR="00CF0853" w:rsidRPr="00F32020">
        <w:t xml:space="preserve">. </w:t>
      </w:r>
      <w:r w:rsidR="00F7261B" w:rsidRPr="00F32020">
        <w:t>Next</w:t>
      </w:r>
      <w:r w:rsidR="006A7484" w:rsidRPr="00F32020">
        <w:t xml:space="preserve">, as in the study of Kogut and Singh (1988), for each </w:t>
      </w:r>
      <w:r w:rsidR="006A7AEB" w:rsidRPr="00F32020">
        <w:t>venture</w:t>
      </w:r>
      <w:r w:rsidR="006A7484" w:rsidRPr="00F32020">
        <w:t xml:space="preserve"> </w:t>
      </w:r>
      <m:oMath>
        <m:r>
          <w:rPr>
            <w:rFonts w:ascii="Cambria Math" w:hAnsi="Cambria Math"/>
          </w:rPr>
          <m:t>f</m:t>
        </m:r>
      </m:oMath>
      <w:r w:rsidR="006A7484" w:rsidRPr="00F32020">
        <w:t xml:space="preserve">, the cultural distance (CD) between each </w:t>
      </w:r>
      <w:r w:rsidR="00D450B4" w:rsidRPr="00F32020">
        <w:t xml:space="preserve">pair of </w:t>
      </w:r>
      <w:r w:rsidR="00976775" w:rsidRPr="00F32020">
        <w:t>founders</w:t>
      </w:r>
      <w:r w:rsidR="006A7484" w:rsidRPr="00F32020">
        <w:t xml:space="preserve"> </w:t>
      </w:r>
      <m:oMath>
        <m:d>
          <m:dPr>
            <m:ctrlPr>
              <w:rPr>
                <w:rFonts w:ascii="Cambria Math" w:hAnsi="Cambria Math"/>
                <w:i/>
              </w:rPr>
            </m:ctrlPr>
          </m:dPr>
          <m:e>
            <m:r>
              <w:rPr>
                <w:rFonts w:ascii="Cambria Math" w:hAnsi="Cambria Math"/>
              </w:rPr>
              <m:t>i,j</m:t>
            </m:r>
          </m:e>
        </m:d>
        <m:r>
          <w:rPr>
            <w:rFonts w:ascii="Cambria Math" w:hAnsi="Cambria Math"/>
          </w:rPr>
          <m:t>, i,j∈</m:t>
        </m:r>
        <m:sSub>
          <m:sSubPr>
            <m:ctrlPr>
              <w:rPr>
                <w:rFonts w:ascii="Cambria Math" w:eastAsiaTheme="minorHAnsi" w:hAnsi="Cambria Math"/>
                <w:i/>
                <w:lang w:eastAsia="en-US"/>
              </w:rPr>
            </m:ctrlPr>
          </m:sSubPr>
          <m:e>
            <m:r>
              <w:rPr>
                <w:rFonts w:ascii="Cambria Math" w:hAnsi="Cambria Math"/>
              </w:rPr>
              <m:t>N</m:t>
            </m:r>
          </m:e>
          <m:sub>
            <m:r>
              <w:rPr>
                <w:rFonts w:ascii="Cambria Math" w:hAnsi="Cambria Math"/>
              </w:rPr>
              <m:t>f</m:t>
            </m:r>
          </m:sub>
        </m:sSub>
        <m:r>
          <w:rPr>
            <w:rFonts w:ascii="Cambria Math" w:hAnsi="Cambria Math"/>
          </w:rPr>
          <m:t>={1,…,</m:t>
        </m:r>
        <m:sSub>
          <m:sSubPr>
            <m:ctrlPr>
              <w:rPr>
                <w:rFonts w:ascii="Cambria Math" w:eastAsiaTheme="minorHAnsi" w:hAnsi="Cambria Math"/>
                <w:i/>
                <w:lang w:eastAsia="en-US"/>
              </w:rPr>
            </m:ctrlPr>
          </m:sSubPr>
          <m:e>
            <m:r>
              <w:rPr>
                <w:rFonts w:ascii="Cambria Math" w:hAnsi="Cambria Math"/>
              </w:rPr>
              <m:t>m</m:t>
            </m:r>
          </m:e>
          <m:sub>
            <m:r>
              <w:rPr>
                <w:rFonts w:ascii="Cambria Math" w:hAnsi="Cambria Math"/>
              </w:rPr>
              <m:t>f</m:t>
            </m:r>
          </m:sub>
        </m:sSub>
        <m:r>
          <w:rPr>
            <w:rFonts w:ascii="Cambria Math" w:hAnsi="Cambria Math"/>
          </w:rPr>
          <m:t>}</m:t>
        </m:r>
      </m:oMath>
      <w:r w:rsidR="006A7484" w:rsidRPr="00F32020">
        <w:rPr>
          <w:rFonts w:eastAsiaTheme="minorEastAsia"/>
        </w:rPr>
        <w:t xml:space="preserve"> is measured as:</w:t>
      </w:r>
    </w:p>
    <w:p w14:paraId="2373344F" w14:textId="77777777" w:rsidR="000926BA" w:rsidRPr="00F32020" w:rsidRDefault="000926BA" w:rsidP="005546EC">
      <w:pPr>
        <w:spacing w:line="480" w:lineRule="auto"/>
        <w:ind w:firstLine="720"/>
        <w:jc w:val="both"/>
      </w:pPr>
    </w:p>
    <w:p w14:paraId="1A8EF745" w14:textId="00DB4820" w:rsidR="006A7484" w:rsidRPr="00F32020" w:rsidRDefault="00000000" w:rsidP="005546EC">
      <w:pPr>
        <w:spacing w:line="480" w:lineRule="auto"/>
        <w:jc w:val="both"/>
        <w:rPr>
          <w:rFonts w:eastAsiaTheme="minorEastAsia"/>
        </w:rPr>
      </w:pPr>
      <m:oMathPara>
        <m:oMath>
          <m:sSubSup>
            <m:sSubSupPr>
              <m:ctrlPr>
                <w:rPr>
                  <w:rFonts w:ascii="Cambria Math" w:eastAsiaTheme="minorHAnsi" w:hAnsi="Cambria Math"/>
                  <w:i/>
                  <w:lang w:eastAsia="en-US"/>
                </w:rPr>
              </m:ctrlPr>
            </m:sSubSupPr>
            <m:e>
              <m:r>
                <w:rPr>
                  <w:rFonts w:ascii="Cambria Math" w:hAnsi="Cambria Math"/>
                </w:rPr>
                <m:t>CD</m:t>
              </m:r>
            </m:e>
            <m:sub>
              <m:r>
                <w:rPr>
                  <w:rFonts w:ascii="Cambria Math" w:hAnsi="Cambria Math"/>
                </w:rPr>
                <m:t>ij</m:t>
              </m:r>
            </m:sub>
            <m:sup>
              <m:r>
                <w:rPr>
                  <w:rFonts w:ascii="Cambria Math" w:hAnsi="Cambria Math"/>
                </w:rPr>
                <m:t>f</m:t>
              </m:r>
            </m:sup>
          </m:sSubSup>
          <m:r>
            <w:rPr>
              <w:rFonts w:ascii="Cambria Math" w:hAnsi="Cambria Math"/>
            </w:rPr>
            <m:t>=</m:t>
          </m:r>
          <m:rad>
            <m:radPr>
              <m:degHide m:val="1"/>
              <m:ctrlPr>
                <w:rPr>
                  <w:rFonts w:ascii="Cambria Math" w:eastAsiaTheme="minorHAnsi" w:hAnsi="Cambria Math"/>
                  <w:i/>
                  <w:lang w:eastAsia="en-US"/>
                </w:rPr>
              </m:ctrlPr>
            </m:radPr>
            <m:deg/>
            <m:e>
              <m:nary>
                <m:naryPr>
                  <m:chr m:val="∑"/>
                  <m:limLoc m:val="subSup"/>
                  <m:ctrlPr>
                    <w:rPr>
                      <w:rFonts w:ascii="Cambria Math" w:eastAsiaTheme="minorHAnsi" w:hAnsi="Cambria Math"/>
                      <w:i/>
                      <w:lang w:eastAsia="en-US"/>
                    </w:rPr>
                  </m:ctrlPr>
                </m:naryPr>
                <m:sub>
                  <m:r>
                    <w:rPr>
                      <w:rFonts w:ascii="Cambria Math" w:hAnsi="Cambria Math"/>
                    </w:rPr>
                    <m:t>c=1</m:t>
                  </m:r>
                </m:sub>
                <m:sup>
                  <m:r>
                    <w:rPr>
                      <w:rFonts w:ascii="Cambria Math" w:hAnsi="Cambria Math"/>
                    </w:rPr>
                    <m:t>k</m:t>
                  </m:r>
                </m:sup>
                <m:e>
                  <m:f>
                    <m:fPr>
                      <m:ctrlPr>
                        <w:rPr>
                          <w:rFonts w:ascii="Cambria Math" w:eastAsiaTheme="minorHAnsi" w:hAnsi="Cambria Math"/>
                          <w:i/>
                          <w:lang w:eastAsia="en-US"/>
                        </w:rPr>
                      </m:ctrlPr>
                    </m:fPr>
                    <m:num>
                      <m:sSup>
                        <m:sSupPr>
                          <m:ctrlPr>
                            <w:rPr>
                              <w:rFonts w:ascii="Cambria Math" w:eastAsiaTheme="minorHAnsi" w:hAnsi="Cambria Math"/>
                              <w:i/>
                              <w:lang w:eastAsia="en-US"/>
                            </w:rPr>
                          </m:ctrlPr>
                        </m:sSupPr>
                        <m:e>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I</m:t>
                              </m:r>
                            </m:e>
                            <m:sub>
                              <m:r>
                                <w:rPr>
                                  <w:rFonts w:ascii="Cambria Math" w:hAnsi="Cambria Math"/>
                                </w:rPr>
                                <m:t>ci</m:t>
                              </m:r>
                            </m:sub>
                            <m:sup>
                              <m:r>
                                <w:rPr>
                                  <w:rFonts w:ascii="Cambria Math" w:hAnsi="Cambria Math"/>
                                </w:rPr>
                                <m:t>f</m:t>
                              </m:r>
                            </m:sup>
                          </m:sSubSup>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I</m:t>
                              </m:r>
                            </m:e>
                            <m:sub>
                              <m:r>
                                <w:rPr>
                                  <w:rFonts w:ascii="Cambria Math" w:hAnsi="Cambria Math"/>
                                </w:rPr>
                                <m:t>cj</m:t>
                              </m:r>
                            </m:sub>
                            <m:sup>
                              <m:r>
                                <w:rPr>
                                  <w:rFonts w:ascii="Cambria Math" w:hAnsi="Cambria Math"/>
                                </w:rPr>
                                <m:t>f</m:t>
                              </m:r>
                            </m:sup>
                          </m:sSubSup>
                          <m:r>
                            <w:rPr>
                              <w:rFonts w:ascii="Cambria Math" w:hAnsi="Cambria Math"/>
                            </w:rPr>
                            <m:t>)</m:t>
                          </m:r>
                        </m:e>
                        <m:sup>
                          <m:r>
                            <w:rPr>
                              <w:rFonts w:ascii="Cambria Math" w:hAnsi="Cambria Math"/>
                            </w:rPr>
                            <m:t>2</m:t>
                          </m:r>
                        </m:sup>
                      </m:sSup>
                    </m:num>
                    <m:den>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c</m:t>
                          </m:r>
                        </m:sub>
                      </m:sSub>
                    </m:den>
                  </m:f>
                </m:e>
              </m:nary>
            </m:e>
          </m:rad>
          <m:r>
            <w:rPr>
              <w:rFonts w:ascii="Cambria Math" w:eastAsiaTheme="minorEastAsia" w:hAnsi="Cambria Math"/>
            </w:rPr>
            <m:t>,∀ i≠j∈</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m:t>
              </m:r>
            </m:sub>
          </m:sSub>
          <m:r>
            <w:rPr>
              <w:rFonts w:ascii="Cambria Math" w:eastAsiaTheme="minorEastAsia" w:hAnsi="Cambria Math"/>
            </w:rPr>
            <m:t>,</m:t>
          </m:r>
        </m:oMath>
      </m:oMathPara>
    </w:p>
    <w:p w14:paraId="740D43B5" w14:textId="77777777" w:rsidR="006A7AEB" w:rsidRPr="00F32020" w:rsidRDefault="006A7AEB" w:rsidP="005546EC">
      <w:pPr>
        <w:spacing w:line="480" w:lineRule="auto"/>
        <w:jc w:val="both"/>
        <w:rPr>
          <w:rFonts w:eastAsiaTheme="minorEastAsia"/>
        </w:rPr>
      </w:pPr>
    </w:p>
    <w:p w14:paraId="1246A7F5" w14:textId="5EA6EA64" w:rsidR="007A0778" w:rsidRPr="00F32020" w:rsidRDefault="006A7484" w:rsidP="005546EC">
      <w:pPr>
        <w:spacing w:line="480" w:lineRule="auto"/>
        <w:jc w:val="both"/>
        <w:rPr>
          <w:rFonts w:eastAsiaTheme="minorEastAsia"/>
        </w:rPr>
      </w:pPr>
      <w:r w:rsidRPr="00F32020">
        <w:rPr>
          <w:rFonts w:eastAsiaTheme="minorEastAsia"/>
        </w:rPr>
        <w:t xml:space="preserve">where </w:t>
      </w:r>
      <m:oMath>
        <m:sSub>
          <m:sSubPr>
            <m:ctrlPr>
              <w:rPr>
                <w:rFonts w:ascii="Cambria Math" w:eastAsiaTheme="minorHAnsi" w:hAnsi="Cambria Math"/>
                <w:i/>
                <w:lang w:eastAsia="en-US"/>
              </w:rPr>
            </m:ctrlPr>
          </m:sSubPr>
          <m:e>
            <m:r>
              <w:rPr>
                <w:rFonts w:ascii="Cambria Math" w:hAnsi="Cambria Math"/>
              </w:rPr>
              <m:t>N</m:t>
            </m:r>
          </m:e>
          <m:sub>
            <m:r>
              <w:rPr>
                <w:rFonts w:ascii="Cambria Math" w:hAnsi="Cambria Math"/>
              </w:rPr>
              <m:t xml:space="preserve">f </m:t>
            </m:r>
          </m:sub>
        </m:sSub>
      </m:oMath>
      <w:r w:rsidR="006A7AEB" w:rsidRPr="00F32020">
        <w:rPr>
          <w:rFonts w:eastAsiaTheme="minorEastAsia"/>
        </w:rPr>
        <w:t>is the venture-specific set of</w:t>
      </w:r>
      <w:r w:rsidR="001C119C" w:rsidRPr="00F32020">
        <w:rPr>
          <w:rFonts w:eastAsiaTheme="minorEastAsia"/>
        </w:rPr>
        <w:t xml:space="preserve"> the</w:t>
      </w:r>
      <w:r w:rsidR="006A7AEB" w:rsidRPr="00F32020">
        <w:rPr>
          <w:rFonts w:eastAsiaTheme="minorEastAsia"/>
        </w:rPr>
        <w:t xml:space="preserve"> </w:t>
      </w:r>
      <m:oMath>
        <m:sSub>
          <m:sSubPr>
            <m:ctrlPr>
              <w:rPr>
                <w:rFonts w:ascii="Cambria Math" w:eastAsiaTheme="minorHAnsi" w:hAnsi="Cambria Math"/>
                <w:i/>
                <w:lang w:eastAsia="en-US"/>
              </w:rPr>
            </m:ctrlPr>
          </m:sSubPr>
          <m:e>
            <m:r>
              <w:rPr>
                <w:rFonts w:ascii="Cambria Math" w:hAnsi="Cambria Math"/>
              </w:rPr>
              <m:t>m</m:t>
            </m:r>
          </m:e>
          <m:sub>
            <m:r>
              <w:rPr>
                <w:rFonts w:ascii="Cambria Math" w:hAnsi="Cambria Math"/>
              </w:rPr>
              <m:t>f</m:t>
            </m:r>
          </m:sub>
        </m:sSub>
      </m:oMath>
      <w:r w:rsidR="00607141" w:rsidRPr="00F32020">
        <w:rPr>
          <w:rFonts w:eastAsiaTheme="minorEastAsia"/>
        </w:rPr>
        <w:t xml:space="preserve"> </w:t>
      </w:r>
      <w:r w:rsidR="006A7AEB" w:rsidRPr="00F32020">
        <w:rPr>
          <w:rFonts w:eastAsiaTheme="minorEastAsia"/>
        </w:rPr>
        <w:t>founders</w:t>
      </w:r>
      <w:r w:rsidR="003B2341" w:rsidRPr="00F32020">
        <w:rPr>
          <w:rFonts w:eastAsiaTheme="minorEastAsia"/>
        </w:rPr>
        <w:t xml:space="preserve"> of venture</w:t>
      </w:r>
      <w:r w:rsidR="001C119C" w:rsidRPr="00F32020">
        <w:rPr>
          <w:rFonts w:eastAsiaTheme="minorEastAsia"/>
        </w:rPr>
        <w:t xml:space="preserve"> </w:t>
      </w:r>
      <m:oMath>
        <m:r>
          <w:rPr>
            <w:rFonts w:ascii="Cambria Math" w:eastAsiaTheme="minorEastAsia" w:hAnsi="Cambria Math"/>
          </w:rPr>
          <m:t>f</m:t>
        </m:r>
      </m:oMath>
      <w:r w:rsidR="006A7AEB" w:rsidRPr="00F32020">
        <w:rPr>
          <w:rFonts w:eastAsiaTheme="minorEastAsia"/>
        </w:rPr>
        <w:t xml:space="preserve">, </w:t>
      </w:r>
      <m:oMath>
        <m:sSubSup>
          <m:sSubSupPr>
            <m:ctrlPr>
              <w:rPr>
                <w:rFonts w:ascii="Cambria Math" w:eastAsiaTheme="minorEastAsia" w:hAnsi="Cambria Math"/>
                <w:i/>
                <w:lang w:eastAsia="en-US"/>
              </w:rPr>
            </m:ctrlPr>
          </m:sSubSupPr>
          <m:e>
            <m:r>
              <w:rPr>
                <w:rFonts w:ascii="Cambria Math" w:eastAsiaTheme="minorEastAsia" w:hAnsi="Cambria Math"/>
              </w:rPr>
              <m:t>I</m:t>
            </m:r>
          </m:e>
          <m:sub>
            <m:r>
              <w:rPr>
                <w:rFonts w:ascii="Cambria Math" w:eastAsiaTheme="minorEastAsia" w:hAnsi="Cambria Math"/>
              </w:rPr>
              <m:t>ci</m:t>
            </m:r>
          </m:sub>
          <m:sup>
            <m:r>
              <w:rPr>
                <w:rFonts w:ascii="Cambria Math" w:eastAsiaTheme="minorEastAsia" w:hAnsi="Cambria Math"/>
              </w:rPr>
              <m:t>f</m:t>
            </m:r>
          </m:sup>
        </m:sSubSup>
      </m:oMath>
      <w:r w:rsidR="00E9165E" w:rsidRPr="00F32020">
        <w:rPr>
          <w:rFonts w:eastAsiaTheme="minorEastAsia"/>
        </w:rPr>
        <w:t xml:space="preserve"> is the cultural value of director </w:t>
      </w:r>
      <m:oMath>
        <m:r>
          <w:rPr>
            <w:rFonts w:ascii="Cambria Math" w:eastAsiaTheme="minorEastAsia" w:hAnsi="Cambria Math"/>
          </w:rPr>
          <m:t>i</m:t>
        </m:r>
      </m:oMath>
      <w:r w:rsidR="00E9165E" w:rsidRPr="00F32020">
        <w:rPr>
          <w:rFonts w:eastAsiaTheme="minorEastAsia"/>
        </w:rPr>
        <w:t xml:space="preserve"> in venture </w:t>
      </w:r>
      <m:oMath>
        <m:r>
          <w:rPr>
            <w:rFonts w:ascii="Cambria Math" w:eastAsiaTheme="minorEastAsia" w:hAnsi="Cambria Math"/>
          </w:rPr>
          <m:t>f</m:t>
        </m:r>
      </m:oMath>
      <w:r w:rsidR="00E9165E" w:rsidRPr="00F32020">
        <w:rPr>
          <w:rFonts w:eastAsiaTheme="minorEastAsia"/>
        </w:rPr>
        <w:t xml:space="preserve"> according to the cultural dimension </w:t>
      </w:r>
      <m:oMath>
        <m:r>
          <w:rPr>
            <w:rFonts w:ascii="Cambria Math" w:eastAsiaTheme="minorEastAsia" w:hAnsi="Cambria Math"/>
          </w:rPr>
          <m:t>c</m:t>
        </m:r>
      </m:oMath>
      <w:r w:rsidR="00E9165E" w:rsidRPr="00F32020">
        <w:rPr>
          <w:rFonts w:eastAsiaTheme="minorEastAsia"/>
        </w:rPr>
        <w:t xml:space="preserve"> and, similarly, </w:t>
      </w:r>
      <m:oMath>
        <m:sSubSup>
          <m:sSubSupPr>
            <m:ctrlPr>
              <w:rPr>
                <w:rFonts w:ascii="Cambria Math" w:eastAsiaTheme="minorHAnsi" w:hAnsi="Cambria Math"/>
                <w:i/>
                <w:lang w:eastAsia="en-US"/>
              </w:rPr>
            </m:ctrlPr>
          </m:sSubSupPr>
          <m:e>
            <m:r>
              <w:rPr>
                <w:rFonts w:ascii="Cambria Math" w:hAnsi="Cambria Math"/>
              </w:rPr>
              <m:t>I</m:t>
            </m:r>
          </m:e>
          <m:sub>
            <m:r>
              <w:rPr>
                <w:rFonts w:ascii="Cambria Math" w:hAnsi="Cambria Math"/>
              </w:rPr>
              <m:t>cj</m:t>
            </m:r>
          </m:sub>
          <m:sup>
            <m:r>
              <w:rPr>
                <w:rFonts w:ascii="Cambria Math" w:hAnsi="Cambria Math"/>
              </w:rPr>
              <m:t>f</m:t>
            </m:r>
          </m:sup>
        </m:sSubSup>
      </m:oMath>
      <w:r w:rsidR="00E9165E" w:rsidRPr="00F32020">
        <w:rPr>
          <w:rFonts w:eastAsiaTheme="minorEastAsia"/>
        </w:rPr>
        <w:t xml:space="preserve"> </w:t>
      </w:r>
      <w:r w:rsidR="001C119C" w:rsidRPr="00F32020">
        <w:rPr>
          <w:rFonts w:eastAsiaTheme="minorEastAsia"/>
        </w:rPr>
        <w:t>regards</w:t>
      </w:r>
      <w:r w:rsidR="00E9165E" w:rsidRPr="00F32020">
        <w:rPr>
          <w:rFonts w:eastAsiaTheme="minorEastAsia"/>
        </w:rPr>
        <w:t xml:space="preserve"> director </w:t>
      </w:r>
      <m:oMath>
        <m:r>
          <w:rPr>
            <w:rFonts w:ascii="Cambria Math" w:eastAsiaTheme="minorEastAsia" w:hAnsi="Cambria Math"/>
          </w:rPr>
          <m:t>j</m:t>
        </m:r>
      </m:oMath>
      <w:r w:rsidR="00E9165E" w:rsidRPr="00F32020">
        <w:rPr>
          <w:rFonts w:eastAsiaTheme="minorEastAsia"/>
        </w:rPr>
        <w:t xml:space="preserve">. </w:t>
      </w:r>
      <m:oMath>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c</m:t>
            </m:r>
          </m:sub>
        </m:sSub>
      </m:oMath>
      <w:r w:rsidR="00E9165E" w:rsidRPr="00F32020">
        <w:rPr>
          <w:rFonts w:eastAsiaTheme="minorEastAsia"/>
        </w:rPr>
        <w:t xml:space="preserve"> is the in-sample variance of the cultural dimension </w:t>
      </w:r>
      <m:oMath>
        <m:r>
          <w:rPr>
            <w:rFonts w:ascii="Cambria Math" w:eastAsiaTheme="minorEastAsia" w:hAnsi="Cambria Math"/>
          </w:rPr>
          <m:t>c</m:t>
        </m:r>
      </m:oMath>
      <w:r w:rsidR="00E9165E" w:rsidRPr="00F32020">
        <w:rPr>
          <w:rFonts w:eastAsiaTheme="minorEastAsia"/>
        </w:rPr>
        <w:t>. Note that the latter is not venture</w:t>
      </w:r>
      <w:r w:rsidR="001C119C" w:rsidRPr="00F32020">
        <w:rPr>
          <w:rFonts w:eastAsiaTheme="minorEastAsia"/>
        </w:rPr>
        <w:t>-</w:t>
      </w:r>
      <w:r w:rsidR="00E9165E" w:rsidRPr="00F32020">
        <w:rPr>
          <w:rFonts w:eastAsiaTheme="minorEastAsia"/>
        </w:rPr>
        <w:t>specific</w:t>
      </w:r>
      <w:r w:rsidR="00CD1D32" w:rsidRPr="00F32020">
        <w:rPr>
          <w:rFonts w:eastAsiaTheme="minorEastAsia"/>
        </w:rPr>
        <w:t>. Moreover,</w:t>
      </w:r>
      <w:r w:rsidR="00E9165E" w:rsidRPr="00F32020">
        <w:rPr>
          <w:rFonts w:eastAsiaTheme="minorEastAsia"/>
        </w:rPr>
        <w:t xml:space="preserve"> the variance is calculated according to the unique set of countries</w:t>
      </w:r>
      <w:r w:rsidR="00CD1D32" w:rsidRPr="00F32020">
        <w:rPr>
          <w:rFonts w:eastAsiaTheme="minorEastAsia"/>
        </w:rPr>
        <w:t xml:space="preserve"> (i.e. each country appearing once)</w:t>
      </w:r>
      <w:r w:rsidR="00E9165E" w:rsidRPr="00F32020">
        <w:rPr>
          <w:rFonts w:eastAsiaTheme="minorEastAsia"/>
        </w:rPr>
        <w:t>.</w:t>
      </w:r>
      <w:r w:rsidR="00CD1D32" w:rsidRPr="00F32020">
        <w:rPr>
          <w:rFonts w:eastAsiaTheme="minorEastAsia"/>
        </w:rPr>
        <w:t xml:space="preserve"> </w:t>
      </w:r>
      <w:r w:rsidR="007A0778" w:rsidRPr="00F32020">
        <w:rPr>
          <w:rFonts w:eastAsiaTheme="minorEastAsia"/>
        </w:rPr>
        <w:t xml:space="preserve">Understandably, as </w:t>
      </w:r>
      <w:r w:rsidR="00CD1D32" w:rsidRPr="00F32020">
        <w:rPr>
          <w:rFonts w:eastAsiaTheme="minorHAnsi"/>
        </w:rPr>
        <w:t>cultural</w:t>
      </w:r>
      <w:r w:rsidR="00CD1D32" w:rsidRPr="00F32020">
        <w:rPr>
          <w:rFonts w:eastAsiaTheme="minorEastAsia"/>
        </w:rPr>
        <w:t xml:space="preserve"> distance is </w:t>
      </w:r>
      <w:r w:rsidR="00DE752C" w:rsidRPr="00F32020">
        <w:rPr>
          <w:rFonts w:eastAsiaTheme="minorEastAsia"/>
        </w:rPr>
        <w:t>considering</w:t>
      </w:r>
      <w:r w:rsidR="00CD1D32" w:rsidRPr="00F32020">
        <w:rPr>
          <w:rFonts w:eastAsiaTheme="minorEastAsia"/>
        </w:rPr>
        <w:t xml:space="preserve"> the Hofstede framework, the cultural dimensions included are</w:t>
      </w:r>
      <w:r w:rsidR="007A0778" w:rsidRPr="00F32020">
        <w:rPr>
          <w:rFonts w:eastAsiaTheme="minorEastAsia"/>
        </w:rPr>
        <w:t xml:space="preserve"> those </w:t>
      </w:r>
      <w:r w:rsidR="00A675AA" w:rsidRPr="00F32020">
        <w:rPr>
          <w:rFonts w:eastAsiaTheme="minorEastAsia"/>
        </w:rPr>
        <w:t>four</w:t>
      </w:r>
      <w:r w:rsidR="007A0778" w:rsidRPr="00F32020">
        <w:rPr>
          <w:rFonts w:eastAsiaTheme="minorEastAsia"/>
        </w:rPr>
        <w:t xml:space="preserve"> defined </w:t>
      </w:r>
      <w:r w:rsidR="001C119C" w:rsidRPr="00F32020">
        <w:rPr>
          <w:rFonts w:eastAsiaTheme="minorEastAsia"/>
        </w:rPr>
        <w:t>in this section</w:t>
      </w:r>
      <w:r w:rsidR="007A0778" w:rsidRPr="00F32020">
        <w:rPr>
          <w:rFonts w:eastAsiaTheme="minorEastAsia"/>
        </w:rPr>
        <w:t xml:space="preserve">; hence, </w:t>
      </w:r>
      <m:oMath>
        <m:r>
          <w:rPr>
            <w:rFonts w:ascii="Cambria Math" w:eastAsiaTheme="minorEastAsia" w:hAnsi="Cambria Math"/>
          </w:rPr>
          <m:t>k=4</m:t>
        </m:r>
      </m:oMath>
      <w:r w:rsidR="007A0778" w:rsidRPr="00F32020">
        <w:rPr>
          <w:rFonts w:eastAsiaTheme="minorEastAsia"/>
        </w:rPr>
        <w:t xml:space="preserve">. </w:t>
      </w:r>
    </w:p>
    <w:p w14:paraId="13C7618A" w14:textId="359C3523" w:rsidR="006A7484" w:rsidRPr="00F32020" w:rsidRDefault="00F7261B" w:rsidP="005546EC">
      <w:pPr>
        <w:spacing w:line="480" w:lineRule="auto"/>
        <w:ind w:firstLine="720"/>
        <w:jc w:val="both"/>
        <w:rPr>
          <w:rFonts w:eastAsiaTheme="minorEastAsia"/>
        </w:rPr>
      </w:pPr>
      <w:r w:rsidRPr="00F32020">
        <w:rPr>
          <w:rFonts w:eastAsiaTheme="minorEastAsia"/>
        </w:rPr>
        <w:t>Finally</w:t>
      </w:r>
      <w:r w:rsidR="00607141" w:rsidRPr="00F32020">
        <w:rPr>
          <w:rFonts w:eastAsiaTheme="minorEastAsia"/>
        </w:rPr>
        <w:t>,</w:t>
      </w:r>
      <w:r w:rsidR="00037564" w:rsidRPr="00F32020">
        <w:rPr>
          <w:rFonts w:eastAsiaTheme="minorEastAsia"/>
        </w:rPr>
        <w:t xml:space="preserve"> following Frijns et al. (2016),</w:t>
      </w:r>
      <w:r w:rsidR="00607141" w:rsidRPr="00F32020">
        <w:rPr>
          <w:rFonts w:eastAsiaTheme="minorEastAsia"/>
        </w:rPr>
        <w:t xml:space="preserve"> </w:t>
      </w:r>
      <w:r w:rsidR="008D4E11" w:rsidRPr="00F32020">
        <w:rPr>
          <w:rFonts w:eastAsiaTheme="minorEastAsia"/>
        </w:rPr>
        <w:t>we use</w:t>
      </w:r>
      <w:r w:rsidR="003B2341" w:rsidRPr="00F32020">
        <w:rPr>
          <w:rFonts w:eastAsiaTheme="minorEastAsia"/>
        </w:rPr>
        <w:t xml:space="preserve"> the </w:t>
      </w:r>
      <w:r w:rsidR="00607141" w:rsidRPr="00F32020">
        <w:rPr>
          <w:rFonts w:eastAsiaTheme="minorEastAsia"/>
        </w:rPr>
        <w:t xml:space="preserve">computed </w:t>
      </w:r>
      <w:r w:rsidR="003B2341" w:rsidRPr="00F32020">
        <w:rPr>
          <w:rFonts w:eastAsiaTheme="minorEastAsia"/>
        </w:rPr>
        <w:t xml:space="preserve">cultural distance scores (CD), </w:t>
      </w:r>
      <w:r w:rsidR="008D4E11" w:rsidRPr="00F32020">
        <w:rPr>
          <w:rFonts w:eastAsiaTheme="minorEastAsia"/>
        </w:rPr>
        <w:t xml:space="preserve">to estimate </w:t>
      </w:r>
      <w:r w:rsidR="003B2341" w:rsidRPr="00F32020">
        <w:rPr>
          <w:rFonts w:eastAsiaTheme="minorEastAsia"/>
        </w:rPr>
        <w:t>the venture-level cultural diversity (‘</w:t>
      </w:r>
      <m:oMath>
        <m:sSub>
          <m:sSubPr>
            <m:ctrlPr>
              <w:rPr>
                <w:rFonts w:ascii="Cambria Math" w:eastAsiaTheme="minorEastAsia" w:hAnsi="Cambria Math"/>
                <w:i/>
                <w:lang w:eastAsia="en-US"/>
              </w:rPr>
            </m:ctrlPr>
          </m:sSubPr>
          <m:e>
            <m:r>
              <w:rPr>
                <w:rFonts w:ascii="Cambria Math" w:eastAsiaTheme="minorEastAsia" w:hAnsi="Cambria Math"/>
              </w:rPr>
              <m:t>Diversity</m:t>
            </m:r>
          </m:e>
          <m:sub>
            <m:r>
              <w:rPr>
                <w:rFonts w:ascii="Cambria Math" w:eastAsiaTheme="minorEastAsia" w:hAnsi="Cambria Math"/>
              </w:rPr>
              <m:t>f</m:t>
            </m:r>
          </m:sub>
        </m:sSub>
      </m:oMath>
      <w:r w:rsidR="003B2341" w:rsidRPr="00F32020">
        <w:rPr>
          <w:rFonts w:eastAsiaTheme="minorEastAsia"/>
        </w:rPr>
        <w:t xml:space="preserve">’) of the founders as the average of cultural distances in all pairs of </w:t>
      </w:r>
      <w:r w:rsidR="00502E4C" w:rsidRPr="00F32020">
        <w:rPr>
          <w:rFonts w:eastAsiaTheme="minorEastAsia"/>
        </w:rPr>
        <w:t>found</w:t>
      </w:r>
      <w:r w:rsidR="00607141" w:rsidRPr="00F32020">
        <w:rPr>
          <w:rFonts w:eastAsiaTheme="minorEastAsia"/>
        </w:rPr>
        <w:t>ing</w:t>
      </w:r>
      <w:r w:rsidR="003B2341" w:rsidRPr="00F32020">
        <w:rPr>
          <w:rFonts w:eastAsiaTheme="minorEastAsia"/>
        </w:rPr>
        <w:t xml:space="preserve"> members, i.e.:</w:t>
      </w:r>
    </w:p>
    <w:p w14:paraId="6C2E9AAD" w14:textId="77777777" w:rsidR="003B2341" w:rsidRPr="00F32020" w:rsidRDefault="003B2341" w:rsidP="005546EC">
      <w:pPr>
        <w:spacing w:line="480" w:lineRule="auto"/>
        <w:ind w:firstLine="720"/>
        <w:jc w:val="both"/>
        <w:rPr>
          <w:rFonts w:eastAsiaTheme="minorEastAsia"/>
        </w:rPr>
      </w:pPr>
    </w:p>
    <w:p w14:paraId="51867B6C" w14:textId="2FBC168F" w:rsidR="003B2341" w:rsidRPr="00F32020" w:rsidRDefault="00000000" w:rsidP="005546EC">
      <w:pPr>
        <w:spacing w:line="480" w:lineRule="auto"/>
        <w:ind w:firstLine="720"/>
        <w:jc w:val="both"/>
        <w:rPr>
          <w:rFonts w:eastAsiaTheme="minorEastAsia"/>
        </w:rPr>
      </w:pPr>
      <m:oMathPara>
        <m:oMath>
          <m:sSub>
            <m:sSubPr>
              <m:ctrlPr>
                <w:rPr>
                  <w:rFonts w:ascii="Cambria Math" w:eastAsiaTheme="minorEastAsia" w:hAnsi="Cambria Math"/>
                  <w:i/>
                  <w:lang w:eastAsia="en-US"/>
                </w:rPr>
              </m:ctrlPr>
            </m:sSubPr>
            <m:e>
              <m:r>
                <w:rPr>
                  <w:rFonts w:ascii="Cambria Math" w:eastAsiaTheme="minorEastAsia" w:hAnsi="Cambria Math"/>
                </w:rPr>
                <m:t>Diversity</m:t>
              </m:r>
            </m:e>
            <m:sub>
              <m:r>
                <w:rPr>
                  <w:rFonts w:ascii="Cambria Math" w:eastAsiaTheme="minorEastAsia" w:hAnsi="Cambria Math"/>
                </w:rPr>
                <m:t>f</m:t>
              </m:r>
            </m:sub>
          </m:sSub>
          <m:r>
            <w:rPr>
              <w:rFonts w:ascii="Cambria Math" w:eastAsiaTheme="minorEastAsia" w:hAnsi="Cambria Math"/>
            </w:rPr>
            <m:t>=</m:t>
          </m:r>
          <m:f>
            <m:fPr>
              <m:ctrlPr>
                <w:rPr>
                  <w:rFonts w:ascii="Cambria Math" w:eastAsiaTheme="minorEastAsia" w:hAnsi="Cambria Math"/>
                  <w:i/>
                  <w:lang w:eastAsia="en-US"/>
                </w:rPr>
              </m:ctrlPr>
            </m:fPr>
            <m:num>
              <m:nary>
                <m:naryPr>
                  <m:chr m:val="∑"/>
                  <m:limLoc m:val="undOvr"/>
                  <m:supHide m:val="1"/>
                  <m:ctrlPr>
                    <w:rPr>
                      <w:rFonts w:ascii="Cambria Math" w:eastAsiaTheme="minorEastAsia" w:hAnsi="Cambria Math"/>
                      <w:i/>
                      <w:lang w:eastAsia="en-US"/>
                    </w:rPr>
                  </m:ctrlPr>
                </m:naryPr>
                <m:sub>
                  <m:r>
                    <w:rPr>
                      <w:rFonts w:ascii="Cambria Math" w:eastAsiaTheme="minorEastAsia" w:hAnsi="Cambria Math"/>
                    </w:rPr>
                    <m:t xml:space="preserve">ij ∈ </m:t>
                  </m:r>
                  <m:sSub>
                    <m:sSubPr>
                      <m:ctrlPr>
                        <w:rPr>
                          <w:rFonts w:ascii="Cambria Math" w:eastAsiaTheme="minorHAnsi" w:hAnsi="Cambria Math"/>
                          <w:i/>
                          <w:lang w:eastAsia="en-US"/>
                        </w:rPr>
                      </m:ctrlPr>
                    </m:sSubPr>
                    <m:e>
                      <m:r>
                        <w:rPr>
                          <w:rFonts w:ascii="Cambria Math" w:hAnsi="Cambria Math"/>
                        </w:rPr>
                        <m:t>N</m:t>
                      </m:r>
                    </m:e>
                    <m:sub>
                      <m:r>
                        <w:rPr>
                          <w:rFonts w:ascii="Cambria Math" w:hAnsi="Cambria Math"/>
                        </w:rPr>
                        <m:t>f</m:t>
                      </m:r>
                    </m:sub>
                  </m:sSub>
                </m:sub>
                <m:sup/>
                <m:e>
                  <m:sSubSup>
                    <m:sSubSupPr>
                      <m:ctrlPr>
                        <w:rPr>
                          <w:rFonts w:ascii="Cambria Math" w:eastAsiaTheme="minorHAnsi" w:hAnsi="Cambria Math"/>
                          <w:i/>
                          <w:lang w:eastAsia="en-US"/>
                        </w:rPr>
                      </m:ctrlPr>
                    </m:sSubSupPr>
                    <m:e>
                      <m:r>
                        <w:rPr>
                          <w:rFonts w:ascii="Cambria Math" w:hAnsi="Cambria Math"/>
                        </w:rPr>
                        <m:t>CD</m:t>
                      </m:r>
                    </m:e>
                    <m:sub>
                      <m:r>
                        <w:rPr>
                          <w:rFonts w:ascii="Cambria Math" w:hAnsi="Cambria Math"/>
                        </w:rPr>
                        <m:t>ij</m:t>
                      </m:r>
                    </m:sub>
                    <m:sup>
                      <m:r>
                        <w:rPr>
                          <w:rFonts w:ascii="Cambria Math" w:hAnsi="Cambria Math"/>
                        </w:rPr>
                        <m:t>f</m:t>
                      </m:r>
                    </m:sup>
                  </m:sSubSup>
                </m:e>
              </m:nary>
            </m:num>
            <m:den>
              <m:sSub>
                <m:sSubPr>
                  <m:ctrlPr>
                    <w:rPr>
                      <w:rFonts w:ascii="Cambria Math" w:eastAsiaTheme="minorHAnsi" w:hAnsi="Cambria Math"/>
                      <w:i/>
                      <w:lang w:eastAsia="en-US"/>
                    </w:rPr>
                  </m:ctrlPr>
                </m:sSubPr>
                <m:e>
                  <m:r>
                    <w:rPr>
                      <w:rFonts w:ascii="Cambria Math" w:hAnsi="Cambria Math"/>
                    </w:rPr>
                    <m:t>m</m:t>
                  </m:r>
                </m:e>
                <m:sub>
                  <m:r>
                    <w:rPr>
                      <w:rFonts w:ascii="Cambria Math" w:hAnsi="Cambria Math"/>
                    </w:rPr>
                    <m:t>f</m:t>
                  </m:r>
                </m:sub>
              </m:sSub>
              <m:r>
                <w:rPr>
                  <w:rFonts w:ascii="Cambria Math" w:eastAsiaTheme="minorEastAsia" w:hAnsi="Cambria Math"/>
                </w:rPr>
                <m:t>(</m:t>
              </m:r>
              <m:sSub>
                <m:sSubPr>
                  <m:ctrlPr>
                    <w:rPr>
                      <w:rFonts w:ascii="Cambria Math" w:eastAsiaTheme="minorHAnsi" w:hAnsi="Cambria Math"/>
                      <w:i/>
                      <w:lang w:eastAsia="en-US"/>
                    </w:rPr>
                  </m:ctrlPr>
                </m:sSubPr>
                <m:e>
                  <m:r>
                    <w:rPr>
                      <w:rFonts w:ascii="Cambria Math" w:hAnsi="Cambria Math"/>
                    </w:rPr>
                    <m:t>m</m:t>
                  </m:r>
                </m:e>
                <m:sub>
                  <m:r>
                    <w:rPr>
                      <w:rFonts w:ascii="Cambria Math" w:hAnsi="Cambria Math"/>
                    </w:rPr>
                    <m:t>f</m:t>
                  </m:r>
                </m:sub>
              </m:sSub>
              <m:r>
                <w:rPr>
                  <w:rFonts w:ascii="Cambria Math" w:eastAsiaTheme="minorEastAsia" w:hAnsi="Cambria Math"/>
                </w:rPr>
                <m:t>-1)/2</m:t>
              </m:r>
            </m:den>
          </m:f>
          <m:r>
            <w:rPr>
              <w:rFonts w:ascii="Cambria Math" w:eastAsiaTheme="minorEastAsia" w:hAnsi="Cambria Math"/>
            </w:rPr>
            <m:t>.</m:t>
          </m:r>
        </m:oMath>
      </m:oMathPara>
    </w:p>
    <w:p w14:paraId="698D790D" w14:textId="65D95FE8" w:rsidR="003D355B" w:rsidRPr="00F32020" w:rsidRDefault="00BA0DE5" w:rsidP="005546EC">
      <w:pPr>
        <w:spacing w:line="480" w:lineRule="auto"/>
        <w:jc w:val="both"/>
        <w:rPr>
          <w:i/>
          <w:iCs/>
        </w:rPr>
      </w:pPr>
      <w:r w:rsidRPr="00F32020">
        <w:rPr>
          <w:i/>
          <w:iCs/>
        </w:rPr>
        <w:lastRenderedPageBreak/>
        <w:t xml:space="preserve">3.2.3. Other indicators of founding teams’ </w:t>
      </w:r>
      <w:r w:rsidR="00761292" w:rsidRPr="00F32020">
        <w:rPr>
          <w:i/>
          <w:iCs/>
        </w:rPr>
        <w:t xml:space="preserve">human </w:t>
      </w:r>
      <w:r w:rsidRPr="00F32020">
        <w:rPr>
          <w:i/>
          <w:iCs/>
        </w:rPr>
        <w:t>capital</w:t>
      </w:r>
      <w:r w:rsidR="00761292" w:rsidRPr="00F32020">
        <w:rPr>
          <w:i/>
          <w:iCs/>
        </w:rPr>
        <w:t xml:space="preserve"> and demographic characteristics</w:t>
      </w:r>
    </w:p>
    <w:p w14:paraId="209D26D2" w14:textId="0936A37C" w:rsidR="00987DDB" w:rsidRPr="00F32020" w:rsidRDefault="00987DDB" w:rsidP="005546EC">
      <w:pPr>
        <w:autoSpaceDE w:val="0"/>
        <w:autoSpaceDN w:val="0"/>
        <w:adjustRightInd w:val="0"/>
        <w:spacing w:line="480" w:lineRule="auto"/>
        <w:jc w:val="both"/>
        <w:rPr>
          <w:rFonts w:eastAsia="CharisSIL"/>
          <w:lang w:eastAsia="en-US"/>
        </w:rPr>
      </w:pPr>
      <w:r w:rsidRPr="00F32020">
        <w:rPr>
          <w:rFonts w:eastAsia="CharisSIL"/>
          <w:lang w:eastAsia="en-US"/>
        </w:rPr>
        <w:t xml:space="preserve">As discussed in section 2.3., additional characteristics of the founding team can play a role in the decision of accelerators, either on an individual basis or in combination with the information about cultural diversity. Therefore, we account for the: (i) </w:t>
      </w:r>
      <w:r w:rsidR="0029684D" w:rsidRPr="00F32020">
        <w:rPr>
          <w:rFonts w:eastAsia="CharisSIL"/>
          <w:lang w:eastAsia="en-US"/>
        </w:rPr>
        <w:t>prior founding</w:t>
      </w:r>
      <w:r w:rsidRPr="00F32020">
        <w:rPr>
          <w:rFonts w:eastAsia="CharisSIL"/>
          <w:lang w:eastAsia="en-US"/>
        </w:rPr>
        <w:t xml:space="preserve"> experience of the founding team, (ii) education of the founding team (iii) average age of the founders, (iv) gender diversity of the founding team.</w:t>
      </w:r>
    </w:p>
    <w:p w14:paraId="204843CE" w14:textId="7A59E81B" w:rsidR="00604729" w:rsidRPr="00F32020" w:rsidRDefault="00C4409F" w:rsidP="005546EC">
      <w:pPr>
        <w:autoSpaceDE w:val="0"/>
        <w:autoSpaceDN w:val="0"/>
        <w:adjustRightInd w:val="0"/>
        <w:spacing w:line="480" w:lineRule="auto"/>
        <w:ind w:firstLine="720"/>
        <w:jc w:val="both"/>
        <w:rPr>
          <w:vertAlign w:val="superscript"/>
        </w:rPr>
      </w:pPr>
      <w:r w:rsidRPr="00F32020">
        <w:rPr>
          <w:rFonts w:eastAsia="UniMath"/>
          <w:lang w:eastAsia="en-US"/>
        </w:rPr>
        <w:t xml:space="preserve">To capture </w:t>
      </w:r>
      <w:r w:rsidR="0049161F">
        <w:rPr>
          <w:rFonts w:eastAsia="UniMath"/>
          <w:lang w:eastAsia="en-US"/>
        </w:rPr>
        <w:t>prior</w:t>
      </w:r>
      <w:r w:rsidR="0049161F" w:rsidRPr="00F32020">
        <w:rPr>
          <w:rFonts w:eastAsia="UniMath"/>
          <w:lang w:eastAsia="en-US"/>
        </w:rPr>
        <w:t xml:space="preserve"> </w:t>
      </w:r>
      <w:r w:rsidR="0073562B" w:rsidRPr="00F32020">
        <w:rPr>
          <w:rFonts w:eastAsia="UniMath"/>
          <w:lang w:eastAsia="en-US"/>
        </w:rPr>
        <w:t>founding</w:t>
      </w:r>
      <w:r w:rsidR="003D26B4" w:rsidRPr="00F32020">
        <w:rPr>
          <w:rFonts w:eastAsia="UniMath"/>
          <w:lang w:eastAsia="en-US"/>
        </w:rPr>
        <w:t xml:space="preserve"> experience </w:t>
      </w:r>
      <w:r w:rsidRPr="00F32020">
        <w:rPr>
          <w:rFonts w:eastAsia="UniMath"/>
          <w:lang w:eastAsia="en-US"/>
        </w:rPr>
        <w:t xml:space="preserve">of </w:t>
      </w:r>
      <w:r w:rsidR="003D26B4" w:rsidRPr="00F32020">
        <w:rPr>
          <w:rFonts w:eastAsia="UniMath"/>
          <w:lang w:eastAsia="en-US"/>
        </w:rPr>
        <w:t>the founding team</w:t>
      </w:r>
      <w:r w:rsidR="000B52AC" w:rsidRPr="00F32020">
        <w:rPr>
          <w:rFonts w:eastAsia="UniMath"/>
          <w:lang w:eastAsia="en-US"/>
        </w:rPr>
        <w:t xml:space="preserve"> we consider the answer to the following question: “</w:t>
      </w:r>
      <w:r w:rsidR="000B52AC" w:rsidRPr="00F32020">
        <w:t>How many new organizations did each founder start before launching this venture?</w:t>
      </w:r>
      <w:r w:rsidR="00C521EE" w:rsidRPr="00F32020">
        <w:rPr>
          <w:rFonts w:eastAsia="UniMath"/>
          <w:lang w:eastAsia="en-US"/>
        </w:rPr>
        <w:t>”.</w:t>
      </w:r>
      <w:r w:rsidR="003D26B4" w:rsidRPr="00F32020">
        <w:rPr>
          <w:rFonts w:eastAsia="UniMath"/>
          <w:lang w:eastAsia="en-US"/>
        </w:rPr>
        <w:t xml:space="preserve"> </w:t>
      </w:r>
      <w:r w:rsidR="000B52AC" w:rsidRPr="00F32020">
        <w:rPr>
          <w:rFonts w:eastAsia="UniMath"/>
          <w:lang w:eastAsia="en-US"/>
        </w:rPr>
        <w:t>Our indicator at the founding team level is the average number of new organi</w:t>
      </w:r>
      <w:r w:rsidR="00275837" w:rsidRPr="00F32020">
        <w:rPr>
          <w:rFonts w:eastAsia="UniMath"/>
          <w:lang w:eastAsia="en-US"/>
        </w:rPr>
        <w:t>s</w:t>
      </w:r>
      <w:r w:rsidR="000B52AC" w:rsidRPr="00F32020">
        <w:rPr>
          <w:rFonts w:eastAsia="UniMath"/>
          <w:lang w:eastAsia="en-US"/>
        </w:rPr>
        <w:t>ations</w:t>
      </w:r>
      <w:r w:rsidR="00F03F1B" w:rsidRPr="00F32020">
        <w:rPr>
          <w:rFonts w:eastAsia="UniMath"/>
          <w:lang w:eastAsia="en-US"/>
        </w:rPr>
        <w:t xml:space="preserve"> launched in the past</w:t>
      </w:r>
      <w:r w:rsidR="000B52AC" w:rsidRPr="00F32020">
        <w:rPr>
          <w:rFonts w:eastAsia="UniMath"/>
          <w:lang w:eastAsia="en-US"/>
        </w:rPr>
        <w:t xml:space="preserve"> across all founders</w:t>
      </w:r>
      <w:r w:rsidR="00151FFC" w:rsidRPr="00F32020">
        <w:rPr>
          <w:rFonts w:eastAsia="UniMath"/>
          <w:lang w:eastAsia="en-US"/>
        </w:rPr>
        <w:t xml:space="preserve"> of each venture</w:t>
      </w:r>
      <w:r w:rsidR="000B52AC" w:rsidRPr="00F32020">
        <w:rPr>
          <w:rFonts w:eastAsia="UniMath"/>
          <w:lang w:eastAsia="en-US"/>
        </w:rPr>
        <w:t>.</w:t>
      </w:r>
      <w:r w:rsidR="000B52AC" w:rsidRPr="00F32020">
        <w:rPr>
          <w:rStyle w:val="FootnoteReference"/>
          <w:rFonts w:eastAsia="CharisSIL"/>
          <w:lang w:eastAsia="en-US"/>
        </w:rPr>
        <w:t xml:space="preserve"> </w:t>
      </w:r>
      <w:r w:rsidR="000B52AC" w:rsidRPr="00F32020">
        <w:rPr>
          <w:vertAlign w:val="superscript"/>
        </w:rPr>
        <w:t xml:space="preserve"> </w:t>
      </w:r>
    </w:p>
    <w:p w14:paraId="37D76D33" w14:textId="1AD94B5D" w:rsidR="00466E9F" w:rsidRPr="00F32020" w:rsidRDefault="007B58FE" w:rsidP="005546EC">
      <w:pPr>
        <w:autoSpaceDE w:val="0"/>
        <w:autoSpaceDN w:val="0"/>
        <w:adjustRightInd w:val="0"/>
        <w:spacing w:line="480" w:lineRule="auto"/>
        <w:ind w:firstLine="720"/>
        <w:jc w:val="both"/>
        <w:rPr>
          <w:rFonts w:eastAsia="CharisSIL"/>
          <w:lang w:eastAsia="en-US"/>
        </w:rPr>
      </w:pPr>
      <w:r w:rsidRPr="00F32020">
        <w:rPr>
          <w:rFonts w:eastAsiaTheme="minorEastAsia"/>
          <w:iCs/>
        </w:rPr>
        <w:t>T</w:t>
      </w:r>
      <w:r w:rsidR="00466E9F" w:rsidRPr="00F32020">
        <w:rPr>
          <w:rFonts w:eastAsiaTheme="minorEastAsia"/>
          <w:iCs/>
        </w:rPr>
        <w:t xml:space="preserve">o capture the level of education </w:t>
      </w:r>
      <w:r w:rsidR="00C521EE" w:rsidRPr="00F32020">
        <w:rPr>
          <w:rFonts w:eastAsiaTheme="minorEastAsia"/>
          <w:iCs/>
        </w:rPr>
        <w:t>of each</w:t>
      </w:r>
      <w:r w:rsidR="00F03F1B" w:rsidRPr="00F32020">
        <w:rPr>
          <w:rFonts w:eastAsiaTheme="minorEastAsia"/>
          <w:iCs/>
        </w:rPr>
        <w:t xml:space="preserve"> founding team</w:t>
      </w:r>
      <w:r w:rsidR="00275837" w:rsidRPr="00F32020">
        <w:rPr>
          <w:rFonts w:eastAsiaTheme="minorEastAsia"/>
          <w:iCs/>
        </w:rPr>
        <w:t>,</w:t>
      </w:r>
      <w:r w:rsidR="00F03F1B" w:rsidRPr="00F32020">
        <w:rPr>
          <w:rFonts w:eastAsiaTheme="minorEastAsia"/>
          <w:iCs/>
        </w:rPr>
        <w:t xml:space="preserve"> we consider the information provided about the “Highest Level of Education Completed” </w:t>
      </w:r>
      <w:r w:rsidR="00275837" w:rsidRPr="00F32020">
        <w:rPr>
          <w:rFonts w:eastAsiaTheme="minorEastAsia"/>
          <w:iCs/>
        </w:rPr>
        <w:t xml:space="preserve">of </w:t>
      </w:r>
      <w:r w:rsidR="00F03F1B" w:rsidRPr="00F32020">
        <w:rPr>
          <w:rFonts w:eastAsiaTheme="minorEastAsia"/>
          <w:iCs/>
        </w:rPr>
        <w:t>each founder</w:t>
      </w:r>
      <w:r w:rsidR="00A57AAC" w:rsidRPr="00F32020">
        <w:rPr>
          <w:rFonts w:eastAsiaTheme="minorEastAsia"/>
          <w:iCs/>
        </w:rPr>
        <w:t xml:space="preserve"> by the applicants</w:t>
      </w:r>
      <w:r w:rsidR="00F03F1B" w:rsidRPr="00F32020">
        <w:rPr>
          <w:rFonts w:eastAsiaTheme="minorEastAsia"/>
          <w:iCs/>
        </w:rPr>
        <w:t>.</w:t>
      </w:r>
      <w:r w:rsidR="00466E9F" w:rsidRPr="00F32020">
        <w:rPr>
          <w:rFonts w:eastAsiaTheme="minorEastAsia"/>
          <w:iCs/>
        </w:rPr>
        <w:t xml:space="preserve"> </w:t>
      </w:r>
      <w:r w:rsidR="00F03F1B" w:rsidRPr="00F32020">
        <w:rPr>
          <w:rFonts w:eastAsiaTheme="minorEastAsia"/>
          <w:iCs/>
        </w:rPr>
        <w:t xml:space="preserve">Initially, </w:t>
      </w:r>
      <w:r w:rsidR="00466E9F" w:rsidRPr="00F32020">
        <w:rPr>
          <w:rFonts w:eastAsiaTheme="minorEastAsia"/>
          <w:iCs/>
        </w:rPr>
        <w:t xml:space="preserve">we differentiate between undergraduate (Bachelor’s degree), postgraduate (Master’s/Graduate degree) and doctoral (PhD) studies, similarly to Herrmann and Datta (2005). </w:t>
      </w:r>
      <w:r w:rsidR="00F03F1B" w:rsidRPr="00F32020">
        <w:rPr>
          <w:rFonts w:eastAsiaTheme="minorEastAsia"/>
          <w:iCs/>
        </w:rPr>
        <w:t>Then, a</w:t>
      </w:r>
      <w:r w:rsidR="00466E9F" w:rsidRPr="00F32020">
        <w:rPr>
          <w:rFonts w:eastAsiaTheme="minorEastAsia"/>
          <w:iCs/>
        </w:rPr>
        <w:t>s in Papadimitri et al. (2020)</w:t>
      </w:r>
      <w:r w:rsidR="00F03F1B" w:rsidRPr="00F32020">
        <w:rPr>
          <w:rFonts w:eastAsiaTheme="minorEastAsia"/>
          <w:iCs/>
        </w:rPr>
        <w:t>,</w:t>
      </w:r>
      <w:r w:rsidR="00466E9F" w:rsidRPr="00F32020">
        <w:rPr>
          <w:rFonts w:eastAsiaTheme="minorEastAsia"/>
          <w:iCs/>
        </w:rPr>
        <w:t xml:space="preserve"> we assign points similar to increasing constants, in a cumulative manner, for each level of studies as follows: founder</w:t>
      </w:r>
      <w:r w:rsidR="009C52A3">
        <w:rPr>
          <w:rFonts w:eastAsiaTheme="minorEastAsia"/>
          <w:iCs/>
        </w:rPr>
        <w:t>s</w:t>
      </w:r>
      <w:r w:rsidR="00466E9F" w:rsidRPr="00F32020">
        <w:rPr>
          <w:rFonts w:eastAsiaTheme="minorEastAsia"/>
          <w:iCs/>
        </w:rPr>
        <w:t xml:space="preserve"> </w:t>
      </w:r>
      <w:r w:rsidR="009C52A3">
        <w:rPr>
          <w:rFonts w:eastAsiaTheme="minorEastAsia"/>
          <w:iCs/>
        </w:rPr>
        <w:t>are</w:t>
      </w:r>
      <w:r w:rsidR="00466E9F" w:rsidRPr="00F32020">
        <w:rPr>
          <w:rFonts w:eastAsiaTheme="minorEastAsia"/>
          <w:iCs/>
        </w:rPr>
        <w:t xml:space="preserve"> assigned 1 point if </w:t>
      </w:r>
      <w:r w:rsidR="00DC47BC">
        <w:rPr>
          <w:rFonts w:eastAsiaTheme="minorEastAsia"/>
          <w:iCs/>
        </w:rPr>
        <w:t>they have</w:t>
      </w:r>
      <w:r w:rsidR="00466E9F" w:rsidRPr="00F32020">
        <w:rPr>
          <w:rFonts w:eastAsiaTheme="minorEastAsia"/>
          <w:iCs/>
        </w:rPr>
        <w:t xml:space="preserve"> an undergraduate degree, +2 points on top of that for a postgraduate, and +3 more points for a doctoral degree. The average of all founders’ score is computed to serve as a proxy for education across all founding members.</w:t>
      </w:r>
    </w:p>
    <w:p w14:paraId="2477B195" w14:textId="55AB46A9" w:rsidR="00E57E5E" w:rsidRPr="00F32020" w:rsidRDefault="00604729" w:rsidP="005546EC">
      <w:pPr>
        <w:spacing w:line="480" w:lineRule="auto"/>
        <w:jc w:val="both"/>
      </w:pPr>
      <w:r w:rsidRPr="00F32020">
        <w:rPr>
          <w:b/>
          <w:bCs/>
        </w:rPr>
        <w:tab/>
      </w:r>
      <w:r w:rsidR="009243B8" w:rsidRPr="00F32020">
        <w:t xml:space="preserve">To account for the potential signal transmitted through the age of the founders we calculate the </w:t>
      </w:r>
      <w:r w:rsidR="003D26B4" w:rsidRPr="00F32020">
        <w:t>founding team</w:t>
      </w:r>
      <w:r w:rsidR="009243B8" w:rsidRPr="00F32020">
        <w:t>’s</w:t>
      </w:r>
      <w:r w:rsidR="003D26B4" w:rsidRPr="00F32020">
        <w:t xml:space="preserve"> </w:t>
      </w:r>
      <w:r w:rsidR="009243B8" w:rsidRPr="00F32020">
        <w:t xml:space="preserve">average </w:t>
      </w:r>
      <w:r w:rsidR="003D26B4" w:rsidRPr="00F32020">
        <w:t>age,</w:t>
      </w:r>
      <w:r w:rsidR="009243B8" w:rsidRPr="00F32020">
        <w:t xml:space="preserve"> as in Lall et al. (2020</w:t>
      </w:r>
      <w:r w:rsidR="00847DD0" w:rsidRPr="00F32020">
        <w:t>)</w:t>
      </w:r>
      <w:r w:rsidR="00AB73BC" w:rsidRPr="00F32020">
        <w:t>.</w:t>
      </w:r>
      <w:r w:rsidR="00C521EE" w:rsidRPr="00F32020">
        <w:t xml:space="preserve"> </w:t>
      </w:r>
      <w:r w:rsidR="00AB73BC" w:rsidRPr="00F32020">
        <w:t xml:space="preserve">Finally, we account for gender diversity by expressing the number of female founders as a percentage of the total number of </w:t>
      </w:r>
      <w:r w:rsidR="007247C8" w:rsidRPr="00F32020">
        <w:t xml:space="preserve">the </w:t>
      </w:r>
      <w:r w:rsidR="00275837" w:rsidRPr="00F32020">
        <w:t>(</w:t>
      </w:r>
      <w:r w:rsidR="007247C8" w:rsidRPr="00F32020">
        <w:t>up to three</w:t>
      </w:r>
      <w:r w:rsidR="00275837" w:rsidRPr="00F32020">
        <w:t>)</w:t>
      </w:r>
      <w:r w:rsidR="007247C8" w:rsidRPr="00F32020">
        <w:t xml:space="preserve"> identified </w:t>
      </w:r>
      <w:r w:rsidR="00AB73BC" w:rsidRPr="00F32020">
        <w:t>founders</w:t>
      </w:r>
      <w:r w:rsidR="007247C8" w:rsidRPr="00F32020">
        <w:t xml:space="preserve"> for which we have information about their gender</w:t>
      </w:r>
      <w:r w:rsidR="00AB73BC" w:rsidRPr="00F32020">
        <w:t xml:space="preserve">. </w:t>
      </w:r>
    </w:p>
    <w:p w14:paraId="5DB9D297" w14:textId="77777777" w:rsidR="00593961" w:rsidRPr="00F32020" w:rsidRDefault="00593961" w:rsidP="005546EC">
      <w:pPr>
        <w:spacing w:line="480" w:lineRule="auto"/>
        <w:jc w:val="both"/>
        <w:rPr>
          <w:b/>
          <w:bCs/>
        </w:rPr>
      </w:pPr>
    </w:p>
    <w:p w14:paraId="057FCD47" w14:textId="6BCCDEB5" w:rsidR="00130D95" w:rsidRPr="00F32020" w:rsidRDefault="00EA783F" w:rsidP="005546EC">
      <w:pPr>
        <w:spacing w:line="480" w:lineRule="auto"/>
        <w:jc w:val="both"/>
        <w:rPr>
          <w:i/>
          <w:iCs/>
        </w:rPr>
      </w:pPr>
      <w:r w:rsidRPr="00F32020">
        <w:rPr>
          <w:i/>
          <w:iCs/>
        </w:rPr>
        <w:lastRenderedPageBreak/>
        <w:t>3</w:t>
      </w:r>
      <w:r w:rsidR="008B7562" w:rsidRPr="00F32020">
        <w:rPr>
          <w:i/>
          <w:iCs/>
        </w:rPr>
        <w:t>.2.</w:t>
      </w:r>
      <w:r w:rsidR="00BA0DE5" w:rsidRPr="00F32020">
        <w:rPr>
          <w:i/>
          <w:iCs/>
        </w:rPr>
        <w:t>4</w:t>
      </w:r>
      <w:r w:rsidR="00354161" w:rsidRPr="00F32020">
        <w:rPr>
          <w:i/>
          <w:iCs/>
        </w:rPr>
        <w:t>.</w:t>
      </w:r>
      <w:r w:rsidR="00CF6232" w:rsidRPr="00F32020">
        <w:rPr>
          <w:i/>
          <w:iCs/>
        </w:rPr>
        <w:t xml:space="preserve"> </w:t>
      </w:r>
      <w:r w:rsidR="00BA0DE5" w:rsidRPr="00F32020">
        <w:rPr>
          <w:i/>
          <w:iCs/>
        </w:rPr>
        <w:t xml:space="preserve">Other </w:t>
      </w:r>
      <w:r w:rsidR="008B7562" w:rsidRPr="00F32020">
        <w:rPr>
          <w:i/>
          <w:iCs/>
        </w:rPr>
        <w:t>Control Variables</w:t>
      </w:r>
    </w:p>
    <w:p w14:paraId="6503DA58" w14:textId="57CF8099" w:rsidR="00D31132" w:rsidRPr="00F32020" w:rsidRDefault="2A942985" w:rsidP="2A942985">
      <w:pPr>
        <w:autoSpaceDE w:val="0"/>
        <w:autoSpaceDN w:val="0"/>
        <w:adjustRightInd w:val="0"/>
        <w:spacing w:line="480" w:lineRule="auto"/>
        <w:jc w:val="both"/>
        <w:rPr>
          <w:rFonts w:eastAsiaTheme="minorEastAsia"/>
        </w:rPr>
      </w:pPr>
      <w:r w:rsidRPr="2A942985">
        <w:rPr>
          <w:rFonts w:eastAsiaTheme="minorEastAsia"/>
        </w:rPr>
        <w:t xml:space="preserve">To account for additional effects that might impact the accelerators’ selection decision we include control variables for: venture-level attributes and characteristics of the country of operations. </w:t>
      </w:r>
    </w:p>
    <w:p w14:paraId="74764E6C" w14:textId="7C995825" w:rsidR="0075770F" w:rsidRPr="00F32020" w:rsidRDefault="005849A8" w:rsidP="005546EC">
      <w:pPr>
        <w:autoSpaceDE w:val="0"/>
        <w:autoSpaceDN w:val="0"/>
        <w:adjustRightInd w:val="0"/>
        <w:spacing w:line="480" w:lineRule="auto"/>
        <w:ind w:firstLine="720"/>
        <w:jc w:val="both"/>
        <w:rPr>
          <w:rFonts w:eastAsiaTheme="minorHAnsi"/>
          <w:lang w:eastAsia="en-US"/>
        </w:rPr>
      </w:pPr>
      <w:r w:rsidRPr="00F32020">
        <w:rPr>
          <w:rFonts w:eastAsiaTheme="minorEastAsia"/>
          <w:iCs/>
        </w:rPr>
        <w:t>In particular</w:t>
      </w:r>
      <w:r w:rsidR="00D31132" w:rsidRPr="00F32020">
        <w:rPr>
          <w:rFonts w:eastAsiaTheme="minorEastAsia"/>
          <w:iCs/>
        </w:rPr>
        <w:t xml:space="preserve">, the venture-level control variables that we consider are: </w:t>
      </w:r>
      <w:r w:rsidRPr="00F32020">
        <w:rPr>
          <w:rFonts w:eastAsiaTheme="minorEastAsia"/>
          <w:iCs/>
        </w:rPr>
        <w:t xml:space="preserve"> </w:t>
      </w:r>
      <w:r w:rsidR="00244132" w:rsidRPr="00F32020">
        <w:rPr>
          <w:rFonts w:eastAsiaTheme="minorEastAsia"/>
          <w:iCs/>
        </w:rPr>
        <w:t xml:space="preserve">(i) </w:t>
      </w:r>
      <w:r w:rsidR="008B7562" w:rsidRPr="00F32020">
        <w:rPr>
          <w:rFonts w:eastAsiaTheme="minorEastAsia"/>
          <w:iCs/>
        </w:rPr>
        <w:t>the natural logarithm of the years for which the venture is active</w:t>
      </w:r>
      <w:r w:rsidR="00244132" w:rsidRPr="00F32020">
        <w:rPr>
          <w:rFonts w:eastAsiaTheme="minorEastAsia"/>
          <w:iCs/>
        </w:rPr>
        <w:t xml:space="preserve">, (ii) the natural logarithm of the venture’s revenues in the previous year, (iii) a dummy for the ventures that are non-for-profit, (iv) </w:t>
      </w:r>
      <w:r w:rsidR="00244132" w:rsidRPr="00F32020">
        <w:rPr>
          <w:rFonts w:eastAsia="CharisSIL"/>
          <w:lang w:eastAsia="en-US"/>
        </w:rPr>
        <w:t xml:space="preserve">a dummy variable that takes the </w:t>
      </w:r>
      <w:r w:rsidR="00244132" w:rsidRPr="00F32020">
        <w:rPr>
          <w:rFonts w:eastAsiaTheme="minorEastAsia"/>
          <w:iCs/>
        </w:rPr>
        <w:t xml:space="preserve">value of ‘1’ </w:t>
      </w:r>
      <w:r w:rsidR="00244132" w:rsidRPr="00F32020">
        <w:rPr>
          <w:rFonts w:eastAsia="CharisSIL"/>
          <w:lang w:eastAsia="en-US"/>
        </w:rPr>
        <w:t>in cases where the applicant explicitly stated that the start-up has social motives, (v)</w:t>
      </w:r>
      <w:r w:rsidR="00244132" w:rsidRPr="00F32020">
        <w:rPr>
          <w:rFonts w:eastAsiaTheme="minorEastAsia"/>
          <w:iCs/>
        </w:rPr>
        <w:t xml:space="preserve"> a dummy denoting whether the venture’s model is invention-based or not, (vi) an ‘intellectual property’ dummy variable that takes the value of ‘1’ when a venture has </w:t>
      </w:r>
      <w:r w:rsidR="00244132" w:rsidRPr="00F32020">
        <w:rPr>
          <w:rFonts w:eastAsiaTheme="minorHAnsi"/>
          <w:lang w:eastAsia="en-US"/>
        </w:rPr>
        <w:t xml:space="preserve">patents, copyrights, or trademarks, and the value of ‘0’ otherwise, (vii) the logarithm of the equity investments received from outside sources between the founding date and the time of the application, (viii) a dummy variable denoting whether </w:t>
      </w:r>
      <w:r w:rsidR="00244132" w:rsidRPr="00F32020">
        <w:rPr>
          <w:rFonts w:eastAsia="CharisSIL"/>
          <w:lang w:eastAsia="en-US"/>
        </w:rPr>
        <w:t>the founding team has prior experience with accelerator programmes.</w:t>
      </w:r>
      <w:r w:rsidR="00060EBE" w:rsidRPr="00F32020">
        <w:rPr>
          <w:rFonts w:eastAsia="CharisSIL"/>
          <w:lang w:eastAsia="en-US"/>
        </w:rPr>
        <w:t xml:space="preserve"> </w:t>
      </w:r>
      <w:r w:rsidR="00535978">
        <w:rPr>
          <w:rFonts w:eastAsia="CharisSIL"/>
          <w:lang w:eastAsia="en-US"/>
        </w:rPr>
        <w:t>F</w:t>
      </w:r>
      <w:r w:rsidR="00060EBE" w:rsidRPr="00F32020">
        <w:rPr>
          <w:rFonts w:eastAsia="CharisSIL"/>
          <w:lang w:eastAsia="en-US"/>
        </w:rPr>
        <w:t xml:space="preserve">urther discussion of these control-variables and justification for their inclusion in the regressions is available in Section III of the online appendix. </w:t>
      </w:r>
    </w:p>
    <w:p w14:paraId="730D7B29" w14:textId="21D76BE5" w:rsidR="000A5650" w:rsidRPr="00F32020" w:rsidRDefault="2A942985" w:rsidP="2A942985">
      <w:pPr>
        <w:spacing w:line="480" w:lineRule="auto"/>
        <w:ind w:firstLine="720"/>
        <w:jc w:val="both"/>
        <w:rPr>
          <w:rFonts w:eastAsiaTheme="minorEastAsia"/>
        </w:rPr>
      </w:pPr>
      <w:r w:rsidRPr="2A942985">
        <w:rPr>
          <w:rFonts w:eastAsiaTheme="minorEastAsia"/>
        </w:rPr>
        <w:t>As for the country-level controls, we include: (i) GDP growth rate to capture the demand side of economic opportunities that encourage entrepreneurship (Thai and Turkina, 2014), (ii) inflation to capture monetary instability in the country of operations, (iii) an index of institutional development, based on indicators from the Worldwide Governance Indicators (Kaufmann et al., 2011),  to capture heterogeneity across countries that stems from institutional quality.</w:t>
      </w:r>
    </w:p>
    <w:p w14:paraId="55E5666C" w14:textId="66B720A7" w:rsidR="00C56073" w:rsidRPr="00F32020" w:rsidRDefault="00C56073" w:rsidP="005546EC">
      <w:pPr>
        <w:spacing w:line="480" w:lineRule="auto"/>
        <w:ind w:firstLine="720"/>
        <w:jc w:val="both"/>
        <w:rPr>
          <w:rFonts w:eastAsiaTheme="minorEastAsia"/>
          <w:iCs/>
        </w:rPr>
      </w:pPr>
      <w:r w:rsidRPr="00F32020">
        <w:rPr>
          <w:rFonts w:eastAsiaTheme="minorEastAsia"/>
          <w:iCs/>
        </w:rPr>
        <w:t xml:space="preserve">Table 1 </w:t>
      </w:r>
      <w:r w:rsidR="00B52412" w:rsidRPr="00F32020">
        <w:rPr>
          <w:rFonts w:eastAsiaTheme="minorEastAsia"/>
          <w:iCs/>
        </w:rPr>
        <w:t>provides the descriptive statistics of the above variables</w:t>
      </w:r>
      <w:r w:rsidR="009C5BE4" w:rsidRPr="00F32020">
        <w:rPr>
          <w:rFonts w:eastAsiaTheme="minorEastAsia"/>
          <w:iCs/>
        </w:rPr>
        <w:t>. A description of the variables and</w:t>
      </w:r>
      <w:r w:rsidR="00B52412" w:rsidRPr="00F32020">
        <w:rPr>
          <w:rFonts w:eastAsiaTheme="minorEastAsia"/>
          <w:iCs/>
        </w:rPr>
        <w:t xml:space="preserve"> Pearson’s correlation coefficients</w:t>
      </w:r>
      <w:r w:rsidR="009C5BE4" w:rsidRPr="00F32020">
        <w:rPr>
          <w:rFonts w:eastAsiaTheme="minorEastAsia"/>
          <w:iCs/>
        </w:rPr>
        <w:t xml:space="preserve"> are available in</w:t>
      </w:r>
      <w:r w:rsidR="00CD685E" w:rsidRPr="00F32020">
        <w:rPr>
          <w:rFonts w:eastAsiaTheme="minorEastAsia"/>
          <w:iCs/>
        </w:rPr>
        <w:t xml:space="preserve"> Table</w:t>
      </w:r>
      <w:r w:rsidR="009C5BE4" w:rsidRPr="00F32020">
        <w:rPr>
          <w:rFonts w:eastAsiaTheme="minorEastAsia"/>
          <w:iCs/>
        </w:rPr>
        <w:t>s</w:t>
      </w:r>
      <w:r w:rsidR="00CD685E" w:rsidRPr="00F32020">
        <w:rPr>
          <w:rFonts w:eastAsiaTheme="minorEastAsia"/>
          <w:iCs/>
        </w:rPr>
        <w:t xml:space="preserve"> A.</w:t>
      </w:r>
      <w:r w:rsidR="000D48CE" w:rsidRPr="00F32020">
        <w:rPr>
          <w:rFonts w:eastAsiaTheme="minorEastAsia"/>
          <w:iCs/>
        </w:rPr>
        <w:t>2</w:t>
      </w:r>
      <w:r w:rsidR="00CD685E" w:rsidRPr="00F32020">
        <w:rPr>
          <w:rFonts w:eastAsiaTheme="minorEastAsia"/>
          <w:iCs/>
        </w:rPr>
        <w:t xml:space="preserve"> </w:t>
      </w:r>
      <w:r w:rsidR="009C5BE4" w:rsidRPr="00F32020">
        <w:rPr>
          <w:rFonts w:eastAsiaTheme="minorEastAsia"/>
          <w:iCs/>
        </w:rPr>
        <w:t>and A.</w:t>
      </w:r>
      <w:r w:rsidR="000D48CE" w:rsidRPr="00F32020">
        <w:rPr>
          <w:rFonts w:eastAsiaTheme="minorEastAsia"/>
          <w:iCs/>
        </w:rPr>
        <w:t>3</w:t>
      </w:r>
      <w:r w:rsidR="009C5BE4" w:rsidRPr="00F32020">
        <w:rPr>
          <w:rFonts w:eastAsiaTheme="minorEastAsia"/>
          <w:iCs/>
        </w:rPr>
        <w:t xml:space="preserve">. </w:t>
      </w:r>
      <w:r w:rsidR="00CD685E" w:rsidRPr="00F32020">
        <w:rPr>
          <w:rFonts w:eastAsiaTheme="minorEastAsia"/>
          <w:iCs/>
        </w:rPr>
        <w:t xml:space="preserve">in the </w:t>
      </w:r>
      <w:r w:rsidR="004B76A5" w:rsidRPr="00F32020">
        <w:rPr>
          <w:rFonts w:eastAsiaTheme="minorEastAsia"/>
          <w:iCs/>
        </w:rPr>
        <w:t xml:space="preserve">online </w:t>
      </w:r>
      <w:r w:rsidR="00EB6FA6" w:rsidRPr="00F32020">
        <w:rPr>
          <w:rFonts w:eastAsiaTheme="minorEastAsia"/>
          <w:iCs/>
        </w:rPr>
        <w:t>a</w:t>
      </w:r>
      <w:r w:rsidR="00CD685E" w:rsidRPr="00F32020">
        <w:rPr>
          <w:rFonts w:eastAsiaTheme="minorEastAsia"/>
          <w:iCs/>
        </w:rPr>
        <w:t>ppendix.</w:t>
      </w:r>
    </w:p>
    <w:p w14:paraId="2E721E15" w14:textId="77777777" w:rsidR="00DB7AED" w:rsidRPr="00F32020" w:rsidRDefault="00DB7AED" w:rsidP="005546EC">
      <w:pPr>
        <w:spacing w:line="480" w:lineRule="auto"/>
        <w:ind w:firstLine="720"/>
        <w:jc w:val="both"/>
        <w:rPr>
          <w:rFonts w:eastAsiaTheme="minorEastAsia"/>
          <w:iCs/>
        </w:rPr>
      </w:pPr>
    </w:p>
    <w:p w14:paraId="7EF08056" w14:textId="0EDB320A" w:rsidR="00706BDA" w:rsidRPr="00F32020" w:rsidRDefault="0084078F" w:rsidP="005546EC">
      <w:pPr>
        <w:spacing w:line="480" w:lineRule="auto"/>
        <w:ind w:firstLine="720"/>
        <w:jc w:val="center"/>
        <w:rPr>
          <w:rFonts w:eastAsiaTheme="minorEastAsia"/>
          <w:iCs/>
        </w:rPr>
      </w:pPr>
      <w:r w:rsidRPr="00F32020">
        <w:rPr>
          <w:rFonts w:eastAsiaTheme="minorEastAsia"/>
          <w:iCs/>
        </w:rPr>
        <w:t xml:space="preserve"> </w:t>
      </w:r>
      <w:r w:rsidR="00672BAD" w:rsidRPr="00F32020">
        <w:rPr>
          <w:rFonts w:eastAsiaTheme="minorEastAsia"/>
          <w:iCs/>
        </w:rPr>
        <w:t>[INSERT TABLE 1 ABOUT HERE]</w:t>
      </w:r>
    </w:p>
    <w:p w14:paraId="047D7EE3" w14:textId="77777777" w:rsidR="00706BDA" w:rsidRPr="00F32020" w:rsidRDefault="00706BDA" w:rsidP="005546EC">
      <w:pPr>
        <w:spacing w:line="480" w:lineRule="auto"/>
        <w:jc w:val="both"/>
        <w:rPr>
          <w:b/>
          <w:bCs/>
          <w:sz w:val="28"/>
          <w:szCs w:val="28"/>
        </w:rPr>
      </w:pPr>
    </w:p>
    <w:p w14:paraId="1DE11C0C" w14:textId="3213288C" w:rsidR="00F10F3B" w:rsidRPr="00F32020" w:rsidRDefault="00EA783F" w:rsidP="005546EC">
      <w:pPr>
        <w:spacing w:line="480" w:lineRule="auto"/>
        <w:jc w:val="both"/>
        <w:rPr>
          <w:b/>
          <w:bCs/>
          <w:i/>
          <w:iCs/>
        </w:rPr>
      </w:pPr>
      <w:r w:rsidRPr="00F32020">
        <w:rPr>
          <w:b/>
          <w:bCs/>
          <w:i/>
          <w:iCs/>
        </w:rPr>
        <w:t>3</w:t>
      </w:r>
      <w:r w:rsidR="0091032F" w:rsidRPr="00F32020">
        <w:rPr>
          <w:b/>
          <w:bCs/>
          <w:i/>
          <w:iCs/>
        </w:rPr>
        <w:t>.3</w:t>
      </w:r>
      <w:r w:rsidR="00354161" w:rsidRPr="00F32020">
        <w:rPr>
          <w:b/>
          <w:bCs/>
          <w:i/>
          <w:iCs/>
        </w:rPr>
        <w:t>.</w:t>
      </w:r>
      <w:r w:rsidR="0091032F" w:rsidRPr="00F32020">
        <w:rPr>
          <w:b/>
          <w:bCs/>
          <w:i/>
          <w:iCs/>
        </w:rPr>
        <w:t xml:space="preserve"> </w:t>
      </w:r>
      <w:r w:rsidR="000B3ED3" w:rsidRPr="00F32020">
        <w:rPr>
          <w:b/>
          <w:bCs/>
          <w:i/>
          <w:iCs/>
        </w:rPr>
        <w:t>Methodology</w:t>
      </w:r>
    </w:p>
    <w:p w14:paraId="57BFAC9B" w14:textId="0DD628A3" w:rsidR="000B3ED3" w:rsidRPr="00F32020" w:rsidRDefault="00366A55" w:rsidP="005546EC">
      <w:pPr>
        <w:spacing w:line="480" w:lineRule="auto"/>
        <w:jc w:val="both"/>
      </w:pPr>
      <w:r w:rsidRPr="00F32020">
        <w:rPr>
          <w:noProof/>
        </w:rPr>
        <mc:AlternateContent>
          <mc:Choice Requires="wpg">
            <w:drawing>
              <wp:anchor distT="0" distB="0" distL="114300" distR="114300" simplePos="0" relativeHeight="251661312" behindDoc="0" locked="0" layoutInCell="1" allowOverlap="1" wp14:anchorId="012E4443" wp14:editId="2D29C97D">
                <wp:simplePos x="0" y="0"/>
                <wp:positionH relativeFrom="column">
                  <wp:posOffset>-350520</wp:posOffset>
                </wp:positionH>
                <wp:positionV relativeFrom="paragraph">
                  <wp:posOffset>688340</wp:posOffset>
                </wp:positionV>
                <wp:extent cx="6483350" cy="1264920"/>
                <wp:effectExtent l="0" t="0" r="0" b="0"/>
                <wp:wrapNone/>
                <wp:docPr id="3" name="Group 3"/>
                <wp:cNvGraphicFramePr/>
                <a:graphic xmlns:a="http://schemas.openxmlformats.org/drawingml/2006/main">
                  <a:graphicData uri="http://schemas.microsoft.com/office/word/2010/wordprocessingGroup">
                    <wpg:wgp>
                      <wpg:cNvGrpSpPr/>
                      <wpg:grpSpPr>
                        <a:xfrm>
                          <a:off x="0" y="0"/>
                          <a:ext cx="6483350" cy="1264920"/>
                          <a:chOff x="-405444" y="-210513"/>
                          <a:chExt cx="6296775" cy="1996867"/>
                        </a:xfrm>
                      </wpg:grpSpPr>
                      <wps:wsp>
                        <wps:cNvPr id="1" name="Text Box 1"/>
                        <wps:cNvSpPr txBox="1"/>
                        <wps:spPr>
                          <a:xfrm>
                            <a:off x="-405444" y="-210513"/>
                            <a:ext cx="6296775" cy="1996867"/>
                          </a:xfrm>
                          <a:prstGeom prst="rect">
                            <a:avLst/>
                          </a:prstGeom>
                          <a:solidFill>
                            <a:schemeClr val="lt1"/>
                          </a:solidFill>
                          <a:ln w="6350">
                            <a:noFill/>
                          </a:ln>
                        </wps:spPr>
                        <wps:txbx>
                          <w:txbxContent>
                            <w:p w14:paraId="4CA562FA" w14:textId="5164D1CA" w:rsidR="00DB498E" w:rsidRPr="00113C81" w:rsidRDefault="00000000" w:rsidP="00B656D1">
                              <w:pPr>
                                <w:spacing w:line="360" w:lineRule="auto"/>
                                <w:jc w:val="both"/>
                                <w:rPr>
                                  <w:rFonts w:eastAsiaTheme="minorEastAsia"/>
                                  <w:b/>
                                  <w:bCs/>
                                  <w:i/>
                                </w:rPr>
                              </w:pPr>
                              <m:oMathPara>
                                <m:oMath>
                                  <m:func>
                                    <m:funcPr>
                                      <m:ctrlPr>
                                        <w:rPr>
                                          <w:rFonts w:ascii="Cambria Math" w:hAnsi="Cambria Math"/>
                                          <w:i/>
                                        </w:rPr>
                                      </m:ctrlPr>
                                    </m:funcPr>
                                    <m:fName>
                                      <m:r>
                                        <m:rPr>
                                          <m:sty m:val="p"/>
                                        </m:rPr>
                                        <w:rPr>
                                          <w:rFonts w:ascii="Cambria Math" w:hAnsi="Cambria Math"/>
                                        </w:rPr>
                                        <m:t>Pr</m:t>
                                      </m:r>
                                    </m:fName>
                                    <m:e>
                                      <m:d>
                                        <m:dPr>
                                          <m:endChr m:val="|"/>
                                          <m:ctrlPr>
                                            <w:rPr>
                                              <w:rFonts w:ascii="Cambria Math" w:hAnsi="Cambria Math"/>
                                              <w:i/>
                                            </w:rPr>
                                          </m:ctrlPr>
                                        </m:dPr>
                                        <m:e>
                                          <m:sSub>
                                            <m:sSubPr>
                                              <m:ctrlPr>
                                                <w:rPr>
                                                  <w:rFonts w:ascii="Cambria Math" w:eastAsiaTheme="minorHAnsi" w:hAnsi="Cambria Math"/>
                                                  <w:i/>
                                                  <w:lang w:eastAsia="en-US"/>
                                                </w:rPr>
                                              </m:ctrlPr>
                                            </m:sSubPr>
                                            <m:e>
                                              <m:r>
                                                <w:rPr>
                                                  <w:rFonts w:ascii="Cambria Math" w:hAnsi="Cambria Math"/>
                                                </w:rPr>
                                                <m:t>Select</m:t>
                                              </m:r>
                                            </m:e>
                                            <m:sub>
                                              <m:r>
                                                <w:rPr>
                                                  <w:rFonts w:ascii="Cambria Math" w:hAnsi="Cambria Math"/>
                                                </w:rPr>
                                                <m:t>fct</m:t>
                                              </m:r>
                                            </m:sub>
                                          </m:sSub>
                                          <m:r>
                                            <w:rPr>
                                              <w:rFonts w:ascii="Cambria Math" w:hAnsi="Cambria Math"/>
                                            </w:rPr>
                                            <m:t xml:space="preserve">=1 </m:t>
                                          </m:r>
                                        </m:e>
                                      </m:d>
                                    </m:e>
                                  </m:func>
                                  <m:sSub>
                                    <m:sSubPr>
                                      <m:ctrlPr>
                                        <w:rPr>
                                          <w:rFonts w:ascii="Cambria Math" w:eastAsiaTheme="minorHAnsi" w:hAnsi="Cambria Math"/>
                                          <w:i/>
                                          <w:lang w:eastAsia="en-US"/>
                                        </w:rPr>
                                      </m:ctrlPr>
                                    </m:sSubPr>
                                    <m:e>
                                      <m:r>
                                        <w:rPr>
                                          <w:rFonts w:ascii="Cambria Math" w:hAnsi="Cambria Math"/>
                                        </w:rPr>
                                        <m:t>Diversity</m:t>
                                      </m:r>
                                    </m:e>
                                    <m:sub>
                                      <m:r>
                                        <w:rPr>
                                          <w:rFonts w:ascii="Cambria Math" w:hAnsi="Cambria Math"/>
                                        </w:rPr>
                                        <m:t>ft</m:t>
                                      </m:r>
                                    </m:sub>
                                  </m:sSub>
                                  <m:r>
                                    <w:rPr>
                                      <w:rFonts w:ascii="Cambria Math" w:hAnsi="Cambria Math"/>
                                    </w:rPr>
                                    <m:t>,</m:t>
                                  </m:r>
                                  <m:sSub>
                                    <m:sSubPr>
                                      <m:ctrlPr>
                                        <w:rPr>
                                          <w:rFonts w:ascii="Cambria Math" w:eastAsiaTheme="minorHAnsi" w:hAnsi="Cambria Math"/>
                                          <w:i/>
                                          <w:lang w:eastAsia="en-US"/>
                                        </w:rPr>
                                      </m:ctrlPr>
                                    </m:sSubPr>
                                    <m:e>
                                      <m:sSub>
                                        <m:sSubPr>
                                          <m:ctrlPr>
                                            <w:rPr>
                                              <w:rFonts w:ascii="Cambria Math" w:eastAsiaTheme="minorHAnsi" w:hAnsi="Cambria Math"/>
                                              <w:i/>
                                              <w:lang w:eastAsia="en-US"/>
                                            </w:rPr>
                                          </m:ctrlPr>
                                        </m:sSubPr>
                                        <m:e>
                                          <m:r>
                                            <w:rPr>
                                              <w:rFonts w:ascii="Cambria Math" w:hAnsi="Cambria Math"/>
                                            </w:rPr>
                                            <m:t>Team</m:t>
                                          </m:r>
                                        </m:e>
                                        <m:sub>
                                          <m:r>
                                            <w:rPr>
                                              <w:rFonts w:ascii="Cambria Math" w:hAnsi="Cambria Math"/>
                                            </w:rPr>
                                            <m:t>ft</m:t>
                                          </m:r>
                                        </m:sub>
                                      </m:sSub>
                                      <m:r>
                                        <w:rPr>
                                          <w:rFonts w:ascii="Cambria Math" w:hAnsi="Cambria Math"/>
                                        </w:rPr>
                                        <m:t>, Venture</m:t>
                                      </m:r>
                                    </m:e>
                                    <m:sub>
                                      <m:r>
                                        <w:rPr>
                                          <w:rFonts w:ascii="Cambria Math" w:hAnsi="Cambria Math"/>
                                        </w:rPr>
                                        <m:t>ft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Country</m:t>
                                      </m:r>
                                    </m:e>
                                    <m:sub>
                                      <m:r>
                                        <w:rPr>
                                          <w:rFonts w:ascii="Cambria Math" w:hAnsi="Cambria Math"/>
                                        </w:rPr>
                                        <m:t>ct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Year</m:t>
                                      </m:r>
                                    </m:e>
                                    <m:sub>
                                      <m:r>
                                        <w:rPr>
                                          <w:rFonts w:ascii="Cambria Math" w:hAnsi="Cambria Math"/>
                                        </w:rPr>
                                        <m:t>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Sector</m:t>
                                      </m:r>
                                    </m:e>
                                    <m:sub>
                                      <m:r>
                                        <w:rPr>
                                          <w:rFonts w:ascii="Cambria Math" w:hAnsi="Cambria Math"/>
                                        </w:rPr>
                                        <m:t>f</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Region</m:t>
                                      </m:r>
                                    </m:e>
                                    <m:sub>
                                      <m:r>
                                        <w:rPr>
                                          <w:rFonts w:ascii="Cambria Math" w:hAnsi="Cambria Math"/>
                                        </w:rPr>
                                        <m:t>c</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Programme</m:t>
                                      </m:r>
                                    </m:e>
                                    <m:sub>
                                      <m:r>
                                        <w:rPr>
                                          <w:rFonts w:ascii="Cambria Math" w:hAnsi="Cambria Math"/>
                                        </w:rPr>
                                        <m:t>f</m:t>
                                      </m:r>
                                    </m:sub>
                                  </m:sSub>
                                  <m:r>
                                    <w:rPr>
                                      <w:rFonts w:ascii="Cambria Math" w:hAnsi="Cambria Math"/>
                                    </w:rPr>
                                    <m:t>;β)=F</m:t>
                                  </m:r>
                                  <m:d>
                                    <m:dPr>
                                      <m:ctrlPr>
                                        <w:rPr>
                                          <w:rFonts w:ascii="Cambria Math" w:hAnsi="Cambria Math"/>
                                          <w:i/>
                                        </w:rPr>
                                      </m:ctrlPr>
                                    </m:dPr>
                                    <m:e>
                                      <m:sSub>
                                        <m:sSubPr>
                                          <m:ctrlPr>
                                            <w:rPr>
                                              <w:rFonts w:ascii="Cambria Math" w:eastAsiaTheme="minorHAnsi" w:hAnsi="Cambria Math"/>
                                              <w:i/>
                                              <w:lang w:eastAsia="en-US"/>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β</m:t>
                                          </m:r>
                                        </m:e>
                                        <m:sub>
                                          <m:r>
                                            <w:rPr>
                                              <w:rFonts w:ascii="Cambria Math" w:hAnsi="Cambria Math"/>
                                            </w:rPr>
                                            <m:t>1</m:t>
                                          </m:r>
                                        </m:sub>
                                      </m:sSub>
                                      <m:sSub>
                                        <m:sSubPr>
                                          <m:ctrlPr>
                                            <w:rPr>
                                              <w:rFonts w:ascii="Cambria Math" w:eastAsiaTheme="minorHAnsi" w:hAnsi="Cambria Math"/>
                                              <w:i/>
                                              <w:lang w:eastAsia="en-US"/>
                                            </w:rPr>
                                          </m:ctrlPr>
                                        </m:sSubPr>
                                        <m:e>
                                          <m:r>
                                            <w:rPr>
                                              <w:rFonts w:ascii="Cambria Math" w:hAnsi="Cambria Math"/>
                                            </w:rPr>
                                            <m:t>Diversity</m:t>
                                          </m:r>
                                        </m:e>
                                        <m:sub>
                                          <m:r>
                                            <w:rPr>
                                              <w:rFonts w:ascii="Cambria Math" w:hAnsi="Cambria Math"/>
                                            </w:rPr>
                                            <m:t>ft</m:t>
                                          </m:r>
                                        </m:sub>
                                      </m:sSub>
                                      <m:r>
                                        <w:rPr>
                                          <w:rFonts w:ascii="Cambria Math" w:hAnsi="Cambria Math"/>
                                        </w:rPr>
                                        <m:t>+</m:t>
                                      </m:r>
                                      <m:sSubSup>
                                        <m:sSubSupPr>
                                          <m:ctrlPr>
                                            <w:rPr>
                                              <w:rFonts w:ascii="Cambria Math" w:eastAsiaTheme="minorHAnsi" w:hAnsi="Cambria Math"/>
                                              <w:i/>
                                              <w:lang w:eastAsia="en-US"/>
                                            </w:rPr>
                                          </m:ctrlPr>
                                        </m:sSubSupPr>
                                        <m:e>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2</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Team</m:t>
                                              </m:r>
                                            </m:e>
                                            <m:sub>
                                              <m:r>
                                                <w:rPr>
                                                  <w:rFonts w:ascii="Cambria Math" w:hAnsi="Cambria Math"/>
                                                </w:rPr>
                                                <m:t>ft</m:t>
                                              </m:r>
                                            </m:sub>
                                          </m:sSub>
                                          <m:r>
                                            <w:rPr>
                                              <w:rFonts w:ascii="Cambria Math" w:hAnsi="Cambria Math"/>
                                            </w:rPr>
                                            <m:t>+β</m:t>
                                          </m:r>
                                        </m:e>
                                        <m:sub>
                                          <m:r>
                                            <w:rPr>
                                              <w:rFonts w:ascii="Cambria Math" w:hAnsi="Cambria Math"/>
                                            </w:rPr>
                                            <m:t>3</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Venture</m:t>
                                          </m:r>
                                        </m:e>
                                        <m:sub>
                                          <m:r>
                                            <w:rPr>
                                              <w:rFonts w:ascii="Cambria Math" w:hAnsi="Cambria Math"/>
                                            </w:rPr>
                                            <m:t>ft</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4</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Country</m:t>
                                          </m:r>
                                        </m:e>
                                        <m:sub>
                                          <m:r>
                                            <w:rPr>
                                              <w:rFonts w:ascii="Cambria Math" w:hAnsi="Cambria Math"/>
                                            </w:rPr>
                                            <m:t>ct</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5</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Year</m:t>
                                          </m:r>
                                        </m:e>
                                        <m:sub>
                                          <m:r>
                                            <w:rPr>
                                              <w:rFonts w:ascii="Cambria Math" w:hAnsi="Cambria Math"/>
                                            </w:rPr>
                                            <m:t>t</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6</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Sector</m:t>
                                          </m:r>
                                        </m:e>
                                        <m:sub>
                                          <m:r>
                                            <w:rPr>
                                              <w:rFonts w:ascii="Cambria Math" w:hAnsi="Cambria Math"/>
                                            </w:rPr>
                                            <m:t>f</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7</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Region</m:t>
                                          </m:r>
                                        </m:e>
                                        <m:sub>
                                          <m:r>
                                            <w:rPr>
                                              <w:rFonts w:ascii="Cambria Math" w:hAnsi="Cambria Math"/>
                                            </w:rPr>
                                            <m:t>c</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8</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Programme</m:t>
                                          </m:r>
                                        </m:e>
                                        <m:sub>
                                          <m:r>
                                            <w:rPr>
                                              <w:rFonts w:ascii="Cambria Math" w:hAnsi="Cambria Math"/>
                                            </w:rPr>
                                            <m:t>f</m:t>
                                          </m:r>
                                        </m:sub>
                                      </m:sSub>
                                    </m:e>
                                  </m:d>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5282248" y="1126615"/>
                            <a:ext cx="609082" cy="557490"/>
                          </a:xfrm>
                          <a:prstGeom prst="rect">
                            <a:avLst/>
                          </a:prstGeom>
                          <a:solidFill>
                            <a:schemeClr val="lt1"/>
                          </a:solidFill>
                          <a:ln w="6350">
                            <a:noFill/>
                          </a:ln>
                        </wps:spPr>
                        <wps:txbx>
                          <w:txbxContent>
                            <w:p w14:paraId="1C8FB4AD" w14:textId="7554EB75" w:rsidR="00DB498E" w:rsidRPr="00113C81" w:rsidRDefault="00DB498E" w:rsidP="00B656D1">
                              <w:pPr>
                                <w:spacing w:line="360" w:lineRule="auto"/>
                                <w:jc w:val="both"/>
                                <w:rPr>
                                  <w:rFonts w:eastAsiaTheme="minorEastAsia"/>
                                  <w:iCs/>
                                </w:rPr>
                              </w:pPr>
                              <w:r w:rsidRPr="00113C81">
                                <w:rPr>
                                  <w:rFonts w:eastAsiaTheme="minorEastAsia"/>
                                  <w:iCs/>
                                </w:rPr>
                                <w:t>(3.3.1)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2E4443" id="Group 3" o:spid="_x0000_s1026" style="position:absolute;left:0;text-align:left;margin-left:-27.6pt;margin-top:54.2pt;width:510.5pt;height:99.6pt;z-index:251661312;mso-width-relative:margin;mso-height-relative:margin" coordorigin="-4054,-2105" coordsize="62967,1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">
                <v:shapetype id="_x0000_t202" coordsize="21600,21600" o:spt="202" path="m,l,21600r21600,l21600,xe">
                  <v:stroke joinstyle="miter"/>
                  <v:path gradientshapeok="t" o:connecttype="rect"/>
                </v:shapetype>
                <v:shape id="Text Box 1" o:spid="_x0000_s1027" type="#_x0000_t202" style="position:absolute;left:-4054;top:-2105;width:62967;height:19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4CA562FA" w14:textId="5164D1CA" w:rsidR="00DB498E" w:rsidRPr="00113C81" w:rsidRDefault="00000000" w:rsidP="00B656D1">
                        <w:pPr>
                          <w:spacing w:line="360" w:lineRule="auto"/>
                          <w:jc w:val="both"/>
                          <w:rPr>
                            <w:rFonts w:eastAsiaTheme="minorEastAsia"/>
                            <w:b/>
                            <w:bCs/>
                            <w:i/>
                          </w:rPr>
                        </w:pPr>
                        <m:oMathPara>
                          <m:oMath>
                            <m:func>
                              <m:funcPr>
                                <m:ctrlPr>
                                  <w:rPr>
                                    <w:rFonts w:ascii="Cambria Math" w:hAnsi="Cambria Math"/>
                                    <w:i/>
                                  </w:rPr>
                                </m:ctrlPr>
                              </m:funcPr>
                              <m:fName>
                                <m:r>
                                  <m:rPr>
                                    <m:sty m:val="p"/>
                                  </m:rPr>
                                  <w:rPr>
                                    <w:rFonts w:ascii="Cambria Math" w:hAnsi="Cambria Math"/>
                                  </w:rPr>
                                  <m:t>Pr</m:t>
                                </m:r>
                              </m:fName>
                              <m:e>
                                <m:d>
                                  <m:dPr>
                                    <m:endChr m:val="|"/>
                                    <m:ctrlPr>
                                      <w:rPr>
                                        <w:rFonts w:ascii="Cambria Math" w:hAnsi="Cambria Math"/>
                                        <w:i/>
                                      </w:rPr>
                                    </m:ctrlPr>
                                  </m:dPr>
                                  <m:e>
                                    <m:sSub>
                                      <m:sSubPr>
                                        <m:ctrlPr>
                                          <w:rPr>
                                            <w:rFonts w:ascii="Cambria Math" w:eastAsiaTheme="minorHAnsi" w:hAnsi="Cambria Math"/>
                                            <w:i/>
                                            <w:lang w:eastAsia="en-US"/>
                                          </w:rPr>
                                        </m:ctrlPr>
                                      </m:sSubPr>
                                      <m:e>
                                        <m:r>
                                          <w:rPr>
                                            <w:rFonts w:ascii="Cambria Math" w:hAnsi="Cambria Math"/>
                                          </w:rPr>
                                          <m:t>Select</m:t>
                                        </m:r>
                                      </m:e>
                                      <m:sub>
                                        <m:r>
                                          <w:rPr>
                                            <w:rFonts w:ascii="Cambria Math" w:hAnsi="Cambria Math"/>
                                          </w:rPr>
                                          <m:t>fct</m:t>
                                        </m:r>
                                      </m:sub>
                                    </m:sSub>
                                    <m:r>
                                      <w:rPr>
                                        <w:rFonts w:ascii="Cambria Math" w:hAnsi="Cambria Math"/>
                                      </w:rPr>
                                      <m:t xml:space="preserve">=1 </m:t>
                                    </m:r>
                                  </m:e>
                                </m:d>
                              </m:e>
                            </m:func>
                            <m:sSub>
                              <m:sSubPr>
                                <m:ctrlPr>
                                  <w:rPr>
                                    <w:rFonts w:ascii="Cambria Math" w:eastAsiaTheme="minorHAnsi" w:hAnsi="Cambria Math"/>
                                    <w:i/>
                                    <w:lang w:eastAsia="en-US"/>
                                  </w:rPr>
                                </m:ctrlPr>
                              </m:sSubPr>
                              <m:e>
                                <m:r>
                                  <w:rPr>
                                    <w:rFonts w:ascii="Cambria Math" w:hAnsi="Cambria Math"/>
                                  </w:rPr>
                                  <m:t>Diversity</m:t>
                                </m:r>
                              </m:e>
                              <m:sub>
                                <m:r>
                                  <w:rPr>
                                    <w:rFonts w:ascii="Cambria Math" w:hAnsi="Cambria Math"/>
                                  </w:rPr>
                                  <m:t>ft</m:t>
                                </m:r>
                              </m:sub>
                            </m:sSub>
                            <m:r>
                              <w:rPr>
                                <w:rFonts w:ascii="Cambria Math" w:hAnsi="Cambria Math"/>
                              </w:rPr>
                              <m:t>,</m:t>
                            </m:r>
                            <m:sSub>
                              <m:sSubPr>
                                <m:ctrlPr>
                                  <w:rPr>
                                    <w:rFonts w:ascii="Cambria Math" w:eastAsiaTheme="minorHAnsi" w:hAnsi="Cambria Math"/>
                                    <w:i/>
                                    <w:lang w:eastAsia="en-US"/>
                                  </w:rPr>
                                </m:ctrlPr>
                              </m:sSubPr>
                              <m:e>
                                <m:sSub>
                                  <m:sSubPr>
                                    <m:ctrlPr>
                                      <w:rPr>
                                        <w:rFonts w:ascii="Cambria Math" w:eastAsiaTheme="minorHAnsi" w:hAnsi="Cambria Math"/>
                                        <w:i/>
                                        <w:lang w:eastAsia="en-US"/>
                                      </w:rPr>
                                    </m:ctrlPr>
                                  </m:sSubPr>
                                  <m:e>
                                    <m:r>
                                      <w:rPr>
                                        <w:rFonts w:ascii="Cambria Math" w:hAnsi="Cambria Math"/>
                                      </w:rPr>
                                      <m:t>Team</m:t>
                                    </m:r>
                                  </m:e>
                                  <m:sub>
                                    <m:r>
                                      <w:rPr>
                                        <w:rFonts w:ascii="Cambria Math" w:hAnsi="Cambria Math"/>
                                      </w:rPr>
                                      <m:t>ft</m:t>
                                    </m:r>
                                  </m:sub>
                                </m:sSub>
                                <m:r>
                                  <w:rPr>
                                    <w:rFonts w:ascii="Cambria Math" w:hAnsi="Cambria Math"/>
                                  </w:rPr>
                                  <m:t>, Venture</m:t>
                                </m:r>
                              </m:e>
                              <m:sub>
                                <m:r>
                                  <w:rPr>
                                    <w:rFonts w:ascii="Cambria Math" w:hAnsi="Cambria Math"/>
                                  </w:rPr>
                                  <m:t>ft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Country</m:t>
                                </m:r>
                              </m:e>
                              <m:sub>
                                <m:r>
                                  <w:rPr>
                                    <w:rFonts w:ascii="Cambria Math" w:hAnsi="Cambria Math"/>
                                  </w:rPr>
                                  <m:t>ct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Year</m:t>
                                </m:r>
                              </m:e>
                              <m:sub>
                                <m:r>
                                  <w:rPr>
                                    <w:rFonts w:ascii="Cambria Math" w:hAnsi="Cambria Math"/>
                                  </w:rPr>
                                  <m:t>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Sector</m:t>
                                </m:r>
                              </m:e>
                              <m:sub>
                                <m:r>
                                  <w:rPr>
                                    <w:rFonts w:ascii="Cambria Math" w:hAnsi="Cambria Math"/>
                                  </w:rPr>
                                  <m:t>f</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Region</m:t>
                                </m:r>
                              </m:e>
                              <m:sub>
                                <m:r>
                                  <w:rPr>
                                    <w:rFonts w:ascii="Cambria Math" w:hAnsi="Cambria Math"/>
                                  </w:rPr>
                                  <m:t>c</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Programme</m:t>
                                </m:r>
                              </m:e>
                              <m:sub>
                                <m:r>
                                  <w:rPr>
                                    <w:rFonts w:ascii="Cambria Math" w:hAnsi="Cambria Math"/>
                                  </w:rPr>
                                  <m:t>f</m:t>
                                </m:r>
                              </m:sub>
                            </m:sSub>
                            <m:r>
                              <w:rPr>
                                <w:rFonts w:ascii="Cambria Math" w:hAnsi="Cambria Math"/>
                              </w:rPr>
                              <m:t>;β)=F</m:t>
                            </m:r>
                            <m:d>
                              <m:dPr>
                                <m:ctrlPr>
                                  <w:rPr>
                                    <w:rFonts w:ascii="Cambria Math" w:hAnsi="Cambria Math"/>
                                    <w:i/>
                                  </w:rPr>
                                </m:ctrlPr>
                              </m:dPr>
                              <m:e>
                                <m:sSub>
                                  <m:sSubPr>
                                    <m:ctrlPr>
                                      <w:rPr>
                                        <w:rFonts w:ascii="Cambria Math" w:eastAsiaTheme="minorHAnsi" w:hAnsi="Cambria Math"/>
                                        <w:i/>
                                        <w:lang w:eastAsia="en-US"/>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β</m:t>
                                    </m:r>
                                  </m:e>
                                  <m:sub>
                                    <m:r>
                                      <w:rPr>
                                        <w:rFonts w:ascii="Cambria Math" w:hAnsi="Cambria Math"/>
                                      </w:rPr>
                                      <m:t>1</m:t>
                                    </m:r>
                                  </m:sub>
                                </m:sSub>
                                <m:sSub>
                                  <m:sSubPr>
                                    <m:ctrlPr>
                                      <w:rPr>
                                        <w:rFonts w:ascii="Cambria Math" w:eastAsiaTheme="minorHAnsi" w:hAnsi="Cambria Math"/>
                                        <w:i/>
                                        <w:lang w:eastAsia="en-US"/>
                                      </w:rPr>
                                    </m:ctrlPr>
                                  </m:sSubPr>
                                  <m:e>
                                    <m:r>
                                      <w:rPr>
                                        <w:rFonts w:ascii="Cambria Math" w:hAnsi="Cambria Math"/>
                                      </w:rPr>
                                      <m:t>Diversity</m:t>
                                    </m:r>
                                  </m:e>
                                  <m:sub>
                                    <m:r>
                                      <w:rPr>
                                        <w:rFonts w:ascii="Cambria Math" w:hAnsi="Cambria Math"/>
                                      </w:rPr>
                                      <m:t>ft</m:t>
                                    </m:r>
                                  </m:sub>
                                </m:sSub>
                                <m:r>
                                  <w:rPr>
                                    <w:rFonts w:ascii="Cambria Math" w:hAnsi="Cambria Math"/>
                                  </w:rPr>
                                  <m:t>+</m:t>
                                </m:r>
                                <m:sSubSup>
                                  <m:sSubSupPr>
                                    <m:ctrlPr>
                                      <w:rPr>
                                        <w:rFonts w:ascii="Cambria Math" w:eastAsiaTheme="minorHAnsi" w:hAnsi="Cambria Math"/>
                                        <w:i/>
                                        <w:lang w:eastAsia="en-US"/>
                                      </w:rPr>
                                    </m:ctrlPr>
                                  </m:sSubSupPr>
                                  <m:e>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2</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Team</m:t>
                                        </m:r>
                                      </m:e>
                                      <m:sub>
                                        <m:r>
                                          <w:rPr>
                                            <w:rFonts w:ascii="Cambria Math" w:hAnsi="Cambria Math"/>
                                          </w:rPr>
                                          <m:t>ft</m:t>
                                        </m:r>
                                      </m:sub>
                                    </m:sSub>
                                    <m:r>
                                      <w:rPr>
                                        <w:rFonts w:ascii="Cambria Math" w:hAnsi="Cambria Math"/>
                                      </w:rPr>
                                      <m:t>+β</m:t>
                                    </m:r>
                                  </m:e>
                                  <m:sub>
                                    <m:r>
                                      <w:rPr>
                                        <w:rFonts w:ascii="Cambria Math" w:hAnsi="Cambria Math"/>
                                      </w:rPr>
                                      <m:t>3</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Venture</m:t>
                                    </m:r>
                                  </m:e>
                                  <m:sub>
                                    <m:r>
                                      <w:rPr>
                                        <w:rFonts w:ascii="Cambria Math" w:hAnsi="Cambria Math"/>
                                      </w:rPr>
                                      <m:t>ft</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4</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Country</m:t>
                                    </m:r>
                                  </m:e>
                                  <m:sub>
                                    <m:r>
                                      <w:rPr>
                                        <w:rFonts w:ascii="Cambria Math" w:hAnsi="Cambria Math"/>
                                      </w:rPr>
                                      <m:t>ct</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5</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Year</m:t>
                                    </m:r>
                                  </m:e>
                                  <m:sub>
                                    <m:r>
                                      <w:rPr>
                                        <w:rFonts w:ascii="Cambria Math" w:hAnsi="Cambria Math"/>
                                      </w:rPr>
                                      <m:t>t</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6</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Sector</m:t>
                                    </m:r>
                                  </m:e>
                                  <m:sub>
                                    <m:r>
                                      <w:rPr>
                                        <w:rFonts w:ascii="Cambria Math" w:hAnsi="Cambria Math"/>
                                      </w:rPr>
                                      <m:t>f</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7</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Region</m:t>
                                    </m:r>
                                  </m:e>
                                  <m:sub>
                                    <m:r>
                                      <w:rPr>
                                        <w:rFonts w:ascii="Cambria Math" w:hAnsi="Cambria Math"/>
                                      </w:rPr>
                                      <m:t>c</m:t>
                                    </m:r>
                                  </m:sub>
                                </m:sSub>
                                <m:r>
                                  <w:rPr>
                                    <w:rFonts w:ascii="Cambria Math" w:hAnsi="Cambria Math"/>
                                  </w:rPr>
                                  <m:t>+</m:t>
                                </m:r>
                                <m:sSubSup>
                                  <m:sSubSupPr>
                                    <m:ctrlPr>
                                      <w:rPr>
                                        <w:rFonts w:ascii="Cambria Math" w:eastAsiaTheme="minorHAnsi" w:hAnsi="Cambria Math"/>
                                        <w:i/>
                                        <w:lang w:eastAsia="en-US"/>
                                      </w:rPr>
                                    </m:ctrlPr>
                                  </m:sSubSupPr>
                                  <m:e>
                                    <m:r>
                                      <w:rPr>
                                        <w:rFonts w:ascii="Cambria Math" w:hAnsi="Cambria Math"/>
                                      </w:rPr>
                                      <m:t>β</m:t>
                                    </m:r>
                                  </m:e>
                                  <m:sub>
                                    <m:r>
                                      <w:rPr>
                                        <w:rFonts w:ascii="Cambria Math" w:hAnsi="Cambria Math"/>
                                      </w:rPr>
                                      <m:t>8</m:t>
                                    </m:r>
                                  </m:sub>
                                  <m:sup>
                                    <m:r>
                                      <w:rPr>
                                        <w:rFonts w:ascii="Cambria Math" w:hAnsi="Cambria Math"/>
                                      </w:rPr>
                                      <m:t>'</m:t>
                                    </m:r>
                                  </m:sup>
                                </m:sSubSup>
                                <m:sSub>
                                  <m:sSubPr>
                                    <m:ctrlPr>
                                      <w:rPr>
                                        <w:rFonts w:ascii="Cambria Math" w:eastAsiaTheme="minorHAnsi" w:hAnsi="Cambria Math"/>
                                        <w:i/>
                                        <w:lang w:eastAsia="en-US"/>
                                      </w:rPr>
                                    </m:ctrlPr>
                                  </m:sSubPr>
                                  <m:e>
                                    <m:r>
                                      <w:rPr>
                                        <w:rFonts w:ascii="Cambria Math" w:hAnsi="Cambria Math"/>
                                      </w:rPr>
                                      <m:t>Programme</m:t>
                                    </m:r>
                                  </m:e>
                                  <m:sub>
                                    <m:r>
                                      <w:rPr>
                                        <w:rFonts w:ascii="Cambria Math" w:hAnsi="Cambria Math"/>
                                      </w:rPr>
                                      <m:t>f</m:t>
                                    </m:r>
                                  </m:sub>
                                </m:sSub>
                              </m:e>
                            </m:d>
                            <m:r>
                              <w:rPr>
                                <w:rFonts w:ascii="Cambria Math" w:hAnsi="Cambria Math"/>
                              </w:rPr>
                              <m:t>.</m:t>
                            </m:r>
                          </m:oMath>
                        </m:oMathPara>
                      </w:p>
                    </w:txbxContent>
                  </v:textbox>
                </v:shape>
                <v:shape id="Text Box 2" o:spid="_x0000_s1028" type="#_x0000_t202" style="position:absolute;left:52822;top:11266;width:6091;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C8FB4AD" w14:textId="7554EB75" w:rsidR="00DB498E" w:rsidRPr="00113C81" w:rsidRDefault="00DB498E" w:rsidP="00B656D1">
                        <w:pPr>
                          <w:spacing w:line="360" w:lineRule="auto"/>
                          <w:jc w:val="both"/>
                          <w:rPr>
                            <w:rFonts w:eastAsiaTheme="minorEastAsia"/>
                            <w:iCs/>
                          </w:rPr>
                        </w:pPr>
                        <w:r w:rsidRPr="00113C81">
                          <w:rPr>
                            <w:rFonts w:eastAsiaTheme="minorEastAsia"/>
                            <w:iCs/>
                          </w:rPr>
                          <w:t>(3.3.1)</w:t>
                        </w:r>
                      </w:p>
                    </w:txbxContent>
                  </v:textbox>
                </v:shape>
              </v:group>
            </w:pict>
          </mc:Fallback>
        </mc:AlternateContent>
      </w:r>
      <w:r w:rsidR="000B3ED3" w:rsidRPr="00F32020">
        <w:t>Given the binary nature of the dependent variable, a logistic regression of the following form is fitted:</w:t>
      </w:r>
    </w:p>
    <w:p w14:paraId="528C04AA" w14:textId="7F82FD2B" w:rsidR="000B3ED3" w:rsidRPr="00F32020" w:rsidRDefault="000B3ED3" w:rsidP="005546EC">
      <w:pPr>
        <w:spacing w:line="480" w:lineRule="auto"/>
        <w:jc w:val="both"/>
      </w:pPr>
    </w:p>
    <w:p w14:paraId="40811F7F" w14:textId="50EEAAAC" w:rsidR="00B656D1" w:rsidRPr="00F32020" w:rsidRDefault="00B656D1" w:rsidP="005546EC">
      <w:pPr>
        <w:spacing w:line="480" w:lineRule="auto"/>
        <w:jc w:val="both"/>
        <w:rPr>
          <w:rFonts w:eastAsiaTheme="minorEastAsia"/>
          <w:b/>
          <w:bCs/>
          <w:i/>
        </w:rPr>
      </w:pPr>
    </w:p>
    <w:p w14:paraId="58737F47" w14:textId="24059BB7" w:rsidR="00B656D1" w:rsidRPr="00F32020" w:rsidRDefault="00B656D1" w:rsidP="005546EC">
      <w:pPr>
        <w:spacing w:line="480" w:lineRule="auto"/>
        <w:jc w:val="both"/>
        <w:rPr>
          <w:rFonts w:eastAsiaTheme="minorEastAsia"/>
          <w:b/>
          <w:bCs/>
          <w:i/>
        </w:rPr>
      </w:pPr>
    </w:p>
    <w:p w14:paraId="6984A350" w14:textId="38555EC1" w:rsidR="00B656D1" w:rsidRPr="00F32020" w:rsidRDefault="00B656D1" w:rsidP="005546EC">
      <w:pPr>
        <w:spacing w:line="480" w:lineRule="auto"/>
        <w:jc w:val="both"/>
        <w:rPr>
          <w:rFonts w:eastAsiaTheme="minorEastAsia"/>
          <w:b/>
          <w:bCs/>
          <w:i/>
        </w:rPr>
      </w:pPr>
    </w:p>
    <w:p w14:paraId="14215BEF" w14:textId="77777777" w:rsidR="00EC57E6" w:rsidRPr="00AD7DB5" w:rsidRDefault="00EC57E6" w:rsidP="005546EC">
      <w:pPr>
        <w:spacing w:line="480" w:lineRule="auto"/>
        <w:jc w:val="both"/>
        <w:rPr>
          <w:rFonts w:eastAsiaTheme="minorEastAsia"/>
          <w:iCs/>
          <w:lang w:val="en-US"/>
        </w:rPr>
      </w:pPr>
    </w:p>
    <w:p w14:paraId="6044B9EE" w14:textId="10976BAE" w:rsidR="00086B08" w:rsidRPr="00F32020" w:rsidRDefault="0074254E" w:rsidP="005546EC">
      <w:pPr>
        <w:spacing w:line="480" w:lineRule="auto"/>
        <w:jc w:val="both"/>
        <w:rPr>
          <w:rFonts w:eastAsiaTheme="minorEastAsia"/>
          <w:iCs/>
        </w:rPr>
      </w:pPr>
      <w:r w:rsidRPr="00F32020">
        <w:rPr>
          <w:rFonts w:eastAsiaTheme="minorEastAsia"/>
          <w:iCs/>
        </w:rPr>
        <w:t>B</w:t>
      </w:r>
      <w:r w:rsidR="00086B08" w:rsidRPr="00F32020">
        <w:rPr>
          <w:rFonts w:eastAsiaTheme="minorEastAsia"/>
          <w:iCs/>
        </w:rPr>
        <w:t>eing a logistic regression,</w:t>
      </w:r>
      <w:r w:rsidR="00B656D1" w:rsidRPr="00F32020">
        <w:rPr>
          <w:i/>
        </w:rPr>
        <w:t xml:space="preserve"> </w:t>
      </w:r>
      <m:oMath>
        <m:r>
          <w:rPr>
            <w:rFonts w:ascii="Cambria Math" w:hAnsi="Cambria Math"/>
          </w:rPr>
          <m:t>F(∙)</m:t>
        </m:r>
      </m:oMath>
      <w:r w:rsidR="00B656D1" w:rsidRPr="00F32020">
        <w:rPr>
          <w:rFonts w:eastAsiaTheme="minorEastAsia"/>
          <w:iCs/>
        </w:rPr>
        <w:t xml:space="preserve"> </w:t>
      </w:r>
      <w:r w:rsidR="00AD44A0" w:rsidRPr="00F32020">
        <w:rPr>
          <w:rFonts w:eastAsiaTheme="minorEastAsia"/>
          <w:iCs/>
        </w:rPr>
        <w:t>denotes</w:t>
      </w:r>
      <w:r w:rsidR="00B656D1" w:rsidRPr="00F32020">
        <w:rPr>
          <w:rFonts w:eastAsiaTheme="minorEastAsia"/>
          <w:iCs/>
        </w:rPr>
        <w:t xml:space="preserve"> the </w:t>
      </w:r>
      <w:r w:rsidR="00086B08" w:rsidRPr="00F32020">
        <w:rPr>
          <w:rFonts w:eastAsiaTheme="minorEastAsia"/>
          <w:iCs/>
        </w:rPr>
        <w:t xml:space="preserve">logistic cumulative distribution function which maps the </w:t>
      </w:r>
      <w:r w:rsidRPr="00F32020">
        <w:rPr>
          <w:rFonts w:eastAsiaTheme="minorEastAsia"/>
          <w:iCs/>
        </w:rPr>
        <w:t xml:space="preserve">linear </w:t>
      </w:r>
      <w:r w:rsidR="00086B08" w:rsidRPr="00F32020">
        <w:rPr>
          <w:rFonts w:eastAsiaTheme="minorEastAsia"/>
          <w:iCs/>
        </w:rPr>
        <w:t>predictor to the probability of being selected with F(x)=exp(x)/{1+exp(x)}.</w:t>
      </w:r>
      <w:r w:rsidR="00B656D1" w:rsidRPr="00F32020">
        <w:rPr>
          <w:rFonts w:eastAsiaTheme="minorEastAsia"/>
          <w:iCs/>
        </w:rPr>
        <w:t xml:space="preserve"> </w:t>
      </w:r>
      <w:r w:rsidR="00086B08" w:rsidRPr="00F32020">
        <w:rPr>
          <w:rFonts w:eastAsiaTheme="minorEastAsia"/>
          <w:iCs/>
        </w:rPr>
        <w:t>As our data structure is hierarchical</w:t>
      </w:r>
      <w:r w:rsidR="00AD44A0" w:rsidRPr="00F32020">
        <w:rPr>
          <w:rFonts w:eastAsiaTheme="minorEastAsia"/>
          <w:iCs/>
        </w:rPr>
        <w:t xml:space="preserve"> in nature,</w:t>
      </w:r>
      <w:r w:rsidR="00086B08" w:rsidRPr="00F32020">
        <w:rPr>
          <w:rFonts w:eastAsiaTheme="minorEastAsia"/>
          <w:iCs/>
        </w:rPr>
        <w:t xml:space="preserve"> with the ventures (level 1) nested in the accelerator programmes (level 2), following Yang et al. (2020),</w:t>
      </w:r>
      <w:r w:rsidRPr="00F32020">
        <w:rPr>
          <w:rFonts w:eastAsiaTheme="minorEastAsia"/>
          <w:iCs/>
        </w:rPr>
        <w:t xml:space="preserve"> we adopt a </w:t>
      </w:r>
      <w:r w:rsidR="00086B08" w:rsidRPr="00F32020">
        <w:rPr>
          <w:rFonts w:eastAsiaTheme="minorEastAsia"/>
          <w:iCs/>
        </w:rPr>
        <w:t xml:space="preserve">multilevel </w:t>
      </w:r>
      <w:r w:rsidRPr="00F32020">
        <w:rPr>
          <w:rFonts w:eastAsiaTheme="minorEastAsia"/>
          <w:iCs/>
        </w:rPr>
        <w:t>model</w:t>
      </w:r>
      <w:r w:rsidR="00AD44A0" w:rsidRPr="00F32020">
        <w:rPr>
          <w:rFonts w:eastAsiaTheme="minorEastAsia"/>
          <w:iCs/>
        </w:rPr>
        <w:t>, one of its most important benefits to our sample structure being the usefulness of modelling intra-cluster correlation</w:t>
      </w:r>
      <w:r w:rsidRPr="00F32020">
        <w:rPr>
          <w:rFonts w:eastAsiaTheme="minorEastAsia"/>
          <w:iCs/>
        </w:rPr>
        <w:t>.</w:t>
      </w:r>
      <w:r w:rsidR="00AD44A0" w:rsidRPr="00F32020">
        <w:rPr>
          <w:rFonts w:eastAsiaTheme="minorEastAsia"/>
          <w:iCs/>
        </w:rPr>
        <w:t xml:space="preserve"> H</w:t>
      </w:r>
      <w:r w:rsidRPr="00F32020">
        <w:rPr>
          <w:rFonts w:eastAsiaTheme="minorEastAsia"/>
          <w:iCs/>
        </w:rPr>
        <w:t xml:space="preserve">ence, </w:t>
      </w:r>
      <w:r w:rsidR="00AD44A0" w:rsidRPr="00F32020">
        <w:rPr>
          <w:rFonts w:eastAsiaTheme="minorEastAsia"/>
          <w:iCs/>
        </w:rPr>
        <w:t xml:space="preserve">eq. </w:t>
      </w:r>
      <w:r w:rsidRPr="00F32020">
        <w:rPr>
          <w:rFonts w:eastAsiaTheme="minorEastAsia"/>
          <w:iCs/>
        </w:rPr>
        <w:t xml:space="preserve">(3.3.1) is estimated via means of a Generalised Linear Mixed Model (GLMM). </w:t>
      </w:r>
    </w:p>
    <w:p w14:paraId="6E30A527" w14:textId="5F70D5B8" w:rsidR="00D46D0E" w:rsidRPr="00F32020" w:rsidRDefault="00086B08" w:rsidP="005546EC">
      <w:pPr>
        <w:autoSpaceDE w:val="0"/>
        <w:autoSpaceDN w:val="0"/>
        <w:adjustRightInd w:val="0"/>
        <w:spacing w:line="480" w:lineRule="auto"/>
        <w:ind w:firstLine="720"/>
        <w:jc w:val="both"/>
        <w:rPr>
          <w:iCs/>
        </w:rPr>
      </w:pPr>
      <w:r w:rsidRPr="00F32020">
        <w:rPr>
          <w:rFonts w:eastAsiaTheme="minorEastAsia"/>
          <w:iCs/>
        </w:rPr>
        <w:t>I</w:t>
      </w:r>
      <w:r w:rsidR="00B656D1" w:rsidRPr="00F32020">
        <w:rPr>
          <w:rFonts w:eastAsiaTheme="minorEastAsia"/>
          <w:iCs/>
        </w:rPr>
        <w:t xml:space="preserve">ndex </w:t>
      </w:r>
      <m:oMath>
        <m:r>
          <w:rPr>
            <w:rFonts w:ascii="Cambria Math" w:eastAsiaTheme="minorEastAsia" w:hAnsi="Cambria Math"/>
          </w:rPr>
          <m:t>f</m:t>
        </m:r>
      </m:oMath>
      <w:r w:rsidR="00B656D1" w:rsidRPr="00F32020">
        <w:rPr>
          <w:rFonts w:eastAsiaTheme="minorEastAsia"/>
          <w:iCs/>
        </w:rPr>
        <w:t xml:space="preserve"> denotes firms, </w:t>
      </w:r>
      <m:oMath>
        <m:r>
          <w:rPr>
            <w:rFonts w:ascii="Cambria Math" w:eastAsiaTheme="minorEastAsia" w:hAnsi="Cambria Math"/>
          </w:rPr>
          <m:t>c</m:t>
        </m:r>
      </m:oMath>
      <w:r w:rsidR="00B656D1" w:rsidRPr="00F32020">
        <w:rPr>
          <w:rFonts w:eastAsiaTheme="minorEastAsia"/>
          <w:iCs/>
        </w:rPr>
        <w:t xml:space="preserve"> refers to countries, and </w:t>
      </w:r>
      <m:oMath>
        <m:r>
          <w:rPr>
            <w:rFonts w:ascii="Cambria Math" w:eastAsiaTheme="minorEastAsia" w:hAnsi="Cambria Math"/>
          </w:rPr>
          <m:t>t</m:t>
        </m:r>
      </m:oMath>
      <w:r w:rsidR="00B656D1" w:rsidRPr="00F32020">
        <w:rPr>
          <w:rFonts w:eastAsiaTheme="minorEastAsia"/>
          <w:iCs/>
        </w:rPr>
        <w:t xml:space="preserve"> </w:t>
      </w:r>
      <w:r w:rsidRPr="00F32020">
        <w:rPr>
          <w:rFonts w:eastAsiaTheme="minorEastAsia"/>
          <w:iCs/>
        </w:rPr>
        <w:t>denotes</w:t>
      </w:r>
      <w:r w:rsidR="00B656D1" w:rsidRPr="00F32020">
        <w:rPr>
          <w:rFonts w:eastAsiaTheme="minorEastAsia"/>
          <w:iCs/>
        </w:rPr>
        <w:t xml:space="preserve"> the </w:t>
      </w:r>
      <w:r w:rsidRPr="00F32020">
        <w:rPr>
          <w:rFonts w:eastAsiaTheme="minorEastAsia"/>
          <w:iCs/>
        </w:rPr>
        <w:t>time</w:t>
      </w:r>
      <w:r w:rsidR="00B656D1" w:rsidRPr="00F32020">
        <w:rPr>
          <w:rFonts w:eastAsiaTheme="minorEastAsia"/>
          <w:iCs/>
        </w:rPr>
        <w:t xml:space="preserve"> </w:t>
      </w:r>
      <w:r w:rsidRPr="00F32020">
        <w:rPr>
          <w:rFonts w:eastAsiaTheme="minorEastAsia"/>
          <w:iCs/>
        </w:rPr>
        <w:t>dimension</w:t>
      </w:r>
      <w:r w:rsidR="00B656D1" w:rsidRPr="00F32020">
        <w:rPr>
          <w:rFonts w:eastAsiaTheme="minorEastAsia"/>
          <w:iCs/>
        </w:rPr>
        <w:t>. ‘</w:t>
      </w:r>
      <w:r w:rsidR="00B656D1" w:rsidRPr="00F32020">
        <w:rPr>
          <w:rFonts w:eastAsiaTheme="minorEastAsia"/>
          <w:b/>
          <w:bCs/>
          <w:iCs/>
        </w:rPr>
        <w:t>Select</w:t>
      </w:r>
      <w:r w:rsidR="00B656D1" w:rsidRPr="00F32020">
        <w:rPr>
          <w:rFonts w:eastAsiaTheme="minorEastAsia"/>
          <w:iCs/>
        </w:rPr>
        <w:t xml:space="preserve">’ </w:t>
      </w:r>
      <w:r w:rsidR="00B630F0" w:rsidRPr="00F32020">
        <w:rPr>
          <w:rFonts w:eastAsiaTheme="minorEastAsia"/>
          <w:iCs/>
        </w:rPr>
        <w:t xml:space="preserve">is the dependent variable as described in Section </w:t>
      </w:r>
      <w:r w:rsidR="00EA783F" w:rsidRPr="00F32020">
        <w:rPr>
          <w:rFonts w:eastAsiaTheme="minorEastAsia"/>
          <w:iCs/>
        </w:rPr>
        <w:t>3</w:t>
      </w:r>
      <w:r w:rsidR="00B630F0" w:rsidRPr="00F32020">
        <w:rPr>
          <w:rFonts w:eastAsiaTheme="minorEastAsia"/>
          <w:iCs/>
        </w:rPr>
        <w:t>.2</w:t>
      </w:r>
      <w:r w:rsidR="00B656D1" w:rsidRPr="00F32020">
        <w:rPr>
          <w:rFonts w:eastAsiaTheme="minorEastAsia"/>
          <w:iCs/>
        </w:rPr>
        <w:t xml:space="preserve">. </w:t>
      </w:r>
      <w:r w:rsidR="00B630F0" w:rsidRPr="00F32020">
        <w:rPr>
          <w:rFonts w:eastAsiaTheme="minorEastAsia"/>
          <w:iCs/>
        </w:rPr>
        <w:t xml:space="preserve">Turning to the explanatory variables, </w:t>
      </w:r>
      <w:r w:rsidR="00B656D1" w:rsidRPr="00F32020">
        <w:rPr>
          <w:rFonts w:eastAsiaTheme="minorEastAsia"/>
          <w:iCs/>
        </w:rPr>
        <w:t>‘</w:t>
      </w:r>
      <w:r w:rsidR="00B656D1" w:rsidRPr="00F32020">
        <w:rPr>
          <w:rFonts w:eastAsiaTheme="minorEastAsia"/>
          <w:b/>
          <w:bCs/>
          <w:iCs/>
        </w:rPr>
        <w:t>Diversity</w:t>
      </w:r>
      <w:r w:rsidR="00B656D1" w:rsidRPr="00F32020">
        <w:rPr>
          <w:rFonts w:eastAsiaTheme="minorEastAsia"/>
          <w:iCs/>
        </w:rPr>
        <w:t xml:space="preserve">’ is the </w:t>
      </w:r>
      <w:r w:rsidR="005324E9" w:rsidRPr="00F32020">
        <w:rPr>
          <w:rFonts w:eastAsiaTheme="minorEastAsia"/>
          <w:iCs/>
        </w:rPr>
        <w:t xml:space="preserve">main variable of interest </w:t>
      </w:r>
      <w:r w:rsidR="00DC47BC">
        <w:rPr>
          <w:rFonts w:eastAsiaTheme="minorEastAsia"/>
          <w:iCs/>
        </w:rPr>
        <w:t>in</w:t>
      </w:r>
      <w:r w:rsidR="00DC47BC" w:rsidRPr="00F32020">
        <w:rPr>
          <w:rFonts w:eastAsiaTheme="minorEastAsia"/>
          <w:iCs/>
        </w:rPr>
        <w:t xml:space="preserve"> </w:t>
      </w:r>
      <w:r w:rsidR="005324E9" w:rsidRPr="00F32020">
        <w:rPr>
          <w:rFonts w:eastAsiaTheme="minorEastAsia"/>
          <w:iCs/>
        </w:rPr>
        <w:t>this study</w:t>
      </w:r>
      <w:r w:rsidR="008B7562" w:rsidRPr="00F32020">
        <w:rPr>
          <w:rFonts w:eastAsiaTheme="minorEastAsia"/>
          <w:iCs/>
        </w:rPr>
        <w:t xml:space="preserve"> </w:t>
      </w:r>
      <w:r w:rsidR="00EF15D0" w:rsidRPr="00F32020">
        <w:rPr>
          <w:rFonts w:eastAsiaTheme="minorEastAsia"/>
          <w:iCs/>
        </w:rPr>
        <w:t xml:space="preserve">(see Section </w:t>
      </w:r>
      <w:r w:rsidR="00EA783F" w:rsidRPr="00F32020">
        <w:rPr>
          <w:rFonts w:eastAsiaTheme="minorEastAsia"/>
          <w:iCs/>
        </w:rPr>
        <w:t>3</w:t>
      </w:r>
      <w:r w:rsidR="00EF15D0" w:rsidRPr="00F32020">
        <w:rPr>
          <w:rFonts w:eastAsiaTheme="minorEastAsia"/>
          <w:iCs/>
        </w:rPr>
        <w:t xml:space="preserve">.2 for a </w:t>
      </w:r>
      <w:r w:rsidR="008B7562" w:rsidRPr="00F32020">
        <w:rPr>
          <w:rFonts w:eastAsiaTheme="minorEastAsia"/>
          <w:iCs/>
        </w:rPr>
        <w:t>descri</w:t>
      </w:r>
      <w:r w:rsidR="00EF15D0" w:rsidRPr="00F32020">
        <w:rPr>
          <w:rFonts w:eastAsiaTheme="minorEastAsia"/>
          <w:iCs/>
        </w:rPr>
        <w:t>ption)</w:t>
      </w:r>
      <w:r w:rsidR="000D677C" w:rsidRPr="00F32020">
        <w:rPr>
          <w:rFonts w:eastAsiaTheme="minorEastAsia"/>
          <w:iCs/>
        </w:rPr>
        <w:t>;</w:t>
      </w:r>
      <w:r w:rsidR="00EF15D0" w:rsidRPr="00F32020">
        <w:rPr>
          <w:rFonts w:eastAsiaTheme="minorEastAsia"/>
          <w:iCs/>
        </w:rPr>
        <w:t xml:space="preserve"> </w:t>
      </w:r>
      <w:r w:rsidR="00BE764B" w:rsidRPr="00F32020">
        <w:rPr>
          <w:rFonts w:eastAsiaTheme="minorEastAsia"/>
          <w:iCs/>
        </w:rPr>
        <w:t>‘</w:t>
      </w:r>
      <w:r w:rsidR="00BE764B" w:rsidRPr="00F32020">
        <w:rPr>
          <w:rFonts w:eastAsiaTheme="minorEastAsia"/>
          <w:b/>
          <w:bCs/>
          <w:iCs/>
        </w:rPr>
        <w:t>Team</w:t>
      </w:r>
      <w:r w:rsidR="00BE764B" w:rsidRPr="00F32020">
        <w:rPr>
          <w:rFonts w:eastAsiaTheme="minorEastAsia"/>
          <w:iCs/>
        </w:rPr>
        <w:t xml:space="preserve">’ is a vector of co-variates that accounts for other characteristics of the founding team related to its human capital and demographics, </w:t>
      </w:r>
      <w:r w:rsidR="005324E9" w:rsidRPr="00F32020">
        <w:rPr>
          <w:rFonts w:eastAsiaTheme="minorEastAsia"/>
          <w:iCs/>
        </w:rPr>
        <w:t>‘</w:t>
      </w:r>
      <w:r w:rsidR="005137E3" w:rsidRPr="00F32020">
        <w:rPr>
          <w:rFonts w:eastAsiaTheme="minorEastAsia"/>
          <w:b/>
          <w:bCs/>
          <w:iCs/>
        </w:rPr>
        <w:t>Venture</w:t>
      </w:r>
      <w:r w:rsidR="005137E3" w:rsidRPr="00F32020">
        <w:rPr>
          <w:rFonts w:eastAsiaTheme="minorEastAsia"/>
          <w:iCs/>
        </w:rPr>
        <w:t xml:space="preserve">’ </w:t>
      </w:r>
      <w:r w:rsidR="005324E9" w:rsidRPr="00F32020">
        <w:rPr>
          <w:rFonts w:eastAsiaTheme="minorEastAsia"/>
          <w:iCs/>
        </w:rPr>
        <w:t xml:space="preserve">is a vector of co-variates </w:t>
      </w:r>
      <w:r w:rsidR="00DE0321" w:rsidRPr="00F32020">
        <w:rPr>
          <w:rFonts w:eastAsiaTheme="minorEastAsia"/>
          <w:iCs/>
        </w:rPr>
        <w:t>that controls for</w:t>
      </w:r>
      <w:r w:rsidR="00BE764B" w:rsidRPr="00F32020">
        <w:rPr>
          <w:rFonts w:eastAsiaTheme="minorEastAsia"/>
          <w:iCs/>
        </w:rPr>
        <w:t xml:space="preserve"> other</w:t>
      </w:r>
      <w:r w:rsidR="00DE0321" w:rsidRPr="00F32020">
        <w:rPr>
          <w:rFonts w:eastAsiaTheme="minorEastAsia"/>
          <w:iCs/>
        </w:rPr>
        <w:t xml:space="preserve"> </w:t>
      </w:r>
      <w:r w:rsidR="001619B4" w:rsidRPr="00F32020">
        <w:rPr>
          <w:rFonts w:eastAsiaTheme="minorEastAsia"/>
          <w:iCs/>
        </w:rPr>
        <w:t>venture</w:t>
      </w:r>
      <w:r w:rsidR="00DE0321" w:rsidRPr="00F32020">
        <w:rPr>
          <w:rFonts w:eastAsiaTheme="minorEastAsia"/>
          <w:iCs/>
        </w:rPr>
        <w:t>-</w:t>
      </w:r>
      <w:r w:rsidR="001619B4" w:rsidRPr="00F32020">
        <w:rPr>
          <w:rFonts w:eastAsiaTheme="minorEastAsia"/>
          <w:iCs/>
        </w:rPr>
        <w:t>level</w:t>
      </w:r>
      <w:r w:rsidR="00DE0321" w:rsidRPr="00F32020">
        <w:rPr>
          <w:rFonts w:eastAsiaTheme="minorEastAsia"/>
          <w:iCs/>
        </w:rPr>
        <w:t xml:space="preserve"> attributes</w:t>
      </w:r>
      <w:r w:rsidR="00DC311F" w:rsidRPr="00F32020">
        <w:rPr>
          <w:rFonts w:eastAsiaTheme="minorEastAsia"/>
          <w:iCs/>
        </w:rPr>
        <w:t>, and</w:t>
      </w:r>
      <w:r w:rsidR="00DE0321" w:rsidRPr="00F32020">
        <w:rPr>
          <w:rFonts w:eastAsiaTheme="minorEastAsia"/>
          <w:iCs/>
        </w:rPr>
        <w:t xml:space="preserve"> ‘</w:t>
      </w:r>
      <w:r w:rsidR="00DE0321" w:rsidRPr="00F32020">
        <w:rPr>
          <w:rFonts w:eastAsiaTheme="minorEastAsia"/>
          <w:b/>
          <w:bCs/>
          <w:iCs/>
        </w:rPr>
        <w:t>Country</w:t>
      </w:r>
      <w:r w:rsidR="00DE0321" w:rsidRPr="00F32020">
        <w:rPr>
          <w:rFonts w:eastAsiaTheme="minorEastAsia"/>
          <w:iCs/>
        </w:rPr>
        <w:t>’ contains country-related attributes as detailed in the previous section.</w:t>
      </w:r>
      <w:r w:rsidRPr="00F32020">
        <w:rPr>
          <w:rFonts w:eastAsiaTheme="minorEastAsia"/>
          <w:iCs/>
        </w:rPr>
        <w:t xml:space="preserve"> </w:t>
      </w:r>
      <w:r w:rsidR="00D46D0E" w:rsidRPr="00F32020">
        <w:rPr>
          <w:iCs/>
        </w:rPr>
        <w:t>Additionally, all regressions include time (‘</w:t>
      </w:r>
      <w:r w:rsidR="00D46D0E" w:rsidRPr="00F32020">
        <w:rPr>
          <w:b/>
          <w:bCs/>
          <w:iCs/>
        </w:rPr>
        <w:t>Year</w:t>
      </w:r>
      <w:r w:rsidR="00D46D0E" w:rsidRPr="00F32020">
        <w:rPr>
          <w:iCs/>
        </w:rPr>
        <w:t xml:space="preserve">’) and industry </w:t>
      </w:r>
      <w:r w:rsidR="00D46D0E" w:rsidRPr="00F32020">
        <w:rPr>
          <w:iCs/>
        </w:rPr>
        <w:lastRenderedPageBreak/>
        <w:t>(‘</w:t>
      </w:r>
      <w:r w:rsidR="00D46D0E" w:rsidRPr="00F32020">
        <w:rPr>
          <w:b/>
          <w:bCs/>
          <w:iCs/>
        </w:rPr>
        <w:t>Sector</w:t>
      </w:r>
      <w:r w:rsidR="00D46D0E" w:rsidRPr="00F32020">
        <w:rPr>
          <w:iCs/>
        </w:rPr>
        <w:t>’) dummies to capture the temporal (</w:t>
      </w:r>
      <w:r w:rsidR="00D46D0E" w:rsidRPr="00F32020">
        <w:t>year</w:t>
      </w:r>
      <w:r w:rsidR="00D46D0E" w:rsidRPr="00F32020">
        <w:rPr>
          <w:iCs/>
        </w:rPr>
        <w:t xml:space="preserve"> of application) and sectoral heterogeneity</w:t>
      </w:r>
      <w:r w:rsidR="00146F6F" w:rsidRPr="00F32020">
        <w:rPr>
          <w:iCs/>
        </w:rPr>
        <w:t xml:space="preserve"> (sector in which the venture operates)</w:t>
      </w:r>
      <w:r w:rsidR="00D46D0E" w:rsidRPr="00F32020">
        <w:rPr>
          <w:iCs/>
        </w:rPr>
        <w:t>, as well as program</w:t>
      </w:r>
      <w:r w:rsidR="00275837" w:rsidRPr="00F32020">
        <w:rPr>
          <w:iCs/>
        </w:rPr>
        <w:t>me</w:t>
      </w:r>
      <w:r w:rsidR="00D46D0E" w:rsidRPr="00F32020">
        <w:rPr>
          <w:iCs/>
        </w:rPr>
        <w:t>-specific (‘</w:t>
      </w:r>
      <w:r w:rsidR="00D46D0E" w:rsidRPr="00F32020">
        <w:rPr>
          <w:b/>
          <w:bCs/>
          <w:iCs/>
        </w:rPr>
        <w:t>Program</w:t>
      </w:r>
      <w:r w:rsidR="00275837" w:rsidRPr="00F32020">
        <w:rPr>
          <w:b/>
          <w:bCs/>
          <w:iCs/>
        </w:rPr>
        <w:t>me</w:t>
      </w:r>
      <w:r w:rsidR="00D46D0E" w:rsidRPr="00F32020">
        <w:rPr>
          <w:iCs/>
        </w:rPr>
        <w:t xml:space="preserve">’) attributes that may have been important during each </w:t>
      </w:r>
      <w:r w:rsidR="00EF15D0" w:rsidRPr="00F32020">
        <w:rPr>
          <w:iCs/>
        </w:rPr>
        <w:t xml:space="preserve">partner accelerator </w:t>
      </w:r>
      <w:r w:rsidR="00D46D0E" w:rsidRPr="00F32020">
        <w:rPr>
          <w:iCs/>
        </w:rPr>
        <w:t>call. ‘</w:t>
      </w:r>
      <w:r w:rsidR="00D46D0E" w:rsidRPr="00F32020">
        <w:rPr>
          <w:b/>
          <w:bCs/>
          <w:iCs/>
        </w:rPr>
        <w:t>Region</w:t>
      </w:r>
      <w:r w:rsidR="00D46D0E" w:rsidRPr="00F32020">
        <w:rPr>
          <w:iCs/>
        </w:rPr>
        <w:t xml:space="preserve">’ refers to a set of dummy variables </w:t>
      </w:r>
      <w:r w:rsidR="00EF15D0" w:rsidRPr="00F32020">
        <w:rPr>
          <w:iCs/>
        </w:rPr>
        <w:t>that captures heterogeneity stemming from</w:t>
      </w:r>
      <w:r w:rsidR="00D46D0E" w:rsidRPr="00F32020">
        <w:rPr>
          <w:iCs/>
        </w:rPr>
        <w:t xml:space="preserve"> the </w:t>
      </w:r>
      <w:r w:rsidR="00EF15D0" w:rsidRPr="00F32020">
        <w:rPr>
          <w:iCs/>
        </w:rPr>
        <w:t xml:space="preserve">wider </w:t>
      </w:r>
      <w:r w:rsidR="00D46D0E" w:rsidRPr="00F32020">
        <w:rPr>
          <w:iCs/>
        </w:rPr>
        <w:t xml:space="preserve">geographical regions </w:t>
      </w:r>
      <w:r w:rsidR="00EF15D0" w:rsidRPr="00F32020">
        <w:rPr>
          <w:iCs/>
        </w:rPr>
        <w:t>in which</w:t>
      </w:r>
      <w:r w:rsidR="00D46D0E" w:rsidRPr="00F32020">
        <w:rPr>
          <w:iCs/>
        </w:rPr>
        <w:t xml:space="preserve"> the ventures are based, distinguishing between</w:t>
      </w:r>
      <w:r w:rsidR="00412CA7" w:rsidRPr="00F32020">
        <w:rPr>
          <w:iCs/>
        </w:rPr>
        <w:t>:</w:t>
      </w:r>
      <w:r w:rsidR="00D46D0E" w:rsidRPr="00F32020">
        <w:rPr>
          <w:iCs/>
        </w:rPr>
        <w:t xml:space="preserve"> </w:t>
      </w:r>
      <w:r w:rsidR="00412CA7" w:rsidRPr="00F32020">
        <w:rPr>
          <w:iCs/>
        </w:rPr>
        <w:t xml:space="preserve">(i) </w:t>
      </w:r>
      <w:r w:rsidR="00D46D0E" w:rsidRPr="00F32020">
        <w:rPr>
          <w:iCs/>
        </w:rPr>
        <w:t xml:space="preserve">Africa (omitted group dummy captured by the constant), </w:t>
      </w:r>
      <w:r w:rsidR="00412CA7" w:rsidRPr="00F32020">
        <w:rPr>
          <w:iCs/>
        </w:rPr>
        <w:t xml:space="preserve">(ii) </w:t>
      </w:r>
      <w:r w:rsidR="00D46D0E" w:rsidRPr="00F32020">
        <w:rPr>
          <w:iCs/>
        </w:rPr>
        <w:t xml:space="preserve">Asia &amp; the Pacific, </w:t>
      </w:r>
      <w:r w:rsidR="00412CA7" w:rsidRPr="00F32020">
        <w:rPr>
          <w:iCs/>
        </w:rPr>
        <w:t xml:space="preserve">(iii) </w:t>
      </w:r>
      <w:r w:rsidR="00D46D0E" w:rsidRPr="00F32020">
        <w:rPr>
          <w:iCs/>
        </w:rPr>
        <w:t xml:space="preserve">Europe, </w:t>
      </w:r>
      <w:r w:rsidR="00412CA7" w:rsidRPr="00F32020">
        <w:rPr>
          <w:iCs/>
        </w:rPr>
        <w:t xml:space="preserve">(iv) </w:t>
      </w:r>
      <w:r w:rsidR="00D46D0E" w:rsidRPr="00F32020">
        <w:rPr>
          <w:iCs/>
        </w:rPr>
        <w:t xml:space="preserve">Latin America &amp; the Caribbean, </w:t>
      </w:r>
      <w:r w:rsidR="00412CA7" w:rsidRPr="00F32020">
        <w:rPr>
          <w:iCs/>
        </w:rPr>
        <w:t xml:space="preserve">(v) </w:t>
      </w:r>
      <w:r w:rsidR="00D46D0E" w:rsidRPr="00F32020">
        <w:rPr>
          <w:iCs/>
        </w:rPr>
        <w:t xml:space="preserve">Middle East &amp; Iran, </w:t>
      </w:r>
      <w:r w:rsidR="00412CA7" w:rsidRPr="00F32020">
        <w:rPr>
          <w:iCs/>
        </w:rPr>
        <w:t xml:space="preserve">(vi) </w:t>
      </w:r>
      <w:r w:rsidR="00D46D0E" w:rsidRPr="00F32020">
        <w:rPr>
          <w:iCs/>
        </w:rPr>
        <w:t>North America.</w:t>
      </w:r>
      <w:r w:rsidR="00E145CB" w:rsidRPr="00F32020">
        <w:rPr>
          <w:iCs/>
        </w:rPr>
        <w:t xml:space="preserve"> </w:t>
      </w:r>
      <w:r w:rsidR="0070435E" w:rsidRPr="00F32020">
        <w:t>The purpose of the regional dummies is to account for unobserved characteristics that are common within certain regions and have not been adequately captured by the control variables that we use. These could, for example, include some characteristics of the financial markets, institutions (formal or informal), and macroeconomic conditions that we fail to capture with the variables outlined in Table 1 (GDP growth rate, inflation, institutional development index). Given that these regional variables can also capture cultural and other informal institutions, their inclusion imposes a strong test for our main variable of interest, in examining whether venture-level diversity in terms of the founders’ national culture plays a role in explaining admission into accelerator program</w:t>
      </w:r>
      <w:r w:rsidR="00864316" w:rsidRPr="00F32020">
        <w:t>me</w:t>
      </w:r>
      <w:r w:rsidR="0070435E" w:rsidRPr="00F32020">
        <w:t xml:space="preserve">s.  </w:t>
      </w:r>
    </w:p>
    <w:p w14:paraId="0A65263C" w14:textId="7428DE00" w:rsidR="00AD44A0" w:rsidRPr="00F32020" w:rsidRDefault="00AD44A0" w:rsidP="005546EC">
      <w:pPr>
        <w:spacing w:line="480" w:lineRule="auto"/>
        <w:ind w:firstLine="720"/>
        <w:jc w:val="both"/>
        <w:rPr>
          <w:rFonts w:eastAsiaTheme="minorEastAsia"/>
          <w:iCs/>
        </w:rPr>
      </w:pPr>
      <w:r w:rsidRPr="00F32020">
        <w:rPr>
          <w:iCs/>
        </w:rPr>
        <w:t xml:space="preserve">Finally, to account for the variation in the number of founders, all the regressions also include </w:t>
      </w:r>
      <w:r w:rsidR="003D5EBB" w:rsidRPr="00F32020">
        <w:rPr>
          <w:iCs/>
        </w:rPr>
        <w:t xml:space="preserve">the following </w:t>
      </w:r>
      <w:r w:rsidRPr="00F32020">
        <w:rPr>
          <w:iCs/>
        </w:rPr>
        <w:t>dummy variables</w:t>
      </w:r>
      <w:r w:rsidR="003D5EBB" w:rsidRPr="00F32020">
        <w:rPr>
          <w:iCs/>
        </w:rPr>
        <w:t>:</w:t>
      </w:r>
      <w:r w:rsidRPr="00F32020">
        <w:rPr>
          <w:iCs/>
        </w:rPr>
        <w:t xml:space="preserve"> </w:t>
      </w:r>
      <w:r w:rsidR="003D5EBB" w:rsidRPr="00F32020">
        <w:rPr>
          <w:iCs/>
        </w:rPr>
        <w:t xml:space="preserve">(i) </w:t>
      </w:r>
      <w:r w:rsidRPr="00F32020">
        <w:rPr>
          <w:iCs/>
        </w:rPr>
        <w:t xml:space="preserve">a dummy taking the value of ‘1’ if there are </w:t>
      </w:r>
      <w:r w:rsidR="0011062A" w:rsidRPr="00F32020">
        <w:rPr>
          <w:iCs/>
        </w:rPr>
        <w:t>two</w:t>
      </w:r>
      <w:r w:rsidRPr="00F32020">
        <w:rPr>
          <w:iCs/>
        </w:rPr>
        <w:t xml:space="preserve"> founders in the venture, and </w:t>
      </w:r>
      <w:r w:rsidR="003D5EBB" w:rsidRPr="00F32020">
        <w:rPr>
          <w:iCs/>
        </w:rPr>
        <w:t xml:space="preserve">(ii) </w:t>
      </w:r>
      <w:r w:rsidRPr="00F32020">
        <w:rPr>
          <w:iCs/>
        </w:rPr>
        <w:t>another</w:t>
      </w:r>
      <w:r w:rsidR="003D5EBB" w:rsidRPr="00F32020">
        <w:rPr>
          <w:iCs/>
        </w:rPr>
        <w:t xml:space="preserve"> dummy</w:t>
      </w:r>
      <w:r w:rsidRPr="00F32020">
        <w:rPr>
          <w:iCs/>
        </w:rPr>
        <w:t xml:space="preserve"> taking the value of ‘1’ if there are </w:t>
      </w:r>
      <w:r w:rsidR="0011062A" w:rsidRPr="00F32020">
        <w:rPr>
          <w:iCs/>
        </w:rPr>
        <w:t>three</w:t>
      </w:r>
      <w:r w:rsidRPr="00F32020">
        <w:rPr>
          <w:iCs/>
        </w:rPr>
        <w:t xml:space="preserve"> founders in the venture. Single-founder ventures (dummy of which is omitted) are captured by the constant. This setting captures variation that could explain information about the level of diversity, and in particular why it could be higher or lower than expected due </w:t>
      </w:r>
      <w:r w:rsidR="00C6795B">
        <w:rPr>
          <w:iCs/>
        </w:rPr>
        <w:t xml:space="preserve">to </w:t>
      </w:r>
      <w:r w:rsidRPr="00F32020">
        <w:rPr>
          <w:iCs/>
        </w:rPr>
        <w:t>intrinsic reasons attributed to the size of the venture founders. For instance, a zero</w:t>
      </w:r>
      <w:r w:rsidR="00503218" w:rsidRPr="00F32020">
        <w:rPr>
          <w:iCs/>
        </w:rPr>
        <w:t>-</w:t>
      </w:r>
      <w:r w:rsidRPr="00F32020">
        <w:rPr>
          <w:iCs/>
        </w:rPr>
        <w:t xml:space="preserve">diversity score in a single-founder venture shall </w:t>
      </w:r>
      <w:r w:rsidR="0000208D" w:rsidRPr="00F32020">
        <w:rPr>
          <w:iCs/>
        </w:rPr>
        <w:t xml:space="preserve">naturally </w:t>
      </w:r>
      <w:r w:rsidRPr="00F32020">
        <w:rPr>
          <w:iCs/>
        </w:rPr>
        <w:t>be expected</w:t>
      </w:r>
      <w:r w:rsidR="0000208D" w:rsidRPr="00F32020">
        <w:rPr>
          <w:iCs/>
        </w:rPr>
        <w:t>,</w:t>
      </w:r>
      <w:r w:rsidRPr="00F32020">
        <w:rPr>
          <w:iCs/>
        </w:rPr>
        <w:t xml:space="preserve"> as opposed to a venture of </w:t>
      </w:r>
      <w:r w:rsidR="0011062A" w:rsidRPr="00F32020">
        <w:rPr>
          <w:iCs/>
        </w:rPr>
        <w:t>three</w:t>
      </w:r>
      <w:r w:rsidRPr="00F32020">
        <w:rPr>
          <w:iCs/>
        </w:rPr>
        <w:t xml:space="preserve"> founding members. In additional robustness analysis, we condition our sample to multi-founder ventures </w:t>
      </w:r>
      <w:r w:rsidRPr="00F32020">
        <w:rPr>
          <w:iCs/>
        </w:rPr>
        <w:lastRenderedPageBreak/>
        <w:t>only. However, we choose not to make this our baseline setting as we would wittingly create sample bias and reduce the pool</w:t>
      </w:r>
      <w:r w:rsidR="0000208D" w:rsidRPr="00F32020">
        <w:rPr>
          <w:iCs/>
        </w:rPr>
        <w:t>-</w:t>
      </w:r>
      <w:r w:rsidRPr="00F32020">
        <w:rPr>
          <w:iCs/>
        </w:rPr>
        <w:t>ability of our sample at the same time by focusing on results that apply to multi-founder settings</w:t>
      </w:r>
      <w:r w:rsidR="002125BA" w:rsidRPr="00F32020">
        <w:rPr>
          <w:iCs/>
        </w:rPr>
        <w:t xml:space="preserve"> only</w:t>
      </w:r>
      <w:r w:rsidRPr="00F32020">
        <w:rPr>
          <w:iCs/>
        </w:rPr>
        <w:t>.</w:t>
      </w:r>
    </w:p>
    <w:p w14:paraId="5955532A" w14:textId="77777777" w:rsidR="00ED1A86" w:rsidRPr="00F32020" w:rsidRDefault="00ED1A86" w:rsidP="005546EC">
      <w:pPr>
        <w:spacing w:line="480" w:lineRule="auto"/>
        <w:jc w:val="both"/>
        <w:rPr>
          <w:b/>
          <w:bCs/>
          <w:iCs/>
          <w:sz w:val="28"/>
          <w:szCs w:val="28"/>
        </w:rPr>
      </w:pPr>
    </w:p>
    <w:p w14:paraId="779E1FB9" w14:textId="01594915" w:rsidR="008203C7" w:rsidRPr="00F32020" w:rsidRDefault="00EA783F" w:rsidP="005546EC">
      <w:pPr>
        <w:spacing w:line="480" w:lineRule="auto"/>
        <w:jc w:val="both"/>
        <w:rPr>
          <w:b/>
          <w:bCs/>
          <w:iCs/>
          <w:sz w:val="28"/>
          <w:szCs w:val="28"/>
        </w:rPr>
      </w:pPr>
      <w:r w:rsidRPr="00F32020">
        <w:rPr>
          <w:b/>
          <w:bCs/>
          <w:iCs/>
          <w:sz w:val="28"/>
          <w:szCs w:val="28"/>
        </w:rPr>
        <w:t>4</w:t>
      </w:r>
      <w:r w:rsidR="000D677C" w:rsidRPr="00F32020">
        <w:rPr>
          <w:b/>
          <w:bCs/>
          <w:iCs/>
          <w:sz w:val="28"/>
          <w:szCs w:val="28"/>
        </w:rPr>
        <w:t xml:space="preserve">. </w:t>
      </w:r>
      <w:r w:rsidR="008203C7" w:rsidRPr="00F32020">
        <w:rPr>
          <w:b/>
          <w:bCs/>
          <w:iCs/>
          <w:sz w:val="28"/>
          <w:szCs w:val="28"/>
        </w:rPr>
        <w:t xml:space="preserve">Empirical </w:t>
      </w:r>
      <w:r w:rsidR="000D677C" w:rsidRPr="00F32020">
        <w:rPr>
          <w:b/>
          <w:bCs/>
          <w:iCs/>
          <w:sz w:val="28"/>
          <w:szCs w:val="28"/>
        </w:rPr>
        <w:t>Results</w:t>
      </w:r>
    </w:p>
    <w:p w14:paraId="0C998356" w14:textId="32A0551C" w:rsidR="006A7484" w:rsidRPr="00F32020" w:rsidRDefault="00EA783F" w:rsidP="005546EC">
      <w:pPr>
        <w:spacing w:line="480" w:lineRule="auto"/>
        <w:jc w:val="both"/>
        <w:rPr>
          <w:b/>
          <w:bCs/>
          <w:i/>
        </w:rPr>
      </w:pPr>
      <w:r w:rsidRPr="00F32020">
        <w:rPr>
          <w:b/>
          <w:bCs/>
          <w:i/>
        </w:rPr>
        <w:t>4</w:t>
      </w:r>
      <w:r w:rsidR="008203C7" w:rsidRPr="00F32020">
        <w:rPr>
          <w:b/>
          <w:bCs/>
          <w:i/>
        </w:rPr>
        <w:t>.1</w:t>
      </w:r>
      <w:r w:rsidR="00354161" w:rsidRPr="00F32020">
        <w:rPr>
          <w:b/>
          <w:bCs/>
          <w:i/>
        </w:rPr>
        <w:t>.</w:t>
      </w:r>
      <w:r w:rsidR="008203C7" w:rsidRPr="00F32020">
        <w:rPr>
          <w:b/>
          <w:bCs/>
          <w:i/>
        </w:rPr>
        <w:t xml:space="preserve"> </w:t>
      </w:r>
      <w:r w:rsidR="008F62B3" w:rsidRPr="00F32020">
        <w:rPr>
          <w:b/>
          <w:bCs/>
          <w:i/>
        </w:rPr>
        <w:t xml:space="preserve">Cultural diversity and admission likelihood </w:t>
      </w:r>
    </w:p>
    <w:p w14:paraId="3BEF9A1E" w14:textId="14F3AE48" w:rsidR="003E11E6" w:rsidRPr="00F32020" w:rsidRDefault="00DD0D00" w:rsidP="005546EC">
      <w:pPr>
        <w:autoSpaceDE w:val="0"/>
        <w:autoSpaceDN w:val="0"/>
        <w:adjustRightInd w:val="0"/>
        <w:spacing w:line="480" w:lineRule="auto"/>
        <w:jc w:val="both"/>
        <w:rPr>
          <w:rFonts w:eastAsiaTheme="minorEastAsia"/>
          <w:iCs/>
        </w:rPr>
      </w:pPr>
      <w:r w:rsidRPr="00F32020">
        <w:rPr>
          <w:rFonts w:eastAsiaTheme="minorEastAsia"/>
          <w:iCs/>
        </w:rPr>
        <w:t xml:space="preserve">Table </w:t>
      </w:r>
      <w:r w:rsidR="00A85719" w:rsidRPr="00F32020">
        <w:rPr>
          <w:rFonts w:eastAsiaTheme="minorEastAsia"/>
          <w:iCs/>
        </w:rPr>
        <w:t>2</w:t>
      </w:r>
      <w:r w:rsidRPr="00F32020">
        <w:rPr>
          <w:rFonts w:eastAsiaTheme="minorEastAsia"/>
          <w:iCs/>
        </w:rPr>
        <w:t xml:space="preserve"> contains the results of the baseline model described in Section </w:t>
      </w:r>
      <w:r w:rsidR="00EA783F" w:rsidRPr="00F32020">
        <w:rPr>
          <w:rFonts w:eastAsiaTheme="minorEastAsia"/>
          <w:iCs/>
        </w:rPr>
        <w:t>3</w:t>
      </w:r>
      <w:r w:rsidRPr="00F32020">
        <w:rPr>
          <w:rFonts w:eastAsiaTheme="minorEastAsia"/>
          <w:iCs/>
        </w:rPr>
        <w:t xml:space="preserve">. </w:t>
      </w:r>
      <w:r w:rsidR="00803606" w:rsidRPr="00F32020">
        <w:t>Column 1 presents a specification that is univariate in nature, including only the cultural diversity measure. In Column 2, we add the characteristics of the venture. In Column 3, we extend the specification of Column 2 by adding the characteristics of the found</w:t>
      </w:r>
      <w:r w:rsidR="003D5EBB" w:rsidRPr="00F32020">
        <w:t>ing team</w:t>
      </w:r>
      <w:r w:rsidR="00803606" w:rsidRPr="00F32020">
        <w:t xml:space="preserve">. Finally, in Column 4, </w:t>
      </w:r>
      <w:r w:rsidR="00084678" w:rsidRPr="00F32020">
        <w:t>we present the most comprehensive specification that includes all the previous variables and</w:t>
      </w:r>
      <w:r w:rsidR="00803606" w:rsidRPr="00F32020">
        <w:t xml:space="preserve"> the country-level controls (macroeconomi</w:t>
      </w:r>
      <w:r w:rsidR="00AD44A0" w:rsidRPr="00F32020">
        <w:t>c</w:t>
      </w:r>
      <w:r w:rsidR="00803606" w:rsidRPr="00F32020">
        <w:t xml:space="preserve"> and institutional development). </w:t>
      </w:r>
      <w:r w:rsidRPr="00F32020">
        <w:rPr>
          <w:rFonts w:eastAsiaTheme="minorEastAsia"/>
          <w:iCs/>
        </w:rPr>
        <w:t>Note that</w:t>
      </w:r>
      <w:r w:rsidR="0000208D" w:rsidRPr="00F32020">
        <w:rPr>
          <w:rFonts w:eastAsiaTheme="minorEastAsia"/>
          <w:iCs/>
        </w:rPr>
        <w:t>,</w:t>
      </w:r>
      <w:r w:rsidR="00A81330" w:rsidRPr="00F32020">
        <w:rPr>
          <w:rFonts w:eastAsiaTheme="minorEastAsia"/>
          <w:iCs/>
        </w:rPr>
        <w:t xml:space="preserve"> to facilitate the interpretation</w:t>
      </w:r>
      <w:r w:rsidR="000E074E" w:rsidRPr="00F32020">
        <w:rPr>
          <w:rFonts w:eastAsiaTheme="minorEastAsia"/>
          <w:iCs/>
        </w:rPr>
        <w:t xml:space="preserve"> of log-odds coefficients accompanying logistic models by default</w:t>
      </w:r>
      <w:r w:rsidR="00A81330" w:rsidRPr="00F32020">
        <w:rPr>
          <w:rFonts w:eastAsiaTheme="minorEastAsia"/>
          <w:iCs/>
        </w:rPr>
        <w:t>, the</w:t>
      </w:r>
      <w:r w:rsidRPr="00F32020">
        <w:rPr>
          <w:rFonts w:eastAsiaTheme="minorEastAsia"/>
          <w:iCs/>
        </w:rPr>
        <w:t xml:space="preserve"> coefficients are converted </w:t>
      </w:r>
      <w:r w:rsidR="00C33BB4" w:rsidRPr="00F32020">
        <w:rPr>
          <w:rFonts w:eastAsiaTheme="minorEastAsia"/>
          <w:iCs/>
        </w:rPr>
        <w:t>in</w:t>
      </w:r>
      <w:r w:rsidRPr="00F32020">
        <w:rPr>
          <w:rFonts w:eastAsiaTheme="minorEastAsia"/>
          <w:iCs/>
        </w:rPr>
        <w:t>to odds ratios (</w:t>
      </w:r>
      <w:r w:rsidR="000E074E" w:rsidRPr="00F32020">
        <w:rPr>
          <w:rFonts w:eastAsiaTheme="minorEastAsia"/>
          <w:iCs/>
        </w:rPr>
        <w:t xml:space="preserve">i.e. </w:t>
      </w:r>
      <m:oMath>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β</m:t>
            </m:r>
          </m:sup>
        </m:sSup>
      </m:oMath>
      <w:r w:rsidRPr="00F32020">
        <w:rPr>
          <w:rFonts w:eastAsiaTheme="minorEastAsia"/>
          <w:iCs/>
        </w:rPr>
        <w:t>)</w:t>
      </w:r>
      <w:r w:rsidR="004B3F07" w:rsidRPr="00F32020">
        <w:rPr>
          <w:rFonts w:eastAsiaTheme="minorEastAsia"/>
          <w:iCs/>
        </w:rPr>
        <w:t xml:space="preserve"> and </w:t>
      </w:r>
      <w:r w:rsidR="003D5EBB" w:rsidRPr="00F32020">
        <w:rPr>
          <w:rFonts w:eastAsiaTheme="minorEastAsia"/>
          <w:iCs/>
        </w:rPr>
        <w:t>standard</w:t>
      </w:r>
      <w:r w:rsidR="004B3F07" w:rsidRPr="00F32020">
        <w:rPr>
          <w:rFonts w:eastAsiaTheme="minorEastAsia"/>
          <w:iCs/>
        </w:rPr>
        <w:t xml:space="preserve"> errors are accordingly reported using the delta method (i.e. </w:t>
      </w:r>
      <m:oMath>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β</m:t>
            </m:r>
          </m:sup>
        </m:sSup>
      </m:oMath>
      <w:r w:rsidR="004B3F07" w:rsidRPr="00F32020">
        <w:rPr>
          <w:rFonts w:eastAsiaTheme="minorEastAsia"/>
          <w:iCs/>
        </w:rPr>
        <w:t xml:space="preserve"> x st</w:t>
      </w:r>
      <w:r w:rsidR="003D5EBB" w:rsidRPr="00F32020">
        <w:rPr>
          <w:rFonts w:eastAsiaTheme="minorEastAsia"/>
          <w:iCs/>
        </w:rPr>
        <w:t>andard</w:t>
      </w:r>
      <w:r w:rsidR="004B3F07" w:rsidRPr="00F32020">
        <w:rPr>
          <w:rFonts w:eastAsiaTheme="minorEastAsia"/>
          <w:iCs/>
        </w:rPr>
        <w:t xml:space="preserve"> error)</w:t>
      </w:r>
      <w:r w:rsidRPr="00F32020">
        <w:rPr>
          <w:rFonts w:eastAsiaTheme="minorEastAsia"/>
          <w:iCs/>
        </w:rPr>
        <w:t xml:space="preserve">. </w:t>
      </w:r>
    </w:p>
    <w:p w14:paraId="361A0DB3" w14:textId="73ABB133" w:rsidR="00D03390" w:rsidRPr="00F32020" w:rsidRDefault="007B247A" w:rsidP="005546EC">
      <w:pPr>
        <w:autoSpaceDE w:val="0"/>
        <w:autoSpaceDN w:val="0"/>
        <w:adjustRightInd w:val="0"/>
        <w:spacing w:line="480" w:lineRule="auto"/>
        <w:ind w:firstLine="720"/>
        <w:jc w:val="both"/>
      </w:pPr>
      <w:r w:rsidRPr="00F32020">
        <w:rPr>
          <w:rFonts w:eastAsiaTheme="minorEastAsia"/>
          <w:iCs/>
        </w:rPr>
        <w:t xml:space="preserve">The results </w:t>
      </w:r>
      <w:r w:rsidR="000E074E" w:rsidRPr="00F32020">
        <w:rPr>
          <w:rFonts w:eastAsiaTheme="minorEastAsia"/>
          <w:iCs/>
        </w:rPr>
        <w:t xml:space="preserve">in Table </w:t>
      </w:r>
      <w:r w:rsidR="0022569D" w:rsidRPr="00F32020">
        <w:rPr>
          <w:rFonts w:eastAsiaTheme="minorEastAsia"/>
          <w:iCs/>
        </w:rPr>
        <w:t>2</w:t>
      </w:r>
      <w:r w:rsidR="000E074E" w:rsidRPr="00F32020">
        <w:rPr>
          <w:rFonts w:eastAsiaTheme="minorEastAsia"/>
          <w:iCs/>
        </w:rPr>
        <w:t xml:space="preserve"> </w:t>
      </w:r>
      <w:r w:rsidRPr="00F32020">
        <w:rPr>
          <w:rFonts w:eastAsiaTheme="minorEastAsia"/>
          <w:iCs/>
        </w:rPr>
        <w:t>show that</w:t>
      </w:r>
      <w:r w:rsidR="00F70077" w:rsidRPr="00F32020">
        <w:rPr>
          <w:rFonts w:eastAsiaTheme="minorEastAsia"/>
          <w:iCs/>
        </w:rPr>
        <w:t xml:space="preserve"> the cultural diversity amongst a venture’s founders has a positive and statistically significant association with the probability of being selected into an accelerator program</w:t>
      </w:r>
      <w:r w:rsidR="0000208D" w:rsidRPr="00F32020">
        <w:rPr>
          <w:rFonts w:eastAsiaTheme="minorEastAsia"/>
          <w:iCs/>
        </w:rPr>
        <w:t>me</w:t>
      </w:r>
      <w:r w:rsidR="00F70077" w:rsidRPr="00F32020">
        <w:rPr>
          <w:rFonts w:eastAsiaTheme="minorEastAsia"/>
          <w:iCs/>
        </w:rPr>
        <w:t>. This finding holds when we</w:t>
      </w:r>
      <w:r w:rsidR="00722C3A" w:rsidRPr="00F32020">
        <w:rPr>
          <w:rFonts w:eastAsiaTheme="minorEastAsia"/>
          <w:iCs/>
        </w:rPr>
        <w:t xml:space="preserve"> control for a variety of </w:t>
      </w:r>
      <w:r w:rsidR="00F70077" w:rsidRPr="00F32020">
        <w:rPr>
          <w:rFonts w:eastAsiaTheme="minorEastAsia"/>
          <w:iCs/>
        </w:rPr>
        <w:t xml:space="preserve">team-level, </w:t>
      </w:r>
      <w:r w:rsidR="00722C3A" w:rsidRPr="00F32020">
        <w:rPr>
          <w:rFonts w:eastAsiaTheme="minorEastAsia"/>
          <w:iCs/>
        </w:rPr>
        <w:t>venture</w:t>
      </w:r>
      <w:r w:rsidR="00F70077" w:rsidRPr="00F32020">
        <w:rPr>
          <w:rFonts w:eastAsiaTheme="minorEastAsia"/>
          <w:iCs/>
        </w:rPr>
        <w:t>-level</w:t>
      </w:r>
      <w:r w:rsidR="00722C3A" w:rsidRPr="00F32020">
        <w:rPr>
          <w:rFonts w:eastAsiaTheme="minorEastAsia"/>
          <w:iCs/>
        </w:rPr>
        <w:t xml:space="preserve"> and country-level attributes </w:t>
      </w:r>
      <w:r w:rsidR="00F70077" w:rsidRPr="00F32020">
        <w:rPr>
          <w:rFonts w:eastAsiaTheme="minorEastAsia"/>
          <w:iCs/>
        </w:rPr>
        <w:t>as well as</w:t>
      </w:r>
      <w:r w:rsidR="00C33BB4" w:rsidRPr="00F32020">
        <w:rPr>
          <w:rFonts w:eastAsiaTheme="minorEastAsia"/>
          <w:iCs/>
        </w:rPr>
        <w:t xml:space="preserve"> other</w:t>
      </w:r>
      <w:r w:rsidR="00722C3A" w:rsidRPr="00F32020">
        <w:rPr>
          <w:rFonts w:eastAsiaTheme="minorEastAsia"/>
          <w:iCs/>
        </w:rPr>
        <w:t xml:space="preserve"> fixed effects</w:t>
      </w:r>
      <w:r w:rsidR="00B62645" w:rsidRPr="00F32020">
        <w:rPr>
          <w:rFonts w:eastAsiaTheme="minorEastAsia"/>
          <w:iCs/>
        </w:rPr>
        <w:t xml:space="preserve"> (regional, industry, etc.)</w:t>
      </w:r>
      <w:r w:rsidR="00F70077" w:rsidRPr="00F32020">
        <w:rPr>
          <w:rFonts w:eastAsiaTheme="minorEastAsia"/>
          <w:iCs/>
        </w:rPr>
        <w:t>.</w:t>
      </w:r>
      <w:r w:rsidR="00722C3A" w:rsidRPr="00F32020">
        <w:rPr>
          <w:rFonts w:eastAsiaTheme="minorEastAsia"/>
          <w:iCs/>
        </w:rPr>
        <w:t xml:space="preserve"> </w:t>
      </w:r>
      <w:r w:rsidR="00DD0D00" w:rsidRPr="00F32020">
        <w:rPr>
          <w:rFonts w:eastAsiaTheme="minorEastAsia"/>
          <w:iCs/>
        </w:rPr>
        <w:t>In particular,</w:t>
      </w:r>
      <w:r w:rsidR="00C33BB4" w:rsidRPr="00F32020">
        <w:rPr>
          <w:rFonts w:eastAsiaTheme="minorEastAsia"/>
          <w:iCs/>
        </w:rPr>
        <w:t xml:space="preserve"> taking into account the </w:t>
      </w:r>
      <w:r w:rsidR="0000208D" w:rsidRPr="00F32020">
        <w:rPr>
          <w:rFonts w:eastAsiaTheme="minorEastAsia"/>
          <w:iCs/>
        </w:rPr>
        <w:t xml:space="preserve">comprehensive </w:t>
      </w:r>
      <w:r w:rsidR="00C33BB4" w:rsidRPr="00F32020">
        <w:rPr>
          <w:rFonts w:eastAsiaTheme="minorEastAsia"/>
          <w:iCs/>
        </w:rPr>
        <w:t>baseline model (Column 4),</w:t>
      </w:r>
      <w:r w:rsidR="00DD0D00" w:rsidRPr="00F32020">
        <w:rPr>
          <w:rFonts w:eastAsiaTheme="minorEastAsia"/>
          <w:iCs/>
        </w:rPr>
        <w:t xml:space="preserve"> </w:t>
      </w:r>
      <w:r w:rsidR="001C7703" w:rsidRPr="00F32020">
        <w:rPr>
          <w:rFonts w:eastAsiaTheme="minorEastAsia"/>
          <w:iCs/>
        </w:rPr>
        <w:t xml:space="preserve">for every single unit </w:t>
      </w:r>
      <w:r w:rsidR="00722C3A" w:rsidRPr="00F32020">
        <w:rPr>
          <w:rFonts w:eastAsiaTheme="minorEastAsia"/>
          <w:iCs/>
        </w:rPr>
        <w:t xml:space="preserve">of increase in </w:t>
      </w:r>
      <w:r w:rsidR="001C7703" w:rsidRPr="00F32020">
        <w:rPr>
          <w:rFonts w:eastAsiaTheme="minorEastAsia"/>
          <w:iCs/>
        </w:rPr>
        <w:t>the diversity index, the odds of a venture being selected increase by 1.</w:t>
      </w:r>
      <w:r w:rsidR="00C33BB4" w:rsidRPr="00F32020">
        <w:rPr>
          <w:rFonts w:eastAsiaTheme="minorEastAsia"/>
          <w:iCs/>
        </w:rPr>
        <w:t>090</w:t>
      </w:r>
      <w:r w:rsidR="001C7703" w:rsidRPr="00F32020">
        <w:rPr>
          <w:rFonts w:eastAsiaTheme="minorEastAsia"/>
          <w:iCs/>
        </w:rPr>
        <w:t xml:space="preserve">, </w:t>
      </w:r>
      <w:r w:rsidR="001C7703" w:rsidRPr="00F32020">
        <w:rPr>
          <w:rFonts w:eastAsiaTheme="minorEastAsia"/>
          <w:i/>
        </w:rPr>
        <w:t>ceteris paribus</w:t>
      </w:r>
      <w:r w:rsidR="001C7703" w:rsidRPr="00F32020">
        <w:rPr>
          <w:rFonts w:eastAsiaTheme="minorEastAsia"/>
          <w:iCs/>
        </w:rPr>
        <w:t xml:space="preserve">. To put this into context, the cultural diversity index in our sample takes values between 0 and 5.49. </w:t>
      </w:r>
      <w:r w:rsidR="00D41C31">
        <w:rPr>
          <w:rFonts w:eastAsiaTheme="minorEastAsia"/>
          <w:iCs/>
        </w:rPr>
        <w:t>For</w:t>
      </w:r>
      <w:r w:rsidR="00D41C31" w:rsidRPr="00F32020">
        <w:rPr>
          <w:rFonts w:eastAsiaTheme="minorEastAsia"/>
          <w:iCs/>
        </w:rPr>
        <w:t xml:space="preserve"> </w:t>
      </w:r>
      <w:r w:rsidR="001C7703" w:rsidRPr="00F32020">
        <w:rPr>
          <w:rFonts w:eastAsiaTheme="minorEastAsia"/>
          <w:iCs/>
        </w:rPr>
        <w:t>two ventures with these values</w:t>
      </w:r>
      <w:r w:rsidR="00F9443D" w:rsidRPr="00F32020">
        <w:rPr>
          <w:rFonts w:eastAsiaTheme="minorEastAsia"/>
          <w:iCs/>
        </w:rPr>
        <w:t>, all else equal,</w:t>
      </w:r>
      <w:r w:rsidR="001C7703" w:rsidRPr="00F32020">
        <w:rPr>
          <w:rFonts w:eastAsiaTheme="minorEastAsia"/>
          <w:iCs/>
        </w:rPr>
        <w:t xml:space="preserve"> the most culturally diverse venture in our sample </w:t>
      </w:r>
      <w:r w:rsidR="00F9443D" w:rsidRPr="00F32020">
        <w:rPr>
          <w:rFonts w:eastAsiaTheme="minorEastAsia"/>
          <w:iCs/>
        </w:rPr>
        <w:t>is</w:t>
      </w:r>
      <w:r w:rsidR="001C7703" w:rsidRPr="00F32020">
        <w:rPr>
          <w:rFonts w:eastAsiaTheme="minorEastAsia"/>
          <w:iCs/>
        </w:rPr>
        <w:t xml:space="preserve"> </w:t>
      </w:r>
      <w:r w:rsidR="00C33BB4" w:rsidRPr="00F32020">
        <w:rPr>
          <w:rFonts w:eastAsiaTheme="minorEastAsia"/>
          <w:iCs/>
        </w:rPr>
        <w:t>5.98</w:t>
      </w:r>
      <w:r w:rsidR="00F9443D" w:rsidRPr="00F32020">
        <w:rPr>
          <w:rFonts w:eastAsiaTheme="minorEastAsia"/>
          <w:iCs/>
        </w:rPr>
        <w:t xml:space="preserve"> (</w:t>
      </w:r>
      <m:oMath>
        <m:r>
          <w:rPr>
            <w:rFonts w:ascii="Cambria Math" w:eastAsiaTheme="minorEastAsia" w:hAnsi="Cambria Math"/>
          </w:rPr>
          <m:t>=1.090×5.49</m:t>
        </m:r>
      </m:oMath>
      <w:r w:rsidR="00F9443D" w:rsidRPr="00F32020">
        <w:rPr>
          <w:rFonts w:eastAsiaTheme="minorEastAsia"/>
          <w:iCs/>
        </w:rPr>
        <w:t>) times more likely to be selected compared to any other non-</w:t>
      </w:r>
      <w:r w:rsidR="00F07861" w:rsidRPr="00F32020">
        <w:rPr>
          <w:rFonts w:eastAsiaTheme="minorEastAsia"/>
          <w:iCs/>
        </w:rPr>
        <w:t xml:space="preserve">culturally </w:t>
      </w:r>
      <w:r w:rsidR="00F9443D" w:rsidRPr="00F32020">
        <w:rPr>
          <w:rFonts w:eastAsiaTheme="minorEastAsia"/>
          <w:iCs/>
        </w:rPr>
        <w:t>diverse venture.</w:t>
      </w:r>
      <w:r w:rsidR="000A62F6" w:rsidRPr="00F32020">
        <w:rPr>
          <w:rFonts w:eastAsiaTheme="minorEastAsia"/>
          <w:iCs/>
        </w:rPr>
        <w:t xml:space="preserve"> </w:t>
      </w:r>
      <w:r w:rsidR="006F0B9D" w:rsidRPr="00F32020">
        <w:rPr>
          <w:rFonts w:eastAsiaTheme="minorEastAsia"/>
          <w:iCs/>
        </w:rPr>
        <w:t xml:space="preserve">Thus, our results support </w:t>
      </w:r>
      <w:r w:rsidR="006F0B9D" w:rsidRPr="00F32020">
        <w:rPr>
          <w:rFonts w:eastAsiaTheme="minorEastAsia"/>
          <w:iCs/>
        </w:rPr>
        <w:lastRenderedPageBreak/>
        <w:t>Hypothesis 1a, indicating that the cultural diversity of the found</w:t>
      </w:r>
      <w:r w:rsidR="00D03390" w:rsidRPr="00F32020">
        <w:rPr>
          <w:rFonts w:eastAsiaTheme="minorEastAsia"/>
          <w:iCs/>
        </w:rPr>
        <w:t>er</w:t>
      </w:r>
      <w:r w:rsidR="009E135D" w:rsidRPr="00F32020">
        <w:rPr>
          <w:rFonts w:eastAsiaTheme="minorEastAsia"/>
          <w:iCs/>
        </w:rPr>
        <w:t>s</w:t>
      </w:r>
      <w:r w:rsidR="006F0B9D" w:rsidRPr="00F32020">
        <w:rPr>
          <w:rFonts w:eastAsiaTheme="minorEastAsia"/>
          <w:iCs/>
        </w:rPr>
        <w:t xml:space="preserve"> serve</w:t>
      </w:r>
      <w:r w:rsidR="009E135D" w:rsidRPr="00F32020">
        <w:rPr>
          <w:rFonts w:eastAsiaTheme="minorEastAsia"/>
          <w:iCs/>
        </w:rPr>
        <w:t>s</w:t>
      </w:r>
      <w:r w:rsidR="006F0B9D" w:rsidRPr="00F32020">
        <w:rPr>
          <w:rFonts w:eastAsiaTheme="minorEastAsia"/>
          <w:iCs/>
        </w:rPr>
        <w:t xml:space="preserve"> as a</w:t>
      </w:r>
      <w:r w:rsidR="009E135D" w:rsidRPr="00F32020">
        <w:rPr>
          <w:rFonts w:eastAsiaTheme="minorEastAsia"/>
          <w:iCs/>
        </w:rPr>
        <w:t xml:space="preserve"> positive</w:t>
      </w:r>
      <w:r w:rsidR="006F0B9D" w:rsidRPr="00F32020">
        <w:rPr>
          <w:rFonts w:eastAsiaTheme="minorEastAsia"/>
          <w:iCs/>
        </w:rPr>
        <w:t xml:space="preserve"> signal </w:t>
      </w:r>
      <w:r w:rsidR="00D03390" w:rsidRPr="00F32020">
        <w:t>that communicates the potential of a diverse team across a range of capabilities</w:t>
      </w:r>
      <w:r w:rsidR="00E07DB5" w:rsidRPr="00F32020">
        <w:t xml:space="preserve">, </w:t>
      </w:r>
      <w:r w:rsidR="00636030" w:rsidRPr="00F32020">
        <w:t>and</w:t>
      </w:r>
      <w:r w:rsidR="00E07DB5" w:rsidRPr="00F32020">
        <w:t xml:space="preserve"> in turn affects the decisions of accelerators.</w:t>
      </w:r>
      <w:r w:rsidR="005038BC" w:rsidRPr="00F32020">
        <w:t xml:space="preserve"> These capabilities may include, among others, </w:t>
      </w:r>
      <w:r w:rsidR="005038BC" w:rsidRPr="00F32020">
        <w:rPr>
          <w:rFonts w:eastAsiaTheme="minorHAnsi"/>
          <w:lang w:eastAsia="en-US"/>
        </w:rPr>
        <w:t xml:space="preserve">better environmental scanning and perception of complex environments, better perceptions of trends and risks, better recognition of special customer wishes and market developments, higher ability to prepare for unexpected events, consideration of a larger set of potential solutions, </w:t>
      </w:r>
      <w:r w:rsidR="005038BC" w:rsidRPr="00F32020">
        <w:t xml:space="preserve">and the ability to arrive at more innovative solutions (Bantel and Jackson, 1989; Umans, 2009; Nielsen and Nielsen, 2013; </w:t>
      </w:r>
      <w:r w:rsidR="005038BC" w:rsidRPr="00F32020">
        <w:rPr>
          <w:rFonts w:eastAsiaTheme="minorHAnsi"/>
          <w:lang w:eastAsia="en-US"/>
        </w:rPr>
        <w:t>Duchek et al., 2020</w:t>
      </w:r>
      <w:r w:rsidR="005038BC" w:rsidRPr="00F32020">
        <w:t>).</w:t>
      </w:r>
      <w:r w:rsidR="00D03390" w:rsidRPr="00F32020">
        <w:t xml:space="preserve"> </w:t>
      </w:r>
    </w:p>
    <w:p w14:paraId="3DB448E2" w14:textId="77777777" w:rsidR="00A85719" w:rsidRPr="00F32020" w:rsidRDefault="00803606" w:rsidP="005546EC">
      <w:pPr>
        <w:spacing w:line="480" w:lineRule="auto"/>
        <w:ind w:firstLine="720"/>
        <w:jc w:val="center"/>
      </w:pPr>
      <w:r w:rsidRPr="00F32020">
        <w:tab/>
      </w:r>
    </w:p>
    <w:p w14:paraId="1B0E5A5C" w14:textId="1F022F9B" w:rsidR="00A85719" w:rsidRPr="00F32020" w:rsidRDefault="00E00EB7" w:rsidP="005546EC">
      <w:pPr>
        <w:spacing w:line="480" w:lineRule="auto"/>
        <w:ind w:firstLine="720"/>
        <w:jc w:val="center"/>
        <w:rPr>
          <w:rFonts w:eastAsiaTheme="minorEastAsia"/>
          <w:iCs/>
        </w:rPr>
      </w:pPr>
      <w:r w:rsidRPr="00F32020">
        <w:t xml:space="preserve"> </w:t>
      </w:r>
      <w:r w:rsidR="00A85719" w:rsidRPr="00F32020">
        <w:rPr>
          <w:rFonts w:eastAsiaTheme="minorEastAsia"/>
          <w:iCs/>
        </w:rPr>
        <w:t>[INSERT TABLE 2 ABOUT HERE]</w:t>
      </w:r>
    </w:p>
    <w:p w14:paraId="1AF24FB0" w14:textId="77777777" w:rsidR="00B64E20" w:rsidRPr="00F32020" w:rsidRDefault="00B64E20" w:rsidP="005546EC">
      <w:pPr>
        <w:autoSpaceDE w:val="0"/>
        <w:autoSpaceDN w:val="0"/>
        <w:adjustRightInd w:val="0"/>
        <w:spacing w:line="480" w:lineRule="auto"/>
        <w:jc w:val="both"/>
      </w:pPr>
    </w:p>
    <w:p w14:paraId="5DD5F841" w14:textId="01A3AAC4" w:rsidR="00B64E20" w:rsidRPr="00F32020" w:rsidRDefault="00B64E20" w:rsidP="005546EC">
      <w:pPr>
        <w:autoSpaceDE w:val="0"/>
        <w:autoSpaceDN w:val="0"/>
        <w:adjustRightInd w:val="0"/>
        <w:spacing w:line="480" w:lineRule="auto"/>
        <w:ind w:firstLine="720"/>
        <w:jc w:val="both"/>
      </w:pPr>
      <w:r w:rsidRPr="00F32020">
        <w:t xml:space="preserve">As it concerns the other indicators of </w:t>
      </w:r>
      <w:r w:rsidR="00FE2E6B" w:rsidRPr="00F32020">
        <w:t xml:space="preserve">the founding team’s </w:t>
      </w:r>
      <w:r w:rsidRPr="00F32020">
        <w:t>human capital</w:t>
      </w:r>
      <w:r w:rsidR="00FE2E6B" w:rsidRPr="00F32020">
        <w:t xml:space="preserve"> and demographic characteristics</w:t>
      </w:r>
      <w:r w:rsidRPr="00F32020">
        <w:t xml:space="preserve">, </w:t>
      </w:r>
      <w:r w:rsidR="00FE215E" w:rsidRPr="00F32020">
        <w:t xml:space="preserve">the results in </w:t>
      </w:r>
      <w:r w:rsidR="0000208D" w:rsidRPr="00F32020">
        <w:t>C</w:t>
      </w:r>
      <w:r w:rsidR="00FE215E" w:rsidRPr="00F32020">
        <w:t>olumn 3 show that</w:t>
      </w:r>
      <w:r w:rsidR="0000208D" w:rsidRPr="00F32020">
        <w:t>,</w:t>
      </w:r>
      <w:r w:rsidR="00FE215E" w:rsidRPr="00F32020">
        <w:t xml:space="preserve"> consistent with our expectations</w:t>
      </w:r>
      <w:r w:rsidR="0000208D" w:rsidRPr="00F32020">
        <w:t>,</w:t>
      </w:r>
      <w:r w:rsidR="00FE215E" w:rsidRPr="00F32020">
        <w:t xml:space="preserve"> the education of the founding team is positively associated, and the average age is negatively associated with the admission likelihood. Furthermore, higher proportion of female founders enhances the probability of admission. The only human capital characteristic that does not have a statistically significant effect is the average prior </w:t>
      </w:r>
      <w:r w:rsidR="006E31D5" w:rsidRPr="00F32020">
        <w:t>founding</w:t>
      </w:r>
      <w:r w:rsidR="00FE215E" w:rsidRPr="00F32020">
        <w:t xml:space="preserve"> experience of the founding team.</w:t>
      </w:r>
    </w:p>
    <w:p w14:paraId="3EDE83A6" w14:textId="5E73494C" w:rsidR="005330C1" w:rsidRPr="00F32020" w:rsidRDefault="0060327D" w:rsidP="005546EC">
      <w:pPr>
        <w:spacing w:line="480" w:lineRule="auto"/>
        <w:ind w:firstLine="720"/>
        <w:jc w:val="both"/>
        <w:rPr>
          <w:lang w:val="en-US"/>
        </w:rPr>
      </w:pPr>
      <w:bookmarkStart w:id="18" w:name="_Hlk181952765"/>
      <w:r w:rsidRPr="00F32020">
        <w:t xml:space="preserve">Before proceeding to the examination of the potential interaction between </w:t>
      </w:r>
      <w:r w:rsidR="0019614A" w:rsidRPr="00F32020">
        <w:t xml:space="preserve">the </w:t>
      </w:r>
      <w:r w:rsidRPr="00F32020">
        <w:t xml:space="preserve">cultural diversity and </w:t>
      </w:r>
      <w:r w:rsidR="0019614A" w:rsidRPr="00F32020">
        <w:t xml:space="preserve">the </w:t>
      </w:r>
      <w:r w:rsidRPr="00F32020">
        <w:t xml:space="preserve">other signals </w:t>
      </w:r>
      <w:r w:rsidR="0019614A" w:rsidRPr="00F32020">
        <w:t>about the</w:t>
      </w:r>
      <w:r w:rsidRPr="00F32020">
        <w:t xml:space="preserve"> </w:t>
      </w:r>
      <w:r w:rsidR="0019614A" w:rsidRPr="00F32020">
        <w:t xml:space="preserve">founding team’s </w:t>
      </w:r>
      <w:r w:rsidRPr="00F32020">
        <w:t>human capital</w:t>
      </w:r>
      <w:r w:rsidR="0019614A" w:rsidRPr="00F32020">
        <w:t xml:space="preserve"> and demographic characteristics</w:t>
      </w:r>
      <w:r w:rsidRPr="00F32020">
        <w:t>, we conduct various tests to confirm the robustness of the key finding</w:t>
      </w:r>
      <w:r w:rsidR="0000208D" w:rsidRPr="00F32020">
        <w:t>s</w:t>
      </w:r>
      <w:r w:rsidRPr="00F32020">
        <w:t xml:space="preserve"> about the role of cultural diversity. We outline these estimations below, and we provide more details and </w:t>
      </w:r>
      <w:r w:rsidR="003A319D" w:rsidRPr="00F32020">
        <w:t xml:space="preserve">some of </w:t>
      </w:r>
      <w:r w:rsidRPr="00F32020">
        <w:t xml:space="preserve">the estimations in </w:t>
      </w:r>
      <w:r w:rsidR="003A319D" w:rsidRPr="00F32020">
        <w:t>section I</w:t>
      </w:r>
      <w:r w:rsidR="00786019" w:rsidRPr="00F32020">
        <w:t>V</w:t>
      </w:r>
      <w:r w:rsidR="003A319D" w:rsidRPr="00F32020">
        <w:t xml:space="preserve"> of the </w:t>
      </w:r>
      <w:r w:rsidR="00D54D8F" w:rsidRPr="00F32020">
        <w:t xml:space="preserve">online </w:t>
      </w:r>
      <w:r w:rsidR="00EB6FA6" w:rsidRPr="00F32020">
        <w:t>a</w:t>
      </w:r>
      <w:r w:rsidRPr="00F32020">
        <w:t>ppendix</w:t>
      </w:r>
      <w:r w:rsidR="00D857DF" w:rsidRPr="00F32020">
        <w:t xml:space="preserve">. </w:t>
      </w:r>
      <w:bookmarkEnd w:id="18"/>
    </w:p>
    <w:p w14:paraId="5B1E5DA1" w14:textId="2797D7E1" w:rsidR="006056AF" w:rsidRPr="00F32020" w:rsidRDefault="008B189D" w:rsidP="006056AF">
      <w:pPr>
        <w:spacing w:line="480" w:lineRule="auto"/>
        <w:ind w:firstLine="720"/>
        <w:jc w:val="both"/>
      </w:pPr>
      <w:r w:rsidRPr="00F32020">
        <w:t>First</w:t>
      </w:r>
      <w:r w:rsidR="002E134B" w:rsidRPr="00F32020">
        <w:t xml:space="preserve">, we </w:t>
      </w:r>
      <w:r w:rsidR="0073516E" w:rsidRPr="00F32020">
        <w:t>use alternative versions of the</w:t>
      </w:r>
      <w:r w:rsidR="002E134B" w:rsidRPr="00F32020">
        <w:t xml:space="preserve"> cultural</w:t>
      </w:r>
      <w:r w:rsidR="0073516E" w:rsidRPr="00F32020">
        <w:t xml:space="preserve"> diversity</w:t>
      </w:r>
      <w:r w:rsidR="002E134B" w:rsidRPr="00F32020">
        <w:t xml:space="preserve"> index by using: (i) all </w:t>
      </w:r>
      <w:r w:rsidR="00D351E1" w:rsidRPr="00F32020">
        <w:t>six</w:t>
      </w:r>
      <w:r w:rsidR="002E134B" w:rsidRPr="00F32020">
        <w:t xml:space="preserve"> indicators of Hofstede </w:t>
      </w:r>
      <w:r w:rsidR="0000208D" w:rsidRPr="00F32020">
        <w:t xml:space="preserve">or </w:t>
      </w:r>
      <w:r w:rsidR="002E134B" w:rsidRPr="00F32020">
        <w:t xml:space="preserve">(ii) the cultural indicators from the Global Leadership and </w:t>
      </w:r>
      <w:r w:rsidR="002E134B" w:rsidRPr="00F32020">
        <w:lastRenderedPageBreak/>
        <w:t>Organi</w:t>
      </w:r>
      <w:r w:rsidR="00C3538E" w:rsidRPr="00F32020">
        <w:t>s</w:t>
      </w:r>
      <w:r w:rsidR="002E134B" w:rsidRPr="00F32020">
        <w:t xml:space="preserve">ational Behaviour Effectiveness (GLOBE) project (House et., 2004). </w:t>
      </w:r>
      <w:r w:rsidR="001808A3" w:rsidRPr="00F32020">
        <w:t>Second</w:t>
      </w:r>
      <w:r w:rsidR="002E134B" w:rsidRPr="00F32020">
        <w:t>, in terms of the size of the founding team, we drop from the analysis</w:t>
      </w:r>
      <w:r w:rsidR="0073516E" w:rsidRPr="00F32020">
        <w:t xml:space="preserve"> </w:t>
      </w:r>
      <w:r w:rsidR="002E134B" w:rsidRPr="00F32020">
        <w:t>the ventures that have</w:t>
      </w:r>
      <w:r w:rsidR="0073516E" w:rsidRPr="00F32020">
        <w:t>:</w:t>
      </w:r>
      <w:r w:rsidR="002E134B" w:rsidRPr="00F32020">
        <w:t xml:space="preserve"> </w:t>
      </w:r>
      <w:r w:rsidR="0073516E" w:rsidRPr="00F32020">
        <w:t xml:space="preserve">(i) </w:t>
      </w:r>
      <w:r w:rsidR="002E134B" w:rsidRPr="00F32020">
        <w:t xml:space="preserve">a single founder, and (ii) </w:t>
      </w:r>
      <w:r w:rsidR="00D351E1" w:rsidRPr="00F32020">
        <w:t>four</w:t>
      </w:r>
      <w:r w:rsidR="002E134B" w:rsidRPr="00F32020">
        <w:t xml:space="preserve"> or more founders. </w:t>
      </w:r>
      <w:r w:rsidR="001808A3" w:rsidRPr="00F32020">
        <w:t>Third</w:t>
      </w:r>
      <w:r w:rsidR="002E134B" w:rsidRPr="00F32020">
        <w:t xml:space="preserve">, we account for whether the </w:t>
      </w:r>
      <w:bookmarkStart w:id="19" w:name="_Hlk212145769"/>
      <w:r w:rsidR="002E134B" w:rsidRPr="00F32020">
        <w:t>venture is operating in a developed or developing country</w:t>
      </w:r>
      <w:bookmarkEnd w:id="19"/>
      <w:r w:rsidR="002E134B" w:rsidRPr="00F32020">
        <w:t xml:space="preserve">. </w:t>
      </w:r>
      <w:bookmarkStart w:id="20" w:name="_Hlk181952797"/>
      <w:r w:rsidR="001808A3" w:rsidRPr="00F32020">
        <w:t>Fourth</w:t>
      </w:r>
      <w:r w:rsidR="002E134B" w:rsidRPr="00F32020">
        <w:t>, we account for the fact that some founders live in a different country than the one they were born</w:t>
      </w:r>
      <w:r w:rsidR="0000208D" w:rsidRPr="00F32020">
        <w:t xml:space="preserve"> in</w:t>
      </w:r>
      <w:r w:rsidR="002E134B" w:rsidRPr="00F32020">
        <w:t xml:space="preserve">. In all these cases, we continue to find that </w:t>
      </w:r>
      <w:r w:rsidR="0073516E" w:rsidRPr="00F32020">
        <w:t>the cultural diversity of the founders’ team has a positive and statistically significant association with the probability to be admitted into an accelerators’ program</w:t>
      </w:r>
      <w:r w:rsidR="00357A5D" w:rsidRPr="00F32020">
        <w:t>me</w:t>
      </w:r>
      <w:r w:rsidR="0073516E" w:rsidRPr="00F32020">
        <w:t xml:space="preserve">. </w:t>
      </w:r>
      <w:bookmarkEnd w:id="20"/>
    </w:p>
    <w:p w14:paraId="53E0A9D6" w14:textId="023F8D5A" w:rsidR="008B189D" w:rsidRPr="00F32020" w:rsidRDefault="008B189D" w:rsidP="006056AF">
      <w:pPr>
        <w:spacing w:line="480" w:lineRule="auto"/>
        <w:ind w:firstLine="720"/>
        <w:jc w:val="both"/>
      </w:pPr>
      <w:r w:rsidRPr="00F32020">
        <w:t>Finally, in terms of methodology, we: (i) estimate a standard (non-hierarchical) logistic regression model, (ii) estimate a linear probability model with the use of OLS, (iii) use country-fixed effects, (iv) cluster the errors at different levels (i.e. accelerator programme, application year, and venture), and (v) use the following three techniques to address potential endogeneity concerns: (a) a Two-Stage Residual Inclusion model, (b) a Probit model with endogenous covariates, and (c) a Two-Stage Least Square model.</w:t>
      </w:r>
      <w:r w:rsidR="004670AF" w:rsidRPr="00F32020">
        <w:rPr>
          <w:rFonts w:eastAsiaTheme="minorEastAsia"/>
          <w:iCs/>
        </w:rPr>
        <w:t xml:space="preserve"> </w:t>
      </w:r>
      <w:r w:rsidR="003754D1" w:rsidRPr="00F32020">
        <w:rPr>
          <w:rFonts w:eastAsiaTheme="minorEastAsia"/>
          <w:iCs/>
        </w:rPr>
        <w:t xml:space="preserve">In the case of the last three </w:t>
      </w:r>
      <w:r w:rsidR="001808A3" w:rsidRPr="00F32020">
        <w:rPr>
          <w:rFonts w:eastAsiaTheme="minorEastAsia"/>
          <w:iCs/>
        </w:rPr>
        <w:t xml:space="preserve">techniques, we instrument culture by </w:t>
      </w:r>
      <w:r w:rsidR="00925E6D" w:rsidRPr="00F32020">
        <w:t xml:space="preserve">the </w:t>
      </w:r>
      <w:r w:rsidR="004670AF" w:rsidRPr="00F32020">
        <w:t>agricultural potential</w:t>
      </w:r>
      <w:r w:rsidR="00925E6D" w:rsidRPr="00F32020">
        <w:t xml:space="preserve"> of the country</w:t>
      </w:r>
      <w:r w:rsidR="004670AF" w:rsidRPr="00F32020">
        <w:rPr>
          <w:lang w:eastAsia="ja-JP"/>
        </w:rPr>
        <w:t xml:space="preserve"> </w:t>
      </w:r>
      <w:r w:rsidR="003754D1" w:rsidRPr="00F32020">
        <w:rPr>
          <w:lang w:eastAsia="ja-JP"/>
        </w:rPr>
        <w:t xml:space="preserve">and </w:t>
      </w:r>
      <w:r w:rsidR="004670AF" w:rsidRPr="00F32020">
        <w:rPr>
          <w:rFonts w:eastAsiaTheme="minorHAnsi"/>
          <w:lang w:eastAsia="en-US"/>
        </w:rPr>
        <w:t>migratory distance from East Africa</w:t>
      </w:r>
      <w:r w:rsidR="001808A3" w:rsidRPr="00F32020">
        <w:rPr>
          <w:rFonts w:eastAsiaTheme="minorHAnsi"/>
          <w:lang w:eastAsia="en-US"/>
        </w:rPr>
        <w:t>.</w:t>
      </w:r>
      <w:r w:rsidR="00925E6D" w:rsidRPr="00F32020">
        <w:rPr>
          <w:rFonts w:eastAsiaTheme="minorHAnsi"/>
          <w:lang w:eastAsia="en-US"/>
        </w:rPr>
        <w:t xml:space="preserve"> </w:t>
      </w:r>
      <w:r w:rsidR="001808A3" w:rsidRPr="00F32020">
        <w:rPr>
          <w:rFonts w:eastAsiaTheme="minorHAnsi"/>
          <w:lang w:eastAsia="en-US"/>
        </w:rPr>
        <w:t>To do so, we</w:t>
      </w:r>
      <w:r w:rsidR="00925E6D" w:rsidRPr="00F32020">
        <w:rPr>
          <w:rFonts w:eastAsiaTheme="minorHAnsi"/>
          <w:lang w:eastAsia="en-US"/>
        </w:rPr>
        <w:t xml:space="preserve"> construct venture-specific indicators of diversity along these two dimensions, based on the country of origin of the founders as we did earlier for the cultural diversity indicator</w:t>
      </w:r>
      <w:r w:rsidR="004670AF" w:rsidRPr="00F32020">
        <w:rPr>
          <w:rFonts w:eastAsiaTheme="minorHAnsi"/>
          <w:lang w:eastAsia="en-US"/>
        </w:rPr>
        <w:t>.</w:t>
      </w:r>
      <w:r w:rsidR="00372E46" w:rsidRPr="00F32020">
        <w:rPr>
          <w:rFonts w:eastAsiaTheme="minorHAnsi"/>
          <w:lang w:eastAsia="en-US"/>
        </w:rPr>
        <w:t xml:space="preserve"> </w:t>
      </w:r>
      <w:r w:rsidR="00925E6D" w:rsidRPr="00F32020">
        <w:rPr>
          <w:rFonts w:eastAsiaTheme="minorHAnsi"/>
          <w:lang w:eastAsia="en-US"/>
        </w:rPr>
        <w:t>Then we use the</w:t>
      </w:r>
      <w:r w:rsidR="005B6E86" w:rsidRPr="00F32020">
        <w:rPr>
          <w:rFonts w:eastAsiaTheme="minorHAnsi"/>
          <w:lang w:eastAsia="en-US"/>
        </w:rPr>
        <w:t>se</w:t>
      </w:r>
      <w:r w:rsidR="001808A3" w:rsidRPr="00F32020">
        <w:rPr>
          <w:rFonts w:eastAsiaTheme="minorHAnsi"/>
          <w:lang w:eastAsia="en-US"/>
        </w:rPr>
        <w:t xml:space="preserve"> two</w:t>
      </w:r>
      <w:r w:rsidR="005B6E86" w:rsidRPr="00F32020">
        <w:rPr>
          <w:rFonts w:eastAsiaTheme="minorHAnsi"/>
          <w:lang w:eastAsia="en-US"/>
        </w:rPr>
        <w:t xml:space="preserve"> </w:t>
      </w:r>
      <w:r w:rsidR="001808A3" w:rsidRPr="00F32020">
        <w:rPr>
          <w:rFonts w:eastAsiaTheme="minorHAnsi"/>
          <w:lang w:eastAsia="en-US"/>
        </w:rPr>
        <w:t>variables</w:t>
      </w:r>
      <w:r w:rsidR="00925E6D" w:rsidRPr="00F32020">
        <w:rPr>
          <w:rFonts w:eastAsiaTheme="minorHAnsi"/>
          <w:lang w:eastAsia="en-US"/>
        </w:rPr>
        <w:t xml:space="preserve"> as instruments of cultural diversity. </w:t>
      </w:r>
      <w:r w:rsidR="00372E46" w:rsidRPr="00F32020">
        <w:rPr>
          <w:rFonts w:eastAsiaTheme="minorHAnsi"/>
          <w:lang w:eastAsia="en-US"/>
        </w:rPr>
        <w:t>We present the</w:t>
      </w:r>
      <w:r w:rsidR="005B6E86" w:rsidRPr="00F32020">
        <w:rPr>
          <w:rFonts w:eastAsiaTheme="minorHAnsi"/>
          <w:lang w:eastAsia="en-US"/>
        </w:rPr>
        <w:t xml:space="preserve">se results </w:t>
      </w:r>
      <w:r w:rsidR="00372E46" w:rsidRPr="00F32020">
        <w:rPr>
          <w:rFonts w:eastAsiaTheme="minorHAnsi"/>
          <w:lang w:eastAsia="en-US"/>
        </w:rPr>
        <w:t>in Table 3.</w:t>
      </w:r>
      <w:r w:rsidR="005B6E86" w:rsidRPr="00F32020">
        <w:rPr>
          <w:rStyle w:val="FootnoteReference"/>
          <w:rFonts w:eastAsiaTheme="minorHAnsi"/>
          <w:lang w:eastAsia="en-US"/>
        </w:rPr>
        <w:footnoteReference w:id="2"/>
      </w:r>
      <w:r w:rsidR="00372E46" w:rsidRPr="00F32020">
        <w:rPr>
          <w:rFonts w:eastAsiaTheme="minorHAnsi"/>
          <w:lang w:eastAsia="en-US"/>
        </w:rPr>
        <w:t xml:space="preserve"> </w:t>
      </w:r>
      <w:r w:rsidR="005B6E86" w:rsidRPr="00F32020">
        <w:rPr>
          <w:rFonts w:eastAsiaTheme="minorHAnsi"/>
          <w:lang w:eastAsia="en-US"/>
        </w:rPr>
        <w:t xml:space="preserve">Our results hold. </w:t>
      </w:r>
    </w:p>
    <w:p w14:paraId="59AFEF80" w14:textId="77777777" w:rsidR="0050698E" w:rsidRPr="00F32020" w:rsidRDefault="0050698E" w:rsidP="005546EC">
      <w:pPr>
        <w:spacing w:line="480" w:lineRule="auto"/>
        <w:jc w:val="both"/>
        <w:rPr>
          <w:b/>
          <w:bCs/>
          <w:i/>
          <w:iCs/>
        </w:rPr>
      </w:pPr>
    </w:p>
    <w:p w14:paraId="1C78DE1D" w14:textId="24C8DBB6" w:rsidR="0022422D" w:rsidRPr="00F32020" w:rsidRDefault="0022422D" w:rsidP="0022422D">
      <w:pPr>
        <w:spacing w:line="480" w:lineRule="auto"/>
        <w:ind w:firstLine="720"/>
        <w:jc w:val="center"/>
        <w:rPr>
          <w:rFonts w:eastAsiaTheme="minorEastAsia"/>
          <w:iCs/>
        </w:rPr>
      </w:pPr>
      <w:r w:rsidRPr="00F32020">
        <w:rPr>
          <w:rFonts w:eastAsiaTheme="minorEastAsia"/>
          <w:iCs/>
        </w:rPr>
        <w:t>[INSERT TABLE 3 ABOUT HERE]</w:t>
      </w:r>
    </w:p>
    <w:p w14:paraId="321C68C0" w14:textId="77777777" w:rsidR="0022422D" w:rsidRPr="00F32020" w:rsidRDefault="0022422D" w:rsidP="005546EC">
      <w:pPr>
        <w:spacing w:line="480" w:lineRule="auto"/>
        <w:jc w:val="both"/>
        <w:rPr>
          <w:b/>
          <w:bCs/>
          <w:i/>
          <w:iCs/>
        </w:rPr>
      </w:pPr>
    </w:p>
    <w:p w14:paraId="0A8ABF7F" w14:textId="77777777" w:rsidR="00CA4F49" w:rsidRPr="00AD7DB5" w:rsidRDefault="00CA4F49" w:rsidP="005546EC">
      <w:pPr>
        <w:spacing w:line="480" w:lineRule="auto"/>
        <w:jc w:val="both"/>
        <w:rPr>
          <w:b/>
          <w:bCs/>
          <w:i/>
          <w:iCs/>
          <w:lang w:val="en-US"/>
        </w:rPr>
      </w:pPr>
    </w:p>
    <w:p w14:paraId="6DC8DE10" w14:textId="77777777" w:rsidR="00CA4F49" w:rsidRPr="00AD7DB5" w:rsidRDefault="00CA4F49" w:rsidP="005546EC">
      <w:pPr>
        <w:spacing w:line="480" w:lineRule="auto"/>
        <w:jc w:val="both"/>
        <w:rPr>
          <w:b/>
          <w:bCs/>
          <w:i/>
          <w:iCs/>
          <w:lang w:val="en-US"/>
        </w:rPr>
      </w:pPr>
    </w:p>
    <w:p w14:paraId="67E56454" w14:textId="7A6E1FDA" w:rsidR="0073516E" w:rsidRPr="00F32020" w:rsidRDefault="0073516E" w:rsidP="005546EC">
      <w:pPr>
        <w:spacing w:line="480" w:lineRule="auto"/>
        <w:jc w:val="both"/>
        <w:rPr>
          <w:i/>
          <w:iCs/>
        </w:rPr>
      </w:pPr>
      <w:r w:rsidRPr="00F32020">
        <w:rPr>
          <w:b/>
          <w:bCs/>
          <w:i/>
          <w:iCs/>
        </w:rPr>
        <w:lastRenderedPageBreak/>
        <w:t>4.2.</w:t>
      </w:r>
      <w:r w:rsidRPr="00F32020">
        <w:rPr>
          <w:i/>
          <w:iCs/>
        </w:rPr>
        <w:t xml:space="preserve"> </w:t>
      </w:r>
      <w:r w:rsidRPr="00F32020">
        <w:rPr>
          <w:b/>
          <w:bCs/>
          <w:i/>
          <w:iCs/>
        </w:rPr>
        <w:t xml:space="preserve"> Interactions of </w:t>
      </w:r>
      <w:r w:rsidR="00593961" w:rsidRPr="00F32020">
        <w:rPr>
          <w:b/>
          <w:bCs/>
          <w:i/>
          <w:iCs/>
        </w:rPr>
        <w:t>c</w:t>
      </w:r>
      <w:r w:rsidRPr="00F32020">
        <w:rPr>
          <w:b/>
          <w:bCs/>
          <w:i/>
          <w:iCs/>
        </w:rPr>
        <w:t>ultural diversity with other signals</w:t>
      </w:r>
    </w:p>
    <w:p w14:paraId="1E16A769" w14:textId="20B2068D" w:rsidR="00C42D7E" w:rsidRPr="00F32020" w:rsidRDefault="00274BF9" w:rsidP="005546EC">
      <w:pPr>
        <w:spacing w:line="480" w:lineRule="auto"/>
        <w:jc w:val="both"/>
      </w:pPr>
      <w:r w:rsidRPr="00F32020">
        <w:t>In the regressions presented in Table 2</w:t>
      </w:r>
      <w:r w:rsidR="0000208D" w:rsidRPr="00F32020">
        <w:t>,</w:t>
      </w:r>
      <w:r w:rsidRPr="00F32020">
        <w:t xml:space="preserve"> we have not included interaction effects</w:t>
      </w:r>
      <w:r w:rsidR="00C42D7E" w:rsidRPr="00F32020">
        <w:t xml:space="preserve">. </w:t>
      </w:r>
      <w:r w:rsidR="00857A53" w:rsidRPr="00F32020">
        <w:t xml:space="preserve">We </w:t>
      </w:r>
      <w:r w:rsidR="00F3428B" w:rsidRPr="00F32020">
        <w:t>refrained from doing</w:t>
      </w:r>
      <w:r w:rsidR="00857A53" w:rsidRPr="00F32020">
        <w:t xml:space="preserve"> so in order</w:t>
      </w:r>
      <w:r w:rsidR="00C42D7E" w:rsidRPr="00F32020">
        <w:t xml:space="preserve"> </w:t>
      </w:r>
      <w:r w:rsidRPr="00F32020">
        <w:t xml:space="preserve">to examine the effect of </w:t>
      </w:r>
      <w:r w:rsidR="00C42D7E" w:rsidRPr="00F32020">
        <w:t xml:space="preserve">cultural diversity and other </w:t>
      </w:r>
      <w:r w:rsidRPr="00F32020">
        <w:t>signal</w:t>
      </w:r>
      <w:r w:rsidR="00C42D7E" w:rsidRPr="00F32020">
        <w:t>s on an individual basis,</w:t>
      </w:r>
      <w:r w:rsidRPr="00F32020">
        <w:t xml:space="preserve"> </w:t>
      </w:r>
      <w:r w:rsidR="006C57C7" w:rsidRPr="00F32020">
        <w:rPr>
          <w:i/>
          <w:iCs/>
        </w:rPr>
        <w:t>ceteris paribus</w:t>
      </w:r>
      <w:r w:rsidRPr="00F32020">
        <w:t>. The reason for this is that inclusion of the interaction term alters the standard interpretation of the coefficients of the main variables.</w:t>
      </w:r>
      <w:r w:rsidR="00A61415" w:rsidRPr="00F32020">
        <w:t xml:space="preserve"> </w:t>
      </w:r>
      <w:r w:rsidR="00F3428B" w:rsidRPr="00F32020">
        <w:t>For example, i</w:t>
      </w:r>
      <w:r w:rsidR="00A61415" w:rsidRPr="00F32020">
        <w:t>n the presence of an interaction term</w:t>
      </w:r>
      <w:r w:rsidR="00103283" w:rsidRPr="00F32020">
        <w:t xml:space="preserve"> between cultural diversity and </w:t>
      </w:r>
      <w:r w:rsidR="008F6892" w:rsidRPr="00F32020">
        <w:t xml:space="preserve">the average age of the founders, </w:t>
      </w:r>
      <w:r w:rsidR="00A61415" w:rsidRPr="00F32020">
        <w:t xml:space="preserve">the effect of cultural diversity is a conditioned coefficient. It reflects the effect of cultural diversity when the </w:t>
      </w:r>
      <w:r w:rsidR="008F6892" w:rsidRPr="00F32020">
        <w:t xml:space="preserve">value of the indicator for the </w:t>
      </w:r>
      <w:r w:rsidR="00A61415" w:rsidRPr="00F32020">
        <w:t xml:space="preserve">other signal </w:t>
      </w:r>
      <w:r w:rsidR="00F3428B" w:rsidRPr="00F32020">
        <w:t xml:space="preserve">(i.e. average age) </w:t>
      </w:r>
      <w:r w:rsidR="00A61415" w:rsidRPr="00F32020">
        <w:t>equals zero</w:t>
      </w:r>
      <w:r w:rsidR="008F6892" w:rsidRPr="00F32020">
        <w:t xml:space="preserve">. </w:t>
      </w:r>
      <w:r w:rsidR="00103283" w:rsidRPr="00F32020">
        <w:t xml:space="preserve">Similarly, the coefficient of </w:t>
      </w:r>
      <w:r w:rsidR="008F6892" w:rsidRPr="00F32020">
        <w:t xml:space="preserve">average age </w:t>
      </w:r>
      <w:r w:rsidR="00103283" w:rsidRPr="00F32020">
        <w:t xml:space="preserve">shows the effect of </w:t>
      </w:r>
      <w:r w:rsidR="008F6892" w:rsidRPr="00F32020">
        <w:t>the founder’s average age on the admission likelihood only in the special case that</w:t>
      </w:r>
      <w:r w:rsidR="00103283" w:rsidRPr="00F32020">
        <w:t xml:space="preserve"> cultural diversity equals zero.</w:t>
      </w:r>
      <w:r w:rsidR="00C42D7E" w:rsidRPr="00F32020">
        <w:t xml:space="preserve"> Thus, such an approach would not allow us to examine the unconditional effect of the cultural diversity and the remaining signals on an individual basis, while simply controlling for the rest. </w:t>
      </w:r>
    </w:p>
    <w:p w14:paraId="631FF6B5" w14:textId="33DC46AA" w:rsidR="00B40A93" w:rsidRPr="00F32020" w:rsidRDefault="00C42D7E" w:rsidP="005546EC">
      <w:pPr>
        <w:spacing w:line="480" w:lineRule="auto"/>
        <w:jc w:val="both"/>
      </w:pPr>
      <w:r w:rsidRPr="00F32020">
        <w:tab/>
      </w:r>
      <w:r w:rsidR="00857A53" w:rsidRPr="00F32020">
        <w:t>In the present section</w:t>
      </w:r>
      <w:r w:rsidR="0000208D" w:rsidRPr="00F32020">
        <w:t>,</w:t>
      </w:r>
      <w:r w:rsidR="00857A53" w:rsidRPr="00F32020">
        <w:t xml:space="preserve"> we turn our attention to Hypothes</w:t>
      </w:r>
      <w:r w:rsidR="008F6892" w:rsidRPr="00F32020">
        <w:t>e</w:t>
      </w:r>
      <w:r w:rsidR="00857A53" w:rsidRPr="00F32020">
        <w:t>s 2</w:t>
      </w:r>
      <w:r w:rsidR="008F6892" w:rsidRPr="00F32020">
        <w:t xml:space="preserve"> to 5 </w:t>
      </w:r>
      <w:r w:rsidR="00857A53" w:rsidRPr="00F32020">
        <w:t xml:space="preserve">and the potential interactions between cultural diversity and the other </w:t>
      </w:r>
      <w:r w:rsidR="008F6892" w:rsidRPr="00F32020">
        <w:t>human capital and demographic characteristics of the founding team</w:t>
      </w:r>
      <w:r w:rsidR="00857A53" w:rsidRPr="00F32020">
        <w:t>, discussed in</w:t>
      </w:r>
      <w:r w:rsidR="008F6892" w:rsidRPr="00F32020">
        <w:t xml:space="preserve"> </w:t>
      </w:r>
      <w:r w:rsidR="0000208D" w:rsidRPr="00F32020">
        <w:t>S</w:t>
      </w:r>
      <w:r w:rsidR="008F6892" w:rsidRPr="00F32020">
        <w:t>ection 2.3.</w:t>
      </w:r>
      <w:r w:rsidR="00857A53" w:rsidRPr="00F32020">
        <w:t xml:space="preserve"> </w:t>
      </w:r>
      <w:r w:rsidRPr="00F32020">
        <w:t xml:space="preserve">Table </w:t>
      </w:r>
      <w:r w:rsidR="00A41908" w:rsidRPr="00F32020">
        <w:t>4</w:t>
      </w:r>
      <w:r w:rsidRPr="00F32020">
        <w:t xml:space="preserve"> presents the</w:t>
      </w:r>
      <w:r w:rsidR="008F6892" w:rsidRPr="00F32020">
        <w:t>se</w:t>
      </w:r>
      <w:r w:rsidRPr="00F32020">
        <w:t xml:space="preserve"> estimat</w:t>
      </w:r>
      <w:r w:rsidR="0000208D" w:rsidRPr="00F32020">
        <w:t>ions</w:t>
      </w:r>
      <w:r w:rsidR="008F6892" w:rsidRPr="00F32020">
        <w:t>. The</w:t>
      </w:r>
      <w:r w:rsidRPr="00F32020">
        <w:t xml:space="preserve"> interaction term</w:t>
      </w:r>
      <w:r w:rsidR="008F6892" w:rsidRPr="00F32020">
        <w:t xml:space="preserve"> shows</w:t>
      </w:r>
      <w:r w:rsidRPr="00F32020">
        <w:t xml:space="preserve"> whether the effect of cultural diversity on the admission decision differs across different levels of the other signal </w:t>
      </w:r>
      <w:r w:rsidR="008F6892" w:rsidRPr="00F32020">
        <w:t xml:space="preserve">(i.e. </w:t>
      </w:r>
      <w:r w:rsidR="006E31D5" w:rsidRPr="00F32020">
        <w:t>prior founding</w:t>
      </w:r>
      <w:r w:rsidR="008F6892" w:rsidRPr="00F32020">
        <w:t xml:space="preserve"> experience, education, average age, proportion of females</w:t>
      </w:r>
      <w:r w:rsidRPr="00F32020">
        <w:t xml:space="preserve">). </w:t>
      </w:r>
      <w:r w:rsidR="0000208D" w:rsidRPr="00F32020">
        <w:rPr>
          <w:rFonts w:eastAsiaTheme="minorEastAsia"/>
          <w:iCs/>
        </w:rPr>
        <w:t xml:space="preserve">As </w:t>
      </w:r>
      <w:r w:rsidR="00E70890" w:rsidRPr="00F32020">
        <w:rPr>
          <w:rFonts w:eastAsiaTheme="minorEastAsia"/>
          <w:iCs/>
        </w:rPr>
        <w:t>in the case of</w:t>
      </w:r>
      <w:r w:rsidR="0000208D" w:rsidRPr="00F32020">
        <w:rPr>
          <w:rFonts w:eastAsiaTheme="minorEastAsia"/>
          <w:iCs/>
        </w:rPr>
        <w:t xml:space="preserve"> the results in</w:t>
      </w:r>
      <w:r w:rsidR="00E70890" w:rsidRPr="00F32020">
        <w:rPr>
          <w:rFonts w:eastAsiaTheme="minorEastAsia"/>
          <w:iCs/>
        </w:rPr>
        <w:t xml:space="preserve"> Table 2</w:t>
      </w:r>
      <w:r w:rsidR="0000208D" w:rsidRPr="00F32020">
        <w:rPr>
          <w:rFonts w:eastAsiaTheme="minorEastAsia"/>
          <w:iCs/>
        </w:rPr>
        <w:t>,</w:t>
      </w:r>
      <w:r w:rsidR="00E70890" w:rsidRPr="00F32020">
        <w:rPr>
          <w:rFonts w:eastAsiaTheme="minorEastAsia"/>
          <w:iCs/>
        </w:rPr>
        <w:t xml:space="preserve"> to facilitate the interpretation of the estimates, we present the odds ratios. </w:t>
      </w:r>
      <w:r w:rsidR="00E70890" w:rsidRPr="00F32020">
        <w:t xml:space="preserve">As mentioned above, the </w:t>
      </w:r>
      <w:r w:rsidR="00B40A93" w:rsidRPr="00F32020">
        <w:t>odds ratio</w:t>
      </w:r>
      <w:r w:rsidR="003648DE">
        <w:t>s</w:t>
      </w:r>
      <w:r w:rsidR="00B40A93" w:rsidRPr="00F32020">
        <w:t xml:space="preserve"> of the main variables </w:t>
      </w:r>
      <w:r w:rsidR="00D41C31">
        <w:t>are</w:t>
      </w:r>
      <w:r w:rsidR="00D41C31" w:rsidRPr="00F32020">
        <w:t xml:space="preserve"> </w:t>
      </w:r>
      <w:r w:rsidR="00B40A93" w:rsidRPr="00F32020">
        <w:t xml:space="preserve">now conditioned, and in some cases, it makes no sense. For example, we observe that cultural diversity retains its statistical significance; except than in Column 2 where it is interacted with founders’ age. However, in this case, the odds ratio for cultural diversity shows the effect of cultural diversity on the admission likelihood </w:t>
      </w:r>
      <w:r w:rsidR="00F3428B" w:rsidRPr="00F32020">
        <w:t>only for the special case where</w:t>
      </w:r>
      <w:r w:rsidR="00B40A93" w:rsidRPr="00F32020">
        <w:t xml:space="preserve"> the founders’ age takes the value of 0. As </w:t>
      </w:r>
      <w:r w:rsidR="00B40A93" w:rsidRPr="00F32020">
        <w:lastRenderedPageBreak/>
        <w:t xml:space="preserve">it is not possible to have a venture with founders’ average age equal to 0, this estimate is of no interest to us. </w:t>
      </w:r>
    </w:p>
    <w:p w14:paraId="04DE096D" w14:textId="3930B21C" w:rsidR="00C42D7E" w:rsidRPr="00F32020" w:rsidRDefault="00B40A93" w:rsidP="005546EC">
      <w:pPr>
        <w:spacing w:line="480" w:lineRule="auto"/>
        <w:ind w:firstLine="720"/>
        <w:jc w:val="both"/>
      </w:pPr>
      <w:r w:rsidRPr="00F32020">
        <w:t xml:space="preserve">Hence, as it is usually the case, we </w:t>
      </w:r>
      <w:r w:rsidR="00EB6925" w:rsidRPr="00F32020">
        <w:t>concentrate on</w:t>
      </w:r>
      <w:r w:rsidRPr="00F32020">
        <w:t xml:space="preserve"> the interaction term. We observe that</w:t>
      </w:r>
      <w:r w:rsidR="0000208D" w:rsidRPr="00F32020">
        <w:t>,</w:t>
      </w:r>
      <w:r w:rsidRPr="00F32020">
        <w:t xml:space="preserve"> in all cases, the interaction term </w:t>
      </w:r>
      <w:r w:rsidR="008103FF" w:rsidRPr="00F32020">
        <w:t xml:space="preserve">enters the results with a </w:t>
      </w:r>
      <w:r w:rsidRPr="00F32020">
        <w:t>statistically insignificant</w:t>
      </w:r>
      <w:r w:rsidR="008103FF" w:rsidRPr="00F32020">
        <w:t xml:space="preserve"> coefficient</w:t>
      </w:r>
      <w:r w:rsidRPr="00F32020">
        <w:t>.</w:t>
      </w:r>
      <w:r w:rsidR="008103FF" w:rsidRPr="00F32020">
        <w:t xml:space="preserve"> However, one should be cautious in its interpretation, given the difference between interaction and multiplicative effects (Buis, 2010). Interaction effects in non-linear models are both conceptually and empirically distinct from </w:t>
      </w:r>
      <w:r w:rsidR="00727BFB">
        <w:t xml:space="preserve">those in </w:t>
      </w:r>
      <w:r w:rsidR="008103FF" w:rsidRPr="00F32020">
        <w:t>linear ones (Ai and Norton, 2003; Plummer et al., 2016), warranting more analysis to truly decompose the actual effect by using e.g. average marginal effects</w:t>
      </w:r>
      <w:r w:rsidR="00500EF7" w:rsidRPr="00F32020">
        <w:t xml:space="preserve">. </w:t>
      </w:r>
      <w:r w:rsidR="008103FF" w:rsidRPr="00F32020">
        <w:t>In doing so, we are interested in the effect of cultural diversity of the founding team at different values (5</w:t>
      </w:r>
      <w:r w:rsidR="008103FF" w:rsidRPr="00F32020">
        <w:rPr>
          <w:vertAlign w:val="superscript"/>
        </w:rPr>
        <w:t>th</w:t>
      </w:r>
      <w:r w:rsidR="008103FF" w:rsidRPr="00F32020">
        <w:t>-95</w:t>
      </w:r>
      <w:r w:rsidR="008103FF" w:rsidRPr="00F32020">
        <w:rPr>
          <w:vertAlign w:val="superscript"/>
        </w:rPr>
        <w:t>th</w:t>
      </w:r>
      <w:r w:rsidR="008103FF" w:rsidRPr="00F32020">
        <w:t xml:space="preserve"> percentiles) of the founders’ characteristics and attributes. </w:t>
      </w:r>
      <w:r w:rsidR="006454C2" w:rsidRPr="00F32020">
        <w:t xml:space="preserve">To avoid proliferation of tables in the manuscript, the marginal effect tables are included in the appendix. Interestingly, we find no support of hypotheses 2-5 discussed in Section 2, i.e. that </w:t>
      </w:r>
      <w:r w:rsidR="00600F3C" w:rsidRPr="00F32020">
        <w:t>all founders’ characteristics and attributes but their age complement the positive (or mitigate the negative) effects of cultural diversity. Instead, we find substitute effects. More specifically, the less gender</w:t>
      </w:r>
      <w:r w:rsidR="000A0BF2">
        <w:t>-</w:t>
      </w:r>
      <w:r w:rsidR="00600F3C" w:rsidRPr="00F32020">
        <w:t>diverse, less</w:t>
      </w:r>
      <w:r w:rsidR="000A0BF2">
        <w:t>-</w:t>
      </w:r>
      <w:r w:rsidR="00600F3C" w:rsidRPr="00F32020">
        <w:t>educated, less</w:t>
      </w:r>
      <w:r w:rsidR="000A0BF2">
        <w:t>-</w:t>
      </w:r>
      <w:r w:rsidR="00600F3C" w:rsidRPr="00F32020">
        <w:t xml:space="preserve">experienced, and more senior a founding team is, the more cultural diversity increases </w:t>
      </w:r>
      <w:r w:rsidR="0099138C">
        <w:t>its</w:t>
      </w:r>
      <w:r w:rsidR="0099138C" w:rsidRPr="00F32020">
        <w:t xml:space="preserve"> </w:t>
      </w:r>
      <w:r w:rsidR="00600F3C" w:rsidRPr="00F32020">
        <w:t>chances of being selected by accelerators.</w:t>
      </w:r>
    </w:p>
    <w:p w14:paraId="667C428B" w14:textId="77777777" w:rsidR="00C42D7E" w:rsidRPr="00F32020" w:rsidRDefault="00C42D7E" w:rsidP="005546EC">
      <w:pPr>
        <w:spacing w:line="480" w:lineRule="auto"/>
        <w:jc w:val="both"/>
      </w:pPr>
    </w:p>
    <w:p w14:paraId="7A6BA7CC" w14:textId="099C196F" w:rsidR="00D1155E" w:rsidRPr="00F32020" w:rsidRDefault="00D1155E" w:rsidP="005546EC">
      <w:pPr>
        <w:spacing w:line="480" w:lineRule="auto"/>
        <w:ind w:firstLine="720"/>
        <w:jc w:val="center"/>
        <w:rPr>
          <w:rFonts w:eastAsiaTheme="minorEastAsia"/>
          <w:iCs/>
        </w:rPr>
      </w:pPr>
      <w:r w:rsidRPr="00F32020">
        <w:rPr>
          <w:rFonts w:eastAsiaTheme="minorEastAsia"/>
          <w:iCs/>
        </w:rPr>
        <w:t xml:space="preserve">[INSERT TABLE </w:t>
      </w:r>
      <w:r w:rsidR="00A41908" w:rsidRPr="00F32020">
        <w:rPr>
          <w:rFonts w:eastAsiaTheme="minorEastAsia"/>
          <w:iCs/>
        </w:rPr>
        <w:t>4</w:t>
      </w:r>
      <w:r w:rsidRPr="00F32020">
        <w:rPr>
          <w:rFonts w:eastAsiaTheme="minorEastAsia"/>
          <w:iCs/>
        </w:rPr>
        <w:t xml:space="preserve"> ABOUT HERE]</w:t>
      </w:r>
    </w:p>
    <w:p w14:paraId="105712E1" w14:textId="77777777" w:rsidR="00EB6925" w:rsidRPr="00F32020" w:rsidRDefault="00EB6925" w:rsidP="005546EC">
      <w:pPr>
        <w:spacing w:line="480" w:lineRule="auto"/>
        <w:ind w:firstLine="720"/>
        <w:jc w:val="center"/>
        <w:rPr>
          <w:rFonts w:eastAsiaTheme="minorEastAsia"/>
          <w:iCs/>
        </w:rPr>
      </w:pPr>
    </w:p>
    <w:p w14:paraId="6A5B9606" w14:textId="5A63D2FF" w:rsidR="00EB6925" w:rsidRPr="00F32020" w:rsidRDefault="00EB6925" w:rsidP="005546EC">
      <w:pPr>
        <w:spacing w:line="480" w:lineRule="auto"/>
        <w:ind w:firstLine="720"/>
        <w:jc w:val="both"/>
        <w:rPr>
          <w:rFonts w:eastAsiaTheme="minorEastAsia"/>
          <w:iCs/>
        </w:rPr>
      </w:pPr>
      <w:r w:rsidRPr="00F32020">
        <w:rPr>
          <w:rFonts w:eastAsiaTheme="minorEastAsia"/>
          <w:iCs/>
        </w:rPr>
        <w:t>As a final step in our analysis</w:t>
      </w:r>
      <w:r w:rsidR="0000208D" w:rsidRPr="00F32020">
        <w:rPr>
          <w:rFonts w:eastAsiaTheme="minorEastAsia"/>
          <w:iCs/>
        </w:rPr>
        <w:t>,</w:t>
      </w:r>
      <w:r w:rsidRPr="00F32020">
        <w:rPr>
          <w:rFonts w:eastAsiaTheme="minorEastAsia"/>
          <w:iCs/>
        </w:rPr>
        <w:t xml:space="preserve"> we examine whether the interactions </w:t>
      </w:r>
      <w:r w:rsidR="00C306FE" w:rsidRPr="00F32020">
        <w:rPr>
          <w:rFonts w:eastAsiaTheme="minorEastAsia"/>
          <w:iCs/>
        </w:rPr>
        <w:t xml:space="preserve">of Table </w:t>
      </w:r>
      <w:r w:rsidR="00A41908" w:rsidRPr="00F32020">
        <w:rPr>
          <w:rFonts w:eastAsiaTheme="minorEastAsia"/>
          <w:iCs/>
        </w:rPr>
        <w:t>4</w:t>
      </w:r>
      <w:r w:rsidR="00C306FE" w:rsidRPr="00F32020">
        <w:rPr>
          <w:rFonts w:eastAsiaTheme="minorEastAsia"/>
          <w:iCs/>
        </w:rPr>
        <w:t xml:space="preserve"> </w:t>
      </w:r>
      <w:r w:rsidRPr="00F32020">
        <w:rPr>
          <w:rFonts w:eastAsiaTheme="minorEastAsia"/>
          <w:iCs/>
        </w:rPr>
        <w:t xml:space="preserve">are statistically significant under two conditions that </w:t>
      </w:r>
      <w:r w:rsidR="00BD0D0F" w:rsidRPr="00F32020">
        <w:rPr>
          <w:rFonts w:eastAsiaTheme="minorEastAsia"/>
          <w:iCs/>
        </w:rPr>
        <w:t>c</w:t>
      </w:r>
      <w:r w:rsidRPr="00F32020">
        <w:rPr>
          <w:rFonts w:eastAsiaTheme="minorEastAsia"/>
          <w:iCs/>
        </w:rPr>
        <w:t>ould pose additional challenges to new ventures</w:t>
      </w:r>
      <w:r w:rsidR="00AB7ACC" w:rsidRPr="00F32020">
        <w:rPr>
          <w:rFonts w:eastAsiaTheme="minorEastAsia"/>
          <w:iCs/>
        </w:rPr>
        <w:t>, making multiple signals more valuable</w:t>
      </w:r>
      <w:r w:rsidRPr="00F32020">
        <w:rPr>
          <w:rFonts w:eastAsiaTheme="minorEastAsia"/>
          <w:iCs/>
        </w:rPr>
        <w:t xml:space="preserve">. First, we split the sample in two groups based on whether the applicants replied that their </w:t>
      </w:r>
      <w:r w:rsidRPr="00F32020">
        <w:t>venture is invention</w:t>
      </w:r>
      <w:r w:rsidR="00526C8B" w:rsidRPr="00F32020">
        <w:t>-</w:t>
      </w:r>
      <w:r w:rsidRPr="00F32020">
        <w:t xml:space="preserve">based or not. </w:t>
      </w:r>
      <w:r w:rsidRPr="00F32020">
        <w:rPr>
          <w:rFonts w:eastAsiaTheme="minorEastAsia"/>
          <w:iCs/>
        </w:rPr>
        <w:t xml:space="preserve">The </w:t>
      </w:r>
      <w:r w:rsidR="00BD0D0F" w:rsidRPr="00F32020">
        <w:rPr>
          <w:rFonts w:eastAsiaTheme="minorEastAsia"/>
          <w:iCs/>
        </w:rPr>
        <w:t>rationale for this</w:t>
      </w:r>
      <w:r w:rsidRPr="00F32020">
        <w:rPr>
          <w:rFonts w:eastAsiaTheme="minorEastAsia"/>
          <w:iCs/>
        </w:rPr>
        <w:t xml:space="preserve"> is that </w:t>
      </w:r>
      <w:r w:rsidRPr="00F32020">
        <w:rPr>
          <w:rFonts w:eastAsiaTheme="minorHAnsi"/>
          <w:lang w:eastAsia="en-US"/>
        </w:rPr>
        <w:t>the development of innovative, market-based solutions to address major social issues</w:t>
      </w:r>
      <w:r w:rsidRPr="00F32020">
        <w:t xml:space="preserve"> </w:t>
      </w:r>
      <w:r w:rsidRPr="00F32020">
        <w:lastRenderedPageBreak/>
        <w:t xml:space="preserve">poses high challenges that </w:t>
      </w:r>
      <w:r w:rsidR="00BD0D0F" w:rsidRPr="00F32020">
        <w:t>c</w:t>
      </w:r>
      <w:r w:rsidRPr="00F32020">
        <w:t xml:space="preserve">ould require a combination of different human capital characteristics. </w:t>
      </w:r>
      <w:r w:rsidRPr="00F32020">
        <w:rPr>
          <w:rFonts w:eastAsiaTheme="minorEastAsia"/>
          <w:iCs/>
        </w:rPr>
        <w:t xml:space="preserve"> </w:t>
      </w:r>
      <w:r w:rsidR="00E74385" w:rsidRPr="00F32020">
        <w:rPr>
          <w:rFonts w:eastAsiaTheme="minorEastAsia"/>
          <w:iCs/>
        </w:rPr>
        <w:t xml:space="preserve">Second, we split the sample in developed and developing countries. It is possible that higher levels of uncertainty and information asymmetry in developing markets could </w:t>
      </w:r>
      <w:r w:rsidR="00CF0F7B" w:rsidRPr="00F32020">
        <w:rPr>
          <w:rFonts w:eastAsiaTheme="minorEastAsia"/>
          <w:iCs/>
        </w:rPr>
        <w:t>translate into accelerators looking for a combination of signals to overc</w:t>
      </w:r>
      <w:r w:rsidR="00084C44" w:rsidRPr="00F32020">
        <w:rPr>
          <w:rFonts w:eastAsiaTheme="minorEastAsia"/>
          <w:iCs/>
        </w:rPr>
        <w:t>o</w:t>
      </w:r>
      <w:r w:rsidR="00CF0F7B" w:rsidRPr="00F32020">
        <w:rPr>
          <w:rFonts w:eastAsiaTheme="minorEastAsia"/>
          <w:iCs/>
        </w:rPr>
        <w:t>me these challenges</w:t>
      </w:r>
      <w:r w:rsidR="00E74385" w:rsidRPr="00F32020">
        <w:rPr>
          <w:rFonts w:eastAsiaTheme="minorEastAsia"/>
          <w:iCs/>
        </w:rPr>
        <w:t xml:space="preserve">. This </w:t>
      </w:r>
      <w:r w:rsidR="00CF0F7B" w:rsidRPr="00F32020">
        <w:rPr>
          <w:rFonts w:eastAsiaTheme="minorEastAsia"/>
          <w:iCs/>
        </w:rPr>
        <w:t>is</w:t>
      </w:r>
      <w:r w:rsidR="00E74385" w:rsidRPr="00F32020">
        <w:rPr>
          <w:rFonts w:eastAsiaTheme="minorEastAsia"/>
          <w:iCs/>
        </w:rPr>
        <w:t xml:space="preserve"> consistent with the </w:t>
      </w:r>
      <w:r w:rsidR="00CF0F7B" w:rsidRPr="00F32020">
        <w:rPr>
          <w:rFonts w:eastAsiaTheme="minorEastAsia"/>
          <w:iCs/>
        </w:rPr>
        <w:t>institutional perspective on signal</w:t>
      </w:r>
      <w:r w:rsidR="00AB7ACC" w:rsidRPr="00F32020">
        <w:rPr>
          <w:rFonts w:eastAsiaTheme="minorEastAsia"/>
          <w:iCs/>
        </w:rPr>
        <w:t>l</w:t>
      </w:r>
      <w:r w:rsidR="00CF0F7B" w:rsidRPr="00F32020">
        <w:rPr>
          <w:rFonts w:eastAsiaTheme="minorEastAsia"/>
          <w:iCs/>
        </w:rPr>
        <w:t>ing theory, which argues that decision</w:t>
      </w:r>
      <w:r w:rsidR="00526C8B" w:rsidRPr="00F32020">
        <w:rPr>
          <w:rFonts w:eastAsiaTheme="minorEastAsia"/>
          <w:iCs/>
        </w:rPr>
        <w:t>-</w:t>
      </w:r>
      <w:r w:rsidR="00CF0F7B" w:rsidRPr="00F32020">
        <w:rPr>
          <w:rFonts w:eastAsiaTheme="minorEastAsia"/>
          <w:iCs/>
        </w:rPr>
        <w:t>makers do not evaluate signals in isolation, but instead, they do so in the institutional context (Colombo, 2021).</w:t>
      </w:r>
      <w:r w:rsidR="00751551" w:rsidRPr="00F32020">
        <w:rPr>
          <w:rFonts w:eastAsiaTheme="minorEastAsia"/>
          <w:iCs/>
        </w:rPr>
        <w:t xml:space="preserve"> </w:t>
      </w:r>
      <w:r w:rsidR="00DC54E6" w:rsidRPr="00F32020">
        <w:rPr>
          <w:rFonts w:eastAsiaTheme="minorEastAsia"/>
          <w:iCs/>
        </w:rPr>
        <w:t>Looking into the marginal effects of the interaction term coefficient, we find that there is qualitatively no difference when it comes to invention-based moderation effects. We do find, however, that the moderation effects seem to be applicable only in the case of ventures headquartered in developing countries, as opposed to developed ones.</w:t>
      </w:r>
      <w:r w:rsidR="0050698E" w:rsidRPr="00F32020">
        <w:t xml:space="preserve"> To conserve space, we do not tabulate these regressions; however, they are all available upon request.</w:t>
      </w:r>
    </w:p>
    <w:p w14:paraId="0C5FFB2A" w14:textId="77777777" w:rsidR="00A84531" w:rsidRPr="00F32020" w:rsidRDefault="00A84531" w:rsidP="005546EC">
      <w:pPr>
        <w:spacing w:line="480" w:lineRule="auto"/>
        <w:jc w:val="both"/>
        <w:rPr>
          <w:b/>
          <w:bCs/>
          <w:iCs/>
          <w:sz w:val="28"/>
          <w:szCs w:val="28"/>
        </w:rPr>
      </w:pPr>
      <w:bookmarkStart w:id="21" w:name="baep-author-id1"/>
      <w:bookmarkEnd w:id="21"/>
    </w:p>
    <w:p w14:paraId="6AF284FA" w14:textId="7127511F" w:rsidR="00BD5203" w:rsidRPr="00F32020" w:rsidRDefault="00A84531" w:rsidP="005546EC">
      <w:pPr>
        <w:spacing w:line="480" w:lineRule="auto"/>
        <w:jc w:val="both"/>
        <w:rPr>
          <w:b/>
          <w:bCs/>
          <w:iCs/>
          <w:sz w:val="28"/>
          <w:szCs w:val="28"/>
        </w:rPr>
      </w:pPr>
      <w:r w:rsidRPr="00F32020">
        <w:rPr>
          <w:b/>
          <w:bCs/>
          <w:iCs/>
          <w:sz w:val="28"/>
          <w:szCs w:val="28"/>
        </w:rPr>
        <w:t>5. Discussion</w:t>
      </w:r>
    </w:p>
    <w:p w14:paraId="3FEBD983" w14:textId="1FCD2BCF" w:rsidR="002A7836" w:rsidRPr="00F32020" w:rsidRDefault="00DA60BC" w:rsidP="00A41908">
      <w:pPr>
        <w:spacing w:line="480" w:lineRule="auto"/>
        <w:jc w:val="both"/>
      </w:pPr>
      <w:r w:rsidRPr="00F32020">
        <w:t>Signalling theory has been used widely to explain the decisions of crowdfunders, business angels</w:t>
      </w:r>
      <w:r w:rsidR="00FF4FAF" w:rsidRPr="00F32020">
        <w:t>,</w:t>
      </w:r>
      <w:r w:rsidRPr="00F32020">
        <w:t xml:space="preserve"> venture capitalists</w:t>
      </w:r>
      <w:r w:rsidR="00FF4FAF" w:rsidRPr="00F32020">
        <w:t>, and investment funds</w:t>
      </w:r>
      <w:r w:rsidR="001E7AF6" w:rsidRPr="00F32020">
        <w:t xml:space="preserve"> in the case of new ventures’ financing</w:t>
      </w:r>
      <w:r w:rsidRPr="00F32020">
        <w:t xml:space="preserve"> </w:t>
      </w:r>
      <w:r w:rsidR="001E7AF6" w:rsidRPr="00F32020">
        <w:t xml:space="preserve">(Busenitz et al., 2005; </w:t>
      </w:r>
      <w:r w:rsidRPr="00F32020">
        <w:t>Ahlers et al., 2015</w:t>
      </w:r>
      <w:r w:rsidR="00FF4FAF" w:rsidRPr="00F32020">
        <w:t>; Alsos et al., 2017</w:t>
      </w:r>
      <w:r w:rsidR="0035106B" w:rsidRPr="00F32020">
        <w:t>; Edelman et al., 2021</w:t>
      </w:r>
      <w:r w:rsidRPr="00F32020">
        <w:t xml:space="preserve">).  </w:t>
      </w:r>
      <w:r w:rsidR="000638E3" w:rsidRPr="00F32020">
        <w:t xml:space="preserve">In the present study, we put forward the hypothesis that </w:t>
      </w:r>
      <w:r w:rsidR="00A84531" w:rsidRPr="00F32020">
        <w:t>the formation of multi-cultural founding teams could serve as a signal from applicants to social impact accelerators</w:t>
      </w:r>
      <w:r w:rsidR="004F0497" w:rsidRPr="00F32020">
        <w:rPr>
          <w:lang w:val="en-US"/>
        </w:rPr>
        <w:t xml:space="preserve">. </w:t>
      </w:r>
      <w:r w:rsidR="004F0497" w:rsidRPr="00F32020">
        <w:t>However,</w:t>
      </w:r>
      <w:r w:rsidR="0027546B" w:rsidRPr="00F32020">
        <w:t xml:space="preserve"> theory suggests that </w:t>
      </w:r>
      <w:r w:rsidR="004F0497" w:rsidRPr="00F32020">
        <w:t xml:space="preserve">a signal </w:t>
      </w:r>
      <w:r w:rsidR="00C305C0" w:rsidRPr="00F32020">
        <w:t xml:space="preserve">does not necessarily </w:t>
      </w:r>
      <w:r w:rsidR="004B4B2A" w:rsidRPr="00F32020">
        <w:t>have</w:t>
      </w:r>
      <w:r w:rsidR="00C305C0" w:rsidRPr="00F32020">
        <w:t xml:space="preserve"> a positive effect. It may also have negative consequences</w:t>
      </w:r>
      <w:r w:rsidR="0027546B" w:rsidRPr="00F32020">
        <w:t xml:space="preserve"> if it is an unintentional signal or</w:t>
      </w:r>
      <w:r w:rsidR="00C305C0" w:rsidRPr="00F32020">
        <w:t xml:space="preserve"> </w:t>
      </w:r>
      <w:r w:rsidR="0027546B" w:rsidRPr="00F32020">
        <w:t xml:space="preserve">it may have no effect at all, </w:t>
      </w:r>
      <w:r w:rsidR="00C305C0" w:rsidRPr="00F32020">
        <w:t xml:space="preserve">if it is not clearly communicated or </w:t>
      </w:r>
      <w:r w:rsidR="009A276F">
        <w:t xml:space="preserve">is </w:t>
      </w:r>
      <w:r w:rsidR="00C305C0" w:rsidRPr="00F32020">
        <w:t>simply ignored by the decision maker</w:t>
      </w:r>
      <w:r w:rsidR="0027546B" w:rsidRPr="00F32020">
        <w:t xml:space="preserve"> (e.g. accelerator)</w:t>
      </w:r>
      <w:r w:rsidR="00C305C0" w:rsidRPr="00F32020">
        <w:t xml:space="preserve">. Thus, this issue warrants empirical investigation. </w:t>
      </w:r>
    </w:p>
    <w:p w14:paraId="5C8ED200" w14:textId="72F76D6C" w:rsidR="00A84531" w:rsidRPr="00F32020" w:rsidRDefault="00C305C0" w:rsidP="007415C7">
      <w:pPr>
        <w:spacing w:line="480" w:lineRule="auto"/>
        <w:ind w:firstLine="720"/>
        <w:jc w:val="both"/>
      </w:pPr>
      <w:r w:rsidRPr="00F32020">
        <w:t>The results presented in the previous section provide evidence in favour of a positive association between cultural diversity among the founding team</w:t>
      </w:r>
      <w:r w:rsidR="006707A6" w:rsidRPr="00F32020">
        <w:t xml:space="preserve"> </w:t>
      </w:r>
      <w:r w:rsidRPr="00F32020">
        <w:t xml:space="preserve">and admission into social </w:t>
      </w:r>
      <w:r w:rsidRPr="00F32020">
        <w:lastRenderedPageBreak/>
        <w:t xml:space="preserve">impact accelerating programs. </w:t>
      </w:r>
      <w:r w:rsidR="007415C7" w:rsidRPr="00F32020">
        <w:t>Thus, the</w:t>
      </w:r>
      <w:r w:rsidR="006707A6" w:rsidRPr="00F32020">
        <w:t xml:space="preserve"> results</w:t>
      </w:r>
      <w:r w:rsidR="007415C7" w:rsidRPr="00F32020">
        <w:t xml:space="preserve"> provide support to hypothesis H1a. </w:t>
      </w:r>
      <w:r w:rsidR="00896673" w:rsidRPr="00F32020">
        <w:t>One possible explanation is that</w:t>
      </w:r>
      <w:r w:rsidR="007415C7" w:rsidRPr="00F32020">
        <w:t xml:space="preserve"> </w:t>
      </w:r>
      <w:r w:rsidR="006707A6" w:rsidRPr="00F32020">
        <w:t>cultural diversity</w:t>
      </w:r>
      <w:r w:rsidR="00A84531" w:rsidRPr="00F32020">
        <w:t xml:space="preserve"> </w:t>
      </w:r>
      <w:r w:rsidR="006707A6" w:rsidRPr="00F32020">
        <w:t>can be seen as a signal that</w:t>
      </w:r>
      <w:r w:rsidR="00A84531" w:rsidRPr="00F32020">
        <w:t xml:space="preserve"> communicate</w:t>
      </w:r>
      <w:r w:rsidR="006707A6" w:rsidRPr="00F32020">
        <w:t>s</w:t>
      </w:r>
      <w:r w:rsidR="00A84531" w:rsidRPr="00F32020">
        <w:t xml:space="preserve"> the potential of higher capacity of the team at solving complex tasks and coming up with innovative solutions, an ability that is associated with culturally driven differences in perceptions, values, and assumptions about future events, ultimately leading to a greater pool of ideas</w:t>
      </w:r>
      <w:r w:rsidR="003A6AD4" w:rsidRPr="00F32020">
        <w:t xml:space="preserve"> (Umans, 2009; Nielsen and Nielsen, 2013</w:t>
      </w:r>
      <w:r w:rsidR="00BB773C" w:rsidRPr="00F32020">
        <w:t xml:space="preserve">; </w:t>
      </w:r>
      <w:r w:rsidR="00A149DC" w:rsidRPr="00F32020">
        <w:t xml:space="preserve">Nathan and Lee, 2013; </w:t>
      </w:r>
      <w:r w:rsidR="00BB773C" w:rsidRPr="00F32020">
        <w:t>Jones et al., 2020</w:t>
      </w:r>
      <w:r w:rsidR="003A6AD4" w:rsidRPr="00F32020">
        <w:t>)</w:t>
      </w:r>
      <w:r w:rsidR="00A84531" w:rsidRPr="00F32020">
        <w:t xml:space="preserve">. </w:t>
      </w:r>
    </w:p>
    <w:p w14:paraId="1D566876" w14:textId="0D13544C" w:rsidR="00B34EC5" w:rsidRPr="00F32020" w:rsidRDefault="00B34EC5" w:rsidP="00B34EC5">
      <w:pPr>
        <w:spacing w:line="480" w:lineRule="auto"/>
        <w:ind w:firstLine="720"/>
        <w:jc w:val="both"/>
      </w:pPr>
      <w:r w:rsidRPr="00F32020">
        <w:t>The</w:t>
      </w:r>
      <w:r w:rsidR="00670B77" w:rsidRPr="00F32020">
        <w:t>se</w:t>
      </w:r>
      <w:r w:rsidRPr="00F32020">
        <w:t xml:space="preserve"> results have various implications as they provide insights to both the founders of new ventures seeking admission into accelerating programmes, and funders that support the work of social impact accelerators. Entrepreneurs seeking admission into impact-oriented accelerators need to understand the criteria that accelerators utilise to evaluate the applications of early-life ventures Thus, our results have practical implications for new venture founders, because they confirm that cultural diversity can indeed serve as a signal to enhance the admission likelihood. With admission rates at around 10% and limited feedback provided by accelerators, such knowledge could help founders establish an appropriate team and enhance their chances of submitting a successful application. Of course, acceptance into an accelerator programme is not the primary aim of the founders when forming a new venture, and as such they should consider potential costs associated with the cultural diversity of their team.  For example, being selected into an accelerator is neither enough nor necessary condition for being successful in the future, as many successful ventures never went to accelerators. At the same time, as we discuss in more detail in the next section, it is possible that other types of accelerators, or other types of resource providers (venture capitalists and business angels) do not value cultural diversity as much as impact-driven accelerators, and this remains an open question to be addressed in future research. </w:t>
      </w:r>
    </w:p>
    <w:p w14:paraId="16F24565" w14:textId="7B6ED2D8" w:rsidR="00B34EC5" w:rsidRPr="00F32020" w:rsidRDefault="00B34EC5" w:rsidP="00B34EC5">
      <w:pPr>
        <w:spacing w:line="480" w:lineRule="auto"/>
        <w:ind w:firstLine="720"/>
        <w:jc w:val="both"/>
      </w:pPr>
      <w:r w:rsidRPr="00F32020">
        <w:t xml:space="preserve">At the same time, our results do not imply that other criteria do not matter or that entrepreneurs should add founding members who were born in different countries, rather than </w:t>
      </w:r>
      <w:r w:rsidRPr="00F32020">
        <w:lastRenderedPageBreak/>
        <w:t xml:space="preserve">those who are experienced, educated, and competent. In fact, our results show that other characteristics of the founding team that relate to its human capital and demographics can serve as important signals and influence the probability of admission. </w:t>
      </w:r>
      <w:r w:rsidR="00600F3C" w:rsidRPr="00F32020">
        <w:t>Moreover</w:t>
      </w:r>
      <w:r w:rsidRPr="00F32020">
        <w:t xml:space="preserve">, our results imply that such signals </w:t>
      </w:r>
      <w:r w:rsidR="00600F3C" w:rsidRPr="00F32020">
        <w:t xml:space="preserve">do not only </w:t>
      </w:r>
      <w:r w:rsidRPr="00F32020">
        <w:t>work independently of cultural diversity</w:t>
      </w:r>
      <w:r w:rsidR="00600F3C" w:rsidRPr="00F32020">
        <w:t>, but present a substitution effect</w:t>
      </w:r>
      <w:r w:rsidR="00DC54E6" w:rsidRPr="00F32020">
        <w:t>, particularly from ventures headquartered in developing countries</w:t>
      </w:r>
      <w:r w:rsidR="00AC2CC3" w:rsidRPr="00F32020">
        <w:t xml:space="preserve">. </w:t>
      </w:r>
    </w:p>
    <w:p w14:paraId="6C40D147" w14:textId="17465728" w:rsidR="00A84531" w:rsidRPr="00F32020" w:rsidRDefault="00A84531" w:rsidP="005546EC">
      <w:pPr>
        <w:spacing w:line="480" w:lineRule="auto"/>
        <w:jc w:val="both"/>
        <w:rPr>
          <w:b/>
          <w:bCs/>
          <w:iCs/>
          <w:sz w:val="28"/>
          <w:szCs w:val="28"/>
          <w:lang w:val="en-US"/>
        </w:rPr>
      </w:pPr>
    </w:p>
    <w:p w14:paraId="4DF4543D" w14:textId="28BFA95A" w:rsidR="008C79A7" w:rsidRPr="00F32020" w:rsidRDefault="004F7636" w:rsidP="005546EC">
      <w:pPr>
        <w:spacing w:line="480" w:lineRule="auto"/>
        <w:jc w:val="both"/>
        <w:rPr>
          <w:b/>
          <w:bCs/>
          <w:iCs/>
          <w:sz w:val="28"/>
          <w:szCs w:val="28"/>
        </w:rPr>
      </w:pPr>
      <w:r w:rsidRPr="00F32020">
        <w:rPr>
          <w:b/>
          <w:bCs/>
          <w:iCs/>
          <w:sz w:val="28"/>
          <w:szCs w:val="28"/>
        </w:rPr>
        <w:t>6</w:t>
      </w:r>
      <w:r w:rsidR="00C21D04" w:rsidRPr="00F32020">
        <w:rPr>
          <w:b/>
          <w:bCs/>
          <w:iCs/>
          <w:sz w:val="28"/>
          <w:szCs w:val="28"/>
        </w:rPr>
        <w:t>. Conclusions</w:t>
      </w:r>
    </w:p>
    <w:p w14:paraId="5D8136C4" w14:textId="6B9AB2F8" w:rsidR="00544999" w:rsidRPr="00F32020" w:rsidRDefault="0041718F" w:rsidP="005546EC">
      <w:pPr>
        <w:spacing w:line="480" w:lineRule="auto"/>
        <w:jc w:val="both"/>
        <w:rPr>
          <w:b/>
          <w:bCs/>
          <w:iCs/>
          <w:sz w:val="28"/>
          <w:szCs w:val="28"/>
        </w:rPr>
      </w:pPr>
      <w:r w:rsidRPr="00F32020">
        <w:t>The importance of having a diverse founding team has been emphasi</w:t>
      </w:r>
      <w:r w:rsidR="008152DF" w:rsidRPr="00F32020">
        <w:t>s</w:t>
      </w:r>
      <w:r w:rsidRPr="00F32020">
        <w:t xml:space="preserve">ed </w:t>
      </w:r>
      <w:r w:rsidR="00202A47" w:rsidRPr="00F32020">
        <w:t>on</w:t>
      </w:r>
      <w:r w:rsidRPr="00F32020">
        <w:t xml:space="preserve"> </w:t>
      </w:r>
      <w:r w:rsidR="00EE6D3E" w:rsidRPr="00F32020">
        <w:t>several</w:t>
      </w:r>
      <w:r w:rsidRPr="00F32020">
        <w:t xml:space="preserve"> occasions in recent years</w:t>
      </w:r>
      <w:r w:rsidR="005A4F5C" w:rsidRPr="00F32020">
        <w:t>, with</w:t>
      </w:r>
      <w:r w:rsidRPr="00F32020">
        <w:t xml:space="preserve"> </w:t>
      </w:r>
      <w:r w:rsidR="005A4F5C" w:rsidRPr="00F32020">
        <w:t>t</w:t>
      </w:r>
      <w:r w:rsidR="008C79A7" w:rsidRPr="00F32020">
        <w:t xml:space="preserve">he underlying idea </w:t>
      </w:r>
      <w:r w:rsidR="005A4F5C" w:rsidRPr="00F32020">
        <w:t>being</w:t>
      </w:r>
      <w:r w:rsidR="008C79A7" w:rsidRPr="00F32020">
        <w:t xml:space="preserve"> that ventures led by diverse teams leverage a range of perspectives </w:t>
      </w:r>
      <w:r w:rsidR="005A4F5C" w:rsidRPr="00F32020">
        <w:t xml:space="preserve">that enable them to </w:t>
      </w:r>
      <w:r w:rsidR="008C79A7" w:rsidRPr="00F32020">
        <w:t xml:space="preserve">achieve their targets in </w:t>
      </w:r>
      <w:r w:rsidR="00A668AB" w:rsidRPr="00F32020">
        <w:t>the demanding environment of a</w:t>
      </w:r>
      <w:r w:rsidR="008C79A7" w:rsidRPr="00F32020">
        <w:t xml:space="preserve"> global</w:t>
      </w:r>
      <w:r w:rsidR="00A668AB" w:rsidRPr="00F32020">
        <w:t>i</w:t>
      </w:r>
      <w:r w:rsidR="008152DF" w:rsidRPr="00F32020">
        <w:t>s</w:t>
      </w:r>
      <w:r w:rsidR="00A668AB" w:rsidRPr="00F32020">
        <w:t>ed</w:t>
      </w:r>
      <w:r w:rsidR="008C79A7" w:rsidRPr="00F32020">
        <w:t xml:space="preserve"> economy. </w:t>
      </w:r>
    </w:p>
    <w:p w14:paraId="1A44ED27" w14:textId="5BD0B40A" w:rsidR="000B464C" w:rsidRPr="00F32020" w:rsidRDefault="000B464C" w:rsidP="005546EC">
      <w:pPr>
        <w:autoSpaceDE w:val="0"/>
        <w:autoSpaceDN w:val="0"/>
        <w:adjustRightInd w:val="0"/>
        <w:spacing w:line="480" w:lineRule="auto"/>
        <w:ind w:firstLine="720"/>
        <w:jc w:val="both"/>
      </w:pPr>
      <w:r w:rsidRPr="00F32020">
        <w:t xml:space="preserve">In the present study, we use a cross-country sample of </w:t>
      </w:r>
      <w:r w:rsidR="00D34184" w:rsidRPr="00F32020">
        <w:t>more than 9,000</w:t>
      </w:r>
      <w:r w:rsidRPr="00F32020">
        <w:t xml:space="preserve"> startup ventures from </w:t>
      </w:r>
      <w:r w:rsidR="00D34184" w:rsidRPr="00F32020">
        <w:t xml:space="preserve">over </w:t>
      </w:r>
      <w:r w:rsidRPr="00F32020">
        <w:t>10</w:t>
      </w:r>
      <w:r w:rsidR="00D34184" w:rsidRPr="00F32020">
        <w:t>0</w:t>
      </w:r>
      <w:r w:rsidRPr="00F32020">
        <w:t xml:space="preserve"> countries, to examine the association between the cultural diversity in the founding team and the likelihood of the admission of startup ventures into impact</w:t>
      </w:r>
      <w:r w:rsidR="00FC6122" w:rsidRPr="00F32020">
        <w:t>-oriented</w:t>
      </w:r>
      <w:r w:rsidRPr="00F32020">
        <w:t xml:space="preserve"> acceleration program</w:t>
      </w:r>
      <w:r w:rsidR="00C325E5" w:rsidRPr="00F32020">
        <w:t>me</w:t>
      </w:r>
      <w:r w:rsidRPr="00F32020">
        <w:t>s during the period 2013-2018.</w:t>
      </w:r>
      <w:r w:rsidR="000B0BFE" w:rsidRPr="00F32020">
        <w:t xml:space="preserve"> </w:t>
      </w:r>
    </w:p>
    <w:p w14:paraId="53D4FB9E" w14:textId="0FA415C7" w:rsidR="00B535B2" w:rsidRPr="00F32020" w:rsidRDefault="00AD1A95" w:rsidP="005546EC">
      <w:pPr>
        <w:spacing w:line="480" w:lineRule="auto"/>
        <w:jc w:val="both"/>
      </w:pPr>
      <w:r w:rsidRPr="00F32020">
        <w:tab/>
      </w:r>
      <w:r w:rsidR="00FF51AD" w:rsidRPr="00F32020">
        <w:t xml:space="preserve">The results show that cultural diversity has a positive and statistically significant </w:t>
      </w:r>
      <w:r w:rsidR="00B6632E" w:rsidRPr="00F32020">
        <w:t>association with</w:t>
      </w:r>
      <w:r w:rsidR="00FF51AD" w:rsidRPr="00F32020">
        <w:t xml:space="preserve"> the likelihood </w:t>
      </w:r>
      <w:r w:rsidR="00C325E5" w:rsidRPr="00F32020">
        <w:t>of being</w:t>
      </w:r>
      <w:r w:rsidR="00FF51AD" w:rsidRPr="00F32020">
        <w:t xml:space="preserve"> admitted. </w:t>
      </w:r>
      <w:r w:rsidR="00B535B2" w:rsidRPr="00F32020">
        <w:t xml:space="preserve">These results hold while controlling for various characteristics of the founding team, the venture, the country of operations, and </w:t>
      </w:r>
      <w:r w:rsidR="008D0AF4" w:rsidRPr="00F32020">
        <w:t xml:space="preserve">other </w:t>
      </w:r>
      <w:r w:rsidR="00B535B2" w:rsidRPr="00F32020">
        <w:t>fixed effects for the acceleration program</w:t>
      </w:r>
      <w:r w:rsidR="00C325E5" w:rsidRPr="00F32020">
        <w:t>me</w:t>
      </w:r>
      <w:r w:rsidR="00B535B2" w:rsidRPr="00F32020">
        <w:t xml:space="preserve">. Additionally, we show that they hold when addressing potential endogeneity concerns. </w:t>
      </w:r>
      <w:r w:rsidR="00202A47" w:rsidRPr="00F32020">
        <w:t>Finally, we find that additional characteristics of the founding team related to its overall education, average age, and gender diversity play a role in the accelerators’ decision,</w:t>
      </w:r>
      <w:r w:rsidR="00600F3C" w:rsidRPr="00F32020">
        <w:t xml:space="preserve"> and</w:t>
      </w:r>
      <w:r w:rsidR="00202A47" w:rsidRPr="00F32020">
        <w:t xml:space="preserve"> these signals interact with the one about the founding team’s cultural diversity.   </w:t>
      </w:r>
      <w:r w:rsidR="00B535B2" w:rsidRPr="00F32020">
        <w:t xml:space="preserve"> </w:t>
      </w:r>
    </w:p>
    <w:p w14:paraId="4AFD3411" w14:textId="631AA2DA" w:rsidR="000A2AB4" w:rsidRPr="00F32020" w:rsidRDefault="000A2AB4" w:rsidP="005546EC">
      <w:pPr>
        <w:spacing w:line="480" w:lineRule="auto"/>
        <w:jc w:val="both"/>
      </w:pPr>
      <w:r w:rsidRPr="00F32020">
        <w:tab/>
        <w:t xml:space="preserve">The present study contributes to the literature in various ways. </w:t>
      </w:r>
      <w:r w:rsidR="004A2D58" w:rsidRPr="00F32020">
        <w:t xml:space="preserve">First, we extend the recent and growing literature on impact-oriented accelerators and ventures. There are several </w:t>
      </w:r>
      <w:r w:rsidR="004A2D58" w:rsidRPr="00F32020">
        <w:lastRenderedPageBreak/>
        <w:t>reasons for which we focus on this type of accelerators. First, ventures that apply to these programmes usually aim to balance conflicting targets</w:t>
      </w:r>
      <w:r w:rsidR="009A276F">
        <w:t>,</w:t>
      </w:r>
      <w:r w:rsidR="004A2D58" w:rsidRPr="00F32020">
        <w:t xml:space="preserve"> </w:t>
      </w:r>
      <w:r w:rsidR="009A276F">
        <w:t xml:space="preserve">such as </w:t>
      </w:r>
      <w:r w:rsidR="004A2D58" w:rsidRPr="00F32020">
        <w:t xml:space="preserve">financial, social and environmental ones. This enhances substantially the challenges for the founding team, resulting in an interesting setting for testing our hypothesis. Second, social impact accelerators have been growing at a rapid pace in recent years, and they can </w:t>
      </w:r>
      <w:r w:rsidR="004A2D58" w:rsidRPr="00F32020">
        <w:rPr>
          <w:rFonts w:eastAsiaTheme="minorHAnsi"/>
          <w:lang w:eastAsia="en-US"/>
        </w:rPr>
        <w:t>become critical components</w:t>
      </w:r>
      <w:r w:rsidR="004A2D58" w:rsidRPr="00F32020">
        <w:rPr>
          <w:b/>
          <w:bCs/>
          <w:iCs/>
        </w:rPr>
        <w:t xml:space="preserve"> </w:t>
      </w:r>
      <w:r w:rsidR="004A2D58" w:rsidRPr="00F32020">
        <w:rPr>
          <w:rFonts w:eastAsiaTheme="minorHAnsi"/>
          <w:lang w:eastAsia="en-US"/>
        </w:rPr>
        <w:t>of underdeveloped ecosystems. This is because they support promising, but often marginalised, entrepreneurs who tackle social and</w:t>
      </w:r>
      <w:r w:rsidR="004A2D58" w:rsidRPr="00F32020">
        <w:rPr>
          <w:b/>
          <w:bCs/>
          <w:iCs/>
        </w:rPr>
        <w:t xml:space="preserve"> </w:t>
      </w:r>
      <w:r w:rsidR="004A2D58" w:rsidRPr="00F32020">
        <w:rPr>
          <w:rFonts w:eastAsiaTheme="minorHAnsi"/>
          <w:lang w:eastAsia="en-US"/>
        </w:rPr>
        <w:t>environmental challenges, like generating employment, improving incomes for people that currently</w:t>
      </w:r>
      <w:r w:rsidR="004A2D58" w:rsidRPr="00F32020">
        <w:rPr>
          <w:b/>
          <w:bCs/>
          <w:iCs/>
        </w:rPr>
        <w:t xml:space="preserve"> </w:t>
      </w:r>
      <w:r w:rsidR="004A2D58" w:rsidRPr="00F32020">
        <w:rPr>
          <w:rFonts w:eastAsiaTheme="minorHAnsi"/>
          <w:lang w:eastAsia="en-US"/>
        </w:rPr>
        <w:t>live in poverty, and producing innovative business models that</w:t>
      </w:r>
      <w:r w:rsidR="004A2D58" w:rsidRPr="00F32020">
        <w:rPr>
          <w:b/>
          <w:bCs/>
          <w:iCs/>
        </w:rPr>
        <w:t xml:space="preserve"> </w:t>
      </w:r>
      <w:r w:rsidR="004A2D58" w:rsidRPr="00F32020">
        <w:rPr>
          <w:rFonts w:eastAsiaTheme="minorHAnsi"/>
          <w:lang w:eastAsia="en-US"/>
        </w:rPr>
        <w:t>give underserved people access to essential products and services (Roberts and Lall, 2019).</w:t>
      </w:r>
      <w:r w:rsidR="004A2D58" w:rsidRPr="00F32020">
        <w:t xml:space="preserve"> Hence, knowledge of the driving factors behind their decisions is important. Nonetheless, research on social impact accelerators remains scarce, especially when it comes to their decision process.  </w:t>
      </w:r>
    </w:p>
    <w:p w14:paraId="71C50EE0" w14:textId="164E5789" w:rsidR="009F5A58" w:rsidRPr="00F32020" w:rsidRDefault="009F5A58" w:rsidP="005546EC">
      <w:pPr>
        <w:spacing w:line="480" w:lineRule="auto"/>
        <w:jc w:val="both"/>
        <w:rPr>
          <w:lang w:val="en-US"/>
        </w:rPr>
      </w:pPr>
      <w:r w:rsidRPr="00F32020">
        <w:tab/>
        <w:t xml:space="preserve">Second, we extend earlier work that relies on signalling theory to explain the decisions of </w:t>
      </w:r>
      <w:r w:rsidR="008533EA" w:rsidRPr="00F32020">
        <w:t>economic</w:t>
      </w:r>
      <w:r w:rsidRPr="00F32020">
        <w:t xml:space="preserve"> agents</w:t>
      </w:r>
      <w:r w:rsidR="008533EA" w:rsidRPr="00F32020">
        <w:t>, like</w:t>
      </w:r>
      <w:r w:rsidRPr="00F32020">
        <w:t xml:space="preserve"> </w:t>
      </w:r>
      <w:r w:rsidR="008533EA" w:rsidRPr="00F32020">
        <w:t xml:space="preserve">crowdfunding, business angels, VCs, and equity investors, </w:t>
      </w:r>
      <w:r w:rsidRPr="00F32020">
        <w:t>that are part of the startup ecosystem and support new ventures</w:t>
      </w:r>
      <w:r w:rsidR="002F0936" w:rsidRPr="00F32020">
        <w:t>.</w:t>
      </w:r>
      <w:r w:rsidRPr="00F32020">
        <w:t xml:space="preserve"> Our empirical results complement and </w:t>
      </w:r>
      <w:r w:rsidR="009A276F">
        <w:t>extend</w:t>
      </w:r>
      <w:r w:rsidR="009A276F" w:rsidRPr="00F32020">
        <w:t xml:space="preserve"> </w:t>
      </w:r>
      <w:r w:rsidRPr="00F32020">
        <w:t>these findings by showing that cultural diversity of the founding team</w:t>
      </w:r>
      <w:r w:rsidR="008533EA" w:rsidRPr="00F32020">
        <w:t xml:space="preserve"> can </w:t>
      </w:r>
      <w:r w:rsidR="003D1F51" w:rsidRPr="00F32020">
        <w:t>serve as</w:t>
      </w:r>
      <w:r w:rsidR="008533EA" w:rsidRPr="00F32020">
        <w:t xml:space="preserve"> a signal for the decision makers of the accelerators. </w:t>
      </w:r>
    </w:p>
    <w:p w14:paraId="790E1DC5" w14:textId="77777777" w:rsidR="008B1F2A" w:rsidRPr="00F32020" w:rsidRDefault="00A43D65" w:rsidP="008B1F2A">
      <w:pPr>
        <w:spacing w:line="480" w:lineRule="auto"/>
        <w:ind w:firstLine="720"/>
        <w:jc w:val="both"/>
        <w:rPr>
          <w:lang w:val="en-US"/>
        </w:rPr>
      </w:pPr>
      <w:r w:rsidRPr="00F32020">
        <w:t xml:space="preserve">Third, we </w:t>
      </w:r>
      <w:r w:rsidR="001356C7" w:rsidRPr="00F32020">
        <w:t>contribute to</w:t>
      </w:r>
      <w:r w:rsidRPr="00F32020">
        <w:t xml:space="preserve"> a recent strand of the literature that suggests that </w:t>
      </w:r>
      <w:r w:rsidR="002F0936" w:rsidRPr="00F32020">
        <w:t>new ventures</w:t>
      </w:r>
      <w:r w:rsidRPr="00F32020">
        <w:t xml:space="preserve"> may send multiple signals</w:t>
      </w:r>
      <w:r w:rsidR="002F0936" w:rsidRPr="00F32020">
        <w:t xml:space="preserve"> to third parties, and in particular to the call of Colombo (2020) to consider interaction between different types of signals in future research</w:t>
      </w:r>
      <w:r w:rsidRPr="00F32020">
        <w:t xml:space="preserve">. </w:t>
      </w:r>
      <w:r w:rsidR="00094521" w:rsidRPr="00F32020">
        <w:t xml:space="preserve">Our results </w:t>
      </w:r>
      <w:r w:rsidR="00183894" w:rsidRPr="00F32020">
        <w:t>confirm that several</w:t>
      </w:r>
      <w:r w:rsidR="000A789A" w:rsidRPr="00F32020">
        <w:t xml:space="preserve"> other characteristics related to the founders’ team, like education, age, prior experience with accelerators and gender diversity have an impact on the decision of accelerators</w:t>
      </w:r>
      <w:r w:rsidR="00183894" w:rsidRPr="00F32020">
        <w:t>, suggesting that</w:t>
      </w:r>
      <w:r w:rsidR="000A789A" w:rsidRPr="00F32020">
        <w:t xml:space="preserve"> </w:t>
      </w:r>
      <w:r w:rsidR="00183894" w:rsidRPr="00F32020">
        <w:t xml:space="preserve">they may </w:t>
      </w:r>
      <w:r w:rsidR="000A789A" w:rsidRPr="00F32020">
        <w:t xml:space="preserve">serve as potential signals. </w:t>
      </w:r>
      <w:r w:rsidRPr="00F32020">
        <w:t xml:space="preserve">Yet, while we find </w:t>
      </w:r>
      <w:r w:rsidR="00DA5763" w:rsidRPr="00F32020">
        <w:t xml:space="preserve">no evidence that these signals interact with cultural diversity. </w:t>
      </w:r>
    </w:p>
    <w:p w14:paraId="0EFE2E87" w14:textId="749A784E" w:rsidR="00554626" w:rsidRPr="00F32020" w:rsidRDefault="00554626" w:rsidP="00684172">
      <w:pPr>
        <w:spacing w:line="480" w:lineRule="auto"/>
        <w:ind w:firstLine="720"/>
        <w:jc w:val="both"/>
      </w:pPr>
      <w:r w:rsidRPr="00F32020">
        <w:rPr>
          <w:iCs/>
          <w:lang w:val="en-US"/>
        </w:rPr>
        <w:lastRenderedPageBreak/>
        <w:t xml:space="preserve">Our study is not without its limitations, primarily due to data constraints. </w:t>
      </w:r>
      <w:r w:rsidR="00513C48" w:rsidRPr="00F32020">
        <w:rPr>
          <w:iCs/>
          <w:lang w:val="en-US"/>
        </w:rPr>
        <w:t>In more detail</w:t>
      </w:r>
      <w:r w:rsidRPr="00F32020">
        <w:rPr>
          <w:iCs/>
          <w:lang w:val="en-US"/>
        </w:rPr>
        <w:t xml:space="preserve">, </w:t>
      </w:r>
      <w:r w:rsidRPr="00F32020">
        <w:rPr>
          <w:shd w:val="clear" w:color="auto" w:fill="FFFFFF"/>
          <w:lang w:val="en-US"/>
        </w:rPr>
        <w:t xml:space="preserve">the information in the EDP dataset is anonymized and therefore it cannot be matched with venture-specific or accelerator-specific information from other sources. </w:t>
      </w:r>
      <w:bookmarkStart w:id="22" w:name="_Hlk114854740"/>
      <w:r w:rsidR="00597F45" w:rsidRPr="00F32020">
        <w:rPr>
          <w:shd w:val="clear" w:color="auto" w:fill="FFFFFF"/>
        </w:rPr>
        <w:t xml:space="preserve">For example, </w:t>
      </w:r>
      <w:r w:rsidR="00811FD8" w:rsidRPr="00F32020">
        <w:rPr>
          <w:shd w:val="clear" w:color="auto" w:fill="FFFFFF"/>
        </w:rPr>
        <w:t xml:space="preserve">founders’ diversity in terms of </w:t>
      </w:r>
      <w:r w:rsidR="00597F45" w:rsidRPr="00F32020">
        <w:rPr>
          <w:shd w:val="clear" w:color="auto" w:fill="FFFFFF"/>
        </w:rPr>
        <w:t>specific knowledge may be an important issue since the new venture</w:t>
      </w:r>
      <w:r w:rsidR="00597F45" w:rsidRPr="00F32020">
        <w:t xml:space="preserve"> may face different challenges along various dimensions (technical, financial, commercial, etc.). </w:t>
      </w:r>
      <w:r w:rsidR="00991F34" w:rsidRPr="00F32020">
        <w:t xml:space="preserve">Unfortunately, such data are not included in the database that was made available to us. </w:t>
      </w:r>
      <w:r w:rsidR="0084360D" w:rsidRPr="00F32020">
        <w:t>While we have controlled for prior</w:t>
      </w:r>
      <w:r w:rsidR="00543315" w:rsidRPr="00F32020">
        <w:t xml:space="preserve"> founding</w:t>
      </w:r>
      <w:r w:rsidR="0084360D" w:rsidRPr="00F32020">
        <w:t xml:space="preserve"> experience and the level of education, future research could consider the role of specific knowledge stemming either from education or work experience. </w:t>
      </w:r>
      <w:r w:rsidR="00991F34" w:rsidRPr="00F32020">
        <w:t xml:space="preserve">Similarly, there is no information </w:t>
      </w:r>
      <w:r w:rsidR="00E77803" w:rsidRPr="00F32020">
        <w:t>about</w:t>
      </w:r>
      <w:r w:rsidR="00991F34" w:rsidRPr="00F32020">
        <w:t xml:space="preserve"> the country of the accelerat</w:t>
      </w:r>
      <w:r w:rsidR="00E77803" w:rsidRPr="00F32020">
        <w:t>ors</w:t>
      </w:r>
      <w:r w:rsidR="00991F34" w:rsidRPr="00F32020">
        <w:t xml:space="preserve">. Having such information would allow us to consider cultural similarities between the </w:t>
      </w:r>
      <w:r w:rsidR="00E77803" w:rsidRPr="00F32020">
        <w:t>accelerators and the ventures in question</w:t>
      </w:r>
      <w:r w:rsidR="00991F34" w:rsidRPr="00F32020">
        <w:t xml:space="preserve">. </w:t>
      </w:r>
      <w:bookmarkStart w:id="23" w:name="_Hlk211372806"/>
      <w:r w:rsidR="00684172" w:rsidRPr="00F32020">
        <w:t>Finally, one may question the exclusive focus on nationality-based cultural differences which overlook within-country cultural variation</w:t>
      </w:r>
      <w:r w:rsidR="009A276F">
        <w:t>s</w:t>
      </w:r>
      <w:r w:rsidR="00684172" w:rsidRPr="00F32020">
        <w:t xml:space="preserve"> and individual cultural adaptation.</w:t>
      </w:r>
      <w:r w:rsidR="00684172" w:rsidRPr="00F32020">
        <w:rPr>
          <w:b/>
          <w:bCs/>
          <w:i/>
          <w:iCs/>
        </w:rPr>
        <w:t xml:space="preserve"> </w:t>
      </w:r>
      <w:r w:rsidR="00684172" w:rsidRPr="00F32020">
        <w:t xml:space="preserve">This can be even an even more important for founders with international experience or from multicultural societies. </w:t>
      </w:r>
      <w:r w:rsidR="009A276F">
        <w:t>The l</w:t>
      </w:r>
      <w:r w:rsidR="009A276F" w:rsidRPr="00F32020">
        <w:t xml:space="preserve">ack </w:t>
      </w:r>
      <w:r w:rsidR="00684172" w:rsidRPr="00F32020">
        <w:t xml:space="preserve">of data </w:t>
      </w:r>
      <w:r w:rsidR="009A276F">
        <w:t xml:space="preserve">on </w:t>
      </w:r>
      <w:r w:rsidR="00684172" w:rsidRPr="00F32020">
        <w:t xml:space="preserve">both the exact place of birth (e.g. city, province) of the founders and indicators of globally comparable within-country cultural scores for different sub-regions have not allowed us to examine these issues. As we mention in the Appendix, to partially address such concerns, we undertook some preliminary empirical tests by </w:t>
      </w:r>
      <w:r w:rsidR="00684172" w:rsidRPr="00F32020">
        <w:rPr>
          <w:rFonts w:eastAsiaTheme="minorEastAsia"/>
          <w:iCs/>
        </w:rPr>
        <w:t>excluding from the regressions ventures that have one or more founders that reside in a country different than the one of birth, and we also restricted the sample to ventures whose founders - at the time of the application - reside in the country of birth and at the same they have not worked abroad in their last two jobs</w:t>
      </w:r>
      <w:r w:rsidR="00684172" w:rsidRPr="00F32020">
        <w:t xml:space="preserve">. </w:t>
      </w:r>
      <w:r w:rsidR="00785779" w:rsidRPr="00F32020">
        <w:rPr>
          <w:iCs/>
          <w:lang w:val="en-US"/>
        </w:rPr>
        <w:t xml:space="preserve">We </w:t>
      </w:r>
      <w:r w:rsidR="00785779" w:rsidRPr="00F32020">
        <w:rPr>
          <w:iCs/>
        </w:rPr>
        <w:t xml:space="preserve">acknowledge these limitations, </w:t>
      </w:r>
      <w:r w:rsidR="00785779" w:rsidRPr="00F32020">
        <w:rPr>
          <w:iCs/>
          <w:lang w:val="en-US"/>
        </w:rPr>
        <w:t xml:space="preserve">and we hope that future research will </w:t>
      </w:r>
      <w:r w:rsidR="00991F34" w:rsidRPr="00F32020">
        <w:rPr>
          <w:iCs/>
          <w:lang w:val="en-US"/>
        </w:rPr>
        <w:t>tackle these issues</w:t>
      </w:r>
      <w:r w:rsidR="00785779" w:rsidRPr="00F32020">
        <w:rPr>
          <w:iCs/>
          <w:lang w:val="en-US"/>
        </w:rPr>
        <w:t>.</w:t>
      </w:r>
    </w:p>
    <w:bookmarkEnd w:id="22"/>
    <w:bookmarkEnd w:id="23"/>
    <w:p w14:paraId="63CA1793" w14:textId="77777777" w:rsidR="00554626" w:rsidRPr="00F32020" w:rsidRDefault="00554626" w:rsidP="00E16BDB">
      <w:pPr>
        <w:spacing w:line="480" w:lineRule="auto"/>
        <w:ind w:firstLine="720"/>
        <w:jc w:val="both"/>
        <w:rPr>
          <w:lang w:val="en-US"/>
        </w:rPr>
      </w:pPr>
    </w:p>
    <w:p w14:paraId="31B9984A" w14:textId="38140CED" w:rsidR="0049714A" w:rsidRPr="00550AA7" w:rsidRDefault="004D7FD4" w:rsidP="0049714A">
      <w:pPr>
        <w:adjustRightInd w:val="0"/>
        <w:ind w:left="567" w:hanging="567"/>
        <w:jc w:val="both"/>
        <w:rPr>
          <w:b/>
          <w:bCs/>
        </w:rPr>
      </w:pPr>
      <w:r w:rsidRPr="00550AA7">
        <w:rPr>
          <w:b/>
          <w:bCs/>
        </w:rPr>
        <w:t>References</w:t>
      </w:r>
    </w:p>
    <w:p w14:paraId="50F52596" w14:textId="63AF6C11" w:rsidR="00DA60BC" w:rsidRPr="00550AA7" w:rsidRDefault="00DA60BC" w:rsidP="004D7FD4">
      <w:pPr>
        <w:adjustRightInd w:val="0"/>
        <w:ind w:left="567" w:hanging="567"/>
        <w:jc w:val="both"/>
      </w:pPr>
      <w:r w:rsidRPr="00550AA7">
        <w:t>Ahlers</w:t>
      </w:r>
      <w:r w:rsidR="0070157C" w:rsidRPr="007E5E2F">
        <w:rPr>
          <w:lang w:val="en-US"/>
        </w:rPr>
        <w:t>,</w:t>
      </w:r>
      <w:r w:rsidRPr="00550AA7">
        <w:t xml:space="preserve"> G</w:t>
      </w:r>
      <w:r w:rsidR="00550AA7" w:rsidRPr="00550AA7">
        <w:t>.</w:t>
      </w:r>
      <w:r w:rsidR="0070157C" w:rsidRPr="007E5E2F">
        <w:rPr>
          <w:lang w:val="en-US"/>
        </w:rPr>
        <w:t xml:space="preserve"> </w:t>
      </w:r>
      <w:r w:rsidRPr="00550AA7">
        <w:t>K</w:t>
      </w:r>
      <w:r w:rsidR="00550AA7" w:rsidRPr="00550AA7">
        <w:t>.</w:t>
      </w:r>
      <w:r w:rsidR="0070157C" w:rsidRPr="007E5E2F">
        <w:rPr>
          <w:lang w:val="en-US"/>
        </w:rPr>
        <w:t xml:space="preserve"> </w:t>
      </w:r>
      <w:r w:rsidRPr="00550AA7">
        <w:t>C</w:t>
      </w:r>
      <w:r w:rsidR="00550AA7" w:rsidRPr="00550AA7">
        <w:t>.</w:t>
      </w:r>
      <w:r w:rsidRPr="00550AA7">
        <w:t>, Cumming</w:t>
      </w:r>
      <w:r w:rsidR="0070157C" w:rsidRPr="007E5E2F">
        <w:rPr>
          <w:lang w:val="en-US"/>
        </w:rPr>
        <w:t>,</w:t>
      </w:r>
      <w:r w:rsidRPr="00550AA7">
        <w:t xml:space="preserve"> D</w:t>
      </w:r>
      <w:r w:rsidR="00550AA7" w:rsidRPr="00550AA7">
        <w:t>.</w:t>
      </w:r>
      <w:r w:rsidRPr="00550AA7">
        <w:t>, Günther</w:t>
      </w:r>
      <w:r w:rsidR="0070157C" w:rsidRPr="007E5E2F">
        <w:rPr>
          <w:lang w:val="en-US"/>
        </w:rPr>
        <w:t>,</w:t>
      </w:r>
      <w:r w:rsidRPr="00550AA7">
        <w:t xml:space="preserve"> C</w:t>
      </w:r>
      <w:r w:rsidR="00550AA7" w:rsidRPr="00550AA7">
        <w:t>.</w:t>
      </w:r>
      <w:r w:rsidRPr="00550AA7">
        <w:t xml:space="preserve">, </w:t>
      </w:r>
      <w:r w:rsidR="00BC744C">
        <w:t xml:space="preserve">&amp; </w:t>
      </w:r>
      <w:r w:rsidRPr="00550AA7">
        <w:t>Schweizer</w:t>
      </w:r>
      <w:r w:rsidR="0070157C" w:rsidRPr="007E5E2F">
        <w:rPr>
          <w:lang w:val="en-US"/>
        </w:rPr>
        <w:t>,</w:t>
      </w:r>
      <w:r w:rsidRPr="00550AA7">
        <w:t xml:space="preserve"> D</w:t>
      </w:r>
      <w:r w:rsidR="00550AA7" w:rsidRPr="00550AA7">
        <w:t>.</w:t>
      </w:r>
      <w:r w:rsidRPr="00550AA7">
        <w:t xml:space="preserve"> </w:t>
      </w:r>
      <w:r w:rsidR="000B5180" w:rsidRPr="00550AA7">
        <w:t>(</w:t>
      </w:r>
      <w:r w:rsidRPr="00550AA7">
        <w:t>2015</w:t>
      </w:r>
      <w:r w:rsidR="000B5180" w:rsidRPr="00550AA7">
        <w:t>)</w:t>
      </w:r>
      <w:r w:rsidR="00550AA7" w:rsidRPr="00550AA7">
        <w:t>.</w:t>
      </w:r>
      <w:r w:rsidRPr="00550AA7">
        <w:t xml:space="preserve"> Signaling in equity crowdfunding. </w:t>
      </w:r>
      <w:r w:rsidRPr="00550AA7">
        <w:rPr>
          <w:i/>
          <w:iCs/>
        </w:rPr>
        <w:t>Entrepreneurship Theory and Practice</w:t>
      </w:r>
      <w:r w:rsidR="001C425A">
        <w:rPr>
          <w:i/>
          <w:iCs/>
        </w:rPr>
        <w:t>,</w:t>
      </w:r>
      <w:r w:rsidRPr="00550AA7">
        <w:t xml:space="preserve"> </w:t>
      </w:r>
      <w:r w:rsidRPr="007E5E2F">
        <w:rPr>
          <w:i/>
          <w:iCs/>
        </w:rPr>
        <w:t>39</w:t>
      </w:r>
      <w:r w:rsidR="00BC744C">
        <w:t>(4),</w:t>
      </w:r>
      <w:r w:rsidRPr="00550AA7">
        <w:t xml:space="preserve"> 955-980</w:t>
      </w:r>
      <w:r w:rsidR="0078326F" w:rsidRPr="00550AA7">
        <w:t>.</w:t>
      </w:r>
      <w:r w:rsidRPr="00550AA7">
        <w:t xml:space="preserve"> </w:t>
      </w:r>
      <w:hyperlink r:id="rId8" w:history="1">
        <w:r w:rsidR="00BC744C" w:rsidRPr="00BC744C">
          <w:rPr>
            <w:rStyle w:val="Hyperlink"/>
          </w:rPr>
          <w:t>https://doi.org/10.1111/etap.121</w:t>
        </w:r>
      </w:hyperlink>
    </w:p>
    <w:p w14:paraId="7504DEE4" w14:textId="615E5722" w:rsidR="00550AA7" w:rsidRPr="00550AA7" w:rsidRDefault="00550AA7" w:rsidP="00550AA7">
      <w:pPr>
        <w:adjustRightInd w:val="0"/>
        <w:ind w:left="567" w:hanging="567"/>
        <w:jc w:val="both"/>
      </w:pPr>
      <w:r w:rsidRPr="007E5E2F">
        <w:rPr>
          <w:lang w:val="pt-PT"/>
        </w:rPr>
        <w:lastRenderedPageBreak/>
        <w:t xml:space="preserve">Ai, C., &amp; Norton, E. C. (2003). </w:t>
      </w:r>
      <w:r w:rsidRPr="00550AA7">
        <w:t xml:space="preserve">Interaction terms in logit and probit models. </w:t>
      </w:r>
      <w:r w:rsidRPr="00550AA7">
        <w:rPr>
          <w:i/>
          <w:iCs/>
        </w:rPr>
        <w:t>Economics Letters</w:t>
      </w:r>
      <w:r w:rsidRPr="007E5E2F">
        <w:t xml:space="preserve">, </w:t>
      </w:r>
      <w:r w:rsidRPr="007E5E2F">
        <w:rPr>
          <w:i/>
          <w:iCs/>
        </w:rPr>
        <w:t>80</w:t>
      </w:r>
      <w:r w:rsidRPr="007E5E2F">
        <w:t>(1), 123–129.</w:t>
      </w:r>
      <w:r w:rsidR="00BC744C">
        <w:t xml:space="preserve"> </w:t>
      </w:r>
      <w:hyperlink r:id="rId9" w:tgtFrame="_blank" w:tooltip="Persistent link using digital object identifier" w:history="1">
        <w:r w:rsidR="00BC744C" w:rsidRPr="00BC744C">
          <w:rPr>
            <w:rStyle w:val="Hyperlink"/>
          </w:rPr>
          <w:t>https://doi.org/10.1016/S0165-1765(03)00032-6</w:t>
        </w:r>
      </w:hyperlink>
    </w:p>
    <w:p w14:paraId="56E7BAB3" w14:textId="5BD1BF29" w:rsidR="00550AA7" w:rsidRPr="00550AA7" w:rsidRDefault="00550AA7" w:rsidP="00550AA7">
      <w:pPr>
        <w:adjustRightInd w:val="0"/>
        <w:ind w:left="567" w:hanging="567"/>
        <w:jc w:val="both"/>
      </w:pPr>
      <w:r w:rsidRPr="007E5E2F">
        <w:t>Alsos, G. A., &amp; Ljunggren, E. (2017). The role of gender in entrepreneur–investor relationships: A signaling theory approach. </w:t>
      </w:r>
      <w:r w:rsidRPr="00550AA7">
        <w:rPr>
          <w:i/>
          <w:iCs/>
        </w:rPr>
        <w:t>Entrepreneurship Theory and Practice</w:t>
      </w:r>
      <w:r w:rsidR="00BC744C">
        <w:rPr>
          <w:i/>
          <w:iCs/>
        </w:rPr>
        <w:t>,</w:t>
      </w:r>
      <w:r w:rsidRPr="007E5E2F">
        <w:t xml:space="preserve"> </w:t>
      </w:r>
      <w:r w:rsidRPr="007E5E2F">
        <w:rPr>
          <w:i/>
          <w:iCs/>
        </w:rPr>
        <w:t>41</w:t>
      </w:r>
      <w:r w:rsidR="00BC744C">
        <w:t>(4),</w:t>
      </w:r>
      <w:r w:rsidRPr="006B7A1A">
        <w:t xml:space="preserve"> </w:t>
      </w:r>
      <w:r w:rsidRPr="00450A74">
        <w:t>567–590.</w:t>
      </w:r>
      <w:r w:rsidR="00BC744C">
        <w:t xml:space="preserve"> </w:t>
      </w:r>
      <w:hyperlink r:id="rId10" w:history="1">
        <w:r w:rsidR="00BC744C" w:rsidRPr="00BC744C">
          <w:rPr>
            <w:rStyle w:val="Hyperlink"/>
          </w:rPr>
          <w:t>https://doi.org/10.1111/etp.12226</w:t>
        </w:r>
      </w:hyperlink>
      <w:r w:rsidR="00BC744C">
        <w:t xml:space="preserve"> </w:t>
      </w:r>
    </w:p>
    <w:p w14:paraId="12F25832" w14:textId="189F72D2" w:rsidR="00550AA7" w:rsidRPr="00550AA7" w:rsidRDefault="00550AA7" w:rsidP="00550AA7">
      <w:pPr>
        <w:adjustRightInd w:val="0"/>
        <w:ind w:left="567" w:hanging="567"/>
        <w:jc w:val="both"/>
      </w:pPr>
      <w:r w:rsidRPr="007E5E2F">
        <w:t xml:space="preserve">Assenova, V. A. (2021). Institutional </w:t>
      </w:r>
      <w:r w:rsidR="008B3B94">
        <w:t>c</w:t>
      </w:r>
      <w:r w:rsidRPr="007E5E2F">
        <w:t xml:space="preserve">hange and </w:t>
      </w:r>
      <w:r w:rsidR="008B3B94">
        <w:t>e</w:t>
      </w:r>
      <w:r w:rsidRPr="007E5E2F">
        <w:t>arly-</w:t>
      </w:r>
      <w:r w:rsidR="008B3B94">
        <w:t>s</w:t>
      </w:r>
      <w:r w:rsidRPr="007E5E2F">
        <w:t xml:space="preserve">tage </w:t>
      </w:r>
      <w:r w:rsidR="008B3B94">
        <w:t>s</w:t>
      </w:r>
      <w:r w:rsidRPr="007E5E2F">
        <w:t xml:space="preserve">tartup </w:t>
      </w:r>
      <w:r w:rsidR="008B3B94">
        <w:t>s</w:t>
      </w:r>
      <w:r w:rsidRPr="007E5E2F">
        <w:t xml:space="preserve">election: Evidence from </w:t>
      </w:r>
      <w:r w:rsidR="008B3B94">
        <w:t>a</w:t>
      </w:r>
      <w:r w:rsidRPr="007E5E2F">
        <w:t xml:space="preserve">pplicants to </w:t>
      </w:r>
      <w:r w:rsidR="008B3B94">
        <w:t>v</w:t>
      </w:r>
      <w:r w:rsidRPr="007E5E2F">
        <w:t xml:space="preserve">enture </w:t>
      </w:r>
      <w:r w:rsidR="008B3B94">
        <w:t>a</w:t>
      </w:r>
      <w:r w:rsidRPr="007E5E2F">
        <w:t xml:space="preserve">ccelerators. </w:t>
      </w:r>
      <w:r w:rsidRPr="00550AA7">
        <w:rPr>
          <w:i/>
          <w:iCs/>
        </w:rPr>
        <w:t>Organization Science</w:t>
      </w:r>
      <w:r w:rsidR="00BC744C">
        <w:rPr>
          <w:i/>
          <w:iCs/>
        </w:rPr>
        <w:t>,</w:t>
      </w:r>
      <w:r w:rsidRPr="007E5E2F">
        <w:t xml:space="preserve"> </w:t>
      </w:r>
      <w:r w:rsidRPr="007E5E2F">
        <w:rPr>
          <w:i/>
          <w:iCs/>
        </w:rPr>
        <w:t>32</w:t>
      </w:r>
      <w:r w:rsidR="00BC744C">
        <w:t>(2),</w:t>
      </w:r>
      <w:r w:rsidRPr="000B6C91">
        <w:t xml:space="preserve"> 407–432.</w:t>
      </w:r>
      <w:r w:rsidR="00BC744C">
        <w:t xml:space="preserve"> </w:t>
      </w:r>
      <w:hyperlink r:id="rId11" w:history="1">
        <w:r w:rsidR="00BC744C" w:rsidRPr="00BC744C">
          <w:rPr>
            <w:rStyle w:val="Hyperlink"/>
          </w:rPr>
          <w:t>https://doi.org/10.1287/orsc.2020.1390</w:t>
        </w:r>
      </w:hyperlink>
    </w:p>
    <w:p w14:paraId="762E309B" w14:textId="38049D7C" w:rsidR="00550AA7" w:rsidRPr="00550AA7" w:rsidRDefault="00550AA7" w:rsidP="00550AA7">
      <w:pPr>
        <w:adjustRightInd w:val="0"/>
        <w:ind w:left="567" w:hanging="567"/>
        <w:jc w:val="both"/>
      </w:pPr>
      <w:r w:rsidRPr="007E5E2F">
        <w:t xml:space="preserve">Åstebro, T., Rafih, R., &amp; Serrano, C. J. (2022). Venture </w:t>
      </w:r>
      <w:r w:rsidR="008B3B94">
        <w:t>c</w:t>
      </w:r>
      <w:r w:rsidRPr="007E5E2F">
        <w:t xml:space="preserve">apital </w:t>
      </w:r>
      <w:r w:rsidR="008B3B94">
        <w:t>f</w:t>
      </w:r>
      <w:r w:rsidRPr="007E5E2F">
        <w:t xml:space="preserve">inancing in Europe: Gender and </w:t>
      </w:r>
      <w:r w:rsidR="008B3B94">
        <w:t>e</w:t>
      </w:r>
      <w:r w:rsidRPr="007E5E2F">
        <w:t xml:space="preserve">thnic </w:t>
      </w:r>
      <w:r w:rsidR="008B3B94">
        <w:t>d</w:t>
      </w:r>
      <w:r w:rsidRPr="007E5E2F">
        <w:t xml:space="preserve">iversity in </w:t>
      </w:r>
      <w:r w:rsidR="008B3B94">
        <w:t>f</w:t>
      </w:r>
      <w:r w:rsidRPr="007E5E2F">
        <w:t xml:space="preserve">ounder </w:t>
      </w:r>
      <w:r w:rsidR="008B3B94">
        <w:t>t</w:t>
      </w:r>
      <w:r w:rsidRPr="007E5E2F">
        <w:t xml:space="preserve">eams. </w:t>
      </w:r>
      <w:r w:rsidRPr="00550AA7">
        <w:rPr>
          <w:i/>
          <w:iCs/>
        </w:rPr>
        <w:t>The Journal of Portfolio Management</w:t>
      </w:r>
      <w:r w:rsidR="00BC744C">
        <w:rPr>
          <w:i/>
          <w:iCs/>
        </w:rPr>
        <w:t>,</w:t>
      </w:r>
      <w:r w:rsidRPr="007E5E2F">
        <w:t xml:space="preserve"> </w:t>
      </w:r>
      <w:r w:rsidRPr="007E5E2F">
        <w:rPr>
          <w:i/>
          <w:iCs/>
        </w:rPr>
        <w:t>48</w:t>
      </w:r>
      <w:r w:rsidR="00BC744C">
        <w:t>(9),</w:t>
      </w:r>
      <w:r w:rsidRPr="006B7A1A">
        <w:t xml:space="preserve"> 251–271. </w:t>
      </w:r>
      <w:r w:rsidR="00BC744C" w:rsidRPr="00BC744C">
        <w:t>https://doi.org/10.3905/jpm.2022.1.409</w:t>
      </w:r>
    </w:p>
    <w:p w14:paraId="650B9E39" w14:textId="241A648E" w:rsidR="00550AA7" w:rsidRPr="007E5E2F" w:rsidRDefault="00550AA7" w:rsidP="00550AA7">
      <w:pPr>
        <w:adjustRightInd w:val="0"/>
        <w:ind w:left="567" w:hanging="567"/>
        <w:jc w:val="both"/>
        <w:rPr>
          <w:lang w:val="en-US"/>
        </w:rPr>
      </w:pPr>
      <w:r w:rsidRPr="007E5E2F">
        <w:t xml:space="preserve">Audretsch, D., Bönte, W., &amp; Mahagaonkar, P. (2012). Financial signaling by innovative nascent ventures: The relevance of patents and prototypes. </w:t>
      </w:r>
      <w:r w:rsidRPr="00550AA7">
        <w:rPr>
          <w:i/>
          <w:iCs/>
        </w:rPr>
        <w:t>Research Policy</w:t>
      </w:r>
      <w:r w:rsidR="00BC744C">
        <w:rPr>
          <w:i/>
          <w:iCs/>
        </w:rPr>
        <w:t>,</w:t>
      </w:r>
      <w:r w:rsidRPr="007E5E2F">
        <w:t xml:space="preserve"> </w:t>
      </w:r>
      <w:r w:rsidRPr="007E5E2F">
        <w:rPr>
          <w:i/>
          <w:iCs/>
        </w:rPr>
        <w:t>41</w:t>
      </w:r>
      <w:r w:rsidR="00BC744C">
        <w:t>(8),</w:t>
      </w:r>
      <w:r w:rsidRPr="006B7A1A">
        <w:t xml:space="preserve"> 1407–1421. </w:t>
      </w:r>
      <w:hyperlink r:id="rId12" w:tgtFrame="_blank" w:tooltip="Persistent link using digital object identifier" w:history="1">
        <w:r w:rsidR="00BC744C" w:rsidRPr="00BC744C">
          <w:rPr>
            <w:rStyle w:val="Hyperlink"/>
          </w:rPr>
          <w:t>https://doi.org/10.1016/j.respol.2012.02.003</w:t>
        </w:r>
      </w:hyperlink>
    </w:p>
    <w:p w14:paraId="09C1CA8D" w14:textId="23907281" w:rsidR="00550AA7" w:rsidRPr="00550AA7" w:rsidRDefault="00550AA7" w:rsidP="00550AA7">
      <w:pPr>
        <w:adjustRightInd w:val="0"/>
        <w:ind w:left="567" w:hanging="567"/>
        <w:jc w:val="both"/>
        <w:rPr>
          <w:kern w:val="36"/>
          <w:lang w:eastAsia="el-GR"/>
        </w:rPr>
      </w:pPr>
      <w:r w:rsidRPr="007E5E2F">
        <w:t xml:space="preserve">Autio, E., Pathak, S., &amp; Wennberg, K. (2013). </w:t>
      </w:r>
      <w:r w:rsidRPr="00550AA7">
        <w:rPr>
          <w:kern w:val="36"/>
          <w:lang w:eastAsia="el-GR"/>
        </w:rPr>
        <w:t xml:space="preserve">Consequences of cultural practices for entrepreneurial behaviours. </w:t>
      </w:r>
      <w:r w:rsidRPr="00550AA7">
        <w:rPr>
          <w:i/>
          <w:iCs/>
          <w:kern w:val="36"/>
          <w:lang w:eastAsia="el-GR"/>
        </w:rPr>
        <w:t>Journal of International Business Studies</w:t>
      </w:r>
      <w:r w:rsidR="00954500" w:rsidRPr="007E5E2F">
        <w:rPr>
          <w:i/>
          <w:iCs/>
          <w:kern w:val="36"/>
          <w:lang w:val="en-US" w:eastAsia="el-GR"/>
        </w:rPr>
        <w:t>,</w:t>
      </w:r>
      <w:r w:rsidRPr="00582554">
        <w:rPr>
          <w:kern w:val="36"/>
          <w:lang w:eastAsia="el-GR"/>
        </w:rPr>
        <w:t xml:space="preserve"> </w:t>
      </w:r>
      <w:r w:rsidRPr="007E5E2F">
        <w:rPr>
          <w:i/>
          <w:iCs/>
          <w:kern w:val="36"/>
          <w:lang w:eastAsia="el-GR"/>
        </w:rPr>
        <w:t>44</w:t>
      </w:r>
      <w:r w:rsidR="00954500" w:rsidRPr="007E5E2F">
        <w:rPr>
          <w:kern w:val="36"/>
          <w:lang w:val="en-US" w:eastAsia="el-GR"/>
        </w:rPr>
        <w:t>(</w:t>
      </w:r>
      <w:r w:rsidR="007B52D0" w:rsidRPr="007E5E2F">
        <w:rPr>
          <w:kern w:val="36"/>
          <w:lang w:val="en-US" w:eastAsia="el-GR"/>
        </w:rPr>
        <w:t>4</w:t>
      </w:r>
      <w:r w:rsidR="00954500" w:rsidRPr="007E5E2F">
        <w:rPr>
          <w:kern w:val="36"/>
          <w:lang w:val="en-US" w:eastAsia="el-GR"/>
        </w:rPr>
        <w:t>),</w:t>
      </w:r>
      <w:r w:rsidRPr="006B7A1A">
        <w:rPr>
          <w:kern w:val="36"/>
          <w:lang w:eastAsia="el-GR"/>
        </w:rPr>
        <w:t xml:space="preserve"> </w:t>
      </w:r>
      <w:r w:rsidRPr="00F05666">
        <w:rPr>
          <w:kern w:val="36"/>
          <w:lang w:eastAsia="el-GR"/>
        </w:rPr>
        <w:t>334–362.</w:t>
      </w:r>
      <w:r w:rsidR="007B52D0" w:rsidRPr="007B52D0">
        <w:rPr>
          <w:rFonts w:ascii="Merriweather Sans" w:hAnsi="Merriweather Sans"/>
          <w:color w:val="222222"/>
          <w:shd w:val="clear" w:color="auto" w:fill="FFFFFF"/>
        </w:rPr>
        <w:t xml:space="preserve"> </w:t>
      </w:r>
      <w:r w:rsidR="007B52D0" w:rsidRPr="007E5E2F">
        <w:rPr>
          <w:rFonts w:asciiTheme="minorHAnsi" w:hAnsiTheme="minorHAnsi"/>
          <w:color w:val="222222"/>
          <w:shd w:val="clear" w:color="auto" w:fill="FFFFFF"/>
          <w:lang w:val="en-US"/>
        </w:rPr>
        <w:t xml:space="preserve"> </w:t>
      </w:r>
      <w:r w:rsidR="007B52D0" w:rsidRPr="007B52D0">
        <w:rPr>
          <w:kern w:val="36"/>
          <w:lang w:eastAsia="el-GR"/>
        </w:rPr>
        <w:t>https://doi.org/10.1057/jibs.2013.15</w:t>
      </w:r>
    </w:p>
    <w:p w14:paraId="6A842E87" w14:textId="77858D4F" w:rsidR="00550AA7" w:rsidRPr="007E5E2F" w:rsidRDefault="00550AA7" w:rsidP="00550AA7">
      <w:pPr>
        <w:adjustRightInd w:val="0"/>
        <w:ind w:left="567" w:hanging="567"/>
        <w:jc w:val="both"/>
        <w:rPr>
          <w:lang w:val="en-US"/>
        </w:rPr>
      </w:pPr>
      <w:r w:rsidRPr="00550AA7">
        <w:t>Avnimelech</w:t>
      </w:r>
      <w:r w:rsidR="007B52D0" w:rsidRPr="007E5E2F">
        <w:rPr>
          <w:lang w:val="en-US"/>
        </w:rPr>
        <w:t>,</w:t>
      </w:r>
      <w:r w:rsidRPr="00550AA7">
        <w:t xml:space="preserve"> G</w:t>
      </w:r>
      <w:r w:rsidR="007B52D0" w:rsidRPr="00582554">
        <w:rPr>
          <w:lang w:val="en-US"/>
        </w:rPr>
        <w:t>.</w:t>
      </w:r>
      <w:r w:rsidRPr="00550AA7">
        <w:t>, </w:t>
      </w:r>
      <w:r w:rsidR="007B52D0" w:rsidRPr="007E5E2F">
        <w:rPr>
          <w:lang w:val="en-US"/>
        </w:rPr>
        <w:t xml:space="preserve">&amp; </w:t>
      </w:r>
      <w:r w:rsidRPr="00550AA7">
        <w:t>Rechter</w:t>
      </w:r>
      <w:r w:rsidR="007B52D0" w:rsidRPr="007E5E2F">
        <w:rPr>
          <w:lang w:val="en-US"/>
        </w:rPr>
        <w:t>,</w:t>
      </w:r>
      <w:r w:rsidRPr="00550AA7">
        <w:t xml:space="preserve"> E</w:t>
      </w:r>
      <w:r w:rsidR="007B52D0" w:rsidRPr="007E5E2F">
        <w:rPr>
          <w:lang w:val="en-US"/>
        </w:rPr>
        <w:t>.</w:t>
      </w:r>
      <w:r w:rsidRPr="00550AA7">
        <w:t xml:space="preserve"> (2023)</w:t>
      </w:r>
      <w:r w:rsidR="007B52D0" w:rsidRPr="007E5E2F">
        <w:rPr>
          <w:lang w:val="en-US"/>
        </w:rPr>
        <w:t>.</w:t>
      </w:r>
      <w:r w:rsidRPr="00550AA7">
        <w:t xml:space="preserve"> How and why accelerators enhance female entrepreneurship. </w:t>
      </w:r>
      <w:r w:rsidRPr="00550AA7">
        <w:rPr>
          <w:i/>
          <w:iCs/>
        </w:rPr>
        <w:t>Research Policy</w:t>
      </w:r>
      <w:r w:rsidR="00383F0A" w:rsidRPr="007E5E2F">
        <w:rPr>
          <w:i/>
          <w:iCs/>
          <w:lang w:val="en-US"/>
        </w:rPr>
        <w:t>,</w:t>
      </w:r>
      <w:r w:rsidRPr="00550AA7">
        <w:t xml:space="preserve"> </w:t>
      </w:r>
      <w:r w:rsidRPr="007E5E2F">
        <w:rPr>
          <w:i/>
          <w:iCs/>
        </w:rPr>
        <w:t>52</w:t>
      </w:r>
      <w:r w:rsidR="00383F0A" w:rsidRPr="007E5E2F">
        <w:rPr>
          <w:lang w:val="en-US"/>
        </w:rPr>
        <w:t>(2),</w:t>
      </w:r>
      <w:r w:rsidRPr="00550AA7">
        <w:t xml:space="preserve"> 104669.</w:t>
      </w:r>
      <w:r w:rsidR="00383F0A" w:rsidRPr="007E5E2F">
        <w:rPr>
          <w:lang w:val="en-US"/>
        </w:rPr>
        <w:t xml:space="preserve"> </w:t>
      </w:r>
      <w:hyperlink r:id="rId13" w:tgtFrame="_blank" w:tooltip="Persistent link using digital object identifier" w:history="1">
        <w:r w:rsidR="00383F0A" w:rsidRPr="00383F0A">
          <w:rPr>
            <w:rStyle w:val="Hyperlink"/>
          </w:rPr>
          <w:t>https://doi.org/10.1016/j.respol.2022.104669</w:t>
        </w:r>
      </w:hyperlink>
    </w:p>
    <w:p w14:paraId="6BF9F0CB" w14:textId="598B16B8" w:rsidR="00550AA7" w:rsidRPr="007E5E2F" w:rsidRDefault="00550AA7" w:rsidP="00550AA7">
      <w:pPr>
        <w:adjustRightInd w:val="0"/>
        <w:ind w:left="567" w:hanging="567"/>
        <w:jc w:val="both"/>
        <w:rPr>
          <w:lang w:val="en-US"/>
        </w:rPr>
      </w:pPr>
      <w:r w:rsidRPr="00550AA7">
        <w:t>Bafera</w:t>
      </w:r>
      <w:r w:rsidR="00383F0A" w:rsidRPr="007E5E2F">
        <w:rPr>
          <w:lang w:val="en-US"/>
        </w:rPr>
        <w:t>,</w:t>
      </w:r>
      <w:r w:rsidRPr="00550AA7">
        <w:t xml:space="preserve"> J</w:t>
      </w:r>
      <w:r w:rsidR="00383F0A" w:rsidRPr="007E5E2F">
        <w:rPr>
          <w:lang w:val="en-US"/>
        </w:rPr>
        <w:t>.</w:t>
      </w:r>
      <w:r w:rsidRPr="00550AA7">
        <w:t>,</w:t>
      </w:r>
      <w:r w:rsidRPr="00550AA7">
        <w:rPr>
          <w:rFonts w:ascii="AdvPS8E82" w:eastAsia="Calibri" w:hAnsi="AdvPS8E82" w:cs="AdvPS8E82"/>
        </w:rPr>
        <w:t xml:space="preserve"> </w:t>
      </w:r>
      <w:r w:rsidR="00383F0A" w:rsidRPr="007E5E2F">
        <w:rPr>
          <w:rFonts w:asciiTheme="minorHAnsi" w:eastAsia="Calibri" w:hAnsiTheme="minorHAnsi" w:cs="AdvPS8E82"/>
          <w:lang w:val="en-US"/>
        </w:rPr>
        <w:t xml:space="preserve">&amp; </w:t>
      </w:r>
      <w:r w:rsidRPr="00550AA7">
        <w:t>Kleinert</w:t>
      </w:r>
      <w:r w:rsidR="00383F0A" w:rsidRPr="007E5E2F">
        <w:rPr>
          <w:lang w:val="en-US"/>
        </w:rPr>
        <w:t>,</w:t>
      </w:r>
      <w:r w:rsidRPr="00550AA7">
        <w:t xml:space="preserve"> S</w:t>
      </w:r>
      <w:r w:rsidR="00383F0A" w:rsidRPr="007E5E2F">
        <w:rPr>
          <w:lang w:val="en-US"/>
        </w:rPr>
        <w:t>.</w:t>
      </w:r>
      <w:r w:rsidRPr="00550AA7">
        <w:t xml:space="preserve"> (2023)</w:t>
      </w:r>
      <w:r w:rsidR="00383F0A" w:rsidRPr="007E5E2F">
        <w:rPr>
          <w:lang w:val="en-US"/>
        </w:rPr>
        <w:t>.</w:t>
      </w:r>
      <w:r w:rsidRPr="00550AA7">
        <w:t xml:space="preserve"> Signaling </w:t>
      </w:r>
      <w:r w:rsidR="008B3B94">
        <w:t>t</w:t>
      </w:r>
      <w:r w:rsidRPr="00550AA7">
        <w:t xml:space="preserve">heory in </w:t>
      </w:r>
      <w:r w:rsidR="008B3B94">
        <w:t>e</w:t>
      </w:r>
      <w:r w:rsidRPr="00550AA7">
        <w:t xml:space="preserve">ntrepreneurship </w:t>
      </w:r>
      <w:r w:rsidR="008B3B94">
        <w:t>r</w:t>
      </w:r>
      <w:r w:rsidRPr="00550AA7">
        <w:t xml:space="preserve">esearch: A </w:t>
      </w:r>
      <w:r w:rsidR="008B3B94">
        <w:t>s</w:t>
      </w:r>
      <w:r w:rsidRPr="00550AA7">
        <w:t xml:space="preserve">ystematic </w:t>
      </w:r>
      <w:r w:rsidR="008B3B94">
        <w:t>r</w:t>
      </w:r>
      <w:r w:rsidRPr="00550AA7">
        <w:t xml:space="preserve">eview and </w:t>
      </w:r>
      <w:r w:rsidR="008B3B94">
        <w:t>r</w:t>
      </w:r>
      <w:r w:rsidRPr="00550AA7">
        <w:t xml:space="preserve">esearch </w:t>
      </w:r>
      <w:r w:rsidR="008B3B94">
        <w:t>a</w:t>
      </w:r>
      <w:r w:rsidRPr="00550AA7">
        <w:t>genda</w:t>
      </w:r>
      <w:r w:rsidRPr="00550AA7">
        <w:rPr>
          <w:i/>
          <w:iCs/>
        </w:rPr>
        <w:t>.</w:t>
      </w:r>
      <w:r w:rsidRPr="00550AA7">
        <w:rPr>
          <w:rFonts w:ascii="AdvPS8E9A" w:eastAsia="Calibri" w:hAnsi="AdvPS8E9A" w:cs="AdvPS8E9A"/>
          <w:i/>
          <w:iCs/>
          <w:sz w:val="14"/>
          <w:szCs w:val="14"/>
        </w:rPr>
        <w:t xml:space="preserve"> </w:t>
      </w:r>
      <w:r w:rsidRPr="00550AA7">
        <w:rPr>
          <w:i/>
          <w:iCs/>
        </w:rPr>
        <w:t>Entrepreneurship Theory and Practice</w:t>
      </w:r>
      <w:r w:rsidR="00383F0A" w:rsidRPr="007E5E2F">
        <w:rPr>
          <w:i/>
          <w:iCs/>
          <w:lang w:val="en-US"/>
        </w:rPr>
        <w:t>,</w:t>
      </w:r>
      <w:r w:rsidRPr="007E5E2F">
        <w:t xml:space="preserve"> </w:t>
      </w:r>
      <w:r w:rsidRPr="007E5E2F">
        <w:rPr>
          <w:i/>
          <w:iCs/>
        </w:rPr>
        <w:t>47</w:t>
      </w:r>
      <w:r w:rsidR="00383F0A" w:rsidRPr="007E5E2F">
        <w:rPr>
          <w:lang w:val="en-US"/>
        </w:rPr>
        <w:t>(6),</w:t>
      </w:r>
      <w:r w:rsidRPr="006B7A1A">
        <w:t xml:space="preserve"> 2419–2464.</w:t>
      </w:r>
      <w:r w:rsidR="00383F0A" w:rsidRPr="007E5E2F">
        <w:rPr>
          <w:lang w:val="en-US"/>
        </w:rPr>
        <w:t xml:space="preserve"> </w:t>
      </w:r>
      <w:hyperlink r:id="rId14" w:history="1">
        <w:r w:rsidR="00383F0A" w:rsidRPr="00383F0A">
          <w:rPr>
            <w:rStyle w:val="Hyperlink"/>
          </w:rPr>
          <w:t>https://doi.org/10.1177/10422587221138489</w:t>
        </w:r>
      </w:hyperlink>
    </w:p>
    <w:p w14:paraId="452CE1E9" w14:textId="47F376F9" w:rsidR="00383F0A" w:rsidRPr="00383F0A" w:rsidRDefault="00550AA7" w:rsidP="00383F0A">
      <w:pPr>
        <w:adjustRightInd w:val="0"/>
        <w:ind w:left="567" w:hanging="567"/>
        <w:jc w:val="both"/>
        <w:rPr>
          <w:lang w:val="en-US"/>
        </w:rPr>
      </w:pPr>
      <w:r w:rsidRPr="007E5E2F">
        <w:t xml:space="preserve">Bantel, K. A., &amp; Jackson, S. E. (1989). Top management and innovations in banking: Does the composition of the top team make a difference? </w:t>
      </w:r>
      <w:r w:rsidRPr="00550AA7">
        <w:rPr>
          <w:i/>
          <w:iCs/>
        </w:rPr>
        <w:t xml:space="preserve">Strategic </w:t>
      </w:r>
      <w:r w:rsidRPr="007E5E2F">
        <w:rPr>
          <w:i/>
          <w:iCs/>
        </w:rPr>
        <w:t>Management Journal</w:t>
      </w:r>
      <w:r w:rsidR="00383F0A" w:rsidRPr="007E5E2F">
        <w:rPr>
          <w:i/>
          <w:iCs/>
          <w:lang w:val="en-US"/>
        </w:rPr>
        <w:t>,</w:t>
      </w:r>
      <w:r w:rsidRPr="007E5E2F">
        <w:t xml:space="preserve"> </w:t>
      </w:r>
      <w:r w:rsidRPr="007E5E2F">
        <w:rPr>
          <w:i/>
          <w:iCs/>
        </w:rPr>
        <w:t>10</w:t>
      </w:r>
      <w:r w:rsidR="00383F0A" w:rsidRPr="007E5E2F">
        <w:rPr>
          <w:lang w:val="en-US"/>
        </w:rPr>
        <w:t>(</w:t>
      </w:r>
      <w:r w:rsidR="00383F0A">
        <w:t>S1)</w:t>
      </w:r>
      <w:r w:rsidR="00383F0A" w:rsidRPr="00582554">
        <w:rPr>
          <w:lang w:val="en-US"/>
        </w:rPr>
        <w:t>,</w:t>
      </w:r>
      <w:r w:rsidRPr="006B7A1A">
        <w:t xml:space="preserve"> 107–124. </w:t>
      </w:r>
      <w:hyperlink r:id="rId15" w:history="1">
        <w:r w:rsidR="00383F0A" w:rsidRPr="00582554">
          <w:rPr>
            <w:rStyle w:val="Hyperlink"/>
            <w:lang w:val="en-US"/>
          </w:rPr>
          <w:t>https://doi.org/10.1002/smj.4250100709</w:t>
        </w:r>
      </w:hyperlink>
    </w:p>
    <w:p w14:paraId="6E979055" w14:textId="65E382AE" w:rsidR="00550AA7" w:rsidRPr="00582554" w:rsidRDefault="00550AA7" w:rsidP="00550AA7">
      <w:pPr>
        <w:adjustRightInd w:val="0"/>
        <w:ind w:left="567" w:hanging="567"/>
        <w:jc w:val="both"/>
      </w:pPr>
    </w:p>
    <w:p w14:paraId="4788FEFF" w14:textId="6227F809" w:rsidR="00550AA7" w:rsidRPr="00582554" w:rsidRDefault="00550AA7" w:rsidP="00550AA7">
      <w:pPr>
        <w:adjustRightInd w:val="0"/>
        <w:ind w:left="567" w:hanging="567"/>
        <w:jc w:val="both"/>
      </w:pPr>
      <w:r w:rsidRPr="00582554">
        <w:t xml:space="preserve">Barbi, M., &amp; Mattioli, S. (2019). </w:t>
      </w:r>
      <w:r w:rsidRPr="00582554">
        <w:rPr>
          <w:rFonts w:eastAsia="CharisSIL"/>
        </w:rPr>
        <w:t>Human capital, investor trust, and equity crowdfunding</w:t>
      </w:r>
      <w:r w:rsidRPr="00582554">
        <w:t xml:space="preserve">. </w:t>
      </w:r>
      <w:r w:rsidRPr="00582554">
        <w:rPr>
          <w:i/>
          <w:iCs/>
        </w:rPr>
        <w:t>Research in International Business and Finance</w:t>
      </w:r>
      <w:r w:rsidR="00C35613">
        <w:rPr>
          <w:i/>
          <w:iCs/>
        </w:rPr>
        <w:t>,</w:t>
      </w:r>
      <w:r w:rsidRPr="00582554">
        <w:t xml:space="preserve"> </w:t>
      </w:r>
      <w:r w:rsidRPr="00582554">
        <w:rPr>
          <w:i/>
          <w:iCs/>
        </w:rPr>
        <w:t>49</w:t>
      </w:r>
      <w:r w:rsidR="00C35613">
        <w:t>,</w:t>
      </w:r>
      <w:r w:rsidRPr="0085283B">
        <w:t xml:space="preserve"> 1–12.</w:t>
      </w:r>
      <w:r w:rsidR="00C35613">
        <w:t xml:space="preserve"> </w:t>
      </w:r>
      <w:hyperlink r:id="rId16" w:tgtFrame="_blank" w:tooltip="Persistent link using digital object identifier" w:history="1">
        <w:r w:rsidR="00C35613" w:rsidRPr="00C35613">
          <w:rPr>
            <w:rStyle w:val="Hyperlink"/>
          </w:rPr>
          <w:t>https://doi.org/10.1016/j.ribaf.2019.02.005</w:t>
        </w:r>
      </w:hyperlink>
    </w:p>
    <w:p w14:paraId="6DAB48B0" w14:textId="32635959" w:rsidR="00550AA7" w:rsidRPr="00582554" w:rsidRDefault="00550AA7" w:rsidP="00550AA7">
      <w:pPr>
        <w:adjustRightInd w:val="0"/>
        <w:ind w:left="567" w:hanging="567"/>
        <w:jc w:val="both"/>
        <w:rPr>
          <w:shd w:val="clear" w:color="auto" w:fill="FFFFFF"/>
          <w:lang w:val="fr-FR"/>
        </w:rPr>
      </w:pPr>
      <w:r w:rsidRPr="00582554">
        <w:t xml:space="preserve">Baron, R. A., &amp; Ensley, M. D. (2006). Opportunity recognition as the detection of meaningful patterns: Evidence from </w:t>
      </w:r>
      <w:r w:rsidR="0085283B">
        <w:t>c</w:t>
      </w:r>
      <w:r w:rsidRPr="00582554">
        <w:t xml:space="preserve">omparisons of </w:t>
      </w:r>
      <w:r w:rsidR="0085283B">
        <w:t>n</w:t>
      </w:r>
      <w:r w:rsidRPr="00582554">
        <w:t xml:space="preserve">ovice and </w:t>
      </w:r>
      <w:r w:rsidR="0085283B">
        <w:t>e</w:t>
      </w:r>
      <w:r w:rsidRPr="00582554">
        <w:t xml:space="preserve">xperienced </w:t>
      </w:r>
      <w:r w:rsidR="0085283B">
        <w:t>e</w:t>
      </w:r>
      <w:r w:rsidRPr="00582554">
        <w:t xml:space="preserve">ntrepreneurs. </w:t>
      </w:r>
      <w:r w:rsidRPr="00582554">
        <w:rPr>
          <w:i/>
          <w:iCs/>
          <w:lang w:val="fr-FR"/>
        </w:rPr>
        <w:t>Management Science</w:t>
      </w:r>
      <w:r w:rsidR="00C35613" w:rsidRPr="00582554">
        <w:rPr>
          <w:i/>
          <w:iCs/>
          <w:lang w:val="fr-FR"/>
        </w:rPr>
        <w:t>,</w:t>
      </w:r>
      <w:r w:rsidRPr="00582554">
        <w:rPr>
          <w:lang w:val="fr-FR"/>
        </w:rPr>
        <w:t xml:space="preserve"> </w:t>
      </w:r>
      <w:r w:rsidRPr="00582554">
        <w:rPr>
          <w:i/>
          <w:iCs/>
          <w:lang w:val="fr-FR"/>
        </w:rPr>
        <w:t>52</w:t>
      </w:r>
      <w:r w:rsidR="00C35613" w:rsidRPr="00582554">
        <w:rPr>
          <w:lang w:val="fr-FR"/>
        </w:rPr>
        <w:t>(9),</w:t>
      </w:r>
      <w:r w:rsidRPr="006B7A1A">
        <w:rPr>
          <w:lang w:val="fr-FR"/>
        </w:rPr>
        <w:t xml:space="preserve"> </w:t>
      </w:r>
      <w:r w:rsidRPr="0085283B">
        <w:rPr>
          <w:lang w:val="fr-FR"/>
        </w:rPr>
        <w:t>1331–1344.</w:t>
      </w:r>
      <w:r w:rsidR="00C35613" w:rsidRPr="00582554">
        <w:rPr>
          <w:lang w:val="fr-FR"/>
        </w:rPr>
        <w:t xml:space="preserve"> </w:t>
      </w:r>
      <w:hyperlink r:id="rId17" w:history="1">
        <w:r w:rsidR="00C35613" w:rsidRPr="00582554">
          <w:rPr>
            <w:rStyle w:val="Hyperlink"/>
            <w:lang w:val="fr-FR"/>
          </w:rPr>
          <w:t>https://doi.org/10.1287/mnsc.1060.0538</w:t>
        </w:r>
      </w:hyperlink>
    </w:p>
    <w:p w14:paraId="5F106FC9" w14:textId="28676A46" w:rsidR="00550AA7" w:rsidRPr="00582554" w:rsidRDefault="00550AA7" w:rsidP="00550AA7">
      <w:pPr>
        <w:adjustRightInd w:val="0"/>
        <w:ind w:left="567" w:hanging="567"/>
        <w:jc w:val="both"/>
        <w:rPr>
          <w:lang w:val="en-US"/>
        </w:rPr>
      </w:pPr>
      <w:r w:rsidRPr="00582554">
        <w:rPr>
          <w:lang w:val="fr-FR"/>
        </w:rPr>
        <w:t>Beckman</w:t>
      </w:r>
      <w:r w:rsidR="00FF75B5" w:rsidRPr="00582554">
        <w:rPr>
          <w:lang w:val="fr-FR"/>
        </w:rPr>
        <w:t>,</w:t>
      </w:r>
      <w:r w:rsidRPr="00582554">
        <w:rPr>
          <w:lang w:val="fr-FR"/>
        </w:rPr>
        <w:t xml:space="preserve"> C</w:t>
      </w:r>
      <w:r w:rsidR="00FF75B5" w:rsidRPr="00582554">
        <w:rPr>
          <w:lang w:val="fr-FR"/>
        </w:rPr>
        <w:t>.</w:t>
      </w:r>
      <w:r w:rsidR="0070157C" w:rsidRPr="00582554">
        <w:rPr>
          <w:lang w:val="fr-FR"/>
        </w:rPr>
        <w:t xml:space="preserve"> </w:t>
      </w:r>
      <w:r w:rsidRPr="00543567">
        <w:rPr>
          <w:lang w:val="fr-FR"/>
        </w:rPr>
        <w:t>M</w:t>
      </w:r>
      <w:r w:rsidR="00FF75B5" w:rsidRPr="00543567">
        <w:rPr>
          <w:lang w:val="fr-FR"/>
        </w:rPr>
        <w:t>.</w:t>
      </w:r>
      <w:r w:rsidRPr="00543567">
        <w:rPr>
          <w:lang w:val="fr-FR"/>
        </w:rPr>
        <w:t>, Burton</w:t>
      </w:r>
      <w:r w:rsidR="00FF75B5" w:rsidRPr="00582554">
        <w:rPr>
          <w:lang w:val="fr-FR"/>
        </w:rPr>
        <w:t>,</w:t>
      </w:r>
      <w:r w:rsidRPr="00582554">
        <w:rPr>
          <w:lang w:val="fr-FR"/>
        </w:rPr>
        <w:t xml:space="preserve"> M</w:t>
      </w:r>
      <w:r w:rsidR="00FF75B5" w:rsidRPr="00582554">
        <w:rPr>
          <w:lang w:val="fr-FR"/>
        </w:rPr>
        <w:t>.</w:t>
      </w:r>
      <w:r w:rsidR="0070157C" w:rsidRPr="00582554">
        <w:rPr>
          <w:lang w:val="fr-FR"/>
        </w:rPr>
        <w:t xml:space="preserve"> </w:t>
      </w:r>
      <w:r w:rsidRPr="00582554">
        <w:rPr>
          <w:lang w:val="fr-FR"/>
        </w:rPr>
        <w:t>D</w:t>
      </w:r>
      <w:r w:rsidR="00FF75B5" w:rsidRPr="00582554">
        <w:rPr>
          <w:lang w:val="fr-FR"/>
        </w:rPr>
        <w:t>.</w:t>
      </w:r>
      <w:r w:rsidRPr="00582554">
        <w:rPr>
          <w:lang w:val="fr-FR"/>
        </w:rPr>
        <w:t xml:space="preserve">, </w:t>
      </w:r>
      <w:r w:rsidR="00FF75B5" w:rsidRPr="00582554">
        <w:rPr>
          <w:lang w:val="fr-FR"/>
        </w:rPr>
        <w:t xml:space="preserve">&amp; </w:t>
      </w:r>
      <w:r w:rsidRPr="00582554">
        <w:rPr>
          <w:lang w:val="fr-FR"/>
        </w:rPr>
        <w:t>O’Reilly</w:t>
      </w:r>
      <w:r w:rsidR="00FF75B5" w:rsidRPr="00582554">
        <w:rPr>
          <w:lang w:val="fr-FR"/>
        </w:rPr>
        <w:t>,</w:t>
      </w:r>
      <w:r w:rsidRPr="00582554">
        <w:rPr>
          <w:lang w:val="fr-FR"/>
        </w:rPr>
        <w:t xml:space="preserve"> C</w:t>
      </w:r>
      <w:r w:rsidR="00FF75B5" w:rsidRPr="00582554">
        <w:rPr>
          <w:lang w:val="fr-FR"/>
        </w:rPr>
        <w:t>.</w:t>
      </w:r>
      <w:r w:rsidRPr="00582554">
        <w:rPr>
          <w:lang w:val="fr-FR"/>
        </w:rPr>
        <w:t xml:space="preserve"> (2007)</w:t>
      </w:r>
      <w:r w:rsidR="00FF75B5" w:rsidRPr="00582554">
        <w:rPr>
          <w:lang w:val="fr-FR"/>
        </w:rPr>
        <w:t>.</w:t>
      </w:r>
      <w:r w:rsidRPr="00582554">
        <w:rPr>
          <w:lang w:val="fr-FR"/>
        </w:rPr>
        <w:t xml:space="preserve"> </w:t>
      </w:r>
      <w:r w:rsidRPr="00582554">
        <w:t xml:space="preserve">Early teams: The impact of team demography on VC financing and going public. </w:t>
      </w:r>
      <w:r w:rsidRPr="00582554">
        <w:rPr>
          <w:i/>
          <w:iCs/>
        </w:rPr>
        <w:t>Journal of Business Venturing</w:t>
      </w:r>
      <w:r w:rsidR="00FF75B5" w:rsidRPr="00582554">
        <w:rPr>
          <w:i/>
          <w:iCs/>
          <w:lang w:val="en-US"/>
        </w:rPr>
        <w:t>,</w:t>
      </w:r>
      <w:r w:rsidRPr="00582554">
        <w:t xml:space="preserve"> </w:t>
      </w:r>
      <w:r w:rsidRPr="00582554">
        <w:rPr>
          <w:i/>
          <w:iCs/>
        </w:rPr>
        <w:t>22</w:t>
      </w:r>
      <w:r w:rsidR="00FF75B5" w:rsidRPr="00582554">
        <w:rPr>
          <w:lang w:val="en-US"/>
        </w:rPr>
        <w:t>(2),</w:t>
      </w:r>
      <w:r w:rsidRPr="006B7A1A">
        <w:t xml:space="preserve"> 147–173. </w:t>
      </w:r>
      <w:hyperlink r:id="rId18" w:tgtFrame="_blank" w:tooltip="Persistent link using digital object identifier" w:history="1">
        <w:r w:rsidR="00FF75B5" w:rsidRPr="00FF75B5">
          <w:rPr>
            <w:rStyle w:val="Hyperlink"/>
          </w:rPr>
          <w:t>https://doi.org/10.1016/j.jbusvent.2006.02.001</w:t>
        </w:r>
      </w:hyperlink>
    </w:p>
    <w:p w14:paraId="149D68C9" w14:textId="2264C916" w:rsidR="00550AA7" w:rsidRPr="00582554" w:rsidRDefault="00550AA7" w:rsidP="00550AA7">
      <w:pPr>
        <w:adjustRightInd w:val="0"/>
        <w:ind w:left="567" w:hanging="567"/>
        <w:jc w:val="both"/>
      </w:pPr>
      <w:r w:rsidRPr="00582554">
        <w:t xml:space="preserve">Bengtsson, O. (2013). Relational venture capital financing of serial founders. </w:t>
      </w:r>
      <w:r w:rsidRPr="00582554">
        <w:rPr>
          <w:i/>
          <w:iCs/>
        </w:rPr>
        <w:t>Journal of Financial Intermediation</w:t>
      </w:r>
      <w:r w:rsidR="00AB130F" w:rsidRPr="00582554">
        <w:rPr>
          <w:i/>
          <w:iCs/>
          <w:lang w:val="en-US"/>
        </w:rPr>
        <w:t>,</w:t>
      </w:r>
      <w:r w:rsidRPr="00582554">
        <w:t xml:space="preserve"> </w:t>
      </w:r>
      <w:r w:rsidRPr="00582554">
        <w:rPr>
          <w:i/>
          <w:iCs/>
        </w:rPr>
        <w:t>22</w:t>
      </w:r>
      <w:r w:rsidR="00AB130F" w:rsidRPr="00543567">
        <w:rPr>
          <w:lang w:val="en-US"/>
        </w:rPr>
        <w:t>(3),</w:t>
      </w:r>
      <w:r w:rsidRPr="006B7A1A">
        <w:t xml:space="preserve"> </w:t>
      </w:r>
      <w:r w:rsidRPr="00C669D1">
        <w:t>308–334.</w:t>
      </w:r>
      <w:r w:rsidR="00AB130F" w:rsidRPr="00AB130F">
        <w:t xml:space="preserve"> </w:t>
      </w:r>
      <w:hyperlink r:id="rId19" w:tgtFrame="_blank" w:tooltip="Persistent link using digital object identifier" w:history="1">
        <w:r w:rsidR="00AB130F" w:rsidRPr="00AB130F">
          <w:rPr>
            <w:rStyle w:val="Hyperlink"/>
          </w:rPr>
          <w:t>https://doi.org/10.1016/j.jfi.2013.04.002</w:t>
        </w:r>
      </w:hyperlink>
    </w:p>
    <w:p w14:paraId="75C996AC" w14:textId="0F8319AD" w:rsidR="00550AA7" w:rsidRPr="00582554" w:rsidRDefault="00550AA7" w:rsidP="00550AA7">
      <w:pPr>
        <w:adjustRightInd w:val="0"/>
        <w:ind w:left="567" w:hanging="567"/>
        <w:jc w:val="both"/>
        <w:rPr>
          <w:lang w:val="en-US"/>
        </w:rPr>
      </w:pPr>
      <w:r w:rsidRPr="00550AA7">
        <w:t>Bezrukova</w:t>
      </w:r>
      <w:r w:rsidR="002658E0" w:rsidRPr="00582554">
        <w:t>,</w:t>
      </w:r>
      <w:r w:rsidRPr="00550AA7">
        <w:t xml:space="preserve"> K</w:t>
      </w:r>
      <w:r w:rsidR="002658E0" w:rsidRPr="00582554">
        <w:t>.</w:t>
      </w:r>
      <w:r w:rsidRPr="00550AA7">
        <w:t>, Jehn</w:t>
      </w:r>
      <w:r w:rsidR="002658E0" w:rsidRPr="00582554">
        <w:t>,</w:t>
      </w:r>
      <w:r w:rsidRPr="00550AA7">
        <w:t xml:space="preserve"> K</w:t>
      </w:r>
      <w:r w:rsidR="002658E0" w:rsidRPr="00582554">
        <w:t>.</w:t>
      </w:r>
      <w:r w:rsidR="0070157C" w:rsidRPr="00582554">
        <w:rPr>
          <w:lang w:val="en-US"/>
        </w:rPr>
        <w:t xml:space="preserve"> </w:t>
      </w:r>
      <w:r w:rsidRPr="00550AA7">
        <w:t>A</w:t>
      </w:r>
      <w:r w:rsidR="002658E0" w:rsidRPr="00543567">
        <w:t>.</w:t>
      </w:r>
      <w:r w:rsidRPr="00550AA7">
        <w:t>, Zanutto</w:t>
      </w:r>
      <w:r w:rsidR="002658E0" w:rsidRPr="00582554">
        <w:t>,</w:t>
      </w:r>
      <w:r w:rsidRPr="00550AA7">
        <w:t xml:space="preserve"> E</w:t>
      </w:r>
      <w:r w:rsidR="002658E0" w:rsidRPr="00543567">
        <w:t>.</w:t>
      </w:r>
      <w:r w:rsidR="0070157C" w:rsidRPr="00543567">
        <w:rPr>
          <w:lang w:val="en-US"/>
        </w:rPr>
        <w:t xml:space="preserve"> </w:t>
      </w:r>
      <w:r w:rsidRPr="00550AA7">
        <w:t>L</w:t>
      </w:r>
      <w:r w:rsidR="002658E0" w:rsidRPr="00582554">
        <w:t>.</w:t>
      </w:r>
      <w:r w:rsidRPr="00550AA7">
        <w:t xml:space="preserve">, </w:t>
      </w:r>
      <w:r w:rsidR="002658E0" w:rsidRPr="00543567">
        <w:t xml:space="preserve">&amp; </w:t>
      </w:r>
      <w:r w:rsidRPr="00550AA7">
        <w:t>Thatcher</w:t>
      </w:r>
      <w:r w:rsidR="002658E0" w:rsidRPr="00543567">
        <w:t>,</w:t>
      </w:r>
      <w:r w:rsidRPr="00550AA7">
        <w:t xml:space="preserve"> S</w:t>
      </w:r>
      <w:r w:rsidR="002658E0" w:rsidRPr="00543567">
        <w:t>.</w:t>
      </w:r>
      <w:r w:rsidR="0070157C" w:rsidRPr="00543567">
        <w:rPr>
          <w:lang w:val="en-US"/>
        </w:rPr>
        <w:t xml:space="preserve"> </w:t>
      </w:r>
      <w:r w:rsidRPr="00550AA7">
        <w:t>M</w:t>
      </w:r>
      <w:r w:rsidR="002658E0" w:rsidRPr="00543567">
        <w:t>.</w:t>
      </w:r>
      <w:r w:rsidR="0070157C" w:rsidRPr="00543567">
        <w:rPr>
          <w:lang w:val="en-US"/>
        </w:rPr>
        <w:t xml:space="preserve"> </w:t>
      </w:r>
      <w:r w:rsidRPr="00550AA7">
        <w:t>B</w:t>
      </w:r>
      <w:r w:rsidR="002658E0" w:rsidRPr="00543567">
        <w:rPr>
          <w:lang w:val="en-US"/>
        </w:rPr>
        <w:t>.</w:t>
      </w:r>
      <w:r w:rsidRPr="00543567">
        <w:t xml:space="preserve"> (2009)</w:t>
      </w:r>
      <w:r w:rsidR="002658E0" w:rsidRPr="00543567">
        <w:t>.</w:t>
      </w:r>
      <w:r w:rsidRPr="00582554">
        <w:t xml:space="preserve"> Do workgroup faultlines help or hurt?</w:t>
      </w:r>
      <w:r w:rsidRPr="00550AA7">
        <w:t xml:space="preserve"> A Moderated Model of Faultlines, Team Identification, and Group Performance</w:t>
      </w:r>
      <w:r w:rsidRPr="00550AA7">
        <w:rPr>
          <w:i/>
          <w:iCs/>
        </w:rPr>
        <w:t>. Organization Science</w:t>
      </w:r>
      <w:r w:rsidR="002658E0" w:rsidRPr="00582554">
        <w:rPr>
          <w:i/>
          <w:iCs/>
          <w:lang w:val="en-US"/>
        </w:rPr>
        <w:t>,</w:t>
      </w:r>
      <w:r w:rsidRPr="00550AA7">
        <w:t xml:space="preserve"> </w:t>
      </w:r>
      <w:r w:rsidRPr="00582554">
        <w:rPr>
          <w:i/>
          <w:iCs/>
        </w:rPr>
        <w:t>20</w:t>
      </w:r>
      <w:r w:rsidR="002658E0" w:rsidRPr="00582554">
        <w:rPr>
          <w:lang w:val="en-US"/>
        </w:rPr>
        <w:t>(1),</w:t>
      </w:r>
      <w:r w:rsidRPr="00550AA7">
        <w:t xml:space="preserve"> </w:t>
      </w:r>
      <w:r w:rsidRPr="00582554">
        <w:t>35–50.</w:t>
      </w:r>
      <w:r w:rsidR="002658E0" w:rsidRPr="00582554">
        <w:rPr>
          <w:lang w:val="en-US"/>
        </w:rPr>
        <w:t xml:space="preserve"> </w:t>
      </w:r>
      <w:hyperlink r:id="rId20" w:history="1">
        <w:r w:rsidR="002658E0" w:rsidRPr="002658E0">
          <w:rPr>
            <w:rStyle w:val="Hyperlink"/>
          </w:rPr>
          <w:t>https://doi.org/10.1287/orsc.1080.0379</w:t>
        </w:r>
      </w:hyperlink>
    </w:p>
    <w:p w14:paraId="51A63267" w14:textId="337CBCAB" w:rsidR="00550AA7" w:rsidRPr="00582554" w:rsidRDefault="00550AA7" w:rsidP="00550AA7">
      <w:pPr>
        <w:adjustRightInd w:val="0"/>
        <w:ind w:left="567" w:hanging="567"/>
        <w:jc w:val="both"/>
      </w:pPr>
      <w:r w:rsidRPr="00582554">
        <w:rPr>
          <w:lang w:eastAsia="ja-JP"/>
        </w:rPr>
        <w:t xml:space="preserve">Beugelsdijk, S., Maseland, R., &amp; van Hoorn, A. (2015). Are scores on Hofstede’s dimensions of national culture stable over time? A cohort analysis. </w:t>
      </w:r>
      <w:r w:rsidRPr="00582554">
        <w:rPr>
          <w:i/>
          <w:iCs/>
          <w:lang w:eastAsia="ja-JP"/>
        </w:rPr>
        <w:t>Global Strategy Journal</w:t>
      </w:r>
      <w:r w:rsidR="00340C81" w:rsidRPr="00582554">
        <w:rPr>
          <w:i/>
          <w:iCs/>
          <w:lang w:val="en-US" w:eastAsia="ja-JP"/>
        </w:rPr>
        <w:t>,</w:t>
      </w:r>
      <w:r w:rsidRPr="00582554">
        <w:rPr>
          <w:lang w:eastAsia="ja-JP"/>
        </w:rPr>
        <w:t xml:space="preserve"> 5</w:t>
      </w:r>
      <w:r w:rsidR="00340C81" w:rsidRPr="00582554">
        <w:rPr>
          <w:lang w:val="en-US" w:eastAsia="ja-JP"/>
        </w:rPr>
        <w:t>(3),</w:t>
      </w:r>
      <w:r w:rsidRPr="006B7A1A">
        <w:rPr>
          <w:lang w:eastAsia="ja-JP"/>
        </w:rPr>
        <w:t xml:space="preserve"> </w:t>
      </w:r>
      <w:r w:rsidRPr="009437FE">
        <w:rPr>
          <w:lang w:eastAsia="ja-JP"/>
        </w:rPr>
        <w:t>223–240.</w:t>
      </w:r>
      <w:r w:rsidR="00340C81" w:rsidRPr="00340C81">
        <w:t xml:space="preserve"> </w:t>
      </w:r>
      <w:hyperlink r:id="rId21" w:history="1">
        <w:r w:rsidR="00340C81" w:rsidRPr="00582554">
          <w:rPr>
            <w:rStyle w:val="Hyperlink"/>
          </w:rPr>
          <w:t>https://doi.org/10.1002/gsj.1098</w:t>
        </w:r>
      </w:hyperlink>
    </w:p>
    <w:p w14:paraId="6FE8853D" w14:textId="535EB626" w:rsidR="00550AA7" w:rsidRPr="00543567" w:rsidRDefault="00550AA7" w:rsidP="00550AA7">
      <w:pPr>
        <w:adjustRightInd w:val="0"/>
        <w:ind w:left="567" w:hanging="567"/>
        <w:jc w:val="both"/>
      </w:pPr>
      <w:r w:rsidRPr="00582554">
        <w:t>Boerner</w:t>
      </w:r>
      <w:r w:rsidR="00284E11" w:rsidRPr="00582554">
        <w:rPr>
          <w:lang w:val="en-US"/>
        </w:rPr>
        <w:t>,</w:t>
      </w:r>
      <w:r w:rsidRPr="00582554">
        <w:t xml:space="preserve"> L</w:t>
      </w:r>
      <w:r w:rsidR="0070157C" w:rsidRPr="00582554">
        <w:rPr>
          <w:lang w:val="en-US"/>
        </w:rPr>
        <w:t>.</w:t>
      </w:r>
      <w:r w:rsidRPr="00582554">
        <w:t>, Fritz</w:t>
      </w:r>
      <w:r w:rsidR="00284E11" w:rsidRPr="00582554">
        <w:rPr>
          <w:lang w:val="en-US"/>
        </w:rPr>
        <w:t>,</w:t>
      </w:r>
      <w:r w:rsidRPr="00582554">
        <w:t xml:space="preserve"> T</w:t>
      </w:r>
      <w:r w:rsidR="0070157C" w:rsidRPr="00543567">
        <w:rPr>
          <w:lang w:val="en-US"/>
        </w:rPr>
        <w:t>.</w:t>
      </w:r>
      <w:r w:rsidRPr="00543567">
        <w:t xml:space="preserve">, </w:t>
      </w:r>
      <w:r w:rsidR="00284E11" w:rsidRPr="00582554">
        <w:rPr>
          <w:lang w:val="en-US"/>
        </w:rPr>
        <w:t xml:space="preserve">&amp; </w:t>
      </w:r>
      <w:r w:rsidRPr="00543567">
        <w:t>Frick</w:t>
      </w:r>
      <w:r w:rsidR="00284E11" w:rsidRPr="00543567">
        <w:rPr>
          <w:lang w:val="en-US"/>
        </w:rPr>
        <w:t>,</w:t>
      </w:r>
      <w:r w:rsidRPr="00543567">
        <w:t xml:space="preserve"> B</w:t>
      </w:r>
      <w:r w:rsidR="00284E11" w:rsidRPr="00543567">
        <w:rPr>
          <w:lang w:val="en-US"/>
        </w:rPr>
        <w:t>.</w:t>
      </w:r>
      <w:r w:rsidRPr="00543567">
        <w:t xml:space="preserve"> (2025)</w:t>
      </w:r>
      <w:r w:rsidR="00284E11" w:rsidRPr="00543567">
        <w:rPr>
          <w:lang w:val="en-US"/>
        </w:rPr>
        <w:t>.</w:t>
      </w:r>
      <w:r w:rsidRPr="00543567">
        <w:t xml:space="preserve"> Investing in people, not in products: how age, gender, ethnicity, and attractiveness of entrepreneurial teams influence the decision‑making of angel investors in Germany. </w:t>
      </w:r>
      <w:r w:rsidRPr="00543567">
        <w:rPr>
          <w:i/>
          <w:iCs/>
        </w:rPr>
        <w:t>Journal of Business Economics</w:t>
      </w:r>
      <w:r w:rsidR="00284E11" w:rsidRPr="00543567">
        <w:rPr>
          <w:i/>
          <w:iCs/>
          <w:lang w:val="en-US"/>
        </w:rPr>
        <w:t>,</w:t>
      </w:r>
      <w:r w:rsidRPr="00543567">
        <w:t xml:space="preserve"> </w:t>
      </w:r>
      <w:r w:rsidRPr="00543567">
        <w:rPr>
          <w:i/>
          <w:iCs/>
        </w:rPr>
        <w:t>95</w:t>
      </w:r>
      <w:r w:rsidR="00284E11" w:rsidRPr="00543567">
        <w:rPr>
          <w:lang w:val="en-US"/>
        </w:rPr>
        <w:t>(1),</w:t>
      </w:r>
      <w:r w:rsidRPr="006B7A1A">
        <w:t xml:space="preserve"> 37–74. </w:t>
      </w:r>
      <w:r w:rsidR="00284E11" w:rsidRPr="00284E11">
        <w:t>https://doi.org/10.1007/s11573-024-01206-7</w:t>
      </w:r>
    </w:p>
    <w:p w14:paraId="464C5D9C" w14:textId="737EBB53" w:rsidR="00550AA7" w:rsidRPr="00543567" w:rsidRDefault="00550AA7" w:rsidP="00550AA7">
      <w:pPr>
        <w:adjustRightInd w:val="0"/>
        <w:ind w:left="567" w:hanging="567"/>
        <w:jc w:val="both"/>
      </w:pPr>
      <w:r w:rsidRPr="00543567">
        <w:lastRenderedPageBreak/>
        <w:t xml:space="preserve">Boulton, T. J., Shohfi, T. D., &amp; Zhu, P. (2019). Angels or sharks? The role of personal characteristics in angel investment decisions. </w:t>
      </w:r>
      <w:r w:rsidRPr="00543567">
        <w:rPr>
          <w:i/>
          <w:iCs/>
        </w:rPr>
        <w:t>Journal of Small Business Management</w:t>
      </w:r>
      <w:r w:rsidR="0070157C" w:rsidRPr="00543567">
        <w:rPr>
          <w:i/>
          <w:iCs/>
          <w:lang w:val="en-US"/>
        </w:rPr>
        <w:t>,</w:t>
      </w:r>
      <w:r w:rsidRPr="00543567">
        <w:t xml:space="preserve"> </w:t>
      </w:r>
      <w:r w:rsidRPr="00543567">
        <w:rPr>
          <w:i/>
          <w:iCs/>
        </w:rPr>
        <w:t>57</w:t>
      </w:r>
      <w:r w:rsidR="0070157C" w:rsidRPr="00543567">
        <w:rPr>
          <w:lang w:val="en-US"/>
        </w:rPr>
        <w:t>(4),</w:t>
      </w:r>
      <w:r w:rsidRPr="006B7A1A">
        <w:t xml:space="preserve">1280–1303. </w:t>
      </w:r>
      <w:hyperlink r:id="rId22" w:history="1">
        <w:r w:rsidR="0070157C" w:rsidRPr="00543567">
          <w:rPr>
            <w:rStyle w:val="Hyperlink"/>
          </w:rPr>
          <w:t>https://doi.org/10.1111/jsbm.12409</w:t>
        </w:r>
      </w:hyperlink>
    </w:p>
    <w:p w14:paraId="7AB00B73" w14:textId="5FE55217" w:rsidR="00550AA7" w:rsidRPr="00543567" w:rsidRDefault="00550AA7" w:rsidP="00550AA7">
      <w:pPr>
        <w:adjustRightInd w:val="0"/>
        <w:ind w:left="567" w:hanging="567"/>
        <w:jc w:val="both"/>
        <w:rPr>
          <w:lang w:val="en-US"/>
        </w:rPr>
      </w:pPr>
      <w:r w:rsidRPr="00543567">
        <w:t xml:space="preserve">Brooks, A. W., Huang, L., Kearney, S. W., &amp; Murray, F. E. (2014). Investors prefer entrepreneurial ventures pitched by attractive men. </w:t>
      </w:r>
      <w:r w:rsidRPr="00543567">
        <w:rPr>
          <w:i/>
          <w:iCs/>
        </w:rPr>
        <w:t>Proceedings of the National Academy of Sciences</w:t>
      </w:r>
      <w:r w:rsidRPr="00543567">
        <w:t xml:space="preserve">, </w:t>
      </w:r>
      <w:r w:rsidRPr="00543567">
        <w:rPr>
          <w:i/>
          <w:iCs/>
        </w:rPr>
        <w:t>111</w:t>
      </w:r>
      <w:r w:rsidR="0070157C" w:rsidRPr="00543567">
        <w:rPr>
          <w:lang w:val="en-US"/>
        </w:rPr>
        <w:t>(12),</w:t>
      </w:r>
      <w:r w:rsidRPr="006B7A1A">
        <w:t xml:space="preserve"> </w:t>
      </w:r>
      <w:r w:rsidRPr="00233D1C">
        <w:t>4427–4431.</w:t>
      </w:r>
      <w:r w:rsidR="0070157C" w:rsidRPr="00543567">
        <w:rPr>
          <w:lang w:val="en-US"/>
        </w:rPr>
        <w:t xml:space="preserve"> </w:t>
      </w:r>
      <w:hyperlink r:id="rId23" w:history="1">
        <w:r w:rsidR="0070157C" w:rsidRPr="0070157C">
          <w:rPr>
            <w:rStyle w:val="Hyperlink"/>
          </w:rPr>
          <w:t>https://doi.org/10.1073/pnas.132120211</w:t>
        </w:r>
      </w:hyperlink>
    </w:p>
    <w:p w14:paraId="4EB43C8D" w14:textId="2D2708C1" w:rsidR="00550AA7" w:rsidRPr="00543567" w:rsidRDefault="00550AA7" w:rsidP="00550AA7">
      <w:pPr>
        <w:adjustRightInd w:val="0"/>
        <w:ind w:left="567" w:hanging="567"/>
        <w:jc w:val="both"/>
        <w:rPr>
          <w:lang w:val="en-US"/>
        </w:rPr>
      </w:pPr>
      <w:r w:rsidRPr="00543567">
        <w:t xml:space="preserve">Buis, M. L. (2010). Stata tip 87: Interpretation of interactions in nonlinear models. </w:t>
      </w:r>
      <w:r w:rsidRPr="00543567">
        <w:rPr>
          <w:i/>
          <w:iCs/>
        </w:rPr>
        <w:t>The Stata Journal</w:t>
      </w:r>
      <w:r w:rsidRPr="00543567">
        <w:t xml:space="preserve">, </w:t>
      </w:r>
      <w:r w:rsidRPr="00543567">
        <w:rPr>
          <w:i/>
          <w:iCs/>
        </w:rPr>
        <w:t>10</w:t>
      </w:r>
      <w:r w:rsidRPr="00543567">
        <w:t>(2), 305–308.</w:t>
      </w:r>
      <w:r w:rsidR="009B6067" w:rsidRPr="00543567">
        <w:rPr>
          <w:lang w:val="en-US"/>
        </w:rPr>
        <w:t xml:space="preserve"> </w:t>
      </w:r>
      <w:hyperlink r:id="rId24" w:history="1">
        <w:r w:rsidR="009B6067" w:rsidRPr="009B6067">
          <w:rPr>
            <w:rStyle w:val="Hyperlink"/>
          </w:rPr>
          <w:t>https://doi.org/10.1177/1536867X1001000211</w:t>
        </w:r>
      </w:hyperlink>
    </w:p>
    <w:p w14:paraId="7383DE23" w14:textId="7B8B2EC5" w:rsidR="00550AA7" w:rsidRPr="00543567" w:rsidRDefault="00550AA7" w:rsidP="00550AA7">
      <w:pPr>
        <w:adjustRightInd w:val="0"/>
        <w:ind w:left="567" w:hanging="567"/>
        <w:jc w:val="both"/>
        <w:rPr>
          <w:lang w:val="en-US"/>
        </w:rPr>
      </w:pPr>
      <w:r w:rsidRPr="00543567">
        <w:t>Busenitz</w:t>
      </w:r>
      <w:r w:rsidR="009B6067" w:rsidRPr="00543567">
        <w:rPr>
          <w:lang w:val="en-US"/>
        </w:rPr>
        <w:t>,</w:t>
      </w:r>
      <w:r w:rsidRPr="00543567">
        <w:t xml:space="preserve"> L</w:t>
      </w:r>
      <w:r w:rsidR="009B6067" w:rsidRPr="00543567">
        <w:rPr>
          <w:lang w:val="en-US"/>
        </w:rPr>
        <w:t xml:space="preserve">. </w:t>
      </w:r>
      <w:r w:rsidRPr="00543567">
        <w:t>W</w:t>
      </w:r>
      <w:r w:rsidR="009B6067" w:rsidRPr="00543567">
        <w:rPr>
          <w:lang w:val="en-US"/>
        </w:rPr>
        <w:t>.</w:t>
      </w:r>
      <w:r w:rsidRPr="00543567">
        <w:t>, Fiet</w:t>
      </w:r>
      <w:r w:rsidR="009B6067" w:rsidRPr="00543567">
        <w:rPr>
          <w:lang w:val="en-US"/>
        </w:rPr>
        <w:t>,</w:t>
      </w:r>
      <w:r w:rsidRPr="00543567">
        <w:t xml:space="preserve"> J</w:t>
      </w:r>
      <w:r w:rsidR="009B6067" w:rsidRPr="00543567">
        <w:rPr>
          <w:lang w:val="en-US"/>
        </w:rPr>
        <w:t xml:space="preserve">. </w:t>
      </w:r>
      <w:r w:rsidRPr="00543567">
        <w:t>O</w:t>
      </w:r>
      <w:r w:rsidR="009B6067" w:rsidRPr="00543567">
        <w:rPr>
          <w:lang w:val="en-US"/>
        </w:rPr>
        <w:t>.</w:t>
      </w:r>
      <w:r w:rsidRPr="00543567">
        <w:t xml:space="preserve">, </w:t>
      </w:r>
      <w:r w:rsidR="009B6067" w:rsidRPr="00543567">
        <w:rPr>
          <w:lang w:val="en-US"/>
        </w:rPr>
        <w:t xml:space="preserve">&amp; </w:t>
      </w:r>
      <w:r w:rsidRPr="00543567">
        <w:t>Moesel</w:t>
      </w:r>
      <w:r w:rsidR="009B6067" w:rsidRPr="00543567">
        <w:rPr>
          <w:lang w:val="en-US"/>
        </w:rPr>
        <w:t>,</w:t>
      </w:r>
      <w:r w:rsidRPr="00543567">
        <w:t xml:space="preserve"> D</w:t>
      </w:r>
      <w:r w:rsidR="009B6067" w:rsidRPr="00543567">
        <w:rPr>
          <w:lang w:val="en-US"/>
        </w:rPr>
        <w:t xml:space="preserve">. </w:t>
      </w:r>
      <w:r w:rsidRPr="00543567">
        <w:t>D</w:t>
      </w:r>
      <w:r w:rsidR="009B6067" w:rsidRPr="00543567">
        <w:rPr>
          <w:lang w:val="en-US"/>
        </w:rPr>
        <w:t>.</w:t>
      </w:r>
      <w:r w:rsidRPr="00543567">
        <w:t xml:space="preserve"> </w:t>
      </w:r>
      <w:r w:rsidRPr="00543567">
        <w:rPr>
          <w:lang w:val="en-US"/>
        </w:rPr>
        <w:t>(</w:t>
      </w:r>
      <w:r w:rsidRPr="00543567">
        <w:t>2005</w:t>
      </w:r>
      <w:r w:rsidRPr="00543567">
        <w:rPr>
          <w:lang w:val="en-US"/>
        </w:rPr>
        <w:t>)</w:t>
      </w:r>
      <w:r w:rsidR="009B6067" w:rsidRPr="00543567">
        <w:rPr>
          <w:lang w:val="en-US"/>
        </w:rPr>
        <w:t>.</w:t>
      </w:r>
      <w:r w:rsidRPr="00543567">
        <w:t xml:space="preserve"> Signaling in venture capitalist–new venture team funding decisions: Does it indicate long-term venture outcomes? </w:t>
      </w:r>
      <w:r w:rsidRPr="00543567">
        <w:rPr>
          <w:i/>
          <w:iCs/>
        </w:rPr>
        <w:t>Entrepreneurship Theory and Practice</w:t>
      </w:r>
      <w:r w:rsidR="009B6067" w:rsidRPr="00543567">
        <w:rPr>
          <w:i/>
          <w:iCs/>
          <w:lang w:val="en-US"/>
        </w:rPr>
        <w:t>,</w:t>
      </w:r>
      <w:r w:rsidRPr="00543567">
        <w:t xml:space="preserve"> </w:t>
      </w:r>
      <w:r w:rsidRPr="00543567">
        <w:rPr>
          <w:i/>
          <w:iCs/>
        </w:rPr>
        <w:t>29</w:t>
      </w:r>
      <w:r w:rsidR="009B6067" w:rsidRPr="00543567">
        <w:rPr>
          <w:lang w:val="en-US"/>
        </w:rPr>
        <w:t>(1),</w:t>
      </w:r>
      <w:r w:rsidRPr="00233D1C">
        <w:t xml:space="preserve"> 1–12</w:t>
      </w:r>
      <w:r w:rsidR="009B6067" w:rsidRPr="00543567">
        <w:rPr>
          <w:lang w:val="en-US"/>
        </w:rPr>
        <w:t xml:space="preserve">. </w:t>
      </w:r>
      <w:hyperlink r:id="rId25" w:history="1">
        <w:r w:rsidR="009B6067" w:rsidRPr="009B6067">
          <w:rPr>
            <w:rStyle w:val="Hyperlink"/>
          </w:rPr>
          <w:t>https://doi.org/10.1111/j.1540-6520.2005.00066.x</w:t>
        </w:r>
      </w:hyperlink>
    </w:p>
    <w:p w14:paraId="24EDDAA7" w14:textId="258E236B" w:rsidR="00550AA7" w:rsidRPr="00543567" w:rsidRDefault="00550AA7" w:rsidP="00550AA7">
      <w:pPr>
        <w:adjustRightInd w:val="0"/>
        <w:ind w:left="567" w:hanging="567"/>
        <w:jc w:val="both"/>
      </w:pPr>
      <w:r w:rsidRPr="00543567">
        <w:t xml:space="preserve">Cieślik, J., Kaciak, E., &amp; van Stel, A. (2018). Country-level determinants and consequences of overconfidence in the ambitious entrepreneurship segment. </w:t>
      </w:r>
      <w:r w:rsidRPr="00543567">
        <w:rPr>
          <w:i/>
          <w:iCs/>
        </w:rPr>
        <w:t>International Small Business Journal: Researching Entrepreneurship</w:t>
      </w:r>
      <w:r w:rsidR="008633DE" w:rsidRPr="00543567">
        <w:rPr>
          <w:i/>
          <w:iCs/>
          <w:lang w:val="en-US"/>
        </w:rPr>
        <w:t>,</w:t>
      </w:r>
      <w:r w:rsidRPr="00543567">
        <w:t xml:space="preserve"> </w:t>
      </w:r>
      <w:r w:rsidRPr="00543567">
        <w:rPr>
          <w:i/>
          <w:iCs/>
        </w:rPr>
        <w:t>36</w:t>
      </w:r>
      <w:r w:rsidR="008633DE" w:rsidRPr="00543567">
        <w:rPr>
          <w:lang w:val="en-US"/>
        </w:rPr>
        <w:t>(5),</w:t>
      </w:r>
      <w:r w:rsidRPr="006B7A1A">
        <w:t xml:space="preserve"> 473–499. </w:t>
      </w:r>
      <w:hyperlink r:id="rId26" w:history="1">
        <w:r w:rsidR="008633DE" w:rsidRPr="008633DE">
          <w:rPr>
            <w:rStyle w:val="Hyperlink"/>
          </w:rPr>
          <w:t>https://doi.org/10.1177/0266242617748201</w:t>
        </w:r>
      </w:hyperlink>
    </w:p>
    <w:p w14:paraId="53EA0EC2" w14:textId="58F1906B" w:rsidR="00550AA7" w:rsidRPr="00344D3D" w:rsidRDefault="00550AA7" w:rsidP="00550AA7">
      <w:pPr>
        <w:adjustRightInd w:val="0"/>
        <w:ind w:left="567" w:hanging="567"/>
        <w:jc w:val="both"/>
        <w:rPr>
          <w:lang w:val="en-US"/>
        </w:rPr>
      </w:pPr>
      <w:r w:rsidRPr="00543567">
        <w:t>Coakley, J., Lazos, A., &amp; Liñares-Zegarra, J. M. (2022). Equity crowdfunding founder teams: Campaign success and venture failure.</w:t>
      </w:r>
      <w:r w:rsidRPr="00543567">
        <w:rPr>
          <w:rFonts w:ascii="TimesNewRomanMTStd-Italic" w:eastAsia="Calibri" w:hAnsi="TimesNewRomanMTStd-Italic" w:cs="TimesNewRomanMTStd-Italic"/>
          <w:i/>
          <w:iCs/>
          <w:sz w:val="20"/>
          <w:szCs w:val="20"/>
        </w:rPr>
        <w:t xml:space="preserve"> </w:t>
      </w:r>
      <w:r w:rsidRPr="00543567">
        <w:rPr>
          <w:i/>
          <w:iCs/>
        </w:rPr>
        <w:t>British Journal of Management</w:t>
      </w:r>
      <w:r w:rsidR="001F221C" w:rsidRPr="00344D3D">
        <w:rPr>
          <w:i/>
          <w:iCs/>
          <w:lang w:val="en-US"/>
        </w:rPr>
        <w:t>,</w:t>
      </w:r>
      <w:r w:rsidRPr="00543567">
        <w:rPr>
          <w:i/>
          <w:iCs/>
        </w:rPr>
        <w:t xml:space="preserve"> 33</w:t>
      </w:r>
      <w:r w:rsidR="001F221C" w:rsidRPr="00344D3D">
        <w:rPr>
          <w:lang w:val="en-US"/>
        </w:rPr>
        <w:t>(1),</w:t>
      </w:r>
      <w:r w:rsidRPr="00543567">
        <w:rPr>
          <w:i/>
          <w:iCs/>
        </w:rPr>
        <w:t xml:space="preserve"> </w:t>
      </w:r>
      <w:r w:rsidRPr="00233D1C">
        <w:t>286–305.</w:t>
      </w:r>
      <w:r w:rsidR="001F221C" w:rsidRPr="00344D3D">
        <w:rPr>
          <w:i/>
          <w:iCs/>
          <w:lang w:val="en-US"/>
        </w:rPr>
        <w:t xml:space="preserve"> </w:t>
      </w:r>
      <w:hyperlink r:id="rId27" w:history="1">
        <w:r w:rsidR="001F221C" w:rsidRPr="001F221C">
          <w:rPr>
            <w:rStyle w:val="Hyperlink"/>
          </w:rPr>
          <w:t>https://doi.org/10.1111/1467-8551.12494</w:t>
        </w:r>
      </w:hyperlink>
    </w:p>
    <w:p w14:paraId="11E3E268" w14:textId="5CB05054" w:rsidR="001F221C" w:rsidRDefault="00550AA7" w:rsidP="001F221C">
      <w:pPr>
        <w:adjustRightInd w:val="0"/>
        <w:ind w:left="567" w:hanging="567"/>
        <w:jc w:val="both"/>
      </w:pPr>
      <w:r w:rsidRPr="00543567">
        <w:rPr>
          <w:shd w:val="clear" w:color="auto" w:fill="FFFFFF"/>
        </w:rPr>
        <w:t>Cohen, S., Fehder, D. C., Hochberg, Y. V., &amp; Murray, F. (2019). The design of startup accelerators. </w:t>
      </w:r>
      <w:r w:rsidRPr="00543567">
        <w:rPr>
          <w:i/>
          <w:iCs/>
          <w:shd w:val="clear" w:color="auto" w:fill="FFFFFF"/>
        </w:rPr>
        <w:t>Research Policy</w:t>
      </w:r>
      <w:r w:rsidR="001F221C" w:rsidRPr="00344D3D">
        <w:rPr>
          <w:i/>
          <w:iCs/>
          <w:shd w:val="clear" w:color="auto" w:fill="FFFFFF"/>
          <w:lang w:val="en-US"/>
        </w:rPr>
        <w:t>,</w:t>
      </w:r>
      <w:r w:rsidRPr="00543567">
        <w:rPr>
          <w:shd w:val="clear" w:color="auto" w:fill="FFFFFF"/>
        </w:rPr>
        <w:t> </w:t>
      </w:r>
      <w:r w:rsidRPr="001F221C">
        <w:rPr>
          <w:i/>
          <w:iCs/>
          <w:shd w:val="clear" w:color="auto" w:fill="FFFFFF"/>
        </w:rPr>
        <w:t>48</w:t>
      </w:r>
      <w:r w:rsidR="001F221C" w:rsidRPr="00344D3D">
        <w:rPr>
          <w:shd w:val="clear" w:color="auto" w:fill="FFFFFF"/>
          <w:lang w:val="en-US"/>
        </w:rPr>
        <w:t>(7),</w:t>
      </w:r>
      <w:r w:rsidRPr="00543567">
        <w:rPr>
          <w:shd w:val="clear" w:color="auto" w:fill="FFFFFF"/>
        </w:rPr>
        <w:t xml:space="preserve"> 1781–1797.Cohen, S., &amp; Hochberg, Y. V. (2014). Accelerating startups: The seed accelerator phenomenon. Working Paper SSRN</w:t>
      </w:r>
      <w:r w:rsidR="001F221C" w:rsidRPr="00344D3D">
        <w:rPr>
          <w:shd w:val="clear" w:color="auto" w:fill="FFFFFF"/>
          <w:lang w:val="en-US"/>
        </w:rPr>
        <w:t>.</w:t>
      </w:r>
      <w:r w:rsidRPr="00543567">
        <w:rPr>
          <w:shd w:val="clear" w:color="auto" w:fill="FFFFFF"/>
        </w:rPr>
        <w:t xml:space="preserve"> </w:t>
      </w:r>
      <w:hyperlink r:id="rId28" w:history="1">
        <w:r w:rsidR="001F221C" w:rsidRPr="001F221C">
          <w:rPr>
            <w:rStyle w:val="Hyperlink"/>
          </w:rPr>
          <w:t>http://dx.doi.org/10.2139/ssrn.2418000</w:t>
        </w:r>
      </w:hyperlink>
    </w:p>
    <w:p w14:paraId="57846069" w14:textId="73069302" w:rsidR="00550AA7" w:rsidRPr="00543567" w:rsidRDefault="00550AA7" w:rsidP="00550AA7">
      <w:pPr>
        <w:adjustRightInd w:val="0"/>
        <w:ind w:left="567" w:hanging="567"/>
        <w:jc w:val="both"/>
      </w:pPr>
    </w:p>
    <w:p w14:paraId="0C737E01" w14:textId="5E42B487" w:rsidR="00550AA7" w:rsidRPr="00344D3D" w:rsidRDefault="00550AA7" w:rsidP="00550AA7">
      <w:pPr>
        <w:adjustRightInd w:val="0"/>
        <w:ind w:left="567" w:hanging="567"/>
        <w:jc w:val="both"/>
        <w:rPr>
          <w:lang w:val="en-US"/>
        </w:rPr>
      </w:pPr>
      <w:r w:rsidRPr="00543567">
        <w:t xml:space="preserve">Colombo, O. (2021). The use of signals in new-venture financing: A </w:t>
      </w:r>
      <w:r w:rsidR="008B3B94">
        <w:t>r</w:t>
      </w:r>
      <w:r w:rsidRPr="00543567">
        <w:t xml:space="preserve">eview and </w:t>
      </w:r>
      <w:r w:rsidR="008B3B94">
        <w:t>r</w:t>
      </w:r>
      <w:r w:rsidRPr="00543567">
        <w:t xml:space="preserve">esearch </w:t>
      </w:r>
      <w:r w:rsidR="008B3B94">
        <w:t>a</w:t>
      </w:r>
      <w:r w:rsidRPr="00543567">
        <w:t xml:space="preserve">genda. </w:t>
      </w:r>
      <w:r w:rsidRPr="00543567">
        <w:rPr>
          <w:i/>
          <w:iCs/>
        </w:rPr>
        <w:t>Journal of Management</w:t>
      </w:r>
      <w:r w:rsidR="001F221C" w:rsidRPr="00344D3D">
        <w:rPr>
          <w:i/>
          <w:iCs/>
          <w:lang w:val="en-US"/>
        </w:rPr>
        <w:t>,</w:t>
      </w:r>
      <w:r w:rsidRPr="00543567">
        <w:t xml:space="preserve"> </w:t>
      </w:r>
      <w:r w:rsidRPr="001F221C">
        <w:rPr>
          <w:i/>
          <w:iCs/>
          <w:shd w:val="clear" w:color="auto" w:fill="FFFFFF"/>
        </w:rPr>
        <w:t>47</w:t>
      </w:r>
      <w:r w:rsidR="001F221C" w:rsidRPr="00344D3D">
        <w:rPr>
          <w:shd w:val="clear" w:color="auto" w:fill="FFFFFF"/>
          <w:lang w:val="en-US"/>
        </w:rPr>
        <w:t>(1),</w:t>
      </w:r>
      <w:r w:rsidRPr="00543567">
        <w:rPr>
          <w:shd w:val="clear" w:color="auto" w:fill="FFFFFF"/>
        </w:rPr>
        <w:t xml:space="preserve"> 237–259.</w:t>
      </w:r>
      <w:r w:rsidR="001F221C" w:rsidRPr="00344D3D">
        <w:rPr>
          <w:shd w:val="clear" w:color="auto" w:fill="FFFFFF"/>
          <w:lang w:val="en-US"/>
        </w:rPr>
        <w:t xml:space="preserve"> </w:t>
      </w:r>
      <w:hyperlink r:id="rId29" w:history="1">
        <w:r w:rsidR="001F221C" w:rsidRPr="001F221C">
          <w:rPr>
            <w:rStyle w:val="Hyperlink"/>
            <w:shd w:val="clear" w:color="auto" w:fill="FFFFFF"/>
          </w:rPr>
          <w:t>https://doi.org/10.1177/0149206320911090</w:t>
        </w:r>
      </w:hyperlink>
    </w:p>
    <w:p w14:paraId="45B5A861" w14:textId="4014822C" w:rsidR="00550AA7" w:rsidRPr="00543567" w:rsidRDefault="00550AA7" w:rsidP="00550AA7">
      <w:pPr>
        <w:adjustRightInd w:val="0"/>
        <w:ind w:left="567" w:hanging="567"/>
        <w:jc w:val="both"/>
      </w:pPr>
      <w:r w:rsidRPr="00543567">
        <w:t xml:space="preserve">Connelly, B. L., Certo, S. T., Ireland, R. D., &amp; Reutzel, C. R. (2011). Signaling theory: A review and assessment. </w:t>
      </w:r>
      <w:r w:rsidRPr="00543567">
        <w:rPr>
          <w:i/>
          <w:iCs/>
        </w:rPr>
        <w:t>Journal of Management</w:t>
      </w:r>
      <w:r w:rsidR="001F221C">
        <w:rPr>
          <w:i/>
          <w:iCs/>
        </w:rPr>
        <w:t>,</w:t>
      </w:r>
      <w:r w:rsidRPr="00543567">
        <w:t xml:space="preserve"> 37</w:t>
      </w:r>
      <w:r w:rsidR="001F221C">
        <w:t>(1),</w:t>
      </w:r>
      <w:r w:rsidRPr="00543567">
        <w:t xml:space="preserve"> 39–67.</w:t>
      </w:r>
      <w:r w:rsidR="001F221C">
        <w:t xml:space="preserve"> </w:t>
      </w:r>
      <w:hyperlink r:id="rId30" w:history="1">
        <w:r w:rsidR="001F221C" w:rsidRPr="001F221C">
          <w:rPr>
            <w:rStyle w:val="Hyperlink"/>
          </w:rPr>
          <w:t>https://doi.org/10.1177/0149206310388419</w:t>
        </w:r>
      </w:hyperlink>
    </w:p>
    <w:p w14:paraId="65097E08" w14:textId="6DD2B7BC" w:rsidR="00550AA7" w:rsidRPr="00543567" w:rsidRDefault="00550AA7" w:rsidP="00550AA7">
      <w:pPr>
        <w:adjustRightInd w:val="0"/>
        <w:ind w:left="567" w:hanging="567"/>
        <w:jc w:val="both"/>
        <w:rPr>
          <w:rFonts w:eastAsiaTheme="minorHAnsi"/>
          <w:kern w:val="2"/>
          <w:lang w:val="en-US" w:eastAsia="en-US"/>
          <w14:ligatures w14:val="standardContextual"/>
        </w:rPr>
      </w:pPr>
      <w:r w:rsidRPr="00543567">
        <w:t xml:space="preserve">Courtney, C., Dutta, S., &amp; Li, Y. (2017). Resolving information asymmetry: Signaling, </w:t>
      </w:r>
      <w:r w:rsidR="008B3B94">
        <w:t>e</w:t>
      </w:r>
      <w:r w:rsidRPr="00543567">
        <w:t xml:space="preserve">ndorsement, and </w:t>
      </w:r>
      <w:r w:rsidR="008B3B94">
        <w:t>c</w:t>
      </w:r>
      <w:r w:rsidRPr="00543567">
        <w:t xml:space="preserve">rowdfunding </w:t>
      </w:r>
      <w:r w:rsidR="008B3B94">
        <w:t>s</w:t>
      </w:r>
      <w:r w:rsidRPr="00543567">
        <w:t>uccess. </w:t>
      </w:r>
      <w:r w:rsidRPr="00543567">
        <w:rPr>
          <w:i/>
          <w:iCs/>
        </w:rPr>
        <w:t>Entrepreneurship Theory and Practice</w:t>
      </w:r>
      <w:r w:rsidR="001F221C" w:rsidRPr="001F221C">
        <w:rPr>
          <w:i/>
          <w:iCs/>
        </w:rPr>
        <w:t>,</w:t>
      </w:r>
      <w:r w:rsidRPr="001F221C">
        <w:rPr>
          <w:i/>
          <w:iCs/>
        </w:rPr>
        <w:t> 41</w:t>
      </w:r>
      <w:r w:rsidR="001F221C">
        <w:t>(2),</w:t>
      </w:r>
      <w:r w:rsidRPr="00543567">
        <w:t xml:space="preserve"> 265–290.</w:t>
      </w:r>
      <w:r w:rsidR="001F221C" w:rsidRPr="001F221C">
        <w:t xml:space="preserve"> </w:t>
      </w:r>
      <w:hyperlink r:id="rId31" w:history="1">
        <w:r w:rsidR="001F221C" w:rsidRPr="001F221C">
          <w:rPr>
            <w:rStyle w:val="Hyperlink"/>
          </w:rPr>
          <w:t>https://doi.org/10.1111/etap.12267</w:t>
        </w:r>
      </w:hyperlink>
    </w:p>
    <w:p w14:paraId="3834EF38" w14:textId="47DF9AC3" w:rsidR="00550AA7" w:rsidRPr="00344D3D" w:rsidRDefault="00550AA7" w:rsidP="00550AA7">
      <w:pPr>
        <w:adjustRightInd w:val="0"/>
        <w:ind w:left="567" w:hanging="567"/>
        <w:jc w:val="both"/>
        <w:rPr>
          <w:lang w:val="en-US"/>
        </w:rPr>
      </w:pPr>
      <w:r w:rsidRPr="00344D3D">
        <w:rPr>
          <w:lang w:val="en-US"/>
        </w:rPr>
        <w:t>D’Agostino</w:t>
      </w:r>
      <w:r w:rsidR="004E0B61" w:rsidRPr="00344D3D">
        <w:rPr>
          <w:lang w:val="en-US"/>
        </w:rPr>
        <w:t>,</w:t>
      </w:r>
      <w:r w:rsidRPr="004E0B61">
        <w:rPr>
          <w:lang w:val="en-US"/>
        </w:rPr>
        <w:t xml:space="preserve"> L</w:t>
      </w:r>
      <w:r w:rsidR="004E0B61" w:rsidRPr="00344D3D">
        <w:rPr>
          <w:lang w:val="en-US"/>
        </w:rPr>
        <w:t xml:space="preserve">. </w:t>
      </w:r>
      <w:r w:rsidRPr="00344D3D">
        <w:rPr>
          <w:lang w:val="en-US"/>
        </w:rPr>
        <w:t>M</w:t>
      </w:r>
      <w:r w:rsidR="004E0B61" w:rsidRPr="00344D3D">
        <w:rPr>
          <w:lang w:val="en-US"/>
        </w:rPr>
        <w:t>.</w:t>
      </w:r>
      <w:r w:rsidRPr="00344D3D">
        <w:rPr>
          <w:lang w:val="en-US"/>
        </w:rPr>
        <w:t>, Ilbeigi</w:t>
      </w:r>
      <w:r w:rsidR="004E0B61" w:rsidRPr="00344D3D">
        <w:rPr>
          <w:lang w:val="en-US"/>
        </w:rPr>
        <w:t>,</w:t>
      </w:r>
      <w:r w:rsidRPr="00344D3D">
        <w:rPr>
          <w:lang w:val="en-US"/>
        </w:rPr>
        <w:t xml:space="preserve"> A</w:t>
      </w:r>
      <w:r w:rsidR="004E0B61" w:rsidRPr="00344D3D">
        <w:rPr>
          <w:lang w:val="en-US"/>
        </w:rPr>
        <w:t>.</w:t>
      </w:r>
      <w:r w:rsidRPr="00344D3D">
        <w:rPr>
          <w:lang w:val="en-US"/>
        </w:rPr>
        <w:t xml:space="preserve">, </w:t>
      </w:r>
      <w:r w:rsidR="004E0B61" w:rsidRPr="00344D3D">
        <w:rPr>
          <w:lang w:val="en-US"/>
        </w:rPr>
        <w:t xml:space="preserve">&amp; </w:t>
      </w:r>
      <w:r w:rsidRPr="00344D3D">
        <w:rPr>
          <w:lang w:val="en-US"/>
        </w:rPr>
        <w:t>Torrisi</w:t>
      </w:r>
      <w:r w:rsidR="004E0B61" w:rsidRPr="00344D3D">
        <w:rPr>
          <w:lang w:val="en-US"/>
        </w:rPr>
        <w:t>,</w:t>
      </w:r>
      <w:r w:rsidRPr="00344D3D">
        <w:rPr>
          <w:lang w:val="en-US"/>
        </w:rPr>
        <w:t xml:space="preserve"> S</w:t>
      </w:r>
      <w:r w:rsidR="004E0B61" w:rsidRPr="00344D3D">
        <w:rPr>
          <w:lang w:val="en-US"/>
        </w:rPr>
        <w:t>.</w:t>
      </w:r>
      <w:r w:rsidRPr="00344D3D">
        <w:rPr>
          <w:lang w:val="en-US"/>
        </w:rPr>
        <w:t xml:space="preserve"> (2024)</w:t>
      </w:r>
      <w:r w:rsidR="004E0B61" w:rsidRPr="00344D3D">
        <w:rPr>
          <w:lang w:val="en-US"/>
        </w:rPr>
        <w:t>.</w:t>
      </w:r>
      <w:r w:rsidRPr="00344D3D">
        <w:rPr>
          <w:lang w:val="en-US"/>
        </w:rPr>
        <w:t xml:space="preserve"> </w:t>
      </w:r>
      <w:r w:rsidRPr="00543567">
        <w:t>The role of human capital in Italian equity crowdfunding campaigns. </w:t>
      </w:r>
      <w:r w:rsidRPr="00543567">
        <w:rPr>
          <w:i/>
          <w:iCs/>
        </w:rPr>
        <w:t>The International Journal of Entrepreneurship and Innovation</w:t>
      </w:r>
      <w:r w:rsidR="004E0B61">
        <w:rPr>
          <w:i/>
          <w:iCs/>
        </w:rPr>
        <w:t>,</w:t>
      </w:r>
      <w:r w:rsidRPr="00543567">
        <w:t> </w:t>
      </w:r>
      <w:r w:rsidRPr="00543567">
        <w:rPr>
          <w:i/>
          <w:iCs/>
        </w:rPr>
        <w:t>25</w:t>
      </w:r>
      <w:r w:rsidR="004E0B61" w:rsidRPr="004E0B61">
        <w:t>(</w:t>
      </w:r>
      <w:r w:rsidR="004E0B61">
        <w:t>1</w:t>
      </w:r>
      <w:r w:rsidR="004E0B61" w:rsidRPr="004E0B61">
        <w:t>)</w:t>
      </w:r>
      <w:r w:rsidR="004E0B61">
        <w:rPr>
          <w:i/>
          <w:iCs/>
        </w:rPr>
        <w:t>,</w:t>
      </w:r>
      <w:r w:rsidRPr="00543567">
        <w:t xml:space="preserve"> 45–55.</w:t>
      </w:r>
      <w:r w:rsidR="004E0B61" w:rsidRPr="00344D3D">
        <w:rPr>
          <w:lang w:val="en-US"/>
        </w:rPr>
        <w:t xml:space="preserve"> </w:t>
      </w:r>
      <w:hyperlink r:id="rId32" w:history="1">
        <w:r w:rsidR="004E0B61" w:rsidRPr="004E0B61">
          <w:rPr>
            <w:rStyle w:val="Hyperlink"/>
          </w:rPr>
          <w:t>https://doi.org/10.1177/14657503221094444</w:t>
        </w:r>
      </w:hyperlink>
    </w:p>
    <w:p w14:paraId="61CA09EA" w14:textId="6841013B" w:rsidR="00550AA7" w:rsidRPr="004E0B61" w:rsidRDefault="00550AA7" w:rsidP="00550AA7">
      <w:pPr>
        <w:adjustRightInd w:val="0"/>
        <w:ind w:left="567" w:hanging="567"/>
        <w:jc w:val="both"/>
        <w:rPr>
          <w:lang w:val="en-US"/>
        </w:rPr>
      </w:pPr>
      <w:r w:rsidRPr="00543567">
        <w:t>Delmar, F., &amp; Shane, S. (2006). Does experience matter? The effect of founding team experience on the survival and sales of newly founded ventures.</w:t>
      </w:r>
      <w:r w:rsidRPr="00543567">
        <w:rPr>
          <w:rFonts w:ascii="GillSans" w:hAnsi="GillSans" w:cs="GillSans"/>
          <w:sz w:val="14"/>
          <w:szCs w:val="14"/>
        </w:rPr>
        <w:t xml:space="preserve"> </w:t>
      </w:r>
      <w:r w:rsidRPr="00543567">
        <w:rPr>
          <w:i/>
          <w:iCs/>
        </w:rPr>
        <w:t>Strategic Organization</w:t>
      </w:r>
      <w:r w:rsidR="004E0B61" w:rsidRPr="004E0B61">
        <w:rPr>
          <w:i/>
          <w:iCs/>
          <w:lang w:val="en-US"/>
        </w:rPr>
        <w:t>,</w:t>
      </w:r>
      <w:r w:rsidRPr="00543567">
        <w:t xml:space="preserve"> </w:t>
      </w:r>
      <w:r w:rsidRPr="004E0B61">
        <w:rPr>
          <w:i/>
          <w:iCs/>
        </w:rPr>
        <w:t>4</w:t>
      </w:r>
      <w:r w:rsidR="004E0B61" w:rsidRPr="004E0B61">
        <w:rPr>
          <w:lang w:val="en-US"/>
        </w:rPr>
        <w:t>(3),</w:t>
      </w:r>
      <w:r w:rsidRPr="00543567">
        <w:t xml:space="preserve"> 215–247.</w:t>
      </w:r>
      <w:r w:rsidR="004E0B61" w:rsidRPr="004E0B61">
        <w:rPr>
          <w:lang w:val="en-US"/>
        </w:rPr>
        <w:t xml:space="preserve"> </w:t>
      </w:r>
      <w:hyperlink r:id="rId33" w:history="1">
        <w:r w:rsidR="004E0B61" w:rsidRPr="004E0B61">
          <w:rPr>
            <w:rStyle w:val="Hyperlink"/>
          </w:rPr>
          <w:t>https://doi.org/10.1177/1476127006066596</w:t>
        </w:r>
      </w:hyperlink>
    </w:p>
    <w:p w14:paraId="1EEB364B" w14:textId="20D91ED6" w:rsidR="00550AA7" w:rsidRPr="00543567" w:rsidRDefault="00550AA7" w:rsidP="00550AA7">
      <w:pPr>
        <w:adjustRightInd w:val="0"/>
        <w:ind w:left="567" w:hanging="567"/>
        <w:jc w:val="both"/>
        <w:rPr>
          <w:u w:val="single"/>
        </w:rPr>
      </w:pPr>
      <w:r w:rsidRPr="00543567">
        <w:t>Dodd</w:t>
      </w:r>
      <w:r w:rsidR="004E0B61" w:rsidRPr="004E0B61">
        <w:rPr>
          <w:lang w:val="en-US"/>
        </w:rPr>
        <w:t>,</w:t>
      </w:r>
      <w:r w:rsidRPr="00543567">
        <w:t xml:space="preserve"> O</w:t>
      </w:r>
      <w:r w:rsidR="004E0B61" w:rsidRPr="004E0B61">
        <w:rPr>
          <w:lang w:val="en-US"/>
        </w:rPr>
        <w:t>.</w:t>
      </w:r>
      <w:r w:rsidRPr="00543567">
        <w:t>, Frijns</w:t>
      </w:r>
      <w:r w:rsidR="004E0B61" w:rsidRPr="004E0B61">
        <w:rPr>
          <w:lang w:val="en-US"/>
        </w:rPr>
        <w:t>,</w:t>
      </w:r>
      <w:r w:rsidRPr="00543567">
        <w:t xml:space="preserve"> B</w:t>
      </w:r>
      <w:r w:rsidR="004E0B61" w:rsidRPr="004E0B61">
        <w:rPr>
          <w:lang w:val="en-US"/>
        </w:rPr>
        <w:t>.</w:t>
      </w:r>
      <w:r w:rsidRPr="00543567">
        <w:t>, Gong</w:t>
      </w:r>
      <w:r w:rsidR="004E0B61" w:rsidRPr="004E0B61">
        <w:rPr>
          <w:lang w:val="en-US"/>
        </w:rPr>
        <w:t>,</w:t>
      </w:r>
      <w:r w:rsidRPr="00543567">
        <w:t xml:space="preserve"> R</w:t>
      </w:r>
      <w:r w:rsidR="004E0B61" w:rsidRPr="004E0B61">
        <w:rPr>
          <w:lang w:val="en-US"/>
        </w:rPr>
        <w:t xml:space="preserve">. </w:t>
      </w:r>
      <w:r w:rsidRPr="00543567">
        <w:t>K</w:t>
      </w:r>
      <w:r w:rsidR="004E0B61" w:rsidRPr="004E0B61">
        <w:rPr>
          <w:lang w:val="en-US"/>
        </w:rPr>
        <w:t>.</w:t>
      </w:r>
      <w:r w:rsidRPr="00543567">
        <w:t xml:space="preserve">, </w:t>
      </w:r>
      <w:r w:rsidR="004E0B61" w:rsidRPr="004E0B61">
        <w:rPr>
          <w:lang w:val="en-US"/>
        </w:rPr>
        <w:t xml:space="preserve">&amp; </w:t>
      </w:r>
      <w:r w:rsidRPr="00543567">
        <w:t>Liao</w:t>
      </w:r>
      <w:r w:rsidR="004E0B61" w:rsidRPr="004E0B61">
        <w:rPr>
          <w:lang w:val="en-US"/>
        </w:rPr>
        <w:t>,</w:t>
      </w:r>
      <w:r w:rsidRPr="00543567">
        <w:t xml:space="preserve"> S</w:t>
      </w:r>
      <w:r w:rsidR="004E0B61" w:rsidRPr="004E0B61">
        <w:rPr>
          <w:lang w:val="en-US"/>
        </w:rPr>
        <w:t>.</w:t>
      </w:r>
      <w:r w:rsidRPr="00543567">
        <w:t xml:space="preserve"> (2024)</w:t>
      </w:r>
      <w:r w:rsidR="004E0B61" w:rsidRPr="004E0B61">
        <w:rPr>
          <w:lang w:val="en-US"/>
        </w:rPr>
        <w:t>.</w:t>
      </w:r>
      <w:r w:rsidRPr="00543567">
        <w:t xml:space="preserve"> Board cultural diversity and firm performance under competitive pressures. </w:t>
      </w:r>
      <w:r w:rsidRPr="00543567">
        <w:rPr>
          <w:i/>
          <w:iCs/>
        </w:rPr>
        <w:t>Financial Review</w:t>
      </w:r>
      <w:r w:rsidR="004E0B61" w:rsidRPr="00344D3D">
        <w:rPr>
          <w:i/>
          <w:iCs/>
          <w:lang w:val="en-US"/>
        </w:rPr>
        <w:t>,</w:t>
      </w:r>
      <w:r w:rsidRPr="00543567">
        <w:t xml:space="preserve"> </w:t>
      </w:r>
      <w:r w:rsidRPr="004E0B61">
        <w:rPr>
          <w:i/>
          <w:iCs/>
        </w:rPr>
        <w:t>59</w:t>
      </w:r>
      <w:r w:rsidR="004E0B61" w:rsidRPr="00344D3D">
        <w:rPr>
          <w:lang w:val="en-US"/>
        </w:rPr>
        <w:t>(1),</w:t>
      </w:r>
      <w:r w:rsidRPr="00543567">
        <w:t xml:space="preserve"> 89–111.</w:t>
      </w:r>
    </w:p>
    <w:p w14:paraId="408E9E62" w14:textId="4480A885" w:rsidR="00550AA7" w:rsidRPr="00543567" w:rsidRDefault="00550AA7" w:rsidP="00550AA7">
      <w:pPr>
        <w:adjustRightInd w:val="0"/>
        <w:ind w:left="567" w:hanging="567"/>
        <w:jc w:val="both"/>
      </w:pPr>
      <w:r w:rsidRPr="00543567">
        <w:t xml:space="preserve">Dodd, O., Frijns, B., &amp; Garel, A. (2022). Cultural diversity among directors and corporate social responsibility. </w:t>
      </w:r>
      <w:r w:rsidRPr="00543567">
        <w:rPr>
          <w:i/>
          <w:iCs/>
        </w:rPr>
        <w:t>International Review of Financial Analysis</w:t>
      </w:r>
      <w:r w:rsidR="000F14B9" w:rsidRPr="00344D3D">
        <w:rPr>
          <w:i/>
          <w:iCs/>
          <w:lang w:val="en-US"/>
        </w:rPr>
        <w:t>,</w:t>
      </w:r>
      <w:r w:rsidRPr="00543567">
        <w:t xml:space="preserve"> 83</w:t>
      </w:r>
      <w:r w:rsidR="000F14B9" w:rsidRPr="00344D3D">
        <w:rPr>
          <w:lang w:val="en-US"/>
        </w:rPr>
        <w:t>,</w:t>
      </w:r>
      <w:r w:rsidRPr="00543567">
        <w:t xml:space="preserve"> 102337. </w:t>
      </w:r>
      <w:hyperlink r:id="rId34" w:tgtFrame="_blank" w:tooltip="Persistent link using digital object identifier" w:history="1">
        <w:r w:rsidR="000F14B9" w:rsidRPr="000F14B9">
          <w:rPr>
            <w:rStyle w:val="Hyperlink"/>
          </w:rPr>
          <w:t>https://doi.org/10.1016/j.irfa.2022.102337</w:t>
        </w:r>
      </w:hyperlink>
    </w:p>
    <w:p w14:paraId="3A5EE5DA" w14:textId="16CDD9AD" w:rsidR="00550AA7" w:rsidRPr="00344D3D" w:rsidRDefault="00550AA7" w:rsidP="00BD2DF8">
      <w:pPr>
        <w:adjustRightInd w:val="0"/>
        <w:ind w:left="567" w:hanging="567"/>
        <w:jc w:val="both"/>
        <w:rPr>
          <w:lang w:val="en-US"/>
        </w:rPr>
      </w:pPr>
      <w:r w:rsidRPr="00543567">
        <w:t xml:space="preserve">Drover, W., Wood, M. S., &amp; Corbett, A. C. (2018). Toward a cognitive view of signalling theory: Individual Attention and Signal Set Interpretation. </w:t>
      </w:r>
      <w:r w:rsidRPr="00543567">
        <w:rPr>
          <w:i/>
          <w:iCs/>
        </w:rPr>
        <w:t>Journal of Management Studies</w:t>
      </w:r>
      <w:r w:rsidR="000F14B9" w:rsidRPr="00344D3D">
        <w:rPr>
          <w:i/>
          <w:iCs/>
          <w:lang w:val="en-US"/>
        </w:rPr>
        <w:t>,</w:t>
      </w:r>
      <w:r w:rsidRPr="00543567">
        <w:t xml:space="preserve"> </w:t>
      </w:r>
      <w:r w:rsidRPr="000F14B9">
        <w:rPr>
          <w:i/>
          <w:iCs/>
        </w:rPr>
        <w:t>55</w:t>
      </w:r>
      <w:r w:rsidR="000F14B9" w:rsidRPr="00344D3D">
        <w:rPr>
          <w:lang w:val="en-US"/>
        </w:rPr>
        <w:t>(2),</w:t>
      </w:r>
      <w:r w:rsidRPr="00543567">
        <w:t xml:space="preserve"> 209–231. </w:t>
      </w:r>
      <w:r w:rsidR="00BD2DF8" w:rsidRPr="00BD2DF8">
        <w:rPr>
          <w:lang w:val="en-US"/>
        </w:rPr>
        <w:t> </w:t>
      </w:r>
      <w:hyperlink r:id="rId35" w:history="1">
        <w:r w:rsidR="00BD2DF8" w:rsidRPr="00BD2DF8">
          <w:rPr>
            <w:rStyle w:val="Hyperlink"/>
            <w:lang w:val="en-US"/>
          </w:rPr>
          <w:t>https://doi.org/10.1111/joms.12282</w:t>
        </w:r>
      </w:hyperlink>
    </w:p>
    <w:p w14:paraId="65A4A446" w14:textId="72246FC7" w:rsidR="00550AA7" w:rsidRPr="00543567" w:rsidRDefault="00550AA7" w:rsidP="00550AA7">
      <w:pPr>
        <w:adjustRightInd w:val="0"/>
        <w:ind w:left="567" w:hanging="567"/>
        <w:jc w:val="both"/>
      </w:pPr>
      <w:r w:rsidRPr="00543567">
        <w:t xml:space="preserve">Duchek, S., Raetze, S., &amp; Scheuch, I. (2020). The role of diversity in organizational resilience: A theoretical framework. </w:t>
      </w:r>
      <w:r w:rsidRPr="00543567">
        <w:rPr>
          <w:i/>
          <w:iCs/>
        </w:rPr>
        <w:t>Business Research</w:t>
      </w:r>
      <w:r w:rsidR="00BD2DF8" w:rsidRPr="00344D3D">
        <w:rPr>
          <w:i/>
          <w:iCs/>
          <w:lang w:val="en-US"/>
        </w:rPr>
        <w:t>,</w:t>
      </w:r>
      <w:r w:rsidRPr="00543567">
        <w:t xml:space="preserve"> </w:t>
      </w:r>
      <w:r w:rsidRPr="00BD2DF8">
        <w:rPr>
          <w:i/>
          <w:iCs/>
        </w:rPr>
        <w:t>13</w:t>
      </w:r>
      <w:r w:rsidR="00BD2DF8" w:rsidRPr="00344D3D">
        <w:rPr>
          <w:lang w:val="en-US"/>
        </w:rPr>
        <w:t>(2),</w:t>
      </w:r>
      <w:r w:rsidRPr="00543567">
        <w:t xml:space="preserve"> 387–423. </w:t>
      </w:r>
      <w:r w:rsidR="00BD2DF8" w:rsidRPr="00BD2DF8">
        <w:t>https://doi.org/10.1007/s40685-019-0084-8</w:t>
      </w:r>
    </w:p>
    <w:p w14:paraId="783F0797" w14:textId="7AE10C64" w:rsidR="00550AA7" w:rsidRPr="00543567" w:rsidRDefault="00550AA7" w:rsidP="00550AA7">
      <w:pPr>
        <w:adjustRightInd w:val="0"/>
        <w:ind w:left="567" w:hanging="567"/>
        <w:jc w:val="both"/>
        <w:rPr>
          <w:shd w:val="clear" w:color="auto" w:fill="FFFFFF"/>
        </w:rPr>
      </w:pPr>
      <w:r w:rsidRPr="00543567">
        <w:lastRenderedPageBreak/>
        <w:t xml:space="preserve">Dushnitsky, G. (2017). A </w:t>
      </w:r>
      <w:r w:rsidR="001E6AEB">
        <w:t>r</w:t>
      </w:r>
      <w:r w:rsidRPr="00543567">
        <w:t xml:space="preserve">eview and </w:t>
      </w:r>
      <w:r w:rsidR="001E6AEB">
        <w:t>r</w:t>
      </w:r>
      <w:r w:rsidRPr="00543567">
        <w:t xml:space="preserve">oad </w:t>
      </w:r>
      <w:r w:rsidR="001E6AEB">
        <w:t>m</w:t>
      </w:r>
      <w:r w:rsidRPr="00543567">
        <w:t xml:space="preserve">ap of </w:t>
      </w:r>
      <w:r w:rsidR="001E6AEB">
        <w:t>e</w:t>
      </w:r>
      <w:r w:rsidRPr="00543567">
        <w:t xml:space="preserve">ntrepreneurial </w:t>
      </w:r>
      <w:r w:rsidR="001E6AEB">
        <w:t>e</w:t>
      </w:r>
      <w:r w:rsidRPr="00543567">
        <w:t xml:space="preserve">quity </w:t>
      </w:r>
      <w:r w:rsidR="001E6AEB">
        <w:t>f</w:t>
      </w:r>
      <w:r w:rsidRPr="00543567">
        <w:t xml:space="preserve">inancing </w:t>
      </w:r>
      <w:r w:rsidR="001E6AEB">
        <w:t>r</w:t>
      </w:r>
      <w:r w:rsidRPr="00543567">
        <w:t xml:space="preserve">esearch: Venture </w:t>
      </w:r>
      <w:r w:rsidR="001E6AEB">
        <w:t>c</w:t>
      </w:r>
      <w:r w:rsidRPr="00543567">
        <w:t xml:space="preserve">apital, </w:t>
      </w:r>
      <w:r w:rsidR="001E6AEB">
        <w:t>c</w:t>
      </w:r>
      <w:r w:rsidRPr="00543567">
        <w:t xml:space="preserve">orporate </w:t>
      </w:r>
      <w:r w:rsidR="001E6AEB">
        <w:t>v</w:t>
      </w:r>
      <w:r w:rsidRPr="00543567">
        <w:t xml:space="preserve">enture </w:t>
      </w:r>
      <w:r w:rsidR="001E6AEB">
        <w:t>c</w:t>
      </w:r>
      <w:r w:rsidRPr="00543567">
        <w:t xml:space="preserve">apital, </w:t>
      </w:r>
      <w:r w:rsidR="001E6AEB">
        <w:t>a</w:t>
      </w:r>
      <w:r w:rsidRPr="00543567">
        <w:t xml:space="preserve">ngel </w:t>
      </w:r>
      <w:r w:rsidR="001E6AEB">
        <w:t>i</w:t>
      </w:r>
      <w:r w:rsidRPr="00543567">
        <w:t xml:space="preserve">nvestment, </w:t>
      </w:r>
      <w:r w:rsidR="001E6AEB">
        <w:t>c</w:t>
      </w:r>
      <w:r w:rsidRPr="00543567">
        <w:t xml:space="preserve">rowdfunding, and </w:t>
      </w:r>
      <w:r w:rsidR="001E6AEB">
        <w:t>a</w:t>
      </w:r>
      <w:r w:rsidRPr="00543567">
        <w:t xml:space="preserve">ccelerators. </w:t>
      </w:r>
      <w:r w:rsidRPr="00543567">
        <w:rPr>
          <w:i/>
          <w:iCs/>
        </w:rPr>
        <w:t>Journal of Management</w:t>
      </w:r>
      <w:r w:rsidR="00BD2DF8" w:rsidRPr="001E6AEB">
        <w:rPr>
          <w:i/>
          <w:iCs/>
          <w:lang w:val="en-US"/>
        </w:rPr>
        <w:t>,</w:t>
      </w:r>
      <w:r w:rsidRPr="00543567">
        <w:t xml:space="preserve"> </w:t>
      </w:r>
      <w:r w:rsidRPr="00BD2DF8">
        <w:rPr>
          <w:i/>
          <w:iCs/>
        </w:rPr>
        <w:t>43</w:t>
      </w:r>
      <w:r w:rsidR="00BD2DF8" w:rsidRPr="001E6AEB">
        <w:rPr>
          <w:lang w:val="en-US"/>
        </w:rPr>
        <w:t>(6),</w:t>
      </w:r>
      <w:r w:rsidRPr="00543567">
        <w:t xml:space="preserve"> 1820–1853. </w:t>
      </w:r>
      <w:hyperlink r:id="rId36" w:history="1">
        <w:r w:rsidR="00BD2DF8" w:rsidRPr="00BD2DF8">
          <w:rPr>
            <w:rStyle w:val="Hyperlink"/>
          </w:rPr>
          <w:t>https://doi.org/10.1177/0149206317690584</w:t>
        </w:r>
      </w:hyperlink>
    </w:p>
    <w:p w14:paraId="251316DB" w14:textId="26A55622" w:rsidR="00550AA7" w:rsidRPr="00344D3D" w:rsidRDefault="00550AA7" w:rsidP="00550AA7">
      <w:pPr>
        <w:adjustRightInd w:val="0"/>
        <w:ind w:left="567" w:hanging="567"/>
        <w:jc w:val="both"/>
        <w:rPr>
          <w:lang w:val="fr-FR"/>
        </w:rPr>
      </w:pPr>
      <w:r w:rsidRPr="00543567">
        <w:t>Edelman, L. F., Manolova, T. S., Brush, C. G., &amp; Chow, C. M. (2021). Signal configurations: Exploring set-theoretic relationships in angel investing.</w:t>
      </w:r>
      <w:r w:rsidRPr="00543567">
        <w:rPr>
          <w:rFonts w:ascii="CharisSIL" w:eastAsia="CharisSIL" w:hAnsi="Calibri" w:cs="CharisSIL"/>
          <w:sz w:val="14"/>
          <w:szCs w:val="14"/>
        </w:rPr>
        <w:t xml:space="preserve"> </w:t>
      </w:r>
      <w:r w:rsidRPr="00543567">
        <w:rPr>
          <w:i/>
          <w:iCs/>
        </w:rPr>
        <w:t>Journal of Business Venturing</w:t>
      </w:r>
      <w:r w:rsidR="0020209B">
        <w:rPr>
          <w:i/>
          <w:iCs/>
        </w:rPr>
        <w:t>,</w:t>
      </w:r>
      <w:r w:rsidRPr="00543567">
        <w:t xml:space="preserve"> </w:t>
      </w:r>
      <w:r w:rsidRPr="005127B2">
        <w:rPr>
          <w:i/>
          <w:iCs/>
        </w:rPr>
        <w:t>36</w:t>
      </w:r>
      <w:r w:rsidR="005127B2" w:rsidRPr="005127B2">
        <w:rPr>
          <w:lang w:val="en-US"/>
        </w:rPr>
        <w:t>(2),</w:t>
      </w:r>
      <w:r w:rsidRPr="00543567">
        <w:t xml:space="preserve"> 106086.</w:t>
      </w:r>
      <w:r w:rsidR="005127B2" w:rsidRPr="005127B2">
        <w:t xml:space="preserve"> </w:t>
      </w:r>
      <w:hyperlink r:id="rId37" w:tgtFrame="_blank" w:tooltip="Persistent link using digital object identifier" w:history="1">
        <w:r w:rsidR="005127B2" w:rsidRPr="00344D3D">
          <w:rPr>
            <w:rStyle w:val="Hyperlink"/>
            <w:lang w:val="fr-FR"/>
          </w:rPr>
          <w:t>https://doi.org/10.1016/j.jbusvent.2020.106086</w:t>
        </w:r>
      </w:hyperlink>
    </w:p>
    <w:p w14:paraId="686091B8" w14:textId="2FE62F4B" w:rsidR="00550AA7" w:rsidRPr="00344D3D" w:rsidRDefault="00550AA7" w:rsidP="00550AA7">
      <w:pPr>
        <w:adjustRightInd w:val="0"/>
        <w:ind w:left="567" w:hanging="567"/>
        <w:jc w:val="both"/>
        <w:rPr>
          <w:lang w:val="en-US"/>
        </w:rPr>
      </w:pPr>
      <w:r w:rsidRPr="00344D3D">
        <w:rPr>
          <w:lang w:val="fr-FR"/>
        </w:rPr>
        <w:t>Eesley</w:t>
      </w:r>
      <w:r w:rsidR="005127B2" w:rsidRPr="00344D3D">
        <w:rPr>
          <w:lang w:val="fr-FR"/>
        </w:rPr>
        <w:t>,</w:t>
      </w:r>
      <w:r w:rsidRPr="00344D3D">
        <w:rPr>
          <w:lang w:val="fr-FR"/>
        </w:rPr>
        <w:t xml:space="preserve"> C</w:t>
      </w:r>
      <w:r w:rsidR="005127B2" w:rsidRPr="00344D3D">
        <w:rPr>
          <w:lang w:val="fr-FR"/>
        </w:rPr>
        <w:t xml:space="preserve">. </w:t>
      </w:r>
      <w:r w:rsidRPr="00344D3D">
        <w:rPr>
          <w:lang w:val="fr-FR"/>
        </w:rPr>
        <w:t>E</w:t>
      </w:r>
      <w:r w:rsidR="005127B2" w:rsidRPr="00344D3D">
        <w:rPr>
          <w:lang w:val="fr-FR"/>
        </w:rPr>
        <w:t>.</w:t>
      </w:r>
      <w:r w:rsidRPr="00344D3D">
        <w:rPr>
          <w:lang w:val="fr-FR"/>
        </w:rPr>
        <w:t>, Hsu</w:t>
      </w:r>
      <w:r w:rsidR="005127B2" w:rsidRPr="00344D3D">
        <w:rPr>
          <w:lang w:val="fr-FR"/>
        </w:rPr>
        <w:t>,</w:t>
      </w:r>
      <w:r w:rsidRPr="00344D3D">
        <w:rPr>
          <w:lang w:val="fr-FR"/>
        </w:rPr>
        <w:t xml:space="preserve"> D</w:t>
      </w:r>
      <w:r w:rsidR="005127B2" w:rsidRPr="00344D3D">
        <w:rPr>
          <w:lang w:val="fr-FR"/>
        </w:rPr>
        <w:t xml:space="preserve">. </w:t>
      </w:r>
      <w:r w:rsidRPr="00344D3D">
        <w:rPr>
          <w:lang w:val="fr-FR"/>
        </w:rPr>
        <w:t>H</w:t>
      </w:r>
      <w:r w:rsidR="005127B2" w:rsidRPr="00344D3D">
        <w:rPr>
          <w:lang w:val="fr-FR"/>
        </w:rPr>
        <w:t>.</w:t>
      </w:r>
      <w:r w:rsidRPr="00344D3D">
        <w:rPr>
          <w:lang w:val="fr-FR"/>
        </w:rPr>
        <w:t xml:space="preserve">, </w:t>
      </w:r>
      <w:r w:rsidR="005127B2" w:rsidRPr="00344D3D">
        <w:rPr>
          <w:lang w:val="fr-FR"/>
        </w:rPr>
        <w:t xml:space="preserve">&amp; </w:t>
      </w:r>
      <w:r w:rsidRPr="00344D3D">
        <w:rPr>
          <w:lang w:val="fr-FR"/>
        </w:rPr>
        <w:t>Roberts</w:t>
      </w:r>
      <w:r w:rsidR="005127B2" w:rsidRPr="00344D3D">
        <w:rPr>
          <w:lang w:val="fr-FR"/>
        </w:rPr>
        <w:t>,</w:t>
      </w:r>
      <w:r w:rsidRPr="00344D3D">
        <w:rPr>
          <w:lang w:val="fr-FR"/>
        </w:rPr>
        <w:t xml:space="preserve"> E</w:t>
      </w:r>
      <w:r w:rsidR="005127B2" w:rsidRPr="00344D3D">
        <w:rPr>
          <w:lang w:val="fr-FR"/>
        </w:rPr>
        <w:t xml:space="preserve">. </w:t>
      </w:r>
      <w:r w:rsidRPr="00344D3D">
        <w:rPr>
          <w:lang w:val="fr-FR"/>
        </w:rPr>
        <w:t>B</w:t>
      </w:r>
      <w:r w:rsidR="005127B2" w:rsidRPr="00344D3D">
        <w:rPr>
          <w:lang w:val="fr-FR"/>
        </w:rPr>
        <w:t>.</w:t>
      </w:r>
      <w:r w:rsidRPr="00344D3D">
        <w:rPr>
          <w:lang w:val="fr-FR"/>
        </w:rPr>
        <w:t xml:space="preserve"> (2014)</w:t>
      </w:r>
      <w:r w:rsidR="005127B2" w:rsidRPr="00344D3D">
        <w:rPr>
          <w:lang w:val="fr-FR"/>
        </w:rPr>
        <w:t>.</w:t>
      </w:r>
      <w:r w:rsidRPr="00344D3D">
        <w:rPr>
          <w:lang w:val="fr-FR"/>
        </w:rPr>
        <w:t xml:space="preserve"> </w:t>
      </w:r>
      <w:r w:rsidRPr="00543567">
        <w:t xml:space="preserve">The contingent effects of top management teams on venture performance: Aligning </w:t>
      </w:r>
      <w:r w:rsidR="006C554B">
        <w:t>f</w:t>
      </w:r>
      <w:r w:rsidRPr="00543567">
        <w:t xml:space="preserve">ounding </w:t>
      </w:r>
      <w:r w:rsidR="006C554B">
        <w:t>t</w:t>
      </w:r>
      <w:r w:rsidRPr="00543567">
        <w:t xml:space="preserve">eam </w:t>
      </w:r>
      <w:r w:rsidR="006C554B">
        <w:t>c</w:t>
      </w:r>
      <w:r w:rsidRPr="00543567">
        <w:t xml:space="preserve">omposition with </w:t>
      </w:r>
      <w:r w:rsidR="006C554B">
        <w:t>i</w:t>
      </w:r>
      <w:r w:rsidRPr="00543567">
        <w:t xml:space="preserve">nnovation </w:t>
      </w:r>
      <w:r w:rsidR="006C554B">
        <w:t>s</w:t>
      </w:r>
      <w:r w:rsidRPr="00543567">
        <w:t xml:space="preserve">trategy and </w:t>
      </w:r>
      <w:r w:rsidR="006C554B">
        <w:t>c</w:t>
      </w:r>
      <w:r w:rsidRPr="00543567">
        <w:t xml:space="preserve">ommercialization </w:t>
      </w:r>
      <w:r w:rsidR="006C554B">
        <w:t>e</w:t>
      </w:r>
      <w:r w:rsidRPr="00543567">
        <w:t>nvironment.</w:t>
      </w:r>
      <w:r w:rsidRPr="00543567">
        <w:rPr>
          <w:i/>
          <w:iCs/>
          <w:sz w:val="16"/>
          <w:szCs w:val="16"/>
        </w:rPr>
        <w:t xml:space="preserve"> </w:t>
      </w:r>
      <w:r w:rsidRPr="00543567">
        <w:rPr>
          <w:i/>
          <w:iCs/>
        </w:rPr>
        <w:t>Strategic Management Journal</w:t>
      </w:r>
      <w:r w:rsidR="005127B2" w:rsidRPr="006C554B">
        <w:rPr>
          <w:i/>
          <w:iCs/>
          <w:lang w:val="en-US"/>
        </w:rPr>
        <w:t>,</w:t>
      </w:r>
      <w:r w:rsidRPr="00543567">
        <w:t xml:space="preserve"> </w:t>
      </w:r>
      <w:r w:rsidRPr="005127B2">
        <w:rPr>
          <w:i/>
          <w:iCs/>
        </w:rPr>
        <w:t>35</w:t>
      </w:r>
      <w:r w:rsidR="005127B2" w:rsidRPr="006C554B">
        <w:rPr>
          <w:lang w:val="en-US"/>
        </w:rPr>
        <w:t>(</w:t>
      </w:r>
      <w:r w:rsidR="00416FA1" w:rsidRPr="006C554B">
        <w:rPr>
          <w:lang w:val="en-US"/>
        </w:rPr>
        <w:t>12</w:t>
      </w:r>
      <w:r w:rsidR="005127B2" w:rsidRPr="006C554B">
        <w:rPr>
          <w:lang w:val="en-US"/>
        </w:rPr>
        <w:t>),</w:t>
      </w:r>
      <w:r w:rsidRPr="00543567">
        <w:t xml:space="preserve"> 1798–1817.</w:t>
      </w:r>
      <w:r w:rsidR="00416FA1" w:rsidRPr="006C554B">
        <w:rPr>
          <w:lang w:val="en-US"/>
        </w:rPr>
        <w:t xml:space="preserve"> </w:t>
      </w:r>
      <w:hyperlink r:id="rId38" w:history="1">
        <w:r w:rsidR="00416FA1" w:rsidRPr="00416FA1">
          <w:rPr>
            <w:rStyle w:val="Hyperlink"/>
          </w:rPr>
          <w:t>https://doi.org/10.1002/smj.2183</w:t>
        </w:r>
      </w:hyperlink>
    </w:p>
    <w:p w14:paraId="5BC32898" w14:textId="2CB11B07" w:rsidR="00550AA7" w:rsidRPr="00543567" w:rsidRDefault="00550AA7" w:rsidP="00550AA7">
      <w:pPr>
        <w:adjustRightInd w:val="0"/>
        <w:ind w:left="567" w:hanging="567"/>
        <w:jc w:val="both"/>
        <w:rPr>
          <w:shd w:val="clear" w:color="auto" w:fill="FFFFFF"/>
        </w:rPr>
      </w:pPr>
      <w:r w:rsidRPr="00543567">
        <w:rPr>
          <w:shd w:val="clear" w:color="auto" w:fill="FFFFFF"/>
        </w:rPr>
        <w:t xml:space="preserve">Engel, D., &amp; Keilbach, M. (2007). Firm-level implications of early stage venture capital investment: An empirical investigation. </w:t>
      </w:r>
      <w:r w:rsidRPr="00543567">
        <w:rPr>
          <w:i/>
          <w:iCs/>
          <w:shd w:val="clear" w:color="auto" w:fill="FFFFFF"/>
        </w:rPr>
        <w:t>Journal of Empirical Finance</w:t>
      </w:r>
      <w:r w:rsidR="00416FA1" w:rsidRPr="00344D3D">
        <w:rPr>
          <w:i/>
          <w:iCs/>
          <w:shd w:val="clear" w:color="auto" w:fill="FFFFFF"/>
          <w:lang w:val="en-US"/>
        </w:rPr>
        <w:t>,</w:t>
      </w:r>
      <w:r w:rsidRPr="00543567">
        <w:rPr>
          <w:shd w:val="clear" w:color="auto" w:fill="FFFFFF"/>
        </w:rPr>
        <w:t xml:space="preserve"> </w:t>
      </w:r>
      <w:r w:rsidRPr="00416FA1">
        <w:rPr>
          <w:i/>
          <w:iCs/>
          <w:shd w:val="clear" w:color="auto" w:fill="FFFFFF"/>
        </w:rPr>
        <w:t>14</w:t>
      </w:r>
      <w:r w:rsidR="00416FA1" w:rsidRPr="00344D3D">
        <w:rPr>
          <w:shd w:val="clear" w:color="auto" w:fill="FFFFFF"/>
          <w:lang w:val="en-US"/>
        </w:rPr>
        <w:t>(2),</w:t>
      </w:r>
      <w:r w:rsidRPr="00543567">
        <w:rPr>
          <w:shd w:val="clear" w:color="auto" w:fill="FFFFFF"/>
        </w:rPr>
        <w:t xml:space="preserve"> 150–167.</w:t>
      </w:r>
      <w:r w:rsidR="00416FA1" w:rsidRPr="00416FA1">
        <w:t xml:space="preserve"> </w:t>
      </w:r>
      <w:hyperlink r:id="rId39" w:tgtFrame="_blank" w:tooltip="Persistent link using digital object identifier" w:history="1">
        <w:r w:rsidR="00416FA1" w:rsidRPr="00416FA1">
          <w:rPr>
            <w:rStyle w:val="Hyperlink"/>
            <w:shd w:val="clear" w:color="auto" w:fill="FFFFFF"/>
          </w:rPr>
          <w:t>https://doi.org/10.1016/j.jempfin.2006.03.004</w:t>
        </w:r>
      </w:hyperlink>
    </w:p>
    <w:p w14:paraId="68F92682" w14:textId="216699A9" w:rsidR="00550AA7" w:rsidRPr="00543567" w:rsidRDefault="00550AA7" w:rsidP="00550AA7">
      <w:pPr>
        <w:adjustRightInd w:val="0"/>
        <w:ind w:left="567" w:hanging="567"/>
        <w:jc w:val="both"/>
      </w:pPr>
      <w:r w:rsidRPr="00543567">
        <w:t xml:space="preserve">Ensley, M. D., Pearson, A. W., &amp; Amason, A. C. (2002). Understanding the dynamics of new venture top management teams: Cohesion, conflict, and new venture performance. </w:t>
      </w:r>
      <w:r w:rsidRPr="00543567">
        <w:rPr>
          <w:i/>
          <w:iCs/>
        </w:rPr>
        <w:t>Journal of Business Venturing</w:t>
      </w:r>
      <w:r w:rsidR="00E80331" w:rsidRPr="00344D3D">
        <w:rPr>
          <w:i/>
          <w:iCs/>
          <w:lang w:val="en-US"/>
        </w:rPr>
        <w:t>,</w:t>
      </w:r>
      <w:r w:rsidRPr="00543567">
        <w:t xml:space="preserve"> </w:t>
      </w:r>
      <w:r w:rsidRPr="00E80331">
        <w:rPr>
          <w:i/>
          <w:iCs/>
        </w:rPr>
        <w:t>17</w:t>
      </w:r>
      <w:r w:rsidR="00E80331" w:rsidRPr="00344D3D">
        <w:rPr>
          <w:lang w:val="en-US"/>
        </w:rPr>
        <w:t>(4),</w:t>
      </w:r>
      <w:r w:rsidRPr="00543567">
        <w:t xml:space="preserve"> 365–386. </w:t>
      </w:r>
      <w:hyperlink r:id="rId40" w:tgtFrame="_blank" w:tooltip="Persistent link using digital object identifier" w:history="1">
        <w:r w:rsidR="00E80331" w:rsidRPr="00E80331">
          <w:rPr>
            <w:rStyle w:val="Hyperlink"/>
          </w:rPr>
          <w:t>https://doi.org/10.1016/S0883-9026(00)00065-3</w:t>
        </w:r>
      </w:hyperlink>
    </w:p>
    <w:p w14:paraId="39473A85" w14:textId="3FBB4546" w:rsidR="00550AA7" w:rsidRPr="00543567" w:rsidRDefault="00550AA7" w:rsidP="00550AA7">
      <w:pPr>
        <w:adjustRightInd w:val="0"/>
        <w:ind w:left="567" w:hanging="567"/>
        <w:jc w:val="both"/>
      </w:pPr>
      <w:r w:rsidRPr="00543567">
        <w:rPr>
          <w:lang w:val="en-US"/>
        </w:rPr>
        <w:t xml:space="preserve">Esses, V. M. (2018). Immigration, </w:t>
      </w:r>
      <w:r w:rsidR="008B3B94">
        <w:t>m</w:t>
      </w:r>
      <w:r w:rsidRPr="00543567">
        <w:rPr>
          <w:lang w:val="en-US"/>
        </w:rPr>
        <w:t xml:space="preserve">igration, and </w:t>
      </w:r>
      <w:r w:rsidR="008B3B94">
        <w:rPr>
          <w:lang w:val="en-US"/>
        </w:rPr>
        <w:t>c</w:t>
      </w:r>
      <w:r w:rsidRPr="00543567">
        <w:rPr>
          <w:lang w:val="en-US"/>
        </w:rPr>
        <w:t xml:space="preserve">ulture. </w:t>
      </w:r>
      <w:r w:rsidRPr="00543567">
        <w:rPr>
          <w:i/>
          <w:iCs/>
        </w:rPr>
        <w:t>Oxford Research Encyclopedia of Psychology.</w:t>
      </w:r>
      <w:r w:rsidRPr="00543567">
        <w:t> </w:t>
      </w:r>
      <w:hyperlink r:id="rId41" w:history="1">
        <w:r w:rsidR="00E80331" w:rsidRPr="00E80331">
          <w:rPr>
            <w:rStyle w:val="Hyperlink"/>
          </w:rPr>
          <w:t>https://doi.org/10.1093/acrefore/9780190236557.013.287</w:t>
        </w:r>
      </w:hyperlink>
    </w:p>
    <w:p w14:paraId="7C9CCC5E" w14:textId="0E5D6B92" w:rsidR="00550AA7" w:rsidRPr="00543567" w:rsidRDefault="00550AA7" w:rsidP="00550AA7">
      <w:pPr>
        <w:adjustRightInd w:val="0"/>
        <w:ind w:left="567" w:hanging="567"/>
        <w:jc w:val="both"/>
      </w:pPr>
      <w:r w:rsidRPr="00543567">
        <w:t xml:space="preserve">Ewens, M., Nanda, R., &amp; Rhodes-Kropf, M. (2018). Cost of experimentation and the evolution of venture capital. </w:t>
      </w:r>
      <w:r w:rsidRPr="00543567">
        <w:rPr>
          <w:i/>
          <w:iCs/>
        </w:rPr>
        <w:t>Journal of Financial Economics</w:t>
      </w:r>
      <w:r w:rsidR="001F0D7C" w:rsidRPr="00344D3D">
        <w:rPr>
          <w:i/>
          <w:iCs/>
          <w:lang w:val="en-US"/>
        </w:rPr>
        <w:t>,</w:t>
      </w:r>
      <w:r w:rsidRPr="00543567">
        <w:t xml:space="preserve"> </w:t>
      </w:r>
      <w:r w:rsidRPr="006C554B">
        <w:rPr>
          <w:i/>
          <w:iCs/>
        </w:rPr>
        <w:t>128</w:t>
      </w:r>
      <w:r w:rsidR="001F0D7C" w:rsidRPr="00344D3D">
        <w:rPr>
          <w:lang w:val="en-US"/>
        </w:rPr>
        <w:t>(3),</w:t>
      </w:r>
      <w:r w:rsidRPr="00543567">
        <w:t xml:space="preserve"> 422–442. </w:t>
      </w:r>
      <w:hyperlink r:id="rId42" w:tgtFrame="_blank" w:tooltip="Persistent link using digital object identifier" w:history="1">
        <w:r w:rsidR="001F0D7C" w:rsidRPr="001F0D7C">
          <w:rPr>
            <w:rStyle w:val="Hyperlink"/>
          </w:rPr>
          <w:t>https://doi.org/10.1016/j.jfineco.2018.03.001</w:t>
        </w:r>
      </w:hyperlink>
    </w:p>
    <w:p w14:paraId="26591A00" w14:textId="30F46B0D" w:rsidR="00550AA7" w:rsidRPr="00543567" w:rsidRDefault="00550AA7" w:rsidP="00550AA7">
      <w:pPr>
        <w:adjustRightInd w:val="0"/>
        <w:ind w:left="567" w:hanging="567"/>
        <w:jc w:val="both"/>
        <w:rPr>
          <w:shd w:val="clear" w:color="auto" w:fill="FFFFFF"/>
        </w:rPr>
      </w:pPr>
      <w:r w:rsidRPr="00543567">
        <w:rPr>
          <w:lang w:val="en-US"/>
        </w:rPr>
        <w:t>Fischer, E., &amp; Reuber, R. (2007). The good, the bad, and the unfamiliar: The challenges of reputation</w:t>
      </w:r>
      <w:r w:rsidRPr="00543567">
        <w:rPr>
          <w:shd w:val="clear" w:color="auto" w:fill="FFFFFF"/>
        </w:rPr>
        <w:t xml:space="preserve"> </w:t>
      </w:r>
      <w:r w:rsidRPr="00543567">
        <w:rPr>
          <w:lang w:val="en-US"/>
        </w:rPr>
        <w:t xml:space="preserve">formation facing new firms. </w:t>
      </w:r>
      <w:r w:rsidRPr="00543567">
        <w:rPr>
          <w:i/>
          <w:iCs/>
          <w:lang w:val="en-US"/>
        </w:rPr>
        <w:t>Entrepreneurship Theory and Practice</w:t>
      </w:r>
      <w:r w:rsidR="009257C9">
        <w:rPr>
          <w:i/>
          <w:iCs/>
          <w:lang w:val="en-US"/>
        </w:rPr>
        <w:t>,</w:t>
      </w:r>
      <w:r w:rsidRPr="00543567">
        <w:rPr>
          <w:lang w:val="en-US"/>
        </w:rPr>
        <w:t xml:space="preserve"> </w:t>
      </w:r>
      <w:r w:rsidRPr="00092C3A">
        <w:rPr>
          <w:i/>
          <w:iCs/>
          <w:lang w:val="en-US"/>
        </w:rPr>
        <w:t>31</w:t>
      </w:r>
      <w:r w:rsidR="009257C9">
        <w:rPr>
          <w:lang w:val="en-US"/>
        </w:rPr>
        <w:t>(1),</w:t>
      </w:r>
      <w:r w:rsidRPr="00543567">
        <w:rPr>
          <w:lang w:val="en-US"/>
        </w:rPr>
        <w:t xml:space="preserve"> 53</w:t>
      </w:r>
      <w:r w:rsidRPr="00543567">
        <w:t>-</w:t>
      </w:r>
      <w:r w:rsidRPr="00543567">
        <w:rPr>
          <w:lang w:val="en-US"/>
        </w:rPr>
        <w:t>75.</w:t>
      </w:r>
      <w:r w:rsidR="009257C9" w:rsidRPr="009257C9">
        <w:t xml:space="preserve"> </w:t>
      </w:r>
      <w:hyperlink r:id="rId43" w:history="1">
        <w:r w:rsidR="009257C9" w:rsidRPr="009257C9">
          <w:rPr>
            <w:rStyle w:val="Hyperlink"/>
          </w:rPr>
          <w:t>https://doi.org/10.1111/j.1540-6520.2007.00163.x</w:t>
        </w:r>
      </w:hyperlink>
    </w:p>
    <w:p w14:paraId="43474266" w14:textId="2BBB8F3E" w:rsidR="00550AA7" w:rsidRPr="00543567" w:rsidRDefault="00550AA7" w:rsidP="00550AA7">
      <w:pPr>
        <w:adjustRightInd w:val="0"/>
        <w:ind w:left="567" w:hanging="567"/>
        <w:jc w:val="both"/>
      </w:pPr>
      <w:r w:rsidRPr="00543567">
        <w:t xml:space="preserve">Franke, N., Gruber, M., Harhoff, D., &amp; Henkel, J. (2006). What you are is what you like—similarity biases in venture capitalists’ evaluations of start-up teams. </w:t>
      </w:r>
      <w:r w:rsidRPr="00543567">
        <w:rPr>
          <w:i/>
          <w:iCs/>
        </w:rPr>
        <w:t>Journal of Business Venturing</w:t>
      </w:r>
      <w:r w:rsidR="009257C9">
        <w:rPr>
          <w:i/>
          <w:iCs/>
        </w:rPr>
        <w:t>,</w:t>
      </w:r>
      <w:r w:rsidRPr="00543567">
        <w:t xml:space="preserve"> </w:t>
      </w:r>
      <w:r w:rsidRPr="009257C9">
        <w:rPr>
          <w:i/>
          <w:iCs/>
        </w:rPr>
        <w:t>21</w:t>
      </w:r>
      <w:r w:rsidR="009257C9">
        <w:t>(6),</w:t>
      </w:r>
      <w:r w:rsidRPr="00543567">
        <w:t xml:space="preserve"> 802–826.</w:t>
      </w:r>
      <w:r w:rsidR="009257C9" w:rsidRPr="009257C9">
        <w:t xml:space="preserve"> </w:t>
      </w:r>
      <w:hyperlink r:id="rId44" w:tgtFrame="_blank" w:tooltip="Persistent link using digital object identifier" w:history="1">
        <w:r w:rsidR="009257C9" w:rsidRPr="009257C9">
          <w:rPr>
            <w:rStyle w:val="Hyperlink"/>
          </w:rPr>
          <w:t>https://doi.org/10.1016/j.jbusvent.2005.07.001</w:t>
        </w:r>
      </w:hyperlink>
    </w:p>
    <w:p w14:paraId="1FCB1913" w14:textId="5572F5DE" w:rsidR="00550AA7" w:rsidRPr="00543567" w:rsidRDefault="00550AA7" w:rsidP="00550AA7">
      <w:pPr>
        <w:adjustRightInd w:val="0"/>
        <w:ind w:left="567" w:hanging="567"/>
        <w:jc w:val="both"/>
      </w:pPr>
      <w:r w:rsidRPr="00543567">
        <w:t xml:space="preserve">Franke, N., Gruber, M., Harhoff, D., &amp; Henkel, J. (2008). Venture capitalists’ evaluations of start-up teams: Trade-offs, knock-out criteria, and the impact of VC experience. </w:t>
      </w:r>
      <w:r w:rsidRPr="00543567">
        <w:rPr>
          <w:i/>
          <w:iCs/>
        </w:rPr>
        <w:t>Entrepreneurship Theory and Practice</w:t>
      </w:r>
      <w:r w:rsidR="009257C9">
        <w:rPr>
          <w:i/>
          <w:iCs/>
        </w:rPr>
        <w:t>,</w:t>
      </w:r>
      <w:r w:rsidRPr="00543567">
        <w:rPr>
          <w:i/>
          <w:iCs/>
        </w:rPr>
        <w:t xml:space="preserve"> 32</w:t>
      </w:r>
      <w:r w:rsidR="009257C9" w:rsidRPr="009257C9">
        <w:t>(</w:t>
      </w:r>
      <w:r w:rsidR="009257C9">
        <w:t>3</w:t>
      </w:r>
      <w:r w:rsidR="009257C9" w:rsidRPr="009257C9">
        <w:t>),</w:t>
      </w:r>
      <w:r w:rsidRPr="00543567">
        <w:t xml:space="preserve"> 459–483.</w:t>
      </w:r>
      <w:r w:rsidR="009257C9">
        <w:t xml:space="preserve"> </w:t>
      </w:r>
      <w:hyperlink r:id="rId45" w:history="1">
        <w:r w:rsidR="009257C9" w:rsidRPr="009257C9">
          <w:rPr>
            <w:rStyle w:val="Hyperlink"/>
          </w:rPr>
          <w:t>https://doi.org/10.1111/j.1540-6520.2008.00236.x</w:t>
        </w:r>
      </w:hyperlink>
    </w:p>
    <w:p w14:paraId="4D8DB575" w14:textId="364F3644" w:rsidR="00550AA7" w:rsidRPr="00543567" w:rsidRDefault="00550AA7" w:rsidP="00550AA7">
      <w:pPr>
        <w:adjustRightInd w:val="0"/>
        <w:ind w:left="567" w:hanging="567"/>
        <w:jc w:val="both"/>
      </w:pPr>
      <w:r w:rsidRPr="00543567">
        <w:t xml:space="preserve">Frijns, B., Dodd, O., &amp; Cimerova, H. (2016). The impact of cultural diversity in corporate boards on firm performance. </w:t>
      </w:r>
      <w:r w:rsidRPr="00543567">
        <w:rPr>
          <w:i/>
          <w:iCs/>
        </w:rPr>
        <w:t>Journal of Corporate Finance</w:t>
      </w:r>
      <w:r w:rsidR="00E536EC">
        <w:rPr>
          <w:i/>
          <w:iCs/>
        </w:rPr>
        <w:t>,</w:t>
      </w:r>
      <w:r w:rsidRPr="00543567">
        <w:t xml:space="preserve"> </w:t>
      </w:r>
      <w:r w:rsidRPr="00E536EC">
        <w:rPr>
          <w:i/>
          <w:iCs/>
        </w:rPr>
        <w:t>41</w:t>
      </w:r>
      <w:r w:rsidR="00E536EC">
        <w:t>,</w:t>
      </w:r>
      <w:r w:rsidRPr="00543567">
        <w:t xml:space="preserve"> 521–541. </w:t>
      </w:r>
      <w:hyperlink r:id="rId46" w:tgtFrame="_blank" w:tooltip="Persistent link using digital object identifier" w:history="1">
        <w:r w:rsidR="00E536EC" w:rsidRPr="00E536EC">
          <w:rPr>
            <w:rStyle w:val="Hyperlink"/>
          </w:rPr>
          <w:t>https://doi.org/10.1016/j.jcorpfin.2016.07.014</w:t>
        </w:r>
      </w:hyperlink>
    </w:p>
    <w:p w14:paraId="50773540" w14:textId="17E1A8C5" w:rsidR="00550AA7" w:rsidRPr="00543567" w:rsidRDefault="00550AA7" w:rsidP="00550AA7">
      <w:pPr>
        <w:adjustRightInd w:val="0"/>
        <w:ind w:left="567" w:hanging="567"/>
        <w:jc w:val="both"/>
      </w:pPr>
      <w:r w:rsidRPr="00543567">
        <w:t xml:space="preserve">Gafni, H., Marom, D., Robb, A., &amp; Sade, O. (2021). Gender dynamics in crowdfunding (Kickstarter): Evidence on </w:t>
      </w:r>
      <w:r w:rsidR="00E536EC">
        <w:t>e</w:t>
      </w:r>
      <w:r w:rsidRPr="00543567">
        <w:t xml:space="preserve">ntrepreneurs, </w:t>
      </w:r>
      <w:r w:rsidR="00E536EC">
        <w:t>b</w:t>
      </w:r>
      <w:r w:rsidRPr="00543567">
        <w:t xml:space="preserve">ackers, and </w:t>
      </w:r>
      <w:r w:rsidR="00E536EC">
        <w:t>t</w:t>
      </w:r>
      <w:r w:rsidRPr="00543567">
        <w:t>aste-</w:t>
      </w:r>
      <w:r w:rsidR="00E536EC">
        <w:t>b</w:t>
      </w:r>
      <w:r w:rsidRPr="00543567">
        <w:t xml:space="preserve">ased </w:t>
      </w:r>
      <w:r w:rsidR="00E536EC">
        <w:t>d</w:t>
      </w:r>
      <w:r w:rsidRPr="00543567">
        <w:t>iscrimination. </w:t>
      </w:r>
      <w:r w:rsidRPr="00543567">
        <w:rPr>
          <w:i/>
          <w:iCs/>
        </w:rPr>
        <w:t>Review of Finance</w:t>
      </w:r>
      <w:r w:rsidR="00E536EC">
        <w:rPr>
          <w:i/>
          <w:iCs/>
        </w:rPr>
        <w:t>,</w:t>
      </w:r>
      <w:r w:rsidRPr="00543567">
        <w:t xml:space="preserve"> </w:t>
      </w:r>
      <w:r w:rsidRPr="00E536EC">
        <w:rPr>
          <w:i/>
          <w:iCs/>
        </w:rPr>
        <w:t>25</w:t>
      </w:r>
      <w:r w:rsidR="00E536EC">
        <w:t>(2),</w:t>
      </w:r>
      <w:r w:rsidRPr="00543567">
        <w:t xml:space="preserve"> 235–274.</w:t>
      </w:r>
      <w:r w:rsidR="002F3AB2" w:rsidRPr="002F3AB2">
        <w:t xml:space="preserve"> </w:t>
      </w:r>
      <w:hyperlink r:id="rId47" w:history="1">
        <w:r w:rsidR="002F3AB2" w:rsidRPr="002F3AB2">
          <w:rPr>
            <w:rStyle w:val="Hyperlink"/>
          </w:rPr>
          <w:t>https://doi.org/10.1093/rof/rfaa041</w:t>
        </w:r>
      </w:hyperlink>
    </w:p>
    <w:p w14:paraId="0842B9BC" w14:textId="47144DC8" w:rsidR="00550AA7" w:rsidRPr="00543567" w:rsidRDefault="00550AA7" w:rsidP="00550AA7">
      <w:pPr>
        <w:adjustRightInd w:val="0"/>
        <w:ind w:left="567" w:hanging="567"/>
        <w:jc w:val="both"/>
      </w:pPr>
      <w:r w:rsidRPr="00543567">
        <w:t xml:space="preserve">Giannetti, M., &amp; Zhao, M. (2019). Board ancestral diversity and firm-performance volatility. </w:t>
      </w:r>
      <w:r w:rsidRPr="00543567">
        <w:rPr>
          <w:i/>
          <w:iCs/>
        </w:rPr>
        <w:t>Journal of Financial and Quantitative Analysis</w:t>
      </w:r>
      <w:r w:rsidR="00C3412D" w:rsidRPr="00AB2E87">
        <w:rPr>
          <w:i/>
          <w:iCs/>
          <w:lang w:val="en-US"/>
        </w:rPr>
        <w:t>,</w:t>
      </w:r>
      <w:r w:rsidRPr="00543567">
        <w:t xml:space="preserve"> </w:t>
      </w:r>
      <w:r w:rsidRPr="00C3412D">
        <w:rPr>
          <w:i/>
          <w:iCs/>
        </w:rPr>
        <w:t>54</w:t>
      </w:r>
      <w:r w:rsidR="00C3412D" w:rsidRPr="00AB2E87">
        <w:rPr>
          <w:lang w:val="en-US"/>
        </w:rPr>
        <w:t>(3),</w:t>
      </w:r>
      <w:r w:rsidRPr="00543567">
        <w:t xml:space="preserve"> 1117–1155. </w:t>
      </w:r>
      <w:r w:rsidR="00C3412D" w:rsidRPr="00C3412D">
        <w:t>doi:10.1017/S0022109018001035</w:t>
      </w:r>
    </w:p>
    <w:p w14:paraId="02DC20D7" w14:textId="0051F5C9" w:rsidR="00550AA7" w:rsidRPr="00543567" w:rsidRDefault="00550AA7" w:rsidP="00550AA7">
      <w:pPr>
        <w:adjustRightInd w:val="0"/>
        <w:ind w:left="567" w:hanging="567"/>
        <w:jc w:val="both"/>
      </w:pPr>
      <w:r w:rsidRPr="00543567">
        <w:t xml:space="preserve">Global Accelerator Learning Initiative. (2019, April). The </w:t>
      </w:r>
      <w:r w:rsidR="00C3412D">
        <w:t>e</w:t>
      </w:r>
      <w:r w:rsidRPr="00543567">
        <w:t xml:space="preserve">ntrepreneurship </w:t>
      </w:r>
      <w:r w:rsidR="00C3412D">
        <w:t>d</w:t>
      </w:r>
      <w:r w:rsidRPr="00543567">
        <w:t xml:space="preserve">atabase </w:t>
      </w:r>
      <w:r w:rsidR="00C3412D">
        <w:t>p</w:t>
      </w:r>
      <w:r w:rsidRPr="00543567">
        <w:t xml:space="preserve">rogram at Emory </w:t>
      </w:r>
      <w:r w:rsidR="00C3412D">
        <w:t>u</w:t>
      </w:r>
      <w:r w:rsidRPr="00543567">
        <w:t xml:space="preserve">niversity 2018 </w:t>
      </w:r>
      <w:r w:rsidR="00C3412D">
        <w:t>y</w:t>
      </w:r>
      <w:r w:rsidRPr="00543567">
        <w:t>ear-</w:t>
      </w:r>
      <w:r w:rsidR="00C3412D">
        <w:t>e</w:t>
      </w:r>
      <w:r w:rsidRPr="00543567">
        <w:t xml:space="preserve">nd </w:t>
      </w:r>
      <w:r w:rsidR="00C3412D">
        <w:t>d</w:t>
      </w:r>
      <w:r w:rsidRPr="00543567">
        <w:t xml:space="preserve">ata </w:t>
      </w:r>
      <w:r w:rsidR="00C3412D">
        <w:t>s</w:t>
      </w:r>
      <w:r w:rsidRPr="00543567">
        <w:t xml:space="preserve">ummary. April. </w:t>
      </w:r>
      <w:hyperlink r:id="rId48" w:history="1">
        <w:r w:rsidRPr="00543567">
          <w:rPr>
            <w:u w:val="single"/>
          </w:rPr>
          <w:t>https://www.galidata.org/assets/report/pdf/2018_Year_End_Summary.pdf</w:t>
        </w:r>
      </w:hyperlink>
    </w:p>
    <w:p w14:paraId="51E48CC7" w14:textId="70F8BEAE" w:rsidR="00550AA7" w:rsidRPr="00543567" w:rsidRDefault="00550AA7" w:rsidP="00550AA7">
      <w:pPr>
        <w:adjustRightInd w:val="0"/>
        <w:ind w:left="567" w:hanging="567"/>
        <w:jc w:val="both"/>
      </w:pPr>
      <w:r w:rsidRPr="00543567">
        <w:rPr>
          <w:shd w:val="clear" w:color="auto" w:fill="FFFFFF"/>
        </w:rPr>
        <w:t xml:space="preserve">Goldenstein, J., Hunoldt, M., &amp; Oertel, S. (2019). How optimal distinctiveness affects new ventures' failure risk: A contingency perspective. </w:t>
      </w:r>
      <w:r w:rsidRPr="00543567">
        <w:rPr>
          <w:i/>
          <w:iCs/>
        </w:rPr>
        <w:t>Journal of Business Venturing</w:t>
      </w:r>
      <w:r w:rsidR="00C3412D">
        <w:rPr>
          <w:i/>
          <w:iCs/>
        </w:rPr>
        <w:t>,</w:t>
      </w:r>
      <w:r w:rsidRPr="00543567">
        <w:rPr>
          <w:shd w:val="clear" w:color="auto" w:fill="FFFFFF"/>
        </w:rPr>
        <w:t> </w:t>
      </w:r>
      <w:r w:rsidRPr="00092C3A">
        <w:rPr>
          <w:i/>
          <w:iCs/>
        </w:rPr>
        <w:t>34</w:t>
      </w:r>
      <w:r w:rsidR="00C3412D">
        <w:t>(3),</w:t>
      </w:r>
      <w:r w:rsidRPr="00543567">
        <w:rPr>
          <w:shd w:val="clear" w:color="auto" w:fill="FFFFFF"/>
        </w:rPr>
        <w:t xml:space="preserve"> 477–495.</w:t>
      </w:r>
      <w:r w:rsidR="00C3412D" w:rsidRPr="00C3412D">
        <w:t xml:space="preserve"> </w:t>
      </w:r>
      <w:hyperlink r:id="rId49" w:tgtFrame="_blank" w:tooltip="Persistent link using digital object identifier" w:history="1">
        <w:r w:rsidR="00C3412D" w:rsidRPr="00C3412D">
          <w:rPr>
            <w:rStyle w:val="Hyperlink"/>
            <w:shd w:val="clear" w:color="auto" w:fill="FFFFFF"/>
          </w:rPr>
          <w:t>https://doi.org/10.1016/j.jbusvent.2019.01.004</w:t>
        </w:r>
      </w:hyperlink>
    </w:p>
    <w:p w14:paraId="47F9A2BC" w14:textId="50098A3C" w:rsidR="00550AA7" w:rsidRPr="00543567" w:rsidRDefault="00550AA7" w:rsidP="00550AA7">
      <w:pPr>
        <w:adjustRightInd w:val="0"/>
        <w:ind w:left="567" w:hanging="567"/>
        <w:jc w:val="both"/>
      </w:pPr>
      <w:r w:rsidRPr="00543567">
        <w:t xml:space="preserve">Gompers, P., &amp; Kovvali, S. (2018). The other diversity dividend. </w:t>
      </w:r>
      <w:r w:rsidRPr="00543567">
        <w:rPr>
          <w:i/>
          <w:iCs/>
        </w:rPr>
        <w:t>Harvard Business Review</w:t>
      </w:r>
      <w:r w:rsidRPr="00543567">
        <w:t>, July – August, 72–77.</w:t>
      </w:r>
      <w:r w:rsidR="00C3412D">
        <w:t xml:space="preserve"> Available at: </w:t>
      </w:r>
      <w:r w:rsidR="00C3412D" w:rsidRPr="00C3412D">
        <w:t>https://hbr.org/2018/07/the-other-diversity-dividend</w:t>
      </w:r>
    </w:p>
    <w:p w14:paraId="4EE4DB1D" w14:textId="11B80EED" w:rsidR="00550AA7" w:rsidRPr="00543567" w:rsidRDefault="00550AA7" w:rsidP="00550AA7">
      <w:pPr>
        <w:adjustRightInd w:val="0"/>
        <w:ind w:left="567" w:hanging="567"/>
        <w:jc w:val="both"/>
      </w:pPr>
      <w:r w:rsidRPr="00543567">
        <w:lastRenderedPageBreak/>
        <w:t xml:space="preserve">Gonzalez-Uribe, J., &amp; Leatherbee, M. (2018). The effects of business accelerators on venture performance: Evidence from Start-Up Chile. </w:t>
      </w:r>
      <w:r w:rsidRPr="00543567">
        <w:rPr>
          <w:i/>
          <w:iCs/>
        </w:rPr>
        <w:t>Review of Financial Studies</w:t>
      </w:r>
      <w:r w:rsidR="00C94BF9">
        <w:rPr>
          <w:i/>
          <w:iCs/>
        </w:rPr>
        <w:t>,</w:t>
      </w:r>
      <w:r w:rsidRPr="00543567">
        <w:t xml:space="preserve"> </w:t>
      </w:r>
      <w:r w:rsidRPr="00C94BF9">
        <w:rPr>
          <w:i/>
          <w:iCs/>
        </w:rPr>
        <w:t>31</w:t>
      </w:r>
      <w:r w:rsidR="00C94BF9">
        <w:t>(4),</w:t>
      </w:r>
      <w:r w:rsidRPr="00543567">
        <w:t xml:space="preserve"> 1566 – 1603.  </w:t>
      </w:r>
      <w:hyperlink r:id="rId50" w:history="1">
        <w:r w:rsidR="00C94BF9" w:rsidRPr="00C94BF9">
          <w:rPr>
            <w:rStyle w:val="Hyperlink"/>
          </w:rPr>
          <w:t>https://doi.org/10.1093/rfs/hhx103</w:t>
        </w:r>
      </w:hyperlink>
    </w:p>
    <w:p w14:paraId="55266B4E" w14:textId="6EA20210" w:rsidR="00E21DC2" w:rsidRDefault="00550AA7" w:rsidP="00E21DC2">
      <w:pPr>
        <w:adjustRightInd w:val="0"/>
        <w:ind w:left="567" w:hanging="567"/>
        <w:jc w:val="both"/>
      </w:pPr>
      <w:r w:rsidRPr="00543567">
        <w:t xml:space="preserve">Greenberg, J., &amp; Mollick, E. R. (2015). Leaning in or leaning on? Gender, </w:t>
      </w:r>
      <w:r w:rsidR="00C94BF9">
        <w:t>h</w:t>
      </w:r>
      <w:r w:rsidRPr="00543567">
        <w:t xml:space="preserve">omophily, and </w:t>
      </w:r>
      <w:r w:rsidR="00C94BF9">
        <w:t>a</w:t>
      </w:r>
      <w:r w:rsidRPr="00543567">
        <w:t xml:space="preserve">ctivism in </w:t>
      </w:r>
      <w:r w:rsidR="00C94BF9">
        <w:t>c</w:t>
      </w:r>
      <w:r w:rsidRPr="00543567">
        <w:t xml:space="preserve">rowdfunding. </w:t>
      </w:r>
      <w:r w:rsidRPr="00543567">
        <w:rPr>
          <w:i/>
          <w:iCs/>
        </w:rPr>
        <w:t>Academy of Management Proceedings</w:t>
      </w:r>
      <w:r w:rsidR="00C94BF9">
        <w:rPr>
          <w:i/>
          <w:iCs/>
        </w:rPr>
        <w:t>,</w:t>
      </w:r>
      <w:r w:rsidRPr="00543567">
        <w:t xml:space="preserve"> 1: </w:t>
      </w:r>
      <w:hyperlink r:id="rId51" w:history="1">
        <w:r w:rsidRPr="00543567">
          <w:rPr>
            <w:u w:val="single"/>
          </w:rPr>
          <w:t>https://doi.org/10.5465/ambpp.2015.18365abstract</w:t>
        </w:r>
      </w:hyperlink>
      <w:r w:rsidRPr="00543567">
        <w:t xml:space="preserve"> </w:t>
      </w:r>
    </w:p>
    <w:p w14:paraId="7FBE8991" w14:textId="5D215B5C" w:rsidR="00E21DC2" w:rsidRPr="00E21DC2" w:rsidRDefault="00550AA7" w:rsidP="00E21DC2">
      <w:pPr>
        <w:adjustRightInd w:val="0"/>
        <w:ind w:left="567" w:hanging="567"/>
        <w:jc w:val="both"/>
      </w:pPr>
      <w:r w:rsidRPr="00543567">
        <w:t>Greene, P. G., Brush, C. G., Hart, M. M., &amp; Saparito, P. (2001). Patterns of venture capital funding: is gender a factor? </w:t>
      </w:r>
      <w:r w:rsidRPr="00543567">
        <w:rPr>
          <w:i/>
          <w:iCs/>
        </w:rPr>
        <w:t>Venture Capital: An International Journal of Entrepreneurial Finance</w:t>
      </w:r>
      <w:r w:rsidR="00E21DC2">
        <w:rPr>
          <w:i/>
          <w:iCs/>
        </w:rPr>
        <w:t>,</w:t>
      </w:r>
      <w:r w:rsidRPr="00543567">
        <w:t> </w:t>
      </w:r>
      <w:r w:rsidRPr="00E21DC2">
        <w:rPr>
          <w:i/>
          <w:iCs/>
        </w:rPr>
        <w:t>3</w:t>
      </w:r>
      <w:r w:rsidR="00E21DC2">
        <w:t>(1),</w:t>
      </w:r>
      <w:r w:rsidRPr="00543567">
        <w:t xml:space="preserve"> 63–83. </w:t>
      </w:r>
      <w:hyperlink r:id="rId52" w:history="1">
        <w:r w:rsidR="00E21DC2" w:rsidRPr="00677325">
          <w:rPr>
            <w:rStyle w:val="Hyperlink"/>
            <w:rFonts w:eastAsia="CharisSIL"/>
            <w:lang w:val="en-US"/>
          </w:rPr>
          <w:t>https://doi.org/10.1080/13691060118175</w:t>
        </w:r>
      </w:hyperlink>
    </w:p>
    <w:p w14:paraId="33A0F6B3" w14:textId="63BABA47" w:rsidR="00550AA7" w:rsidRPr="00543567" w:rsidRDefault="00550AA7" w:rsidP="00550AA7">
      <w:pPr>
        <w:adjustRightInd w:val="0"/>
        <w:ind w:left="567" w:hanging="567"/>
        <w:jc w:val="both"/>
        <w:rPr>
          <w:rFonts w:eastAsia="CharisSIL"/>
        </w:rPr>
      </w:pPr>
      <w:r w:rsidRPr="00543567">
        <w:rPr>
          <w:rFonts w:eastAsia="CharisSIL"/>
        </w:rPr>
        <w:t xml:space="preserve">Guzman, J., &amp; Kacperczyk, A. O. (2019). Gender gap in entrepreneurship. </w:t>
      </w:r>
      <w:r w:rsidRPr="00543567">
        <w:rPr>
          <w:rFonts w:eastAsia="CharisSIL"/>
          <w:i/>
          <w:iCs/>
        </w:rPr>
        <w:t>Research Policy</w:t>
      </w:r>
      <w:r w:rsidRPr="00543567">
        <w:rPr>
          <w:rFonts w:eastAsia="CharisSIL"/>
        </w:rPr>
        <w:t xml:space="preserve"> </w:t>
      </w:r>
      <w:r w:rsidRPr="00E21DC2">
        <w:rPr>
          <w:rFonts w:eastAsia="CharisSIL"/>
          <w:i/>
          <w:iCs/>
        </w:rPr>
        <w:t>48</w:t>
      </w:r>
      <w:r w:rsidR="00E21DC2">
        <w:rPr>
          <w:rFonts w:eastAsia="CharisSIL"/>
        </w:rPr>
        <w:t>(7),</w:t>
      </w:r>
      <w:r w:rsidRPr="00543567">
        <w:rPr>
          <w:rFonts w:eastAsia="CharisSIL"/>
        </w:rPr>
        <w:t xml:space="preserve"> 1666–1680. </w:t>
      </w:r>
      <w:hyperlink r:id="rId53" w:tgtFrame="_blank" w:tooltip="Persistent link using digital object identifier" w:history="1">
        <w:r w:rsidR="00E21DC2" w:rsidRPr="00E21DC2">
          <w:rPr>
            <w:rStyle w:val="Hyperlink"/>
            <w:rFonts w:eastAsia="CharisSIL"/>
          </w:rPr>
          <w:t>https://doi.org/10.1016/j.respol.2019.03.012</w:t>
        </w:r>
      </w:hyperlink>
    </w:p>
    <w:p w14:paraId="4125028D" w14:textId="0D89182D" w:rsidR="00550AA7" w:rsidRPr="00543567" w:rsidRDefault="00550AA7" w:rsidP="00550AA7">
      <w:pPr>
        <w:adjustRightInd w:val="0"/>
        <w:ind w:left="567" w:hanging="567"/>
        <w:jc w:val="both"/>
      </w:pPr>
      <w:r w:rsidRPr="00543567">
        <w:t>Hallen</w:t>
      </w:r>
      <w:r w:rsidR="00E21DC2">
        <w:t>,</w:t>
      </w:r>
      <w:r w:rsidRPr="00543567">
        <w:t xml:space="preserve"> B</w:t>
      </w:r>
      <w:r w:rsidR="00E21DC2">
        <w:t xml:space="preserve">. </w:t>
      </w:r>
      <w:r w:rsidRPr="00543567">
        <w:t>L</w:t>
      </w:r>
      <w:r w:rsidR="00E21DC2">
        <w:t>.</w:t>
      </w:r>
      <w:r w:rsidRPr="00543567">
        <w:t>, Cohen</w:t>
      </w:r>
      <w:r w:rsidR="00E21DC2">
        <w:t>,</w:t>
      </w:r>
      <w:r w:rsidRPr="00543567">
        <w:t xml:space="preserve"> S</w:t>
      </w:r>
      <w:r w:rsidR="00E21DC2">
        <w:t xml:space="preserve">. </w:t>
      </w:r>
      <w:r w:rsidRPr="00543567">
        <w:t>L</w:t>
      </w:r>
      <w:r w:rsidR="00E21DC2">
        <w:t>.</w:t>
      </w:r>
      <w:r w:rsidRPr="00543567">
        <w:t xml:space="preserve">, </w:t>
      </w:r>
      <w:r w:rsidR="00E21DC2">
        <w:t xml:space="preserve">&amp; </w:t>
      </w:r>
      <w:r w:rsidRPr="00543567">
        <w:t>Bingham</w:t>
      </w:r>
      <w:r w:rsidR="00E21DC2">
        <w:t>,</w:t>
      </w:r>
      <w:r w:rsidRPr="00543567">
        <w:t xml:space="preserve"> C</w:t>
      </w:r>
      <w:r w:rsidR="00E21DC2">
        <w:t xml:space="preserve">. </w:t>
      </w:r>
      <w:r w:rsidRPr="00543567">
        <w:t>B</w:t>
      </w:r>
      <w:r w:rsidR="00E21DC2">
        <w:t>.</w:t>
      </w:r>
      <w:r w:rsidRPr="00543567">
        <w:t xml:space="preserve"> (2020)</w:t>
      </w:r>
      <w:r w:rsidR="00E21DC2">
        <w:t>.</w:t>
      </w:r>
      <w:r w:rsidRPr="00543567">
        <w:t xml:space="preserve"> Do accelerators work? If so, how? </w:t>
      </w:r>
      <w:r w:rsidRPr="00543567">
        <w:rPr>
          <w:i/>
          <w:iCs/>
        </w:rPr>
        <w:t>Organization Science</w:t>
      </w:r>
      <w:r w:rsidR="00E21DC2">
        <w:rPr>
          <w:i/>
          <w:iCs/>
        </w:rPr>
        <w:t>,</w:t>
      </w:r>
      <w:r w:rsidRPr="00543567">
        <w:t xml:space="preserve"> </w:t>
      </w:r>
      <w:r w:rsidRPr="00CD608C">
        <w:rPr>
          <w:i/>
          <w:iCs/>
        </w:rPr>
        <w:t>31</w:t>
      </w:r>
      <w:r w:rsidR="00E21DC2">
        <w:t>(2),</w:t>
      </w:r>
      <w:r w:rsidRPr="00543567">
        <w:t xml:space="preserve"> 378–414.</w:t>
      </w:r>
      <w:r w:rsidR="00E21DC2">
        <w:t xml:space="preserve"> </w:t>
      </w:r>
      <w:hyperlink r:id="rId54" w:history="1">
        <w:r w:rsidR="00E21DC2" w:rsidRPr="00E21DC2">
          <w:rPr>
            <w:rStyle w:val="Hyperlink"/>
          </w:rPr>
          <w:t>https://doi.org/10.1287/orsc.2019.1304</w:t>
        </w:r>
      </w:hyperlink>
    </w:p>
    <w:p w14:paraId="43DFA6AD" w14:textId="5F713CC7" w:rsidR="00550AA7" w:rsidRPr="00543567" w:rsidRDefault="00550AA7" w:rsidP="00550AA7">
      <w:pPr>
        <w:adjustRightInd w:val="0"/>
        <w:ind w:left="567" w:hanging="567"/>
        <w:jc w:val="both"/>
        <w:rPr>
          <w:shd w:val="clear" w:color="auto" w:fill="FFFFFF"/>
        </w:rPr>
      </w:pPr>
      <w:r w:rsidRPr="00543567">
        <w:t xml:space="preserve">Hayton, J. C., George, G., &amp; Zahra, S. A. (2002). National culture and entrepreneurship: A review of behavioral research. </w:t>
      </w:r>
      <w:r w:rsidRPr="00543567">
        <w:rPr>
          <w:i/>
          <w:iCs/>
        </w:rPr>
        <w:t>Entrepreneurship Theory and Practice</w:t>
      </w:r>
      <w:r w:rsidR="00CD608C">
        <w:rPr>
          <w:i/>
          <w:iCs/>
        </w:rPr>
        <w:t>,</w:t>
      </w:r>
      <w:r w:rsidRPr="00543567">
        <w:t xml:space="preserve"> </w:t>
      </w:r>
      <w:r w:rsidRPr="00CD608C">
        <w:rPr>
          <w:i/>
          <w:iCs/>
        </w:rPr>
        <w:t>26</w:t>
      </w:r>
      <w:r w:rsidR="00AB2E87" w:rsidRPr="00AB2E87">
        <w:t>(4)</w:t>
      </w:r>
      <w:r w:rsidR="00CD608C" w:rsidRPr="00AB2E87">
        <w:t>,</w:t>
      </w:r>
      <w:r w:rsidRPr="00543567">
        <w:t xml:space="preserve"> 33–52.</w:t>
      </w:r>
      <w:r w:rsidR="00AB2E87">
        <w:t xml:space="preserve"> </w:t>
      </w:r>
      <w:hyperlink r:id="rId55" w:history="1">
        <w:r w:rsidR="00AB2E87" w:rsidRPr="00AB2E87">
          <w:rPr>
            <w:rStyle w:val="Hyperlink"/>
          </w:rPr>
          <w:t>https://doi.org/10.1177/104225870202600403</w:t>
        </w:r>
      </w:hyperlink>
    </w:p>
    <w:p w14:paraId="760A1150" w14:textId="1635949C" w:rsidR="00550AA7" w:rsidRPr="00543567" w:rsidRDefault="00550AA7" w:rsidP="00550AA7">
      <w:pPr>
        <w:adjustRightInd w:val="0"/>
        <w:ind w:left="567" w:hanging="567"/>
        <w:jc w:val="both"/>
        <w:rPr>
          <w:shd w:val="clear" w:color="auto" w:fill="FFFFFF"/>
        </w:rPr>
      </w:pPr>
      <w:r w:rsidRPr="00543567">
        <w:t xml:space="preserve">Hechavarría, D. M., Terjesen, S. A., Ingram, A. E., Renko, M., Justo, R., &amp; Elam, A. (2017). Taking care of business: the impact of culture and gender on entrepreneurs’ blended value creation goals. </w:t>
      </w:r>
      <w:r w:rsidRPr="00543567">
        <w:rPr>
          <w:i/>
          <w:iCs/>
        </w:rPr>
        <w:t>Small Business Economics</w:t>
      </w:r>
      <w:r w:rsidR="00CD608C">
        <w:rPr>
          <w:i/>
          <w:iCs/>
        </w:rPr>
        <w:t>,</w:t>
      </w:r>
      <w:r w:rsidRPr="00543567">
        <w:t xml:space="preserve"> </w:t>
      </w:r>
      <w:r w:rsidRPr="00CD608C">
        <w:rPr>
          <w:i/>
          <w:iCs/>
        </w:rPr>
        <w:t>48</w:t>
      </w:r>
      <w:r w:rsidR="00AB2E87" w:rsidRPr="00AB2E87">
        <w:t>(1)</w:t>
      </w:r>
      <w:r w:rsidR="00CD608C" w:rsidRPr="00AB2E87">
        <w:t>,</w:t>
      </w:r>
      <w:r w:rsidRPr="00543567">
        <w:t xml:space="preserve"> 225–257. </w:t>
      </w:r>
      <w:r w:rsidR="00AB2E87" w:rsidRPr="00AB2E87">
        <w:t>https://doi.org/10.1007/s11187-016-9747-4</w:t>
      </w:r>
    </w:p>
    <w:p w14:paraId="3F3D7A7D" w14:textId="2092D0E2" w:rsidR="00DA1F7D" w:rsidRPr="00DA1F7D" w:rsidRDefault="00550AA7" w:rsidP="00DA1F7D">
      <w:pPr>
        <w:adjustRightInd w:val="0"/>
        <w:ind w:left="567" w:hanging="567"/>
        <w:jc w:val="both"/>
        <w:rPr>
          <w:lang w:val="en-US"/>
        </w:rPr>
      </w:pPr>
      <w:r w:rsidRPr="00543567">
        <w:t xml:space="preserve">Herrmann, P., &amp; Datta, D. K. (2005). Relationships between top management team characteristics and international diversification: An empirical investigation. </w:t>
      </w:r>
      <w:r w:rsidRPr="00543567">
        <w:rPr>
          <w:i/>
          <w:iCs/>
        </w:rPr>
        <w:t>British Journal of Management</w:t>
      </w:r>
      <w:r w:rsidR="00CD608C">
        <w:rPr>
          <w:i/>
          <w:iCs/>
        </w:rPr>
        <w:t>,</w:t>
      </w:r>
      <w:r w:rsidRPr="00092C3A">
        <w:rPr>
          <w:i/>
          <w:iCs/>
        </w:rPr>
        <w:t xml:space="preserve"> 16</w:t>
      </w:r>
      <w:r w:rsidR="00092C3A">
        <w:t>(1)</w:t>
      </w:r>
      <w:r w:rsidR="00CD608C">
        <w:t>,</w:t>
      </w:r>
      <w:r w:rsidRPr="00543567">
        <w:t xml:space="preserve"> 69–78.</w:t>
      </w:r>
      <w:r w:rsidR="00DA1F7D">
        <w:t xml:space="preserve"> </w:t>
      </w:r>
      <w:hyperlink r:id="rId56" w:history="1">
        <w:r w:rsidR="00DA1F7D" w:rsidRPr="00DA1F7D">
          <w:rPr>
            <w:rStyle w:val="Hyperlink"/>
            <w:lang w:val="en-US"/>
          </w:rPr>
          <w:t>https://doi.org/10.1111/j.1467-8551.2005.00429.x</w:t>
        </w:r>
      </w:hyperlink>
    </w:p>
    <w:p w14:paraId="7B471B6D" w14:textId="3490E2E8" w:rsidR="00550AA7" w:rsidRPr="00543567" w:rsidRDefault="00550AA7" w:rsidP="00550AA7">
      <w:pPr>
        <w:adjustRightInd w:val="0"/>
        <w:ind w:left="567" w:hanging="567"/>
        <w:jc w:val="both"/>
      </w:pPr>
    </w:p>
    <w:p w14:paraId="71F41E0E" w14:textId="77777777" w:rsidR="00550AA7" w:rsidRPr="00543567" w:rsidRDefault="00550AA7" w:rsidP="00550AA7">
      <w:pPr>
        <w:adjustRightInd w:val="0"/>
        <w:ind w:left="567" w:hanging="567"/>
        <w:jc w:val="both"/>
      </w:pPr>
      <w:r w:rsidRPr="00543567">
        <w:rPr>
          <w:rFonts w:eastAsia="Calibri"/>
        </w:rPr>
        <w:t xml:space="preserve">Hofstede, G. (1980). </w:t>
      </w:r>
      <w:r w:rsidRPr="00543567">
        <w:rPr>
          <w:rFonts w:eastAsia="Calibri"/>
          <w:i/>
          <w:iCs/>
        </w:rPr>
        <w:t>Culture’s consequences: International differences in work-related values</w:t>
      </w:r>
      <w:r w:rsidRPr="00543567">
        <w:rPr>
          <w:rFonts w:eastAsia="Calibri"/>
        </w:rPr>
        <w:t>. Newbury Park, CA: Sage Publications.</w:t>
      </w:r>
      <w:r w:rsidRPr="00543567">
        <w:t xml:space="preserve"> </w:t>
      </w:r>
    </w:p>
    <w:p w14:paraId="3D31E9DC" w14:textId="330D813D" w:rsidR="00550AA7" w:rsidRPr="00543567" w:rsidRDefault="00550AA7" w:rsidP="00550AA7">
      <w:pPr>
        <w:ind w:left="547" w:hanging="547"/>
        <w:jc w:val="both"/>
        <w:rPr>
          <w:rFonts w:eastAsia="Calibri"/>
        </w:rPr>
      </w:pPr>
      <w:r w:rsidRPr="00543567">
        <w:rPr>
          <w:rFonts w:eastAsia="Calibri"/>
        </w:rPr>
        <w:t xml:space="preserve">Hofstede, G. (2011). Dimensionalizing </w:t>
      </w:r>
      <w:r w:rsidR="00CD608C">
        <w:rPr>
          <w:rFonts w:eastAsia="Calibri"/>
        </w:rPr>
        <w:t>c</w:t>
      </w:r>
      <w:r w:rsidRPr="00543567">
        <w:rPr>
          <w:rFonts w:eastAsia="Calibri"/>
        </w:rPr>
        <w:t xml:space="preserve">ultures: The Hofstede </w:t>
      </w:r>
      <w:r w:rsidR="00CD608C">
        <w:rPr>
          <w:rFonts w:eastAsia="Calibri"/>
        </w:rPr>
        <w:t>m</w:t>
      </w:r>
      <w:r w:rsidRPr="00543567">
        <w:rPr>
          <w:rFonts w:eastAsia="Calibri"/>
        </w:rPr>
        <w:t xml:space="preserve">odel in </w:t>
      </w:r>
      <w:r w:rsidR="00CD608C">
        <w:rPr>
          <w:rFonts w:eastAsia="Calibri"/>
        </w:rPr>
        <w:t>c</w:t>
      </w:r>
      <w:r w:rsidRPr="00543567">
        <w:rPr>
          <w:rFonts w:eastAsia="Calibri"/>
        </w:rPr>
        <w:t xml:space="preserve">ontext. </w:t>
      </w:r>
      <w:r w:rsidRPr="00543567">
        <w:rPr>
          <w:rFonts w:eastAsia="Calibri"/>
          <w:i/>
          <w:iCs/>
        </w:rPr>
        <w:t>Online Readings in Psychology and Culture</w:t>
      </w:r>
      <w:r w:rsidRPr="00543567">
        <w:rPr>
          <w:rFonts w:eastAsia="Calibri"/>
        </w:rPr>
        <w:t xml:space="preserve">, 2(1). </w:t>
      </w:r>
      <w:hyperlink r:id="rId57" w:history="1">
        <w:r w:rsidRPr="00543567">
          <w:rPr>
            <w:rFonts w:eastAsia="Calibri"/>
            <w:u w:val="single"/>
          </w:rPr>
          <w:t>https://doi.org/10.9707/2307-0919.1014</w:t>
        </w:r>
      </w:hyperlink>
    </w:p>
    <w:p w14:paraId="3EE5709E" w14:textId="0840671B" w:rsidR="00550AA7" w:rsidRPr="00543567" w:rsidRDefault="00550AA7" w:rsidP="00550AA7">
      <w:pPr>
        <w:adjustRightInd w:val="0"/>
        <w:ind w:left="567" w:hanging="567"/>
        <w:jc w:val="both"/>
      </w:pPr>
      <w:r w:rsidRPr="00543567">
        <w:t xml:space="preserve">Hofstede, G., Hofstede, G. J., &amp; Minkov, M. (2010). </w:t>
      </w:r>
      <w:r w:rsidRPr="00543567">
        <w:rPr>
          <w:i/>
          <w:iCs/>
        </w:rPr>
        <w:t xml:space="preserve">Cultures and </w:t>
      </w:r>
      <w:r w:rsidR="00CD608C">
        <w:rPr>
          <w:i/>
          <w:iCs/>
        </w:rPr>
        <w:t>o</w:t>
      </w:r>
      <w:r w:rsidRPr="00543567">
        <w:rPr>
          <w:i/>
          <w:iCs/>
        </w:rPr>
        <w:t xml:space="preserve">rganizations: Software of the </w:t>
      </w:r>
      <w:r w:rsidR="00CD608C">
        <w:rPr>
          <w:i/>
          <w:iCs/>
        </w:rPr>
        <w:t>m</w:t>
      </w:r>
      <w:r w:rsidRPr="00543567">
        <w:rPr>
          <w:i/>
          <w:iCs/>
        </w:rPr>
        <w:t>ind</w:t>
      </w:r>
      <w:r w:rsidRPr="00543567">
        <w:t>. Revised and Expanded 3rd Edition. New York: McGraw-Hill USA.</w:t>
      </w:r>
    </w:p>
    <w:p w14:paraId="031E331F" w14:textId="7B2C5E23" w:rsidR="00550AA7" w:rsidRPr="00543567" w:rsidRDefault="00550AA7" w:rsidP="00550AA7">
      <w:pPr>
        <w:adjustRightInd w:val="0"/>
        <w:ind w:left="567" w:hanging="567"/>
        <w:jc w:val="both"/>
      </w:pPr>
      <w:r w:rsidRPr="00543567">
        <w:t xml:space="preserve">House, R. J., Hanges, P. J., Javidan, M., Dorfman, P. W., &amp; Gupta, V. (Eds.). (2004). </w:t>
      </w:r>
      <w:r w:rsidRPr="00543567">
        <w:rPr>
          <w:i/>
          <w:iCs/>
        </w:rPr>
        <w:t xml:space="preserve">Culture, </w:t>
      </w:r>
      <w:r w:rsidR="00CD608C">
        <w:rPr>
          <w:i/>
          <w:iCs/>
        </w:rPr>
        <w:t>l</w:t>
      </w:r>
      <w:r w:rsidRPr="00543567">
        <w:rPr>
          <w:i/>
          <w:iCs/>
        </w:rPr>
        <w:t xml:space="preserve">eadership, and </w:t>
      </w:r>
      <w:r w:rsidR="00CD608C">
        <w:rPr>
          <w:i/>
          <w:iCs/>
        </w:rPr>
        <w:t>o</w:t>
      </w:r>
      <w:r w:rsidRPr="00543567">
        <w:rPr>
          <w:i/>
          <w:iCs/>
        </w:rPr>
        <w:t xml:space="preserve">rganizations: The </w:t>
      </w:r>
      <w:r w:rsidR="00CD608C">
        <w:rPr>
          <w:i/>
          <w:iCs/>
        </w:rPr>
        <w:t>g</w:t>
      </w:r>
      <w:r w:rsidRPr="00543567">
        <w:rPr>
          <w:i/>
          <w:iCs/>
        </w:rPr>
        <w:t xml:space="preserve">lobe </w:t>
      </w:r>
      <w:r w:rsidR="00CD608C">
        <w:rPr>
          <w:i/>
          <w:iCs/>
        </w:rPr>
        <w:t>s</w:t>
      </w:r>
      <w:r w:rsidRPr="00543567">
        <w:rPr>
          <w:i/>
          <w:iCs/>
        </w:rPr>
        <w:t xml:space="preserve">tudy of 62 </w:t>
      </w:r>
      <w:r w:rsidR="00CD608C">
        <w:rPr>
          <w:i/>
          <w:iCs/>
        </w:rPr>
        <w:t>s</w:t>
      </w:r>
      <w:r w:rsidRPr="00543567">
        <w:rPr>
          <w:i/>
          <w:iCs/>
        </w:rPr>
        <w:t>ocieties</w:t>
      </w:r>
      <w:r w:rsidRPr="00543567">
        <w:t xml:space="preserve">. Sage Publications. </w:t>
      </w:r>
    </w:p>
    <w:p w14:paraId="389BD7F2" w14:textId="3B642806" w:rsidR="00550AA7" w:rsidRPr="00543567" w:rsidRDefault="00550AA7" w:rsidP="00550AA7">
      <w:pPr>
        <w:adjustRightInd w:val="0"/>
        <w:ind w:left="567" w:hanging="567"/>
        <w:jc w:val="both"/>
      </w:pPr>
      <w:r w:rsidRPr="00543567">
        <w:t xml:space="preserve">Hsu, D. H. (2007). Experienced entrepreneurial founders, organizational capital, and venture capital funding. </w:t>
      </w:r>
      <w:r w:rsidRPr="00543567">
        <w:rPr>
          <w:i/>
          <w:iCs/>
        </w:rPr>
        <w:t>Research Policy</w:t>
      </w:r>
      <w:r w:rsidR="00CD608C">
        <w:rPr>
          <w:i/>
          <w:iCs/>
        </w:rPr>
        <w:t>,</w:t>
      </w:r>
      <w:r w:rsidRPr="00543567">
        <w:t xml:space="preserve"> </w:t>
      </w:r>
      <w:r w:rsidRPr="006B5D41">
        <w:rPr>
          <w:i/>
          <w:iCs/>
        </w:rPr>
        <w:t>36</w:t>
      </w:r>
      <w:r w:rsidR="006B5D41">
        <w:t>(5)</w:t>
      </w:r>
      <w:r w:rsidR="00CD608C">
        <w:t>,</w:t>
      </w:r>
      <w:r w:rsidRPr="00543567">
        <w:t xml:space="preserve"> 722–741.</w:t>
      </w:r>
      <w:r w:rsidR="00DE5460">
        <w:t xml:space="preserve"> </w:t>
      </w:r>
      <w:hyperlink r:id="rId58" w:history="1">
        <w:r w:rsidR="008F5933" w:rsidRPr="008F5933">
          <w:rPr>
            <w:rStyle w:val="Hyperlink"/>
          </w:rPr>
          <w:t>https://doi.org/10.1016/j.respol.2007.02.022</w:t>
        </w:r>
      </w:hyperlink>
    </w:p>
    <w:p w14:paraId="4DB834C9" w14:textId="0C603152" w:rsidR="00550AA7" w:rsidRPr="00DE5460" w:rsidRDefault="00550AA7" w:rsidP="00DE5460">
      <w:pPr>
        <w:adjustRightInd w:val="0"/>
        <w:ind w:left="567" w:hanging="567"/>
        <w:jc w:val="both"/>
        <w:rPr>
          <w:lang w:val="en-US"/>
        </w:rPr>
      </w:pPr>
      <w:r w:rsidRPr="00543567">
        <w:t xml:space="preserve">Hsu, D. H., &amp; Ziedonis, R. H. (2013). Resources as dual sources of advantage: Implications for valuing entrepreneurial-firm patents. </w:t>
      </w:r>
      <w:r w:rsidRPr="00543567">
        <w:rPr>
          <w:i/>
          <w:iCs/>
        </w:rPr>
        <w:t>Strategic Management Journal</w:t>
      </w:r>
      <w:r w:rsidR="00CD608C">
        <w:rPr>
          <w:i/>
          <w:iCs/>
        </w:rPr>
        <w:t>,</w:t>
      </w:r>
      <w:r w:rsidRPr="00DE5460">
        <w:rPr>
          <w:i/>
          <w:iCs/>
        </w:rPr>
        <w:t>34</w:t>
      </w:r>
      <w:r w:rsidR="00CD608C">
        <w:t>(</w:t>
      </w:r>
      <w:r w:rsidR="00DE5460">
        <w:t>7</w:t>
      </w:r>
      <w:r w:rsidR="00CD608C">
        <w:t>),</w:t>
      </w:r>
      <w:r w:rsidRPr="00543567">
        <w:t xml:space="preserve"> 761–781.</w:t>
      </w:r>
      <w:r w:rsidR="00DE5460" w:rsidRPr="00DE5460">
        <w:rPr>
          <w:rFonts w:ascii="Open Sans" w:hAnsi="Open Sans" w:cs="Open Sans"/>
          <w:color w:val="767676"/>
          <w:sz w:val="21"/>
          <w:szCs w:val="21"/>
          <w:shd w:val="clear" w:color="auto" w:fill="FFFFFF"/>
          <w:lang w:val="en-US" w:eastAsia="en-US"/>
        </w:rPr>
        <w:t xml:space="preserve"> </w:t>
      </w:r>
      <w:r w:rsidR="00DE5460" w:rsidRPr="00DE5460">
        <w:rPr>
          <w:lang w:val="en-US"/>
        </w:rPr>
        <w:t> </w:t>
      </w:r>
      <w:hyperlink r:id="rId59" w:history="1">
        <w:r w:rsidR="00DE5460" w:rsidRPr="00DE5460">
          <w:rPr>
            <w:rStyle w:val="Hyperlink"/>
            <w:lang w:val="en-US"/>
          </w:rPr>
          <w:t>https://doi.org/10.1002/smj.2037</w:t>
        </w:r>
      </w:hyperlink>
    </w:p>
    <w:p w14:paraId="2ECDD3A5" w14:textId="6150C0AC" w:rsidR="00550AA7" w:rsidRPr="00543567" w:rsidRDefault="00550AA7" w:rsidP="00550AA7">
      <w:pPr>
        <w:adjustRightInd w:val="0"/>
        <w:ind w:left="567" w:hanging="567"/>
        <w:jc w:val="both"/>
      </w:pPr>
      <w:r w:rsidRPr="00543567">
        <w:t xml:space="preserve">Jain, B. A., Jayaraman, N., &amp; Kini, O. (2008). The path-to-profitability of </w:t>
      </w:r>
      <w:r w:rsidR="00CD608C">
        <w:t>i</w:t>
      </w:r>
      <w:r w:rsidRPr="00543567">
        <w:t xml:space="preserve">nternet IPO firms. </w:t>
      </w:r>
      <w:r w:rsidRPr="00543567">
        <w:rPr>
          <w:i/>
          <w:iCs/>
        </w:rPr>
        <w:t>Journal</w:t>
      </w:r>
      <w:r w:rsidRPr="00543567">
        <w:t xml:space="preserve"> </w:t>
      </w:r>
      <w:r w:rsidRPr="00543567">
        <w:rPr>
          <w:i/>
          <w:iCs/>
        </w:rPr>
        <w:t>of Business Venturing</w:t>
      </w:r>
      <w:r w:rsidR="00CD608C">
        <w:rPr>
          <w:i/>
          <w:iCs/>
        </w:rPr>
        <w:t>,</w:t>
      </w:r>
      <w:r w:rsidRPr="00543567">
        <w:t xml:space="preserve"> </w:t>
      </w:r>
      <w:r w:rsidRPr="00092649">
        <w:rPr>
          <w:i/>
          <w:iCs/>
        </w:rPr>
        <w:t>23</w:t>
      </w:r>
      <w:r w:rsidR="00CD608C">
        <w:t>(</w:t>
      </w:r>
      <w:r w:rsidR="00092649">
        <w:t>2</w:t>
      </w:r>
      <w:r w:rsidR="00CD608C">
        <w:t>),</w:t>
      </w:r>
      <w:r w:rsidRPr="00543567">
        <w:t xml:space="preserve"> 165–194.</w:t>
      </w:r>
      <w:r w:rsidR="00092649" w:rsidRPr="00092649">
        <w:t xml:space="preserve"> </w:t>
      </w:r>
      <w:hyperlink r:id="rId60" w:tgtFrame="_blank" w:tooltip="Persistent link using digital object identifier" w:history="1">
        <w:r w:rsidR="00092649" w:rsidRPr="00092649">
          <w:rPr>
            <w:rStyle w:val="Hyperlink"/>
          </w:rPr>
          <w:t>https://doi.org/10.1016/j.jbusvent.2007.02.004</w:t>
        </w:r>
      </w:hyperlink>
    </w:p>
    <w:p w14:paraId="293D2581" w14:textId="71FC74ED" w:rsidR="00550AA7" w:rsidRPr="00543567" w:rsidRDefault="00550AA7" w:rsidP="00550AA7">
      <w:pPr>
        <w:ind w:left="540" w:hanging="540"/>
        <w:jc w:val="both"/>
        <w:rPr>
          <w:rFonts w:eastAsia="Calibri"/>
        </w:rPr>
      </w:pPr>
      <w:r w:rsidRPr="00543567">
        <w:rPr>
          <w:rFonts w:eastAsia="Calibri"/>
        </w:rPr>
        <w:t xml:space="preserve">Jang, S. (2017). Cultural brokerage and creative performance in multicultural teams. </w:t>
      </w:r>
      <w:r w:rsidRPr="00543567">
        <w:rPr>
          <w:rFonts w:eastAsia="Calibri"/>
          <w:i/>
          <w:iCs/>
        </w:rPr>
        <w:t>Organization Science</w:t>
      </w:r>
      <w:r w:rsidR="00CD608C">
        <w:rPr>
          <w:rFonts w:eastAsia="Calibri"/>
          <w:i/>
          <w:iCs/>
        </w:rPr>
        <w:t>,</w:t>
      </w:r>
      <w:r w:rsidRPr="00543567">
        <w:rPr>
          <w:rFonts w:eastAsia="Calibri"/>
        </w:rPr>
        <w:t xml:space="preserve"> </w:t>
      </w:r>
      <w:r w:rsidRPr="00962733">
        <w:rPr>
          <w:rFonts w:eastAsia="Calibri"/>
          <w:i/>
          <w:iCs/>
        </w:rPr>
        <w:t>28</w:t>
      </w:r>
      <w:r w:rsidR="00CD608C">
        <w:rPr>
          <w:rFonts w:eastAsia="Calibri"/>
        </w:rPr>
        <w:t>(</w:t>
      </w:r>
      <w:r w:rsidR="00962733">
        <w:rPr>
          <w:rFonts w:eastAsia="Calibri"/>
        </w:rPr>
        <w:t>6</w:t>
      </w:r>
      <w:r w:rsidR="00CD608C">
        <w:rPr>
          <w:rFonts w:eastAsia="Calibri"/>
        </w:rPr>
        <w:t>),</w:t>
      </w:r>
      <w:r w:rsidRPr="00543567">
        <w:rPr>
          <w:rFonts w:eastAsia="Calibri"/>
        </w:rPr>
        <w:t xml:space="preserve"> 993–1009.</w:t>
      </w:r>
      <w:r w:rsidR="00962733" w:rsidRPr="00962733">
        <w:t xml:space="preserve"> </w:t>
      </w:r>
      <w:hyperlink r:id="rId61" w:history="1">
        <w:r w:rsidR="00962733" w:rsidRPr="00962733">
          <w:rPr>
            <w:rStyle w:val="Hyperlink"/>
            <w:rFonts w:eastAsia="Calibri"/>
          </w:rPr>
          <w:t>https://doi.org/10.1287/orsc.2017.1162</w:t>
        </w:r>
      </w:hyperlink>
    </w:p>
    <w:p w14:paraId="29D4810F" w14:textId="7D1E9E42" w:rsidR="00550AA7" w:rsidRPr="00543567" w:rsidRDefault="00550AA7" w:rsidP="00550AA7">
      <w:pPr>
        <w:ind w:left="540" w:hanging="540"/>
        <w:jc w:val="both"/>
        <w:rPr>
          <w:rFonts w:eastAsia="Calibri"/>
          <w:lang w:eastAsia="en-US"/>
        </w:rPr>
      </w:pPr>
      <w:r w:rsidRPr="00543567">
        <w:rPr>
          <w:rFonts w:eastAsia="Calibri"/>
          <w:lang w:eastAsia="en-US"/>
        </w:rPr>
        <w:t>Jones</w:t>
      </w:r>
      <w:r w:rsidR="00CD608C">
        <w:rPr>
          <w:rFonts w:eastAsia="Calibri"/>
          <w:lang w:eastAsia="en-US"/>
        </w:rPr>
        <w:t>,</w:t>
      </w:r>
      <w:r w:rsidRPr="00543567">
        <w:rPr>
          <w:rFonts w:eastAsia="Calibri"/>
          <w:lang w:eastAsia="en-US"/>
        </w:rPr>
        <w:t xml:space="preserve"> G</w:t>
      </w:r>
      <w:r w:rsidR="00CD608C">
        <w:rPr>
          <w:rFonts w:eastAsia="Calibri"/>
          <w:lang w:eastAsia="en-US"/>
        </w:rPr>
        <w:t>,</w:t>
      </w:r>
      <w:r w:rsidRPr="00543567">
        <w:rPr>
          <w:rFonts w:eastAsia="Calibri"/>
          <w:lang w:eastAsia="en-US"/>
        </w:rPr>
        <w:t>, Chace</w:t>
      </w:r>
      <w:r w:rsidR="00CD608C">
        <w:rPr>
          <w:rFonts w:eastAsia="Calibri"/>
          <w:lang w:eastAsia="en-US"/>
        </w:rPr>
        <w:t>,</w:t>
      </w:r>
      <w:r w:rsidRPr="00543567">
        <w:rPr>
          <w:rFonts w:eastAsia="Calibri"/>
          <w:lang w:eastAsia="en-US"/>
        </w:rPr>
        <w:t xml:space="preserve"> B</w:t>
      </w:r>
      <w:r w:rsidR="00CD608C">
        <w:rPr>
          <w:rFonts w:eastAsia="Calibri"/>
          <w:lang w:eastAsia="en-US"/>
        </w:rPr>
        <w:t xml:space="preserve">. </w:t>
      </w:r>
      <w:r w:rsidRPr="00543567">
        <w:rPr>
          <w:rFonts w:eastAsia="Calibri"/>
          <w:lang w:eastAsia="en-US"/>
        </w:rPr>
        <w:t>C</w:t>
      </w:r>
      <w:r w:rsidR="00CD608C">
        <w:rPr>
          <w:rFonts w:eastAsia="Calibri"/>
          <w:lang w:eastAsia="en-US"/>
        </w:rPr>
        <w:t>.</w:t>
      </w:r>
      <w:r w:rsidRPr="00543567">
        <w:rPr>
          <w:rFonts w:eastAsia="Calibri"/>
          <w:lang w:eastAsia="en-US"/>
        </w:rPr>
        <w:t>, </w:t>
      </w:r>
      <w:r w:rsidR="00CD608C">
        <w:rPr>
          <w:rFonts w:eastAsia="Calibri"/>
          <w:lang w:eastAsia="en-US"/>
        </w:rPr>
        <w:t xml:space="preserve">&amp; </w:t>
      </w:r>
      <w:r w:rsidRPr="00543567">
        <w:rPr>
          <w:rFonts w:eastAsia="Calibri"/>
          <w:lang w:eastAsia="en-US"/>
        </w:rPr>
        <w:t>Wright</w:t>
      </w:r>
      <w:r w:rsidR="00CD608C">
        <w:rPr>
          <w:rFonts w:eastAsia="Calibri"/>
          <w:lang w:eastAsia="en-US"/>
        </w:rPr>
        <w:t>,</w:t>
      </w:r>
      <w:r w:rsidRPr="00543567">
        <w:rPr>
          <w:rFonts w:eastAsia="Calibri"/>
          <w:lang w:eastAsia="en-US"/>
        </w:rPr>
        <w:t xml:space="preserve"> J</w:t>
      </w:r>
      <w:r w:rsidR="00CD608C">
        <w:rPr>
          <w:rFonts w:eastAsia="Calibri"/>
          <w:lang w:eastAsia="en-US"/>
        </w:rPr>
        <w:t>.</w:t>
      </w:r>
      <w:r w:rsidRPr="00543567">
        <w:rPr>
          <w:rFonts w:eastAsia="Calibri"/>
          <w:lang w:eastAsia="en-US"/>
        </w:rPr>
        <w:t xml:space="preserve"> (2020)</w:t>
      </w:r>
      <w:r w:rsidR="00CD608C">
        <w:rPr>
          <w:rFonts w:eastAsia="Calibri"/>
          <w:lang w:eastAsia="en-US"/>
        </w:rPr>
        <w:t>.</w:t>
      </w:r>
      <w:r w:rsidRPr="00543567">
        <w:rPr>
          <w:rFonts w:eastAsia="Calibri"/>
          <w:lang w:eastAsia="en-US"/>
        </w:rPr>
        <w:t xml:space="preserve"> Cultural diversity drives innovation: Empowering teams for success. </w:t>
      </w:r>
      <w:r w:rsidRPr="00543567">
        <w:rPr>
          <w:rFonts w:eastAsia="Calibri"/>
          <w:i/>
          <w:iCs/>
          <w:lang w:eastAsia="en-US"/>
        </w:rPr>
        <w:t>International Journal of Innovation Science</w:t>
      </w:r>
      <w:r w:rsidR="00CD608C">
        <w:rPr>
          <w:rFonts w:eastAsia="Calibri"/>
          <w:i/>
          <w:iCs/>
          <w:lang w:eastAsia="en-US"/>
        </w:rPr>
        <w:t>,</w:t>
      </w:r>
      <w:r w:rsidRPr="00543567">
        <w:rPr>
          <w:rFonts w:eastAsia="Calibri"/>
          <w:lang w:eastAsia="en-US"/>
        </w:rPr>
        <w:t xml:space="preserve"> </w:t>
      </w:r>
      <w:r w:rsidRPr="00962733">
        <w:rPr>
          <w:rFonts w:eastAsia="Calibri"/>
          <w:i/>
          <w:iCs/>
          <w:lang w:eastAsia="en-US"/>
        </w:rPr>
        <w:t>12</w:t>
      </w:r>
      <w:r w:rsidR="00962733">
        <w:rPr>
          <w:rFonts w:eastAsia="Calibri"/>
          <w:lang w:eastAsia="en-US"/>
        </w:rPr>
        <w:t>(3)</w:t>
      </w:r>
      <w:r w:rsidR="00CD608C">
        <w:rPr>
          <w:rFonts w:eastAsia="Calibri"/>
          <w:lang w:eastAsia="en-US"/>
        </w:rPr>
        <w:t>,</w:t>
      </w:r>
      <w:r w:rsidRPr="00543567">
        <w:rPr>
          <w:rFonts w:eastAsia="Calibri"/>
          <w:lang w:eastAsia="en-US"/>
        </w:rPr>
        <w:t xml:space="preserve"> 323-343.</w:t>
      </w:r>
      <w:r w:rsidR="00962733" w:rsidRPr="00962733">
        <w:t xml:space="preserve"> </w:t>
      </w:r>
      <w:hyperlink r:id="rId62" w:tgtFrame="_blank" w:history="1">
        <w:r w:rsidR="00962733" w:rsidRPr="00962733">
          <w:rPr>
            <w:rStyle w:val="Hyperlink"/>
            <w:rFonts w:eastAsia="Calibri"/>
            <w:lang w:eastAsia="en-US"/>
          </w:rPr>
          <w:t>https://doi.org/10.1108/IJIS-04-2020-0042</w:t>
        </w:r>
      </w:hyperlink>
    </w:p>
    <w:p w14:paraId="5867E2F5" w14:textId="1AAA350D" w:rsidR="00550AA7" w:rsidRPr="00543567" w:rsidRDefault="00550AA7" w:rsidP="00550AA7">
      <w:pPr>
        <w:adjustRightInd w:val="0"/>
        <w:ind w:left="567" w:hanging="567"/>
        <w:jc w:val="both"/>
        <w:rPr>
          <w:shd w:val="clear" w:color="auto" w:fill="FFFFFF"/>
        </w:rPr>
      </w:pPr>
      <w:r w:rsidRPr="00543567">
        <w:rPr>
          <w:shd w:val="clear" w:color="auto" w:fill="FFFFFF"/>
        </w:rPr>
        <w:t xml:space="preserve">Kaufmann, D., Kraay, A., &amp; Mastruzzi, M. (2011). The worldwide governance indicators: methodology and analytical issues. </w:t>
      </w:r>
      <w:r w:rsidRPr="00543567">
        <w:rPr>
          <w:i/>
          <w:iCs/>
          <w:shd w:val="clear" w:color="auto" w:fill="FFFFFF"/>
        </w:rPr>
        <w:t>Hague Journal on the Rule of Law</w:t>
      </w:r>
      <w:r w:rsidR="00C90699">
        <w:rPr>
          <w:i/>
          <w:iCs/>
          <w:shd w:val="clear" w:color="auto" w:fill="FFFFFF"/>
        </w:rPr>
        <w:t>,</w:t>
      </w:r>
      <w:r w:rsidRPr="00543567">
        <w:rPr>
          <w:shd w:val="clear" w:color="auto" w:fill="FFFFFF"/>
        </w:rPr>
        <w:t xml:space="preserve"> </w:t>
      </w:r>
      <w:r w:rsidRPr="0068650C">
        <w:rPr>
          <w:i/>
          <w:iCs/>
          <w:shd w:val="clear" w:color="auto" w:fill="FFFFFF"/>
        </w:rPr>
        <w:t>3</w:t>
      </w:r>
      <w:r w:rsidR="0068650C">
        <w:rPr>
          <w:shd w:val="clear" w:color="auto" w:fill="FFFFFF"/>
        </w:rPr>
        <w:t>(2)</w:t>
      </w:r>
      <w:r w:rsidR="00C90699">
        <w:rPr>
          <w:shd w:val="clear" w:color="auto" w:fill="FFFFFF"/>
        </w:rPr>
        <w:t>,</w:t>
      </w:r>
      <w:r w:rsidRPr="00543567">
        <w:rPr>
          <w:shd w:val="clear" w:color="auto" w:fill="FFFFFF"/>
        </w:rPr>
        <w:t xml:space="preserve"> 220–246.</w:t>
      </w:r>
      <w:r w:rsidR="0068650C" w:rsidRPr="0068650C">
        <w:rPr>
          <w:rFonts w:ascii="Merriweather Sans" w:hAnsi="Merriweather Sans"/>
          <w:color w:val="222222"/>
          <w:shd w:val="clear" w:color="auto" w:fill="FFFFFF"/>
        </w:rPr>
        <w:t xml:space="preserve"> </w:t>
      </w:r>
      <w:r w:rsidR="0068650C" w:rsidRPr="0068650C">
        <w:rPr>
          <w:shd w:val="clear" w:color="auto" w:fill="FFFFFF"/>
        </w:rPr>
        <w:t>https://doi.org/10.1017/S1876404511200046</w:t>
      </w:r>
    </w:p>
    <w:p w14:paraId="247AA7EC" w14:textId="603BAFEA" w:rsidR="00550AA7" w:rsidRPr="00543567" w:rsidRDefault="00550AA7" w:rsidP="00550AA7">
      <w:pPr>
        <w:adjustRightInd w:val="0"/>
        <w:ind w:left="567" w:hanging="567"/>
        <w:jc w:val="both"/>
      </w:pPr>
      <w:r w:rsidRPr="00543567">
        <w:lastRenderedPageBreak/>
        <w:t>Kempner, R. (2019). Foreword. In: Roberts</w:t>
      </w:r>
      <w:r w:rsidR="00F80097">
        <w:t>,</w:t>
      </w:r>
      <w:r w:rsidRPr="00543567">
        <w:t xml:space="preserve"> P</w:t>
      </w:r>
      <w:r w:rsidR="00F80097">
        <w:t xml:space="preserve">. </w:t>
      </w:r>
      <w:r w:rsidRPr="00543567">
        <w:t>W</w:t>
      </w:r>
      <w:r w:rsidR="00F80097">
        <w:t>.</w:t>
      </w:r>
      <w:r w:rsidRPr="00543567">
        <w:t>,</w:t>
      </w:r>
      <w:r w:rsidR="00F80097">
        <w:t xml:space="preserve"> &amp;</w:t>
      </w:r>
      <w:r w:rsidRPr="00543567">
        <w:t xml:space="preserve"> Lall</w:t>
      </w:r>
      <w:r w:rsidR="00F80097">
        <w:t>,</w:t>
      </w:r>
      <w:r w:rsidRPr="00543567">
        <w:t xml:space="preserve"> S</w:t>
      </w:r>
      <w:r w:rsidR="00F80097">
        <w:t xml:space="preserve">. </w:t>
      </w:r>
      <w:r w:rsidRPr="00543567">
        <w:t>A</w:t>
      </w:r>
      <w:r w:rsidR="00F80097">
        <w:t>. (Editors)</w:t>
      </w:r>
      <w:r w:rsidRPr="00543567">
        <w:t xml:space="preserve">, </w:t>
      </w:r>
      <w:r w:rsidRPr="00543567">
        <w:rPr>
          <w:i/>
          <w:iCs/>
        </w:rPr>
        <w:t xml:space="preserve">Observing </w:t>
      </w:r>
      <w:r w:rsidR="00F80097">
        <w:rPr>
          <w:i/>
          <w:iCs/>
        </w:rPr>
        <w:t>a</w:t>
      </w:r>
      <w:r w:rsidRPr="00543567">
        <w:rPr>
          <w:i/>
          <w:iCs/>
        </w:rPr>
        <w:t xml:space="preserve">cceleration </w:t>
      </w:r>
      <w:r w:rsidR="00F80097">
        <w:rPr>
          <w:i/>
          <w:iCs/>
        </w:rPr>
        <w:t>u</w:t>
      </w:r>
      <w:r w:rsidRPr="00543567">
        <w:rPr>
          <w:i/>
          <w:iCs/>
        </w:rPr>
        <w:t xml:space="preserve">ncovering the </w:t>
      </w:r>
      <w:r w:rsidR="00F80097">
        <w:rPr>
          <w:i/>
          <w:iCs/>
        </w:rPr>
        <w:t>e</w:t>
      </w:r>
      <w:r w:rsidRPr="00543567">
        <w:rPr>
          <w:i/>
          <w:iCs/>
        </w:rPr>
        <w:t xml:space="preserve">ffects of </w:t>
      </w:r>
      <w:r w:rsidR="00F80097">
        <w:rPr>
          <w:i/>
          <w:iCs/>
        </w:rPr>
        <w:t>a</w:t>
      </w:r>
      <w:r w:rsidRPr="00543567">
        <w:rPr>
          <w:i/>
          <w:iCs/>
        </w:rPr>
        <w:t xml:space="preserve">ccelerators on </w:t>
      </w:r>
      <w:r w:rsidR="00F80097">
        <w:rPr>
          <w:i/>
          <w:iCs/>
        </w:rPr>
        <w:t>i</w:t>
      </w:r>
      <w:r w:rsidRPr="00543567">
        <w:rPr>
          <w:i/>
          <w:iCs/>
        </w:rPr>
        <w:t>mpact-</w:t>
      </w:r>
      <w:r w:rsidR="00F80097">
        <w:rPr>
          <w:i/>
          <w:iCs/>
        </w:rPr>
        <w:t>o</w:t>
      </w:r>
      <w:r w:rsidRPr="00543567">
        <w:rPr>
          <w:i/>
          <w:iCs/>
        </w:rPr>
        <w:t xml:space="preserve">riented </w:t>
      </w:r>
      <w:r w:rsidR="00F80097">
        <w:rPr>
          <w:i/>
          <w:iCs/>
        </w:rPr>
        <w:t>e</w:t>
      </w:r>
      <w:r w:rsidRPr="00543567">
        <w:rPr>
          <w:i/>
          <w:iCs/>
        </w:rPr>
        <w:t>ntrepreneurs</w:t>
      </w:r>
      <w:r w:rsidRPr="00543567">
        <w:t>. Palgrave Macmilan.</w:t>
      </w:r>
    </w:p>
    <w:p w14:paraId="1088D730" w14:textId="0EC1FCEE" w:rsidR="00550AA7" w:rsidRPr="00543567" w:rsidRDefault="00550AA7" w:rsidP="00550AA7">
      <w:pPr>
        <w:adjustRightInd w:val="0"/>
        <w:ind w:left="567" w:hanging="567"/>
        <w:jc w:val="both"/>
      </w:pPr>
      <w:r w:rsidRPr="00543567">
        <w:t xml:space="preserve">Klotz, A. C., Hmieleski, K. M., Bradley, B. H., &amp; Busenitz, L. W. (2014). New venture teams: A review of the literature and Roadmap for Future Research. </w:t>
      </w:r>
      <w:r w:rsidRPr="00543567">
        <w:rPr>
          <w:i/>
          <w:iCs/>
        </w:rPr>
        <w:t>Journal of Management</w:t>
      </w:r>
      <w:r w:rsidR="005E2EAC">
        <w:rPr>
          <w:i/>
          <w:iCs/>
        </w:rPr>
        <w:t>,</w:t>
      </w:r>
      <w:r w:rsidRPr="00543567">
        <w:t xml:space="preserve"> </w:t>
      </w:r>
      <w:r w:rsidRPr="0068650C">
        <w:rPr>
          <w:i/>
          <w:iCs/>
        </w:rPr>
        <w:t>40</w:t>
      </w:r>
      <w:r w:rsidR="0068650C">
        <w:t>(1),</w:t>
      </w:r>
      <w:r w:rsidRPr="00543567">
        <w:t xml:space="preserve"> 226–255.</w:t>
      </w:r>
      <w:r w:rsidR="0068650C" w:rsidRPr="0068650C">
        <w:t xml:space="preserve"> </w:t>
      </w:r>
      <w:hyperlink r:id="rId63" w:history="1">
        <w:r w:rsidR="0068650C" w:rsidRPr="0068650C">
          <w:rPr>
            <w:rStyle w:val="Hyperlink"/>
          </w:rPr>
          <w:t>https://doi.org/10.1177/0149206313493325</w:t>
        </w:r>
      </w:hyperlink>
    </w:p>
    <w:p w14:paraId="6CB406BB" w14:textId="4310FBB2" w:rsidR="00550AA7" w:rsidRPr="00543567" w:rsidRDefault="00550AA7" w:rsidP="00550AA7">
      <w:pPr>
        <w:adjustRightInd w:val="0"/>
        <w:ind w:left="567" w:hanging="567"/>
        <w:jc w:val="both"/>
        <w:rPr>
          <w:rFonts w:eastAsia="CharisSIL"/>
        </w:rPr>
      </w:pPr>
      <w:r w:rsidRPr="00543567">
        <w:t xml:space="preserve">Ko, E. J., &amp; McKelvie, A. (2018). Signaling for more money: The roles of founders' human capital and investor prominence in resource acquisition across different stages of firm development. </w:t>
      </w:r>
      <w:r w:rsidRPr="00543567">
        <w:rPr>
          <w:rFonts w:eastAsia="CharisSIL"/>
          <w:i/>
          <w:iCs/>
        </w:rPr>
        <w:t>Journal of Business Venturing</w:t>
      </w:r>
      <w:r w:rsidR="00682E4F">
        <w:rPr>
          <w:rFonts w:eastAsia="CharisSIL"/>
          <w:i/>
          <w:iCs/>
        </w:rPr>
        <w:t>,</w:t>
      </w:r>
      <w:r w:rsidRPr="00543567">
        <w:rPr>
          <w:rFonts w:eastAsia="CharisSIL"/>
        </w:rPr>
        <w:t xml:space="preserve"> </w:t>
      </w:r>
      <w:r w:rsidRPr="00682E4F">
        <w:rPr>
          <w:rFonts w:eastAsia="CharisSIL"/>
          <w:i/>
          <w:iCs/>
        </w:rPr>
        <w:t>33</w:t>
      </w:r>
      <w:r w:rsidR="00682E4F">
        <w:rPr>
          <w:rFonts w:eastAsia="CharisSIL"/>
        </w:rPr>
        <w:t>(4),</w:t>
      </w:r>
      <w:r w:rsidRPr="00543567">
        <w:rPr>
          <w:rFonts w:eastAsia="CharisSIL"/>
        </w:rPr>
        <w:t xml:space="preserve"> 438–454. </w:t>
      </w:r>
      <w:hyperlink r:id="rId64" w:tgtFrame="_blank" w:tooltip="Persistent link using digital object identifier" w:history="1">
        <w:r w:rsidR="00DD7674" w:rsidRPr="00DD7674">
          <w:rPr>
            <w:rStyle w:val="Hyperlink"/>
            <w:rFonts w:eastAsia="CharisSIL"/>
          </w:rPr>
          <w:t>https://doi.org/10.1016/j.jbusvent.2018.03.001</w:t>
        </w:r>
      </w:hyperlink>
    </w:p>
    <w:p w14:paraId="517319E9" w14:textId="7D94AF35" w:rsidR="00550AA7" w:rsidRPr="00543567" w:rsidRDefault="00550AA7" w:rsidP="00550AA7">
      <w:pPr>
        <w:adjustRightInd w:val="0"/>
        <w:ind w:left="567" w:hanging="567"/>
        <w:jc w:val="both"/>
        <w:rPr>
          <w:shd w:val="clear" w:color="auto" w:fill="FFFFFF"/>
        </w:rPr>
      </w:pPr>
      <w:r w:rsidRPr="00543567">
        <w:rPr>
          <w:shd w:val="clear" w:color="auto" w:fill="FFFFFF"/>
        </w:rPr>
        <w:t>Kogut, B., &amp; Singh, H. (1988). The effect of national culture on the choice of entry mode. </w:t>
      </w:r>
      <w:r w:rsidRPr="00543567">
        <w:rPr>
          <w:i/>
          <w:iCs/>
        </w:rPr>
        <w:t>Journal of International Business Studie</w:t>
      </w:r>
      <w:r w:rsidRPr="00543567">
        <w:rPr>
          <w:i/>
          <w:iCs/>
          <w:shd w:val="clear" w:color="auto" w:fill="FFFFFF"/>
        </w:rPr>
        <w:t>s</w:t>
      </w:r>
      <w:r w:rsidR="006968D2">
        <w:rPr>
          <w:i/>
          <w:iCs/>
          <w:shd w:val="clear" w:color="auto" w:fill="FFFFFF"/>
        </w:rPr>
        <w:t>,</w:t>
      </w:r>
      <w:r w:rsidRPr="00543567">
        <w:rPr>
          <w:shd w:val="clear" w:color="auto" w:fill="FFFFFF"/>
        </w:rPr>
        <w:t> </w:t>
      </w:r>
      <w:r w:rsidRPr="006968D2">
        <w:rPr>
          <w:i/>
          <w:iCs/>
        </w:rPr>
        <w:t>19</w:t>
      </w:r>
      <w:r w:rsidR="006968D2">
        <w:t>(3),</w:t>
      </w:r>
      <w:r w:rsidRPr="00543567">
        <w:rPr>
          <w:shd w:val="clear" w:color="auto" w:fill="FFFFFF"/>
        </w:rPr>
        <w:t xml:space="preserve"> 411–432.</w:t>
      </w:r>
      <w:r w:rsidR="006968D2" w:rsidRPr="006968D2">
        <w:rPr>
          <w:rFonts w:ascii="Merriweather Sans" w:hAnsi="Merriweather Sans"/>
          <w:color w:val="222222"/>
          <w:shd w:val="clear" w:color="auto" w:fill="FFFFFF"/>
        </w:rPr>
        <w:t xml:space="preserve"> </w:t>
      </w:r>
      <w:r w:rsidR="006968D2" w:rsidRPr="006968D2">
        <w:rPr>
          <w:shd w:val="clear" w:color="auto" w:fill="FFFFFF"/>
        </w:rPr>
        <w:t>https://doi.org/10.1057/palgrave.jibs.8490394</w:t>
      </w:r>
    </w:p>
    <w:p w14:paraId="47B5E1BA" w14:textId="4C127266" w:rsidR="00550AA7" w:rsidRPr="005E2EAC" w:rsidRDefault="00550AA7" w:rsidP="00550AA7">
      <w:pPr>
        <w:adjustRightInd w:val="0"/>
        <w:ind w:left="567" w:hanging="567"/>
        <w:jc w:val="both"/>
        <w:rPr>
          <w:rFonts w:eastAsia="Calibri"/>
          <w:lang w:val="en-US"/>
        </w:rPr>
      </w:pPr>
      <w:r w:rsidRPr="00543567">
        <w:rPr>
          <w:rFonts w:eastAsia="Calibri"/>
        </w:rPr>
        <w:t xml:space="preserve">Kreiser, P. M., Marino, L. D., Dickson, P., &amp; Weaver, K. M. (2010). Cultural </w:t>
      </w:r>
      <w:r w:rsidR="00F80097">
        <w:rPr>
          <w:rFonts w:eastAsia="Calibri"/>
        </w:rPr>
        <w:t>i</w:t>
      </w:r>
      <w:r w:rsidRPr="00543567">
        <w:rPr>
          <w:rFonts w:eastAsia="Calibri"/>
        </w:rPr>
        <w:t xml:space="preserve">nfluences on </w:t>
      </w:r>
      <w:r w:rsidR="00F80097">
        <w:rPr>
          <w:rFonts w:eastAsia="Calibri"/>
        </w:rPr>
        <w:t>e</w:t>
      </w:r>
      <w:r w:rsidRPr="00543567">
        <w:rPr>
          <w:rFonts w:eastAsia="Calibri"/>
        </w:rPr>
        <w:t xml:space="preserve">ntrepreneurial </w:t>
      </w:r>
      <w:r w:rsidR="00F80097">
        <w:rPr>
          <w:rFonts w:eastAsia="Calibri"/>
        </w:rPr>
        <w:t>o</w:t>
      </w:r>
      <w:r w:rsidRPr="00543567">
        <w:rPr>
          <w:rFonts w:eastAsia="Calibri"/>
        </w:rPr>
        <w:t xml:space="preserve">rientation: The </w:t>
      </w:r>
      <w:r w:rsidR="00F80097">
        <w:rPr>
          <w:rFonts w:eastAsia="Calibri"/>
        </w:rPr>
        <w:t>i</w:t>
      </w:r>
      <w:r w:rsidRPr="00543567">
        <w:rPr>
          <w:rFonts w:eastAsia="Calibri"/>
        </w:rPr>
        <w:t xml:space="preserve">mpact of </w:t>
      </w:r>
      <w:r w:rsidR="00F80097">
        <w:rPr>
          <w:rFonts w:eastAsia="Calibri"/>
        </w:rPr>
        <w:t>n</w:t>
      </w:r>
      <w:r w:rsidRPr="00543567">
        <w:rPr>
          <w:rFonts w:eastAsia="Calibri"/>
        </w:rPr>
        <w:t xml:space="preserve">ational </w:t>
      </w:r>
      <w:r w:rsidR="00F80097">
        <w:rPr>
          <w:rFonts w:eastAsia="Calibri"/>
        </w:rPr>
        <w:t>c</w:t>
      </w:r>
      <w:r w:rsidRPr="00543567">
        <w:rPr>
          <w:rFonts w:eastAsia="Calibri"/>
        </w:rPr>
        <w:t xml:space="preserve">ulture on </w:t>
      </w:r>
      <w:r w:rsidR="00F80097">
        <w:rPr>
          <w:rFonts w:eastAsia="Calibri"/>
        </w:rPr>
        <w:t>r</w:t>
      </w:r>
      <w:r w:rsidRPr="00543567">
        <w:rPr>
          <w:rFonts w:eastAsia="Calibri"/>
        </w:rPr>
        <w:t xml:space="preserve">isk </w:t>
      </w:r>
      <w:r w:rsidR="00F80097">
        <w:rPr>
          <w:rFonts w:eastAsia="Calibri"/>
        </w:rPr>
        <w:t>t</w:t>
      </w:r>
      <w:r w:rsidRPr="00543567">
        <w:rPr>
          <w:rFonts w:eastAsia="Calibri"/>
        </w:rPr>
        <w:t xml:space="preserve">aking and </w:t>
      </w:r>
      <w:r w:rsidR="00F80097">
        <w:rPr>
          <w:rFonts w:eastAsia="Calibri"/>
        </w:rPr>
        <w:t>p</w:t>
      </w:r>
      <w:r w:rsidRPr="00543567">
        <w:rPr>
          <w:rFonts w:eastAsia="Calibri"/>
        </w:rPr>
        <w:t xml:space="preserve">roactiveness in SMEs. </w:t>
      </w:r>
      <w:r w:rsidRPr="00543567">
        <w:rPr>
          <w:rFonts w:eastAsia="Calibri"/>
          <w:i/>
          <w:iCs/>
        </w:rPr>
        <w:t>Entrepreneurship Theory and Practice</w:t>
      </w:r>
      <w:r w:rsidR="006968D2" w:rsidRPr="006968D2">
        <w:rPr>
          <w:rFonts w:eastAsia="Calibri"/>
        </w:rPr>
        <w:t>,</w:t>
      </w:r>
      <w:r w:rsidRPr="006968D2">
        <w:rPr>
          <w:rFonts w:eastAsia="Calibri"/>
        </w:rPr>
        <w:t xml:space="preserve"> </w:t>
      </w:r>
      <w:r w:rsidRPr="006968D2">
        <w:rPr>
          <w:rFonts w:eastAsia="Calibri"/>
          <w:i/>
          <w:iCs/>
        </w:rPr>
        <w:t>34</w:t>
      </w:r>
      <w:r w:rsidR="006968D2">
        <w:rPr>
          <w:rFonts w:eastAsia="Calibri"/>
        </w:rPr>
        <w:t>(5),</w:t>
      </w:r>
      <w:r w:rsidRPr="00543567">
        <w:rPr>
          <w:rFonts w:eastAsia="Calibri"/>
        </w:rPr>
        <w:t xml:space="preserve"> 959–983. </w:t>
      </w:r>
      <w:hyperlink r:id="rId65" w:history="1">
        <w:r w:rsidR="006968D2" w:rsidRPr="005E2EAC">
          <w:rPr>
            <w:rStyle w:val="Hyperlink"/>
            <w:rFonts w:eastAsia="Calibri"/>
            <w:lang w:val="en-US"/>
          </w:rPr>
          <w:t>https://doi.org/10.1111/j.1540-6520.2010.00396.x</w:t>
        </w:r>
      </w:hyperlink>
    </w:p>
    <w:p w14:paraId="27A16D7F" w14:textId="7ABB8D7D" w:rsidR="00550AA7" w:rsidRPr="006968D2" w:rsidRDefault="00550AA7" w:rsidP="006968D2">
      <w:pPr>
        <w:adjustRightInd w:val="0"/>
        <w:ind w:left="567" w:hanging="567"/>
        <w:jc w:val="both"/>
        <w:rPr>
          <w:lang w:val="en-US"/>
        </w:rPr>
      </w:pPr>
      <w:r w:rsidRPr="005E2EAC">
        <w:rPr>
          <w:lang w:val="en-US"/>
        </w:rPr>
        <w:t xml:space="preserve">Kulkarni, A., Tzabbar, D., &amp; Lo, J. Y. (2024). </w:t>
      </w:r>
      <w:r w:rsidRPr="00543567">
        <w:t xml:space="preserve">Are we on the same wavelength? Interdimensional signal set and crowdfunding success. </w:t>
      </w:r>
      <w:r w:rsidRPr="00543567">
        <w:rPr>
          <w:i/>
          <w:iCs/>
        </w:rPr>
        <w:t>Strategic Entrepreneurship Journal</w:t>
      </w:r>
      <w:r w:rsidR="006968D2">
        <w:rPr>
          <w:i/>
          <w:iCs/>
        </w:rPr>
        <w:t>,</w:t>
      </w:r>
      <w:r w:rsidRPr="00543567">
        <w:t xml:space="preserve"> </w:t>
      </w:r>
      <w:r w:rsidRPr="006968D2">
        <w:rPr>
          <w:i/>
          <w:iCs/>
        </w:rPr>
        <w:t>18</w:t>
      </w:r>
      <w:r w:rsidR="006968D2">
        <w:t>(3),</w:t>
      </w:r>
      <w:r w:rsidRPr="00543567">
        <w:t xml:space="preserve"> 620–640.</w:t>
      </w:r>
      <w:r w:rsidR="006968D2" w:rsidRPr="006968D2">
        <w:rPr>
          <w:rFonts w:ascii="Open Sans" w:hAnsi="Open Sans" w:cs="Open Sans"/>
          <w:color w:val="767676"/>
          <w:sz w:val="21"/>
          <w:szCs w:val="21"/>
          <w:shd w:val="clear" w:color="auto" w:fill="FFFFFF"/>
          <w:lang w:val="en-US" w:eastAsia="en-US"/>
        </w:rPr>
        <w:t xml:space="preserve"> </w:t>
      </w:r>
      <w:r w:rsidR="006968D2" w:rsidRPr="006968D2">
        <w:rPr>
          <w:lang w:val="en-US"/>
        </w:rPr>
        <w:t> </w:t>
      </w:r>
      <w:hyperlink r:id="rId66" w:history="1">
        <w:r w:rsidR="006968D2" w:rsidRPr="006968D2">
          <w:rPr>
            <w:rStyle w:val="Hyperlink"/>
            <w:lang w:val="en-US"/>
          </w:rPr>
          <w:t>https://doi.org/10.1002/sej.1514</w:t>
        </w:r>
      </w:hyperlink>
    </w:p>
    <w:p w14:paraId="76F25B34" w14:textId="082FFDD5" w:rsidR="00550AA7" w:rsidRPr="00543567" w:rsidRDefault="00550AA7" w:rsidP="00550AA7">
      <w:pPr>
        <w:adjustRightInd w:val="0"/>
        <w:ind w:left="567" w:hanging="567"/>
        <w:jc w:val="both"/>
      </w:pPr>
      <w:r w:rsidRPr="00543567">
        <w:t xml:space="preserve">Lall, S. A., Chen, L. W., &amp; Roberts, P. W. (2020). Are we accelerating equity investment into impact-oriented ventures? </w:t>
      </w:r>
      <w:r w:rsidRPr="00543567">
        <w:rPr>
          <w:i/>
          <w:iCs/>
        </w:rPr>
        <w:t>World Development</w:t>
      </w:r>
      <w:r w:rsidR="006968D2">
        <w:rPr>
          <w:i/>
          <w:iCs/>
        </w:rPr>
        <w:t>,</w:t>
      </w:r>
      <w:r w:rsidRPr="00543567">
        <w:t xml:space="preserve"> </w:t>
      </w:r>
      <w:r w:rsidRPr="006968D2">
        <w:rPr>
          <w:i/>
          <w:iCs/>
        </w:rPr>
        <w:t>131</w:t>
      </w:r>
      <w:r w:rsidR="006968D2">
        <w:t>,</w:t>
      </w:r>
      <w:r w:rsidRPr="00543567">
        <w:t xml:space="preserve"> 104952.</w:t>
      </w:r>
      <w:r w:rsidR="006968D2" w:rsidRPr="006968D2">
        <w:t xml:space="preserve"> </w:t>
      </w:r>
      <w:hyperlink r:id="rId67" w:tgtFrame="_blank" w:tooltip="Persistent link using digital object identifier" w:history="1">
        <w:r w:rsidR="006968D2" w:rsidRPr="006968D2">
          <w:rPr>
            <w:rStyle w:val="Hyperlink"/>
          </w:rPr>
          <w:t>https://doi.org/10.1016/j.worlddev.2020.104952</w:t>
        </w:r>
      </w:hyperlink>
    </w:p>
    <w:p w14:paraId="4AA1D153" w14:textId="34298CF3" w:rsidR="00550AA7" w:rsidRPr="00543567" w:rsidRDefault="00550AA7" w:rsidP="00550AA7">
      <w:pPr>
        <w:adjustRightInd w:val="0"/>
        <w:ind w:left="567" w:hanging="567"/>
        <w:jc w:val="both"/>
      </w:pPr>
      <w:r w:rsidRPr="00543567">
        <w:t xml:space="preserve">Lazear, E. P. (2005). Entrepreneurship. </w:t>
      </w:r>
      <w:r w:rsidRPr="00543567">
        <w:rPr>
          <w:i/>
          <w:iCs/>
        </w:rPr>
        <w:t>Journal of Labor Economics</w:t>
      </w:r>
      <w:r w:rsidR="006968D2">
        <w:rPr>
          <w:i/>
          <w:iCs/>
        </w:rPr>
        <w:t>,</w:t>
      </w:r>
      <w:r w:rsidRPr="00543567">
        <w:t xml:space="preserve"> </w:t>
      </w:r>
      <w:r w:rsidRPr="006968D2">
        <w:rPr>
          <w:i/>
          <w:iCs/>
        </w:rPr>
        <w:t>23</w:t>
      </w:r>
      <w:r w:rsidR="006968D2">
        <w:t>(4),</w:t>
      </w:r>
      <w:r w:rsidRPr="00543567">
        <w:t xml:space="preserve"> 649–680.</w:t>
      </w:r>
      <w:r w:rsidR="006968D2" w:rsidRPr="006968D2">
        <w:rPr>
          <w:rFonts w:ascii="Helvetica" w:hAnsi="Helvetica"/>
          <w:color w:val="000000"/>
          <w:spacing w:val="-5"/>
          <w:u w:val="single"/>
        </w:rPr>
        <w:t xml:space="preserve"> </w:t>
      </w:r>
      <w:r w:rsidR="006968D2" w:rsidRPr="006968D2">
        <w:rPr>
          <w:u w:val="single"/>
        </w:rPr>
        <w:t>https://doi.org/10.1086/491605</w:t>
      </w:r>
    </w:p>
    <w:p w14:paraId="3CE84B86" w14:textId="11779ECF" w:rsidR="00550AA7" w:rsidRPr="00543567" w:rsidRDefault="00550AA7" w:rsidP="00550AA7">
      <w:pPr>
        <w:adjustRightInd w:val="0"/>
        <w:ind w:left="567" w:hanging="567"/>
        <w:jc w:val="both"/>
      </w:pPr>
      <w:r w:rsidRPr="00543567">
        <w:t xml:space="preserve">Leatherbee, M., &amp; Gonzalez-Uribe, J. (2018). Selection </w:t>
      </w:r>
      <w:r w:rsidR="00A6637A">
        <w:t>i</w:t>
      </w:r>
      <w:r w:rsidRPr="00543567">
        <w:t xml:space="preserve">ssues. In: Wright M., </w:t>
      </w:r>
      <w:r w:rsidR="00A6637A">
        <w:t xml:space="preserve">&amp; </w:t>
      </w:r>
      <w:r w:rsidRPr="00543567">
        <w:t xml:space="preserve">Drori I. (Editors), </w:t>
      </w:r>
      <w:r w:rsidRPr="00543567">
        <w:rPr>
          <w:i/>
          <w:iCs/>
        </w:rPr>
        <w:t>Accelerators: successful venture creation and growth</w:t>
      </w:r>
      <w:r w:rsidRPr="00543567">
        <w:t>. Edward Elgar Publishing 81–99.</w:t>
      </w:r>
    </w:p>
    <w:p w14:paraId="36A61C83" w14:textId="39112570" w:rsidR="00550AA7" w:rsidRPr="00543567" w:rsidRDefault="00550AA7" w:rsidP="00550AA7">
      <w:pPr>
        <w:adjustRightInd w:val="0"/>
        <w:ind w:left="567" w:hanging="567"/>
        <w:jc w:val="both"/>
      </w:pPr>
      <w:r w:rsidRPr="00543567">
        <w:t xml:space="preserve">Lee, M., &amp; Huang, L. (2018). Gender bias, social impact framing, and evaluation of entrepreneurial ventures. </w:t>
      </w:r>
      <w:r w:rsidRPr="00543567">
        <w:rPr>
          <w:i/>
          <w:iCs/>
        </w:rPr>
        <w:t>Organization Science</w:t>
      </w:r>
      <w:r w:rsidR="006968D2">
        <w:rPr>
          <w:i/>
          <w:iCs/>
        </w:rPr>
        <w:t>,</w:t>
      </w:r>
      <w:r w:rsidRPr="00543567">
        <w:t xml:space="preserve"> </w:t>
      </w:r>
      <w:r w:rsidRPr="006968D2">
        <w:rPr>
          <w:i/>
          <w:iCs/>
        </w:rPr>
        <w:t>29</w:t>
      </w:r>
      <w:r w:rsidR="006968D2">
        <w:t>(1),</w:t>
      </w:r>
      <w:r w:rsidRPr="00543567">
        <w:t xml:space="preserve"> 1–16.</w:t>
      </w:r>
      <w:r w:rsidR="006968D2" w:rsidRPr="006968D2">
        <w:t xml:space="preserve"> </w:t>
      </w:r>
      <w:hyperlink r:id="rId68" w:history="1">
        <w:r w:rsidR="006968D2" w:rsidRPr="006968D2">
          <w:rPr>
            <w:rStyle w:val="Hyperlink"/>
          </w:rPr>
          <w:t>https://doi.org/10.1287/orsc.2017.1172</w:t>
        </w:r>
      </w:hyperlink>
    </w:p>
    <w:p w14:paraId="1DA09659" w14:textId="61D60763" w:rsidR="00550AA7" w:rsidRPr="00543567" w:rsidRDefault="00550AA7" w:rsidP="00550AA7">
      <w:pPr>
        <w:adjustRightInd w:val="0"/>
        <w:ind w:left="567" w:hanging="567"/>
        <w:jc w:val="both"/>
      </w:pPr>
      <w:r w:rsidRPr="00543567">
        <w:t xml:space="preserve">Liu, J., Pacho, F. T., &amp; Xuhui, W. (2019). The influence of culture in entrepreneurs’ opportunity exploitation decision in Tanzania. </w:t>
      </w:r>
      <w:r w:rsidRPr="00543567">
        <w:rPr>
          <w:i/>
          <w:iCs/>
        </w:rPr>
        <w:t>Journal of Entrepreneurship in Emerging Economies</w:t>
      </w:r>
      <w:r w:rsidR="009B39ED">
        <w:rPr>
          <w:i/>
          <w:iCs/>
        </w:rPr>
        <w:t>,</w:t>
      </w:r>
      <w:r w:rsidRPr="00543567">
        <w:t xml:space="preserve"> </w:t>
      </w:r>
      <w:r w:rsidRPr="009B39ED">
        <w:rPr>
          <w:i/>
          <w:iCs/>
        </w:rPr>
        <w:t>11</w:t>
      </w:r>
      <w:r w:rsidR="009B39ED">
        <w:t>(1),</w:t>
      </w:r>
      <w:r w:rsidRPr="00543567">
        <w:t xml:space="preserve"> 22–43.</w:t>
      </w:r>
      <w:r w:rsidR="009B39ED" w:rsidRPr="009B39ED">
        <w:t xml:space="preserve"> </w:t>
      </w:r>
      <w:hyperlink r:id="rId69" w:tgtFrame="_blank" w:history="1">
        <w:r w:rsidR="009B39ED" w:rsidRPr="009B39ED">
          <w:rPr>
            <w:rStyle w:val="Hyperlink"/>
          </w:rPr>
          <w:t>https://doi.org/10.1108/JEEE-02-2017-0014</w:t>
        </w:r>
      </w:hyperlink>
    </w:p>
    <w:p w14:paraId="2AD35E53" w14:textId="6AE648AA" w:rsidR="00364C95" w:rsidRPr="00543567" w:rsidDel="00411D4A" w:rsidRDefault="00550AA7" w:rsidP="00364C95">
      <w:pPr>
        <w:adjustRightInd w:val="0"/>
        <w:ind w:left="567" w:hanging="567"/>
        <w:jc w:val="both"/>
      </w:pPr>
      <w:r w:rsidRPr="00364C95">
        <w:rPr>
          <w:lang w:val="pt-PT"/>
        </w:rPr>
        <w:t xml:space="preserve">Luo, K., Gao, T., &amp; Li, Y. (2023). </w:t>
      </w:r>
      <w:r w:rsidRPr="00543567">
        <w:t xml:space="preserve">Board authority culture, cultural diversity and corporate innovation. </w:t>
      </w:r>
      <w:r w:rsidRPr="00543567">
        <w:rPr>
          <w:i/>
          <w:iCs/>
        </w:rPr>
        <w:t>China Journal of Accounting Studies</w:t>
      </w:r>
      <w:r w:rsidR="00364C95">
        <w:rPr>
          <w:i/>
          <w:iCs/>
        </w:rPr>
        <w:t>,</w:t>
      </w:r>
      <w:r w:rsidRPr="00543567">
        <w:t> </w:t>
      </w:r>
      <w:r w:rsidRPr="00364C95">
        <w:rPr>
          <w:i/>
          <w:iCs/>
        </w:rPr>
        <w:t>11</w:t>
      </w:r>
      <w:r w:rsidR="00364C95">
        <w:t>(2),</w:t>
      </w:r>
      <w:r w:rsidRPr="00543567">
        <w:t xml:space="preserve"> 423–462.</w:t>
      </w:r>
      <w:r w:rsidR="00364C95">
        <w:t xml:space="preserve"> </w:t>
      </w:r>
      <w:hyperlink r:id="rId70" w:history="1">
        <w:r w:rsidR="00364C95" w:rsidRPr="0055606F">
          <w:rPr>
            <w:rStyle w:val="Hyperlink"/>
            <w:lang w:val="en-US"/>
          </w:rPr>
          <w:t>https://doi.org/10.1080/21697213.2023.2249035</w:t>
        </w:r>
      </w:hyperlink>
    </w:p>
    <w:p w14:paraId="0EEFE92C" w14:textId="77777777" w:rsidR="00550AA7" w:rsidRPr="00543567" w:rsidRDefault="00550AA7" w:rsidP="00550AA7">
      <w:pPr>
        <w:adjustRightInd w:val="0"/>
        <w:ind w:left="567" w:hanging="567"/>
        <w:jc w:val="both"/>
        <w:rPr>
          <w:u w:val="single"/>
        </w:rPr>
      </w:pPr>
      <w:r w:rsidRPr="00543567">
        <w:t xml:space="preserve">Lyonnet, V., &amp; Stern, L. H. (2022). Venture capital (mis)allocation in the age of AI. Fisher College of Business Working Paper No. 2022-03-002, Available at SSRN: </w:t>
      </w:r>
      <w:hyperlink r:id="rId71" w:tgtFrame="_blank" w:history="1">
        <w:r w:rsidRPr="00543567">
          <w:rPr>
            <w:u w:val="single"/>
          </w:rPr>
          <w:t>http://dx.doi.org/10.2139/ssrn.4035930</w:t>
        </w:r>
      </w:hyperlink>
    </w:p>
    <w:p w14:paraId="24D10285" w14:textId="1F7E8A96" w:rsidR="00550AA7" w:rsidRPr="00543567" w:rsidRDefault="00550AA7" w:rsidP="00550AA7">
      <w:pPr>
        <w:adjustRightInd w:val="0"/>
        <w:ind w:left="567" w:hanging="567"/>
        <w:jc w:val="both"/>
      </w:pPr>
      <w:r w:rsidRPr="00543567">
        <w:rPr>
          <w:lang w:val="fr-FR"/>
        </w:rPr>
        <w:t xml:space="preserve">MacMillan, I. C., Siegel, R., &amp; Narasimha, P. N. (1985). </w:t>
      </w:r>
      <w:r w:rsidRPr="00543567">
        <w:t xml:space="preserve">Criteria used by venture capitalists to evaluate new venture proposals. </w:t>
      </w:r>
      <w:r w:rsidRPr="00543567">
        <w:rPr>
          <w:i/>
          <w:iCs/>
        </w:rPr>
        <w:t>Journal of Business Venturing</w:t>
      </w:r>
      <w:r w:rsidR="004525A5">
        <w:rPr>
          <w:i/>
          <w:iCs/>
        </w:rPr>
        <w:t>,</w:t>
      </w:r>
      <w:r w:rsidRPr="00543567">
        <w:t xml:space="preserve"> </w:t>
      </w:r>
      <w:r w:rsidRPr="004525A5">
        <w:rPr>
          <w:i/>
          <w:iCs/>
        </w:rPr>
        <w:t>1</w:t>
      </w:r>
      <w:r w:rsidR="004525A5">
        <w:t>(1),</w:t>
      </w:r>
      <w:r w:rsidRPr="00543567">
        <w:t xml:space="preserve"> 119–128.</w:t>
      </w:r>
      <w:r w:rsidR="004525A5" w:rsidRPr="004525A5">
        <w:t xml:space="preserve"> </w:t>
      </w:r>
      <w:hyperlink r:id="rId72" w:tgtFrame="_blank" w:tooltip="Persistent link using digital object identifier" w:history="1">
        <w:r w:rsidR="004525A5" w:rsidRPr="004525A5">
          <w:rPr>
            <w:rStyle w:val="Hyperlink"/>
          </w:rPr>
          <w:t>https://doi.org/10.1016/0883-9026(85)90011-4</w:t>
        </w:r>
      </w:hyperlink>
    </w:p>
    <w:p w14:paraId="015A7160" w14:textId="54975476" w:rsidR="00550AA7" w:rsidRPr="00543567" w:rsidRDefault="00550AA7" w:rsidP="00550AA7">
      <w:pPr>
        <w:adjustRightInd w:val="0"/>
        <w:ind w:left="567" w:hanging="567"/>
        <w:jc w:val="both"/>
      </w:pPr>
      <w:r w:rsidRPr="00543567">
        <w:t xml:space="preserve">Martens, M. L., Jennings, J. E., &amp; Jennings, P. D. (2007). Do the stories they tell get them the money they need? The role of entrepreneurial narratives in resource acquisition. </w:t>
      </w:r>
      <w:r w:rsidRPr="00543567">
        <w:rPr>
          <w:i/>
          <w:iCs/>
        </w:rPr>
        <w:t>Academy of Management Journal</w:t>
      </w:r>
      <w:r w:rsidR="004525A5">
        <w:rPr>
          <w:i/>
          <w:iCs/>
        </w:rPr>
        <w:t>,</w:t>
      </w:r>
      <w:r w:rsidRPr="00543567">
        <w:t xml:space="preserve"> </w:t>
      </w:r>
      <w:r w:rsidRPr="004525A5">
        <w:rPr>
          <w:i/>
          <w:iCs/>
        </w:rPr>
        <w:t>50</w:t>
      </w:r>
      <w:r w:rsidR="004525A5">
        <w:t>(5),</w:t>
      </w:r>
      <w:r w:rsidRPr="00543567">
        <w:t xml:space="preserve"> 1107–1132.</w:t>
      </w:r>
      <w:r w:rsidR="004525A5" w:rsidRPr="004525A5">
        <w:t xml:space="preserve"> </w:t>
      </w:r>
      <w:hyperlink r:id="rId73" w:history="1">
        <w:r w:rsidR="004525A5" w:rsidRPr="004525A5">
          <w:rPr>
            <w:rStyle w:val="Hyperlink"/>
          </w:rPr>
          <w:t>https://doi.org/10.5465/amj.2007.27169488</w:t>
        </w:r>
      </w:hyperlink>
    </w:p>
    <w:p w14:paraId="05BC272D" w14:textId="4C902701" w:rsidR="00550AA7" w:rsidRPr="00543567" w:rsidRDefault="00550AA7" w:rsidP="00550AA7">
      <w:pPr>
        <w:adjustRightInd w:val="0"/>
        <w:ind w:left="567" w:hanging="567"/>
        <w:jc w:val="both"/>
      </w:pPr>
      <w:r w:rsidRPr="00543567">
        <w:t xml:space="preserve">Mason, C., &amp; Stark, M. (2004). What do </w:t>
      </w:r>
      <w:r w:rsidR="00A6637A">
        <w:t>i</w:t>
      </w:r>
      <w:r w:rsidRPr="00543567">
        <w:t xml:space="preserve">nvestors </w:t>
      </w:r>
      <w:r w:rsidR="00A6637A">
        <w:t>l</w:t>
      </w:r>
      <w:r w:rsidRPr="00543567">
        <w:t xml:space="preserve">ook for in a </w:t>
      </w:r>
      <w:r w:rsidR="00F80097">
        <w:t>b</w:t>
      </w:r>
      <w:r w:rsidRPr="00543567">
        <w:t xml:space="preserve">usiness </w:t>
      </w:r>
      <w:r w:rsidR="00F80097">
        <w:t>p</w:t>
      </w:r>
      <w:r w:rsidRPr="00543567">
        <w:t>lan</w:t>
      </w:r>
      <w:r w:rsidRPr="00543567">
        <w:rPr>
          <w:i/>
          <w:iCs/>
        </w:rPr>
        <w:t>? International Small Business Journal</w:t>
      </w:r>
      <w:r w:rsidR="00F80097">
        <w:rPr>
          <w:i/>
          <w:iCs/>
        </w:rPr>
        <w:t>,</w:t>
      </w:r>
      <w:r w:rsidRPr="00543567">
        <w:t xml:space="preserve"> </w:t>
      </w:r>
      <w:r w:rsidRPr="00F80097">
        <w:rPr>
          <w:i/>
          <w:iCs/>
        </w:rPr>
        <w:t>22</w:t>
      </w:r>
      <w:r w:rsidRPr="00543567">
        <w:t>(3)</w:t>
      </w:r>
      <w:r w:rsidR="00F80097">
        <w:t>,</w:t>
      </w:r>
      <w:r w:rsidRPr="00543567">
        <w:t xml:space="preserve"> 227–248. </w:t>
      </w:r>
      <w:hyperlink r:id="rId74" w:history="1">
        <w:r w:rsidR="00F80097" w:rsidRPr="00F80097">
          <w:rPr>
            <w:rStyle w:val="Hyperlink"/>
          </w:rPr>
          <w:t>https://doi.org/10.1177/0266242604042377</w:t>
        </w:r>
      </w:hyperlink>
    </w:p>
    <w:p w14:paraId="1E379EC6" w14:textId="51354008" w:rsidR="00550AA7" w:rsidRPr="00543567" w:rsidRDefault="00550AA7" w:rsidP="00550AA7">
      <w:pPr>
        <w:adjustRightInd w:val="0"/>
        <w:ind w:left="567" w:hanging="567"/>
        <w:jc w:val="both"/>
      </w:pPr>
      <w:r w:rsidRPr="00543567">
        <w:lastRenderedPageBreak/>
        <w:t xml:space="preserve">Mitchell, R. K., Smith, B., Seawright, K. W., &amp; Morse, E. A. (2000). Cross-cultural cognitions and the venture creation decision. </w:t>
      </w:r>
      <w:r w:rsidRPr="00543567">
        <w:rPr>
          <w:i/>
          <w:iCs/>
        </w:rPr>
        <w:t>Academy of Management Journal</w:t>
      </w:r>
      <w:r w:rsidR="0014512C">
        <w:rPr>
          <w:i/>
          <w:iCs/>
        </w:rPr>
        <w:t>,</w:t>
      </w:r>
      <w:r w:rsidRPr="00543567">
        <w:t xml:space="preserve"> </w:t>
      </w:r>
      <w:r w:rsidRPr="0014512C">
        <w:rPr>
          <w:i/>
          <w:iCs/>
        </w:rPr>
        <w:t>43</w:t>
      </w:r>
      <w:r w:rsidR="0014512C">
        <w:t>(5),</w:t>
      </w:r>
      <w:r w:rsidRPr="00543567">
        <w:t xml:space="preserve"> 974–993.</w:t>
      </w:r>
      <w:r w:rsidR="0014512C" w:rsidRPr="0014512C">
        <w:t xml:space="preserve"> </w:t>
      </w:r>
      <w:hyperlink r:id="rId75" w:history="1">
        <w:r w:rsidR="0014512C" w:rsidRPr="0014512C">
          <w:rPr>
            <w:rStyle w:val="Hyperlink"/>
          </w:rPr>
          <w:t>ttps://doi.org/10.5465/1556422</w:t>
        </w:r>
      </w:hyperlink>
    </w:p>
    <w:p w14:paraId="56D2E476" w14:textId="36353363" w:rsidR="00550AA7" w:rsidRPr="00543567" w:rsidRDefault="00550AA7" w:rsidP="00550AA7">
      <w:pPr>
        <w:adjustRightInd w:val="0"/>
        <w:ind w:left="567" w:hanging="567"/>
        <w:jc w:val="both"/>
        <w:rPr>
          <w:shd w:val="clear" w:color="auto" w:fill="FFFFFF"/>
        </w:rPr>
      </w:pPr>
      <w:r w:rsidRPr="00543567">
        <w:t xml:space="preserve">Moghimi, F. S. (2019). </w:t>
      </w:r>
      <w:r w:rsidRPr="00543567">
        <w:rPr>
          <w:i/>
          <w:iCs/>
        </w:rPr>
        <w:t xml:space="preserve">Startup founders should build diverse teams from day one. Here’s how, </w:t>
      </w:r>
      <w:r w:rsidR="0014512C">
        <w:rPr>
          <w:i/>
          <w:iCs/>
        </w:rPr>
        <w:t>s</w:t>
      </w:r>
      <w:r w:rsidRPr="00543567">
        <w:rPr>
          <w:i/>
          <w:iCs/>
        </w:rPr>
        <w:t xml:space="preserve">tartup </w:t>
      </w:r>
      <w:r w:rsidR="0014512C">
        <w:rPr>
          <w:i/>
          <w:iCs/>
        </w:rPr>
        <w:t>g</w:t>
      </w:r>
      <w:r w:rsidRPr="00543567">
        <w:rPr>
          <w:i/>
          <w:iCs/>
        </w:rPr>
        <w:t>uide</w:t>
      </w:r>
      <w:r w:rsidRPr="00543567">
        <w:t xml:space="preserve">. 29 May Available at : </w:t>
      </w:r>
      <w:hyperlink r:id="rId76" w:history="1">
        <w:r w:rsidRPr="00543567">
          <w:rPr>
            <w:u w:val="single"/>
          </w:rPr>
          <w:t>https://startupguide.com/diversity-inclusion-startups-tips</w:t>
        </w:r>
      </w:hyperlink>
      <w:r w:rsidRPr="00543567">
        <w:t xml:space="preserve"> [Accessed 27 September 2020]</w:t>
      </w:r>
    </w:p>
    <w:p w14:paraId="739372D8" w14:textId="02E6579D" w:rsidR="00550AA7" w:rsidRPr="00543567" w:rsidRDefault="00550AA7" w:rsidP="00550AA7">
      <w:pPr>
        <w:adjustRightInd w:val="0"/>
        <w:ind w:left="567" w:hanging="567"/>
        <w:jc w:val="both"/>
      </w:pPr>
      <w:r w:rsidRPr="00543567">
        <w:t xml:space="preserve">Mueller, S. L., &amp; Thomas, A. S. (2000). Culture and entrepreneurial potential: A nine country study of locus of control and innovativeness. </w:t>
      </w:r>
      <w:r w:rsidRPr="00543567">
        <w:rPr>
          <w:i/>
          <w:iCs/>
        </w:rPr>
        <w:t>Journal of Business Venturing</w:t>
      </w:r>
      <w:r w:rsidR="0014512C">
        <w:rPr>
          <w:i/>
          <w:iCs/>
        </w:rPr>
        <w:t>,</w:t>
      </w:r>
      <w:r w:rsidRPr="00543567">
        <w:t xml:space="preserve"> </w:t>
      </w:r>
      <w:r w:rsidRPr="0014512C">
        <w:rPr>
          <w:i/>
          <w:iCs/>
        </w:rPr>
        <w:t>16</w:t>
      </w:r>
      <w:r w:rsidR="0014512C">
        <w:t>(1),</w:t>
      </w:r>
      <w:r w:rsidRPr="00543567">
        <w:t xml:space="preserve"> 51–75.</w:t>
      </w:r>
      <w:r w:rsidR="0014512C" w:rsidRPr="0014512C">
        <w:t xml:space="preserve"> </w:t>
      </w:r>
      <w:hyperlink r:id="rId77" w:tgtFrame="_blank" w:tooltip="Persistent link using digital object identifier" w:history="1">
        <w:r w:rsidR="0014512C" w:rsidRPr="0014512C">
          <w:rPr>
            <w:rStyle w:val="Hyperlink"/>
          </w:rPr>
          <w:t>https://doi.org/10.1016/S0883-9026(99)00039-7</w:t>
        </w:r>
      </w:hyperlink>
    </w:p>
    <w:p w14:paraId="7AA9C73F" w14:textId="59BBDA4E" w:rsidR="00550AA7" w:rsidRPr="00543567" w:rsidRDefault="00550AA7" w:rsidP="00550AA7">
      <w:pPr>
        <w:adjustRightInd w:val="0"/>
        <w:ind w:left="567" w:hanging="567"/>
        <w:jc w:val="both"/>
      </w:pPr>
      <w:r w:rsidRPr="00543567">
        <w:rPr>
          <w:lang w:val="en-US"/>
        </w:rPr>
        <w:t>Muzyka</w:t>
      </w:r>
      <w:r w:rsidR="0014512C">
        <w:rPr>
          <w:lang w:val="en-US"/>
        </w:rPr>
        <w:t>,</w:t>
      </w:r>
      <w:r w:rsidRPr="00543567">
        <w:rPr>
          <w:lang w:val="en-US"/>
        </w:rPr>
        <w:t xml:space="preserve"> D</w:t>
      </w:r>
      <w:r w:rsidR="0014512C">
        <w:rPr>
          <w:lang w:val="en-US"/>
        </w:rPr>
        <w:t>.</w:t>
      </w:r>
      <w:r w:rsidRPr="00543567">
        <w:rPr>
          <w:lang w:val="en-US"/>
        </w:rPr>
        <w:t>, Birle</w:t>
      </w:r>
      <w:r w:rsidRPr="00543567">
        <w:t>y</w:t>
      </w:r>
      <w:r w:rsidR="0014512C">
        <w:t>,</w:t>
      </w:r>
      <w:r w:rsidRPr="00543567">
        <w:rPr>
          <w:lang w:val="en-US"/>
        </w:rPr>
        <w:t xml:space="preserve"> S</w:t>
      </w:r>
      <w:r w:rsidR="0014512C">
        <w:rPr>
          <w:lang w:val="en-US"/>
        </w:rPr>
        <w:t>.</w:t>
      </w:r>
      <w:r w:rsidRPr="00543567">
        <w:rPr>
          <w:lang w:val="en-US"/>
        </w:rPr>
        <w:t xml:space="preserve">, </w:t>
      </w:r>
      <w:r w:rsidR="0014512C">
        <w:rPr>
          <w:lang w:val="en-US"/>
        </w:rPr>
        <w:t xml:space="preserve">&amp; </w:t>
      </w:r>
      <w:r w:rsidRPr="00543567">
        <w:rPr>
          <w:lang w:val="en-US"/>
        </w:rPr>
        <w:t>Leleux</w:t>
      </w:r>
      <w:r w:rsidR="0014512C">
        <w:rPr>
          <w:lang w:val="en-US"/>
        </w:rPr>
        <w:t>,</w:t>
      </w:r>
      <w:r w:rsidRPr="00543567">
        <w:rPr>
          <w:lang w:val="en-US"/>
        </w:rPr>
        <w:t xml:space="preserve"> B</w:t>
      </w:r>
      <w:r w:rsidR="0014512C">
        <w:rPr>
          <w:lang w:val="en-US"/>
        </w:rPr>
        <w:t>.</w:t>
      </w:r>
      <w:r w:rsidRPr="00543567">
        <w:rPr>
          <w:lang w:val="en-US"/>
        </w:rPr>
        <w:t xml:space="preserve"> (1996)</w:t>
      </w:r>
      <w:r w:rsidR="0014512C">
        <w:rPr>
          <w:lang w:val="en-US"/>
        </w:rPr>
        <w:t>.</w:t>
      </w:r>
      <w:r w:rsidRPr="00543567">
        <w:rPr>
          <w:lang w:val="en-US"/>
        </w:rPr>
        <w:t xml:space="preserve"> </w:t>
      </w:r>
      <w:r w:rsidRPr="00543567">
        <w:t xml:space="preserve">Trade-offs in the investment decisions of European venture capitalists. </w:t>
      </w:r>
      <w:r w:rsidRPr="00543567">
        <w:rPr>
          <w:i/>
          <w:iCs/>
        </w:rPr>
        <w:t>Journal of Business Venturing</w:t>
      </w:r>
      <w:r w:rsidR="0014512C">
        <w:rPr>
          <w:i/>
          <w:iCs/>
        </w:rPr>
        <w:t>,</w:t>
      </w:r>
      <w:r w:rsidRPr="00543567">
        <w:t xml:space="preserve"> </w:t>
      </w:r>
      <w:r w:rsidRPr="00543567">
        <w:rPr>
          <w:i/>
          <w:iCs/>
        </w:rPr>
        <w:t>11</w:t>
      </w:r>
      <w:r w:rsidR="0014512C" w:rsidRPr="0014512C">
        <w:t>(4),</w:t>
      </w:r>
      <w:r w:rsidRPr="00543567">
        <w:t xml:space="preserve"> 273–288.</w:t>
      </w:r>
      <w:r w:rsidR="0014512C" w:rsidRPr="0014512C">
        <w:t xml:space="preserve"> </w:t>
      </w:r>
      <w:hyperlink r:id="rId78" w:tgtFrame="_blank" w:tooltip="Persistent link using digital object identifier" w:history="1">
        <w:r w:rsidR="0014512C" w:rsidRPr="0014512C">
          <w:rPr>
            <w:rStyle w:val="Hyperlink"/>
          </w:rPr>
          <w:t>https://doi.org/10.1016/0883-9026(95)00126-3</w:t>
        </w:r>
      </w:hyperlink>
    </w:p>
    <w:p w14:paraId="5E4DA29D" w14:textId="16B2CBFD" w:rsidR="00550AA7" w:rsidRPr="005E2EAC" w:rsidRDefault="00550AA7" w:rsidP="00F628AD">
      <w:pPr>
        <w:adjustRightInd w:val="0"/>
        <w:ind w:left="567" w:hanging="567"/>
        <w:jc w:val="both"/>
        <w:rPr>
          <w:lang w:val="en-US"/>
        </w:rPr>
      </w:pPr>
      <w:r w:rsidRPr="00543567">
        <w:t xml:space="preserve">Nathan, M., &amp; Lee, N. (2013). </w:t>
      </w:r>
      <w:r w:rsidRPr="00543567">
        <w:rPr>
          <w:lang w:val="en-US"/>
        </w:rPr>
        <w:t xml:space="preserve">Cultural </w:t>
      </w:r>
      <w:r w:rsidR="00F628AD">
        <w:rPr>
          <w:lang w:val="en-US"/>
        </w:rPr>
        <w:t>d</w:t>
      </w:r>
      <w:r w:rsidRPr="00543567">
        <w:rPr>
          <w:lang w:val="en-US"/>
        </w:rPr>
        <w:t xml:space="preserve">iversity, </w:t>
      </w:r>
      <w:r w:rsidR="00F628AD">
        <w:rPr>
          <w:lang w:val="en-US"/>
        </w:rPr>
        <w:t>i</w:t>
      </w:r>
      <w:r w:rsidRPr="00543567">
        <w:rPr>
          <w:lang w:val="en-US"/>
        </w:rPr>
        <w:t xml:space="preserve">nnovation, and </w:t>
      </w:r>
      <w:r w:rsidR="00F628AD">
        <w:rPr>
          <w:lang w:val="en-US"/>
        </w:rPr>
        <w:t>e</w:t>
      </w:r>
      <w:r w:rsidRPr="00543567">
        <w:rPr>
          <w:lang w:val="en-US"/>
        </w:rPr>
        <w:t xml:space="preserve">ntrepreneurship: Firm-level </w:t>
      </w:r>
      <w:r w:rsidR="00F628AD">
        <w:rPr>
          <w:lang w:val="en-US"/>
        </w:rPr>
        <w:t>e</w:t>
      </w:r>
      <w:r w:rsidRPr="00543567">
        <w:rPr>
          <w:lang w:val="en-US"/>
        </w:rPr>
        <w:t xml:space="preserve">vidence from London. </w:t>
      </w:r>
      <w:r w:rsidRPr="00543567">
        <w:rPr>
          <w:i/>
          <w:iCs/>
          <w:lang w:val="en-US"/>
        </w:rPr>
        <w:t>Economic Geography</w:t>
      </w:r>
      <w:r w:rsidR="00F628AD">
        <w:rPr>
          <w:i/>
          <w:iCs/>
          <w:lang w:val="en-US"/>
        </w:rPr>
        <w:t>,</w:t>
      </w:r>
      <w:r w:rsidRPr="00543567">
        <w:rPr>
          <w:lang w:val="en-US"/>
        </w:rPr>
        <w:t xml:space="preserve"> </w:t>
      </w:r>
      <w:r w:rsidRPr="00F628AD">
        <w:rPr>
          <w:i/>
          <w:iCs/>
          <w:lang w:val="en-US"/>
        </w:rPr>
        <w:t>89</w:t>
      </w:r>
      <w:r w:rsidR="00F628AD">
        <w:rPr>
          <w:lang w:val="en-US"/>
        </w:rPr>
        <w:t>(4),</w:t>
      </w:r>
      <w:r w:rsidRPr="00543567">
        <w:rPr>
          <w:lang w:val="en-US"/>
        </w:rPr>
        <w:t xml:space="preserve"> 367–394.</w:t>
      </w:r>
      <w:r w:rsidR="00F628AD" w:rsidRPr="00F628AD">
        <w:rPr>
          <w:rFonts w:ascii="Open Sans" w:hAnsi="Open Sans" w:cs="Open Sans"/>
          <w:color w:val="767676"/>
          <w:sz w:val="21"/>
          <w:szCs w:val="21"/>
          <w:shd w:val="clear" w:color="auto" w:fill="FFFFFF"/>
          <w:lang w:val="en-US" w:eastAsia="en-US"/>
        </w:rPr>
        <w:t xml:space="preserve"> </w:t>
      </w:r>
      <w:r w:rsidR="00F628AD" w:rsidRPr="00F628AD">
        <w:rPr>
          <w:lang w:val="en-US"/>
        </w:rPr>
        <w:t> </w:t>
      </w:r>
      <w:hyperlink r:id="rId79" w:history="1">
        <w:r w:rsidR="00F628AD" w:rsidRPr="005E2EAC">
          <w:rPr>
            <w:rStyle w:val="Hyperlink"/>
            <w:lang w:val="en-US"/>
          </w:rPr>
          <w:t>https://doi.org/10.1111/ecge.12016</w:t>
        </w:r>
      </w:hyperlink>
    </w:p>
    <w:p w14:paraId="63643C12" w14:textId="644877BC" w:rsidR="00550AA7" w:rsidRPr="00543567" w:rsidRDefault="00550AA7" w:rsidP="00550AA7">
      <w:pPr>
        <w:adjustRightInd w:val="0"/>
        <w:ind w:left="567" w:hanging="567"/>
        <w:jc w:val="both"/>
      </w:pPr>
      <w:r w:rsidRPr="005E2EAC">
        <w:rPr>
          <w:lang w:val="en-US"/>
        </w:rPr>
        <w:t xml:space="preserve">Nasra, M. A., &amp; Oliver, A. L. (2024). </w:t>
      </w:r>
      <w:r w:rsidRPr="00543567">
        <w:t>Human and social capital and ethnically diverse founding teams in high-tech industries</w:t>
      </w:r>
      <w:r w:rsidRPr="00543567">
        <w:rPr>
          <w:b/>
          <w:bCs/>
        </w:rPr>
        <w:t xml:space="preserve">.  </w:t>
      </w:r>
      <w:r w:rsidRPr="00543567">
        <w:rPr>
          <w:i/>
          <w:iCs/>
        </w:rPr>
        <w:t>The Journal of Technology Transfer</w:t>
      </w:r>
      <w:r w:rsidRPr="00543567">
        <w:t xml:space="preserve">, </w:t>
      </w:r>
      <w:r w:rsidR="00856850" w:rsidRPr="00856850">
        <w:rPr>
          <w:i/>
          <w:iCs/>
        </w:rPr>
        <w:t>50</w:t>
      </w:r>
      <w:r w:rsidR="00856850">
        <w:t xml:space="preserve">(3), 1199-1230. </w:t>
      </w:r>
      <w:r w:rsidRPr="00543567">
        <w:t xml:space="preserve"> https://doi.org/10.1007/s10961-024-10134-1</w:t>
      </w:r>
    </w:p>
    <w:p w14:paraId="176172FB" w14:textId="4B26446F" w:rsidR="00550AA7" w:rsidRPr="00543567" w:rsidRDefault="00550AA7" w:rsidP="00550AA7">
      <w:pPr>
        <w:adjustRightInd w:val="0"/>
        <w:ind w:left="567" w:hanging="567"/>
        <w:jc w:val="both"/>
      </w:pPr>
      <w:r w:rsidRPr="00543567">
        <w:t xml:space="preserve">Nederveen Pieterse, A., Van Knippenberg, D., &amp; Van Dierendonck, D. (2013). Cultural diversity and team performance: The role of team member goal orientation. </w:t>
      </w:r>
      <w:r w:rsidRPr="00543567">
        <w:rPr>
          <w:i/>
          <w:iCs/>
        </w:rPr>
        <w:t>Academy of Management Journal</w:t>
      </w:r>
      <w:r w:rsidR="007835DB">
        <w:rPr>
          <w:i/>
          <w:iCs/>
        </w:rPr>
        <w:t>,</w:t>
      </w:r>
      <w:r w:rsidRPr="00543567">
        <w:t xml:space="preserve"> </w:t>
      </w:r>
      <w:r w:rsidRPr="007835DB">
        <w:rPr>
          <w:i/>
          <w:iCs/>
        </w:rPr>
        <w:t>56</w:t>
      </w:r>
      <w:r w:rsidR="007835DB">
        <w:t>(3),</w:t>
      </w:r>
      <w:r w:rsidRPr="00543567">
        <w:t xml:space="preserve"> 782–804.</w:t>
      </w:r>
      <w:r w:rsidR="007835DB" w:rsidRPr="007835DB">
        <w:t xml:space="preserve"> </w:t>
      </w:r>
      <w:hyperlink r:id="rId80" w:history="1">
        <w:r w:rsidR="007835DB" w:rsidRPr="007835DB">
          <w:rPr>
            <w:rStyle w:val="Hyperlink"/>
          </w:rPr>
          <w:t>https://doi.org/10.5465/amj.2010.0992</w:t>
        </w:r>
      </w:hyperlink>
    </w:p>
    <w:p w14:paraId="7F98F5B6" w14:textId="161C27B3" w:rsidR="00656F47" w:rsidRPr="00656F47" w:rsidRDefault="00550AA7" w:rsidP="00656F47">
      <w:pPr>
        <w:adjustRightInd w:val="0"/>
        <w:ind w:left="567" w:hanging="567"/>
        <w:jc w:val="both"/>
        <w:rPr>
          <w:lang w:val="en-US"/>
        </w:rPr>
      </w:pPr>
      <w:r w:rsidRPr="00543567">
        <w:t xml:space="preserve">Nelson, T. D. (2005). Ageism: Prejudice </w:t>
      </w:r>
      <w:r w:rsidR="007835DB">
        <w:t>a</w:t>
      </w:r>
      <w:r w:rsidRPr="00543567">
        <w:t xml:space="preserve">gainst </w:t>
      </w:r>
      <w:r w:rsidR="007835DB">
        <w:t>o</w:t>
      </w:r>
      <w:r w:rsidRPr="00543567">
        <w:t xml:space="preserve">ur </w:t>
      </w:r>
      <w:r w:rsidR="007835DB">
        <w:t>f</w:t>
      </w:r>
      <w:r w:rsidRPr="00543567">
        <w:t xml:space="preserve">eared </w:t>
      </w:r>
      <w:r w:rsidR="007835DB">
        <w:t>f</w:t>
      </w:r>
      <w:r w:rsidRPr="00543567">
        <w:t xml:space="preserve">uture </w:t>
      </w:r>
      <w:r w:rsidR="007835DB">
        <w:t>s</w:t>
      </w:r>
      <w:r w:rsidRPr="00543567">
        <w:t xml:space="preserve">elf. </w:t>
      </w:r>
      <w:r w:rsidRPr="00543567">
        <w:rPr>
          <w:i/>
          <w:iCs/>
        </w:rPr>
        <w:t>Journal of Social Issues</w:t>
      </w:r>
      <w:r w:rsidR="007835DB">
        <w:rPr>
          <w:i/>
          <w:iCs/>
        </w:rPr>
        <w:t>,</w:t>
      </w:r>
      <w:r w:rsidRPr="00543567">
        <w:t xml:space="preserve"> </w:t>
      </w:r>
      <w:r w:rsidRPr="007835DB">
        <w:rPr>
          <w:i/>
          <w:iCs/>
        </w:rPr>
        <w:t>61</w:t>
      </w:r>
      <w:r w:rsidR="007835DB">
        <w:t>(</w:t>
      </w:r>
      <w:r w:rsidR="00656F47">
        <w:t>2</w:t>
      </w:r>
      <w:r w:rsidR="007835DB">
        <w:t>),</w:t>
      </w:r>
      <w:r w:rsidRPr="00543567">
        <w:t xml:space="preserve"> 207–221.</w:t>
      </w:r>
      <w:r w:rsidR="00656F47" w:rsidRPr="00656F47">
        <w:rPr>
          <w:rFonts w:ascii="Open Sans" w:hAnsi="Open Sans" w:cs="Open Sans"/>
          <w:color w:val="767676"/>
          <w:sz w:val="21"/>
          <w:szCs w:val="21"/>
          <w:shd w:val="clear" w:color="auto" w:fill="FFFFFF"/>
          <w:lang w:val="en-US" w:eastAsia="en-US"/>
        </w:rPr>
        <w:t xml:space="preserve"> </w:t>
      </w:r>
      <w:hyperlink r:id="rId81" w:history="1">
        <w:r w:rsidR="00656F47" w:rsidRPr="00656F47">
          <w:rPr>
            <w:rStyle w:val="Hyperlink"/>
            <w:lang w:val="en-US"/>
          </w:rPr>
          <w:t>https://doi.org/10.1111/j.1540-4560.2005.00402.x</w:t>
        </w:r>
      </w:hyperlink>
    </w:p>
    <w:p w14:paraId="1084C501" w14:textId="2A17496B" w:rsidR="00550AA7" w:rsidRPr="00543567" w:rsidRDefault="00550AA7" w:rsidP="00550AA7">
      <w:pPr>
        <w:adjustRightInd w:val="0"/>
        <w:ind w:left="567" w:hanging="567"/>
        <w:jc w:val="both"/>
      </w:pPr>
    </w:p>
    <w:p w14:paraId="50866538" w14:textId="512BBB8B" w:rsidR="00550AA7" w:rsidRPr="00543567" w:rsidRDefault="00550AA7" w:rsidP="00550AA7">
      <w:pPr>
        <w:adjustRightInd w:val="0"/>
        <w:ind w:left="567" w:hanging="567"/>
        <w:jc w:val="both"/>
      </w:pPr>
      <w:r w:rsidRPr="00543567">
        <w:t xml:space="preserve">Nguyen, D. D., Hagendorff, J., &amp; Eshraghi, A. (2018). Does a CEO’s </w:t>
      </w:r>
      <w:r w:rsidR="00907503">
        <w:t>c</w:t>
      </w:r>
      <w:r w:rsidRPr="00543567">
        <w:t xml:space="preserve">ultural </w:t>
      </w:r>
      <w:r w:rsidR="00907503">
        <w:t>h</w:t>
      </w:r>
      <w:r w:rsidRPr="00543567">
        <w:t xml:space="preserve">eritage </w:t>
      </w:r>
      <w:r w:rsidR="00907503">
        <w:t>a</w:t>
      </w:r>
      <w:r w:rsidRPr="00543567">
        <w:t xml:space="preserve">ffect </w:t>
      </w:r>
      <w:r w:rsidR="00907503">
        <w:t>p</w:t>
      </w:r>
      <w:r w:rsidRPr="00543567">
        <w:t xml:space="preserve">erformance under </w:t>
      </w:r>
      <w:r w:rsidR="00907503">
        <w:t>c</w:t>
      </w:r>
      <w:r w:rsidRPr="00543567">
        <w:t xml:space="preserve">ompetitive </w:t>
      </w:r>
      <w:r w:rsidR="00907503">
        <w:t>p</w:t>
      </w:r>
      <w:r w:rsidRPr="00543567">
        <w:t xml:space="preserve">ressure? </w:t>
      </w:r>
      <w:r w:rsidRPr="00543567">
        <w:rPr>
          <w:i/>
          <w:iCs/>
        </w:rPr>
        <w:t>The Review of Financial Studies</w:t>
      </w:r>
      <w:r w:rsidR="00907503">
        <w:rPr>
          <w:i/>
          <w:iCs/>
        </w:rPr>
        <w:t>,</w:t>
      </w:r>
      <w:r w:rsidRPr="00543567">
        <w:t xml:space="preserve"> </w:t>
      </w:r>
      <w:r w:rsidRPr="00907503">
        <w:rPr>
          <w:i/>
          <w:iCs/>
        </w:rPr>
        <w:t>31</w:t>
      </w:r>
      <w:r w:rsidRPr="00543567">
        <w:t>(1)</w:t>
      </w:r>
      <w:r w:rsidR="00907503">
        <w:t>,</w:t>
      </w:r>
      <w:r w:rsidRPr="00543567">
        <w:t xml:space="preserve"> 98–141. </w:t>
      </w:r>
      <w:hyperlink r:id="rId82" w:history="1">
        <w:r w:rsidR="00907503" w:rsidRPr="00907503">
          <w:rPr>
            <w:rStyle w:val="Hyperlink"/>
          </w:rPr>
          <w:t>https://doi.org/10.1093/rfs/hhx046</w:t>
        </w:r>
      </w:hyperlink>
    </w:p>
    <w:p w14:paraId="4EE5F57A" w14:textId="15C6A235" w:rsidR="00550AA7" w:rsidRPr="00543567" w:rsidRDefault="00550AA7" w:rsidP="00550AA7">
      <w:pPr>
        <w:adjustRightInd w:val="0"/>
        <w:ind w:left="567" w:hanging="567"/>
        <w:jc w:val="both"/>
        <w:rPr>
          <w:lang w:val="fr-FR"/>
        </w:rPr>
      </w:pPr>
      <w:r w:rsidRPr="00543567">
        <w:t xml:space="preserve">Nielsen, B. B., &amp; Nielsen, S. (2013). Top management team nationality diversity and firm performance: A multilevel study. </w:t>
      </w:r>
      <w:r w:rsidRPr="00543567">
        <w:rPr>
          <w:i/>
          <w:iCs/>
          <w:lang w:val="fr-FR"/>
        </w:rPr>
        <w:t>Strategic Management Journal</w:t>
      </w:r>
      <w:r w:rsidR="00907503">
        <w:rPr>
          <w:i/>
          <w:iCs/>
          <w:lang w:val="fr-FR"/>
        </w:rPr>
        <w:t>,</w:t>
      </w:r>
      <w:r w:rsidRPr="00543567">
        <w:rPr>
          <w:lang w:val="fr-FR"/>
        </w:rPr>
        <w:t xml:space="preserve"> </w:t>
      </w:r>
      <w:r w:rsidRPr="00A303EC">
        <w:rPr>
          <w:i/>
          <w:iCs/>
          <w:lang w:val="fr-FR"/>
        </w:rPr>
        <w:t>34</w:t>
      </w:r>
      <w:r w:rsidR="00907503">
        <w:rPr>
          <w:lang w:val="fr-FR"/>
        </w:rPr>
        <w:t>(3),</w:t>
      </w:r>
      <w:r w:rsidRPr="00543567">
        <w:rPr>
          <w:lang w:val="fr-FR"/>
        </w:rPr>
        <w:t xml:space="preserve"> 373–382.  </w:t>
      </w:r>
      <w:hyperlink r:id="rId83" w:history="1">
        <w:r w:rsidR="00907503" w:rsidRPr="005E2EAC">
          <w:rPr>
            <w:rStyle w:val="Hyperlink"/>
            <w:lang w:val="fr-FR"/>
          </w:rPr>
          <w:t>https://doi.org/10.1002/smj.2021</w:t>
        </w:r>
      </w:hyperlink>
    </w:p>
    <w:p w14:paraId="670724E1" w14:textId="00499583" w:rsidR="00550AA7" w:rsidRPr="00543567" w:rsidRDefault="00550AA7" w:rsidP="00550AA7">
      <w:pPr>
        <w:adjustRightInd w:val="0"/>
        <w:ind w:left="567" w:hanging="567"/>
        <w:jc w:val="both"/>
      </w:pPr>
      <w:r w:rsidRPr="00543567">
        <w:rPr>
          <w:lang w:val="fr-FR"/>
        </w:rPr>
        <w:t xml:space="preserve">Papadimitri, P., Pasiouras, F., Tasiou, M., &amp; Ventouri, A. (2020). </w:t>
      </w:r>
      <w:r w:rsidRPr="00543567">
        <w:t xml:space="preserve">The effects of board of directors’ education on firms’ credit ratings. </w:t>
      </w:r>
      <w:r w:rsidRPr="00543567">
        <w:rPr>
          <w:i/>
          <w:iCs/>
        </w:rPr>
        <w:t>Journal of Business Research</w:t>
      </w:r>
      <w:r w:rsidR="001A31C9">
        <w:rPr>
          <w:i/>
          <w:iCs/>
        </w:rPr>
        <w:t>,</w:t>
      </w:r>
      <w:r w:rsidRPr="00543567">
        <w:t xml:space="preserve"> 116</w:t>
      </w:r>
      <w:r w:rsidR="001A31C9">
        <w:t>,</w:t>
      </w:r>
      <w:r w:rsidRPr="00543567">
        <w:t xml:space="preserve"> 294 – 313. </w:t>
      </w:r>
      <w:hyperlink r:id="rId84" w:tgtFrame="_blank" w:tooltip="Persistent link using digital object identifier" w:history="1">
        <w:r w:rsidR="00CC4A4B" w:rsidRPr="00CC4A4B">
          <w:rPr>
            <w:rStyle w:val="Hyperlink"/>
          </w:rPr>
          <w:t>https://doi.org/10.1016/j.jbusres.2020.04.059</w:t>
        </w:r>
      </w:hyperlink>
    </w:p>
    <w:p w14:paraId="181ECA98" w14:textId="21F9764B" w:rsidR="00550AA7" w:rsidRPr="00543567" w:rsidRDefault="00550AA7" w:rsidP="00550AA7">
      <w:pPr>
        <w:adjustRightInd w:val="0"/>
        <w:ind w:left="567" w:hanging="567"/>
        <w:jc w:val="both"/>
      </w:pPr>
      <w:r w:rsidRPr="00543567">
        <w:t xml:space="preserve">Pauwels, C., Clarysse, B., Wright, M., &amp; Van Hove, J. (2016). Understanding a new generation incubation model: The accelerator. </w:t>
      </w:r>
      <w:r w:rsidRPr="00543567">
        <w:rPr>
          <w:i/>
          <w:iCs/>
        </w:rPr>
        <w:t>Technovation</w:t>
      </w:r>
      <w:r w:rsidR="001A31C9">
        <w:rPr>
          <w:i/>
          <w:iCs/>
        </w:rPr>
        <w:t>,</w:t>
      </w:r>
      <w:r w:rsidRPr="00543567">
        <w:t xml:space="preserve"> </w:t>
      </w:r>
      <w:r w:rsidRPr="001A31C9">
        <w:rPr>
          <w:i/>
          <w:iCs/>
        </w:rPr>
        <w:t>50</w:t>
      </w:r>
      <w:r w:rsidR="001A31C9" w:rsidRPr="001A31C9">
        <w:rPr>
          <w:i/>
          <w:iCs/>
        </w:rPr>
        <w:t>-51</w:t>
      </w:r>
      <w:r w:rsidR="001A31C9">
        <w:t>,</w:t>
      </w:r>
      <w:r w:rsidRPr="00543567">
        <w:t xml:space="preserve"> 13–24.</w:t>
      </w:r>
      <w:r w:rsidR="001A31C9" w:rsidRPr="001A31C9">
        <w:t xml:space="preserve"> </w:t>
      </w:r>
      <w:hyperlink r:id="rId85" w:tgtFrame="_blank" w:tooltip="Persistent link using digital object identifier" w:history="1">
        <w:r w:rsidR="001A31C9" w:rsidRPr="001A31C9">
          <w:rPr>
            <w:rStyle w:val="Hyperlink"/>
          </w:rPr>
          <w:t>https://doi.org/10.1016/j.technovation.2015.09.003</w:t>
        </w:r>
      </w:hyperlink>
    </w:p>
    <w:p w14:paraId="67C90B4F" w14:textId="7A3BDB75" w:rsidR="001A31C9" w:rsidRPr="00543567" w:rsidRDefault="00550AA7" w:rsidP="001A31C9">
      <w:pPr>
        <w:adjustRightInd w:val="0"/>
        <w:ind w:left="567" w:hanging="567"/>
        <w:jc w:val="both"/>
      </w:pPr>
      <w:r w:rsidRPr="00543567">
        <w:t xml:space="preserve">Pierrakis, Y., &amp; Owen, R. (2022). Startup ventures and equity finance: How do </w:t>
      </w:r>
      <w:r w:rsidR="001A31C9">
        <w:t>b</w:t>
      </w:r>
      <w:r w:rsidRPr="00543567">
        <w:t xml:space="preserve">usiness </w:t>
      </w:r>
      <w:r w:rsidR="001A31C9">
        <w:t>a</w:t>
      </w:r>
      <w:r w:rsidRPr="00543567">
        <w:t xml:space="preserve">ccelerators and </w:t>
      </w:r>
      <w:r w:rsidR="001A31C9">
        <w:t>b</w:t>
      </w:r>
      <w:r w:rsidRPr="00543567">
        <w:t xml:space="preserve">usiness </w:t>
      </w:r>
      <w:r w:rsidR="001A31C9">
        <w:t>a</w:t>
      </w:r>
      <w:r w:rsidRPr="00543567">
        <w:t>ngels’ assess the human capital of socio-environmental mission led entrepreneurs? </w:t>
      </w:r>
      <w:r w:rsidRPr="00543567">
        <w:rPr>
          <w:i/>
          <w:iCs/>
        </w:rPr>
        <w:t>Innovation</w:t>
      </w:r>
      <w:r w:rsidR="001A31C9">
        <w:rPr>
          <w:i/>
          <w:iCs/>
        </w:rPr>
        <w:t>,</w:t>
      </w:r>
      <w:r w:rsidRPr="00543567">
        <w:t> </w:t>
      </w:r>
      <w:r w:rsidRPr="00543567">
        <w:rPr>
          <w:i/>
          <w:iCs/>
        </w:rPr>
        <w:t>25</w:t>
      </w:r>
      <w:r w:rsidR="001A31C9" w:rsidRPr="001A31C9">
        <w:t>(4),</w:t>
      </w:r>
      <w:r w:rsidRPr="00543567">
        <w:t xml:space="preserve"> 371–395.</w:t>
      </w:r>
      <w:r w:rsidR="001A31C9">
        <w:t xml:space="preserve"> </w:t>
      </w:r>
      <w:hyperlink r:id="rId86" w:history="1">
        <w:r w:rsidR="001A31C9" w:rsidRPr="001A31C9">
          <w:rPr>
            <w:rStyle w:val="Hyperlink"/>
            <w:lang w:val="en-US"/>
          </w:rPr>
          <w:t>https://doi.org/10.1080/14479338.2022.2029706</w:t>
        </w:r>
      </w:hyperlink>
    </w:p>
    <w:p w14:paraId="1F6F2811" w14:textId="655F1947" w:rsidR="00550AA7" w:rsidRPr="00543567" w:rsidRDefault="00550AA7" w:rsidP="00550AA7">
      <w:pPr>
        <w:adjustRightInd w:val="0"/>
        <w:ind w:left="567" w:hanging="567"/>
        <w:jc w:val="both"/>
      </w:pPr>
      <w:r w:rsidRPr="00543567">
        <w:t>Piva, E., &amp; Rossi-Lamastra, C. (2018). Human capital signals and entrepreneurs’ success in equity crowdfunding.</w:t>
      </w:r>
      <w:r w:rsidRPr="00543567">
        <w:rPr>
          <w:b/>
          <w:bCs/>
        </w:rPr>
        <w:t xml:space="preserve"> </w:t>
      </w:r>
      <w:r w:rsidRPr="00543567">
        <w:rPr>
          <w:i/>
          <w:iCs/>
        </w:rPr>
        <w:t>Small Business Economics</w:t>
      </w:r>
      <w:r w:rsidR="001A31C9">
        <w:rPr>
          <w:i/>
          <w:iCs/>
        </w:rPr>
        <w:t>,</w:t>
      </w:r>
      <w:r w:rsidRPr="00543567">
        <w:rPr>
          <w:b/>
          <w:bCs/>
        </w:rPr>
        <w:t xml:space="preserve"> </w:t>
      </w:r>
      <w:r w:rsidRPr="001A31C9">
        <w:rPr>
          <w:i/>
          <w:iCs/>
        </w:rPr>
        <w:t>51</w:t>
      </w:r>
      <w:r w:rsidR="001A31C9">
        <w:t>(3),</w:t>
      </w:r>
      <w:r w:rsidRPr="00543567">
        <w:t xml:space="preserve"> 667–686. </w:t>
      </w:r>
      <w:r w:rsidR="001A31C9" w:rsidRPr="001A31C9">
        <w:t>https://doi.org/10.1007/s11187-017-9950-y</w:t>
      </w:r>
    </w:p>
    <w:p w14:paraId="0660DBBC" w14:textId="0C59A9B7" w:rsidR="00550AA7" w:rsidRPr="00543567" w:rsidRDefault="00550AA7" w:rsidP="00550AA7">
      <w:pPr>
        <w:adjustRightInd w:val="0"/>
        <w:ind w:left="567" w:hanging="567"/>
        <w:jc w:val="both"/>
        <w:rPr>
          <w:u w:val="single"/>
        </w:rPr>
      </w:pPr>
      <w:r w:rsidRPr="00AD7DB5">
        <w:rPr>
          <w:lang w:val="en-US"/>
        </w:rPr>
        <w:t>Plummer, L. A., Allison, T. H., &amp; Connelly, B. L. (2016).</w:t>
      </w:r>
      <w:r w:rsidRPr="00AD7DB5">
        <w:rPr>
          <w:b/>
          <w:bCs/>
          <w:lang w:val="en-US"/>
        </w:rPr>
        <w:t xml:space="preserve"> </w:t>
      </w:r>
      <w:r w:rsidRPr="00543567">
        <w:t xml:space="preserve">Better </w:t>
      </w:r>
      <w:r w:rsidR="006C1FAC">
        <w:t>t</w:t>
      </w:r>
      <w:r w:rsidRPr="00543567">
        <w:t xml:space="preserve">ogether? Signaling </w:t>
      </w:r>
      <w:r w:rsidR="006C1FAC">
        <w:t>i</w:t>
      </w:r>
      <w:r w:rsidRPr="00543567">
        <w:t xml:space="preserve">nteractions in </w:t>
      </w:r>
      <w:r w:rsidR="006C1FAC">
        <w:t>n</w:t>
      </w:r>
      <w:r w:rsidRPr="00543567">
        <w:t xml:space="preserve">ew </w:t>
      </w:r>
      <w:r w:rsidR="006C1FAC">
        <w:t>v</w:t>
      </w:r>
      <w:r w:rsidRPr="00543567">
        <w:t xml:space="preserve">enture </w:t>
      </w:r>
      <w:r w:rsidR="006C1FAC">
        <w:t>p</w:t>
      </w:r>
      <w:r w:rsidRPr="00543567">
        <w:t xml:space="preserve">ursuit of </w:t>
      </w:r>
      <w:r w:rsidR="006C1FAC">
        <w:t>i</w:t>
      </w:r>
      <w:r w:rsidRPr="00543567">
        <w:t xml:space="preserve">nitial </w:t>
      </w:r>
      <w:r w:rsidR="006C1FAC">
        <w:t>e</w:t>
      </w:r>
      <w:r w:rsidRPr="00543567">
        <w:t xml:space="preserve">xternal </w:t>
      </w:r>
      <w:r w:rsidR="006C1FAC">
        <w:t>c</w:t>
      </w:r>
      <w:r w:rsidRPr="00543567">
        <w:t xml:space="preserve">apital. </w:t>
      </w:r>
      <w:r w:rsidRPr="00543567">
        <w:rPr>
          <w:i/>
          <w:iCs/>
        </w:rPr>
        <w:t>The Academy of Management Journal</w:t>
      </w:r>
      <w:r w:rsidRPr="00543567">
        <w:t xml:space="preserve">, </w:t>
      </w:r>
      <w:r w:rsidRPr="006C1FAC">
        <w:rPr>
          <w:i/>
          <w:iCs/>
        </w:rPr>
        <w:t>59</w:t>
      </w:r>
      <w:r w:rsidR="006C1FAC">
        <w:t>(</w:t>
      </w:r>
      <w:r w:rsidR="006C1FAC" w:rsidRPr="005E2EAC">
        <w:rPr>
          <w:lang w:val="en-US"/>
        </w:rPr>
        <w:t>5</w:t>
      </w:r>
      <w:r w:rsidR="006C1FAC">
        <w:t>),</w:t>
      </w:r>
      <w:r w:rsidRPr="00543567">
        <w:t xml:space="preserve"> 1585–1604.</w:t>
      </w:r>
      <w:r w:rsidRPr="00543567">
        <w:rPr>
          <w:u w:val="single"/>
        </w:rPr>
        <w:t xml:space="preserve"> </w:t>
      </w:r>
      <w:hyperlink r:id="rId87" w:history="1">
        <w:r w:rsidR="006C1FAC" w:rsidRPr="006C1FAC">
          <w:rPr>
            <w:rStyle w:val="Hyperlink"/>
          </w:rPr>
          <w:t>https://doi.org/10.5465/amj.2013.0100</w:t>
        </w:r>
      </w:hyperlink>
    </w:p>
    <w:p w14:paraId="4CDA80AE" w14:textId="66D07AB0" w:rsidR="00550AA7" w:rsidRPr="00543567" w:rsidRDefault="00550AA7" w:rsidP="00550AA7">
      <w:pPr>
        <w:adjustRightInd w:val="0"/>
        <w:ind w:left="567" w:hanging="567"/>
        <w:jc w:val="both"/>
      </w:pPr>
      <w:r w:rsidRPr="00543567">
        <w:t xml:space="preserve">Ralcheva, A., &amp; Roosenboom, P. (2020). Forecasting success in equity crowdfunding. </w:t>
      </w:r>
      <w:r w:rsidRPr="00543567">
        <w:rPr>
          <w:i/>
          <w:iCs/>
        </w:rPr>
        <w:t>Small Business Economics</w:t>
      </w:r>
      <w:r w:rsidR="00CC4A4B">
        <w:rPr>
          <w:i/>
          <w:iCs/>
        </w:rPr>
        <w:t>,</w:t>
      </w:r>
      <w:r w:rsidRPr="00543567">
        <w:t xml:space="preserve"> </w:t>
      </w:r>
      <w:r w:rsidRPr="00CC4A4B">
        <w:rPr>
          <w:i/>
          <w:iCs/>
        </w:rPr>
        <w:t>55</w:t>
      </w:r>
      <w:r w:rsidR="00CC4A4B">
        <w:t>(1),</w:t>
      </w:r>
      <w:r w:rsidRPr="00543567">
        <w:t xml:space="preserve"> 39–56.</w:t>
      </w:r>
      <w:r w:rsidR="00CC4A4B" w:rsidRPr="00CC4A4B">
        <w:rPr>
          <w:rFonts w:ascii="Merriweather Sans" w:hAnsi="Merriweather Sans"/>
          <w:color w:val="222222"/>
          <w:shd w:val="clear" w:color="auto" w:fill="FFFFFF"/>
        </w:rPr>
        <w:t xml:space="preserve"> </w:t>
      </w:r>
      <w:r w:rsidR="00CC4A4B" w:rsidRPr="00CC4A4B">
        <w:t>https://doi.org/10.1007/s11187-019-00144-x</w:t>
      </w:r>
    </w:p>
    <w:p w14:paraId="758774B1" w14:textId="66FFAE64" w:rsidR="00550AA7" w:rsidRPr="00543567" w:rsidRDefault="00550AA7" w:rsidP="00550AA7">
      <w:pPr>
        <w:adjustRightInd w:val="0"/>
        <w:ind w:left="567" w:hanging="567"/>
        <w:jc w:val="both"/>
        <w:rPr>
          <w:shd w:val="clear" w:color="auto" w:fill="FFFFFF"/>
        </w:rPr>
      </w:pPr>
      <w:r w:rsidRPr="00543567">
        <w:t xml:space="preserve">Richard, O. C., Barnett, T., Dwyer, S., &amp; Chadwick, K. (2004). Cultural </w:t>
      </w:r>
      <w:r w:rsidR="006C1FAC">
        <w:t>d</w:t>
      </w:r>
      <w:r w:rsidRPr="00543567">
        <w:t xml:space="preserve">iversity in </w:t>
      </w:r>
      <w:r w:rsidR="006C1FAC">
        <w:t>m</w:t>
      </w:r>
      <w:r w:rsidRPr="00543567">
        <w:t xml:space="preserve">anagement, </w:t>
      </w:r>
      <w:r w:rsidR="006C1FAC">
        <w:t>f</w:t>
      </w:r>
      <w:r w:rsidRPr="00543567">
        <w:t xml:space="preserve">irm </w:t>
      </w:r>
      <w:r w:rsidR="006C1FAC">
        <w:t>p</w:t>
      </w:r>
      <w:r w:rsidRPr="00543567">
        <w:t xml:space="preserve">erformance, and the </w:t>
      </w:r>
      <w:r w:rsidR="000C1EA4">
        <w:t>m</w:t>
      </w:r>
      <w:r w:rsidRPr="00543567">
        <w:t xml:space="preserve">oderating </w:t>
      </w:r>
      <w:r w:rsidR="006C1FAC">
        <w:t>r</w:t>
      </w:r>
      <w:r w:rsidRPr="00543567">
        <w:t xml:space="preserve">ole of </w:t>
      </w:r>
      <w:r w:rsidR="006C1FAC">
        <w:t>e</w:t>
      </w:r>
      <w:r w:rsidRPr="00543567">
        <w:t xml:space="preserve">ntrepreneurial </w:t>
      </w:r>
      <w:r w:rsidR="006C1FAC">
        <w:t>o</w:t>
      </w:r>
      <w:r w:rsidRPr="00543567">
        <w:t xml:space="preserve">rientation </w:t>
      </w:r>
      <w:r w:rsidR="006C1FAC">
        <w:lastRenderedPageBreak/>
        <w:t>d</w:t>
      </w:r>
      <w:r w:rsidRPr="00543567">
        <w:t xml:space="preserve">imensions. </w:t>
      </w:r>
      <w:r w:rsidRPr="00543567">
        <w:rPr>
          <w:i/>
          <w:iCs/>
        </w:rPr>
        <w:t>Academy of Management Journal</w:t>
      </w:r>
      <w:r w:rsidR="006C1FAC">
        <w:rPr>
          <w:i/>
          <w:iCs/>
        </w:rPr>
        <w:t>,</w:t>
      </w:r>
      <w:r w:rsidRPr="00543567">
        <w:t xml:space="preserve"> 47</w:t>
      </w:r>
      <w:r w:rsidR="006C1FAC">
        <w:t>(2),</w:t>
      </w:r>
      <w:r w:rsidRPr="00543567">
        <w:t xml:space="preserve"> 255–266.</w:t>
      </w:r>
      <w:r w:rsidR="006C1FAC" w:rsidRPr="006C1FAC">
        <w:t xml:space="preserve"> </w:t>
      </w:r>
      <w:hyperlink r:id="rId88" w:history="1">
        <w:r w:rsidR="006C1FAC" w:rsidRPr="006C1FAC">
          <w:rPr>
            <w:rStyle w:val="Hyperlink"/>
          </w:rPr>
          <w:t>https://doi.org/10.5465/20159576</w:t>
        </w:r>
      </w:hyperlink>
    </w:p>
    <w:p w14:paraId="68949033" w14:textId="7D183C27" w:rsidR="00550AA7" w:rsidRPr="00543567" w:rsidRDefault="00550AA7" w:rsidP="00550AA7">
      <w:pPr>
        <w:adjustRightInd w:val="0"/>
        <w:ind w:left="567" w:hanging="567"/>
        <w:jc w:val="both"/>
      </w:pPr>
      <w:r w:rsidRPr="00543567">
        <w:t xml:space="preserve">Roberts, P. W., &amp; Lall, S. A. (2019). </w:t>
      </w:r>
      <w:r w:rsidRPr="00543567">
        <w:rPr>
          <w:i/>
          <w:iCs/>
        </w:rPr>
        <w:t xml:space="preserve">Observing </w:t>
      </w:r>
      <w:r w:rsidR="00B63E73">
        <w:rPr>
          <w:i/>
          <w:iCs/>
        </w:rPr>
        <w:t>a</w:t>
      </w:r>
      <w:r w:rsidRPr="00543567">
        <w:rPr>
          <w:i/>
          <w:iCs/>
        </w:rPr>
        <w:t xml:space="preserve">cceleration: Uncovering the </w:t>
      </w:r>
      <w:r w:rsidR="00B63E73">
        <w:rPr>
          <w:i/>
          <w:iCs/>
        </w:rPr>
        <w:t>e</w:t>
      </w:r>
      <w:r w:rsidRPr="00543567">
        <w:rPr>
          <w:i/>
          <w:iCs/>
        </w:rPr>
        <w:t xml:space="preserve">ffects of </w:t>
      </w:r>
      <w:r w:rsidR="00B63E73">
        <w:rPr>
          <w:i/>
          <w:iCs/>
        </w:rPr>
        <w:t>a</w:t>
      </w:r>
      <w:r w:rsidRPr="00543567">
        <w:rPr>
          <w:i/>
          <w:iCs/>
        </w:rPr>
        <w:t xml:space="preserve">ccelerators on </w:t>
      </w:r>
      <w:r w:rsidR="00B63E73">
        <w:rPr>
          <w:i/>
          <w:iCs/>
        </w:rPr>
        <w:t>i</w:t>
      </w:r>
      <w:r w:rsidRPr="00543567">
        <w:rPr>
          <w:i/>
          <w:iCs/>
        </w:rPr>
        <w:t>mpact-</w:t>
      </w:r>
      <w:r w:rsidR="00B63E73">
        <w:rPr>
          <w:i/>
          <w:iCs/>
        </w:rPr>
        <w:t>o</w:t>
      </w:r>
      <w:r w:rsidRPr="00543567">
        <w:rPr>
          <w:i/>
          <w:iCs/>
        </w:rPr>
        <w:t xml:space="preserve">riented </w:t>
      </w:r>
      <w:r w:rsidR="00B63E73">
        <w:rPr>
          <w:i/>
          <w:iCs/>
        </w:rPr>
        <w:t>e</w:t>
      </w:r>
      <w:r w:rsidRPr="00543567">
        <w:rPr>
          <w:i/>
          <w:iCs/>
        </w:rPr>
        <w:t>ntrepreneurs</w:t>
      </w:r>
      <w:r w:rsidRPr="00543567">
        <w:t xml:space="preserve">. Palgrave Macmillan. </w:t>
      </w:r>
    </w:p>
    <w:p w14:paraId="266CF5EE" w14:textId="0E37509C" w:rsidR="00550AA7" w:rsidRPr="00543567" w:rsidRDefault="00550AA7" w:rsidP="00550AA7">
      <w:pPr>
        <w:adjustRightInd w:val="0"/>
        <w:ind w:left="567" w:hanging="567"/>
        <w:jc w:val="both"/>
        <w:rPr>
          <w:i/>
          <w:iCs/>
        </w:rPr>
      </w:pPr>
      <w:r w:rsidRPr="00543567">
        <w:t>Roberson</w:t>
      </w:r>
      <w:r w:rsidR="00B63E73">
        <w:t>,</w:t>
      </w:r>
      <w:r w:rsidRPr="00543567">
        <w:t xml:space="preserve"> Q</w:t>
      </w:r>
      <w:r w:rsidR="00B63E73">
        <w:t xml:space="preserve">. </w:t>
      </w:r>
      <w:r w:rsidRPr="00543567">
        <w:t>M</w:t>
      </w:r>
      <w:r w:rsidR="00B63E73">
        <w:t>.</w:t>
      </w:r>
      <w:r w:rsidRPr="00543567">
        <w:t xml:space="preserve"> (2019)</w:t>
      </w:r>
      <w:r w:rsidR="00B63E73">
        <w:t>.</w:t>
      </w:r>
      <w:r w:rsidRPr="00543567">
        <w:t xml:space="preserve"> Diversity in the </w:t>
      </w:r>
      <w:r w:rsidR="00B63E73">
        <w:t>w</w:t>
      </w:r>
      <w:r w:rsidRPr="00543567">
        <w:t xml:space="preserve">orkplace: A </w:t>
      </w:r>
      <w:r w:rsidR="00B63E73">
        <w:t>r</w:t>
      </w:r>
      <w:r w:rsidRPr="00543567">
        <w:t xml:space="preserve">eview, </w:t>
      </w:r>
      <w:r w:rsidR="00B63E73">
        <w:t>s</w:t>
      </w:r>
      <w:r w:rsidRPr="00543567">
        <w:t xml:space="preserve">ynthesis, and </w:t>
      </w:r>
      <w:r w:rsidR="00B63E73">
        <w:t>f</w:t>
      </w:r>
      <w:r w:rsidRPr="00543567">
        <w:t xml:space="preserve">uture </w:t>
      </w:r>
      <w:r w:rsidR="00B63E73">
        <w:t>r</w:t>
      </w:r>
      <w:r w:rsidRPr="00543567">
        <w:t xml:space="preserve">esearch </w:t>
      </w:r>
      <w:r w:rsidR="00B63E73">
        <w:t>a</w:t>
      </w:r>
      <w:r w:rsidRPr="00543567">
        <w:t xml:space="preserve">genda. </w:t>
      </w:r>
      <w:r w:rsidRPr="00543567">
        <w:rPr>
          <w:i/>
          <w:iCs/>
        </w:rPr>
        <w:t>Annual Review of Organizational Psychology and Organizational Behavior</w:t>
      </w:r>
      <w:r w:rsidR="00B63E73">
        <w:rPr>
          <w:i/>
          <w:iCs/>
        </w:rPr>
        <w:t>,</w:t>
      </w:r>
      <w:r w:rsidRPr="00543567">
        <w:rPr>
          <w:i/>
          <w:iCs/>
        </w:rPr>
        <w:t xml:space="preserve"> </w:t>
      </w:r>
      <w:r w:rsidRPr="00B63E73">
        <w:rPr>
          <w:i/>
          <w:iCs/>
        </w:rPr>
        <w:t>6</w:t>
      </w:r>
      <w:r w:rsidR="00B63E73">
        <w:t>, 69-88.</w:t>
      </w:r>
      <w:r w:rsidR="00B63E73" w:rsidRPr="00B63E73">
        <w:t xml:space="preserve"> </w:t>
      </w:r>
      <w:hyperlink r:id="rId89" w:history="1">
        <w:r w:rsidR="00B63E73" w:rsidRPr="003F5686">
          <w:rPr>
            <w:rStyle w:val="Hyperlink"/>
          </w:rPr>
          <w:t>https://doi.org/10.1146/annurev-orgpsych-012218-015243</w:t>
        </w:r>
      </w:hyperlink>
    </w:p>
    <w:p w14:paraId="3D237989" w14:textId="6DBFA38E" w:rsidR="00550AA7" w:rsidRPr="00543567" w:rsidRDefault="00550AA7" w:rsidP="00550AA7">
      <w:pPr>
        <w:adjustRightInd w:val="0"/>
        <w:ind w:left="567" w:hanging="567"/>
        <w:jc w:val="both"/>
        <w:rPr>
          <w:shd w:val="clear" w:color="auto" w:fill="FFFFFF"/>
        </w:rPr>
      </w:pPr>
      <w:r w:rsidRPr="00543567">
        <w:t xml:space="preserve">Scheinberg, S., &amp; MacMillan, I. C. (1988). An 11 country study of motivations to start a business. In: Kirchoff B., Long W., McMullan W., Vesper K.H., </w:t>
      </w:r>
      <w:r w:rsidR="003F5686">
        <w:t xml:space="preserve">&amp; </w:t>
      </w:r>
      <w:r w:rsidRPr="00543567">
        <w:t xml:space="preserve">Wetzel W., (Editors). </w:t>
      </w:r>
      <w:r w:rsidRPr="00543567">
        <w:rPr>
          <w:i/>
          <w:iCs/>
        </w:rPr>
        <w:t>Frontiers of entrepreneurship research</w:t>
      </w:r>
      <w:r w:rsidRPr="00543567">
        <w:t>. Wellesley. MA: Babson College.</w:t>
      </w:r>
    </w:p>
    <w:p w14:paraId="14FA60F4" w14:textId="7B1C2C3D" w:rsidR="00550AA7" w:rsidRPr="00543567" w:rsidRDefault="00550AA7" w:rsidP="00550AA7">
      <w:pPr>
        <w:adjustRightInd w:val="0"/>
        <w:ind w:left="567" w:hanging="567"/>
        <w:jc w:val="both"/>
        <w:rPr>
          <w:lang w:val="en-US"/>
        </w:rPr>
      </w:pPr>
      <w:r w:rsidRPr="00543567">
        <w:t xml:space="preserve">Schlaegel, C., He, X., &amp; Engle, R. L. (2013). The </w:t>
      </w:r>
      <w:r w:rsidR="003F5686">
        <w:t>d</w:t>
      </w:r>
      <w:r w:rsidRPr="00543567">
        <w:t xml:space="preserve">irect and </w:t>
      </w:r>
      <w:r w:rsidR="003F5686">
        <w:t>i</w:t>
      </w:r>
      <w:r w:rsidRPr="00543567">
        <w:t xml:space="preserve">ndirect </w:t>
      </w:r>
      <w:r w:rsidR="003F5686">
        <w:t>i</w:t>
      </w:r>
      <w:r w:rsidRPr="00543567">
        <w:t xml:space="preserve">nfluences of </w:t>
      </w:r>
      <w:r w:rsidR="003F5686">
        <w:t>n</w:t>
      </w:r>
      <w:r w:rsidRPr="00543567">
        <w:t xml:space="preserve">ational </w:t>
      </w:r>
      <w:r w:rsidR="003F5686">
        <w:t>c</w:t>
      </w:r>
      <w:r w:rsidRPr="00543567">
        <w:t xml:space="preserve">ulture on </w:t>
      </w:r>
      <w:r w:rsidR="003F5686">
        <w:t>e</w:t>
      </w:r>
      <w:r w:rsidRPr="00543567">
        <w:t xml:space="preserve">ntrepreneurial </w:t>
      </w:r>
      <w:r w:rsidR="003F5686">
        <w:t>i</w:t>
      </w:r>
      <w:r w:rsidRPr="00543567">
        <w:t xml:space="preserve">ntent: A </w:t>
      </w:r>
      <w:r w:rsidR="003F5686">
        <w:t>f</w:t>
      </w:r>
      <w:r w:rsidRPr="00543567">
        <w:t xml:space="preserve">ourteen </w:t>
      </w:r>
      <w:r w:rsidR="003F5686">
        <w:t>n</w:t>
      </w:r>
      <w:r w:rsidRPr="00543567">
        <w:t xml:space="preserve">ation </w:t>
      </w:r>
      <w:r w:rsidR="003F5686">
        <w:t>s</w:t>
      </w:r>
      <w:r w:rsidRPr="00543567">
        <w:t xml:space="preserve">tudy. </w:t>
      </w:r>
      <w:r w:rsidRPr="00543567">
        <w:rPr>
          <w:i/>
          <w:iCs/>
        </w:rPr>
        <w:t>International Journal of Management</w:t>
      </w:r>
      <w:r w:rsidR="003F5686">
        <w:rPr>
          <w:i/>
          <w:iCs/>
        </w:rPr>
        <w:t>,</w:t>
      </w:r>
      <w:r w:rsidRPr="00543567">
        <w:t xml:space="preserve"> 30</w:t>
      </w:r>
      <w:r w:rsidR="003F5686">
        <w:t>(2),</w:t>
      </w:r>
      <w:r w:rsidRPr="00543567">
        <w:t xml:space="preserve"> 597-609.</w:t>
      </w:r>
      <w:r w:rsidR="003F5686" w:rsidRPr="003F5686">
        <w:rPr>
          <w:rFonts w:ascii="Open Sans" w:hAnsi="Open Sans" w:cs="Open Sans"/>
          <w:color w:val="333333"/>
          <w:sz w:val="21"/>
          <w:szCs w:val="21"/>
          <w:shd w:val="clear" w:color="auto" w:fill="FFFFFF"/>
        </w:rPr>
        <w:t xml:space="preserve"> </w:t>
      </w:r>
    </w:p>
    <w:p w14:paraId="64661E7F" w14:textId="02DA0983" w:rsidR="00550AA7" w:rsidRPr="002D1549" w:rsidRDefault="00550AA7" w:rsidP="00550AA7">
      <w:pPr>
        <w:adjustRightInd w:val="0"/>
        <w:ind w:left="567" w:hanging="567"/>
        <w:jc w:val="both"/>
        <w:rPr>
          <w:lang w:val="en-US"/>
        </w:rPr>
      </w:pPr>
      <w:r w:rsidRPr="00550AA7">
        <w:t>Schueth</w:t>
      </w:r>
      <w:r w:rsidR="005F66DE">
        <w:t>,</w:t>
      </w:r>
      <w:r w:rsidRPr="00550AA7">
        <w:t xml:space="preserve"> S</w:t>
      </w:r>
      <w:r w:rsidR="005F66DE">
        <w:t>.</w:t>
      </w:r>
      <w:r w:rsidRPr="00550AA7">
        <w:t>,</w:t>
      </w:r>
      <w:r w:rsidRPr="00550AA7">
        <w:rPr>
          <w:lang w:val="en-US"/>
        </w:rPr>
        <w:t xml:space="preserve"> </w:t>
      </w:r>
      <w:r w:rsidR="005F66DE">
        <w:rPr>
          <w:lang w:val="en-US"/>
        </w:rPr>
        <w:t xml:space="preserve">&amp; </w:t>
      </w:r>
      <w:r w:rsidRPr="00550AA7">
        <w:t>O'loughlin</w:t>
      </w:r>
      <w:r w:rsidR="005F66DE">
        <w:t>,</w:t>
      </w:r>
      <w:r w:rsidRPr="00550AA7">
        <w:t xml:space="preserve"> J</w:t>
      </w:r>
      <w:r w:rsidR="005F66DE">
        <w:t>.</w:t>
      </w:r>
      <w:r w:rsidRPr="00550AA7">
        <w:t xml:space="preserve"> (2008)</w:t>
      </w:r>
      <w:r w:rsidR="005F66DE">
        <w:t>.</w:t>
      </w:r>
      <w:r w:rsidRPr="00550AA7">
        <w:t xml:space="preserve"> Belonging to the world: Cosmopolitanism in geographic contexts. </w:t>
      </w:r>
      <w:r w:rsidRPr="00550AA7">
        <w:rPr>
          <w:i/>
          <w:iCs/>
        </w:rPr>
        <w:t>Geoforum</w:t>
      </w:r>
      <w:r w:rsidR="005F66DE">
        <w:rPr>
          <w:i/>
          <w:iCs/>
        </w:rPr>
        <w:t>,</w:t>
      </w:r>
      <w:r w:rsidRPr="005F66DE">
        <w:rPr>
          <w:i/>
          <w:iCs/>
        </w:rPr>
        <w:t xml:space="preserve"> 39</w:t>
      </w:r>
      <w:r w:rsidR="005F66DE">
        <w:t>(2),</w:t>
      </w:r>
      <w:r w:rsidRPr="00550AA7">
        <w:t xml:space="preserve"> 926-941.</w:t>
      </w:r>
      <w:r w:rsidR="005F66DE" w:rsidRPr="005F66DE">
        <w:t xml:space="preserve"> </w:t>
      </w:r>
      <w:hyperlink r:id="rId90" w:tgtFrame="_blank" w:tooltip="Persistent link using digital object identifier" w:history="1">
        <w:r w:rsidR="005F66DE" w:rsidRPr="005F66DE">
          <w:rPr>
            <w:rStyle w:val="Hyperlink"/>
          </w:rPr>
          <w:t>https://doi.org/10.1016/j.geoforum.2007.10.002</w:t>
        </w:r>
      </w:hyperlink>
    </w:p>
    <w:p w14:paraId="3CACCE45" w14:textId="01ABA90E" w:rsidR="00550AA7" w:rsidRPr="00543567" w:rsidRDefault="00550AA7" w:rsidP="00550AA7">
      <w:pPr>
        <w:adjustRightInd w:val="0"/>
        <w:ind w:left="567" w:hanging="567"/>
        <w:jc w:val="both"/>
      </w:pPr>
      <w:r w:rsidRPr="00543567">
        <w:t xml:space="preserve">Shaw, J. B. (1990). A cognitive categorization model for the study of intercultural management. </w:t>
      </w:r>
      <w:r w:rsidRPr="00543567">
        <w:rPr>
          <w:i/>
          <w:iCs/>
        </w:rPr>
        <w:t>Academy of Management Review</w:t>
      </w:r>
      <w:r w:rsidR="006142C3" w:rsidRPr="004F721B">
        <w:rPr>
          <w:i/>
          <w:iCs/>
          <w:lang w:val="en-US"/>
        </w:rPr>
        <w:t>,</w:t>
      </w:r>
      <w:r w:rsidRPr="00543567">
        <w:rPr>
          <w:i/>
          <w:iCs/>
        </w:rPr>
        <w:t xml:space="preserve"> </w:t>
      </w:r>
      <w:r w:rsidRPr="006142C3">
        <w:rPr>
          <w:i/>
          <w:iCs/>
        </w:rPr>
        <w:t>15</w:t>
      </w:r>
      <w:r w:rsidR="006142C3" w:rsidRPr="004F721B">
        <w:rPr>
          <w:lang w:val="en-US"/>
        </w:rPr>
        <w:t>(4),</w:t>
      </w:r>
      <w:r w:rsidRPr="00543567">
        <w:t xml:space="preserve"> 626-645.</w:t>
      </w:r>
      <w:r w:rsidR="006142C3" w:rsidRPr="006142C3">
        <w:t xml:space="preserve"> </w:t>
      </w:r>
      <w:hyperlink r:id="rId91" w:history="1">
        <w:r w:rsidR="006142C3" w:rsidRPr="006142C3">
          <w:rPr>
            <w:rStyle w:val="Hyperlink"/>
          </w:rPr>
          <w:t>https://doi.org/10.5465/amr.1990.4310830</w:t>
        </w:r>
      </w:hyperlink>
    </w:p>
    <w:p w14:paraId="293098DE" w14:textId="318135FC" w:rsidR="004F721B" w:rsidRPr="006B7A1A" w:rsidRDefault="00550AA7" w:rsidP="004F721B">
      <w:pPr>
        <w:adjustRightInd w:val="0"/>
        <w:ind w:left="567" w:hanging="567"/>
        <w:jc w:val="both"/>
        <w:rPr>
          <w:lang w:val="en-US"/>
        </w:rPr>
      </w:pPr>
      <w:r w:rsidRPr="00543567">
        <w:t xml:space="preserve">Soleimani, L., &amp; Stauffer, R. (2024). New venture teams and acquisition: Team composition matters, </w:t>
      </w:r>
      <w:r w:rsidRPr="00543567">
        <w:rPr>
          <w:i/>
          <w:iCs/>
        </w:rPr>
        <w:t>Journal of Small Business Management</w:t>
      </w:r>
      <w:r w:rsidR="006142C3" w:rsidRPr="004F721B">
        <w:rPr>
          <w:i/>
          <w:iCs/>
          <w:lang w:val="en-US"/>
        </w:rPr>
        <w:t>,</w:t>
      </w:r>
      <w:r w:rsidRPr="00543567">
        <w:t xml:space="preserve"> </w:t>
      </w:r>
      <w:r w:rsidRPr="001234A4">
        <w:rPr>
          <w:i/>
          <w:iCs/>
        </w:rPr>
        <w:t>62</w:t>
      </w:r>
      <w:r w:rsidR="006142C3" w:rsidRPr="004F721B">
        <w:rPr>
          <w:lang w:val="en-US"/>
        </w:rPr>
        <w:t>(2),</w:t>
      </w:r>
      <w:r w:rsidRPr="00543567">
        <w:t xml:space="preserve"> 1030-1057.</w:t>
      </w:r>
      <w:r w:rsidR="004F721B" w:rsidRPr="004F721B">
        <w:rPr>
          <w:lang w:val="en-US"/>
        </w:rPr>
        <w:t xml:space="preserve"> </w:t>
      </w:r>
      <w:hyperlink r:id="rId92" w:history="1">
        <w:r w:rsidR="004F721B" w:rsidRPr="004F721B">
          <w:rPr>
            <w:rStyle w:val="Hyperlink"/>
            <w:lang w:val="en-US"/>
          </w:rPr>
          <w:t>https://doi.org/10.1080/00472778.2022.2122481</w:t>
        </w:r>
      </w:hyperlink>
    </w:p>
    <w:p w14:paraId="13E97EC0" w14:textId="77777777" w:rsidR="004F721B" w:rsidRPr="006B7A1A" w:rsidRDefault="004F721B" w:rsidP="00550AA7">
      <w:pPr>
        <w:adjustRightInd w:val="0"/>
        <w:ind w:left="567" w:hanging="567"/>
        <w:jc w:val="both"/>
        <w:rPr>
          <w:lang w:val="en-US"/>
        </w:rPr>
      </w:pPr>
    </w:p>
    <w:p w14:paraId="4DC1E0FA" w14:textId="61B1E6C0" w:rsidR="00550AA7" w:rsidRPr="00543567" w:rsidRDefault="00550AA7" w:rsidP="00550AA7">
      <w:pPr>
        <w:adjustRightInd w:val="0"/>
        <w:ind w:left="567" w:hanging="567"/>
        <w:jc w:val="both"/>
      </w:pPr>
      <w:r w:rsidRPr="00543567">
        <w:t>Solodoha, E., &amp; Rosenzweig, S. (2023). The relationship between entrepreneurs’ founding experience, investing angels and start-ups’ technological output. June 5. Available at: SSRN: </w:t>
      </w:r>
      <w:hyperlink r:id="rId93" w:history="1">
        <w:r w:rsidRPr="00543567">
          <w:rPr>
            <w:u w:val="single"/>
          </w:rPr>
          <w:t>http://dx.doi.org/10.2139/ssrn.4469986</w:t>
        </w:r>
      </w:hyperlink>
    </w:p>
    <w:p w14:paraId="21E0C484" w14:textId="4500E25A" w:rsidR="00550AA7" w:rsidRPr="00543567" w:rsidRDefault="00550AA7" w:rsidP="00550AA7">
      <w:pPr>
        <w:adjustRightInd w:val="0"/>
        <w:ind w:left="567" w:hanging="567"/>
        <w:jc w:val="both"/>
      </w:pPr>
      <w:r w:rsidRPr="00543567">
        <w:t xml:space="preserve">Spence, M. (1973). Job Market Signaling. </w:t>
      </w:r>
      <w:r w:rsidRPr="00543567">
        <w:rPr>
          <w:i/>
          <w:iCs/>
        </w:rPr>
        <w:t>Quarterly Journal of Economics</w:t>
      </w:r>
      <w:r w:rsidR="001234A4" w:rsidRPr="001234A4">
        <w:rPr>
          <w:i/>
          <w:iCs/>
          <w:lang w:val="en-US"/>
        </w:rPr>
        <w:t>,</w:t>
      </w:r>
      <w:r w:rsidRPr="00543567">
        <w:t xml:space="preserve"> </w:t>
      </w:r>
      <w:r w:rsidRPr="001234A4">
        <w:rPr>
          <w:i/>
          <w:iCs/>
        </w:rPr>
        <w:t>87</w:t>
      </w:r>
      <w:r w:rsidRPr="00543567">
        <w:t>(3)</w:t>
      </w:r>
      <w:r w:rsidR="001234A4" w:rsidRPr="001234A4">
        <w:rPr>
          <w:lang w:val="en-US"/>
        </w:rPr>
        <w:t>,</w:t>
      </w:r>
      <w:r w:rsidRPr="00543567">
        <w:t xml:space="preserve"> 355-</w:t>
      </w:r>
      <w:r w:rsidR="001234A4" w:rsidRPr="001234A4">
        <w:rPr>
          <w:lang w:val="en-US"/>
        </w:rPr>
        <w:t>3</w:t>
      </w:r>
      <w:r w:rsidRPr="00543567">
        <w:t xml:space="preserve">74. </w:t>
      </w:r>
      <w:r w:rsidR="001234A4" w:rsidRPr="001234A4">
        <w:rPr>
          <w:u w:val="single"/>
        </w:rPr>
        <w:t>https://doi.org/10.2307/1882010</w:t>
      </w:r>
    </w:p>
    <w:p w14:paraId="46DFD2CC" w14:textId="4DF878C7" w:rsidR="00550AA7" w:rsidRPr="00543567" w:rsidDel="00C544FF" w:rsidRDefault="00550AA7" w:rsidP="00550AA7">
      <w:pPr>
        <w:adjustRightInd w:val="0"/>
        <w:ind w:left="567" w:hanging="567"/>
        <w:jc w:val="both"/>
      </w:pPr>
      <w:r w:rsidRPr="00543567">
        <w:t xml:space="preserve">Spence, M. (2002). Signaling in Retrospect and the Informational Structure of Markets. </w:t>
      </w:r>
      <w:r w:rsidRPr="00543567">
        <w:rPr>
          <w:i/>
          <w:iCs/>
        </w:rPr>
        <w:t>The American Economic Review</w:t>
      </w:r>
      <w:r w:rsidR="001234A4" w:rsidRPr="00D4538E">
        <w:rPr>
          <w:i/>
          <w:iCs/>
          <w:lang w:val="en-US"/>
        </w:rPr>
        <w:t>,</w:t>
      </w:r>
      <w:r w:rsidRPr="00543567">
        <w:t xml:space="preserve"> </w:t>
      </w:r>
      <w:r w:rsidRPr="001234A4">
        <w:rPr>
          <w:i/>
          <w:iCs/>
        </w:rPr>
        <w:t>92</w:t>
      </w:r>
      <w:r w:rsidR="001234A4" w:rsidRPr="00D4538E">
        <w:rPr>
          <w:lang w:val="en-US"/>
        </w:rPr>
        <w:t>(3),</w:t>
      </w:r>
      <w:r w:rsidRPr="00543567">
        <w:t xml:space="preserve"> 434-459. </w:t>
      </w:r>
      <w:r w:rsidRPr="00543567" w:rsidDel="00C544FF">
        <w:t xml:space="preserve"> </w:t>
      </w:r>
      <w:r w:rsidR="001234A4" w:rsidRPr="001234A4">
        <w:rPr>
          <w:u w:val="single"/>
        </w:rPr>
        <w:t>https://doi.org/</w:t>
      </w:r>
      <w:r w:rsidR="001234A4" w:rsidRPr="001234A4">
        <w:t>10.1257/00028280260136200</w:t>
      </w:r>
    </w:p>
    <w:p w14:paraId="13A6A398" w14:textId="503E3B37" w:rsidR="00550AA7" w:rsidRPr="00543567" w:rsidRDefault="00550AA7" w:rsidP="00550AA7">
      <w:pPr>
        <w:adjustRightInd w:val="0"/>
        <w:ind w:left="567" w:hanging="567"/>
        <w:jc w:val="both"/>
      </w:pPr>
      <w:r w:rsidRPr="00543567">
        <w:rPr>
          <w:lang w:val="en-US"/>
        </w:rPr>
        <w:t>Steigenberger</w:t>
      </w:r>
      <w:r w:rsidR="00D4538E" w:rsidRPr="00D4538E">
        <w:rPr>
          <w:lang w:val="en-US"/>
        </w:rPr>
        <w:t>,</w:t>
      </w:r>
      <w:r w:rsidRPr="00543567">
        <w:rPr>
          <w:lang w:val="en-US"/>
        </w:rPr>
        <w:t> N</w:t>
      </w:r>
      <w:r w:rsidR="00D4538E" w:rsidRPr="00D4538E">
        <w:rPr>
          <w:lang w:val="en-US"/>
        </w:rPr>
        <w:t>.</w:t>
      </w:r>
      <w:r w:rsidRPr="00543567">
        <w:rPr>
          <w:lang w:val="en-US"/>
        </w:rPr>
        <w:t xml:space="preserve">, </w:t>
      </w:r>
      <w:r w:rsidR="00D4538E" w:rsidRPr="00D4538E">
        <w:rPr>
          <w:lang w:val="en-US"/>
        </w:rPr>
        <w:t xml:space="preserve">&amp; </w:t>
      </w:r>
      <w:r w:rsidRPr="00543567">
        <w:rPr>
          <w:lang w:val="en-US"/>
        </w:rPr>
        <w:t>Wilhelm</w:t>
      </w:r>
      <w:r w:rsidR="00D4538E" w:rsidRPr="00D4538E">
        <w:rPr>
          <w:lang w:val="en-US"/>
        </w:rPr>
        <w:t>,</w:t>
      </w:r>
      <w:r w:rsidRPr="00543567">
        <w:rPr>
          <w:lang w:val="en-US"/>
        </w:rPr>
        <w:t xml:space="preserve"> H</w:t>
      </w:r>
      <w:r w:rsidR="00D4538E" w:rsidRPr="00D4538E">
        <w:rPr>
          <w:lang w:val="en-US"/>
        </w:rPr>
        <w:t>.</w:t>
      </w:r>
      <w:r w:rsidRPr="00543567">
        <w:rPr>
          <w:lang w:val="en-US"/>
        </w:rPr>
        <w:t xml:space="preserve"> </w:t>
      </w:r>
      <w:r w:rsidRPr="00543567">
        <w:t>(2018)</w:t>
      </w:r>
      <w:r w:rsidR="00D4538E" w:rsidRPr="00297F07">
        <w:rPr>
          <w:lang w:val="en-US"/>
        </w:rPr>
        <w:t>.</w:t>
      </w:r>
      <w:r w:rsidRPr="00543567">
        <w:t xml:space="preserve"> </w:t>
      </w:r>
      <w:r w:rsidRPr="00543567">
        <w:rPr>
          <w:lang w:val="en-US"/>
        </w:rPr>
        <w:t xml:space="preserve">Extending </w:t>
      </w:r>
      <w:r w:rsidR="00D4538E">
        <w:rPr>
          <w:lang w:val="en-US"/>
        </w:rPr>
        <w:t>s</w:t>
      </w:r>
      <w:r w:rsidRPr="00543567">
        <w:rPr>
          <w:lang w:val="en-US"/>
        </w:rPr>
        <w:t xml:space="preserve">ignaling </w:t>
      </w:r>
      <w:r w:rsidR="00D4538E">
        <w:rPr>
          <w:lang w:val="en-US"/>
        </w:rPr>
        <w:t>t</w:t>
      </w:r>
      <w:r w:rsidRPr="00543567">
        <w:rPr>
          <w:lang w:val="en-US"/>
        </w:rPr>
        <w:t xml:space="preserve">heory to </w:t>
      </w:r>
      <w:r w:rsidR="00D4538E">
        <w:rPr>
          <w:lang w:val="en-US"/>
        </w:rPr>
        <w:t>r</w:t>
      </w:r>
      <w:r w:rsidRPr="00543567">
        <w:rPr>
          <w:lang w:val="en-US"/>
        </w:rPr>
        <w:t xml:space="preserve">hetorical </w:t>
      </w:r>
      <w:r w:rsidR="00D4538E">
        <w:rPr>
          <w:lang w:val="en-US"/>
        </w:rPr>
        <w:t>s</w:t>
      </w:r>
      <w:r w:rsidRPr="00543567">
        <w:rPr>
          <w:lang w:val="en-US"/>
        </w:rPr>
        <w:t xml:space="preserve">ignals: Evidence from </w:t>
      </w:r>
      <w:r w:rsidR="00D4538E">
        <w:rPr>
          <w:lang w:val="en-US"/>
        </w:rPr>
        <w:t>c</w:t>
      </w:r>
      <w:r w:rsidRPr="00543567">
        <w:rPr>
          <w:lang w:val="en-US"/>
        </w:rPr>
        <w:t>rowdfunding</w:t>
      </w:r>
      <w:r w:rsidRPr="00543567">
        <w:t xml:space="preserve">. </w:t>
      </w:r>
      <w:r w:rsidRPr="00543567">
        <w:rPr>
          <w:i/>
          <w:iCs/>
        </w:rPr>
        <w:t>Organization Science</w:t>
      </w:r>
      <w:r w:rsidR="00D4538E" w:rsidRPr="00D4538E">
        <w:rPr>
          <w:i/>
          <w:iCs/>
          <w:lang w:val="en-US"/>
        </w:rPr>
        <w:t>,</w:t>
      </w:r>
      <w:r w:rsidRPr="00543567">
        <w:t xml:space="preserve"> </w:t>
      </w:r>
      <w:r w:rsidRPr="00D4538E">
        <w:rPr>
          <w:i/>
          <w:iCs/>
        </w:rPr>
        <w:t>29</w:t>
      </w:r>
      <w:r w:rsidR="00D4538E" w:rsidRPr="00D4538E">
        <w:rPr>
          <w:lang w:val="en-US"/>
        </w:rPr>
        <w:t>(3),</w:t>
      </w:r>
      <w:r w:rsidRPr="00543567">
        <w:rPr>
          <w:rFonts w:ascii="Roboto" w:hAnsi="Roboto"/>
          <w:b/>
          <w:bCs/>
          <w:sz w:val="18"/>
          <w:szCs w:val="18"/>
          <w:shd w:val="clear" w:color="auto" w:fill="FFFFFF"/>
        </w:rPr>
        <w:t xml:space="preserve"> </w:t>
      </w:r>
      <w:r w:rsidRPr="00543567">
        <w:t>529-546.</w:t>
      </w:r>
      <w:r w:rsidR="00D4538E" w:rsidRPr="00D4538E">
        <w:t xml:space="preserve"> </w:t>
      </w:r>
      <w:hyperlink r:id="rId94" w:history="1">
        <w:r w:rsidR="00D4538E" w:rsidRPr="00D4538E">
          <w:rPr>
            <w:rStyle w:val="Hyperlink"/>
          </w:rPr>
          <w:t>https://doi.org/10.1287/orsc.2017.1195</w:t>
        </w:r>
      </w:hyperlink>
    </w:p>
    <w:p w14:paraId="7ADEBCA1" w14:textId="7E728D69" w:rsidR="00550AA7" w:rsidRPr="00543567" w:rsidRDefault="00550AA7" w:rsidP="00550AA7">
      <w:pPr>
        <w:adjustRightInd w:val="0"/>
        <w:ind w:left="567" w:hanging="567"/>
        <w:jc w:val="both"/>
      </w:pPr>
      <w:r w:rsidRPr="00543567">
        <w:t xml:space="preserve">Sudek, R. (2006). Angel </w:t>
      </w:r>
      <w:r w:rsidR="007E44F1">
        <w:t>i</w:t>
      </w:r>
      <w:r w:rsidRPr="00543567">
        <w:t xml:space="preserve">nvestment </w:t>
      </w:r>
      <w:r w:rsidR="007E44F1">
        <w:t>c</w:t>
      </w:r>
      <w:r w:rsidRPr="00543567">
        <w:t xml:space="preserve">riteria. </w:t>
      </w:r>
      <w:r w:rsidRPr="00543567">
        <w:rPr>
          <w:i/>
          <w:iCs/>
        </w:rPr>
        <w:t>Journal of Small Business Strategy</w:t>
      </w:r>
      <w:r w:rsidR="007E44F1">
        <w:rPr>
          <w:i/>
          <w:iCs/>
        </w:rPr>
        <w:t>,</w:t>
      </w:r>
      <w:r w:rsidRPr="00543567">
        <w:t xml:space="preserve"> </w:t>
      </w:r>
      <w:r w:rsidRPr="007E44F1">
        <w:rPr>
          <w:i/>
          <w:iCs/>
        </w:rPr>
        <w:t>17</w:t>
      </w:r>
      <w:r w:rsidRPr="00543567">
        <w:t>(2)</w:t>
      </w:r>
      <w:r w:rsidR="007E44F1">
        <w:t>,</w:t>
      </w:r>
      <w:r w:rsidRPr="00543567">
        <w:t xml:space="preserve"> 89-103. </w:t>
      </w:r>
    </w:p>
    <w:p w14:paraId="4DF77874" w14:textId="0BA7EC95" w:rsidR="00550AA7" w:rsidRPr="002D1549" w:rsidRDefault="00550AA7" w:rsidP="00550AA7">
      <w:pPr>
        <w:adjustRightInd w:val="0"/>
        <w:ind w:left="567" w:hanging="567"/>
        <w:jc w:val="both"/>
        <w:rPr>
          <w:lang w:val="fr-FR"/>
        </w:rPr>
      </w:pPr>
      <w:r w:rsidRPr="00550AA7">
        <w:t>Sundermeier</w:t>
      </w:r>
      <w:r w:rsidR="007E44F1">
        <w:t>,</w:t>
      </w:r>
      <w:r w:rsidRPr="00550AA7">
        <w:t xml:space="preserve"> J</w:t>
      </w:r>
      <w:r w:rsidR="007E44F1">
        <w:t>.</w:t>
      </w:r>
      <w:r w:rsidRPr="00550AA7">
        <w:t xml:space="preserve">, </w:t>
      </w:r>
      <w:r w:rsidR="007E44F1">
        <w:t xml:space="preserve">&amp; </w:t>
      </w:r>
      <w:r w:rsidRPr="00550AA7">
        <w:t>Mahlert</w:t>
      </w:r>
      <w:r w:rsidR="007E44F1">
        <w:t>,</w:t>
      </w:r>
      <w:r w:rsidRPr="00550AA7">
        <w:t xml:space="preserve"> N</w:t>
      </w:r>
      <w:r w:rsidR="007E44F1">
        <w:t>.</w:t>
      </w:r>
      <w:r w:rsidRPr="00550AA7">
        <w:t xml:space="preserve"> (2023)</w:t>
      </w:r>
      <w:r w:rsidR="007E44F1">
        <w:t>.</w:t>
      </w:r>
      <w:r w:rsidRPr="00550AA7">
        <w:t xml:space="preserve"> Entrepreneurial team diversity – A systematic review and research agenda. </w:t>
      </w:r>
      <w:r w:rsidRPr="00297F07">
        <w:rPr>
          <w:i/>
          <w:iCs/>
          <w:lang w:val="fr-FR"/>
        </w:rPr>
        <w:t>European Management Journal</w:t>
      </w:r>
      <w:r w:rsidR="007E44F1" w:rsidRPr="00297F07">
        <w:rPr>
          <w:i/>
          <w:iCs/>
          <w:lang w:val="fr-FR"/>
        </w:rPr>
        <w:t>,</w:t>
      </w:r>
      <w:r w:rsidRPr="00297F07">
        <w:rPr>
          <w:lang w:val="fr-FR"/>
        </w:rPr>
        <w:t xml:space="preserve"> </w:t>
      </w:r>
      <w:r w:rsidRPr="00297F07">
        <w:rPr>
          <w:i/>
          <w:iCs/>
          <w:lang w:val="fr-FR"/>
        </w:rPr>
        <w:t>41</w:t>
      </w:r>
      <w:r w:rsidR="007E44F1" w:rsidRPr="002D1549">
        <w:rPr>
          <w:lang w:val="fr-FR"/>
        </w:rPr>
        <w:t>(6),</w:t>
      </w:r>
      <w:r w:rsidRPr="00297F07">
        <w:rPr>
          <w:lang w:val="fr-FR"/>
        </w:rPr>
        <w:t xml:space="preserve"> 972-984.</w:t>
      </w:r>
      <w:r w:rsidR="007E44F1" w:rsidRPr="00297F07">
        <w:rPr>
          <w:lang w:val="fr-FR"/>
        </w:rPr>
        <w:t xml:space="preserve"> </w:t>
      </w:r>
      <w:hyperlink r:id="rId95" w:tgtFrame="_blank" w:tooltip="Persistent link using digital object identifier" w:history="1">
        <w:r w:rsidR="007E44F1" w:rsidRPr="002D1549">
          <w:rPr>
            <w:rStyle w:val="Hyperlink"/>
            <w:lang w:val="fr-FR"/>
          </w:rPr>
          <w:t>https://doi.org/10.1016/j.emj.2022.10.010</w:t>
        </w:r>
      </w:hyperlink>
    </w:p>
    <w:p w14:paraId="29D4DFAC" w14:textId="442BD849" w:rsidR="00550AA7" w:rsidRPr="00543567" w:rsidRDefault="00550AA7" w:rsidP="00550AA7">
      <w:pPr>
        <w:adjustRightInd w:val="0"/>
        <w:ind w:left="567" w:hanging="567"/>
        <w:jc w:val="both"/>
      </w:pPr>
      <w:r w:rsidRPr="00297F07">
        <w:rPr>
          <w:lang w:val="fr-FR"/>
        </w:rPr>
        <w:t xml:space="preserve">Talavera, O., Yin, S., &amp; Zhang, M. (2018). </w:t>
      </w:r>
      <w:r w:rsidRPr="00543567">
        <w:t xml:space="preserve">Age diversity, directors’ personal values, and bank performance. </w:t>
      </w:r>
      <w:r w:rsidRPr="00543567">
        <w:rPr>
          <w:i/>
          <w:iCs/>
        </w:rPr>
        <w:t>International Review of Financial Analysis</w:t>
      </w:r>
      <w:r w:rsidR="00297F07">
        <w:rPr>
          <w:i/>
          <w:iCs/>
        </w:rPr>
        <w:t>,</w:t>
      </w:r>
      <w:r w:rsidRPr="00543567">
        <w:t xml:space="preserve"> 55</w:t>
      </w:r>
      <w:r w:rsidR="00297F07">
        <w:t>,</w:t>
      </w:r>
      <w:r w:rsidRPr="00543567">
        <w:t xml:space="preserve"> 60-79.</w:t>
      </w:r>
      <w:r w:rsidR="00297F07" w:rsidRPr="00297F07">
        <w:t xml:space="preserve"> </w:t>
      </w:r>
      <w:hyperlink r:id="rId96" w:tgtFrame="_blank" w:tooltip="Persistent link using digital object identifier" w:history="1">
        <w:r w:rsidR="00297F07" w:rsidRPr="00297F07">
          <w:rPr>
            <w:rStyle w:val="Hyperlink"/>
          </w:rPr>
          <w:t>https://doi.org/10.1016/j.irfa.2017.10.007</w:t>
        </w:r>
      </w:hyperlink>
    </w:p>
    <w:p w14:paraId="669581AE" w14:textId="61153F49" w:rsidR="00550AA7" w:rsidRPr="00543567" w:rsidRDefault="00550AA7" w:rsidP="00550AA7">
      <w:pPr>
        <w:adjustRightInd w:val="0"/>
        <w:ind w:left="567" w:hanging="567"/>
        <w:jc w:val="both"/>
      </w:pPr>
      <w:r w:rsidRPr="00543567">
        <w:t xml:space="preserve">Tank, P. S., Sharma, D., &amp; Jain, D. (2024). No substitute for strong institutions: Impact of accelerators on new venture performance. </w:t>
      </w:r>
      <w:r w:rsidRPr="00543567">
        <w:rPr>
          <w:i/>
          <w:iCs/>
        </w:rPr>
        <w:t>Journal of Business Venturing Insights</w:t>
      </w:r>
      <w:r w:rsidR="00134CBD">
        <w:rPr>
          <w:i/>
          <w:iCs/>
        </w:rPr>
        <w:t>,</w:t>
      </w:r>
      <w:r w:rsidRPr="00543567">
        <w:t xml:space="preserve"> </w:t>
      </w:r>
      <w:r w:rsidRPr="00134CBD">
        <w:rPr>
          <w:i/>
          <w:iCs/>
        </w:rPr>
        <w:t>22</w:t>
      </w:r>
      <w:r w:rsidR="00134CBD">
        <w:t>,</w:t>
      </w:r>
      <w:r w:rsidRPr="00543567">
        <w:t xml:space="preserve"> e00491</w:t>
      </w:r>
      <w:r w:rsidR="00134CBD" w:rsidRPr="00134CBD">
        <w:t xml:space="preserve"> </w:t>
      </w:r>
      <w:hyperlink r:id="rId97" w:tgtFrame="_blank" w:tooltip="Persistent link using digital object identifier" w:history="1">
        <w:r w:rsidR="00134CBD" w:rsidRPr="00134CBD">
          <w:rPr>
            <w:rStyle w:val="Hyperlink"/>
          </w:rPr>
          <w:t>https://doi.org/10.1016/j.jbvi.2024.e00491</w:t>
        </w:r>
      </w:hyperlink>
    </w:p>
    <w:p w14:paraId="109CD2E5" w14:textId="0729BA66" w:rsidR="00550AA7" w:rsidRPr="00543567" w:rsidDel="00C544FF" w:rsidRDefault="00550AA7" w:rsidP="00550AA7">
      <w:pPr>
        <w:adjustRightInd w:val="0"/>
        <w:ind w:left="567" w:hanging="567"/>
        <w:jc w:val="both"/>
      </w:pPr>
      <w:r w:rsidRPr="00543567">
        <w:t xml:space="preserve">Thai, M. T. T., &amp; Turkina, E. (2014). Macro-level determinants of formal entrepreneurship versus informal entrepreneurship. </w:t>
      </w:r>
      <w:r w:rsidRPr="00543567">
        <w:rPr>
          <w:i/>
          <w:iCs/>
        </w:rPr>
        <w:t>Journal of Business Venturing</w:t>
      </w:r>
      <w:r w:rsidR="00720AA3">
        <w:rPr>
          <w:i/>
          <w:iCs/>
        </w:rPr>
        <w:t>,</w:t>
      </w:r>
      <w:r w:rsidRPr="00543567">
        <w:t xml:space="preserve"> </w:t>
      </w:r>
      <w:r w:rsidRPr="00C161B3">
        <w:rPr>
          <w:i/>
          <w:iCs/>
        </w:rPr>
        <w:t>29</w:t>
      </w:r>
      <w:r w:rsidR="00720AA3">
        <w:t>(4),</w:t>
      </w:r>
      <w:r w:rsidRPr="00543567">
        <w:t xml:space="preserve"> 490-510.</w:t>
      </w:r>
      <w:r w:rsidR="00720AA3" w:rsidRPr="00720AA3">
        <w:t xml:space="preserve"> </w:t>
      </w:r>
      <w:hyperlink r:id="rId98" w:tgtFrame="_blank" w:tooltip="Persistent link using digital object identifier" w:history="1">
        <w:r w:rsidR="00720AA3" w:rsidRPr="00720AA3">
          <w:rPr>
            <w:rStyle w:val="Hyperlink"/>
          </w:rPr>
          <w:t>https://doi.org/10.1016/j.jbusvent.2013.07.005</w:t>
        </w:r>
      </w:hyperlink>
    </w:p>
    <w:p w14:paraId="6B535722" w14:textId="5343013C" w:rsidR="00550AA7" w:rsidRPr="00543567" w:rsidRDefault="00550AA7" w:rsidP="00550AA7">
      <w:pPr>
        <w:adjustRightInd w:val="0"/>
        <w:ind w:left="567" w:hanging="567"/>
        <w:jc w:val="both"/>
      </w:pPr>
      <w:r w:rsidRPr="00543567">
        <w:t xml:space="preserve">Tufis, C. D. (2018). </w:t>
      </w:r>
      <w:r w:rsidRPr="00543567">
        <w:rPr>
          <w:i/>
          <w:iCs/>
        </w:rPr>
        <w:t xml:space="preserve">The </w:t>
      </w:r>
      <w:r w:rsidR="00720AA3">
        <w:rPr>
          <w:i/>
          <w:iCs/>
        </w:rPr>
        <w:t>g</w:t>
      </w:r>
      <w:r w:rsidRPr="00543567">
        <w:rPr>
          <w:i/>
          <w:iCs/>
        </w:rPr>
        <w:t xml:space="preserve">lobal </w:t>
      </w:r>
      <w:r w:rsidR="00720AA3">
        <w:rPr>
          <w:i/>
          <w:iCs/>
        </w:rPr>
        <w:t>s</w:t>
      </w:r>
      <w:r w:rsidRPr="00543567">
        <w:rPr>
          <w:i/>
          <w:iCs/>
        </w:rPr>
        <w:t xml:space="preserve">tate of </w:t>
      </w:r>
      <w:r w:rsidR="00720AA3">
        <w:rPr>
          <w:i/>
          <w:iCs/>
        </w:rPr>
        <w:t>d</w:t>
      </w:r>
      <w:r w:rsidRPr="00543567">
        <w:rPr>
          <w:i/>
          <w:iCs/>
        </w:rPr>
        <w:t xml:space="preserve">emocracy </w:t>
      </w:r>
      <w:r w:rsidR="00720AA3">
        <w:rPr>
          <w:i/>
          <w:iCs/>
        </w:rPr>
        <w:t>i</w:t>
      </w:r>
      <w:r w:rsidRPr="00543567">
        <w:rPr>
          <w:i/>
          <w:iCs/>
        </w:rPr>
        <w:t xml:space="preserve">ndices </w:t>
      </w:r>
      <w:r w:rsidR="00720AA3">
        <w:rPr>
          <w:i/>
          <w:iCs/>
        </w:rPr>
        <w:t>c</w:t>
      </w:r>
      <w:r w:rsidRPr="00543567">
        <w:rPr>
          <w:i/>
          <w:iCs/>
        </w:rPr>
        <w:t>odebook, Version 2</w:t>
      </w:r>
      <w:r w:rsidRPr="00543567">
        <w:t>. International Institute for Democracy and Electoral Assistance.</w:t>
      </w:r>
    </w:p>
    <w:p w14:paraId="7742992D" w14:textId="66E09D97" w:rsidR="00550AA7" w:rsidRPr="00543567" w:rsidRDefault="00550AA7" w:rsidP="00550AA7">
      <w:pPr>
        <w:adjustRightInd w:val="0"/>
        <w:ind w:left="567" w:hanging="567"/>
        <w:jc w:val="both"/>
        <w:rPr>
          <w:lang w:val="en-US"/>
        </w:rPr>
      </w:pPr>
      <w:r w:rsidRPr="00543567">
        <w:lastRenderedPageBreak/>
        <w:t xml:space="preserve">Umans, T. (2009). Research angles on cultural diversity in top management teams. </w:t>
      </w:r>
      <w:r w:rsidRPr="00543567">
        <w:rPr>
          <w:i/>
          <w:iCs/>
        </w:rPr>
        <w:t>Problems and Perspectives in Management</w:t>
      </w:r>
      <w:r w:rsidR="00720AA3">
        <w:rPr>
          <w:i/>
          <w:iCs/>
        </w:rPr>
        <w:t>,</w:t>
      </w:r>
      <w:r w:rsidRPr="00543567">
        <w:t xml:space="preserve"> </w:t>
      </w:r>
      <w:r w:rsidRPr="00720AA3">
        <w:rPr>
          <w:i/>
          <w:iCs/>
        </w:rPr>
        <w:t>7</w:t>
      </w:r>
      <w:r w:rsidRPr="00543567">
        <w:t>(1)</w:t>
      </w:r>
      <w:r w:rsidR="00720AA3">
        <w:t>,</w:t>
      </w:r>
      <w:r w:rsidRPr="00543567">
        <w:t xml:space="preserve"> 90-105. </w:t>
      </w:r>
    </w:p>
    <w:p w14:paraId="50FB4DDB" w14:textId="520A8F15" w:rsidR="00550AA7" w:rsidRPr="001C2276" w:rsidRDefault="00550AA7" w:rsidP="00550AA7">
      <w:pPr>
        <w:adjustRightInd w:val="0"/>
        <w:ind w:left="567" w:hanging="567"/>
        <w:jc w:val="both"/>
        <w:rPr>
          <w:shd w:val="clear" w:color="auto" w:fill="FFFFFF"/>
          <w:lang w:val="en-US"/>
        </w:rPr>
      </w:pPr>
      <w:r w:rsidRPr="00543567">
        <w:rPr>
          <w:shd w:val="clear" w:color="auto" w:fill="FFFFFF"/>
          <w:lang w:val="en-US"/>
        </w:rPr>
        <w:t>van Knippenberg</w:t>
      </w:r>
      <w:r w:rsidR="001C2276">
        <w:rPr>
          <w:shd w:val="clear" w:color="auto" w:fill="FFFFFF"/>
          <w:lang w:val="en-US"/>
        </w:rPr>
        <w:t>,</w:t>
      </w:r>
      <w:r w:rsidRPr="00543567">
        <w:rPr>
          <w:shd w:val="clear" w:color="auto" w:fill="FFFFFF"/>
          <w:lang w:val="en-US"/>
        </w:rPr>
        <w:t xml:space="preserve"> </w:t>
      </w:r>
      <w:r w:rsidRPr="00543567">
        <w:rPr>
          <w:shd w:val="clear" w:color="auto" w:fill="FFFFFF"/>
        </w:rPr>
        <w:t>D</w:t>
      </w:r>
      <w:r w:rsidR="001C2276">
        <w:rPr>
          <w:shd w:val="clear" w:color="auto" w:fill="FFFFFF"/>
        </w:rPr>
        <w:t>.</w:t>
      </w:r>
      <w:r w:rsidRPr="00543567">
        <w:rPr>
          <w:shd w:val="clear" w:color="auto" w:fill="FFFFFF"/>
        </w:rPr>
        <w:t xml:space="preserve">, </w:t>
      </w:r>
      <w:r w:rsidR="001C2276">
        <w:rPr>
          <w:shd w:val="clear" w:color="auto" w:fill="FFFFFF"/>
        </w:rPr>
        <w:t xml:space="preserve">&amp; </w:t>
      </w:r>
      <w:r w:rsidRPr="00543567">
        <w:rPr>
          <w:shd w:val="clear" w:color="auto" w:fill="FFFFFF"/>
          <w:lang w:val="en-US"/>
        </w:rPr>
        <w:t>Schippers</w:t>
      </w:r>
      <w:r w:rsidR="001C2276">
        <w:rPr>
          <w:shd w:val="clear" w:color="auto" w:fill="FFFFFF"/>
          <w:lang w:val="en-US"/>
        </w:rPr>
        <w:t>,</w:t>
      </w:r>
      <w:r w:rsidRPr="00543567">
        <w:rPr>
          <w:shd w:val="clear" w:color="auto" w:fill="FFFFFF"/>
          <w:lang w:val="en-US"/>
        </w:rPr>
        <w:t xml:space="preserve"> M</w:t>
      </w:r>
      <w:r w:rsidR="001C2276">
        <w:rPr>
          <w:shd w:val="clear" w:color="auto" w:fill="FFFFFF"/>
          <w:lang w:val="en-US"/>
        </w:rPr>
        <w:t xml:space="preserve">. </w:t>
      </w:r>
      <w:r w:rsidRPr="00543567">
        <w:rPr>
          <w:shd w:val="clear" w:color="auto" w:fill="FFFFFF"/>
          <w:lang w:val="en-US"/>
        </w:rPr>
        <w:t>C</w:t>
      </w:r>
      <w:r w:rsidR="001C2276">
        <w:rPr>
          <w:shd w:val="clear" w:color="auto" w:fill="FFFFFF"/>
          <w:lang w:val="en-US"/>
        </w:rPr>
        <w:t>.</w:t>
      </w:r>
      <w:r w:rsidRPr="00543567">
        <w:rPr>
          <w:shd w:val="clear" w:color="auto" w:fill="FFFFFF"/>
          <w:lang w:val="en-US"/>
        </w:rPr>
        <w:t xml:space="preserve"> (2007)</w:t>
      </w:r>
      <w:r w:rsidR="001C2276">
        <w:rPr>
          <w:shd w:val="clear" w:color="auto" w:fill="FFFFFF"/>
          <w:lang w:val="en-US"/>
        </w:rPr>
        <w:t>.</w:t>
      </w:r>
      <w:r w:rsidRPr="00543567">
        <w:rPr>
          <w:shd w:val="clear" w:color="auto" w:fill="FFFFFF"/>
          <w:lang w:val="en-US"/>
        </w:rPr>
        <w:t xml:space="preserve"> Work </w:t>
      </w:r>
      <w:r w:rsidR="001C2276">
        <w:rPr>
          <w:shd w:val="clear" w:color="auto" w:fill="FFFFFF"/>
          <w:lang w:val="en-US"/>
        </w:rPr>
        <w:t>g</w:t>
      </w:r>
      <w:r w:rsidRPr="00543567">
        <w:rPr>
          <w:shd w:val="clear" w:color="auto" w:fill="FFFFFF"/>
          <w:lang w:val="en-US"/>
        </w:rPr>
        <w:t xml:space="preserve">roup </w:t>
      </w:r>
      <w:r w:rsidR="001C2276">
        <w:rPr>
          <w:shd w:val="clear" w:color="auto" w:fill="FFFFFF"/>
          <w:lang w:val="en-US"/>
        </w:rPr>
        <w:t>d</w:t>
      </w:r>
      <w:r w:rsidRPr="00543567">
        <w:rPr>
          <w:shd w:val="clear" w:color="auto" w:fill="FFFFFF"/>
          <w:lang w:val="en-US"/>
        </w:rPr>
        <w:t>iversity.</w:t>
      </w:r>
      <w:r w:rsidRPr="00550AA7">
        <w:t xml:space="preserve"> </w:t>
      </w:r>
      <w:r w:rsidRPr="00543567">
        <w:rPr>
          <w:i/>
          <w:iCs/>
          <w:shd w:val="clear" w:color="auto" w:fill="FFFFFF"/>
          <w:lang w:val="en-US"/>
        </w:rPr>
        <w:t>Annual Review of Psychology</w:t>
      </w:r>
      <w:r w:rsidR="001C2276">
        <w:rPr>
          <w:i/>
          <w:iCs/>
          <w:shd w:val="clear" w:color="auto" w:fill="FFFFFF"/>
          <w:lang w:val="en-US"/>
        </w:rPr>
        <w:t>,</w:t>
      </w:r>
      <w:r w:rsidRPr="00543567">
        <w:rPr>
          <w:shd w:val="clear" w:color="auto" w:fill="FFFFFF"/>
          <w:lang w:val="en-US"/>
        </w:rPr>
        <w:t xml:space="preserve"> 58</w:t>
      </w:r>
      <w:r w:rsidR="001C2276">
        <w:rPr>
          <w:shd w:val="clear" w:color="auto" w:fill="FFFFFF"/>
          <w:lang w:val="en-US"/>
        </w:rPr>
        <w:t>,</w:t>
      </w:r>
      <w:r w:rsidRPr="00543567">
        <w:rPr>
          <w:shd w:val="clear" w:color="auto" w:fill="FFFFFF"/>
          <w:lang w:val="en-US"/>
        </w:rPr>
        <w:t xml:space="preserve"> 515-541.</w:t>
      </w:r>
      <w:r w:rsidR="001C2276" w:rsidRPr="001C2276">
        <w:t xml:space="preserve"> </w:t>
      </w:r>
      <w:hyperlink r:id="rId99" w:history="1">
        <w:r w:rsidR="001C2276" w:rsidRPr="001C2276">
          <w:rPr>
            <w:rStyle w:val="Hyperlink"/>
            <w:shd w:val="clear" w:color="auto" w:fill="FFFFFF"/>
          </w:rPr>
          <w:t>https://doi.org/10.1146/annurev.psych.58.110405.085546</w:t>
        </w:r>
      </w:hyperlink>
    </w:p>
    <w:p w14:paraId="53E6A3CC" w14:textId="7A2001AD" w:rsidR="00550AA7" w:rsidRPr="00543567" w:rsidRDefault="00550AA7" w:rsidP="00550AA7">
      <w:pPr>
        <w:adjustRightInd w:val="0"/>
        <w:ind w:left="567" w:hanging="567"/>
        <w:jc w:val="both"/>
      </w:pPr>
      <w:r w:rsidRPr="00543567">
        <w:t xml:space="preserve">Verheul, I., &amp; Thurik, R. (2001). Start-up capital: does gender matter? </w:t>
      </w:r>
      <w:r w:rsidRPr="00543567">
        <w:rPr>
          <w:i/>
          <w:iCs/>
        </w:rPr>
        <w:t>Small Business Economics</w:t>
      </w:r>
      <w:r w:rsidR="001C2276">
        <w:rPr>
          <w:i/>
          <w:iCs/>
        </w:rPr>
        <w:t>,</w:t>
      </w:r>
      <w:r w:rsidRPr="00543567">
        <w:t xml:space="preserve"> </w:t>
      </w:r>
      <w:r w:rsidRPr="001C2276">
        <w:rPr>
          <w:i/>
          <w:iCs/>
        </w:rPr>
        <w:t>16</w:t>
      </w:r>
      <w:r w:rsidR="001C2276">
        <w:t>(4),</w:t>
      </w:r>
      <w:r w:rsidRPr="00543567">
        <w:t xml:space="preserve"> 329–345.</w:t>
      </w:r>
      <w:r w:rsidR="001C2276" w:rsidRPr="001C2276">
        <w:rPr>
          <w:rFonts w:ascii="Merriweather Sans" w:hAnsi="Merriweather Sans"/>
          <w:color w:val="222222"/>
          <w:shd w:val="clear" w:color="auto" w:fill="FFFFFF"/>
        </w:rPr>
        <w:t xml:space="preserve"> </w:t>
      </w:r>
      <w:r w:rsidR="001C2276" w:rsidRPr="001C2276">
        <w:t>https://doi.org/10.1023/A:1011178629240</w:t>
      </w:r>
    </w:p>
    <w:p w14:paraId="5226AFC3" w14:textId="38335C9D" w:rsidR="00550AA7" w:rsidRPr="00543567" w:rsidRDefault="00550AA7" w:rsidP="00550AA7">
      <w:pPr>
        <w:adjustRightInd w:val="0"/>
        <w:ind w:left="567" w:hanging="567"/>
        <w:jc w:val="both"/>
      </w:pPr>
      <w:r w:rsidRPr="00543567">
        <w:t xml:space="preserve">Wang, N. (2018, November 12). </w:t>
      </w:r>
      <w:r w:rsidRPr="00B50F79">
        <w:t xml:space="preserve">Diversity is the </w:t>
      </w:r>
      <w:r w:rsidR="00304053" w:rsidRPr="00B50F79">
        <w:t>k</w:t>
      </w:r>
      <w:r w:rsidRPr="00B50F79">
        <w:t xml:space="preserve">ey to </w:t>
      </w:r>
      <w:r w:rsidR="00304053" w:rsidRPr="00B50F79">
        <w:t>s</w:t>
      </w:r>
      <w:r w:rsidRPr="00B50F79">
        <w:t xml:space="preserve">tartup </w:t>
      </w:r>
      <w:r w:rsidR="00304053" w:rsidRPr="00B50F79">
        <w:t>s</w:t>
      </w:r>
      <w:r w:rsidRPr="00B50F79">
        <w:t xml:space="preserve">uccess – What </w:t>
      </w:r>
      <w:r w:rsidR="00304053" w:rsidRPr="00B50F79">
        <w:t>c</w:t>
      </w:r>
      <w:r w:rsidRPr="00B50F79">
        <w:t xml:space="preserve">an </w:t>
      </w:r>
      <w:r w:rsidR="00304053" w:rsidRPr="00B50F79">
        <w:t>e</w:t>
      </w:r>
      <w:r w:rsidRPr="00B50F79">
        <w:t>arly-</w:t>
      </w:r>
      <w:r w:rsidR="00304053" w:rsidRPr="00B50F79">
        <w:t>s</w:t>
      </w:r>
      <w:r w:rsidRPr="00B50F79">
        <w:t xml:space="preserve">tage </w:t>
      </w:r>
      <w:r w:rsidR="00304053" w:rsidRPr="00B50F79">
        <w:t>f</w:t>
      </w:r>
      <w:r w:rsidRPr="00B50F79">
        <w:t xml:space="preserve">ounders </w:t>
      </w:r>
      <w:r w:rsidR="00304053" w:rsidRPr="00B50F79">
        <w:t>d</w:t>
      </w:r>
      <w:r w:rsidRPr="00B50F79">
        <w:t xml:space="preserve">o </w:t>
      </w:r>
      <w:r w:rsidR="00304053" w:rsidRPr="00B50F79">
        <w:t>a</w:t>
      </w:r>
      <w:r w:rsidRPr="00B50F79">
        <w:t>bout it?</w:t>
      </w:r>
      <w:r w:rsidRPr="00543567">
        <w:t xml:space="preserve"> </w:t>
      </w:r>
      <w:r w:rsidRPr="00B50F79">
        <w:rPr>
          <w:i/>
          <w:iCs/>
        </w:rPr>
        <w:t>Forbes</w:t>
      </w:r>
      <w:r w:rsidRPr="00543567">
        <w:t xml:space="preserve">, November 12. </w:t>
      </w:r>
      <w:hyperlink r:id="rId100" w:anchor="411997083966" w:history="1">
        <w:r w:rsidRPr="00543567">
          <w:rPr>
            <w:u w:val="single"/>
          </w:rPr>
          <w:t>https://www.forbes.com/sites/nancywang/2018/11/12/diversity-is-the-key-to-startup-success-what-can-early-stage-founders-do-about-it/#411997083966</w:t>
        </w:r>
      </w:hyperlink>
      <w:r w:rsidRPr="00543567">
        <w:t xml:space="preserve"> [Accessed 27 September 2020]</w:t>
      </w:r>
    </w:p>
    <w:p w14:paraId="31319FD6" w14:textId="07013204" w:rsidR="00550AA7" w:rsidRPr="00543567" w:rsidRDefault="00550AA7" w:rsidP="00550AA7">
      <w:pPr>
        <w:adjustRightInd w:val="0"/>
        <w:ind w:left="567" w:hanging="567"/>
        <w:jc w:val="both"/>
      </w:pPr>
      <w:r w:rsidRPr="00550AA7">
        <w:rPr>
          <w:noProof/>
        </w:rPr>
        <w:t>Williams</w:t>
      </w:r>
      <w:r w:rsidR="00304053">
        <w:rPr>
          <w:noProof/>
        </w:rPr>
        <w:t>,</w:t>
      </w:r>
      <w:r w:rsidRPr="00550AA7">
        <w:rPr>
          <w:noProof/>
        </w:rPr>
        <w:t xml:space="preserve"> K</w:t>
      </w:r>
      <w:r w:rsidR="00304053">
        <w:rPr>
          <w:noProof/>
        </w:rPr>
        <w:t>.</w:t>
      </w:r>
      <w:r w:rsidRPr="00550AA7">
        <w:rPr>
          <w:noProof/>
        </w:rPr>
        <w:t>Y</w:t>
      </w:r>
      <w:r w:rsidR="00304053">
        <w:rPr>
          <w:noProof/>
        </w:rPr>
        <w:t>.</w:t>
      </w:r>
      <w:r w:rsidRPr="00550AA7">
        <w:rPr>
          <w:noProof/>
        </w:rPr>
        <w:t xml:space="preserve">, </w:t>
      </w:r>
      <w:r w:rsidR="00304053">
        <w:rPr>
          <w:noProof/>
        </w:rPr>
        <w:t xml:space="preserve">&amp; </w:t>
      </w:r>
      <w:r w:rsidRPr="00550AA7">
        <w:rPr>
          <w:noProof/>
        </w:rPr>
        <w:t>O’Reilly</w:t>
      </w:r>
      <w:r w:rsidR="00304053">
        <w:rPr>
          <w:noProof/>
        </w:rPr>
        <w:t>,</w:t>
      </w:r>
      <w:r w:rsidRPr="00550AA7">
        <w:rPr>
          <w:noProof/>
        </w:rPr>
        <w:t xml:space="preserve"> III C</w:t>
      </w:r>
      <w:r w:rsidR="00304053">
        <w:rPr>
          <w:noProof/>
        </w:rPr>
        <w:t xml:space="preserve">. </w:t>
      </w:r>
      <w:r w:rsidRPr="00550AA7">
        <w:rPr>
          <w:noProof/>
        </w:rPr>
        <w:t>A</w:t>
      </w:r>
      <w:r w:rsidR="00304053">
        <w:rPr>
          <w:noProof/>
        </w:rPr>
        <w:t>.</w:t>
      </w:r>
      <w:r w:rsidRPr="00550AA7">
        <w:rPr>
          <w:noProof/>
        </w:rPr>
        <w:t xml:space="preserve"> (1998)</w:t>
      </w:r>
      <w:r w:rsidR="00304053">
        <w:rPr>
          <w:noProof/>
        </w:rPr>
        <w:t>.</w:t>
      </w:r>
      <w:r w:rsidRPr="00550AA7">
        <w:rPr>
          <w:noProof/>
        </w:rPr>
        <w:t xml:space="preserve"> Demography and Diversity in Organizations: A Review of 40 Years of Research. </w:t>
      </w:r>
      <w:r w:rsidRPr="00550AA7">
        <w:rPr>
          <w:i/>
          <w:iCs/>
          <w:noProof/>
        </w:rPr>
        <w:t>Research in Organizational Behavior</w:t>
      </w:r>
      <w:r w:rsidR="00304053">
        <w:rPr>
          <w:i/>
          <w:iCs/>
          <w:noProof/>
        </w:rPr>
        <w:t>,</w:t>
      </w:r>
      <w:r w:rsidRPr="00550AA7">
        <w:rPr>
          <w:i/>
          <w:iCs/>
          <w:noProof/>
        </w:rPr>
        <w:t xml:space="preserve"> </w:t>
      </w:r>
      <w:r w:rsidRPr="00550AA7">
        <w:rPr>
          <w:noProof/>
        </w:rPr>
        <w:t>20</w:t>
      </w:r>
      <w:r w:rsidR="00304053">
        <w:rPr>
          <w:noProof/>
        </w:rPr>
        <w:t>,</w:t>
      </w:r>
      <w:r w:rsidRPr="00543567">
        <w:rPr>
          <w:noProof/>
        </w:rPr>
        <w:t xml:space="preserve"> 77–140</w:t>
      </w:r>
      <w:r w:rsidRPr="00550AA7">
        <w:rPr>
          <w:noProof/>
        </w:rPr>
        <w:t>.</w:t>
      </w:r>
    </w:p>
    <w:p w14:paraId="57CD9FF8" w14:textId="38ED3D03" w:rsidR="00550AA7" w:rsidRPr="00543567" w:rsidRDefault="00550AA7" w:rsidP="00550AA7">
      <w:pPr>
        <w:adjustRightInd w:val="0"/>
        <w:ind w:left="567" w:hanging="567"/>
        <w:jc w:val="both"/>
      </w:pPr>
      <w:r w:rsidRPr="00543567">
        <w:t>Yang</w:t>
      </w:r>
      <w:r w:rsidR="009F6508">
        <w:t>,</w:t>
      </w:r>
      <w:r w:rsidRPr="00543567">
        <w:t> S</w:t>
      </w:r>
      <w:r w:rsidR="009F6508">
        <w:t>.</w:t>
      </w:r>
      <w:r w:rsidRPr="00543567">
        <w:t>, Kher</w:t>
      </w:r>
      <w:r w:rsidR="009F6508">
        <w:t>,</w:t>
      </w:r>
      <w:r w:rsidRPr="00543567">
        <w:t> R</w:t>
      </w:r>
      <w:r w:rsidR="009F6508">
        <w:t>.</w:t>
      </w:r>
      <w:r w:rsidRPr="00543567">
        <w:t xml:space="preserve">, </w:t>
      </w:r>
      <w:r w:rsidR="009F6508">
        <w:t xml:space="preserve">&amp; </w:t>
      </w:r>
      <w:r w:rsidRPr="00543567">
        <w:t>Newbert</w:t>
      </w:r>
      <w:r w:rsidR="009F6508">
        <w:t>,</w:t>
      </w:r>
      <w:r w:rsidRPr="00543567">
        <w:t xml:space="preserve"> S</w:t>
      </w:r>
      <w:r w:rsidR="009F6508">
        <w:t xml:space="preserve">. </w:t>
      </w:r>
      <w:r w:rsidRPr="00543567">
        <w:t>L</w:t>
      </w:r>
      <w:r w:rsidR="009F6508">
        <w:t>.</w:t>
      </w:r>
      <w:r w:rsidRPr="00543567">
        <w:t xml:space="preserve"> (2020)</w:t>
      </w:r>
      <w:r w:rsidR="009F6508">
        <w:t>.</w:t>
      </w:r>
      <w:r w:rsidRPr="00543567">
        <w:t xml:space="preserve"> What signals matter for social startups? It depends: The influence of gender role congruity on social impact accelerator selection decisions. </w:t>
      </w:r>
      <w:r w:rsidRPr="00543567">
        <w:rPr>
          <w:i/>
          <w:iCs/>
        </w:rPr>
        <w:t>Journal of Business Venturing</w:t>
      </w:r>
      <w:r w:rsidR="009F6508">
        <w:rPr>
          <w:i/>
          <w:iCs/>
        </w:rPr>
        <w:t>,</w:t>
      </w:r>
      <w:r w:rsidRPr="00543567">
        <w:rPr>
          <w:i/>
          <w:iCs/>
        </w:rPr>
        <w:t xml:space="preserve"> </w:t>
      </w:r>
      <w:r w:rsidRPr="00543567">
        <w:t>35</w:t>
      </w:r>
      <w:r w:rsidR="009F6508">
        <w:t>(2),</w:t>
      </w:r>
      <w:r w:rsidRPr="00543567">
        <w:t xml:space="preserve"> 105932.</w:t>
      </w:r>
      <w:r w:rsidR="009F6508" w:rsidRPr="009F6508">
        <w:t xml:space="preserve"> </w:t>
      </w:r>
      <w:hyperlink r:id="rId101" w:tgtFrame="_blank" w:tooltip="Persistent link using digital object identifier" w:history="1">
        <w:r w:rsidR="009F6508" w:rsidRPr="009F6508">
          <w:rPr>
            <w:rStyle w:val="Hyperlink"/>
          </w:rPr>
          <w:t>https://doi.org/10.1016/j.jbusvent.2019.03.001</w:t>
        </w:r>
      </w:hyperlink>
    </w:p>
    <w:p w14:paraId="067ED506" w14:textId="004A7CFA" w:rsidR="00550AA7" w:rsidRPr="00550AA7" w:rsidRDefault="00550AA7" w:rsidP="00550AA7">
      <w:pPr>
        <w:adjustRightInd w:val="0"/>
        <w:ind w:left="567" w:hanging="567"/>
        <w:jc w:val="both"/>
        <w:rPr>
          <w:shd w:val="clear" w:color="auto" w:fill="FFFFFF"/>
          <w:lang w:val="en-US"/>
        </w:rPr>
      </w:pPr>
      <w:r w:rsidRPr="00543567">
        <w:t xml:space="preserve">Yu, S. (2020). How Do Accelerators Impact the Performance of High-Technology Ventures? </w:t>
      </w:r>
      <w:r w:rsidRPr="00543567">
        <w:rPr>
          <w:i/>
          <w:iCs/>
        </w:rPr>
        <w:t>Management Science</w:t>
      </w:r>
      <w:r w:rsidR="009F6508">
        <w:rPr>
          <w:i/>
          <w:iCs/>
        </w:rPr>
        <w:t>,</w:t>
      </w:r>
      <w:r w:rsidRPr="00543567">
        <w:t xml:space="preserve"> </w:t>
      </w:r>
      <w:r w:rsidRPr="009F6508">
        <w:rPr>
          <w:i/>
          <w:iCs/>
        </w:rPr>
        <w:t>66</w:t>
      </w:r>
      <w:r w:rsidR="009F6508">
        <w:t>(2),</w:t>
      </w:r>
      <w:r w:rsidRPr="00543567">
        <w:t xml:space="preserve"> 530–552. </w:t>
      </w:r>
      <w:hyperlink r:id="rId102" w:history="1">
        <w:r w:rsidR="009F6508" w:rsidRPr="009F6508">
          <w:rPr>
            <w:rStyle w:val="Hyperlink"/>
          </w:rPr>
          <w:t>https://doi.org/10.1287/mnsc.2018.3256</w:t>
        </w:r>
      </w:hyperlink>
    </w:p>
    <w:p w14:paraId="61228C81" w14:textId="6BC9D59A" w:rsidR="004672D6" w:rsidRPr="00F32020" w:rsidRDefault="004672D6" w:rsidP="00D32866">
      <w:pPr>
        <w:adjustRightInd w:val="0"/>
        <w:ind w:left="567" w:hanging="567"/>
        <w:jc w:val="both"/>
        <w:rPr>
          <w:shd w:val="clear" w:color="auto" w:fill="FFFFFF"/>
          <w:lang w:val="en-US"/>
        </w:rPr>
      </w:pPr>
    </w:p>
    <w:p w14:paraId="50617D06" w14:textId="43D897D5" w:rsidR="00212E14" w:rsidRPr="00F32020" w:rsidRDefault="00212E14">
      <w:pPr>
        <w:rPr>
          <w:shd w:val="clear" w:color="auto" w:fill="FFFFFF"/>
          <w:lang w:val="en-US"/>
        </w:rPr>
      </w:pPr>
      <w:r w:rsidRPr="00F32020">
        <w:rPr>
          <w:shd w:val="clear" w:color="auto" w:fill="FFFFFF"/>
          <w:lang w:val="en-US"/>
        </w:rPr>
        <w:br w:type="page"/>
      </w:r>
    </w:p>
    <w:p w14:paraId="1588A7FD" w14:textId="77777777" w:rsidR="00212E14" w:rsidRPr="00F32020" w:rsidRDefault="00212E14" w:rsidP="00212E14">
      <w:pPr>
        <w:rPr>
          <w:b/>
          <w:bCs/>
          <w:shd w:val="clear" w:color="auto" w:fill="FFFFFF"/>
        </w:rPr>
      </w:pPr>
      <w:r w:rsidRPr="00F32020">
        <w:rPr>
          <w:b/>
          <w:bCs/>
          <w:noProof/>
        </w:rPr>
        <w:lastRenderedPageBreak/>
        <mc:AlternateContent>
          <mc:Choice Requires="wps">
            <w:drawing>
              <wp:anchor distT="0" distB="0" distL="114300" distR="114300" simplePos="0" relativeHeight="251663360" behindDoc="0" locked="0" layoutInCell="1" allowOverlap="1" wp14:anchorId="5B7354C2" wp14:editId="72878FA2">
                <wp:simplePos x="0" y="0"/>
                <wp:positionH relativeFrom="margin">
                  <wp:posOffset>1089288</wp:posOffset>
                </wp:positionH>
                <wp:positionV relativeFrom="paragraph">
                  <wp:posOffset>22726</wp:posOffset>
                </wp:positionV>
                <wp:extent cx="3657600" cy="2952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657600" cy="295275"/>
                        </a:xfrm>
                        <a:prstGeom prst="rect">
                          <a:avLst/>
                        </a:prstGeom>
                        <a:solidFill>
                          <a:schemeClr val="lt1"/>
                        </a:solidFill>
                        <a:ln w="6350">
                          <a:noFill/>
                        </a:ln>
                      </wps:spPr>
                      <wps:txbx>
                        <w:txbxContent>
                          <w:p w14:paraId="737F88C4" w14:textId="77777777" w:rsidR="00212E14" w:rsidRPr="00113C81" w:rsidRDefault="00212E14" w:rsidP="00212E14">
                            <w:pPr>
                              <w:ind w:left="720" w:hanging="720"/>
                              <w:jc w:val="center"/>
                              <w:rPr>
                                <w:b/>
                                <w:bCs/>
                                <w:color w:val="222222"/>
                                <w:shd w:val="clear" w:color="auto" w:fill="FFFFFF"/>
                              </w:rPr>
                            </w:pPr>
                            <w:r w:rsidRPr="00113C81">
                              <w:rPr>
                                <w:b/>
                                <w:bCs/>
                                <w:color w:val="222222"/>
                                <w:shd w:val="clear" w:color="auto" w:fill="FFFFFF"/>
                              </w:rPr>
                              <w:t>Table 1: Summary statistics</w:t>
                            </w:r>
                          </w:p>
                          <w:p w14:paraId="7EAEB6B1" w14:textId="77777777" w:rsidR="00212E14" w:rsidRPr="00113C81" w:rsidRDefault="00212E14" w:rsidP="00212E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354C2" id="Text Box 5" o:spid="_x0000_s1029" type="#_x0000_t202" style="position:absolute;margin-left:85.75pt;margin-top:1.8pt;width:4in;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UsMAIAAFs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" fillcolor="white [3201]" stroked="f" strokeweight=".5pt">
                <v:textbox>
                  <w:txbxContent>
                    <w:p w14:paraId="737F88C4" w14:textId="77777777" w:rsidR="00212E14" w:rsidRPr="00113C81" w:rsidRDefault="00212E14" w:rsidP="00212E14">
                      <w:pPr>
                        <w:ind w:left="720" w:hanging="720"/>
                        <w:jc w:val="center"/>
                        <w:rPr>
                          <w:b/>
                          <w:bCs/>
                          <w:color w:val="222222"/>
                          <w:shd w:val="clear" w:color="auto" w:fill="FFFFFF"/>
                        </w:rPr>
                      </w:pPr>
                      <w:r w:rsidRPr="00113C81">
                        <w:rPr>
                          <w:b/>
                          <w:bCs/>
                          <w:color w:val="222222"/>
                          <w:shd w:val="clear" w:color="auto" w:fill="FFFFFF"/>
                        </w:rPr>
                        <w:t>Table 1: Summary statistics</w:t>
                      </w:r>
                    </w:p>
                    <w:p w14:paraId="7EAEB6B1" w14:textId="77777777" w:rsidR="00212E14" w:rsidRPr="00113C81" w:rsidRDefault="00212E14" w:rsidP="00212E14">
                      <w:pPr>
                        <w:jc w:val="center"/>
                      </w:pPr>
                    </w:p>
                  </w:txbxContent>
                </v:textbox>
                <w10:wrap anchorx="margin"/>
              </v:shape>
            </w:pict>
          </mc:Fallback>
        </mc:AlternateContent>
      </w:r>
    </w:p>
    <w:p w14:paraId="36A16349" w14:textId="77777777" w:rsidR="00212E14" w:rsidRPr="00F32020" w:rsidRDefault="00212E14" w:rsidP="00212E14">
      <w:pPr>
        <w:ind w:left="720" w:hanging="720"/>
        <w:jc w:val="center"/>
        <w:rPr>
          <w:b/>
          <w:bCs/>
          <w:shd w:val="clear" w:color="auto" w:fill="FFFFFF"/>
        </w:rPr>
      </w:pPr>
    </w:p>
    <w:tbl>
      <w:tblPr>
        <w:tblW w:w="9256" w:type="dxa"/>
        <w:tblLook w:val="04A0" w:firstRow="1" w:lastRow="0" w:firstColumn="1" w:lastColumn="0" w:noHBand="0" w:noVBand="1"/>
      </w:tblPr>
      <w:tblGrid>
        <w:gridCol w:w="2565"/>
        <w:gridCol w:w="623"/>
        <w:gridCol w:w="593"/>
        <w:gridCol w:w="593"/>
        <w:gridCol w:w="939"/>
        <w:gridCol w:w="809"/>
        <w:gridCol w:w="939"/>
        <w:gridCol w:w="1165"/>
        <w:gridCol w:w="1030"/>
      </w:tblGrid>
      <w:tr w:rsidR="00212E14" w:rsidRPr="00F32020" w14:paraId="1BEA9D05" w14:textId="77777777" w:rsidTr="0035368C">
        <w:trPr>
          <w:trHeight w:val="300"/>
        </w:trPr>
        <w:tc>
          <w:tcPr>
            <w:tcW w:w="2558" w:type="dxa"/>
            <w:tcBorders>
              <w:top w:val="single" w:sz="8" w:space="0" w:color="auto"/>
              <w:left w:val="nil"/>
              <w:bottom w:val="single" w:sz="8" w:space="0" w:color="auto"/>
              <w:right w:val="nil"/>
            </w:tcBorders>
            <w:shd w:val="clear" w:color="000000" w:fill="FFFFFF"/>
            <w:noWrap/>
            <w:vAlign w:val="center"/>
            <w:hideMark/>
          </w:tcPr>
          <w:p w14:paraId="686AC135" w14:textId="77777777" w:rsidR="00212E14" w:rsidRPr="00F32020" w:rsidRDefault="00212E14" w:rsidP="00D314EE">
            <w:pPr>
              <w:rPr>
                <w:b/>
                <w:bCs/>
                <w:sz w:val="18"/>
                <w:szCs w:val="18"/>
              </w:rPr>
            </w:pPr>
            <w:r w:rsidRPr="00F32020">
              <w:rPr>
                <w:b/>
                <w:bCs/>
                <w:sz w:val="18"/>
                <w:szCs w:val="18"/>
              </w:rPr>
              <w:t>Variable</w:t>
            </w:r>
          </w:p>
        </w:tc>
        <w:tc>
          <w:tcPr>
            <w:tcW w:w="0" w:type="auto"/>
            <w:tcBorders>
              <w:top w:val="single" w:sz="8" w:space="0" w:color="auto"/>
              <w:left w:val="nil"/>
              <w:bottom w:val="single" w:sz="8" w:space="0" w:color="auto"/>
              <w:right w:val="nil"/>
            </w:tcBorders>
            <w:shd w:val="clear" w:color="000000" w:fill="FFFFFF"/>
            <w:noWrap/>
            <w:vAlign w:val="center"/>
            <w:hideMark/>
          </w:tcPr>
          <w:p w14:paraId="6282F85A" w14:textId="77777777" w:rsidR="00212E14" w:rsidRPr="00F32020" w:rsidRDefault="00212E14" w:rsidP="00D314EE">
            <w:pPr>
              <w:jc w:val="center"/>
              <w:rPr>
                <w:b/>
                <w:bCs/>
                <w:sz w:val="18"/>
                <w:szCs w:val="18"/>
              </w:rPr>
            </w:pPr>
            <w:r w:rsidRPr="00F32020">
              <w:rPr>
                <w:b/>
                <w:bCs/>
                <w:sz w:val="18"/>
                <w:szCs w:val="18"/>
              </w:rPr>
              <w:t>Obs.</w:t>
            </w:r>
          </w:p>
        </w:tc>
        <w:tc>
          <w:tcPr>
            <w:tcW w:w="0" w:type="auto"/>
            <w:tcBorders>
              <w:top w:val="single" w:sz="8" w:space="0" w:color="auto"/>
              <w:left w:val="nil"/>
              <w:bottom w:val="single" w:sz="8" w:space="0" w:color="auto"/>
              <w:right w:val="nil"/>
            </w:tcBorders>
            <w:shd w:val="clear" w:color="000000" w:fill="FFFFFF"/>
            <w:noWrap/>
            <w:vAlign w:val="center"/>
            <w:hideMark/>
          </w:tcPr>
          <w:p w14:paraId="557E7653" w14:textId="77777777" w:rsidR="00212E14" w:rsidRPr="00F32020" w:rsidRDefault="00212E14" w:rsidP="00D314EE">
            <w:pPr>
              <w:jc w:val="center"/>
              <w:rPr>
                <w:b/>
                <w:bCs/>
                <w:sz w:val="18"/>
                <w:szCs w:val="18"/>
              </w:rPr>
            </w:pPr>
            <w:r w:rsidRPr="00F32020">
              <w:rPr>
                <w:b/>
                <w:bCs/>
                <w:sz w:val="18"/>
                <w:szCs w:val="18"/>
              </w:rPr>
              <w:t>Min</w:t>
            </w:r>
          </w:p>
        </w:tc>
        <w:tc>
          <w:tcPr>
            <w:tcW w:w="0" w:type="auto"/>
            <w:tcBorders>
              <w:top w:val="single" w:sz="8" w:space="0" w:color="auto"/>
              <w:left w:val="nil"/>
              <w:bottom w:val="single" w:sz="8" w:space="0" w:color="auto"/>
              <w:right w:val="nil"/>
            </w:tcBorders>
            <w:shd w:val="clear" w:color="000000" w:fill="FFFFFF"/>
            <w:noWrap/>
            <w:vAlign w:val="center"/>
            <w:hideMark/>
          </w:tcPr>
          <w:p w14:paraId="6F8E41FD" w14:textId="77777777" w:rsidR="00212E14" w:rsidRPr="00F32020" w:rsidRDefault="00212E14" w:rsidP="00D314EE">
            <w:pPr>
              <w:jc w:val="center"/>
              <w:rPr>
                <w:b/>
                <w:bCs/>
                <w:sz w:val="18"/>
                <w:szCs w:val="18"/>
              </w:rPr>
            </w:pPr>
            <w:r w:rsidRPr="00F32020">
              <w:rPr>
                <w:b/>
                <w:bCs/>
                <w:sz w:val="18"/>
                <w:szCs w:val="18"/>
              </w:rPr>
              <w:t>25th</w:t>
            </w:r>
          </w:p>
        </w:tc>
        <w:tc>
          <w:tcPr>
            <w:tcW w:w="0" w:type="auto"/>
            <w:tcBorders>
              <w:top w:val="single" w:sz="8" w:space="0" w:color="auto"/>
              <w:left w:val="nil"/>
              <w:bottom w:val="single" w:sz="8" w:space="0" w:color="auto"/>
              <w:right w:val="nil"/>
            </w:tcBorders>
            <w:shd w:val="clear" w:color="000000" w:fill="FFFFFF"/>
            <w:noWrap/>
            <w:vAlign w:val="center"/>
            <w:hideMark/>
          </w:tcPr>
          <w:p w14:paraId="3F868012" w14:textId="77777777" w:rsidR="00212E14" w:rsidRPr="00F32020" w:rsidRDefault="00212E14" w:rsidP="00D314EE">
            <w:pPr>
              <w:jc w:val="center"/>
              <w:rPr>
                <w:b/>
                <w:bCs/>
                <w:sz w:val="18"/>
                <w:szCs w:val="18"/>
              </w:rPr>
            </w:pPr>
            <w:r w:rsidRPr="00F32020">
              <w:rPr>
                <w:b/>
                <w:bCs/>
                <w:sz w:val="18"/>
                <w:szCs w:val="18"/>
              </w:rPr>
              <w:t>Mean</w:t>
            </w:r>
          </w:p>
        </w:tc>
        <w:tc>
          <w:tcPr>
            <w:tcW w:w="0" w:type="auto"/>
            <w:tcBorders>
              <w:top w:val="single" w:sz="8" w:space="0" w:color="auto"/>
              <w:left w:val="nil"/>
              <w:bottom w:val="single" w:sz="8" w:space="0" w:color="auto"/>
              <w:right w:val="nil"/>
            </w:tcBorders>
            <w:shd w:val="clear" w:color="000000" w:fill="FFFFFF"/>
            <w:noWrap/>
            <w:vAlign w:val="center"/>
            <w:hideMark/>
          </w:tcPr>
          <w:p w14:paraId="25EC0171" w14:textId="77777777" w:rsidR="00212E14" w:rsidRPr="00F32020" w:rsidRDefault="00212E14" w:rsidP="00D314EE">
            <w:pPr>
              <w:jc w:val="center"/>
              <w:rPr>
                <w:b/>
                <w:bCs/>
                <w:sz w:val="18"/>
                <w:szCs w:val="18"/>
              </w:rPr>
            </w:pPr>
            <w:r w:rsidRPr="00F32020">
              <w:rPr>
                <w:b/>
                <w:bCs/>
                <w:sz w:val="18"/>
                <w:szCs w:val="18"/>
              </w:rPr>
              <w:t>Median</w:t>
            </w:r>
          </w:p>
        </w:tc>
        <w:tc>
          <w:tcPr>
            <w:tcW w:w="0" w:type="auto"/>
            <w:tcBorders>
              <w:top w:val="single" w:sz="8" w:space="0" w:color="auto"/>
              <w:left w:val="nil"/>
              <w:bottom w:val="single" w:sz="8" w:space="0" w:color="auto"/>
              <w:right w:val="nil"/>
            </w:tcBorders>
            <w:shd w:val="clear" w:color="000000" w:fill="FFFFFF"/>
            <w:noWrap/>
            <w:vAlign w:val="center"/>
            <w:hideMark/>
          </w:tcPr>
          <w:p w14:paraId="6A0009CA" w14:textId="77777777" w:rsidR="00212E14" w:rsidRPr="00F32020" w:rsidRDefault="00212E14" w:rsidP="00D314EE">
            <w:pPr>
              <w:jc w:val="center"/>
              <w:rPr>
                <w:b/>
                <w:bCs/>
                <w:sz w:val="18"/>
                <w:szCs w:val="18"/>
              </w:rPr>
            </w:pPr>
            <w:r w:rsidRPr="00F32020">
              <w:rPr>
                <w:b/>
                <w:bCs/>
                <w:sz w:val="18"/>
                <w:szCs w:val="18"/>
              </w:rPr>
              <w:t>75th</w:t>
            </w:r>
          </w:p>
        </w:tc>
        <w:tc>
          <w:tcPr>
            <w:tcW w:w="0" w:type="auto"/>
            <w:tcBorders>
              <w:top w:val="single" w:sz="8" w:space="0" w:color="auto"/>
              <w:left w:val="nil"/>
              <w:bottom w:val="single" w:sz="8" w:space="0" w:color="auto"/>
              <w:right w:val="nil"/>
            </w:tcBorders>
            <w:shd w:val="clear" w:color="000000" w:fill="FFFFFF"/>
            <w:noWrap/>
            <w:vAlign w:val="center"/>
            <w:hideMark/>
          </w:tcPr>
          <w:p w14:paraId="1E847E00" w14:textId="77777777" w:rsidR="00212E14" w:rsidRPr="00F32020" w:rsidRDefault="00212E14" w:rsidP="00D314EE">
            <w:pPr>
              <w:jc w:val="center"/>
              <w:rPr>
                <w:b/>
                <w:bCs/>
                <w:sz w:val="18"/>
                <w:szCs w:val="18"/>
              </w:rPr>
            </w:pPr>
            <w:r w:rsidRPr="00F32020">
              <w:rPr>
                <w:b/>
                <w:bCs/>
                <w:sz w:val="18"/>
                <w:szCs w:val="18"/>
              </w:rPr>
              <w:t>Max</w:t>
            </w:r>
          </w:p>
        </w:tc>
        <w:tc>
          <w:tcPr>
            <w:tcW w:w="0" w:type="auto"/>
            <w:tcBorders>
              <w:top w:val="single" w:sz="8" w:space="0" w:color="auto"/>
              <w:left w:val="nil"/>
              <w:bottom w:val="single" w:sz="8" w:space="0" w:color="auto"/>
              <w:right w:val="nil"/>
            </w:tcBorders>
            <w:shd w:val="clear" w:color="000000" w:fill="FFFFFF"/>
            <w:noWrap/>
            <w:vAlign w:val="center"/>
            <w:hideMark/>
          </w:tcPr>
          <w:p w14:paraId="5BE283E4" w14:textId="77777777" w:rsidR="00212E14" w:rsidRPr="00F32020" w:rsidRDefault="00212E14" w:rsidP="00D314EE">
            <w:pPr>
              <w:jc w:val="center"/>
              <w:rPr>
                <w:b/>
                <w:bCs/>
                <w:sz w:val="18"/>
                <w:szCs w:val="18"/>
              </w:rPr>
            </w:pPr>
            <w:r w:rsidRPr="00F32020">
              <w:rPr>
                <w:b/>
                <w:bCs/>
                <w:sz w:val="18"/>
                <w:szCs w:val="18"/>
              </w:rPr>
              <w:t>Std. Dev.</w:t>
            </w:r>
          </w:p>
        </w:tc>
      </w:tr>
      <w:tr w:rsidR="00212E14" w:rsidRPr="00F32020" w14:paraId="327E772B" w14:textId="77777777" w:rsidTr="0035368C">
        <w:trPr>
          <w:trHeight w:val="280"/>
        </w:trPr>
        <w:tc>
          <w:tcPr>
            <w:tcW w:w="9251" w:type="dxa"/>
            <w:gridSpan w:val="9"/>
            <w:tcBorders>
              <w:top w:val="single" w:sz="8" w:space="0" w:color="auto"/>
              <w:left w:val="nil"/>
              <w:bottom w:val="nil"/>
              <w:right w:val="nil"/>
            </w:tcBorders>
            <w:shd w:val="clear" w:color="000000" w:fill="FFFFFF"/>
            <w:noWrap/>
            <w:vAlign w:val="center"/>
            <w:hideMark/>
          </w:tcPr>
          <w:p w14:paraId="12967E78" w14:textId="77777777" w:rsidR="00212E14" w:rsidRPr="00F32020" w:rsidRDefault="00212E14" w:rsidP="00D314EE">
            <w:pPr>
              <w:rPr>
                <w:i/>
                <w:iCs/>
                <w:sz w:val="18"/>
                <w:szCs w:val="18"/>
              </w:rPr>
            </w:pPr>
            <w:r w:rsidRPr="00F32020">
              <w:rPr>
                <w:i/>
                <w:iCs/>
                <w:sz w:val="18"/>
                <w:szCs w:val="18"/>
              </w:rPr>
              <w:t>Dependent variable</w:t>
            </w:r>
          </w:p>
        </w:tc>
      </w:tr>
      <w:tr w:rsidR="00212E14" w:rsidRPr="00F32020" w14:paraId="45EF218B" w14:textId="77777777" w:rsidTr="0035368C">
        <w:trPr>
          <w:trHeight w:val="280"/>
        </w:trPr>
        <w:tc>
          <w:tcPr>
            <w:tcW w:w="2558" w:type="dxa"/>
            <w:tcBorders>
              <w:top w:val="nil"/>
              <w:left w:val="nil"/>
              <w:bottom w:val="nil"/>
              <w:right w:val="nil"/>
            </w:tcBorders>
            <w:shd w:val="clear" w:color="000000" w:fill="FFFFFF"/>
            <w:noWrap/>
            <w:vAlign w:val="center"/>
            <w:hideMark/>
          </w:tcPr>
          <w:p w14:paraId="38AE8197" w14:textId="77777777" w:rsidR="00212E14" w:rsidRPr="00F32020" w:rsidRDefault="00212E14" w:rsidP="00D314EE">
            <w:pPr>
              <w:rPr>
                <w:sz w:val="18"/>
                <w:szCs w:val="18"/>
              </w:rPr>
            </w:pPr>
            <w:r w:rsidRPr="00F32020">
              <w:rPr>
                <w:sz w:val="18"/>
                <w:szCs w:val="18"/>
              </w:rPr>
              <w:t>Selected</w:t>
            </w:r>
          </w:p>
        </w:tc>
        <w:tc>
          <w:tcPr>
            <w:tcW w:w="0" w:type="auto"/>
            <w:tcBorders>
              <w:top w:val="nil"/>
              <w:left w:val="nil"/>
              <w:bottom w:val="nil"/>
              <w:right w:val="nil"/>
            </w:tcBorders>
            <w:shd w:val="clear" w:color="000000" w:fill="FFFFFF"/>
            <w:noWrap/>
            <w:vAlign w:val="center"/>
            <w:hideMark/>
          </w:tcPr>
          <w:p w14:paraId="19AE56F3"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504A5AA1"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4F83AEB9"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09D2E00D" w14:textId="77777777" w:rsidR="00212E14" w:rsidRPr="00F32020" w:rsidRDefault="00212E14" w:rsidP="00D314EE">
            <w:pPr>
              <w:jc w:val="center"/>
              <w:rPr>
                <w:sz w:val="18"/>
                <w:szCs w:val="18"/>
              </w:rPr>
            </w:pPr>
            <w:r w:rsidRPr="00F32020">
              <w:rPr>
                <w:sz w:val="18"/>
                <w:szCs w:val="18"/>
              </w:rPr>
              <w:t>0.19</w:t>
            </w:r>
          </w:p>
        </w:tc>
        <w:tc>
          <w:tcPr>
            <w:tcW w:w="0" w:type="auto"/>
            <w:tcBorders>
              <w:top w:val="nil"/>
              <w:left w:val="nil"/>
              <w:bottom w:val="nil"/>
              <w:right w:val="nil"/>
            </w:tcBorders>
            <w:shd w:val="clear" w:color="000000" w:fill="FFFFFF"/>
            <w:noWrap/>
            <w:vAlign w:val="center"/>
            <w:hideMark/>
          </w:tcPr>
          <w:p w14:paraId="79EA1B53"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25273FBB"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6DC4B715"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2EB08BC7" w14:textId="77777777" w:rsidR="00212E14" w:rsidRPr="00F32020" w:rsidRDefault="00212E14" w:rsidP="00D314EE">
            <w:pPr>
              <w:jc w:val="center"/>
              <w:rPr>
                <w:sz w:val="18"/>
                <w:szCs w:val="18"/>
              </w:rPr>
            </w:pPr>
            <w:r w:rsidRPr="00F32020">
              <w:rPr>
                <w:sz w:val="18"/>
                <w:szCs w:val="18"/>
              </w:rPr>
              <w:t>0.39</w:t>
            </w:r>
          </w:p>
        </w:tc>
      </w:tr>
      <w:tr w:rsidR="00212E14" w:rsidRPr="00F32020" w14:paraId="069E9291" w14:textId="77777777" w:rsidTr="0035368C">
        <w:trPr>
          <w:trHeight w:val="280"/>
        </w:trPr>
        <w:tc>
          <w:tcPr>
            <w:tcW w:w="9251" w:type="dxa"/>
            <w:gridSpan w:val="9"/>
            <w:tcBorders>
              <w:top w:val="nil"/>
              <w:left w:val="nil"/>
              <w:bottom w:val="nil"/>
              <w:right w:val="nil"/>
            </w:tcBorders>
            <w:shd w:val="clear" w:color="000000" w:fill="FFFFFF"/>
            <w:noWrap/>
            <w:vAlign w:val="center"/>
            <w:hideMark/>
          </w:tcPr>
          <w:p w14:paraId="01E69995" w14:textId="77777777" w:rsidR="00212E14" w:rsidRPr="00F32020" w:rsidRDefault="00212E14" w:rsidP="00D314EE">
            <w:pPr>
              <w:rPr>
                <w:i/>
                <w:iCs/>
                <w:sz w:val="18"/>
                <w:szCs w:val="18"/>
              </w:rPr>
            </w:pPr>
            <w:r w:rsidRPr="00F32020">
              <w:rPr>
                <w:i/>
                <w:iCs/>
                <w:sz w:val="18"/>
                <w:szCs w:val="18"/>
              </w:rPr>
              <w:t> </w:t>
            </w:r>
          </w:p>
        </w:tc>
      </w:tr>
      <w:tr w:rsidR="00212E14" w:rsidRPr="00F32020" w14:paraId="47C59B38" w14:textId="77777777" w:rsidTr="0035368C">
        <w:trPr>
          <w:trHeight w:val="280"/>
        </w:trPr>
        <w:tc>
          <w:tcPr>
            <w:tcW w:w="9251" w:type="dxa"/>
            <w:gridSpan w:val="9"/>
            <w:tcBorders>
              <w:top w:val="nil"/>
              <w:left w:val="nil"/>
              <w:bottom w:val="nil"/>
              <w:right w:val="nil"/>
            </w:tcBorders>
            <w:shd w:val="clear" w:color="000000" w:fill="FFFFFF"/>
            <w:noWrap/>
            <w:vAlign w:val="center"/>
            <w:hideMark/>
          </w:tcPr>
          <w:p w14:paraId="0C698951" w14:textId="77777777" w:rsidR="00212E14" w:rsidRPr="00F32020" w:rsidRDefault="00212E14" w:rsidP="00D314EE">
            <w:pPr>
              <w:rPr>
                <w:i/>
                <w:iCs/>
                <w:sz w:val="18"/>
                <w:szCs w:val="18"/>
              </w:rPr>
            </w:pPr>
            <w:r w:rsidRPr="00F32020">
              <w:rPr>
                <w:i/>
                <w:iCs/>
                <w:sz w:val="18"/>
                <w:szCs w:val="18"/>
              </w:rPr>
              <w:t>Main explanatory variable</w:t>
            </w:r>
          </w:p>
        </w:tc>
      </w:tr>
      <w:tr w:rsidR="00212E14" w:rsidRPr="00F32020" w14:paraId="4422C1B3" w14:textId="77777777" w:rsidTr="0035368C">
        <w:trPr>
          <w:trHeight w:val="280"/>
        </w:trPr>
        <w:tc>
          <w:tcPr>
            <w:tcW w:w="2558" w:type="dxa"/>
            <w:tcBorders>
              <w:top w:val="nil"/>
              <w:left w:val="nil"/>
              <w:bottom w:val="nil"/>
              <w:right w:val="nil"/>
            </w:tcBorders>
            <w:shd w:val="clear" w:color="000000" w:fill="FFFFFF"/>
            <w:noWrap/>
            <w:vAlign w:val="bottom"/>
            <w:hideMark/>
          </w:tcPr>
          <w:p w14:paraId="02E083C6" w14:textId="77777777" w:rsidR="00212E14" w:rsidRPr="00F32020" w:rsidRDefault="00212E14" w:rsidP="00D314EE">
            <w:pPr>
              <w:rPr>
                <w:sz w:val="18"/>
                <w:szCs w:val="18"/>
              </w:rPr>
            </w:pPr>
            <w:r w:rsidRPr="00F32020">
              <w:rPr>
                <w:sz w:val="18"/>
                <w:szCs w:val="18"/>
              </w:rPr>
              <w:t>Cultural Diversity</w:t>
            </w:r>
          </w:p>
        </w:tc>
        <w:tc>
          <w:tcPr>
            <w:tcW w:w="0" w:type="auto"/>
            <w:tcBorders>
              <w:top w:val="nil"/>
              <w:left w:val="nil"/>
              <w:bottom w:val="nil"/>
              <w:right w:val="nil"/>
            </w:tcBorders>
            <w:shd w:val="clear" w:color="000000" w:fill="FFFFFF"/>
            <w:noWrap/>
            <w:vAlign w:val="center"/>
            <w:hideMark/>
          </w:tcPr>
          <w:p w14:paraId="7A2BFA00"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0422BF40"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440FBE5C"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2B06AD89" w14:textId="77777777" w:rsidR="00212E14" w:rsidRPr="00F32020" w:rsidRDefault="00212E14" w:rsidP="00D314EE">
            <w:pPr>
              <w:jc w:val="center"/>
              <w:rPr>
                <w:sz w:val="18"/>
                <w:szCs w:val="18"/>
              </w:rPr>
            </w:pPr>
            <w:r w:rsidRPr="00F32020">
              <w:rPr>
                <w:sz w:val="18"/>
                <w:szCs w:val="18"/>
              </w:rPr>
              <w:t>0.29</w:t>
            </w:r>
          </w:p>
        </w:tc>
        <w:tc>
          <w:tcPr>
            <w:tcW w:w="0" w:type="auto"/>
            <w:tcBorders>
              <w:top w:val="nil"/>
              <w:left w:val="nil"/>
              <w:bottom w:val="nil"/>
              <w:right w:val="nil"/>
            </w:tcBorders>
            <w:shd w:val="clear" w:color="000000" w:fill="FFFFFF"/>
            <w:noWrap/>
            <w:vAlign w:val="center"/>
            <w:hideMark/>
          </w:tcPr>
          <w:p w14:paraId="3A3C19A4"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2EB07D40"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43C1BD77" w14:textId="77777777" w:rsidR="00212E14" w:rsidRPr="00F32020" w:rsidRDefault="00212E14" w:rsidP="00D314EE">
            <w:pPr>
              <w:jc w:val="center"/>
              <w:rPr>
                <w:sz w:val="18"/>
                <w:szCs w:val="18"/>
              </w:rPr>
            </w:pPr>
            <w:r w:rsidRPr="00F32020">
              <w:rPr>
                <w:sz w:val="18"/>
                <w:szCs w:val="18"/>
              </w:rPr>
              <w:t>5.49</w:t>
            </w:r>
          </w:p>
        </w:tc>
        <w:tc>
          <w:tcPr>
            <w:tcW w:w="0" w:type="auto"/>
            <w:tcBorders>
              <w:top w:val="nil"/>
              <w:left w:val="nil"/>
              <w:bottom w:val="nil"/>
              <w:right w:val="nil"/>
            </w:tcBorders>
            <w:shd w:val="clear" w:color="000000" w:fill="FFFFFF"/>
            <w:noWrap/>
            <w:vAlign w:val="center"/>
            <w:hideMark/>
          </w:tcPr>
          <w:p w14:paraId="7A8E676D" w14:textId="77777777" w:rsidR="00212E14" w:rsidRPr="00F32020" w:rsidRDefault="00212E14" w:rsidP="00D314EE">
            <w:pPr>
              <w:jc w:val="center"/>
              <w:rPr>
                <w:sz w:val="18"/>
                <w:szCs w:val="18"/>
              </w:rPr>
            </w:pPr>
            <w:r w:rsidRPr="00F32020">
              <w:rPr>
                <w:sz w:val="18"/>
                <w:szCs w:val="18"/>
              </w:rPr>
              <w:t>0.85</w:t>
            </w:r>
          </w:p>
        </w:tc>
      </w:tr>
      <w:tr w:rsidR="00212E14" w:rsidRPr="00F32020" w14:paraId="6C840E0E" w14:textId="77777777" w:rsidTr="0035368C">
        <w:trPr>
          <w:trHeight w:val="280"/>
        </w:trPr>
        <w:tc>
          <w:tcPr>
            <w:tcW w:w="2558" w:type="dxa"/>
            <w:tcBorders>
              <w:top w:val="nil"/>
              <w:left w:val="nil"/>
              <w:bottom w:val="nil"/>
              <w:right w:val="nil"/>
            </w:tcBorders>
            <w:shd w:val="clear" w:color="000000" w:fill="FFFFFF"/>
            <w:noWrap/>
            <w:vAlign w:val="center"/>
            <w:hideMark/>
          </w:tcPr>
          <w:p w14:paraId="046DC8AC" w14:textId="77777777" w:rsidR="00212E14" w:rsidRPr="00F32020" w:rsidRDefault="00212E14" w:rsidP="00D314EE">
            <w:pP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02B81D65"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6C4C53ED"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473C99B2"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7AE1101C"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27340932"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125182EE"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5C18AE0A"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hideMark/>
          </w:tcPr>
          <w:p w14:paraId="39D99DB5" w14:textId="77777777" w:rsidR="00212E14" w:rsidRPr="00F32020" w:rsidRDefault="00212E14" w:rsidP="00D314EE">
            <w:pPr>
              <w:jc w:val="center"/>
              <w:rPr>
                <w:sz w:val="18"/>
                <w:szCs w:val="18"/>
              </w:rPr>
            </w:pPr>
            <w:r w:rsidRPr="00F32020">
              <w:rPr>
                <w:sz w:val="18"/>
                <w:szCs w:val="18"/>
              </w:rPr>
              <w:t> </w:t>
            </w:r>
          </w:p>
        </w:tc>
      </w:tr>
      <w:tr w:rsidR="00212E14" w:rsidRPr="00F32020" w14:paraId="4EE21790" w14:textId="77777777" w:rsidTr="0035368C">
        <w:trPr>
          <w:trHeight w:val="280"/>
        </w:trPr>
        <w:tc>
          <w:tcPr>
            <w:tcW w:w="9251" w:type="dxa"/>
            <w:gridSpan w:val="9"/>
            <w:tcBorders>
              <w:top w:val="nil"/>
              <w:left w:val="nil"/>
              <w:bottom w:val="nil"/>
              <w:right w:val="nil"/>
            </w:tcBorders>
            <w:shd w:val="clear" w:color="000000" w:fill="FFFFFF"/>
            <w:noWrap/>
            <w:vAlign w:val="center"/>
            <w:hideMark/>
          </w:tcPr>
          <w:p w14:paraId="211C1F1B" w14:textId="77777777" w:rsidR="00212E14" w:rsidRPr="00F32020" w:rsidRDefault="00212E14" w:rsidP="00D314EE">
            <w:pPr>
              <w:rPr>
                <w:i/>
                <w:iCs/>
                <w:sz w:val="18"/>
                <w:szCs w:val="18"/>
              </w:rPr>
            </w:pPr>
            <w:r w:rsidRPr="00F32020">
              <w:rPr>
                <w:i/>
                <w:iCs/>
                <w:sz w:val="18"/>
                <w:szCs w:val="18"/>
              </w:rPr>
              <w:t>Venture-level control variables</w:t>
            </w:r>
          </w:p>
        </w:tc>
      </w:tr>
      <w:tr w:rsidR="00212E14" w:rsidRPr="00F32020" w14:paraId="46D04386" w14:textId="77777777" w:rsidTr="0035368C">
        <w:trPr>
          <w:trHeight w:val="280"/>
        </w:trPr>
        <w:tc>
          <w:tcPr>
            <w:tcW w:w="2558" w:type="dxa"/>
            <w:tcBorders>
              <w:top w:val="nil"/>
              <w:left w:val="nil"/>
              <w:bottom w:val="nil"/>
              <w:right w:val="nil"/>
            </w:tcBorders>
            <w:shd w:val="clear" w:color="000000" w:fill="FFFFFF"/>
            <w:noWrap/>
            <w:vAlign w:val="center"/>
            <w:hideMark/>
          </w:tcPr>
          <w:p w14:paraId="52AED776" w14:textId="77777777" w:rsidR="00212E14" w:rsidRPr="00F32020" w:rsidRDefault="00212E14" w:rsidP="00D314EE">
            <w:pPr>
              <w:rPr>
                <w:sz w:val="18"/>
                <w:szCs w:val="18"/>
              </w:rPr>
            </w:pPr>
            <w:r w:rsidRPr="00F32020">
              <w:rPr>
                <w:sz w:val="18"/>
                <w:szCs w:val="18"/>
              </w:rPr>
              <w:t>Years Active</w:t>
            </w:r>
          </w:p>
        </w:tc>
        <w:tc>
          <w:tcPr>
            <w:tcW w:w="0" w:type="auto"/>
            <w:tcBorders>
              <w:top w:val="nil"/>
              <w:left w:val="nil"/>
              <w:bottom w:val="nil"/>
              <w:right w:val="nil"/>
            </w:tcBorders>
            <w:shd w:val="clear" w:color="000000" w:fill="FFFFFF"/>
            <w:noWrap/>
            <w:vAlign w:val="center"/>
            <w:hideMark/>
          </w:tcPr>
          <w:p w14:paraId="188CB624"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6934489C"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15D27818"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4655E804" w14:textId="77777777" w:rsidR="00212E14" w:rsidRPr="00F32020" w:rsidRDefault="00212E14" w:rsidP="00D314EE">
            <w:pPr>
              <w:jc w:val="center"/>
              <w:rPr>
                <w:sz w:val="18"/>
                <w:szCs w:val="18"/>
              </w:rPr>
            </w:pPr>
            <w:r w:rsidRPr="00F32020">
              <w:rPr>
                <w:sz w:val="18"/>
                <w:szCs w:val="18"/>
              </w:rPr>
              <w:t>2.16</w:t>
            </w:r>
          </w:p>
        </w:tc>
        <w:tc>
          <w:tcPr>
            <w:tcW w:w="0" w:type="auto"/>
            <w:tcBorders>
              <w:top w:val="nil"/>
              <w:left w:val="nil"/>
              <w:bottom w:val="nil"/>
              <w:right w:val="nil"/>
            </w:tcBorders>
            <w:shd w:val="clear" w:color="000000" w:fill="FFFFFF"/>
            <w:noWrap/>
            <w:vAlign w:val="center"/>
            <w:hideMark/>
          </w:tcPr>
          <w:p w14:paraId="68B2BD3D"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2C12BA8F" w14:textId="77777777" w:rsidR="00212E14" w:rsidRPr="00F32020" w:rsidRDefault="00212E14" w:rsidP="00D314EE">
            <w:pPr>
              <w:jc w:val="center"/>
              <w:rPr>
                <w:sz w:val="18"/>
                <w:szCs w:val="18"/>
              </w:rPr>
            </w:pPr>
            <w:r w:rsidRPr="00F32020">
              <w:rPr>
                <w:sz w:val="18"/>
                <w:szCs w:val="18"/>
              </w:rPr>
              <w:t>3</w:t>
            </w:r>
          </w:p>
        </w:tc>
        <w:tc>
          <w:tcPr>
            <w:tcW w:w="0" w:type="auto"/>
            <w:tcBorders>
              <w:top w:val="nil"/>
              <w:left w:val="nil"/>
              <w:bottom w:val="nil"/>
              <w:right w:val="nil"/>
            </w:tcBorders>
            <w:shd w:val="clear" w:color="000000" w:fill="FFFFFF"/>
            <w:noWrap/>
            <w:vAlign w:val="center"/>
            <w:hideMark/>
          </w:tcPr>
          <w:p w14:paraId="658BBAEA" w14:textId="77777777" w:rsidR="00212E14" w:rsidRPr="00F32020" w:rsidRDefault="00212E14" w:rsidP="00D314EE">
            <w:pPr>
              <w:jc w:val="center"/>
              <w:rPr>
                <w:sz w:val="18"/>
                <w:szCs w:val="18"/>
              </w:rPr>
            </w:pPr>
            <w:r w:rsidRPr="00F32020">
              <w:rPr>
                <w:sz w:val="18"/>
                <w:szCs w:val="18"/>
              </w:rPr>
              <w:t>18</w:t>
            </w:r>
          </w:p>
        </w:tc>
        <w:tc>
          <w:tcPr>
            <w:tcW w:w="0" w:type="auto"/>
            <w:tcBorders>
              <w:top w:val="nil"/>
              <w:left w:val="nil"/>
              <w:bottom w:val="nil"/>
              <w:right w:val="nil"/>
            </w:tcBorders>
            <w:shd w:val="clear" w:color="000000" w:fill="FFFFFF"/>
            <w:noWrap/>
            <w:vAlign w:val="center"/>
            <w:hideMark/>
          </w:tcPr>
          <w:p w14:paraId="3C8EA156" w14:textId="77777777" w:rsidR="00212E14" w:rsidRPr="00F32020" w:rsidRDefault="00212E14" w:rsidP="00D314EE">
            <w:pPr>
              <w:jc w:val="center"/>
              <w:rPr>
                <w:sz w:val="18"/>
                <w:szCs w:val="18"/>
              </w:rPr>
            </w:pPr>
            <w:r w:rsidRPr="00F32020">
              <w:rPr>
                <w:sz w:val="18"/>
                <w:szCs w:val="18"/>
              </w:rPr>
              <w:t>2.66</w:t>
            </w:r>
          </w:p>
        </w:tc>
      </w:tr>
      <w:tr w:rsidR="00212E14" w:rsidRPr="00F32020" w14:paraId="59EADB39" w14:textId="77777777" w:rsidTr="0035368C">
        <w:trPr>
          <w:trHeight w:val="280"/>
        </w:trPr>
        <w:tc>
          <w:tcPr>
            <w:tcW w:w="2558" w:type="dxa"/>
            <w:tcBorders>
              <w:top w:val="nil"/>
              <w:left w:val="nil"/>
              <w:bottom w:val="nil"/>
              <w:right w:val="nil"/>
            </w:tcBorders>
            <w:shd w:val="clear" w:color="000000" w:fill="FFFFFF"/>
            <w:noWrap/>
            <w:vAlign w:val="center"/>
            <w:hideMark/>
          </w:tcPr>
          <w:p w14:paraId="3EBB3902" w14:textId="77777777" w:rsidR="00212E14" w:rsidRPr="00F32020" w:rsidRDefault="00212E14" w:rsidP="00D314EE">
            <w:pPr>
              <w:rPr>
                <w:sz w:val="18"/>
                <w:szCs w:val="18"/>
              </w:rPr>
            </w:pPr>
            <w:r w:rsidRPr="00F32020">
              <w:rPr>
                <w:sz w:val="18"/>
                <w:szCs w:val="18"/>
              </w:rPr>
              <w:t>Revenues in t-1 (in USD)</w:t>
            </w:r>
          </w:p>
        </w:tc>
        <w:tc>
          <w:tcPr>
            <w:tcW w:w="0" w:type="auto"/>
            <w:tcBorders>
              <w:top w:val="nil"/>
              <w:left w:val="nil"/>
              <w:bottom w:val="nil"/>
              <w:right w:val="nil"/>
            </w:tcBorders>
            <w:shd w:val="clear" w:color="000000" w:fill="FFFFFF"/>
            <w:noWrap/>
            <w:vAlign w:val="center"/>
            <w:hideMark/>
          </w:tcPr>
          <w:p w14:paraId="2F86C696"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607D3F8F"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3FFC2D56"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486414A8" w14:textId="77777777" w:rsidR="00212E14" w:rsidRPr="00F32020" w:rsidRDefault="00212E14" w:rsidP="00D314EE">
            <w:pPr>
              <w:jc w:val="center"/>
              <w:rPr>
                <w:sz w:val="18"/>
                <w:szCs w:val="18"/>
              </w:rPr>
            </w:pPr>
            <w:r w:rsidRPr="00F32020">
              <w:rPr>
                <w:sz w:val="18"/>
                <w:szCs w:val="18"/>
              </w:rPr>
              <w:t>41,170.29</w:t>
            </w:r>
          </w:p>
        </w:tc>
        <w:tc>
          <w:tcPr>
            <w:tcW w:w="0" w:type="auto"/>
            <w:tcBorders>
              <w:top w:val="nil"/>
              <w:left w:val="nil"/>
              <w:bottom w:val="nil"/>
              <w:right w:val="nil"/>
            </w:tcBorders>
            <w:shd w:val="clear" w:color="000000" w:fill="FFFFFF"/>
            <w:noWrap/>
            <w:vAlign w:val="center"/>
            <w:hideMark/>
          </w:tcPr>
          <w:p w14:paraId="427957C2"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44288871" w14:textId="77777777" w:rsidR="00212E14" w:rsidRPr="00F32020" w:rsidRDefault="00212E14" w:rsidP="00D314EE">
            <w:pPr>
              <w:jc w:val="center"/>
              <w:rPr>
                <w:sz w:val="18"/>
                <w:szCs w:val="18"/>
              </w:rPr>
            </w:pPr>
            <w:r w:rsidRPr="00F32020">
              <w:rPr>
                <w:sz w:val="18"/>
                <w:szCs w:val="18"/>
              </w:rPr>
              <w:t>13,000.00</w:t>
            </w:r>
          </w:p>
        </w:tc>
        <w:tc>
          <w:tcPr>
            <w:tcW w:w="0" w:type="auto"/>
            <w:tcBorders>
              <w:top w:val="nil"/>
              <w:left w:val="nil"/>
              <w:bottom w:val="nil"/>
              <w:right w:val="nil"/>
            </w:tcBorders>
            <w:shd w:val="clear" w:color="000000" w:fill="FFFFFF"/>
            <w:noWrap/>
            <w:vAlign w:val="center"/>
            <w:hideMark/>
          </w:tcPr>
          <w:p w14:paraId="62071E28" w14:textId="77777777" w:rsidR="00212E14" w:rsidRPr="00F32020" w:rsidRDefault="00212E14" w:rsidP="00D314EE">
            <w:pPr>
              <w:jc w:val="center"/>
              <w:rPr>
                <w:sz w:val="18"/>
                <w:szCs w:val="18"/>
              </w:rPr>
            </w:pPr>
            <w:r w:rsidRPr="00F32020">
              <w:rPr>
                <w:sz w:val="18"/>
                <w:szCs w:val="18"/>
              </w:rPr>
              <w:t>1,614,000.00</w:t>
            </w:r>
          </w:p>
        </w:tc>
        <w:tc>
          <w:tcPr>
            <w:tcW w:w="0" w:type="auto"/>
            <w:tcBorders>
              <w:top w:val="nil"/>
              <w:left w:val="nil"/>
              <w:bottom w:val="nil"/>
              <w:right w:val="nil"/>
            </w:tcBorders>
            <w:shd w:val="clear" w:color="000000" w:fill="FFFFFF"/>
            <w:noWrap/>
            <w:vAlign w:val="center"/>
            <w:hideMark/>
          </w:tcPr>
          <w:p w14:paraId="461CCCD5" w14:textId="77777777" w:rsidR="00212E14" w:rsidRPr="00F32020" w:rsidRDefault="00212E14" w:rsidP="00D314EE">
            <w:pPr>
              <w:jc w:val="center"/>
              <w:rPr>
                <w:sz w:val="18"/>
                <w:szCs w:val="18"/>
              </w:rPr>
            </w:pPr>
            <w:r w:rsidRPr="00F32020">
              <w:rPr>
                <w:sz w:val="18"/>
                <w:szCs w:val="18"/>
              </w:rPr>
              <w:t>140,149.30</w:t>
            </w:r>
          </w:p>
        </w:tc>
      </w:tr>
      <w:tr w:rsidR="00212E14" w:rsidRPr="00F32020" w14:paraId="0C3915F7" w14:textId="77777777" w:rsidTr="0035368C">
        <w:trPr>
          <w:trHeight w:val="280"/>
        </w:trPr>
        <w:tc>
          <w:tcPr>
            <w:tcW w:w="2558" w:type="dxa"/>
            <w:tcBorders>
              <w:top w:val="nil"/>
              <w:left w:val="nil"/>
              <w:bottom w:val="nil"/>
              <w:right w:val="nil"/>
            </w:tcBorders>
            <w:shd w:val="clear" w:color="000000" w:fill="FFFFFF"/>
            <w:noWrap/>
            <w:vAlign w:val="center"/>
            <w:hideMark/>
          </w:tcPr>
          <w:p w14:paraId="21E8FD5D" w14:textId="77777777" w:rsidR="00212E14" w:rsidRPr="00F32020" w:rsidRDefault="00212E14" w:rsidP="00D314EE">
            <w:pPr>
              <w:rPr>
                <w:sz w:val="18"/>
                <w:szCs w:val="18"/>
              </w:rPr>
            </w:pPr>
            <w:r w:rsidRPr="00F32020">
              <w:rPr>
                <w:sz w:val="18"/>
                <w:szCs w:val="18"/>
              </w:rPr>
              <w:t>Non-for-Profit type</w:t>
            </w:r>
          </w:p>
        </w:tc>
        <w:tc>
          <w:tcPr>
            <w:tcW w:w="0" w:type="auto"/>
            <w:tcBorders>
              <w:top w:val="nil"/>
              <w:left w:val="nil"/>
              <w:bottom w:val="nil"/>
              <w:right w:val="nil"/>
            </w:tcBorders>
            <w:shd w:val="clear" w:color="000000" w:fill="FFFFFF"/>
            <w:noWrap/>
            <w:vAlign w:val="center"/>
            <w:hideMark/>
          </w:tcPr>
          <w:p w14:paraId="024CA298"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51065179"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7A7067E5"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454EC456" w14:textId="77777777" w:rsidR="00212E14" w:rsidRPr="00F32020" w:rsidRDefault="00212E14" w:rsidP="00D314EE">
            <w:pPr>
              <w:jc w:val="center"/>
              <w:rPr>
                <w:sz w:val="18"/>
                <w:szCs w:val="18"/>
              </w:rPr>
            </w:pPr>
            <w:r w:rsidRPr="00F32020">
              <w:rPr>
                <w:sz w:val="18"/>
                <w:szCs w:val="18"/>
              </w:rPr>
              <w:t>0.09</w:t>
            </w:r>
          </w:p>
        </w:tc>
        <w:tc>
          <w:tcPr>
            <w:tcW w:w="0" w:type="auto"/>
            <w:tcBorders>
              <w:top w:val="nil"/>
              <w:left w:val="nil"/>
              <w:bottom w:val="nil"/>
              <w:right w:val="nil"/>
            </w:tcBorders>
            <w:shd w:val="clear" w:color="000000" w:fill="FFFFFF"/>
            <w:noWrap/>
            <w:vAlign w:val="center"/>
            <w:hideMark/>
          </w:tcPr>
          <w:p w14:paraId="79CEF2BA"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1342C175"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030470F6"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5C6E3D78" w14:textId="77777777" w:rsidR="00212E14" w:rsidRPr="00F32020" w:rsidRDefault="00212E14" w:rsidP="00D314EE">
            <w:pPr>
              <w:jc w:val="center"/>
              <w:rPr>
                <w:sz w:val="18"/>
                <w:szCs w:val="18"/>
              </w:rPr>
            </w:pPr>
            <w:r w:rsidRPr="00F32020">
              <w:rPr>
                <w:sz w:val="18"/>
                <w:szCs w:val="18"/>
              </w:rPr>
              <w:t>0.29</w:t>
            </w:r>
          </w:p>
        </w:tc>
      </w:tr>
      <w:tr w:rsidR="00212E14" w:rsidRPr="00F32020" w14:paraId="7A006551" w14:textId="77777777" w:rsidTr="0035368C">
        <w:trPr>
          <w:trHeight w:val="280"/>
        </w:trPr>
        <w:tc>
          <w:tcPr>
            <w:tcW w:w="2558" w:type="dxa"/>
            <w:tcBorders>
              <w:top w:val="nil"/>
              <w:left w:val="nil"/>
              <w:bottom w:val="nil"/>
              <w:right w:val="nil"/>
            </w:tcBorders>
            <w:shd w:val="clear" w:color="000000" w:fill="FFFFFF"/>
            <w:noWrap/>
            <w:vAlign w:val="center"/>
            <w:hideMark/>
          </w:tcPr>
          <w:p w14:paraId="050C6865" w14:textId="77777777" w:rsidR="00212E14" w:rsidRPr="00F32020" w:rsidRDefault="00212E14" w:rsidP="00D314EE">
            <w:pPr>
              <w:rPr>
                <w:sz w:val="18"/>
                <w:szCs w:val="18"/>
              </w:rPr>
            </w:pPr>
            <w:r w:rsidRPr="00F32020">
              <w:rPr>
                <w:sz w:val="18"/>
                <w:szCs w:val="18"/>
              </w:rPr>
              <w:t>Venture has social motives</w:t>
            </w:r>
          </w:p>
        </w:tc>
        <w:tc>
          <w:tcPr>
            <w:tcW w:w="0" w:type="auto"/>
            <w:tcBorders>
              <w:top w:val="nil"/>
              <w:left w:val="nil"/>
              <w:bottom w:val="nil"/>
              <w:right w:val="nil"/>
            </w:tcBorders>
            <w:shd w:val="clear" w:color="000000" w:fill="FFFFFF"/>
            <w:noWrap/>
            <w:vAlign w:val="center"/>
            <w:hideMark/>
          </w:tcPr>
          <w:p w14:paraId="480D9EFE"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4D9947DF"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0C670870"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67BB5CAB" w14:textId="77777777" w:rsidR="00212E14" w:rsidRPr="00F32020" w:rsidRDefault="00212E14" w:rsidP="00D314EE">
            <w:pPr>
              <w:jc w:val="center"/>
              <w:rPr>
                <w:sz w:val="18"/>
                <w:szCs w:val="18"/>
              </w:rPr>
            </w:pPr>
            <w:r w:rsidRPr="00F32020">
              <w:rPr>
                <w:sz w:val="18"/>
                <w:szCs w:val="18"/>
              </w:rPr>
              <w:t>0.9</w:t>
            </w:r>
          </w:p>
        </w:tc>
        <w:tc>
          <w:tcPr>
            <w:tcW w:w="0" w:type="auto"/>
            <w:tcBorders>
              <w:top w:val="nil"/>
              <w:left w:val="nil"/>
              <w:bottom w:val="nil"/>
              <w:right w:val="nil"/>
            </w:tcBorders>
            <w:shd w:val="clear" w:color="000000" w:fill="FFFFFF"/>
            <w:noWrap/>
            <w:vAlign w:val="center"/>
            <w:hideMark/>
          </w:tcPr>
          <w:p w14:paraId="19DEFDDD"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1ABDD6C9"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7FE5AC24"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2909DA17" w14:textId="77777777" w:rsidR="00212E14" w:rsidRPr="00F32020" w:rsidRDefault="00212E14" w:rsidP="00D314EE">
            <w:pPr>
              <w:jc w:val="center"/>
              <w:rPr>
                <w:sz w:val="18"/>
                <w:szCs w:val="18"/>
              </w:rPr>
            </w:pPr>
            <w:r w:rsidRPr="00F32020">
              <w:rPr>
                <w:sz w:val="18"/>
                <w:szCs w:val="18"/>
              </w:rPr>
              <w:t>0.3</w:t>
            </w:r>
          </w:p>
        </w:tc>
      </w:tr>
      <w:tr w:rsidR="00212E14" w:rsidRPr="00F32020" w14:paraId="2F828DD3" w14:textId="77777777" w:rsidTr="0035368C">
        <w:trPr>
          <w:trHeight w:val="280"/>
        </w:trPr>
        <w:tc>
          <w:tcPr>
            <w:tcW w:w="2558" w:type="dxa"/>
            <w:tcBorders>
              <w:top w:val="nil"/>
              <w:left w:val="nil"/>
              <w:bottom w:val="nil"/>
              <w:right w:val="nil"/>
            </w:tcBorders>
            <w:shd w:val="clear" w:color="000000" w:fill="FFFFFF"/>
            <w:noWrap/>
            <w:vAlign w:val="center"/>
            <w:hideMark/>
          </w:tcPr>
          <w:p w14:paraId="7C3BC0C5" w14:textId="77777777" w:rsidR="00212E14" w:rsidRPr="00F32020" w:rsidRDefault="00212E14" w:rsidP="00D314EE">
            <w:pPr>
              <w:rPr>
                <w:sz w:val="18"/>
                <w:szCs w:val="18"/>
              </w:rPr>
            </w:pPr>
            <w:r w:rsidRPr="00F32020">
              <w:rPr>
                <w:sz w:val="18"/>
                <w:szCs w:val="18"/>
              </w:rPr>
              <w:t>Intellectual Property</w:t>
            </w:r>
          </w:p>
        </w:tc>
        <w:tc>
          <w:tcPr>
            <w:tcW w:w="0" w:type="auto"/>
            <w:tcBorders>
              <w:top w:val="nil"/>
              <w:left w:val="nil"/>
              <w:bottom w:val="nil"/>
              <w:right w:val="nil"/>
            </w:tcBorders>
            <w:shd w:val="clear" w:color="000000" w:fill="FFFFFF"/>
            <w:noWrap/>
            <w:vAlign w:val="center"/>
            <w:hideMark/>
          </w:tcPr>
          <w:p w14:paraId="1B5F3895"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2F0A7F13"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40B9D8AA"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34B9C6A7" w14:textId="77777777" w:rsidR="00212E14" w:rsidRPr="00F32020" w:rsidRDefault="00212E14" w:rsidP="00D314EE">
            <w:pPr>
              <w:jc w:val="center"/>
              <w:rPr>
                <w:sz w:val="18"/>
                <w:szCs w:val="18"/>
              </w:rPr>
            </w:pPr>
            <w:r w:rsidRPr="00F32020">
              <w:rPr>
                <w:sz w:val="18"/>
                <w:szCs w:val="18"/>
              </w:rPr>
              <w:t>0.55</w:t>
            </w:r>
          </w:p>
        </w:tc>
        <w:tc>
          <w:tcPr>
            <w:tcW w:w="0" w:type="auto"/>
            <w:tcBorders>
              <w:top w:val="nil"/>
              <w:left w:val="nil"/>
              <w:bottom w:val="nil"/>
              <w:right w:val="nil"/>
            </w:tcBorders>
            <w:shd w:val="clear" w:color="000000" w:fill="FFFFFF"/>
            <w:noWrap/>
            <w:vAlign w:val="center"/>
            <w:hideMark/>
          </w:tcPr>
          <w:p w14:paraId="5606C6CA"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5D051038"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264C1035"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4F168F41" w14:textId="77777777" w:rsidR="00212E14" w:rsidRPr="00F32020" w:rsidRDefault="00212E14" w:rsidP="00D314EE">
            <w:pPr>
              <w:jc w:val="center"/>
              <w:rPr>
                <w:sz w:val="18"/>
                <w:szCs w:val="18"/>
              </w:rPr>
            </w:pPr>
            <w:r w:rsidRPr="00F32020">
              <w:rPr>
                <w:sz w:val="18"/>
                <w:szCs w:val="18"/>
              </w:rPr>
              <w:t>0.49</w:t>
            </w:r>
          </w:p>
        </w:tc>
      </w:tr>
      <w:tr w:rsidR="00212E14" w:rsidRPr="00F32020" w14:paraId="3719C42C" w14:textId="77777777" w:rsidTr="0035368C">
        <w:trPr>
          <w:trHeight w:val="280"/>
        </w:trPr>
        <w:tc>
          <w:tcPr>
            <w:tcW w:w="2558" w:type="dxa"/>
            <w:tcBorders>
              <w:top w:val="nil"/>
              <w:left w:val="nil"/>
              <w:bottom w:val="nil"/>
              <w:right w:val="nil"/>
            </w:tcBorders>
            <w:shd w:val="clear" w:color="000000" w:fill="FFFFFF"/>
            <w:noWrap/>
            <w:vAlign w:val="bottom"/>
            <w:hideMark/>
          </w:tcPr>
          <w:p w14:paraId="3E87AFFE" w14:textId="77777777" w:rsidR="00212E14" w:rsidRPr="00F32020" w:rsidRDefault="00212E14" w:rsidP="00D314EE">
            <w:pPr>
              <w:rPr>
                <w:sz w:val="18"/>
                <w:szCs w:val="18"/>
              </w:rPr>
            </w:pPr>
            <w:r w:rsidRPr="00F32020">
              <w:rPr>
                <w:sz w:val="18"/>
                <w:szCs w:val="18"/>
              </w:rPr>
              <w:t>Model invention-based</w:t>
            </w:r>
          </w:p>
        </w:tc>
        <w:tc>
          <w:tcPr>
            <w:tcW w:w="0" w:type="auto"/>
            <w:tcBorders>
              <w:top w:val="nil"/>
              <w:left w:val="nil"/>
              <w:bottom w:val="nil"/>
              <w:right w:val="nil"/>
            </w:tcBorders>
            <w:shd w:val="clear" w:color="000000" w:fill="FFFFFF"/>
            <w:noWrap/>
            <w:vAlign w:val="center"/>
            <w:hideMark/>
          </w:tcPr>
          <w:p w14:paraId="76778307"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61EAA8FD"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0261DF16"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7FB7F50D" w14:textId="77777777" w:rsidR="00212E14" w:rsidRPr="00F32020" w:rsidRDefault="00212E14" w:rsidP="00D314EE">
            <w:pPr>
              <w:jc w:val="center"/>
              <w:rPr>
                <w:sz w:val="18"/>
                <w:szCs w:val="18"/>
              </w:rPr>
            </w:pPr>
            <w:r w:rsidRPr="00F32020">
              <w:rPr>
                <w:sz w:val="18"/>
                <w:szCs w:val="18"/>
              </w:rPr>
              <w:t>0.5486</w:t>
            </w:r>
          </w:p>
        </w:tc>
        <w:tc>
          <w:tcPr>
            <w:tcW w:w="0" w:type="auto"/>
            <w:tcBorders>
              <w:top w:val="nil"/>
              <w:left w:val="nil"/>
              <w:bottom w:val="nil"/>
              <w:right w:val="nil"/>
            </w:tcBorders>
            <w:shd w:val="clear" w:color="000000" w:fill="FFFFFF"/>
            <w:noWrap/>
            <w:vAlign w:val="center"/>
            <w:hideMark/>
          </w:tcPr>
          <w:p w14:paraId="4F40FE6B"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0B6D21AC"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74B16BF1"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5587000D" w14:textId="77777777" w:rsidR="00212E14" w:rsidRPr="00F32020" w:rsidRDefault="00212E14" w:rsidP="00D314EE">
            <w:pPr>
              <w:jc w:val="center"/>
              <w:rPr>
                <w:sz w:val="18"/>
                <w:szCs w:val="18"/>
              </w:rPr>
            </w:pPr>
            <w:r w:rsidRPr="00F32020">
              <w:rPr>
                <w:sz w:val="18"/>
                <w:szCs w:val="18"/>
              </w:rPr>
              <w:t>0.49</w:t>
            </w:r>
          </w:p>
        </w:tc>
      </w:tr>
      <w:tr w:rsidR="00212E14" w:rsidRPr="00F32020" w14:paraId="041E7582" w14:textId="77777777" w:rsidTr="0035368C">
        <w:trPr>
          <w:trHeight w:val="280"/>
        </w:trPr>
        <w:tc>
          <w:tcPr>
            <w:tcW w:w="2558" w:type="dxa"/>
            <w:tcBorders>
              <w:top w:val="nil"/>
              <w:left w:val="nil"/>
              <w:bottom w:val="nil"/>
              <w:right w:val="nil"/>
            </w:tcBorders>
            <w:shd w:val="clear" w:color="000000" w:fill="FFFFFF"/>
            <w:noWrap/>
            <w:vAlign w:val="center"/>
            <w:hideMark/>
          </w:tcPr>
          <w:p w14:paraId="72879077" w14:textId="77777777" w:rsidR="00212E14" w:rsidRPr="00F32020" w:rsidRDefault="00212E14" w:rsidP="00D314EE">
            <w:pPr>
              <w:rPr>
                <w:sz w:val="18"/>
                <w:szCs w:val="18"/>
              </w:rPr>
            </w:pPr>
            <w:r w:rsidRPr="00F32020">
              <w:rPr>
                <w:sz w:val="18"/>
                <w:szCs w:val="18"/>
              </w:rPr>
              <w:t>Equity since founded (in USD)</w:t>
            </w:r>
          </w:p>
        </w:tc>
        <w:tc>
          <w:tcPr>
            <w:tcW w:w="0" w:type="auto"/>
            <w:tcBorders>
              <w:top w:val="nil"/>
              <w:left w:val="nil"/>
              <w:bottom w:val="nil"/>
              <w:right w:val="nil"/>
            </w:tcBorders>
            <w:shd w:val="clear" w:color="000000" w:fill="FFFFFF"/>
            <w:noWrap/>
            <w:vAlign w:val="center"/>
            <w:hideMark/>
          </w:tcPr>
          <w:p w14:paraId="55BE262E" w14:textId="77777777" w:rsidR="00212E14" w:rsidRPr="00F32020" w:rsidRDefault="00212E14" w:rsidP="00D314EE">
            <w:pPr>
              <w:jc w:val="center"/>
              <w:rPr>
                <w:sz w:val="18"/>
                <w:szCs w:val="18"/>
              </w:rPr>
            </w:pPr>
            <w:r w:rsidRPr="00F32020">
              <w:rPr>
                <w:sz w:val="18"/>
                <w:szCs w:val="18"/>
              </w:rPr>
              <w:t>9,273</w:t>
            </w:r>
          </w:p>
        </w:tc>
        <w:tc>
          <w:tcPr>
            <w:tcW w:w="0" w:type="auto"/>
            <w:tcBorders>
              <w:top w:val="nil"/>
              <w:left w:val="nil"/>
              <w:bottom w:val="nil"/>
              <w:right w:val="nil"/>
            </w:tcBorders>
            <w:shd w:val="clear" w:color="000000" w:fill="FFFFFF"/>
            <w:noWrap/>
            <w:vAlign w:val="center"/>
            <w:hideMark/>
          </w:tcPr>
          <w:p w14:paraId="7ACBA3C6"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7156E6CD"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2DE13AB0" w14:textId="77777777" w:rsidR="00212E14" w:rsidRPr="00F32020" w:rsidRDefault="00212E14" w:rsidP="00D314EE">
            <w:pPr>
              <w:jc w:val="center"/>
              <w:rPr>
                <w:sz w:val="18"/>
                <w:szCs w:val="18"/>
              </w:rPr>
            </w:pPr>
            <w:r w:rsidRPr="00F32020">
              <w:rPr>
                <w:sz w:val="18"/>
                <w:szCs w:val="18"/>
              </w:rPr>
              <w:t>34,323</w:t>
            </w:r>
          </w:p>
        </w:tc>
        <w:tc>
          <w:tcPr>
            <w:tcW w:w="0" w:type="auto"/>
            <w:tcBorders>
              <w:top w:val="nil"/>
              <w:left w:val="nil"/>
              <w:bottom w:val="nil"/>
              <w:right w:val="nil"/>
            </w:tcBorders>
            <w:shd w:val="clear" w:color="000000" w:fill="FFFFFF"/>
            <w:noWrap/>
            <w:vAlign w:val="center"/>
            <w:hideMark/>
          </w:tcPr>
          <w:p w14:paraId="3495414A"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5CF67512"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75F60E6D" w14:textId="77777777" w:rsidR="00212E14" w:rsidRPr="00F32020" w:rsidRDefault="00212E14" w:rsidP="00D314EE">
            <w:pPr>
              <w:jc w:val="center"/>
              <w:rPr>
                <w:sz w:val="18"/>
                <w:szCs w:val="18"/>
              </w:rPr>
            </w:pPr>
            <w:r w:rsidRPr="00F32020">
              <w:rPr>
                <w:sz w:val="18"/>
                <w:szCs w:val="18"/>
              </w:rPr>
              <w:t>1,085,000</w:t>
            </w:r>
          </w:p>
        </w:tc>
        <w:tc>
          <w:tcPr>
            <w:tcW w:w="0" w:type="auto"/>
            <w:tcBorders>
              <w:top w:val="nil"/>
              <w:left w:val="nil"/>
              <w:bottom w:val="nil"/>
              <w:right w:val="nil"/>
            </w:tcBorders>
            <w:shd w:val="clear" w:color="000000" w:fill="FFFFFF"/>
            <w:noWrap/>
            <w:vAlign w:val="center"/>
            <w:hideMark/>
          </w:tcPr>
          <w:p w14:paraId="7B945219" w14:textId="77777777" w:rsidR="00212E14" w:rsidRPr="00F32020" w:rsidRDefault="00212E14" w:rsidP="00D314EE">
            <w:pPr>
              <w:jc w:val="center"/>
              <w:rPr>
                <w:sz w:val="18"/>
                <w:szCs w:val="18"/>
              </w:rPr>
            </w:pPr>
            <w:r w:rsidRPr="00F32020">
              <w:rPr>
                <w:sz w:val="18"/>
                <w:szCs w:val="18"/>
              </w:rPr>
              <w:t>148,715</w:t>
            </w:r>
          </w:p>
        </w:tc>
      </w:tr>
      <w:tr w:rsidR="00212E14" w:rsidRPr="00F32020" w14:paraId="72B9E7A1" w14:textId="77777777" w:rsidTr="0035368C">
        <w:trPr>
          <w:trHeight w:val="280"/>
        </w:trPr>
        <w:tc>
          <w:tcPr>
            <w:tcW w:w="2558" w:type="dxa"/>
            <w:tcBorders>
              <w:top w:val="nil"/>
              <w:left w:val="nil"/>
              <w:bottom w:val="nil"/>
              <w:right w:val="nil"/>
            </w:tcBorders>
            <w:shd w:val="clear" w:color="000000" w:fill="FFFFFF"/>
            <w:noWrap/>
            <w:vAlign w:val="center"/>
            <w:hideMark/>
          </w:tcPr>
          <w:p w14:paraId="1F8EA969" w14:textId="77777777" w:rsidR="00212E14" w:rsidRPr="00F32020" w:rsidRDefault="00212E14" w:rsidP="00D314EE">
            <w:pPr>
              <w:rPr>
                <w:rFonts w:ascii="Calibri" w:hAnsi="Calibri" w:cs="Calibri"/>
                <w:sz w:val="18"/>
                <w:szCs w:val="18"/>
              </w:rPr>
            </w:pPr>
            <w:r w:rsidRPr="00F32020">
              <w:rPr>
                <w:sz w:val="18"/>
                <w:szCs w:val="18"/>
              </w:rPr>
              <w:t>Report prior accelerator</w:t>
            </w:r>
          </w:p>
        </w:tc>
        <w:tc>
          <w:tcPr>
            <w:tcW w:w="0" w:type="auto"/>
            <w:tcBorders>
              <w:top w:val="nil"/>
              <w:left w:val="nil"/>
              <w:bottom w:val="nil"/>
              <w:right w:val="nil"/>
            </w:tcBorders>
            <w:shd w:val="clear" w:color="000000" w:fill="FFFFFF"/>
            <w:noWrap/>
            <w:vAlign w:val="bottom"/>
            <w:hideMark/>
          </w:tcPr>
          <w:p w14:paraId="3F05E8ED" w14:textId="77777777" w:rsidR="00212E14" w:rsidRPr="00F32020" w:rsidRDefault="00212E14" w:rsidP="00D314EE">
            <w:pPr>
              <w:jc w:val="center"/>
              <w:rPr>
                <w:rFonts w:ascii="Calibri" w:hAnsi="Calibri" w:cs="Calibri"/>
                <w:sz w:val="18"/>
                <w:szCs w:val="18"/>
              </w:rPr>
            </w:pPr>
            <w:r w:rsidRPr="00F32020">
              <w:rPr>
                <w:sz w:val="18"/>
                <w:szCs w:val="18"/>
              </w:rPr>
              <w:t>8,369</w:t>
            </w:r>
          </w:p>
        </w:tc>
        <w:tc>
          <w:tcPr>
            <w:tcW w:w="0" w:type="auto"/>
            <w:tcBorders>
              <w:top w:val="nil"/>
              <w:left w:val="nil"/>
              <w:bottom w:val="nil"/>
              <w:right w:val="nil"/>
            </w:tcBorders>
            <w:shd w:val="clear" w:color="000000" w:fill="FFFFFF"/>
            <w:noWrap/>
            <w:vAlign w:val="center"/>
            <w:hideMark/>
          </w:tcPr>
          <w:p w14:paraId="60C5A662" w14:textId="77777777" w:rsidR="00212E14" w:rsidRPr="00F32020" w:rsidRDefault="00212E14" w:rsidP="00D314EE">
            <w:pPr>
              <w:jc w:val="center"/>
              <w:rPr>
                <w:rFonts w:ascii="Calibri" w:hAnsi="Calibri" w:cs="Calibri"/>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198CF916" w14:textId="77777777" w:rsidR="00212E14" w:rsidRPr="00F32020" w:rsidRDefault="00212E14" w:rsidP="00D314EE">
            <w:pPr>
              <w:jc w:val="center"/>
              <w:rPr>
                <w:rFonts w:ascii="Calibri" w:hAnsi="Calibri" w:cs="Calibri"/>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503C81A8" w14:textId="77777777" w:rsidR="00212E14" w:rsidRPr="00F32020" w:rsidRDefault="00212E14" w:rsidP="00D314EE">
            <w:pPr>
              <w:jc w:val="center"/>
              <w:rPr>
                <w:rFonts w:ascii="Calibri" w:hAnsi="Calibri" w:cs="Calibri"/>
                <w:sz w:val="18"/>
                <w:szCs w:val="18"/>
              </w:rPr>
            </w:pPr>
            <w:r w:rsidRPr="00F32020">
              <w:rPr>
                <w:sz w:val="18"/>
                <w:szCs w:val="18"/>
              </w:rPr>
              <w:t>0.33</w:t>
            </w:r>
          </w:p>
        </w:tc>
        <w:tc>
          <w:tcPr>
            <w:tcW w:w="0" w:type="auto"/>
            <w:tcBorders>
              <w:top w:val="nil"/>
              <w:left w:val="nil"/>
              <w:bottom w:val="nil"/>
              <w:right w:val="nil"/>
            </w:tcBorders>
            <w:shd w:val="clear" w:color="000000" w:fill="FFFFFF"/>
            <w:noWrap/>
            <w:vAlign w:val="center"/>
            <w:hideMark/>
          </w:tcPr>
          <w:p w14:paraId="3C46DA81" w14:textId="77777777" w:rsidR="00212E14" w:rsidRPr="00F32020" w:rsidRDefault="00212E14" w:rsidP="00D314EE">
            <w:pPr>
              <w:jc w:val="center"/>
              <w:rPr>
                <w:rFonts w:ascii="Calibri" w:hAnsi="Calibri" w:cs="Calibri"/>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053963DA" w14:textId="77777777" w:rsidR="00212E14" w:rsidRPr="00F32020" w:rsidRDefault="00212E14" w:rsidP="00D314EE">
            <w:pPr>
              <w:jc w:val="center"/>
              <w:rPr>
                <w:rFonts w:ascii="Calibri" w:hAnsi="Calibri" w:cs="Calibri"/>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05B865A2" w14:textId="77777777" w:rsidR="00212E14" w:rsidRPr="00F32020" w:rsidRDefault="00212E14" w:rsidP="00D314EE">
            <w:pPr>
              <w:jc w:val="center"/>
              <w:rPr>
                <w:rFonts w:ascii="Calibri" w:hAnsi="Calibri" w:cs="Calibri"/>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0E1FBD9D" w14:textId="77777777" w:rsidR="00212E14" w:rsidRPr="00F32020" w:rsidRDefault="00212E14" w:rsidP="00D314EE">
            <w:pPr>
              <w:jc w:val="center"/>
              <w:rPr>
                <w:rFonts w:ascii="Calibri" w:hAnsi="Calibri" w:cs="Calibri"/>
                <w:sz w:val="18"/>
                <w:szCs w:val="18"/>
              </w:rPr>
            </w:pPr>
            <w:r w:rsidRPr="00F32020">
              <w:rPr>
                <w:sz w:val="18"/>
                <w:szCs w:val="18"/>
              </w:rPr>
              <w:t>0.471</w:t>
            </w:r>
          </w:p>
        </w:tc>
      </w:tr>
      <w:tr w:rsidR="00212E14" w:rsidRPr="00F32020" w14:paraId="259DA5CB" w14:textId="77777777" w:rsidTr="0035368C">
        <w:trPr>
          <w:trHeight w:val="280"/>
        </w:trPr>
        <w:tc>
          <w:tcPr>
            <w:tcW w:w="9251" w:type="dxa"/>
            <w:gridSpan w:val="9"/>
            <w:tcBorders>
              <w:top w:val="nil"/>
              <w:left w:val="nil"/>
              <w:bottom w:val="nil"/>
              <w:right w:val="nil"/>
            </w:tcBorders>
            <w:shd w:val="clear" w:color="000000" w:fill="FFFFFF"/>
            <w:noWrap/>
            <w:vAlign w:val="center"/>
          </w:tcPr>
          <w:p w14:paraId="60F80326" w14:textId="77777777" w:rsidR="00212E14" w:rsidRPr="00F32020" w:rsidRDefault="00212E14" w:rsidP="00D314EE">
            <w:pPr>
              <w:rPr>
                <w:i/>
                <w:iCs/>
                <w:sz w:val="18"/>
                <w:szCs w:val="18"/>
              </w:rPr>
            </w:pPr>
          </w:p>
        </w:tc>
      </w:tr>
      <w:tr w:rsidR="00212E14" w:rsidRPr="00F32020" w14:paraId="695570D5" w14:textId="77777777" w:rsidTr="0035368C">
        <w:trPr>
          <w:trHeight w:val="280"/>
        </w:trPr>
        <w:tc>
          <w:tcPr>
            <w:tcW w:w="9251" w:type="dxa"/>
            <w:gridSpan w:val="9"/>
            <w:tcBorders>
              <w:top w:val="nil"/>
              <w:left w:val="nil"/>
              <w:bottom w:val="nil"/>
              <w:right w:val="nil"/>
            </w:tcBorders>
            <w:shd w:val="clear" w:color="000000" w:fill="FFFFFF"/>
            <w:noWrap/>
            <w:vAlign w:val="center"/>
            <w:hideMark/>
          </w:tcPr>
          <w:p w14:paraId="2BEE202F" w14:textId="77777777" w:rsidR="00212E14" w:rsidRPr="00F32020" w:rsidRDefault="00212E14" w:rsidP="00D314EE">
            <w:pPr>
              <w:rPr>
                <w:i/>
                <w:iCs/>
                <w:sz w:val="18"/>
                <w:szCs w:val="18"/>
              </w:rPr>
            </w:pPr>
            <w:r w:rsidRPr="00F32020">
              <w:rPr>
                <w:i/>
                <w:iCs/>
                <w:sz w:val="18"/>
                <w:szCs w:val="18"/>
              </w:rPr>
              <w:t>Founding team-level control variables</w:t>
            </w:r>
          </w:p>
        </w:tc>
      </w:tr>
      <w:tr w:rsidR="00212E14" w:rsidRPr="00F32020" w14:paraId="650FBF2A" w14:textId="77777777" w:rsidTr="0035368C">
        <w:trPr>
          <w:trHeight w:val="280"/>
        </w:trPr>
        <w:tc>
          <w:tcPr>
            <w:tcW w:w="2558" w:type="dxa"/>
            <w:tcBorders>
              <w:top w:val="nil"/>
              <w:left w:val="nil"/>
              <w:bottom w:val="nil"/>
              <w:right w:val="nil"/>
            </w:tcBorders>
            <w:shd w:val="clear" w:color="000000" w:fill="FFFFFF"/>
            <w:noWrap/>
            <w:vAlign w:val="bottom"/>
            <w:hideMark/>
          </w:tcPr>
          <w:p w14:paraId="0DD67958" w14:textId="77777777" w:rsidR="00212E14" w:rsidRPr="00F32020" w:rsidRDefault="00212E14" w:rsidP="00D314EE">
            <w:pPr>
              <w:rPr>
                <w:sz w:val="18"/>
                <w:szCs w:val="18"/>
              </w:rPr>
            </w:pPr>
            <w:r w:rsidRPr="00F32020">
              <w:rPr>
                <w:sz w:val="18"/>
                <w:szCs w:val="18"/>
              </w:rPr>
              <w:t>Prior ventures founded (Average)</w:t>
            </w:r>
          </w:p>
        </w:tc>
        <w:tc>
          <w:tcPr>
            <w:tcW w:w="0" w:type="auto"/>
            <w:tcBorders>
              <w:top w:val="nil"/>
              <w:left w:val="nil"/>
              <w:bottom w:val="nil"/>
              <w:right w:val="nil"/>
            </w:tcBorders>
            <w:shd w:val="clear" w:color="000000" w:fill="FFFFFF"/>
            <w:noWrap/>
            <w:vAlign w:val="bottom"/>
            <w:hideMark/>
          </w:tcPr>
          <w:p w14:paraId="77F9CFE6" w14:textId="77777777" w:rsidR="00212E14" w:rsidRPr="00F32020" w:rsidRDefault="00212E14" w:rsidP="00D314EE">
            <w:pPr>
              <w:jc w:val="center"/>
              <w:rPr>
                <w:sz w:val="18"/>
                <w:szCs w:val="18"/>
              </w:rPr>
            </w:pPr>
            <w:r w:rsidRPr="00F32020">
              <w:rPr>
                <w:sz w:val="18"/>
                <w:szCs w:val="18"/>
              </w:rPr>
              <w:t>8,369</w:t>
            </w:r>
          </w:p>
        </w:tc>
        <w:tc>
          <w:tcPr>
            <w:tcW w:w="0" w:type="auto"/>
            <w:tcBorders>
              <w:top w:val="nil"/>
              <w:left w:val="nil"/>
              <w:bottom w:val="nil"/>
              <w:right w:val="nil"/>
            </w:tcBorders>
            <w:shd w:val="clear" w:color="000000" w:fill="FFFFFF"/>
            <w:noWrap/>
            <w:vAlign w:val="center"/>
            <w:hideMark/>
          </w:tcPr>
          <w:p w14:paraId="45A9ADD4"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197E80D9"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2521CEB7" w14:textId="77777777" w:rsidR="00212E14" w:rsidRPr="00F32020" w:rsidRDefault="00212E14" w:rsidP="00D314EE">
            <w:pPr>
              <w:jc w:val="center"/>
              <w:rPr>
                <w:sz w:val="18"/>
                <w:szCs w:val="18"/>
              </w:rPr>
            </w:pPr>
            <w:r w:rsidRPr="00F32020">
              <w:rPr>
                <w:sz w:val="18"/>
                <w:szCs w:val="18"/>
              </w:rPr>
              <w:t>0.8</w:t>
            </w:r>
          </w:p>
        </w:tc>
        <w:tc>
          <w:tcPr>
            <w:tcW w:w="0" w:type="auto"/>
            <w:tcBorders>
              <w:top w:val="nil"/>
              <w:left w:val="nil"/>
              <w:bottom w:val="nil"/>
              <w:right w:val="nil"/>
            </w:tcBorders>
            <w:shd w:val="clear" w:color="000000" w:fill="FFFFFF"/>
            <w:noWrap/>
            <w:vAlign w:val="center"/>
            <w:hideMark/>
          </w:tcPr>
          <w:p w14:paraId="1D03F9B5" w14:textId="77777777" w:rsidR="00212E14" w:rsidRPr="00F32020" w:rsidRDefault="00212E14" w:rsidP="00D314EE">
            <w:pPr>
              <w:jc w:val="center"/>
              <w:rPr>
                <w:sz w:val="18"/>
                <w:szCs w:val="18"/>
              </w:rPr>
            </w:pPr>
            <w:r w:rsidRPr="00F32020">
              <w:rPr>
                <w:sz w:val="18"/>
                <w:szCs w:val="18"/>
              </w:rPr>
              <w:t>0.5</w:t>
            </w:r>
          </w:p>
        </w:tc>
        <w:tc>
          <w:tcPr>
            <w:tcW w:w="0" w:type="auto"/>
            <w:tcBorders>
              <w:top w:val="nil"/>
              <w:left w:val="nil"/>
              <w:bottom w:val="nil"/>
              <w:right w:val="nil"/>
            </w:tcBorders>
            <w:shd w:val="clear" w:color="000000" w:fill="FFFFFF"/>
            <w:noWrap/>
            <w:vAlign w:val="center"/>
            <w:hideMark/>
          </w:tcPr>
          <w:p w14:paraId="3C8F4336"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5F1239C5" w14:textId="77777777" w:rsidR="00212E14" w:rsidRPr="00F32020" w:rsidRDefault="00212E14" w:rsidP="00D314EE">
            <w:pPr>
              <w:jc w:val="center"/>
              <w:rPr>
                <w:sz w:val="18"/>
                <w:szCs w:val="18"/>
              </w:rPr>
            </w:pPr>
            <w:r w:rsidRPr="00F32020">
              <w:rPr>
                <w:sz w:val="18"/>
                <w:szCs w:val="18"/>
              </w:rPr>
              <w:t>10</w:t>
            </w:r>
          </w:p>
        </w:tc>
        <w:tc>
          <w:tcPr>
            <w:tcW w:w="0" w:type="auto"/>
            <w:tcBorders>
              <w:top w:val="nil"/>
              <w:left w:val="nil"/>
              <w:bottom w:val="nil"/>
              <w:right w:val="nil"/>
            </w:tcBorders>
            <w:shd w:val="clear" w:color="000000" w:fill="FFFFFF"/>
            <w:noWrap/>
            <w:vAlign w:val="center"/>
            <w:hideMark/>
          </w:tcPr>
          <w:p w14:paraId="593F1B86" w14:textId="77777777" w:rsidR="00212E14" w:rsidRPr="00F32020" w:rsidRDefault="00212E14" w:rsidP="00D314EE">
            <w:pPr>
              <w:jc w:val="center"/>
              <w:rPr>
                <w:sz w:val="18"/>
                <w:szCs w:val="18"/>
              </w:rPr>
            </w:pPr>
            <w:r w:rsidRPr="00F32020">
              <w:rPr>
                <w:sz w:val="18"/>
                <w:szCs w:val="18"/>
              </w:rPr>
              <w:t>1.09</w:t>
            </w:r>
          </w:p>
        </w:tc>
      </w:tr>
      <w:tr w:rsidR="00212E14" w:rsidRPr="00F32020" w14:paraId="395F0287" w14:textId="77777777" w:rsidTr="0035368C">
        <w:trPr>
          <w:trHeight w:val="280"/>
        </w:trPr>
        <w:tc>
          <w:tcPr>
            <w:tcW w:w="2558" w:type="dxa"/>
            <w:tcBorders>
              <w:top w:val="nil"/>
              <w:left w:val="nil"/>
              <w:bottom w:val="nil"/>
              <w:right w:val="nil"/>
            </w:tcBorders>
            <w:shd w:val="clear" w:color="000000" w:fill="FFFFFF"/>
            <w:noWrap/>
            <w:vAlign w:val="bottom"/>
            <w:hideMark/>
          </w:tcPr>
          <w:p w14:paraId="2825A625" w14:textId="77777777" w:rsidR="00212E14" w:rsidRPr="00F32020" w:rsidRDefault="00212E14" w:rsidP="00D314EE">
            <w:pPr>
              <w:rPr>
                <w:sz w:val="18"/>
                <w:szCs w:val="18"/>
              </w:rPr>
            </w:pPr>
            <w:r w:rsidRPr="00F32020">
              <w:rPr>
                <w:sz w:val="18"/>
                <w:szCs w:val="18"/>
              </w:rPr>
              <w:t>Education</w:t>
            </w:r>
          </w:p>
        </w:tc>
        <w:tc>
          <w:tcPr>
            <w:tcW w:w="0" w:type="auto"/>
            <w:tcBorders>
              <w:top w:val="nil"/>
              <w:left w:val="nil"/>
              <w:bottom w:val="nil"/>
              <w:right w:val="nil"/>
            </w:tcBorders>
            <w:shd w:val="clear" w:color="000000" w:fill="FFFFFF"/>
            <w:noWrap/>
            <w:vAlign w:val="bottom"/>
            <w:hideMark/>
          </w:tcPr>
          <w:p w14:paraId="4763A4E5" w14:textId="77777777" w:rsidR="00212E14" w:rsidRPr="00F32020" w:rsidRDefault="00212E14" w:rsidP="00D314EE">
            <w:pPr>
              <w:jc w:val="center"/>
              <w:rPr>
                <w:sz w:val="18"/>
                <w:szCs w:val="18"/>
              </w:rPr>
            </w:pPr>
            <w:r w:rsidRPr="00F32020">
              <w:rPr>
                <w:sz w:val="18"/>
                <w:szCs w:val="18"/>
              </w:rPr>
              <w:t>8,369</w:t>
            </w:r>
          </w:p>
        </w:tc>
        <w:tc>
          <w:tcPr>
            <w:tcW w:w="0" w:type="auto"/>
            <w:tcBorders>
              <w:top w:val="nil"/>
              <w:left w:val="nil"/>
              <w:bottom w:val="nil"/>
              <w:right w:val="nil"/>
            </w:tcBorders>
            <w:shd w:val="clear" w:color="000000" w:fill="FFFFFF"/>
            <w:noWrap/>
            <w:vAlign w:val="center"/>
            <w:hideMark/>
          </w:tcPr>
          <w:p w14:paraId="54B9BBA8"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hideMark/>
          </w:tcPr>
          <w:p w14:paraId="74610D65" w14:textId="77777777" w:rsidR="00212E14" w:rsidRPr="00F32020" w:rsidRDefault="00212E14" w:rsidP="00D314EE">
            <w:pPr>
              <w:jc w:val="center"/>
              <w:rPr>
                <w:sz w:val="18"/>
                <w:szCs w:val="18"/>
              </w:rPr>
            </w:pPr>
            <w:r w:rsidRPr="00F32020">
              <w:rPr>
                <w:sz w:val="18"/>
                <w:szCs w:val="18"/>
              </w:rPr>
              <w:t>0.33</w:t>
            </w:r>
          </w:p>
        </w:tc>
        <w:tc>
          <w:tcPr>
            <w:tcW w:w="0" w:type="auto"/>
            <w:tcBorders>
              <w:top w:val="nil"/>
              <w:left w:val="nil"/>
              <w:bottom w:val="nil"/>
              <w:right w:val="nil"/>
            </w:tcBorders>
            <w:shd w:val="clear" w:color="000000" w:fill="FFFFFF"/>
            <w:noWrap/>
            <w:vAlign w:val="center"/>
            <w:hideMark/>
          </w:tcPr>
          <w:p w14:paraId="4A4BD513" w14:textId="77777777" w:rsidR="00212E14" w:rsidRPr="00F32020" w:rsidRDefault="00212E14" w:rsidP="00D314EE">
            <w:pPr>
              <w:jc w:val="center"/>
              <w:rPr>
                <w:sz w:val="18"/>
                <w:szCs w:val="18"/>
              </w:rPr>
            </w:pPr>
            <w:r w:rsidRPr="00F32020">
              <w:rPr>
                <w:sz w:val="18"/>
                <w:szCs w:val="18"/>
              </w:rPr>
              <w:t>1.11</w:t>
            </w:r>
          </w:p>
        </w:tc>
        <w:tc>
          <w:tcPr>
            <w:tcW w:w="0" w:type="auto"/>
            <w:tcBorders>
              <w:top w:val="nil"/>
              <w:left w:val="nil"/>
              <w:bottom w:val="nil"/>
              <w:right w:val="nil"/>
            </w:tcBorders>
            <w:shd w:val="clear" w:color="000000" w:fill="FFFFFF"/>
            <w:noWrap/>
            <w:vAlign w:val="center"/>
            <w:hideMark/>
          </w:tcPr>
          <w:p w14:paraId="5A3A1DA1"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hideMark/>
          </w:tcPr>
          <w:p w14:paraId="028FA0A1" w14:textId="77777777" w:rsidR="00212E14" w:rsidRPr="00F32020" w:rsidRDefault="00212E14" w:rsidP="00D314EE">
            <w:pPr>
              <w:jc w:val="center"/>
              <w:rPr>
                <w:sz w:val="18"/>
                <w:szCs w:val="18"/>
              </w:rPr>
            </w:pPr>
            <w:r w:rsidRPr="00F32020">
              <w:rPr>
                <w:sz w:val="18"/>
                <w:szCs w:val="18"/>
              </w:rPr>
              <w:t>1.66</w:t>
            </w:r>
          </w:p>
        </w:tc>
        <w:tc>
          <w:tcPr>
            <w:tcW w:w="0" w:type="auto"/>
            <w:tcBorders>
              <w:top w:val="nil"/>
              <w:left w:val="nil"/>
              <w:bottom w:val="nil"/>
              <w:right w:val="nil"/>
            </w:tcBorders>
            <w:shd w:val="clear" w:color="000000" w:fill="FFFFFF"/>
            <w:noWrap/>
            <w:vAlign w:val="center"/>
            <w:hideMark/>
          </w:tcPr>
          <w:p w14:paraId="5B11EC9F" w14:textId="77777777" w:rsidR="00212E14" w:rsidRPr="00F32020" w:rsidRDefault="00212E14" w:rsidP="00D314EE">
            <w:pPr>
              <w:jc w:val="center"/>
              <w:rPr>
                <w:sz w:val="18"/>
                <w:szCs w:val="18"/>
              </w:rPr>
            </w:pPr>
            <w:r w:rsidRPr="00F32020">
              <w:rPr>
                <w:sz w:val="18"/>
                <w:szCs w:val="18"/>
              </w:rPr>
              <w:t>5</w:t>
            </w:r>
          </w:p>
        </w:tc>
        <w:tc>
          <w:tcPr>
            <w:tcW w:w="0" w:type="auto"/>
            <w:tcBorders>
              <w:top w:val="nil"/>
              <w:left w:val="nil"/>
              <w:bottom w:val="nil"/>
              <w:right w:val="nil"/>
            </w:tcBorders>
            <w:shd w:val="clear" w:color="000000" w:fill="FFFFFF"/>
            <w:noWrap/>
            <w:vAlign w:val="center"/>
            <w:hideMark/>
          </w:tcPr>
          <w:p w14:paraId="59AF6914" w14:textId="77777777" w:rsidR="00212E14" w:rsidRPr="00F32020" w:rsidRDefault="00212E14" w:rsidP="00D314EE">
            <w:pPr>
              <w:jc w:val="center"/>
              <w:rPr>
                <w:sz w:val="18"/>
                <w:szCs w:val="18"/>
              </w:rPr>
            </w:pPr>
            <w:r w:rsidRPr="00F32020">
              <w:rPr>
                <w:sz w:val="18"/>
                <w:szCs w:val="18"/>
              </w:rPr>
              <w:t>0.94</w:t>
            </w:r>
          </w:p>
        </w:tc>
      </w:tr>
      <w:tr w:rsidR="00212E14" w:rsidRPr="00F32020" w14:paraId="45AAA846" w14:textId="77777777" w:rsidTr="0035368C">
        <w:trPr>
          <w:trHeight w:val="280"/>
        </w:trPr>
        <w:tc>
          <w:tcPr>
            <w:tcW w:w="2558" w:type="dxa"/>
            <w:tcBorders>
              <w:top w:val="nil"/>
              <w:left w:val="nil"/>
              <w:bottom w:val="nil"/>
              <w:right w:val="nil"/>
            </w:tcBorders>
            <w:shd w:val="clear" w:color="000000" w:fill="FFFFFF"/>
            <w:noWrap/>
            <w:vAlign w:val="bottom"/>
          </w:tcPr>
          <w:p w14:paraId="0CF0BBDB" w14:textId="77777777" w:rsidR="00212E14" w:rsidRPr="00F32020" w:rsidRDefault="00212E14" w:rsidP="00D314EE">
            <w:pPr>
              <w:rPr>
                <w:sz w:val="18"/>
                <w:szCs w:val="18"/>
              </w:rPr>
            </w:pPr>
            <w:r w:rsidRPr="00F32020">
              <w:rPr>
                <w:sz w:val="18"/>
                <w:szCs w:val="18"/>
              </w:rPr>
              <w:t>Average age among founders</w:t>
            </w:r>
          </w:p>
        </w:tc>
        <w:tc>
          <w:tcPr>
            <w:tcW w:w="0" w:type="auto"/>
            <w:tcBorders>
              <w:top w:val="nil"/>
              <w:left w:val="nil"/>
              <w:bottom w:val="nil"/>
              <w:right w:val="nil"/>
            </w:tcBorders>
            <w:shd w:val="clear" w:color="000000" w:fill="FFFFFF"/>
            <w:noWrap/>
            <w:vAlign w:val="bottom"/>
          </w:tcPr>
          <w:p w14:paraId="0A6366A0" w14:textId="77777777" w:rsidR="00212E14" w:rsidRPr="00F32020" w:rsidRDefault="00212E14" w:rsidP="00D314EE">
            <w:pPr>
              <w:jc w:val="center"/>
              <w:rPr>
                <w:sz w:val="18"/>
                <w:szCs w:val="18"/>
              </w:rPr>
            </w:pPr>
            <w:r w:rsidRPr="00F32020">
              <w:rPr>
                <w:sz w:val="18"/>
                <w:szCs w:val="18"/>
              </w:rPr>
              <w:t>8,369</w:t>
            </w:r>
          </w:p>
        </w:tc>
        <w:tc>
          <w:tcPr>
            <w:tcW w:w="0" w:type="auto"/>
            <w:tcBorders>
              <w:top w:val="nil"/>
              <w:left w:val="nil"/>
              <w:bottom w:val="nil"/>
              <w:right w:val="nil"/>
            </w:tcBorders>
            <w:shd w:val="clear" w:color="000000" w:fill="FFFFFF"/>
            <w:noWrap/>
            <w:vAlign w:val="center"/>
          </w:tcPr>
          <w:p w14:paraId="2264C618" w14:textId="77777777" w:rsidR="00212E14" w:rsidRPr="00F32020" w:rsidRDefault="00212E14" w:rsidP="00D314EE">
            <w:pPr>
              <w:jc w:val="center"/>
              <w:rPr>
                <w:sz w:val="18"/>
                <w:szCs w:val="18"/>
              </w:rPr>
            </w:pPr>
            <w:r w:rsidRPr="00F32020">
              <w:rPr>
                <w:sz w:val="18"/>
                <w:szCs w:val="18"/>
              </w:rPr>
              <w:t>21</w:t>
            </w:r>
          </w:p>
        </w:tc>
        <w:tc>
          <w:tcPr>
            <w:tcW w:w="0" w:type="auto"/>
            <w:tcBorders>
              <w:top w:val="nil"/>
              <w:left w:val="nil"/>
              <w:bottom w:val="nil"/>
              <w:right w:val="nil"/>
            </w:tcBorders>
            <w:shd w:val="clear" w:color="000000" w:fill="FFFFFF"/>
            <w:noWrap/>
            <w:vAlign w:val="center"/>
          </w:tcPr>
          <w:p w14:paraId="0F104284" w14:textId="77777777" w:rsidR="00212E14" w:rsidRPr="00F32020" w:rsidRDefault="00212E14" w:rsidP="00D314EE">
            <w:pPr>
              <w:jc w:val="center"/>
              <w:rPr>
                <w:sz w:val="18"/>
                <w:szCs w:val="18"/>
              </w:rPr>
            </w:pPr>
            <w:r w:rsidRPr="00F32020">
              <w:rPr>
                <w:sz w:val="18"/>
                <w:szCs w:val="18"/>
              </w:rPr>
              <w:t>28.5</w:t>
            </w:r>
          </w:p>
        </w:tc>
        <w:tc>
          <w:tcPr>
            <w:tcW w:w="0" w:type="auto"/>
            <w:tcBorders>
              <w:top w:val="nil"/>
              <w:left w:val="nil"/>
              <w:bottom w:val="nil"/>
              <w:right w:val="nil"/>
            </w:tcBorders>
            <w:shd w:val="clear" w:color="000000" w:fill="FFFFFF"/>
            <w:noWrap/>
            <w:vAlign w:val="center"/>
          </w:tcPr>
          <w:p w14:paraId="7DD4737A" w14:textId="77777777" w:rsidR="00212E14" w:rsidRPr="00F32020" w:rsidRDefault="00212E14" w:rsidP="00D314EE">
            <w:pPr>
              <w:jc w:val="center"/>
              <w:rPr>
                <w:sz w:val="18"/>
                <w:szCs w:val="18"/>
              </w:rPr>
            </w:pPr>
            <w:r w:rsidRPr="00F32020">
              <w:rPr>
                <w:sz w:val="18"/>
                <w:szCs w:val="18"/>
              </w:rPr>
              <w:t>35.38</w:t>
            </w:r>
          </w:p>
        </w:tc>
        <w:tc>
          <w:tcPr>
            <w:tcW w:w="0" w:type="auto"/>
            <w:tcBorders>
              <w:top w:val="nil"/>
              <w:left w:val="nil"/>
              <w:bottom w:val="nil"/>
              <w:right w:val="nil"/>
            </w:tcBorders>
            <w:shd w:val="clear" w:color="000000" w:fill="FFFFFF"/>
            <w:noWrap/>
            <w:vAlign w:val="center"/>
          </w:tcPr>
          <w:p w14:paraId="5A5F11FE" w14:textId="77777777" w:rsidR="00212E14" w:rsidRPr="00F32020" w:rsidRDefault="00212E14" w:rsidP="00D314EE">
            <w:pPr>
              <w:jc w:val="center"/>
              <w:rPr>
                <w:sz w:val="18"/>
                <w:szCs w:val="18"/>
              </w:rPr>
            </w:pPr>
            <w:r w:rsidRPr="00F32020">
              <w:rPr>
                <w:sz w:val="18"/>
                <w:szCs w:val="18"/>
              </w:rPr>
              <w:t>33.5</w:t>
            </w:r>
          </w:p>
        </w:tc>
        <w:tc>
          <w:tcPr>
            <w:tcW w:w="0" w:type="auto"/>
            <w:tcBorders>
              <w:top w:val="nil"/>
              <w:left w:val="nil"/>
              <w:bottom w:val="nil"/>
              <w:right w:val="nil"/>
            </w:tcBorders>
            <w:shd w:val="clear" w:color="000000" w:fill="FFFFFF"/>
            <w:noWrap/>
            <w:vAlign w:val="center"/>
          </w:tcPr>
          <w:p w14:paraId="0C423516" w14:textId="77777777" w:rsidR="00212E14" w:rsidRPr="00F32020" w:rsidRDefault="00212E14" w:rsidP="00D314EE">
            <w:pPr>
              <w:jc w:val="center"/>
              <w:rPr>
                <w:sz w:val="18"/>
                <w:szCs w:val="18"/>
              </w:rPr>
            </w:pPr>
            <w:r w:rsidRPr="00F32020">
              <w:rPr>
                <w:sz w:val="18"/>
                <w:szCs w:val="18"/>
              </w:rPr>
              <w:t>40.67</w:t>
            </w:r>
          </w:p>
        </w:tc>
        <w:tc>
          <w:tcPr>
            <w:tcW w:w="0" w:type="auto"/>
            <w:tcBorders>
              <w:top w:val="nil"/>
              <w:left w:val="nil"/>
              <w:bottom w:val="nil"/>
              <w:right w:val="nil"/>
            </w:tcBorders>
            <w:shd w:val="clear" w:color="000000" w:fill="FFFFFF"/>
            <w:noWrap/>
            <w:vAlign w:val="center"/>
          </w:tcPr>
          <w:p w14:paraId="62FB517A" w14:textId="77777777" w:rsidR="00212E14" w:rsidRPr="00F32020" w:rsidRDefault="00212E14" w:rsidP="00D314EE">
            <w:pPr>
              <w:jc w:val="center"/>
              <w:rPr>
                <w:sz w:val="18"/>
                <w:szCs w:val="18"/>
              </w:rPr>
            </w:pPr>
            <w:r w:rsidRPr="00F32020">
              <w:rPr>
                <w:sz w:val="18"/>
                <w:szCs w:val="18"/>
              </w:rPr>
              <w:t>62</w:t>
            </w:r>
          </w:p>
        </w:tc>
        <w:tc>
          <w:tcPr>
            <w:tcW w:w="0" w:type="auto"/>
            <w:tcBorders>
              <w:top w:val="nil"/>
              <w:left w:val="nil"/>
              <w:bottom w:val="nil"/>
              <w:right w:val="nil"/>
            </w:tcBorders>
            <w:shd w:val="clear" w:color="000000" w:fill="FFFFFF"/>
            <w:noWrap/>
            <w:vAlign w:val="center"/>
          </w:tcPr>
          <w:p w14:paraId="5E718FE8" w14:textId="77777777" w:rsidR="00212E14" w:rsidRPr="00F32020" w:rsidRDefault="00212E14" w:rsidP="00D314EE">
            <w:pPr>
              <w:jc w:val="center"/>
              <w:rPr>
                <w:sz w:val="18"/>
                <w:szCs w:val="18"/>
              </w:rPr>
            </w:pPr>
            <w:r w:rsidRPr="00F32020">
              <w:rPr>
                <w:sz w:val="18"/>
                <w:szCs w:val="18"/>
              </w:rPr>
              <w:t>9.38</w:t>
            </w:r>
          </w:p>
        </w:tc>
      </w:tr>
      <w:tr w:rsidR="00212E14" w:rsidRPr="00F32020" w14:paraId="3F36AF83" w14:textId="77777777" w:rsidTr="0035368C">
        <w:trPr>
          <w:trHeight w:val="280"/>
        </w:trPr>
        <w:tc>
          <w:tcPr>
            <w:tcW w:w="2558" w:type="dxa"/>
            <w:tcBorders>
              <w:top w:val="nil"/>
              <w:left w:val="nil"/>
              <w:bottom w:val="nil"/>
              <w:right w:val="nil"/>
            </w:tcBorders>
            <w:shd w:val="clear" w:color="000000" w:fill="FFFFFF"/>
            <w:noWrap/>
            <w:vAlign w:val="bottom"/>
          </w:tcPr>
          <w:p w14:paraId="3F065BF9" w14:textId="77777777" w:rsidR="00212E14" w:rsidRPr="00F32020" w:rsidRDefault="00212E14" w:rsidP="00D314EE">
            <w:pPr>
              <w:rPr>
                <w:sz w:val="18"/>
                <w:szCs w:val="18"/>
              </w:rPr>
            </w:pPr>
            <w:r w:rsidRPr="00F32020">
              <w:rPr>
                <w:sz w:val="18"/>
                <w:szCs w:val="18"/>
              </w:rPr>
              <w:t>% of Females</w:t>
            </w:r>
          </w:p>
        </w:tc>
        <w:tc>
          <w:tcPr>
            <w:tcW w:w="0" w:type="auto"/>
            <w:tcBorders>
              <w:top w:val="nil"/>
              <w:left w:val="nil"/>
              <w:bottom w:val="nil"/>
              <w:right w:val="nil"/>
            </w:tcBorders>
            <w:shd w:val="clear" w:color="000000" w:fill="FFFFFF"/>
            <w:noWrap/>
            <w:vAlign w:val="bottom"/>
          </w:tcPr>
          <w:p w14:paraId="7203316D" w14:textId="77777777" w:rsidR="00212E14" w:rsidRPr="00F32020" w:rsidRDefault="00212E14" w:rsidP="00D314EE">
            <w:pPr>
              <w:jc w:val="center"/>
              <w:rPr>
                <w:sz w:val="18"/>
                <w:szCs w:val="18"/>
              </w:rPr>
            </w:pPr>
            <w:r w:rsidRPr="00F32020">
              <w:rPr>
                <w:sz w:val="18"/>
                <w:szCs w:val="18"/>
              </w:rPr>
              <w:t>8,369</w:t>
            </w:r>
          </w:p>
        </w:tc>
        <w:tc>
          <w:tcPr>
            <w:tcW w:w="0" w:type="auto"/>
            <w:tcBorders>
              <w:top w:val="nil"/>
              <w:left w:val="nil"/>
              <w:bottom w:val="nil"/>
              <w:right w:val="nil"/>
            </w:tcBorders>
            <w:shd w:val="clear" w:color="000000" w:fill="FFFFFF"/>
            <w:noWrap/>
            <w:vAlign w:val="center"/>
          </w:tcPr>
          <w:p w14:paraId="7F8C17DB" w14:textId="77777777" w:rsidR="00212E14" w:rsidRPr="00F32020" w:rsidRDefault="00212E14" w:rsidP="00D314EE">
            <w:pPr>
              <w:jc w:val="center"/>
              <w:rPr>
                <w:sz w:val="18"/>
                <w:szCs w:val="18"/>
              </w:rPr>
            </w:pPr>
            <w:r w:rsidRPr="00F32020">
              <w:rPr>
                <w:sz w:val="18"/>
                <w:szCs w:val="18"/>
              </w:rPr>
              <w:t>0</w:t>
            </w:r>
          </w:p>
        </w:tc>
        <w:tc>
          <w:tcPr>
            <w:tcW w:w="0" w:type="auto"/>
            <w:tcBorders>
              <w:top w:val="nil"/>
              <w:left w:val="nil"/>
              <w:bottom w:val="nil"/>
              <w:right w:val="nil"/>
            </w:tcBorders>
            <w:shd w:val="clear" w:color="000000" w:fill="FFFFFF"/>
            <w:noWrap/>
            <w:vAlign w:val="center"/>
          </w:tcPr>
          <w:p w14:paraId="3C7C371A"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tcPr>
          <w:p w14:paraId="045AB4BE" w14:textId="77777777" w:rsidR="00212E14" w:rsidRPr="00F32020" w:rsidRDefault="00212E14" w:rsidP="00D314EE">
            <w:pPr>
              <w:jc w:val="center"/>
              <w:rPr>
                <w:sz w:val="18"/>
                <w:szCs w:val="18"/>
              </w:rPr>
            </w:pPr>
            <w:r w:rsidRPr="00F32020">
              <w:rPr>
                <w:sz w:val="18"/>
                <w:szCs w:val="18"/>
              </w:rPr>
              <w:t>0.32</w:t>
            </w:r>
          </w:p>
        </w:tc>
        <w:tc>
          <w:tcPr>
            <w:tcW w:w="0" w:type="auto"/>
            <w:tcBorders>
              <w:top w:val="nil"/>
              <w:left w:val="nil"/>
              <w:bottom w:val="nil"/>
              <w:right w:val="nil"/>
            </w:tcBorders>
            <w:shd w:val="clear" w:color="000000" w:fill="FFFFFF"/>
            <w:noWrap/>
            <w:vAlign w:val="center"/>
          </w:tcPr>
          <w:p w14:paraId="26D49DC3"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tcPr>
          <w:p w14:paraId="45B51948" w14:textId="77777777" w:rsidR="00212E14" w:rsidRPr="00F32020" w:rsidRDefault="00212E14" w:rsidP="00D314EE">
            <w:pPr>
              <w:jc w:val="center"/>
              <w:rPr>
                <w:sz w:val="18"/>
                <w:szCs w:val="18"/>
              </w:rPr>
            </w:pPr>
            <w:r w:rsidRPr="00F32020">
              <w:rPr>
                <w:sz w:val="18"/>
                <w:szCs w:val="18"/>
              </w:rPr>
              <w:t> </w:t>
            </w:r>
          </w:p>
        </w:tc>
        <w:tc>
          <w:tcPr>
            <w:tcW w:w="0" w:type="auto"/>
            <w:tcBorders>
              <w:top w:val="nil"/>
              <w:left w:val="nil"/>
              <w:bottom w:val="nil"/>
              <w:right w:val="nil"/>
            </w:tcBorders>
            <w:shd w:val="clear" w:color="000000" w:fill="FFFFFF"/>
            <w:noWrap/>
            <w:vAlign w:val="center"/>
          </w:tcPr>
          <w:p w14:paraId="4F97B805" w14:textId="77777777" w:rsidR="00212E14" w:rsidRPr="00F32020" w:rsidRDefault="00212E14" w:rsidP="00D314EE">
            <w:pPr>
              <w:jc w:val="center"/>
              <w:rPr>
                <w:sz w:val="18"/>
                <w:szCs w:val="18"/>
              </w:rPr>
            </w:pPr>
            <w:r w:rsidRPr="00F32020">
              <w:rPr>
                <w:sz w:val="18"/>
                <w:szCs w:val="18"/>
              </w:rPr>
              <w:t>1</w:t>
            </w:r>
          </w:p>
        </w:tc>
        <w:tc>
          <w:tcPr>
            <w:tcW w:w="0" w:type="auto"/>
            <w:tcBorders>
              <w:top w:val="nil"/>
              <w:left w:val="nil"/>
              <w:bottom w:val="nil"/>
              <w:right w:val="nil"/>
            </w:tcBorders>
            <w:shd w:val="clear" w:color="000000" w:fill="FFFFFF"/>
            <w:noWrap/>
            <w:vAlign w:val="center"/>
          </w:tcPr>
          <w:p w14:paraId="0A7B81FE" w14:textId="77777777" w:rsidR="00212E14" w:rsidRPr="00F32020" w:rsidRDefault="00212E14" w:rsidP="00D314EE">
            <w:pPr>
              <w:jc w:val="center"/>
              <w:rPr>
                <w:sz w:val="18"/>
                <w:szCs w:val="18"/>
              </w:rPr>
            </w:pPr>
            <w:r w:rsidRPr="00F32020">
              <w:rPr>
                <w:sz w:val="18"/>
                <w:szCs w:val="18"/>
              </w:rPr>
              <w:t>0.37</w:t>
            </w:r>
          </w:p>
        </w:tc>
      </w:tr>
      <w:tr w:rsidR="00212E14" w:rsidRPr="00F32020" w14:paraId="6F6B61AF" w14:textId="77777777" w:rsidTr="0035368C">
        <w:trPr>
          <w:trHeight w:val="280"/>
        </w:trPr>
        <w:tc>
          <w:tcPr>
            <w:tcW w:w="2558" w:type="dxa"/>
            <w:tcBorders>
              <w:top w:val="nil"/>
              <w:left w:val="nil"/>
              <w:bottom w:val="nil"/>
              <w:right w:val="nil"/>
            </w:tcBorders>
            <w:shd w:val="clear" w:color="000000" w:fill="FFFFFF"/>
            <w:noWrap/>
            <w:vAlign w:val="bottom"/>
            <w:hideMark/>
          </w:tcPr>
          <w:p w14:paraId="2FF7FDF2"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57D60015"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47CE174C"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48608724"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3A2D4353"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757C996C"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4816AF02"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2944B36C"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c>
          <w:tcPr>
            <w:tcW w:w="0" w:type="auto"/>
            <w:tcBorders>
              <w:top w:val="nil"/>
              <w:left w:val="nil"/>
              <w:bottom w:val="nil"/>
              <w:right w:val="nil"/>
            </w:tcBorders>
            <w:shd w:val="clear" w:color="000000" w:fill="FFFFFF"/>
            <w:noWrap/>
            <w:vAlign w:val="bottom"/>
            <w:hideMark/>
          </w:tcPr>
          <w:p w14:paraId="4BA40BF4" w14:textId="77777777" w:rsidR="00212E14" w:rsidRPr="00F32020" w:rsidRDefault="00212E14" w:rsidP="00D314EE">
            <w:pPr>
              <w:rPr>
                <w:rFonts w:ascii="Calibri" w:hAnsi="Calibri" w:cs="Calibri"/>
                <w:sz w:val="18"/>
                <w:szCs w:val="18"/>
              </w:rPr>
            </w:pPr>
            <w:r w:rsidRPr="00F32020">
              <w:rPr>
                <w:rFonts w:ascii="Calibri" w:hAnsi="Calibri" w:cs="Calibri"/>
                <w:sz w:val="18"/>
                <w:szCs w:val="18"/>
              </w:rPr>
              <w:t> </w:t>
            </w:r>
          </w:p>
        </w:tc>
      </w:tr>
      <w:tr w:rsidR="00212E14" w:rsidRPr="00F32020" w14:paraId="5D6E717E" w14:textId="77777777" w:rsidTr="0035368C">
        <w:trPr>
          <w:trHeight w:val="280"/>
        </w:trPr>
        <w:tc>
          <w:tcPr>
            <w:tcW w:w="2558" w:type="dxa"/>
            <w:tcBorders>
              <w:top w:val="nil"/>
              <w:left w:val="nil"/>
              <w:bottom w:val="nil"/>
              <w:right w:val="nil"/>
            </w:tcBorders>
            <w:shd w:val="clear" w:color="000000" w:fill="FFFFFF"/>
            <w:noWrap/>
            <w:vAlign w:val="center"/>
            <w:hideMark/>
          </w:tcPr>
          <w:p w14:paraId="058F72CF" w14:textId="77777777" w:rsidR="00212E14" w:rsidRPr="00F32020" w:rsidRDefault="00212E14" w:rsidP="00D314EE">
            <w:pPr>
              <w:rPr>
                <w:i/>
                <w:iCs/>
                <w:sz w:val="18"/>
                <w:szCs w:val="18"/>
              </w:rPr>
            </w:pPr>
            <w:r w:rsidRPr="00F32020">
              <w:rPr>
                <w:i/>
                <w:iCs/>
                <w:sz w:val="18"/>
                <w:szCs w:val="18"/>
              </w:rPr>
              <w:t>Macro-level controls</w:t>
            </w:r>
          </w:p>
        </w:tc>
        <w:tc>
          <w:tcPr>
            <w:tcW w:w="0" w:type="auto"/>
            <w:tcBorders>
              <w:top w:val="nil"/>
              <w:left w:val="nil"/>
              <w:bottom w:val="nil"/>
              <w:right w:val="nil"/>
            </w:tcBorders>
            <w:shd w:val="clear" w:color="000000" w:fill="FFFFFF"/>
            <w:noWrap/>
            <w:vAlign w:val="center"/>
            <w:hideMark/>
          </w:tcPr>
          <w:p w14:paraId="6B3428F7" w14:textId="77777777" w:rsidR="00212E14" w:rsidRPr="00F32020" w:rsidRDefault="00212E14" w:rsidP="00D314EE">
            <w:pPr>
              <w:rPr>
                <w:i/>
                <w:iCs/>
                <w:sz w:val="18"/>
                <w:szCs w:val="18"/>
              </w:rPr>
            </w:pPr>
            <w:r w:rsidRPr="00F32020">
              <w:rPr>
                <w:i/>
                <w:iCs/>
                <w:sz w:val="18"/>
                <w:szCs w:val="18"/>
              </w:rPr>
              <w:t> </w:t>
            </w:r>
          </w:p>
        </w:tc>
        <w:tc>
          <w:tcPr>
            <w:tcW w:w="0" w:type="auto"/>
            <w:tcBorders>
              <w:top w:val="nil"/>
              <w:left w:val="nil"/>
              <w:bottom w:val="nil"/>
              <w:right w:val="nil"/>
            </w:tcBorders>
            <w:shd w:val="clear" w:color="000000" w:fill="FFFFFF"/>
            <w:noWrap/>
            <w:vAlign w:val="center"/>
            <w:hideMark/>
          </w:tcPr>
          <w:p w14:paraId="4B148DA8" w14:textId="77777777" w:rsidR="00212E14" w:rsidRPr="00F32020" w:rsidRDefault="00212E14" w:rsidP="00D314EE">
            <w:pPr>
              <w:rPr>
                <w:i/>
                <w:iCs/>
                <w:sz w:val="18"/>
                <w:szCs w:val="18"/>
              </w:rPr>
            </w:pPr>
            <w:r w:rsidRPr="00F32020">
              <w:rPr>
                <w:i/>
                <w:iCs/>
                <w:sz w:val="18"/>
                <w:szCs w:val="18"/>
              </w:rPr>
              <w:t> </w:t>
            </w:r>
          </w:p>
        </w:tc>
        <w:tc>
          <w:tcPr>
            <w:tcW w:w="0" w:type="auto"/>
            <w:tcBorders>
              <w:top w:val="nil"/>
              <w:left w:val="nil"/>
              <w:bottom w:val="nil"/>
              <w:right w:val="nil"/>
            </w:tcBorders>
            <w:shd w:val="clear" w:color="000000" w:fill="FFFFFF"/>
            <w:noWrap/>
            <w:vAlign w:val="center"/>
            <w:hideMark/>
          </w:tcPr>
          <w:p w14:paraId="6E8B3EAB" w14:textId="77777777" w:rsidR="00212E14" w:rsidRPr="00F32020" w:rsidRDefault="00212E14" w:rsidP="00D314EE">
            <w:pPr>
              <w:rPr>
                <w:i/>
                <w:iCs/>
                <w:sz w:val="18"/>
                <w:szCs w:val="18"/>
              </w:rPr>
            </w:pPr>
            <w:r w:rsidRPr="00F32020">
              <w:rPr>
                <w:i/>
                <w:iCs/>
                <w:sz w:val="18"/>
                <w:szCs w:val="18"/>
              </w:rPr>
              <w:t> </w:t>
            </w:r>
          </w:p>
        </w:tc>
        <w:tc>
          <w:tcPr>
            <w:tcW w:w="0" w:type="auto"/>
            <w:tcBorders>
              <w:top w:val="nil"/>
              <w:left w:val="nil"/>
              <w:bottom w:val="nil"/>
              <w:right w:val="nil"/>
            </w:tcBorders>
            <w:shd w:val="clear" w:color="000000" w:fill="FFFFFF"/>
            <w:noWrap/>
            <w:vAlign w:val="center"/>
            <w:hideMark/>
          </w:tcPr>
          <w:p w14:paraId="6EF021C0" w14:textId="77777777" w:rsidR="00212E14" w:rsidRPr="00F32020" w:rsidRDefault="00212E14" w:rsidP="00D314EE">
            <w:pPr>
              <w:rPr>
                <w:i/>
                <w:iCs/>
                <w:sz w:val="18"/>
                <w:szCs w:val="18"/>
              </w:rPr>
            </w:pPr>
            <w:r w:rsidRPr="00F32020">
              <w:rPr>
                <w:i/>
                <w:iCs/>
                <w:sz w:val="18"/>
                <w:szCs w:val="18"/>
              </w:rPr>
              <w:t> </w:t>
            </w:r>
          </w:p>
        </w:tc>
        <w:tc>
          <w:tcPr>
            <w:tcW w:w="0" w:type="auto"/>
            <w:tcBorders>
              <w:top w:val="nil"/>
              <w:left w:val="nil"/>
              <w:bottom w:val="nil"/>
              <w:right w:val="nil"/>
            </w:tcBorders>
            <w:shd w:val="clear" w:color="000000" w:fill="FFFFFF"/>
            <w:noWrap/>
            <w:vAlign w:val="center"/>
            <w:hideMark/>
          </w:tcPr>
          <w:p w14:paraId="0D4BB7DE" w14:textId="77777777" w:rsidR="00212E14" w:rsidRPr="00F32020" w:rsidRDefault="00212E14" w:rsidP="00D314EE">
            <w:pPr>
              <w:rPr>
                <w:i/>
                <w:iCs/>
                <w:sz w:val="18"/>
                <w:szCs w:val="18"/>
              </w:rPr>
            </w:pPr>
            <w:r w:rsidRPr="00F32020">
              <w:rPr>
                <w:i/>
                <w:iCs/>
                <w:sz w:val="18"/>
                <w:szCs w:val="18"/>
              </w:rPr>
              <w:t> </w:t>
            </w:r>
          </w:p>
        </w:tc>
        <w:tc>
          <w:tcPr>
            <w:tcW w:w="0" w:type="auto"/>
            <w:tcBorders>
              <w:top w:val="nil"/>
              <w:left w:val="nil"/>
              <w:bottom w:val="nil"/>
              <w:right w:val="nil"/>
            </w:tcBorders>
            <w:shd w:val="clear" w:color="000000" w:fill="FFFFFF"/>
            <w:noWrap/>
            <w:vAlign w:val="center"/>
            <w:hideMark/>
          </w:tcPr>
          <w:p w14:paraId="2CD96F87" w14:textId="77777777" w:rsidR="00212E14" w:rsidRPr="00F32020" w:rsidRDefault="00212E14" w:rsidP="00D314EE">
            <w:pPr>
              <w:rPr>
                <w:i/>
                <w:iCs/>
                <w:sz w:val="18"/>
                <w:szCs w:val="18"/>
              </w:rPr>
            </w:pPr>
            <w:r w:rsidRPr="00F32020">
              <w:rPr>
                <w:i/>
                <w:iCs/>
                <w:sz w:val="18"/>
                <w:szCs w:val="18"/>
              </w:rPr>
              <w:t> </w:t>
            </w:r>
          </w:p>
        </w:tc>
        <w:tc>
          <w:tcPr>
            <w:tcW w:w="0" w:type="auto"/>
            <w:tcBorders>
              <w:top w:val="nil"/>
              <w:left w:val="nil"/>
              <w:bottom w:val="nil"/>
              <w:right w:val="nil"/>
            </w:tcBorders>
            <w:shd w:val="clear" w:color="000000" w:fill="FFFFFF"/>
            <w:noWrap/>
            <w:vAlign w:val="center"/>
            <w:hideMark/>
          </w:tcPr>
          <w:p w14:paraId="2C986A82" w14:textId="77777777" w:rsidR="00212E14" w:rsidRPr="00F32020" w:rsidRDefault="00212E14" w:rsidP="00D314EE">
            <w:pPr>
              <w:rPr>
                <w:i/>
                <w:iCs/>
                <w:sz w:val="18"/>
                <w:szCs w:val="18"/>
              </w:rPr>
            </w:pPr>
            <w:r w:rsidRPr="00F32020">
              <w:rPr>
                <w:i/>
                <w:iCs/>
                <w:sz w:val="18"/>
                <w:szCs w:val="18"/>
              </w:rPr>
              <w:t> </w:t>
            </w:r>
          </w:p>
        </w:tc>
        <w:tc>
          <w:tcPr>
            <w:tcW w:w="0" w:type="auto"/>
            <w:tcBorders>
              <w:top w:val="nil"/>
              <w:left w:val="nil"/>
              <w:bottom w:val="nil"/>
              <w:right w:val="nil"/>
            </w:tcBorders>
            <w:shd w:val="clear" w:color="000000" w:fill="FFFFFF"/>
            <w:noWrap/>
            <w:vAlign w:val="center"/>
            <w:hideMark/>
          </w:tcPr>
          <w:p w14:paraId="6E3AB63F" w14:textId="77777777" w:rsidR="00212E14" w:rsidRPr="00F32020" w:rsidRDefault="00212E14" w:rsidP="00D314EE">
            <w:pPr>
              <w:rPr>
                <w:i/>
                <w:iCs/>
                <w:sz w:val="18"/>
                <w:szCs w:val="18"/>
              </w:rPr>
            </w:pPr>
            <w:r w:rsidRPr="00F32020">
              <w:rPr>
                <w:i/>
                <w:iCs/>
                <w:sz w:val="18"/>
                <w:szCs w:val="18"/>
              </w:rPr>
              <w:t> </w:t>
            </w:r>
          </w:p>
        </w:tc>
      </w:tr>
      <w:tr w:rsidR="00212E14" w:rsidRPr="00F32020" w14:paraId="32285A81" w14:textId="77777777" w:rsidTr="0035368C">
        <w:trPr>
          <w:trHeight w:val="280"/>
        </w:trPr>
        <w:tc>
          <w:tcPr>
            <w:tcW w:w="2558" w:type="dxa"/>
            <w:tcBorders>
              <w:top w:val="nil"/>
              <w:left w:val="nil"/>
              <w:bottom w:val="nil"/>
              <w:right w:val="nil"/>
            </w:tcBorders>
            <w:shd w:val="clear" w:color="000000" w:fill="FFFFFF"/>
            <w:noWrap/>
            <w:vAlign w:val="center"/>
            <w:hideMark/>
          </w:tcPr>
          <w:p w14:paraId="7104CA1C" w14:textId="77777777" w:rsidR="00212E14" w:rsidRPr="00F32020" w:rsidRDefault="00212E14" w:rsidP="00D314EE">
            <w:pPr>
              <w:rPr>
                <w:sz w:val="18"/>
                <w:szCs w:val="18"/>
              </w:rPr>
            </w:pPr>
            <w:r w:rsidRPr="00F32020">
              <w:rPr>
                <w:sz w:val="18"/>
                <w:szCs w:val="18"/>
              </w:rPr>
              <w:t>Institutional Index</w:t>
            </w:r>
          </w:p>
        </w:tc>
        <w:tc>
          <w:tcPr>
            <w:tcW w:w="0" w:type="auto"/>
            <w:tcBorders>
              <w:top w:val="nil"/>
              <w:left w:val="nil"/>
              <w:bottom w:val="nil"/>
              <w:right w:val="nil"/>
            </w:tcBorders>
            <w:shd w:val="clear" w:color="000000" w:fill="FFFFFF"/>
            <w:noWrap/>
            <w:vAlign w:val="center"/>
            <w:hideMark/>
          </w:tcPr>
          <w:p w14:paraId="5FCA7E1E" w14:textId="77777777" w:rsidR="00212E14" w:rsidRPr="00F32020" w:rsidRDefault="00212E14" w:rsidP="00D314EE">
            <w:pPr>
              <w:jc w:val="center"/>
              <w:rPr>
                <w:sz w:val="18"/>
                <w:szCs w:val="18"/>
              </w:rPr>
            </w:pPr>
            <w:r w:rsidRPr="00F32020">
              <w:rPr>
                <w:sz w:val="18"/>
                <w:szCs w:val="18"/>
              </w:rPr>
              <w:t>576</w:t>
            </w:r>
          </w:p>
        </w:tc>
        <w:tc>
          <w:tcPr>
            <w:tcW w:w="0" w:type="auto"/>
            <w:tcBorders>
              <w:top w:val="nil"/>
              <w:left w:val="nil"/>
              <w:bottom w:val="nil"/>
              <w:right w:val="nil"/>
            </w:tcBorders>
            <w:shd w:val="clear" w:color="000000" w:fill="FFFFFF"/>
            <w:noWrap/>
            <w:vAlign w:val="center"/>
            <w:hideMark/>
          </w:tcPr>
          <w:p w14:paraId="76553F1A" w14:textId="77777777" w:rsidR="00212E14" w:rsidRPr="00F32020" w:rsidRDefault="00212E14" w:rsidP="00D314EE">
            <w:pPr>
              <w:jc w:val="center"/>
              <w:rPr>
                <w:sz w:val="18"/>
                <w:szCs w:val="18"/>
              </w:rPr>
            </w:pPr>
            <w:r w:rsidRPr="00F32020">
              <w:rPr>
                <w:sz w:val="18"/>
                <w:szCs w:val="18"/>
              </w:rPr>
              <w:t>-1.57</w:t>
            </w:r>
          </w:p>
        </w:tc>
        <w:tc>
          <w:tcPr>
            <w:tcW w:w="0" w:type="auto"/>
            <w:tcBorders>
              <w:top w:val="nil"/>
              <w:left w:val="nil"/>
              <w:bottom w:val="nil"/>
              <w:right w:val="nil"/>
            </w:tcBorders>
            <w:shd w:val="clear" w:color="000000" w:fill="FFFFFF"/>
            <w:noWrap/>
            <w:vAlign w:val="center"/>
            <w:hideMark/>
          </w:tcPr>
          <w:p w14:paraId="3F62D277" w14:textId="77777777" w:rsidR="00212E14" w:rsidRPr="00F32020" w:rsidRDefault="00212E14" w:rsidP="00D314EE">
            <w:pPr>
              <w:jc w:val="center"/>
              <w:rPr>
                <w:sz w:val="18"/>
                <w:szCs w:val="18"/>
              </w:rPr>
            </w:pPr>
            <w:r w:rsidRPr="00F32020">
              <w:rPr>
                <w:sz w:val="18"/>
                <w:szCs w:val="18"/>
              </w:rPr>
              <w:t>-0.54</w:t>
            </w:r>
          </w:p>
        </w:tc>
        <w:tc>
          <w:tcPr>
            <w:tcW w:w="0" w:type="auto"/>
            <w:tcBorders>
              <w:top w:val="nil"/>
              <w:left w:val="nil"/>
              <w:bottom w:val="nil"/>
              <w:right w:val="nil"/>
            </w:tcBorders>
            <w:shd w:val="clear" w:color="000000" w:fill="FFFFFF"/>
            <w:noWrap/>
            <w:vAlign w:val="center"/>
            <w:hideMark/>
          </w:tcPr>
          <w:p w14:paraId="4D30E92F" w14:textId="77777777" w:rsidR="00212E14" w:rsidRPr="00F32020" w:rsidRDefault="00212E14" w:rsidP="00D314EE">
            <w:pPr>
              <w:jc w:val="center"/>
              <w:rPr>
                <w:sz w:val="18"/>
                <w:szCs w:val="18"/>
              </w:rPr>
            </w:pPr>
            <w:r w:rsidRPr="00F32020">
              <w:rPr>
                <w:sz w:val="18"/>
                <w:szCs w:val="18"/>
              </w:rPr>
              <w:t>0.14</w:t>
            </w:r>
          </w:p>
        </w:tc>
        <w:tc>
          <w:tcPr>
            <w:tcW w:w="0" w:type="auto"/>
            <w:tcBorders>
              <w:top w:val="nil"/>
              <w:left w:val="nil"/>
              <w:bottom w:val="nil"/>
              <w:right w:val="nil"/>
            </w:tcBorders>
            <w:shd w:val="clear" w:color="000000" w:fill="FFFFFF"/>
            <w:noWrap/>
            <w:vAlign w:val="center"/>
            <w:hideMark/>
          </w:tcPr>
          <w:p w14:paraId="686E94A0" w14:textId="77777777" w:rsidR="00212E14" w:rsidRPr="00F32020" w:rsidRDefault="00212E14" w:rsidP="00D314EE">
            <w:pPr>
              <w:jc w:val="center"/>
              <w:rPr>
                <w:sz w:val="18"/>
                <w:szCs w:val="18"/>
              </w:rPr>
            </w:pPr>
            <w:r w:rsidRPr="00F32020">
              <w:rPr>
                <w:sz w:val="18"/>
                <w:szCs w:val="18"/>
              </w:rPr>
              <w:t>-0.14</w:t>
            </w:r>
          </w:p>
        </w:tc>
        <w:tc>
          <w:tcPr>
            <w:tcW w:w="0" w:type="auto"/>
            <w:tcBorders>
              <w:top w:val="nil"/>
              <w:left w:val="nil"/>
              <w:bottom w:val="nil"/>
              <w:right w:val="nil"/>
            </w:tcBorders>
            <w:shd w:val="clear" w:color="000000" w:fill="FFFFFF"/>
            <w:noWrap/>
            <w:vAlign w:val="center"/>
            <w:hideMark/>
          </w:tcPr>
          <w:p w14:paraId="7548B52F" w14:textId="77777777" w:rsidR="00212E14" w:rsidRPr="00F32020" w:rsidRDefault="00212E14" w:rsidP="00D314EE">
            <w:pPr>
              <w:jc w:val="center"/>
              <w:rPr>
                <w:sz w:val="18"/>
                <w:szCs w:val="18"/>
              </w:rPr>
            </w:pPr>
            <w:r w:rsidRPr="00F32020">
              <w:rPr>
                <w:sz w:val="18"/>
                <w:szCs w:val="18"/>
              </w:rPr>
              <w:t>0.85</w:t>
            </w:r>
          </w:p>
        </w:tc>
        <w:tc>
          <w:tcPr>
            <w:tcW w:w="0" w:type="auto"/>
            <w:tcBorders>
              <w:top w:val="nil"/>
              <w:left w:val="nil"/>
              <w:bottom w:val="nil"/>
              <w:right w:val="nil"/>
            </w:tcBorders>
            <w:shd w:val="clear" w:color="000000" w:fill="FFFFFF"/>
            <w:noWrap/>
            <w:vAlign w:val="center"/>
            <w:hideMark/>
          </w:tcPr>
          <w:p w14:paraId="015BBDF8" w14:textId="77777777" w:rsidR="00212E14" w:rsidRPr="00F32020" w:rsidRDefault="00212E14" w:rsidP="00D314EE">
            <w:pPr>
              <w:jc w:val="center"/>
              <w:rPr>
                <w:sz w:val="18"/>
                <w:szCs w:val="18"/>
              </w:rPr>
            </w:pPr>
            <w:r w:rsidRPr="00F32020">
              <w:rPr>
                <w:sz w:val="18"/>
                <w:szCs w:val="18"/>
              </w:rPr>
              <w:t>1.86</w:t>
            </w:r>
          </w:p>
        </w:tc>
        <w:tc>
          <w:tcPr>
            <w:tcW w:w="0" w:type="auto"/>
            <w:tcBorders>
              <w:top w:val="nil"/>
              <w:left w:val="nil"/>
              <w:bottom w:val="nil"/>
              <w:right w:val="nil"/>
            </w:tcBorders>
            <w:shd w:val="clear" w:color="000000" w:fill="FFFFFF"/>
            <w:noWrap/>
            <w:vAlign w:val="center"/>
            <w:hideMark/>
          </w:tcPr>
          <w:p w14:paraId="37938A2B" w14:textId="77777777" w:rsidR="00212E14" w:rsidRPr="00F32020" w:rsidRDefault="00212E14" w:rsidP="00D314EE">
            <w:pPr>
              <w:jc w:val="center"/>
              <w:rPr>
                <w:sz w:val="18"/>
                <w:szCs w:val="18"/>
              </w:rPr>
            </w:pPr>
            <w:r w:rsidRPr="00F32020">
              <w:rPr>
                <w:sz w:val="18"/>
                <w:szCs w:val="18"/>
              </w:rPr>
              <w:t>0.83</w:t>
            </w:r>
          </w:p>
        </w:tc>
      </w:tr>
      <w:tr w:rsidR="00212E14" w:rsidRPr="00F32020" w14:paraId="57D0504A" w14:textId="77777777" w:rsidTr="0035368C">
        <w:trPr>
          <w:trHeight w:val="280"/>
        </w:trPr>
        <w:tc>
          <w:tcPr>
            <w:tcW w:w="2558" w:type="dxa"/>
            <w:tcBorders>
              <w:top w:val="nil"/>
              <w:left w:val="nil"/>
              <w:bottom w:val="nil"/>
              <w:right w:val="nil"/>
            </w:tcBorders>
            <w:shd w:val="clear" w:color="000000" w:fill="FFFFFF"/>
            <w:noWrap/>
            <w:vAlign w:val="center"/>
            <w:hideMark/>
          </w:tcPr>
          <w:p w14:paraId="5124E5B9" w14:textId="77777777" w:rsidR="00212E14" w:rsidRPr="00F32020" w:rsidRDefault="00212E14" w:rsidP="00D314EE">
            <w:pPr>
              <w:rPr>
                <w:sz w:val="18"/>
                <w:szCs w:val="18"/>
              </w:rPr>
            </w:pPr>
            <w:r w:rsidRPr="00F32020">
              <w:rPr>
                <w:sz w:val="18"/>
                <w:szCs w:val="18"/>
              </w:rPr>
              <w:t>GDP Growth (%)</w:t>
            </w:r>
          </w:p>
        </w:tc>
        <w:tc>
          <w:tcPr>
            <w:tcW w:w="0" w:type="auto"/>
            <w:tcBorders>
              <w:top w:val="nil"/>
              <w:left w:val="nil"/>
              <w:bottom w:val="nil"/>
              <w:right w:val="nil"/>
            </w:tcBorders>
            <w:shd w:val="clear" w:color="000000" w:fill="FFFFFF"/>
            <w:noWrap/>
            <w:vAlign w:val="center"/>
            <w:hideMark/>
          </w:tcPr>
          <w:p w14:paraId="0F8DC267" w14:textId="77777777" w:rsidR="00212E14" w:rsidRPr="00F32020" w:rsidRDefault="00212E14" w:rsidP="00D314EE">
            <w:pPr>
              <w:jc w:val="center"/>
              <w:rPr>
                <w:sz w:val="18"/>
                <w:szCs w:val="18"/>
              </w:rPr>
            </w:pPr>
            <w:r w:rsidRPr="00F32020">
              <w:rPr>
                <w:sz w:val="18"/>
                <w:szCs w:val="18"/>
              </w:rPr>
              <w:t>576</w:t>
            </w:r>
          </w:p>
        </w:tc>
        <w:tc>
          <w:tcPr>
            <w:tcW w:w="0" w:type="auto"/>
            <w:tcBorders>
              <w:top w:val="nil"/>
              <w:left w:val="nil"/>
              <w:bottom w:val="nil"/>
              <w:right w:val="nil"/>
            </w:tcBorders>
            <w:shd w:val="clear" w:color="000000" w:fill="FFFFFF"/>
            <w:noWrap/>
            <w:vAlign w:val="center"/>
            <w:hideMark/>
          </w:tcPr>
          <w:p w14:paraId="4C6794E0" w14:textId="77777777" w:rsidR="00212E14" w:rsidRPr="00F32020" w:rsidRDefault="00212E14" w:rsidP="00D314EE">
            <w:pPr>
              <w:jc w:val="center"/>
              <w:rPr>
                <w:sz w:val="18"/>
                <w:szCs w:val="18"/>
              </w:rPr>
            </w:pPr>
            <w:r w:rsidRPr="00F32020">
              <w:rPr>
                <w:sz w:val="18"/>
                <w:szCs w:val="18"/>
              </w:rPr>
              <w:t>-3.31</w:t>
            </w:r>
          </w:p>
        </w:tc>
        <w:tc>
          <w:tcPr>
            <w:tcW w:w="0" w:type="auto"/>
            <w:tcBorders>
              <w:top w:val="nil"/>
              <w:left w:val="nil"/>
              <w:bottom w:val="nil"/>
              <w:right w:val="nil"/>
            </w:tcBorders>
            <w:shd w:val="clear" w:color="000000" w:fill="FFFFFF"/>
            <w:noWrap/>
            <w:vAlign w:val="center"/>
            <w:hideMark/>
          </w:tcPr>
          <w:p w14:paraId="3CC73CB4" w14:textId="77777777" w:rsidR="00212E14" w:rsidRPr="00F32020" w:rsidRDefault="00212E14" w:rsidP="00D314EE">
            <w:pPr>
              <w:jc w:val="center"/>
              <w:rPr>
                <w:sz w:val="18"/>
                <w:szCs w:val="18"/>
              </w:rPr>
            </w:pPr>
            <w:r w:rsidRPr="00F32020">
              <w:rPr>
                <w:sz w:val="18"/>
                <w:szCs w:val="18"/>
              </w:rPr>
              <w:t>1.93</w:t>
            </w:r>
          </w:p>
        </w:tc>
        <w:tc>
          <w:tcPr>
            <w:tcW w:w="0" w:type="auto"/>
            <w:tcBorders>
              <w:top w:val="nil"/>
              <w:left w:val="nil"/>
              <w:bottom w:val="nil"/>
              <w:right w:val="nil"/>
            </w:tcBorders>
            <w:shd w:val="clear" w:color="000000" w:fill="FFFFFF"/>
            <w:noWrap/>
            <w:vAlign w:val="center"/>
            <w:hideMark/>
          </w:tcPr>
          <w:p w14:paraId="42708B60" w14:textId="77777777" w:rsidR="00212E14" w:rsidRPr="00F32020" w:rsidRDefault="00212E14" w:rsidP="00D314EE">
            <w:pPr>
              <w:jc w:val="center"/>
              <w:rPr>
                <w:sz w:val="18"/>
                <w:szCs w:val="18"/>
              </w:rPr>
            </w:pPr>
            <w:r w:rsidRPr="00F32020">
              <w:rPr>
                <w:sz w:val="18"/>
                <w:szCs w:val="18"/>
              </w:rPr>
              <w:t>3.36</w:t>
            </w:r>
          </w:p>
        </w:tc>
        <w:tc>
          <w:tcPr>
            <w:tcW w:w="0" w:type="auto"/>
            <w:tcBorders>
              <w:top w:val="nil"/>
              <w:left w:val="nil"/>
              <w:bottom w:val="nil"/>
              <w:right w:val="nil"/>
            </w:tcBorders>
            <w:shd w:val="clear" w:color="000000" w:fill="FFFFFF"/>
            <w:noWrap/>
            <w:vAlign w:val="center"/>
            <w:hideMark/>
          </w:tcPr>
          <w:p w14:paraId="729FAE60" w14:textId="77777777" w:rsidR="00212E14" w:rsidRPr="00F32020" w:rsidRDefault="00212E14" w:rsidP="00D314EE">
            <w:pPr>
              <w:jc w:val="center"/>
              <w:rPr>
                <w:sz w:val="18"/>
                <w:szCs w:val="18"/>
              </w:rPr>
            </w:pPr>
            <w:r w:rsidRPr="00F32020">
              <w:rPr>
                <w:sz w:val="18"/>
                <w:szCs w:val="18"/>
              </w:rPr>
              <w:t>3.31</w:t>
            </w:r>
          </w:p>
        </w:tc>
        <w:tc>
          <w:tcPr>
            <w:tcW w:w="0" w:type="auto"/>
            <w:tcBorders>
              <w:top w:val="nil"/>
              <w:left w:val="nil"/>
              <w:bottom w:val="nil"/>
              <w:right w:val="nil"/>
            </w:tcBorders>
            <w:shd w:val="clear" w:color="000000" w:fill="FFFFFF"/>
            <w:noWrap/>
            <w:vAlign w:val="center"/>
            <w:hideMark/>
          </w:tcPr>
          <w:p w14:paraId="72F1842B" w14:textId="77777777" w:rsidR="00212E14" w:rsidRPr="00F32020" w:rsidRDefault="00212E14" w:rsidP="00D314EE">
            <w:pPr>
              <w:jc w:val="center"/>
              <w:rPr>
                <w:sz w:val="18"/>
                <w:szCs w:val="18"/>
              </w:rPr>
            </w:pPr>
            <w:r w:rsidRPr="00F32020">
              <w:rPr>
                <w:sz w:val="18"/>
                <w:szCs w:val="18"/>
              </w:rPr>
              <w:t>5.01</w:t>
            </w:r>
          </w:p>
        </w:tc>
        <w:tc>
          <w:tcPr>
            <w:tcW w:w="0" w:type="auto"/>
            <w:tcBorders>
              <w:top w:val="nil"/>
              <w:left w:val="nil"/>
              <w:bottom w:val="nil"/>
              <w:right w:val="nil"/>
            </w:tcBorders>
            <w:shd w:val="clear" w:color="000000" w:fill="FFFFFF"/>
            <w:noWrap/>
            <w:vAlign w:val="center"/>
            <w:hideMark/>
          </w:tcPr>
          <w:p w14:paraId="36686A05" w14:textId="77777777" w:rsidR="00212E14" w:rsidRPr="00F32020" w:rsidRDefault="00212E14" w:rsidP="00D314EE">
            <w:pPr>
              <w:jc w:val="center"/>
              <w:rPr>
                <w:sz w:val="18"/>
                <w:szCs w:val="18"/>
              </w:rPr>
            </w:pPr>
            <w:r w:rsidRPr="00F32020">
              <w:rPr>
                <w:sz w:val="18"/>
                <w:szCs w:val="18"/>
              </w:rPr>
              <w:t>8.17</w:t>
            </w:r>
          </w:p>
        </w:tc>
        <w:tc>
          <w:tcPr>
            <w:tcW w:w="0" w:type="auto"/>
            <w:tcBorders>
              <w:top w:val="nil"/>
              <w:left w:val="nil"/>
              <w:bottom w:val="nil"/>
              <w:right w:val="nil"/>
            </w:tcBorders>
            <w:shd w:val="clear" w:color="000000" w:fill="FFFFFF"/>
            <w:noWrap/>
            <w:vAlign w:val="center"/>
            <w:hideMark/>
          </w:tcPr>
          <w:p w14:paraId="5EB81A28" w14:textId="77777777" w:rsidR="00212E14" w:rsidRPr="00F32020" w:rsidRDefault="00212E14" w:rsidP="00D314EE">
            <w:pPr>
              <w:jc w:val="center"/>
              <w:rPr>
                <w:sz w:val="18"/>
                <w:szCs w:val="18"/>
              </w:rPr>
            </w:pPr>
            <w:r w:rsidRPr="00F32020">
              <w:rPr>
                <w:sz w:val="18"/>
                <w:szCs w:val="18"/>
              </w:rPr>
              <w:t>2.61</w:t>
            </w:r>
          </w:p>
        </w:tc>
      </w:tr>
      <w:tr w:rsidR="00212E14" w:rsidRPr="00F32020" w14:paraId="3CFF3071" w14:textId="77777777" w:rsidTr="0035368C">
        <w:trPr>
          <w:trHeight w:val="300"/>
        </w:trPr>
        <w:tc>
          <w:tcPr>
            <w:tcW w:w="2558" w:type="dxa"/>
            <w:tcBorders>
              <w:top w:val="nil"/>
              <w:left w:val="nil"/>
              <w:bottom w:val="single" w:sz="8" w:space="0" w:color="auto"/>
              <w:right w:val="nil"/>
            </w:tcBorders>
            <w:shd w:val="clear" w:color="000000" w:fill="FFFFFF"/>
            <w:noWrap/>
            <w:vAlign w:val="center"/>
            <w:hideMark/>
          </w:tcPr>
          <w:p w14:paraId="6DA505F7" w14:textId="77777777" w:rsidR="00212E14" w:rsidRPr="00F32020" w:rsidRDefault="00212E14" w:rsidP="00D314EE">
            <w:pPr>
              <w:rPr>
                <w:sz w:val="18"/>
                <w:szCs w:val="18"/>
              </w:rPr>
            </w:pPr>
            <w:r w:rsidRPr="00F32020">
              <w:rPr>
                <w:sz w:val="18"/>
                <w:szCs w:val="18"/>
              </w:rPr>
              <w:t>Inflation rate (%)</w:t>
            </w:r>
          </w:p>
        </w:tc>
        <w:tc>
          <w:tcPr>
            <w:tcW w:w="0" w:type="auto"/>
            <w:tcBorders>
              <w:top w:val="nil"/>
              <w:left w:val="nil"/>
              <w:bottom w:val="single" w:sz="8" w:space="0" w:color="auto"/>
              <w:right w:val="nil"/>
            </w:tcBorders>
            <w:shd w:val="clear" w:color="000000" w:fill="FFFFFF"/>
            <w:noWrap/>
            <w:vAlign w:val="center"/>
            <w:hideMark/>
          </w:tcPr>
          <w:p w14:paraId="6EE2C1D3" w14:textId="77777777" w:rsidR="00212E14" w:rsidRPr="00F32020" w:rsidRDefault="00212E14" w:rsidP="00D314EE">
            <w:pPr>
              <w:jc w:val="center"/>
              <w:rPr>
                <w:sz w:val="18"/>
                <w:szCs w:val="18"/>
              </w:rPr>
            </w:pPr>
            <w:r w:rsidRPr="00F32020">
              <w:rPr>
                <w:sz w:val="18"/>
                <w:szCs w:val="18"/>
              </w:rPr>
              <w:t>576</w:t>
            </w:r>
          </w:p>
        </w:tc>
        <w:tc>
          <w:tcPr>
            <w:tcW w:w="0" w:type="auto"/>
            <w:tcBorders>
              <w:top w:val="nil"/>
              <w:left w:val="nil"/>
              <w:bottom w:val="single" w:sz="8" w:space="0" w:color="auto"/>
              <w:right w:val="nil"/>
            </w:tcBorders>
            <w:shd w:val="clear" w:color="000000" w:fill="FFFFFF"/>
            <w:noWrap/>
            <w:vAlign w:val="center"/>
            <w:hideMark/>
          </w:tcPr>
          <w:p w14:paraId="0C32A77A" w14:textId="77777777" w:rsidR="00212E14" w:rsidRPr="00F32020" w:rsidRDefault="00212E14" w:rsidP="00D314EE">
            <w:pPr>
              <w:jc w:val="center"/>
              <w:rPr>
                <w:sz w:val="18"/>
                <w:szCs w:val="18"/>
              </w:rPr>
            </w:pPr>
            <w:r w:rsidRPr="00F32020">
              <w:rPr>
                <w:sz w:val="18"/>
                <w:szCs w:val="18"/>
              </w:rPr>
              <w:t>-0.52</w:t>
            </w:r>
          </w:p>
        </w:tc>
        <w:tc>
          <w:tcPr>
            <w:tcW w:w="0" w:type="auto"/>
            <w:tcBorders>
              <w:top w:val="nil"/>
              <w:left w:val="nil"/>
              <w:bottom w:val="single" w:sz="8" w:space="0" w:color="auto"/>
              <w:right w:val="nil"/>
            </w:tcBorders>
            <w:shd w:val="clear" w:color="000000" w:fill="FFFFFF"/>
            <w:noWrap/>
            <w:vAlign w:val="center"/>
            <w:hideMark/>
          </w:tcPr>
          <w:p w14:paraId="0E4FB57C" w14:textId="77777777" w:rsidR="00212E14" w:rsidRPr="00F32020" w:rsidRDefault="00212E14" w:rsidP="00D314EE">
            <w:pPr>
              <w:jc w:val="center"/>
              <w:rPr>
                <w:sz w:val="18"/>
                <w:szCs w:val="18"/>
              </w:rPr>
            </w:pPr>
            <w:r w:rsidRPr="00F32020">
              <w:rPr>
                <w:sz w:val="18"/>
                <w:szCs w:val="18"/>
              </w:rPr>
              <w:t>1.02</w:t>
            </w:r>
          </w:p>
        </w:tc>
        <w:tc>
          <w:tcPr>
            <w:tcW w:w="0" w:type="auto"/>
            <w:tcBorders>
              <w:top w:val="nil"/>
              <w:left w:val="nil"/>
              <w:bottom w:val="single" w:sz="8" w:space="0" w:color="auto"/>
              <w:right w:val="nil"/>
            </w:tcBorders>
            <w:shd w:val="clear" w:color="000000" w:fill="FFFFFF"/>
            <w:noWrap/>
            <w:vAlign w:val="center"/>
            <w:hideMark/>
          </w:tcPr>
          <w:p w14:paraId="22F2186F" w14:textId="77777777" w:rsidR="00212E14" w:rsidRPr="00F32020" w:rsidRDefault="00212E14" w:rsidP="00D314EE">
            <w:pPr>
              <w:jc w:val="center"/>
              <w:rPr>
                <w:sz w:val="18"/>
                <w:szCs w:val="18"/>
              </w:rPr>
            </w:pPr>
            <w:r w:rsidRPr="00F32020">
              <w:rPr>
                <w:sz w:val="18"/>
                <w:szCs w:val="18"/>
              </w:rPr>
              <w:t>4.07</w:t>
            </w:r>
          </w:p>
        </w:tc>
        <w:tc>
          <w:tcPr>
            <w:tcW w:w="0" w:type="auto"/>
            <w:tcBorders>
              <w:top w:val="nil"/>
              <w:left w:val="nil"/>
              <w:bottom w:val="single" w:sz="8" w:space="0" w:color="auto"/>
              <w:right w:val="nil"/>
            </w:tcBorders>
            <w:shd w:val="clear" w:color="000000" w:fill="FFFFFF"/>
            <w:noWrap/>
            <w:vAlign w:val="center"/>
            <w:hideMark/>
          </w:tcPr>
          <w:p w14:paraId="3CA0319E" w14:textId="77777777" w:rsidR="00212E14" w:rsidRPr="00F32020" w:rsidRDefault="00212E14" w:rsidP="00D314EE">
            <w:pPr>
              <w:jc w:val="center"/>
              <w:rPr>
                <w:sz w:val="18"/>
                <w:szCs w:val="18"/>
              </w:rPr>
            </w:pPr>
            <w:r w:rsidRPr="00F32020">
              <w:rPr>
                <w:sz w:val="18"/>
                <w:szCs w:val="18"/>
              </w:rPr>
              <w:t>2.82</w:t>
            </w:r>
          </w:p>
        </w:tc>
        <w:tc>
          <w:tcPr>
            <w:tcW w:w="0" w:type="auto"/>
            <w:tcBorders>
              <w:top w:val="nil"/>
              <w:left w:val="nil"/>
              <w:bottom w:val="single" w:sz="8" w:space="0" w:color="auto"/>
              <w:right w:val="nil"/>
            </w:tcBorders>
            <w:shd w:val="clear" w:color="000000" w:fill="FFFFFF"/>
            <w:noWrap/>
            <w:vAlign w:val="center"/>
            <w:hideMark/>
          </w:tcPr>
          <w:p w14:paraId="689C4553" w14:textId="77777777" w:rsidR="00212E14" w:rsidRPr="00F32020" w:rsidRDefault="00212E14" w:rsidP="00D314EE">
            <w:pPr>
              <w:jc w:val="center"/>
              <w:rPr>
                <w:sz w:val="18"/>
                <w:szCs w:val="18"/>
              </w:rPr>
            </w:pPr>
            <w:r w:rsidRPr="00F32020">
              <w:rPr>
                <w:sz w:val="18"/>
                <w:szCs w:val="18"/>
              </w:rPr>
              <w:t>5.74</w:t>
            </w:r>
          </w:p>
        </w:tc>
        <w:tc>
          <w:tcPr>
            <w:tcW w:w="0" w:type="auto"/>
            <w:tcBorders>
              <w:top w:val="nil"/>
              <w:left w:val="nil"/>
              <w:bottom w:val="single" w:sz="8" w:space="0" w:color="auto"/>
              <w:right w:val="nil"/>
            </w:tcBorders>
            <w:shd w:val="clear" w:color="000000" w:fill="FFFFFF"/>
            <w:noWrap/>
            <w:vAlign w:val="center"/>
            <w:hideMark/>
          </w:tcPr>
          <w:p w14:paraId="4E1C7391" w14:textId="77777777" w:rsidR="00212E14" w:rsidRPr="00F32020" w:rsidRDefault="00212E14" w:rsidP="00D314EE">
            <w:pPr>
              <w:jc w:val="center"/>
              <w:rPr>
                <w:sz w:val="18"/>
                <w:szCs w:val="18"/>
              </w:rPr>
            </w:pPr>
            <w:r w:rsidRPr="00F32020">
              <w:rPr>
                <w:sz w:val="18"/>
                <w:szCs w:val="18"/>
              </w:rPr>
              <w:t>17.15</w:t>
            </w:r>
          </w:p>
        </w:tc>
        <w:tc>
          <w:tcPr>
            <w:tcW w:w="0" w:type="auto"/>
            <w:tcBorders>
              <w:top w:val="nil"/>
              <w:left w:val="nil"/>
              <w:bottom w:val="single" w:sz="8" w:space="0" w:color="auto"/>
              <w:right w:val="nil"/>
            </w:tcBorders>
            <w:shd w:val="clear" w:color="000000" w:fill="FFFFFF"/>
            <w:noWrap/>
            <w:vAlign w:val="center"/>
            <w:hideMark/>
          </w:tcPr>
          <w:p w14:paraId="348A6987" w14:textId="77777777" w:rsidR="00212E14" w:rsidRPr="00F32020" w:rsidRDefault="00212E14" w:rsidP="00D314EE">
            <w:pPr>
              <w:jc w:val="center"/>
              <w:rPr>
                <w:sz w:val="18"/>
                <w:szCs w:val="18"/>
              </w:rPr>
            </w:pPr>
            <w:r w:rsidRPr="00F32020">
              <w:rPr>
                <w:sz w:val="18"/>
                <w:szCs w:val="18"/>
              </w:rPr>
              <w:t>4.25</w:t>
            </w:r>
          </w:p>
        </w:tc>
      </w:tr>
      <w:tr w:rsidR="00212E14" w:rsidRPr="00F32020" w14:paraId="1A187378" w14:textId="77777777" w:rsidTr="0035368C">
        <w:trPr>
          <w:trHeight w:val="280"/>
        </w:trPr>
        <w:tc>
          <w:tcPr>
            <w:tcW w:w="9251" w:type="dxa"/>
            <w:gridSpan w:val="9"/>
            <w:tcBorders>
              <w:top w:val="single" w:sz="8" w:space="0" w:color="auto"/>
              <w:left w:val="nil"/>
              <w:bottom w:val="nil"/>
            </w:tcBorders>
            <w:shd w:val="clear" w:color="000000" w:fill="FFFFFF"/>
            <w:noWrap/>
            <w:vAlign w:val="center"/>
            <w:hideMark/>
          </w:tcPr>
          <w:p w14:paraId="24F23512" w14:textId="0B88A3EA" w:rsidR="00212E14" w:rsidRPr="00F32020" w:rsidRDefault="00212E14" w:rsidP="00D314EE">
            <w:pPr>
              <w:rPr>
                <w:b/>
                <w:bCs/>
                <w:sz w:val="18"/>
                <w:szCs w:val="18"/>
              </w:rPr>
            </w:pPr>
            <w:r w:rsidRPr="00F32020">
              <w:rPr>
                <w:b/>
                <w:bCs/>
                <w:sz w:val="18"/>
                <w:szCs w:val="18"/>
              </w:rPr>
              <w:t>Note:</w:t>
            </w:r>
            <w:r w:rsidRPr="00F32020">
              <w:rPr>
                <w:sz w:val="18"/>
                <w:szCs w:val="18"/>
              </w:rPr>
              <w:t xml:space="preserve"> All variables’ statistics are based on the conditional sample of the baseline model, i.e. either Column 3 or 4 of Table 2. The only exception is in the macro-level controls, which are obtained using a panel of only country-level data to avoid over-weighting them according to the distribution of countries in those samples. Variables are described in Table A1.</w:t>
            </w:r>
          </w:p>
          <w:p w14:paraId="7AEABB18" w14:textId="77777777" w:rsidR="00212E14" w:rsidRPr="00F32020" w:rsidRDefault="00212E14" w:rsidP="00D314EE">
            <w:pPr>
              <w:rPr>
                <w:b/>
                <w:bCs/>
                <w:sz w:val="18"/>
                <w:szCs w:val="18"/>
              </w:rPr>
            </w:pPr>
            <w:r w:rsidRPr="00F32020">
              <w:rPr>
                <w:b/>
                <w:bCs/>
                <w:sz w:val="18"/>
                <w:szCs w:val="18"/>
              </w:rPr>
              <w:t> </w:t>
            </w:r>
          </w:p>
        </w:tc>
      </w:tr>
    </w:tbl>
    <w:p w14:paraId="37127DDD" w14:textId="77777777" w:rsidR="00212E14" w:rsidRPr="00F32020" w:rsidRDefault="00212E14" w:rsidP="00212E14">
      <w:pPr>
        <w:rPr>
          <w:shd w:val="clear" w:color="auto" w:fill="FFFFFF"/>
          <w:lang w:val="en-US"/>
        </w:rPr>
      </w:pPr>
    </w:p>
    <w:p w14:paraId="6745955A" w14:textId="32F2F1B6" w:rsidR="00212E14" w:rsidRPr="00F32020" w:rsidRDefault="00212E14">
      <w:pPr>
        <w:rPr>
          <w:shd w:val="clear" w:color="auto" w:fill="FFFFFF"/>
          <w:lang w:val="en-US"/>
        </w:rPr>
      </w:pPr>
      <w:r w:rsidRPr="00F32020">
        <w:rPr>
          <w:shd w:val="clear" w:color="auto" w:fill="FFFFFF"/>
          <w:lang w:val="en-US"/>
        </w:rPr>
        <w:br w:type="page"/>
      </w:r>
    </w:p>
    <w:p w14:paraId="7F6926E6" w14:textId="77777777" w:rsidR="00212E14" w:rsidRPr="00F32020" w:rsidRDefault="00212E14" w:rsidP="00212E14">
      <w:pPr>
        <w:ind w:left="720" w:hanging="720"/>
        <w:jc w:val="center"/>
        <w:rPr>
          <w:b/>
          <w:bCs/>
          <w:shd w:val="clear" w:color="auto" w:fill="FFFFFF"/>
        </w:rPr>
      </w:pPr>
      <w:bookmarkStart w:id="24" w:name="_Hlk51137332"/>
      <w:r w:rsidRPr="00F32020">
        <w:rPr>
          <w:b/>
          <w:bCs/>
          <w:noProof/>
        </w:rPr>
        <w:lastRenderedPageBreak/>
        <mc:AlternateContent>
          <mc:Choice Requires="wps">
            <w:drawing>
              <wp:anchor distT="0" distB="0" distL="114300" distR="114300" simplePos="0" relativeHeight="251665408" behindDoc="0" locked="0" layoutInCell="1" allowOverlap="1" wp14:anchorId="5A288574" wp14:editId="5F94A94D">
                <wp:simplePos x="0" y="0"/>
                <wp:positionH relativeFrom="column">
                  <wp:posOffset>11137</wp:posOffset>
                </wp:positionH>
                <wp:positionV relativeFrom="paragraph">
                  <wp:posOffset>-8178507</wp:posOffset>
                </wp:positionV>
                <wp:extent cx="3657600" cy="295200"/>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3657600" cy="295200"/>
                        </a:xfrm>
                        <a:prstGeom prst="rect">
                          <a:avLst/>
                        </a:prstGeom>
                        <a:solidFill>
                          <a:schemeClr val="lt1"/>
                        </a:solidFill>
                        <a:ln w="6350">
                          <a:noFill/>
                        </a:ln>
                      </wps:spPr>
                      <wps:txbx>
                        <w:txbxContent>
                          <w:p w14:paraId="0BFECC14" w14:textId="77777777" w:rsidR="00212E14" w:rsidRPr="00113C81" w:rsidRDefault="00212E14" w:rsidP="00212E14">
                            <w:pPr>
                              <w:ind w:left="720" w:hanging="720"/>
                            </w:pPr>
                            <w:r w:rsidRPr="00113C81">
                              <w:rPr>
                                <w:b/>
                                <w:bCs/>
                                <w:color w:val="222222"/>
                                <w:shd w:val="clear" w:color="auto" w:fill="FFFFFF"/>
                              </w:rPr>
                              <w:t>Table 3: Baseline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88574" id="Text Box 195" o:spid="_x0000_s1030" type="#_x0000_t202" style="position:absolute;left:0;text-align:left;margin-left:.9pt;margin-top:-644pt;width:4in;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" fillcolor="white [3201]" stroked="f" strokeweight=".5pt">
                <v:textbox>
                  <w:txbxContent>
                    <w:p w14:paraId="0BFECC14" w14:textId="77777777" w:rsidR="00212E14" w:rsidRPr="00113C81" w:rsidRDefault="00212E14" w:rsidP="00212E14">
                      <w:pPr>
                        <w:ind w:left="720" w:hanging="720"/>
                      </w:pPr>
                      <w:r w:rsidRPr="00113C81">
                        <w:rPr>
                          <w:b/>
                          <w:bCs/>
                          <w:color w:val="222222"/>
                          <w:shd w:val="clear" w:color="auto" w:fill="FFFFFF"/>
                        </w:rPr>
                        <w:t>Table 3: Baseline results</w:t>
                      </w:r>
                    </w:p>
                  </w:txbxContent>
                </v:textbox>
              </v:shape>
            </w:pict>
          </mc:Fallback>
        </mc:AlternateContent>
      </w:r>
      <w:r w:rsidRPr="00F32020">
        <w:rPr>
          <w:b/>
          <w:bCs/>
          <w:shd w:val="clear" w:color="auto" w:fill="FFFFFF"/>
        </w:rPr>
        <w:t>Table 2. Baseline results</w:t>
      </w:r>
    </w:p>
    <w:p w14:paraId="00064B4E" w14:textId="77777777" w:rsidR="00212E14" w:rsidRPr="00F32020" w:rsidRDefault="00212E14" w:rsidP="00212E14">
      <w:pPr>
        <w:ind w:left="720" w:hanging="720"/>
        <w:jc w:val="center"/>
        <w:rPr>
          <w:b/>
          <w:bCs/>
          <w:shd w:val="clear" w:color="auto" w:fill="FFFFFF"/>
        </w:rPr>
      </w:pPr>
    </w:p>
    <w:tbl>
      <w:tblPr>
        <w:tblW w:w="9720" w:type="dxa"/>
        <w:tblLook w:val="04A0" w:firstRow="1" w:lastRow="0" w:firstColumn="1" w:lastColumn="0" w:noHBand="0" w:noVBand="1"/>
      </w:tblPr>
      <w:tblGrid>
        <w:gridCol w:w="3600"/>
        <w:gridCol w:w="1380"/>
        <w:gridCol w:w="1580"/>
        <w:gridCol w:w="1600"/>
        <w:gridCol w:w="1560"/>
      </w:tblGrid>
      <w:tr w:rsidR="00212E14" w:rsidRPr="00F32020" w14:paraId="54CFC502" w14:textId="77777777" w:rsidTr="00D314EE">
        <w:trPr>
          <w:trHeight w:val="260"/>
        </w:trPr>
        <w:tc>
          <w:tcPr>
            <w:tcW w:w="3600" w:type="dxa"/>
            <w:tcBorders>
              <w:top w:val="single" w:sz="4" w:space="0" w:color="auto"/>
            </w:tcBorders>
            <w:shd w:val="clear" w:color="000000" w:fill="FFFFFF"/>
            <w:noWrap/>
            <w:vAlign w:val="bottom"/>
            <w:hideMark/>
          </w:tcPr>
          <w:p w14:paraId="0C83ABA8" w14:textId="77777777" w:rsidR="00212E14" w:rsidRPr="00F32020" w:rsidRDefault="00212E14" w:rsidP="00D314EE">
            <w:pPr>
              <w:rPr>
                <w:sz w:val="20"/>
                <w:szCs w:val="20"/>
              </w:rPr>
            </w:pPr>
            <w:r w:rsidRPr="00F32020">
              <w:rPr>
                <w:sz w:val="20"/>
                <w:szCs w:val="20"/>
              </w:rPr>
              <w:t> </w:t>
            </w:r>
          </w:p>
        </w:tc>
        <w:tc>
          <w:tcPr>
            <w:tcW w:w="1380" w:type="dxa"/>
            <w:tcBorders>
              <w:top w:val="single" w:sz="4" w:space="0" w:color="auto"/>
            </w:tcBorders>
            <w:shd w:val="clear" w:color="000000" w:fill="FFFFFF"/>
            <w:noWrap/>
            <w:vAlign w:val="bottom"/>
            <w:hideMark/>
          </w:tcPr>
          <w:p w14:paraId="325D07FA" w14:textId="77777777" w:rsidR="00212E14" w:rsidRPr="00F32020" w:rsidRDefault="00212E14" w:rsidP="00D314EE">
            <w:pPr>
              <w:jc w:val="center"/>
              <w:rPr>
                <w:sz w:val="20"/>
                <w:szCs w:val="20"/>
              </w:rPr>
            </w:pPr>
            <w:r w:rsidRPr="00F32020">
              <w:rPr>
                <w:sz w:val="20"/>
                <w:szCs w:val="20"/>
              </w:rPr>
              <w:t>(1)</w:t>
            </w:r>
          </w:p>
        </w:tc>
        <w:tc>
          <w:tcPr>
            <w:tcW w:w="1580" w:type="dxa"/>
            <w:tcBorders>
              <w:top w:val="single" w:sz="4" w:space="0" w:color="auto"/>
            </w:tcBorders>
            <w:shd w:val="clear" w:color="000000" w:fill="FFFFFF"/>
            <w:noWrap/>
            <w:vAlign w:val="bottom"/>
            <w:hideMark/>
          </w:tcPr>
          <w:p w14:paraId="3607CEF1" w14:textId="77777777" w:rsidR="00212E14" w:rsidRPr="00F32020" w:rsidRDefault="00212E14" w:rsidP="00D314EE">
            <w:pPr>
              <w:jc w:val="center"/>
              <w:rPr>
                <w:sz w:val="20"/>
                <w:szCs w:val="20"/>
              </w:rPr>
            </w:pPr>
            <w:r w:rsidRPr="00F32020">
              <w:rPr>
                <w:sz w:val="20"/>
                <w:szCs w:val="20"/>
              </w:rPr>
              <w:t>(2)</w:t>
            </w:r>
          </w:p>
        </w:tc>
        <w:tc>
          <w:tcPr>
            <w:tcW w:w="1600" w:type="dxa"/>
            <w:tcBorders>
              <w:top w:val="single" w:sz="4" w:space="0" w:color="auto"/>
            </w:tcBorders>
            <w:shd w:val="clear" w:color="000000" w:fill="FFFFFF"/>
            <w:noWrap/>
            <w:vAlign w:val="bottom"/>
            <w:hideMark/>
          </w:tcPr>
          <w:p w14:paraId="649AC200" w14:textId="77777777" w:rsidR="00212E14" w:rsidRPr="00F32020" w:rsidRDefault="00212E14" w:rsidP="00D314EE">
            <w:pPr>
              <w:jc w:val="center"/>
              <w:rPr>
                <w:sz w:val="20"/>
                <w:szCs w:val="20"/>
              </w:rPr>
            </w:pPr>
            <w:r w:rsidRPr="00F32020">
              <w:rPr>
                <w:sz w:val="20"/>
                <w:szCs w:val="20"/>
              </w:rPr>
              <w:t>(3)</w:t>
            </w:r>
          </w:p>
        </w:tc>
        <w:tc>
          <w:tcPr>
            <w:tcW w:w="1560" w:type="dxa"/>
            <w:tcBorders>
              <w:top w:val="single" w:sz="4" w:space="0" w:color="auto"/>
            </w:tcBorders>
            <w:shd w:val="clear" w:color="000000" w:fill="FFFFFF"/>
            <w:noWrap/>
            <w:vAlign w:val="bottom"/>
            <w:hideMark/>
          </w:tcPr>
          <w:p w14:paraId="20115AA9" w14:textId="77777777" w:rsidR="00212E14" w:rsidRPr="00F32020" w:rsidRDefault="00212E14" w:rsidP="00D314EE">
            <w:pPr>
              <w:jc w:val="center"/>
              <w:rPr>
                <w:sz w:val="20"/>
                <w:szCs w:val="20"/>
              </w:rPr>
            </w:pPr>
            <w:r w:rsidRPr="00F32020">
              <w:rPr>
                <w:sz w:val="20"/>
                <w:szCs w:val="20"/>
              </w:rPr>
              <w:t>(4)</w:t>
            </w:r>
          </w:p>
        </w:tc>
      </w:tr>
      <w:tr w:rsidR="00212E14" w:rsidRPr="00F32020" w14:paraId="5D4DDF0B" w14:textId="77777777" w:rsidTr="00D314EE">
        <w:trPr>
          <w:trHeight w:val="260"/>
        </w:trPr>
        <w:tc>
          <w:tcPr>
            <w:tcW w:w="3600" w:type="dxa"/>
            <w:tcBorders>
              <w:bottom w:val="single" w:sz="4" w:space="0" w:color="auto"/>
            </w:tcBorders>
            <w:shd w:val="clear" w:color="000000" w:fill="FFFFFF"/>
            <w:noWrap/>
            <w:vAlign w:val="bottom"/>
            <w:hideMark/>
          </w:tcPr>
          <w:p w14:paraId="41C5BFBC" w14:textId="77777777" w:rsidR="00212E14" w:rsidRPr="00F32020" w:rsidRDefault="00212E14" w:rsidP="00D314EE">
            <w:pPr>
              <w:rPr>
                <w:sz w:val="20"/>
                <w:szCs w:val="20"/>
              </w:rPr>
            </w:pPr>
            <w:r w:rsidRPr="00F32020">
              <w:rPr>
                <w:sz w:val="20"/>
                <w:szCs w:val="20"/>
              </w:rPr>
              <w:t>VARIABLES</w:t>
            </w:r>
          </w:p>
        </w:tc>
        <w:tc>
          <w:tcPr>
            <w:tcW w:w="1380" w:type="dxa"/>
            <w:tcBorders>
              <w:bottom w:val="single" w:sz="4" w:space="0" w:color="auto"/>
            </w:tcBorders>
            <w:shd w:val="clear" w:color="000000" w:fill="FFFFFF"/>
            <w:noWrap/>
            <w:vAlign w:val="bottom"/>
            <w:hideMark/>
          </w:tcPr>
          <w:p w14:paraId="5A595940" w14:textId="77777777" w:rsidR="00212E14" w:rsidRPr="00F32020" w:rsidRDefault="00212E14" w:rsidP="00D314EE">
            <w:pPr>
              <w:jc w:val="center"/>
              <w:rPr>
                <w:sz w:val="20"/>
                <w:szCs w:val="20"/>
              </w:rPr>
            </w:pPr>
            <w:r w:rsidRPr="00F32020">
              <w:rPr>
                <w:sz w:val="20"/>
                <w:szCs w:val="20"/>
              </w:rPr>
              <w:t>Bivariate</w:t>
            </w:r>
          </w:p>
        </w:tc>
        <w:tc>
          <w:tcPr>
            <w:tcW w:w="1580" w:type="dxa"/>
            <w:tcBorders>
              <w:bottom w:val="single" w:sz="4" w:space="0" w:color="auto"/>
            </w:tcBorders>
            <w:shd w:val="clear" w:color="000000" w:fill="FFFFFF"/>
            <w:noWrap/>
            <w:vAlign w:val="bottom"/>
            <w:hideMark/>
          </w:tcPr>
          <w:p w14:paraId="30C1D0CE" w14:textId="77777777" w:rsidR="00212E14" w:rsidRPr="00F32020" w:rsidRDefault="00212E14" w:rsidP="00D314EE">
            <w:pPr>
              <w:jc w:val="center"/>
              <w:rPr>
                <w:sz w:val="20"/>
                <w:szCs w:val="20"/>
              </w:rPr>
            </w:pPr>
            <w:r w:rsidRPr="00F32020">
              <w:rPr>
                <w:sz w:val="20"/>
                <w:szCs w:val="20"/>
              </w:rPr>
              <w:t>+ Venture controls</w:t>
            </w:r>
          </w:p>
        </w:tc>
        <w:tc>
          <w:tcPr>
            <w:tcW w:w="1600" w:type="dxa"/>
            <w:tcBorders>
              <w:bottom w:val="single" w:sz="4" w:space="0" w:color="auto"/>
            </w:tcBorders>
            <w:shd w:val="clear" w:color="000000" w:fill="FFFFFF"/>
            <w:noWrap/>
            <w:vAlign w:val="bottom"/>
            <w:hideMark/>
          </w:tcPr>
          <w:p w14:paraId="16743F89" w14:textId="77777777" w:rsidR="00212E14" w:rsidRPr="00F32020" w:rsidRDefault="00212E14" w:rsidP="00D314EE">
            <w:pPr>
              <w:jc w:val="center"/>
              <w:rPr>
                <w:sz w:val="20"/>
                <w:szCs w:val="20"/>
              </w:rPr>
            </w:pPr>
            <w:r w:rsidRPr="00F32020">
              <w:rPr>
                <w:sz w:val="20"/>
                <w:szCs w:val="20"/>
              </w:rPr>
              <w:t>+ Founding Team controls</w:t>
            </w:r>
          </w:p>
        </w:tc>
        <w:tc>
          <w:tcPr>
            <w:tcW w:w="1560" w:type="dxa"/>
            <w:tcBorders>
              <w:bottom w:val="single" w:sz="4" w:space="0" w:color="auto"/>
            </w:tcBorders>
            <w:shd w:val="clear" w:color="000000" w:fill="FFFFFF"/>
            <w:noWrap/>
            <w:vAlign w:val="bottom"/>
            <w:hideMark/>
          </w:tcPr>
          <w:p w14:paraId="04B6364D" w14:textId="77777777" w:rsidR="00212E14" w:rsidRPr="00F32020" w:rsidRDefault="00212E14" w:rsidP="00D314EE">
            <w:pPr>
              <w:jc w:val="center"/>
              <w:rPr>
                <w:sz w:val="20"/>
                <w:szCs w:val="20"/>
              </w:rPr>
            </w:pPr>
            <w:r w:rsidRPr="00F32020">
              <w:rPr>
                <w:sz w:val="20"/>
                <w:szCs w:val="20"/>
              </w:rPr>
              <w:t>+ Country controls</w:t>
            </w:r>
          </w:p>
        </w:tc>
      </w:tr>
      <w:tr w:rsidR="00212E14" w:rsidRPr="00F32020" w14:paraId="455DEDE4" w14:textId="77777777" w:rsidTr="00D314EE">
        <w:trPr>
          <w:trHeight w:val="260"/>
        </w:trPr>
        <w:tc>
          <w:tcPr>
            <w:tcW w:w="3600" w:type="dxa"/>
            <w:tcBorders>
              <w:top w:val="single" w:sz="4" w:space="0" w:color="auto"/>
            </w:tcBorders>
            <w:shd w:val="clear" w:color="000000" w:fill="FFFFFF"/>
            <w:noWrap/>
            <w:vAlign w:val="bottom"/>
            <w:hideMark/>
          </w:tcPr>
          <w:p w14:paraId="0F72963F" w14:textId="77777777" w:rsidR="00212E14" w:rsidRPr="00F32020" w:rsidRDefault="00212E14" w:rsidP="00D314EE">
            <w:pPr>
              <w:rPr>
                <w:sz w:val="20"/>
                <w:szCs w:val="20"/>
              </w:rPr>
            </w:pPr>
            <w:r w:rsidRPr="00F32020">
              <w:rPr>
                <w:sz w:val="20"/>
                <w:szCs w:val="20"/>
              </w:rPr>
              <w:t> </w:t>
            </w:r>
          </w:p>
        </w:tc>
        <w:tc>
          <w:tcPr>
            <w:tcW w:w="1380" w:type="dxa"/>
            <w:tcBorders>
              <w:top w:val="single" w:sz="4" w:space="0" w:color="auto"/>
            </w:tcBorders>
            <w:shd w:val="clear" w:color="000000" w:fill="FFFFFF"/>
            <w:noWrap/>
            <w:vAlign w:val="bottom"/>
            <w:hideMark/>
          </w:tcPr>
          <w:p w14:paraId="39FA9BEB" w14:textId="77777777" w:rsidR="00212E14" w:rsidRPr="00F32020" w:rsidRDefault="00212E14" w:rsidP="00D314EE">
            <w:pPr>
              <w:jc w:val="center"/>
              <w:rPr>
                <w:sz w:val="20"/>
                <w:szCs w:val="20"/>
              </w:rPr>
            </w:pPr>
            <w:r w:rsidRPr="00F32020">
              <w:rPr>
                <w:sz w:val="20"/>
                <w:szCs w:val="20"/>
              </w:rPr>
              <w:t> </w:t>
            </w:r>
          </w:p>
        </w:tc>
        <w:tc>
          <w:tcPr>
            <w:tcW w:w="1580" w:type="dxa"/>
            <w:tcBorders>
              <w:top w:val="single" w:sz="4" w:space="0" w:color="auto"/>
            </w:tcBorders>
            <w:shd w:val="clear" w:color="000000" w:fill="FFFFFF"/>
            <w:noWrap/>
            <w:vAlign w:val="bottom"/>
            <w:hideMark/>
          </w:tcPr>
          <w:p w14:paraId="5E3C6694" w14:textId="77777777" w:rsidR="00212E14" w:rsidRPr="00F32020" w:rsidRDefault="00212E14" w:rsidP="00D314EE">
            <w:pPr>
              <w:jc w:val="center"/>
              <w:rPr>
                <w:sz w:val="20"/>
                <w:szCs w:val="20"/>
              </w:rPr>
            </w:pPr>
            <w:r w:rsidRPr="00F32020">
              <w:rPr>
                <w:sz w:val="20"/>
                <w:szCs w:val="20"/>
              </w:rPr>
              <w:t> </w:t>
            </w:r>
          </w:p>
        </w:tc>
        <w:tc>
          <w:tcPr>
            <w:tcW w:w="1600" w:type="dxa"/>
            <w:tcBorders>
              <w:top w:val="single" w:sz="4" w:space="0" w:color="auto"/>
            </w:tcBorders>
            <w:shd w:val="clear" w:color="000000" w:fill="FFFFFF"/>
            <w:noWrap/>
            <w:vAlign w:val="bottom"/>
            <w:hideMark/>
          </w:tcPr>
          <w:p w14:paraId="4E381E4C" w14:textId="77777777" w:rsidR="00212E14" w:rsidRPr="00F32020" w:rsidRDefault="00212E14" w:rsidP="00D314EE">
            <w:pPr>
              <w:jc w:val="center"/>
              <w:rPr>
                <w:sz w:val="20"/>
                <w:szCs w:val="20"/>
              </w:rPr>
            </w:pPr>
            <w:r w:rsidRPr="00F32020">
              <w:rPr>
                <w:sz w:val="20"/>
                <w:szCs w:val="20"/>
              </w:rPr>
              <w:t> </w:t>
            </w:r>
          </w:p>
        </w:tc>
        <w:tc>
          <w:tcPr>
            <w:tcW w:w="1560" w:type="dxa"/>
            <w:tcBorders>
              <w:top w:val="single" w:sz="4" w:space="0" w:color="auto"/>
            </w:tcBorders>
            <w:shd w:val="clear" w:color="000000" w:fill="FFFFFF"/>
            <w:noWrap/>
            <w:vAlign w:val="bottom"/>
            <w:hideMark/>
          </w:tcPr>
          <w:p w14:paraId="59EF1DFA" w14:textId="77777777" w:rsidR="00212E14" w:rsidRPr="00F32020" w:rsidRDefault="00212E14" w:rsidP="00D314EE">
            <w:pPr>
              <w:jc w:val="center"/>
              <w:rPr>
                <w:sz w:val="20"/>
                <w:szCs w:val="20"/>
              </w:rPr>
            </w:pPr>
            <w:r w:rsidRPr="00F32020">
              <w:rPr>
                <w:sz w:val="20"/>
                <w:szCs w:val="20"/>
              </w:rPr>
              <w:t> </w:t>
            </w:r>
          </w:p>
        </w:tc>
      </w:tr>
      <w:tr w:rsidR="00212E14" w:rsidRPr="00F32020" w14:paraId="43864374" w14:textId="77777777" w:rsidTr="00D314EE">
        <w:trPr>
          <w:trHeight w:val="260"/>
        </w:trPr>
        <w:tc>
          <w:tcPr>
            <w:tcW w:w="3600" w:type="dxa"/>
            <w:shd w:val="clear" w:color="000000" w:fill="FFFFFF"/>
            <w:noWrap/>
            <w:vAlign w:val="bottom"/>
            <w:hideMark/>
          </w:tcPr>
          <w:p w14:paraId="3F7C1726" w14:textId="77777777" w:rsidR="00212E14" w:rsidRPr="00F32020" w:rsidRDefault="00212E14" w:rsidP="00D314EE">
            <w:pPr>
              <w:rPr>
                <w:sz w:val="20"/>
                <w:szCs w:val="20"/>
              </w:rPr>
            </w:pPr>
            <w:r w:rsidRPr="00F32020">
              <w:rPr>
                <w:sz w:val="20"/>
                <w:szCs w:val="20"/>
              </w:rPr>
              <w:t>Cultural Diversity</w:t>
            </w:r>
          </w:p>
        </w:tc>
        <w:tc>
          <w:tcPr>
            <w:tcW w:w="1380" w:type="dxa"/>
            <w:shd w:val="clear" w:color="000000" w:fill="FFFFFF"/>
            <w:noWrap/>
            <w:vAlign w:val="bottom"/>
            <w:hideMark/>
          </w:tcPr>
          <w:p w14:paraId="1690E60C" w14:textId="77777777" w:rsidR="00212E14" w:rsidRPr="00F32020" w:rsidRDefault="00212E14" w:rsidP="00D314EE">
            <w:pPr>
              <w:jc w:val="center"/>
              <w:rPr>
                <w:sz w:val="20"/>
                <w:szCs w:val="20"/>
              </w:rPr>
            </w:pPr>
            <w:r w:rsidRPr="00F32020">
              <w:rPr>
                <w:sz w:val="20"/>
                <w:szCs w:val="20"/>
              </w:rPr>
              <w:t>1.098***</w:t>
            </w:r>
          </w:p>
        </w:tc>
        <w:tc>
          <w:tcPr>
            <w:tcW w:w="1580" w:type="dxa"/>
            <w:shd w:val="clear" w:color="000000" w:fill="FFFFFF"/>
            <w:noWrap/>
            <w:vAlign w:val="bottom"/>
            <w:hideMark/>
          </w:tcPr>
          <w:p w14:paraId="4FD61AA6" w14:textId="77777777" w:rsidR="00212E14" w:rsidRPr="00F32020" w:rsidRDefault="00212E14" w:rsidP="00D314EE">
            <w:pPr>
              <w:jc w:val="center"/>
              <w:rPr>
                <w:sz w:val="20"/>
                <w:szCs w:val="20"/>
              </w:rPr>
            </w:pPr>
            <w:r w:rsidRPr="00F32020">
              <w:rPr>
                <w:sz w:val="20"/>
                <w:szCs w:val="20"/>
              </w:rPr>
              <w:t>1.106***</w:t>
            </w:r>
          </w:p>
        </w:tc>
        <w:tc>
          <w:tcPr>
            <w:tcW w:w="1600" w:type="dxa"/>
            <w:shd w:val="clear" w:color="000000" w:fill="FFFFFF"/>
            <w:noWrap/>
            <w:vAlign w:val="bottom"/>
            <w:hideMark/>
          </w:tcPr>
          <w:p w14:paraId="63C9264C" w14:textId="77777777" w:rsidR="00212E14" w:rsidRPr="00F32020" w:rsidRDefault="00212E14" w:rsidP="00D314EE">
            <w:pPr>
              <w:jc w:val="center"/>
              <w:rPr>
                <w:sz w:val="20"/>
                <w:szCs w:val="20"/>
              </w:rPr>
            </w:pPr>
            <w:r w:rsidRPr="00F32020">
              <w:rPr>
                <w:sz w:val="20"/>
                <w:szCs w:val="20"/>
              </w:rPr>
              <w:t>1.088**</w:t>
            </w:r>
          </w:p>
        </w:tc>
        <w:tc>
          <w:tcPr>
            <w:tcW w:w="1560" w:type="dxa"/>
            <w:shd w:val="clear" w:color="000000" w:fill="FFFFFF"/>
            <w:noWrap/>
            <w:vAlign w:val="bottom"/>
            <w:hideMark/>
          </w:tcPr>
          <w:p w14:paraId="36CF2334" w14:textId="77777777" w:rsidR="00212E14" w:rsidRPr="00F32020" w:rsidRDefault="00212E14" w:rsidP="00D314EE">
            <w:pPr>
              <w:jc w:val="center"/>
              <w:rPr>
                <w:sz w:val="20"/>
                <w:szCs w:val="20"/>
              </w:rPr>
            </w:pPr>
            <w:r w:rsidRPr="00F32020">
              <w:rPr>
                <w:sz w:val="20"/>
                <w:szCs w:val="20"/>
              </w:rPr>
              <w:t>1.090**</w:t>
            </w:r>
          </w:p>
        </w:tc>
      </w:tr>
      <w:tr w:rsidR="00212E14" w:rsidRPr="00F32020" w14:paraId="545DBB76" w14:textId="77777777" w:rsidTr="00D314EE">
        <w:trPr>
          <w:trHeight w:val="260"/>
        </w:trPr>
        <w:tc>
          <w:tcPr>
            <w:tcW w:w="3600" w:type="dxa"/>
            <w:shd w:val="clear" w:color="000000" w:fill="FFFFFF"/>
            <w:noWrap/>
            <w:vAlign w:val="bottom"/>
            <w:hideMark/>
          </w:tcPr>
          <w:p w14:paraId="10D69083"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12729D20" w14:textId="77777777" w:rsidR="00212E14" w:rsidRPr="00F32020" w:rsidRDefault="00212E14" w:rsidP="00D314EE">
            <w:pPr>
              <w:jc w:val="center"/>
              <w:rPr>
                <w:sz w:val="20"/>
                <w:szCs w:val="20"/>
              </w:rPr>
            </w:pPr>
            <w:r w:rsidRPr="00F32020">
              <w:rPr>
                <w:sz w:val="20"/>
                <w:szCs w:val="20"/>
              </w:rPr>
              <w:t>(0.0365)</w:t>
            </w:r>
          </w:p>
        </w:tc>
        <w:tc>
          <w:tcPr>
            <w:tcW w:w="1580" w:type="dxa"/>
            <w:shd w:val="clear" w:color="000000" w:fill="FFFFFF"/>
            <w:noWrap/>
            <w:vAlign w:val="bottom"/>
            <w:hideMark/>
          </w:tcPr>
          <w:p w14:paraId="52029C8E" w14:textId="77777777" w:rsidR="00212E14" w:rsidRPr="00F32020" w:rsidRDefault="00212E14" w:rsidP="00D314EE">
            <w:pPr>
              <w:jc w:val="center"/>
              <w:rPr>
                <w:sz w:val="20"/>
                <w:szCs w:val="20"/>
              </w:rPr>
            </w:pPr>
            <w:r w:rsidRPr="00F32020">
              <w:rPr>
                <w:sz w:val="20"/>
                <w:szCs w:val="20"/>
              </w:rPr>
              <w:t>(0.0382)</w:t>
            </w:r>
          </w:p>
        </w:tc>
        <w:tc>
          <w:tcPr>
            <w:tcW w:w="1600" w:type="dxa"/>
            <w:shd w:val="clear" w:color="000000" w:fill="FFFFFF"/>
            <w:noWrap/>
            <w:vAlign w:val="bottom"/>
            <w:hideMark/>
          </w:tcPr>
          <w:p w14:paraId="493CDBD0" w14:textId="77777777" w:rsidR="00212E14" w:rsidRPr="00F32020" w:rsidRDefault="00212E14" w:rsidP="00D314EE">
            <w:pPr>
              <w:jc w:val="center"/>
              <w:rPr>
                <w:sz w:val="20"/>
                <w:szCs w:val="20"/>
              </w:rPr>
            </w:pPr>
            <w:r w:rsidRPr="00F32020">
              <w:rPr>
                <w:sz w:val="20"/>
                <w:szCs w:val="20"/>
              </w:rPr>
              <w:t>(0.0380)</w:t>
            </w:r>
          </w:p>
        </w:tc>
        <w:tc>
          <w:tcPr>
            <w:tcW w:w="1560" w:type="dxa"/>
            <w:shd w:val="clear" w:color="000000" w:fill="FFFFFF"/>
            <w:noWrap/>
            <w:vAlign w:val="bottom"/>
            <w:hideMark/>
          </w:tcPr>
          <w:p w14:paraId="3EC98770" w14:textId="77777777" w:rsidR="00212E14" w:rsidRPr="00F32020" w:rsidRDefault="00212E14" w:rsidP="00D314EE">
            <w:pPr>
              <w:jc w:val="center"/>
              <w:rPr>
                <w:sz w:val="20"/>
                <w:szCs w:val="20"/>
              </w:rPr>
            </w:pPr>
            <w:r w:rsidRPr="00F32020">
              <w:rPr>
                <w:sz w:val="20"/>
                <w:szCs w:val="20"/>
              </w:rPr>
              <w:t>(0.0384)</w:t>
            </w:r>
          </w:p>
        </w:tc>
      </w:tr>
      <w:tr w:rsidR="00212E14" w:rsidRPr="00F32020" w14:paraId="0ABCFAD0" w14:textId="77777777" w:rsidTr="00D314EE">
        <w:trPr>
          <w:trHeight w:val="260"/>
        </w:trPr>
        <w:tc>
          <w:tcPr>
            <w:tcW w:w="3600" w:type="dxa"/>
            <w:shd w:val="clear" w:color="000000" w:fill="FFFFFF"/>
            <w:noWrap/>
            <w:vAlign w:val="bottom"/>
            <w:hideMark/>
          </w:tcPr>
          <w:p w14:paraId="2AED8DA9" w14:textId="77777777" w:rsidR="00212E14" w:rsidRPr="00F32020" w:rsidRDefault="00212E14" w:rsidP="00D314EE">
            <w:pPr>
              <w:rPr>
                <w:sz w:val="20"/>
                <w:szCs w:val="20"/>
              </w:rPr>
            </w:pPr>
            <w:r w:rsidRPr="00F32020">
              <w:rPr>
                <w:sz w:val="20"/>
                <w:szCs w:val="20"/>
              </w:rPr>
              <w:t>Log (Years firm is active)</w:t>
            </w:r>
          </w:p>
        </w:tc>
        <w:tc>
          <w:tcPr>
            <w:tcW w:w="1380" w:type="dxa"/>
            <w:shd w:val="clear" w:color="000000" w:fill="FFFFFF"/>
            <w:noWrap/>
            <w:vAlign w:val="bottom"/>
            <w:hideMark/>
          </w:tcPr>
          <w:p w14:paraId="76606688"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6B4A5CF3" w14:textId="77777777" w:rsidR="00212E14" w:rsidRPr="00F32020" w:rsidRDefault="00212E14" w:rsidP="00D314EE">
            <w:pPr>
              <w:jc w:val="center"/>
              <w:rPr>
                <w:sz w:val="20"/>
                <w:szCs w:val="20"/>
              </w:rPr>
            </w:pPr>
            <w:r w:rsidRPr="00F32020">
              <w:rPr>
                <w:sz w:val="20"/>
                <w:szCs w:val="20"/>
              </w:rPr>
              <w:t>1.003</w:t>
            </w:r>
          </w:p>
        </w:tc>
        <w:tc>
          <w:tcPr>
            <w:tcW w:w="1600" w:type="dxa"/>
            <w:shd w:val="clear" w:color="000000" w:fill="FFFFFF"/>
            <w:noWrap/>
            <w:vAlign w:val="bottom"/>
            <w:hideMark/>
          </w:tcPr>
          <w:p w14:paraId="1EDCC5B3" w14:textId="77777777" w:rsidR="00212E14" w:rsidRPr="00F32020" w:rsidRDefault="00212E14" w:rsidP="00D314EE">
            <w:pPr>
              <w:jc w:val="center"/>
              <w:rPr>
                <w:sz w:val="20"/>
                <w:szCs w:val="20"/>
              </w:rPr>
            </w:pPr>
            <w:r w:rsidRPr="00F32020">
              <w:rPr>
                <w:sz w:val="20"/>
                <w:szCs w:val="20"/>
              </w:rPr>
              <w:t>1.047</w:t>
            </w:r>
          </w:p>
        </w:tc>
        <w:tc>
          <w:tcPr>
            <w:tcW w:w="1560" w:type="dxa"/>
            <w:shd w:val="clear" w:color="000000" w:fill="FFFFFF"/>
            <w:noWrap/>
            <w:vAlign w:val="bottom"/>
            <w:hideMark/>
          </w:tcPr>
          <w:p w14:paraId="16991B67" w14:textId="77777777" w:rsidR="00212E14" w:rsidRPr="00F32020" w:rsidRDefault="00212E14" w:rsidP="00D314EE">
            <w:pPr>
              <w:jc w:val="center"/>
              <w:rPr>
                <w:sz w:val="20"/>
                <w:szCs w:val="20"/>
              </w:rPr>
            </w:pPr>
            <w:r w:rsidRPr="00F32020">
              <w:rPr>
                <w:sz w:val="20"/>
                <w:szCs w:val="20"/>
              </w:rPr>
              <w:t>1.049</w:t>
            </w:r>
          </w:p>
        </w:tc>
      </w:tr>
      <w:tr w:rsidR="00212E14" w:rsidRPr="00F32020" w14:paraId="09B573E2" w14:textId="77777777" w:rsidTr="00D314EE">
        <w:trPr>
          <w:trHeight w:val="260"/>
        </w:trPr>
        <w:tc>
          <w:tcPr>
            <w:tcW w:w="3600" w:type="dxa"/>
            <w:shd w:val="clear" w:color="000000" w:fill="FFFFFF"/>
            <w:noWrap/>
            <w:vAlign w:val="bottom"/>
            <w:hideMark/>
          </w:tcPr>
          <w:p w14:paraId="0EEEC07A"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785AC3A9"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4D112534" w14:textId="77777777" w:rsidR="00212E14" w:rsidRPr="00F32020" w:rsidRDefault="00212E14" w:rsidP="00D314EE">
            <w:pPr>
              <w:jc w:val="center"/>
              <w:rPr>
                <w:sz w:val="20"/>
                <w:szCs w:val="20"/>
              </w:rPr>
            </w:pPr>
            <w:r w:rsidRPr="00F32020">
              <w:rPr>
                <w:sz w:val="20"/>
                <w:szCs w:val="20"/>
              </w:rPr>
              <w:t>(0.0538)</w:t>
            </w:r>
          </w:p>
        </w:tc>
        <w:tc>
          <w:tcPr>
            <w:tcW w:w="1600" w:type="dxa"/>
            <w:shd w:val="clear" w:color="000000" w:fill="FFFFFF"/>
            <w:noWrap/>
            <w:vAlign w:val="bottom"/>
            <w:hideMark/>
          </w:tcPr>
          <w:p w14:paraId="25CD0AA4" w14:textId="77777777" w:rsidR="00212E14" w:rsidRPr="00F32020" w:rsidRDefault="00212E14" w:rsidP="00D314EE">
            <w:pPr>
              <w:jc w:val="center"/>
              <w:rPr>
                <w:sz w:val="20"/>
                <w:szCs w:val="20"/>
              </w:rPr>
            </w:pPr>
            <w:r w:rsidRPr="00F32020">
              <w:rPr>
                <w:sz w:val="20"/>
                <w:szCs w:val="20"/>
              </w:rPr>
              <w:t>(0.0595)</w:t>
            </w:r>
          </w:p>
        </w:tc>
        <w:tc>
          <w:tcPr>
            <w:tcW w:w="1560" w:type="dxa"/>
            <w:shd w:val="clear" w:color="000000" w:fill="FFFFFF"/>
            <w:noWrap/>
            <w:vAlign w:val="bottom"/>
            <w:hideMark/>
          </w:tcPr>
          <w:p w14:paraId="461E0BBF" w14:textId="77777777" w:rsidR="00212E14" w:rsidRPr="00F32020" w:rsidRDefault="00212E14" w:rsidP="00D314EE">
            <w:pPr>
              <w:jc w:val="center"/>
              <w:rPr>
                <w:sz w:val="20"/>
                <w:szCs w:val="20"/>
              </w:rPr>
            </w:pPr>
            <w:r w:rsidRPr="00F32020">
              <w:rPr>
                <w:sz w:val="20"/>
                <w:szCs w:val="20"/>
              </w:rPr>
              <w:t>(0.0601)</w:t>
            </w:r>
          </w:p>
        </w:tc>
      </w:tr>
      <w:tr w:rsidR="00212E14" w:rsidRPr="00F32020" w14:paraId="5BA95CF3" w14:textId="77777777" w:rsidTr="00D314EE">
        <w:trPr>
          <w:trHeight w:val="260"/>
        </w:trPr>
        <w:tc>
          <w:tcPr>
            <w:tcW w:w="3600" w:type="dxa"/>
            <w:shd w:val="clear" w:color="000000" w:fill="FFFFFF"/>
            <w:noWrap/>
            <w:vAlign w:val="bottom"/>
            <w:hideMark/>
          </w:tcPr>
          <w:p w14:paraId="112B623F" w14:textId="77777777" w:rsidR="00212E14" w:rsidRPr="00F32020" w:rsidRDefault="00212E14" w:rsidP="00D314EE">
            <w:pPr>
              <w:rPr>
                <w:sz w:val="20"/>
                <w:szCs w:val="20"/>
              </w:rPr>
            </w:pPr>
            <w:r w:rsidRPr="00F32020">
              <w:rPr>
                <w:sz w:val="20"/>
                <w:szCs w:val="20"/>
              </w:rPr>
              <w:t>Log (Revenues in t-1)</w:t>
            </w:r>
          </w:p>
        </w:tc>
        <w:tc>
          <w:tcPr>
            <w:tcW w:w="1380" w:type="dxa"/>
            <w:shd w:val="clear" w:color="000000" w:fill="FFFFFF"/>
            <w:noWrap/>
            <w:vAlign w:val="bottom"/>
            <w:hideMark/>
          </w:tcPr>
          <w:p w14:paraId="4864C6C1"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5D29B8F9" w14:textId="77777777" w:rsidR="00212E14" w:rsidRPr="00F32020" w:rsidRDefault="00212E14" w:rsidP="00D314EE">
            <w:pPr>
              <w:jc w:val="center"/>
              <w:rPr>
                <w:sz w:val="20"/>
                <w:szCs w:val="20"/>
              </w:rPr>
            </w:pPr>
            <w:r w:rsidRPr="00F32020">
              <w:rPr>
                <w:sz w:val="20"/>
                <w:szCs w:val="20"/>
              </w:rPr>
              <w:t>1.066***</w:t>
            </w:r>
          </w:p>
        </w:tc>
        <w:tc>
          <w:tcPr>
            <w:tcW w:w="1600" w:type="dxa"/>
            <w:shd w:val="clear" w:color="000000" w:fill="FFFFFF"/>
            <w:noWrap/>
            <w:vAlign w:val="bottom"/>
            <w:hideMark/>
          </w:tcPr>
          <w:p w14:paraId="24AA00A6" w14:textId="77777777" w:rsidR="00212E14" w:rsidRPr="00F32020" w:rsidRDefault="00212E14" w:rsidP="00D314EE">
            <w:pPr>
              <w:jc w:val="center"/>
              <w:rPr>
                <w:sz w:val="20"/>
                <w:szCs w:val="20"/>
              </w:rPr>
            </w:pPr>
            <w:r w:rsidRPr="00F32020">
              <w:rPr>
                <w:sz w:val="20"/>
                <w:szCs w:val="20"/>
              </w:rPr>
              <w:t>1.064***</w:t>
            </w:r>
          </w:p>
        </w:tc>
        <w:tc>
          <w:tcPr>
            <w:tcW w:w="1560" w:type="dxa"/>
            <w:shd w:val="clear" w:color="000000" w:fill="FFFFFF"/>
            <w:noWrap/>
            <w:vAlign w:val="bottom"/>
            <w:hideMark/>
          </w:tcPr>
          <w:p w14:paraId="28E7B221" w14:textId="77777777" w:rsidR="00212E14" w:rsidRPr="00F32020" w:rsidRDefault="00212E14" w:rsidP="00D314EE">
            <w:pPr>
              <w:jc w:val="center"/>
              <w:rPr>
                <w:sz w:val="20"/>
                <w:szCs w:val="20"/>
              </w:rPr>
            </w:pPr>
            <w:r w:rsidRPr="00F32020">
              <w:rPr>
                <w:sz w:val="20"/>
                <w:szCs w:val="20"/>
              </w:rPr>
              <w:t>1.065***</w:t>
            </w:r>
          </w:p>
        </w:tc>
      </w:tr>
      <w:tr w:rsidR="00212E14" w:rsidRPr="00F32020" w14:paraId="575696AB" w14:textId="77777777" w:rsidTr="00D314EE">
        <w:trPr>
          <w:trHeight w:val="260"/>
        </w:trPr>
        <w:tc>
          <w:tcPr>
            <w:tcW w:w="3600" w:type="dxa"/>
            <w:shd w:val="clear" w:color="000000" w:fill="FFFFFF"/>
            <w:noWrap/>
            <w:vAlign w:val="bottom"/>
            <w:hideMark/>
          </w:tcPr>
          <w:p w14:paraId="0B5FC2A1"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73BA40A0"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4B4E256C" w14:textId="77777777" w:rsidR="00212E14" w:rsidRPr="00F32020" w:rsidRDefault="00212E14" w:rsidP="00D314EE">
            <w:pPr>
              <w:jc w:val="center"/>
              <w:rPr>
                <w:sz w:val="20"/>
                <w:szCs w:val="20"/>
              </w:rPr>
            </w:pPr>
            <w:r w:rsidRPr="00F32020">
              <w:rPr>
                <w:sz w:val="20"/>
                <w:szCs w:val="20"/>
              </w:rPr>
              <w:t>(0.0080)</w:t>
            </w:r>
          </w:p>
        </w:tc>
        <w:tc>
          <w:tcPr>
            <w:tcW w:w="1600" w:type="dxa"/>
            <w:shd w:val="clear" w:color="000000" w:fill="FFFFFF"/>
            <w:noWrap/>
            <w:vAlign w:val="bottom"/>
            <w:hideMark/>
          </w:tcPr>
          <w:p w14:paraId="0FFE7E46" w14:textId="77777777" w:rsidR="00212E14" w:rsidRPr="00F32020" w:rsidRDefault="00212E14" w:rsidP="00D314EE">
            <w:pPr>
              <w:jc w:val="center"/>
              <w:rPr>
                <w:sz w:val="20"/>
                <w:szCs w:val="20"/>
              </w:rPr>
            </w:pPr>
            <w:r w:rsidRPr="00F32020">
              <w:rPr>
                <w:sz w:val="20"/>
                <w:szCs w:val="20"/>
              </w:rPr>
              <w:t>(0.0080)</w:t>
            </w:r>
          </w:p>
        </w:tc>
        <w:tc>
          <w:tcPr>
            <w:tcW w:w="1560" w:type="dxa"/>
            <w:shd w:val="clear" w:color="000000" w:fill="FFFFFF"/>
            <w:noWrap/>
            <w:vAlign w:val="bottom"/>
            <w:hideMark/>
          </w:tcPr>
          <w:p w14:paraId="313EF555" w14:textId="77777777" w:rsidR="00212E14" w:rsidRPr="00F32020" w:rsidRDefault="00212E14" w:rsidP="00D314EE">
            <w:pPr>
              <w:jc w:val="center"/>
              <w:rPr>
                <w:sz w:val="20"/>
                <w:szCs w:val="20"/>
              </w:rPr>
            </w:pPr>
            <w:r w:rsidRPr="00F32020">
              <w:rPr>
                <w:sz w:val="20"/>
                <w:szCs w:val="20"/>
              </w:rPr>
              <w:t>(0.0081)</w:t>
            </w:r>
          </w:p>
        </w:tc>
      </w:tr>
      <w:tr w:rsidR="00212E14" w:rsidRPr="00F32020" w14:paraId="4602D70D" w14:textId="77777777" w:rsidTr="00D314EE">
        <w:trPr>
          <w:trHeight w:val="260"/>
        </w:trPr>
        <w:tc>
          <w:tcPr>
            <w:tcW w:w="3600" w:type="dxa"/>
            <w:shd w:val="clear" w:color="000000" w:fill="FFFFFF"/>
            <w:noWrap/>
            <w:vAlign w:val="bottom"/>
            <w:hideMark/>
          </w:tcPr>
          <w:p w14:paraId="2FDF0154" w14:textId="77777777" w:rsidR="00212E14" w:rsidRPr="00F32020" w:rsidRDefault="00212E14" w:rsidP="00D314EE">
            <w:pPr>
              <w:rPr>
                <w:sz w:val="20"/>
                <w:szCs w:val="20"/>
              </w:rPr>
            </w:pPr>
            <w:r w:rsidRPr="00F32020">
              <w:rPr>
                <w:sz w:val="20"/>
                <w:szCs w:val="20"/>
              </w:rPr>
              <w:t>Non-for-profit type</w:t>
            </w:r>
          </w:p>
        </w:tc>
        <w:tc>
          <w:tcPr>
            <w:tcW w:w="1380" w:type="dxa"/>
            <w:shd w:val="clear" w:color="000000" w:fill="FFFFFF"/>
            <w:noWrap/>
            <w:vAlign w:val="bottom"/>
            <w:hideMark/>
          </w:tcPr>
          <w:p w14:paraId="1942B9E0"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2FE18F5B" w14:textId="77777777" w:rsidR="00212E14" w:rsidRPr="00F32020" w:rsidRDefault="00212E14" w:rsidP="00D314EE">
            <w:pPr>
              <w:jc w:val="center"/>
              <w:rPr>
                <w:sz w:val="20"/>
                <w:szCs w:val="20"/>
              </w:rPr>
            </w:pPr>
            <w:r w:rsidRPr="00F32020">
              <w:rPr>
                <w:sz w:val="20"/>
                <w:szCs w:val="20"/>
              </w:rPr>
              <w:t>0.888</w:t>
            </w:r>
          </w:p>
        </w:tc>
        <w:tc>
          <w:tcPr>
            <w:tcW w:w="1600" w:type="dxa"/>
            <w:shd w:val="clear" w:color="000000" w:fill="FFFFFF"/>
            <w:noWrap/>
            <w:vAlign w:val="bottom"/>
            <w:hideMark/>
          </w:tcPr>
          <w:p w14:paraId="7B456CBF" w14:textId="77777777" w:rsidR="00212E14" w:rsidRPr="00F32020" w:rsidRDefault="00212E14" w:rsidP="00D314EE">
            <w:pPr>
              <w:jc w:val="center"/>
              <w:rPr>
                <w:sz w:val="20"/>
                <w:szCs w:val="20"/>
              </w:rPr>
            </w:pPr>
            <w:r w:rsidRPr="00F32020">
              <w:rPr>
                <w:sz w:val="20"/>
                <w:szCs w:val="20"/>
              </w:rPr>
              <w:t>0.882</w:t>
            </w:r>
          </w:p>
        </w:tc>
        <w:tc>
          <w:tcPr>
            <w:tcW w:w="1560" w:type="dxa"/>
            <w:shd w:val="clear" w:color="000000" w:fill="FFFFFF"/>
            <w:noWrap/>
            <w:vAlign w:val="bottom"/>
            <w:hideMark/>
          </w:tcPr>
          <w:p w14:paraId="3169E1A9" w14:textId="77777777" w:rsidR="00212E14" w:rsidRPr="00F32020" w:rsidRDefault="00212E14" w:rsidP="00D314EE">
            <w:pPr>
              <w:jc w:val="center"/>
              <w:rPr>
                <w:sz w:val="20"/>
                <w:szCs w:val="20"/>
              </w:rPr>
            </w:pPr>
            <w:r w:rsidRPr="00F32020">
              <w:rPr>
                <w:sz w:val="20"/>
                <w:szCs w:val="20"/>
              </w:rPr>
              <w:t>0.871</w:t>
            </w:r>
          </w:p>
        </w:tc>
      </w:tr>
      <w:tr w:rsidR="00212E14" w:rsidRPr="00F32020" w14:paraId="5024D0C4" w14:textId="77777777" w:rsidTr="00D314EE">
        <w:trPr>
          <w:trHeight w:val="260"/>
        </w:trPr>
        <w:tc>
          <w:tcPr>
            <w:tcW w:w="3600" w:type="dxa"/>
            <w:shd w:val="clear" w:color="000000" w:fill="FFFFFF"/>
            <w:noWrap/>
            <w:vAlign w:val="bottom"/>
            <w:hideMark/>
          </w:tcPr>
          <w:p w14:paraId="7600F293"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1D66DDFA"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0E5E7AF1" w14:textId="77777777" w:rsidR="00212E14" w:rsidRPr="00F32020" w:rsidRDefault="00212E14" w:rsidP="00D314EE">
            <w:pPr>
              <w:jc w:val="center"/>
              <w:rPr>
                <w:sz w:val="20"/>
                <w:szCs w:val="20"/>
              </w:rPr>
            </w:pPr>
            <w:r w:rsidRPr="00F32020">
              <w:rPr>
                <w:sz w:val="20"/>
                <w:szCs w:val="20"/>
              </w:rPr>
              <w:t>(0.1070)</w:t>
            </w:r>
          </w:p>
        </w:tc>
        <w:tc>
          <w:tcPr>
            <w:tcW w:w="1600" w:type="dxa"/>
            <w:shd w:val="clear" w:color="000000" w:fill="FFFFFF"/>
            <w:noWrap/>
            <w:vAlign w:val="bottom"/>
            <w:hideMark/>
          </w:tcPr>
          <w:p w14:paraId="599F2F17" w14:textId="77777777" w:rsidR="00212E14" w:rsidRPr="00F32020" w:rsidRDefault="00212E14" w:rsidP="00D314EE">
            <w:pPr>
              <w:jc w:val="center"/>
              <w:rPr>
                <w:sz w:val="20"/>
                <w:szCs w:val="20"/>
              </w:rPr>
            </w:pPr>
            <w:r w:rsidRPr="00F32020">
              <w:rPr>
                <w:sz w:val="20"/>
                <w:szCs w:val="20"/>
              </w:rPr>
              <w:t>(0.1080)</w:t>
            </w:r>
          </w:p>
        </w:tc>
        <w:tc>
          <w:tcPr>
            <w:tcW w:w="1560" w:type="dxa"/>
            <w:shd w:val="clear" w:color="000000" w:fill="FFFFFF"/>
            <w:noWrap/>
            <w:vAlign w:val="bottom"/>
            <w:hideMark/>
          </w:tcPr>
          <w:p w14:paraId="4ADE6065" w14:textId="77777777" w:rsidR="00212E14" w:rsidRPr="00F32020" w:rsidRDefault="00212E14" w:rsidP="00D314EE">
            <w:pPr>
              <w:jc w:val="center"/>
              <w:rPr>
                <w:sz w:val="20"/>
                <w:szCs w:val="20"/>
              </w:rPr>
            </w:pPr>
            <w:r w:rsidRPr="00F32020">
              <w:rPr>
                <w:sz w:val="20"/>
                <w:szCs w:val="20"/>
              </w:rPr>
              <w:t>(0.1070)</w:t>
            </w:r>
          </w:p>
        </w:tc>
      </w:tr>
      <w:tr w:rsidR="00212E14" w:rsidRPr="00F32020" w14:paraId="69893946" w14:textId="77777777" w:rsidTr="00D314EE">
        <w:trPr>
          <w:trHeight w:val="260"/>
        </w:trPr>
        <w:tc>
          <w:tcPr>
            <w:tcW w:w="3600" w:type="dxa"/>
            <w:shd w:val="clear" w:color="000000" w:fill="FFFFFF"/>
            <w:noWrap/>
            <w:vAlign w:val="bottom"/>
            <w:hideMark/>
          </w:tcPr>
          <w:p w14:paraId="2F69D362" w14:textId="77777777" w:rsidR="00212E14" w:rsidRPr="00F32020" w:rsidRDefault="00212E14" w:rsidP="00D314EE">
            <w:pPr>
              <w:rPr>
                <w:sz w:val="20"/>
                <w:szCs w:val="20"/>
              </w:rPr>
            </w:pPr>
            <w:r w:rsidRPr="00F32020">
              <w:rPr>
                <w:sz w:val="20"/>
                <w:szCs w:val="20"/>
              </w:rPr>
              <w:t>Social Motives</w:t>
            </w:r>
          </w:p>
        </w:tc>
        <w:tc>
          <w:tcPr>
            <w:tcW w:w="1380" w:type="dxa"/>
            <w:shd w:val="clear" w:color="000000" w:fill="FFFFFF"/>
            <w:noWrap/>
            <w:vAlign w:val="bottom"/>
            <w:hideMark/>
          </w:tcPr>
          <w:p w14:paraId="09DF2AD3"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517A9A6C" w14:textId="77777777" w:rsidR="00212E14" w:rsidRPr="00F32020" w:rsidRDefault="00212E14" w:rsidP="00D314EE">
            <w:pPr>
              <w:jc w:val="center"/>
              <w:rPr>
                <w:sz w:val="20"/>
                <w:szCs w:val="20"/>
              </w:rPr>
            </w:pPr>
            <w:r w:rsidRPr="00F32020">
              <w:rPr>
                <w:sz w:val="20"/>
                <w:szCs w:val="20"/>
              </w:rPr>
              <w:t>0.949</w:t>
            </w:r>
          </w:p>
        </w:tc>
        <w:tc>
          <w:tcPr>
            <w:tcW w:w="1600" w:type="dxa"/>
            <w:shd w:val="clear" w:color="000000" w:fill="FFFFFF"/>
            <w:noWrap/>
            <w:vAlign w:val="bottom"/>
            <w:hideMark/>
          </w:tcPr>
          <w:p w14:paraId="6782FCCB" w14:textId="77777777" w:rsidR="00212E14" w:rsidRPr="00F32020" w:rsidRDefault="00212E14" w:rsidP="00D314EE">
            <w:pPr>
              <w:jc w:val="center"/>
              <w:rPr>
                <w:sz w:val="20"/>
                <w:szCs w:val="20"/>
              </w:rPr>
            </w:pPr>
            <w:r w:rsidRPr="00F32020">
              <w:rPr>
                <w:sz w:val="20"/>
                <w:szCs w:val="20"/>
              </w:rPr>
              <w:t>0.927</w:t>
            </w:r>
          </w:p>
        </w:tc>
        <w:tc>
          <w:tcPr>
            <w:tcW w:w="1560" w:type="dxa"/>
            <w:shd w:val="clear" w:color="000000" w:fill="FFFFFF"/>
            <w:noWrap/>
            <w:vAlign w:val="bottom"/>
            <w:hideMark/>
          </w:tcPr>
          <w:p w14:paraId="2728F69A" w14:textId="77777777" w:rsidR="00212E14" w:rsidRPr="00F32020" w:rsidRDefault="00212E14" w:rsidP="00D314EE">
            <w:pPr>
              <w:jc w:val="center"/>
              <w:rPr>
                <w:sz w:val="20"/>
                <w:szCs w:val="20"/>
              </w:rPr>
            </w:pPr>
            <w:r w:rsidRPr="00F32020">
              <w:rPr>
                <w:sz w:val="20"/>
                <w:szCs w:val="20"/>
              </w:rPr>
              <w:t>0.908</w:t>
            </w:r>
          </w:p>
        </w:tc>
      </w:tr>
      <w:tr w:rsidR="00212E14" w:rsidRPr="00F32020" w14:paraId="523658B9" w14:textId="77777777" w:rsidTr="00D314EE">
        <w:trPr>
          <w:trHeight w:val="260"/>
        </w:trPr>
        <w:tc>
          <w:tcPr>
            <w:tcW w:w="3600" w:type="dxa"/>
            <w:shd w:val="clear" w:color="000000" w:fill="FFFFFF"/>
            <w:noWrap/>
            <w:vAlign w:val="bottom"/>
            <w:hideMark/>
          </w:tcPr>
          <w:p w14:paraId="50672FA2"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219B47B3"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5D1A5C71" w14:textId="77777777" w:rsidR="00212E14" w:rsidRPr="00F32020" w:rsidRDefault="00212E14" w:rsidP="00D314EE">
            <w:pPr>
              <w:jc w:val="center"/>
              <w:rPr>
                <w:sz w:val="20"/>
                <w:szCs w:val="20"/>
              </w:rPr>
            </w:pPr>
            <w:r w:rsidRPr="00F32020">
              <w:rPr>
                <w:sz w:val="20"/>
                <w:szCs w:val="20"/>
              </w:rPr>
              <w:t>(0.0982)</w:t>
            </w:r>
          </w:p>
        </w:tc>
        <w:tc>
          <w:tcPr>
            <w:tcW w:w="1600" w:type="dxa"/>
            <w:shd w:val="clear" w:color="000000" w:fill="FFFFFF"/>
            <w:noWrap/>
            <w:vAlign w:val="bottom"/>
            <w:hideMark/>
          </w:tcPr>
          <w:p w14:paraId="575940A7" w14:textId="77777777" w:rsidR="00212E14" w:rsidRPr="00F32020" w:rsidRDefault="00212E14" w:rsidP="00D314EE">
            <w:pPr>
              <w:jc w:val="center"/>
              <w:rPr>
                <w:sz w:val="20"/>
                <w:szCs w:val="20"/>
              </w:rPr>
            </w:pPr>
            <w:r w:rsidRPr="00F32020">
              <w:rPr>
                <w:sz w:val="20"/>
                <w:szCs w:val="20"/>
              </w:rPr>
              <w:t>(0.0965)</w:t>
            </w:r>
          </w:p>
        </w:tc>
        <w:tc>
          <w:tcPr>
            <w:tcW w:w="1560" w:type="dxa"/>
            <w:shd w:val="clear" w:color="000000" w:fill="FFFFFF"/>
            <w:noWrap/>
            <w:vAlign w:val="bottom"/>
            <w:hideMark/>
          </w:tcPr>
          <w:p w14:paraId="16122C33" w14:textId="77777777" w:rsidR="00212E14" w:rsidRPr="00F32020" w:rsidRDefault="00212E14" w:rsidP="00D314EE">
            <w:pPr>
              <w:jc w:val="center"/>
              <w:rPr>
                <w:sz w:val="20"/>
                <w:szCs w:val="20"/>
              </w:rPr>
            </w:pPr>
            <w:r w:rsidRPr="00F32020">
              <w:rPr>
                <w:sz w:val="20"/>
                <w:szCs w:val="20"/>
              </w:rPr>
              <w:t>(0.0960)</w:t>
            </w:r>
          </w:p>
        </w:tc>
      </w:tr>
      <w:tr w:rsidR="00212E14" w:rsidRPr="00F32020" w14:paraId="120815D2" w14:textId="77777777" w:rsidTr="00D314EE">
        <w:trPr>
          <w:trHeight w:val="260"/>
        </w:trPr>
        <w:tc>
          <w:tcPr>
            <w:tcW w:w="3600" w:type="dxa"/>
            <w:shd w:val="clear" w:color="000000" w:fill="FFFFFF"/>
            <w:noWrap/>
            <w:vAlign w:val="bottom"/>
            <w:hideMark/>
          </w:tcPr>
          <w:p w14:paraId="09F693E4" w14:textId="77777777" w:rsidR="00212E14" w:rsidRPr="00F32020" w:rsidRDefault="00212E14" w:rsidP="00D314EE">
            <w:pPr>
              <w:rPr>
                <w:sz w:val="20"/>
                <w:szCs w:val="20"/>
              </w:rPr>
            </w:pPr>
            <w:r w:rsidRPr="00F32020">
              <w:rPr>
                <w:sz w:val="20"/>
                <w:szCs w:val="20"/>
              </w:rPr>
              <w:t>Model invention-based</w:t>
            </w:r>
          </w:p>
        </w:tc>
        <w:tc>
          <w:tcPr>
            <w:tcW w:w="1380" w:type="dxa"/>
            <w:shd w:val="clear" w:color="000000" w:fill="FFFFFF"/>
            <w:noWrap/>
            <w:vAlign w:val="bottom"/>
            <w:hideMark/>
          </w:tcPr>
          <w:p w14:paraId="53944DC5"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7B786464" w14:textId="77777777" w:rsidR="00212E14" w:rsidRPr="00F32020" w:rsidRDefault="00212E14" w:rsidP="00D314EE">
            <w:pPr>
              <w:jc w:val="center"/>
              <w:rPr>
                <w:sz w:val="20"/>
                <w:szCs w:val="20"/>
              </w:rPr>
            </w:pPr>
            <w:r w:rsidRPr="00F32020">
              <w:rPr>
                <w:sz w:val="20"/>
                <w:szCs w:val="20"/>
              </w:rPr>
              <w:t>1.113*</w:t>
            </w:r>
          </w:p>
        </w:tc>
        <w:tc>
          <w:tcPr>
            <w:tcW w:w="1600" w:type="dxa"/>
            <w:shd w:val="clear" w:color="000000" w:fill="FFFFFF"/>
            <w:noWrap/>
            <w:vAlign w:val="bottom"/>
            <w:hideMark/>
          </w:tcPr>
          <w:p w14:paraId="54B04AC3" w14:textId="77777777" w:rsidR="00212E14" w:rsidRPr="00F32020" w:rsidRDefault="00212E14" w:rsidP="00D314EE">
            <w:pPr>
              <w:jc w:val="center"/>
              <w:rPr>
                <w:sz w:val="20"/>
                <w:szCs w:val="20"/>
              </w:rPr>
            </w:pPr>
            <w:r w:rsidRPr="00F32020">
              <w:rPr>
                <w:sz w:val="20"/>
                <w:szCs w:val="20"/>
              </w:rPr>
              <w:t>1.097</w:t>
            </w:r>
          </w:p>
        </w:tc>
        <w:tc>
          <w:tcPr>
            <w:tcW w:w="1560" w:type="dxa"/>
            <w:shd w:val="clear" w:color="000000" w:fill="FFFFFF"/>
            <w:noWrap/>
            <w:vAlign w:val="bottom"/>
            <w:hideMark/>
          </w:tcPr>
          <w:p w14:paraId="0A30ED31" w14:textId="77777777" w:rsidR="00212E14" w:rsidRPr="00F32020" w:rsidRDefault="00212E14" w:rsidP="00D314EE">
            <w:pPr>
              <w:jc w:val="center"/>
              <w:rPr>
                <w:sz w:val="20"/>
                <w:szCs w:val="20"/>
              </w:rPr>
            </w:pPr>
            <w:r w:rsidRPr="00F32020">
              <w:rPr>
                <w:sz w:val="20"/>
                <w:szCs w:val="20"/>
              </w:rPr>
              <w:t>1.116*</w:t>
            </w:r>
          </w:p>
        </w:tc>
      </w:tr>
      <w:tr w:rsidR="00212E14" w:rsidRPr="00F32020" w14:paraId="2E566572" w14:textId="77777777" w:rsidTr="00D314EE">
        <w:trPr>
          <w:trHeight w:val="260"/>
        </w:trPr>
        <w:tc>
          <w:tcPr>
            <w:tcW w:w="3600" w:type="dxa"/>
            <w:shd w:val="clear" w:color="000000" w:fill="FFFFFF"/>
            <w:noWrap/>
            <w:vAlign w:val="bottom"/>
            <w:hideMark/>
          </w:tcPr>
          <w:p w14:paraId="5B39C26C"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51E49EB9"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4AA9F1DA" w14:textId="77777777" w:rsidR="00212E14" w:rsidRPr="00F32020" w:rsidRDefault="00212E14" w:rsidP="00D314EE">
            <w:pPr>
              <w:jc w:val="center"/>
              <w:rPr>
                <w:sz w:val="20"/>
                <w:szCs w:val="20"/>
              </w:rPr>
            </w:pPr>
            <w:r w:rsidRPr="00F32020">
              <w:rPr>
                <w:sz w:val="20"/>
                <w:szCs w:val="20"/>
              </w:rPr>
              <w:t>(0.0725)</w:t>
            </w:r>
          </w:p>
        </w:tc>
        <w:tc>
          <w:tcPr>
            <w:tcW w:w="1600" w:type="dxa"/>
            <w:shd w:val="clear" w:color="000000" w:fill="FFFFFF"/>
            <w:noWrap/>
            <w:vAlign w:val="bottom"/>
            <w:hideMark/>
          </w:tcPr>
          <w:p w14:paraId="74B01F72" w14:textId="77777777" w:rsidR="00212E14" w:rsidRPr="00F32020" w:rsidRDefault="00212E14" w:rsidP="00D314EE">
            <w:pPr>
              <w:jc w:val="center"/>
              <w:rPr>
                <w:sz w:val="20"/>
                <w:szCs w:val="20"/>
              </w:rPr>
            </w:pPr>
            <w:r w:rsidRPr="00F32020">
              <w:rPr>
                <w:sz w:val="20"/>
                <w:szCs w:val="20"/>
              </w:rPr>
              <w:t>(0.0722)</w:t>
            </w:r>
          </w:p>
        </w:tc>
        <w:tc>
          <w:tcPr>
            <w:tcW w:w="1560" w:type="dxa"/>
            <w:shd w:val="clear" w:color="000000" w:fill="FFFFFF"/>
            <w:noWrap/>
            <w:vAlign w:val="bottom"/>
            <w:hideMark/>
          </w:tcPr>
          <w:p w14:paraId="23B33DCB" w14:textId="77777777" w:rsidR="00212E14" w:rsidRPr="00F32020" w:rsidRDefault="00212E14" w:rsidP="00D314EE">
            <w:pPr>
              <w:jc w:val="center"/>
              <w:rPr>
                <w:sz w:val="20"/>
                <w:szCs w:val="20"/>
              </w:rPr>
            </w:pPr>
            <w:r w:rsidRPr="00F32020">
              <w:rPr>
                <w:sz w:val="20"/>
                <w:szCs w:val="20"/>
              </w:rPr>
              <w:t>(0.0745)</w:t>
            </w:r>
          </w:p>
        </w:tc>
      </w:tr>
      <w:tr w:rsidR="00212E14" w:rsidRPr="00F32020" w14:paraId="4028220D" w14:textId="77777777" w:rsidTr="00D314EE">
        <w:trPr>
          <w:trHeight w:val="260"/>
        </w:trPr>
        <w:tc>
          <w:tcPr>
            <w:tcW w:w="3600" w:type="dxa"/>
            <w:shd w:val="clear" w:color="000000" w:fill="FFFFFF"/>
            <w:noWrap/>
            <w:vAlign w:val="bottom"/>
            <w:hideMark/>
          </w:tcPr>
          <w:p w14:paraId="437E91F1" w14:textId="77777777" w:rsidR="00212E14" w:rsidRPr="00F32020" w:rsidRDefault="00212E14" w:rsidP="00D314EE">
            <w:pPr>
              <w:rPr>
                <w:sz w:val="20"/>
                <w:szCs w:val="20"/>
              </w:rPr>
            </w:pPr>
            <w:r w:rsidRPr="00F32020">
              <w:rPr>
                <w:sz w:val="20"/>
                <w:szCs w:val="20"/>
              </w:rPr>
              <w:t>Intellectual Property</w:t>
            </w:r>
          </w:p>
        </w:tc>
        <w:tc>
          <w:tcPr>
            <w:tcW w:w="1380" w:type="dxa"/>
            <w:shd w:val="clear" w:color="000000" w:fill="FFFFFF"/>
            <w:noWrap/>
            <w:vAlign w:val="bottom"/>
            <w:hideMark/>
          </w:tcPr>
          <w:p w14:paraId="69B1A7FC"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5F865BCA" w14:textId="77777777" w:rsidR="00212E14" w:rsidRPr="00F32020" w:rsidRDefault="00212E14" w:rsidP="00D314EE">
            <w:pPr>
              <w:jc w:val="center"/>
              <w:rPr>
                <w:sz w:val="20"/>
                <w:szCs w:val="20"/>
              </w:rPr>
            </w:pPr>
            <w:r w:rsidRPr="00F32020">
              <w:rPr>
                <w:sz w:val="20"/>
                <w:szCs w:val="20"/>
              </w:rPr>
              <w:t>1.019</w:t>
            </w:r>
          </w:p>
        </w:tc>
        <w:tc>
          <w:tcPr>
            <w:tcW w:w="1600" w:type="dxa"/>
            <w:shd w:val="clear" w:color="000000" w:fill="FFFFFF"/>
            <w:noWrap/>
            <w:vAlign w:val="bottom"/>
            <w:hideMark/>
          </w:tcPr>
          <w:p w14:paraId="407C4E24" w14:textId="77777777" w:rsidR="00212E14" w:rsidRPr="00F32020" w:rsidRDefault="00212E14" w:rsidP="00D314EE">
            <w:pPr>
              <w:jc w:val="center"/>
              <w:rPr>
                <w:sz w:val="20"/>
                <w:szCs w:val="20"/>
              </w:rPr>
            </w:pPr>
            <w:r w:rsidRPr="00F32020">
              <w:rPr>
                <w:sz w:val="20"/>
                <w:szCs w:val="20"/>
              </w:rPr>
              <w:t>1.018</w:t>
            </w:r>
          </w:p>
        </w:tc>
        <w:tc>
          <w:tcPr>
            <w:tcW w:w="1560" w:type="dxa"/>
            <w:shd w:val="clear" w:color="000000" w:fill="FFFFFF"/>
            <w:noWrap/>
            <w:vAlign w:val="bottom"/>
            <w:hideMark/>
          </w:tcPr>
          <w:p w14:paraId="7BCE9B48" w14:textId="77777777" w:rsidR="00212E14" w:rsidRPr="00F32020" w:rsidRDefault="00212E14" w:rsidP="00D314EE">
            <w:pPr>
              <w:jc w:val="center"/>
              <w:rPr>
                <w:sz w:val="20"/>
                <w:szCs w:val="20"/>
              </w:rPr>
            </w:pPr>
            <w:r w:rsidRPr="00F32020">
              <w:rPr>
                <w:sz w:val="20"/>
                <w:szCs w:val="20"/>
              </w:rPr>
              <w:t>1.009</w:t>
            </w:r>
          </w:p>
        </w:tc>
      </w:tr>
      <w:tr w:rsidR="00212E14" w:rsidRPr="00F32020" w14:paraId="7D3800F1" w14:textId="77777777" w:rsidTr="00D314EE">
        <w:trPr>
          <w:trHeight w:val="260"/>
        </w:trPr>
        <w:tc>
          <w:tcPr>
            <w:tcW w:w="3600" w:type="dxa"/>
            <w:shd w:val="clear" w:color="000000" w:fill="FFFFFF"/>
            <w:noWrap/>
            <w:vAlign w:val="bottom"/>
            <w:hideMark/>
          </w:tcPr>
          <w:p w14:paraId="5EAF212A"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7F983D4B"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0E745BD0" w14:textId="77777777" w:rsidR="00212E14" w:rsidRPr="00F32020" w:rsidRDefault="00212E14" w:rsidP="00D314EE">
            <w:pPr>
              <w:jc w:val="center"/>
              <w:rPr>
                <w:sz w:val="20"/>
                <w:szCs w:val="20"/>
              </w:rPr>
            </w:pPr>
            <w:r w:rsidRPr="00F32020">
              <w:rPr>
                <w:sz w:val="20"/>
                <w:szCs w:val="20"/>
              </w:rPr>
              <w:t>(0.0654)</w:t>
            </w:r>
          </w:p>
        </w:tc>
        <w:tc>
          <w:tcPr>
            <w:tcW w:w="1600" w:type="dxa"/>
            <w:shd w:val="clear" w:color="000000" w:fill="FFFFFF"/>
            <w:noWrap/>
            <w:vAlign w:val="bottom"/>
            <w:hideMark/>
          </w:tcPr>
          <w:p w14:paraId="20F2EDE4" w14:textId="77777777" w:rsidR="00212E14" w:rsidRPr="00F32020" w:rsidRDefault="00212E14" w:rsidP="00D314EE">
            <w:pPr>
              <w:jc w:val="center"/>
              <w:rPr>
                <w:sz w:val="20"/>
                <w:szCs w:val="20"/>
              </w:rPr>
            </w:pPr>
            <w:r w:rsidRPr="00F32020">
              <w:rPr>
                <w:sz w:val="20"/>
                <w:szCs w:val="20"/>
              </w:rPr>
              <w:t>(0.0662)</w:t>
            </w:r>
          </w:p>
        </w:tc>
        <w:tc>
          <w:tcPr>
            <w:tcW w:w="1560" w:type="dxa"/>
            <w:shd w:val="clear" w:color="000000" w:fill="FFFFFF"/>
            <w:noWrap/>
            <w:vAlign w:val="bottom"/>
            <w:hideMark/>
          </w:tcPr>
          <w:p w14:paraId="229D0791" w14:textId="77777777" w:rsidR="00212E14" w:rsidRPr="00F32020" w:rsidRDefault="00212E14" w:rsidP="00D314EE">
            <w:pPr>
              <w:jc w:val="center"/>
              <w:rPr>
                <w:sz w:val="20"/>
                <w:szCs w:val="20"/>
              </w:rPr>
            </w:pPr>
            <w:r w:rsidRPr="00F32020">
              <w:rPr>
                <w:sz w:val="20"/>
                <w:szCs w:val="20"/>
              </w:rPr>
              <w:t>(0.0665)</w:t>
            </w:r>
          </w:p>
        </w:tc>
      </w:tr>
      <w:tr w:rsidR="00212E14" w:rsidRPr="00F32020" w14:paraId="50399FA3" w14:textId="77777777" w:rsidTr="00D314EE">
        <w:trPr>
          <w:trHeight w:val="260"/>
        </w:trPr>
        <w:tc>
          <w:tcPr>
            <w:tcW w:w="3600" w:type="dxa"/>
            <w:shd w:val="clear" w:color="000000" w:fill="FFFFFF"/>
            <w:noWrap/>
            <w:vAlign w:val="bottom"/>
            <w:hideMark/>
          </w:tcPr>
          <w:p w14:paraId="68891163" w14:textId="77777777" w:rsidR="00212E14" w:rsidRPr="00F32020" w:rsidRDefault="00212E14" w:rsidP="00D314EE">
            <w:pPr>
              <w:rPr>
                <w:sz w:val="20"/>
                <w:szCs w:val="20"/>
              </w:rPr>
            </w:pPr>
            <w:r w:rsidRPr="00F32020">
              <w:rPr>
                <w:sz w:val="20"/>
                <w:szCs w:val="20"/>
              </w:rPr>
              <w:t>Log (Equity since founded)</w:t>
            </w:r>
          </w:p>
        </w:tc>
        <w:tc>
          <w:tcPr>
            <w:tcW w:w="1380" w:type="dxa"/>
            <w:shd w:val="clear" w:color="000000" w:fill="FFFFFF"/>
            <w:noWrap/>
            <w:vAlign w:val="bottom"/>
            <w:hideMark/>
          </w:tcPr>
          <w:p w14:paraId="6D6CFC45"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0916E632" w14:textId="77777777" w:rsidR="00212E14" w:rsidRPr="00F32020" w:rsidRDefault="00212E14" w:rsidP="00D314EE">
            <w:pPr>
              <w:jc w:val="center"/>
              <w:rPr>
                <w:sz w:val="20"/>
                <w:szCs w:val="20"/>
              </w:rPr>
            </w:pPr>
            <w:r w:rsidRPr="00F32020">
              <w:rPr>
                <w:sz w:val="20"/>
                <w:szCs w:val="20"/>
              </w:rPr>
              <w:t>1.066***</w:t>
            </w:r>
          </w:p>
        </w:tc>
        <w:tc>
          <w:tcPr>
            <w:tcW w:w="1600" w:type="dxa"/>
            <w:shd w:val="clear" w:color="000000" w:fill="FFFFFF"/>
            <w:noWrap/>
            <w:vAlign w:val="bottom"/>
            <w:hideMark/>
          </w:tcPr>
          <w:p w14:paraId="4E89BAD8" w14:textId="77777777" w:rsidR="00212E14" w:rsidRPr="00F32020" w:rsidRDefault="00212E14" w:rsidP="00D314EE">
            <w:pPr>
              <w:jc w:val="center"/>
              <w:rPr>
                <w:sz w:val="20"/>
                <w:szCs w:val="20"/>
              </w:rPr>
            </w:pPr>
            <w:r w:rsidRPr="00F32020">
              <w:rPr>
                <w:sz w:val="20"/>
                <w:szCs w:val="20"/>
              </w:rPr>
              <w:t>1.065***</w:t>
            </w:r>
          </w:p>
        </w:tc>
        <w:tc>
          <w:tcPr>
            <w:tcW w:w="1560" w:type="dxa"/>
            <w:shd w:val="clear" w:color="000000" w:fill="FFFFFF"/>
            <w:noWrap/>
            <w:vAlign w:val="bottom"/>
            <w:hideMark/>
          </w:tcPr>
          <w:p w14:paraId="14D1D088" w14:textId="77777777" w:rsidR="00212E14" w:rsidRPr="00F32020" w:rsidRDefault="00212E14" w:rsidP="00D314EE">
            <w:pPr>
              <w:jc w:val="center"/>
              <w:rPr>
                <w:sz w:val="20"/>
                <w:szCs w:val="20"/>
              </w:rPr>
            </w:pPr>
            <w:r w:rsidRPr="00F32020">
              <w:rPr>
                <w:sz w:val="20"/>
                <w:szCs w:val="20"/>
              </w:rPr>
              <w:t>1.064***</w:t>
            </w:r>
          </w:p>
        </w:tc>
      </w:tr>
      <w:tr w:rsidR="00212E14" w:rsidRPr="00F32020" w14:paraId="71293780" w14:textId="77777777" w:rsidTr="00D314EE">
        <w:trPr>
          <w:trHeight w:val="260"/>
        </w:trPr>
        <w:tc>
          <w:tcPr>
            <w:tcW w:w="3600" w:type="dxa"/>
            <w:shd w:val="clear" w:color="000000" w:fill="FFFFFF"/>
            <w:noWrap/>
            <w:vAlign w:val="bottom"/>
            <w:hideMark/>
          </w:tcPr>
          <w:p w14:paraId="4DAE0CD3"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292EE7F9"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078615D3" w14:textId="77777777" w:rsidR="00212E14" w:rsidRPr="00F32020" w:rsidRDefault="00212E14" w:rsidP="00D314EE">
            <w:pPr>
              <w:jc w:val="center"/>
              <w:rPr>
                <w:sz w:val="20"/>
                <w:szCs w:val="20"/>
              </w:rPr>
            </w:pPr>
            <w:r w:rsidRPr="00F32020">
              <w:rPr>
                <w:sz w:val="20"/>
                <w:szCs w:val="20"/>
              </w:rPr>
              <w:t>(0.0078)</w:t>
            </w:r>
          </w:p>
        </w:tc>
        <w:tc>
          <w:tcPr>
            <w:tcW w:w="1600" w:type="dxa"/>
            <w:shd w:val="clear" w:color="000000" w:fill="FFFFFF"/>
            <w:noWrap/>
            <w:vAlign w:val="bottom"/>
            <w:hideMark/>
          </w:tcPr>
          <w:p w14:paraId="3DFFF560" w14:textId="77777777" w:rsidR="00212E14" w:rsidRPr="00F32020" w:rsidRDefault="00212E14" w:rsidP="00D314EE">
            <w:pPr>
              <w:jc w:val="center"/>
              <w:rPr>
                <w:sz w:val="20"/>
                <w:szCs w:val="20"/>
              </w:rPr>
            </w:pPr>
            <w:r w:rsidRPr="00F32020">
              <w:rPr>
                <w:sz w:val="20"/>
                <w:szCs w:val="20"/>
              </w:rPr>
              <w:t>(0.0079)</w:t>
            </w:r>
          </w:p>
        </w:tc>
        <w:tc>
          <w:tcPr>
            <w:tcW w:w="1560" w:type="dxa"/>
            <w:shd w:val="clear" w:color="000000" w:fill="FFFFFF"/>
            <w:noWrap/>
            <w:vAlign w:val="bottom"/>
            <w:hideMark/>
          </w:tcPr>
          <w:p w14:paraId="1F7546C8" w14:textId="77777777" w:rsidR="00212E14" w:rsidRPr="00F32020" w:rsidRDefault="00212E14" w:rsidP="00D314EE">
            <w:pPr>
              <w:jc w:val="center"/>
              <w:rPr>
                <w:sz w:val="20"/>
                <w:szCs w:val="20"/>
              </w:rPr>
            </w:pPr>
            <w:r w:rsidRPr="00F32020">
              <w:rPr>
                <w:sz w:val="20"/>
                <w:szCs w:val="20"/>
              </w:rPr>
              <w:t>(0.0080)</w:t>
            </w:r>
          </w:p>
        </w:tc>
      </w:tr>
      <w:tr w:rsidR="00212E14" w:rsidRPr="00F32020" w14:paraId="4EC420DA" w14:textId="77777777" w:rsidTr="00D314EE">
        <w:trPr>
          <w:trHeight w:val="260"/>
        </w:trPr>
        <w:tc>
          <w:tcPr>
            <w:tcW w:w="3600" w:type="dxa"/>
            <w:shd w:val="clear" w:color="000000" w:fill="FFFFFF"/>
            <w:noWrap/>
            <w:vAlign w:val="bottom"/>
            <w:hideMark/>
          </w:tcPr>
          <w:p w14:paraId="55432954" w14:textId="77777777" w:rsidR="00212E14" w:rsidRPr="00F32020" w:rsidRDefault="00212E14" w:rsidP="00D314EE">
            <w:pPr>
              <w:rPr>
                <w:sz w:val="20"/>
                <w:szCs w:val="20"/>
              </w:rPr>
            </w:pPr>
            <w:r w:rsidRPr="00F32020">
              <w:rPr>
                <w:sz w:val="20"/>
                <w:szCs w:val="20"/>
              </w:rPr>
              <w:t>Reported prior accelerator</w:t>
            </w:r>
          </w:p>
        </w:tc>
        <w:tc>
          <w:tcPr>
            <w:tcW w:w="1380" w:type="dxa"/>
            <w:shd w:val="clear" w:color="000000" w:fill="FFFFFF"/>
            <w:noWrap/>
            <w:vAlign w:val="bottom"/>
            <w:hideMark/>
          </w:tcPr>
          <w:p w14:paraId="0C9550DD"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574BDD7D"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147CEEE3" w14:textId="77777777" w:rsidR="00212E14" w:rsidRPr="00F32020" w:rsidRDefault="00212E14" w:rsidP="00D314EE">
            <w:pPr>
              <w:jc w:val="center"/>
              <w:rPr>
                <w:sz w:val="20"/>
                <w:szCs w:val="20"/>
              </w:rPr>
            </w:pPr>
            <w:r w:rsidRPr="00F32020">
              <w:rPr>
                <w:sz w:val="20"/>
                <w:szCs w:val="20"/>
              </w:rPr>
              <w:t>1.261***</w:t>
            </w:r>
          </w:p>
        </w:tc>
        <w:tc>
          <w:tcPr>
            <w:tcW w:w="1560" w:type="dxa"/>
            <w:shd w:val="clear" w:color="000000" w:fill="FFFFFF"/>
            <w:noWrap/>
            <w:vAlign w:val="bottom"/>
            <w:hideMark/>
          </w:tcPr>
          <w:p w14:paraId="17E53237" w14:textId="77777777" w:rsidR="00212E14" w:rsidRPr="00F32020" w:rsidRDefault="00212E14" w:rsidP="00D314EE">
            <w:pPr>
              <w:jc w:val="center"/>
              <w:rPr>
                <w:sz w:val="20"/>
                <w:szCs w:val="20"/>
              </w:rPr>
            </w:pPr>
            <w:r w:rsidRPr="00F32020">
              <w:rPr>
                <w:sz w:val="20"/>
                <w:szCs w:val="20"/>
              </w:rPr>
              <w:t>1.260***</w:t>
            </w:r>
          </w:p>
        </w:tc>
      </w:tr>
      <w:tr w:rsidR="00212E14" w:rsidRPr="00F32020" w14:paraId="50E7D1CB" w14:textId="77777777" w:rsidTr="00D314EE">
        <w:trPr>
          <w:trHeight w:val="260"/>
        </w:trPr>
        <w:tc>
          <w:tcPr>
            <w:tcW w:w="3600" w:type="dxa"/>
            <w:shd w:val="clear" w:color="000000" w:fill="FFFFFF"/>
            <w:noWrap/>
            <w:vAlign w:val="bottom"/>
            <w:hideMark/>
          </w:tcPr>
          <w:p w14:paraId="552D1FDD"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3F2C44DD"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205ABB7D"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53D75EC9" w14:textId="77777777" w:rsidR="00212E14" w:rsidRPr="00F32020" w:rsidRDefault="00212E14" w:rsidP="00D314EE">
            <w:pPr>
              <w:jc w:val="center"/>
              <w:rPr>
                <w:sz w:val="20"/>
                <w:szCs w:val="20"/>
              </w:rPr>
            </w:pPr>
            <w:r w:rsidRPr="00F32020">
              <w:rPr>
                <w:sz w:val="20"/>
                <w:szCs w:val="20"/>
              </w:rPr>
              <w:t>(0.0841)</w:t>
            </w:r>
          </w:p>
        </w:tc>
        <w:tc>
          <w:tcPr>
            <w:tcW w:w="1560" w:type="dxa"/>
            <w:shd w:val="clear" w:color="000000" w:fill="FFFFFF"/>
            <w:noWrap/>
            <w:vAlign w:val="bottom"/>
            <w:hideMark/>
          </w:tcPr>
          <w:p w14:paraId="085C1D97" w14:textId="77777777" w:rsidR="00212E14" w:rsidRPr="00F32020" w:rsidRDefault="00212E14" w:rsidP="00D314EE">
            <w:pPr>
              <w:jc w:val="center"/>
              <w:rPr>
                <w:sz w:val="20"/>
                <w:szCs w:val="20"/>
              </w:rPr>
            </w:pPr>
            <w:r w:rsidRPr="00F32020">
              <w:rPr>
                <w:sz w:val="20"/>
                <w:szCs w:val="20"/>
              </w:rPr>
              <w:t>(0.0850)</w:t>
            </w:r>
          </w:p>
        </w:tc>
      </w:tr>
      <w:tr w:rsidR="00212E14" w:rsidRPr="00F32020" w14:paraId="0189D16B" w14:textId="77777777" w:rsidTr="00D314EE">
        <w:trPr>
          <w:trHeight w:val="260"/>
        </w:trPr>
        <w:tc>
          <w:tcPr>
            <w:tcW w:w="3600" w:type="dxa"/>
            <w:shd w:val="clear" w:color="000000" w:fill="FFFFFF"/>
            <w:noWrap/>
            <w:vAlign w:val="bottom"/>
            <w:hideMark/>
          </w:tcPr>
          <w:p w14:paraId="68682B77" w14:textId="77777777" w:rsidR="00212E14" w:rsidRPr="00F32020" w:rsidRDefault="00212E14" w:rsidP="00D314EE">
            <w:pPr>
              <w:rPr>
                <w:sz w:val="20"/>
                <w:szCs w:val="20"/>
              </w:rPr>
            </w:pPr>
            <w:r w:rsidRPr="00F32020">
              <w:rPr>
                <w:sz w:val="20"/>
                <w:szCs w:val="20"/>
              </w:rPr>
              <w:t>Founders’ founding experience</w:t>
            </w:r>
          </w:p>
        </w:tc>
        <w:tc>
          <w:tcPr>
            <w:tcW w:w="1380" w:type="dxa"/>
            <w:shd w:val="clear" w:color="000000" w:fill="FFFFFF"/>
            <w:noWrap/>
            <w:vAlign w:val="bottom"/>
            <w:hideMark/>
          </w:tcPr>
          <w:p w14:paraId="7F586272"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7CC5B708"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480BA56B" w14:textId="77777777" w:rsidR="00212E14" w:rsidRPr="00F32020" w:rsidRDefault="00212E14" w:rsidP="00D314EE">
            <w:pPr>
              <w:jc w:val="center"/>
              <w:rPr>
                <w:sz w:val="20"/>
                <w:szCs w:val="20"/>
              </w:rPr>
            </w:pPr>
            <w:r w:rsidRPr="00F32020">
              <w:rPr>
                <w:sz w:val="20"/>
                <w:szCs w:val="20"/>
              </w:rPr>
              <w:t>0.943</w:t>
            </w:r>
          </w:p>
        </w:tc>
        <w:tc>
          <w:tcPr>
            <w:tcW w:w="1560" w:type="dxa"/>
            <w:shd w:val="clear" w:color="000000" w:fill="FFFFFF"/>
            <w:noWrap/>
            <w:vAlign w:val="bottom"/>
            <w:hideMark/>
          </w:tcPr>
          <w:p w14:paraId="01D5C8ED" w14:textId="77777777" w:rsidR="00212E14" w:rsidRPr="00F32020" w:rsidRDefault="00212E14" w:rsidP="00D314EE">
            <w:pPr>
              <w:jc w:val="center"/>
              <w:rPr>
                <w:sz w:val="20"/>
                <w:szCs w:val="20"/>
              </w:rPr>
            </w:pPr>
            <w:r w:rsidRPr="00F32020">
              <w:rPr>
                <w:sz w:val="20"/>
                <w:szCs w:val="20"/>
              </w:rPr>
              <w:t>0.944</w:t>
            </w:r>
          </w:p>
        </w:tc>
      </w:tr>
      <w:tr w:rsidR="00212E14" w:rsidRPr="00F32020" w14:paraId="1494D322" w14:textId="77777777" w:rsidTr="00D314EE">
        <w:trPr>
          <w:trHeight w:val="260"/>
        </w:trPr>
        <w:tc>
          <w:tcPr>
            <w:tcW w:w="3600" w:type="dxa"/>
            <w:shd w:val="clear" w:color="000000" w:fill="FFFFFF"/>
            <w:noWrap/>
            <w:vAlign w:val="bottom"/>
            <w:hideMark/>
          </w:tcPr>
          <w:p w14:paraId="1F339485"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18D587F5"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52CD79F0"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2FCBC9A9" w14:textId="77777777" w:rsidR="00212E14" w:rsidRPr="00F32020" w:rsidRDefault="00212E14" w:rsidP="00D314EE">
            <w:pPr>
              <w:jc w:val="center"/>
              <w:rPr>
                <w:sz w:val="20"/>
                <w:szCs w:val="20"/>
              </w:rPr>
            </w:pPr>
            <w:r w:rsidRPr="00F32020">
              <w:rPr>
                <w:sz w:val="20"/>
                <w:szCs w:val="20"/>
              </w:rPr>
              <w:t>(0.0641)</w:t>
            </w:r>
          </w:p>
        </w:tc>
        <w:tc>
          <w:tcPr>
            <w:tcW w:w="1560" w:type="dxa"/>
            <w:shd w:val="clear" w:color="000000" w:fill="FFFFFF"/>
            <w:noWrap/>
            <w:vAlign w:val="bottom"/>
            <w:hideMark/>
          </w:tcPr>
          <w:p w14:paraId="380435E8" w14:textId="77777777" w:rsidR="00212E14" w:rsidRPr="00F32020" w:rsidRDefault="00212E14" w:rsidP="00D314EE">
            <w:pPr>
              <w:jc w:val="center"/>
              <w:rPr>
                <w:sz w:val="20"/>
                <w:szCs w:val="20"/>
              </w:rPr>
            </w:pPr>
            <w:r w:rsidRPr="00F32020">
              <w:rPr>
                <w:sz w:val="20"/>
                <w:szCs w:val="20"/>
              </w:rPr>
              <w:t>(0.0648)</w:t>
            </w:r>
          </w:p>
        </w:tc>
      </w:tr>
      <w:tr w:rsidR="00212E14" w:rsidRPr="00F32020" w14:paraId="55C8E98F" w14:textId="77777777" w:rsidTr="00D314EE">
        <w:trPr>
          <w:trHeight w:val="260"/>
        </w:trPr>
        <w:tc>
          <w:tcPr>
            <w:tcW w:w="3600" w:type="dxa"/>
            <w:shd w:val="clear" w:color="000000" w:fill="FFFFFF"/>
            <w:noWrap/>
            <w:vAlign w:val="bottom"/>
            <w:hideMark/>
          </w:tcPr>
          <w:p w14:paraId="2C748EA1" w14:textId="77777777" w:rsidR="00212E14" w:rsidRPr="00F32020" w:rsidRDefault="00212E14" w:rsidP="00D314EE">
            <w:pPr>
              <w:rPr>
                <w:sz w:val="20"/>
                <w:szCs w:val="20"/>
              </w:rPr>
            </w:pPr>
            <w:r w:rsidRPr="00F32020">
              <w:rPr>
                <w:sz w:val="20"/>
                <w:szCs w:val="20"/>
              </w:rPr>
              <w:t>Founders’ education</w:t>
            </w:r>
          </w:p>
        </w:tc>
        <w:tc>
          <w:tcPr>
            <w:tcW w:w="1380" w:type="dxa"/>
            <w:shd w:val="clear" w:color="000000" w:fill="FFFFFF"/>
            <w:noWrap/>
            <w:vAlign w:val="bottom"/>
            <w:hideMark/>
          </w:tcPr>
          <w:p w14:paraId="0E9070B6"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5640AEC3"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0A7D54F8" w14:textId="77777777" w:rsidR="00212E14" w:rsidRPr="00F32020" w:rsidRDefault="00212E14" w:rsidP="00D314EE">
            <w:pPr>
              <w:jc w:val="center"/>
              <w:rPr>
                <w:sz w:val="20"/>
                <w:szCs w:val="20"/>
              </w:rPr>
            </w:pPr>
            <w:r w:rsidRPr="00F32020">
              <w:rPr>
                <w:sz w:val="20"/>
                <w:szCs w:val="20"/>
              </w:rPr>
              <w:t>1.179***</w:t>
            </w:r>
          </w:p>
        </w:tc>
        <w:tc>
          <w:tcPr>
            <w:tcW w:w="1560" w:type="dxa"/>
            <w:shd w:val="clear" w:color="000000" w:fill="FFFFFF"/>
            <w:noWrap/>
            <w:vAlign w:val="bottom"/>
            <w:hideMark/>
          </w:tcPr>
          <w:p w14:paraId="053177AD" w14:textId="77777777" w:rsidR="00212E14" w:rsidRPr="00F32020" w:rsidRDefault="00212E14" w:rsidP="00D314EE">
            <w:pPr>
              <w:jc w:val="center"/>
              <w:rPr>
                <w:sz w:val="20"/>
                <w:szCs w:val="20"/>
              </w:rPr>
            </w:pPr>
            <w:r w:rsidRPr="00F32020">
              <w:rPr>
                <w:sz w:val="20"/>
                <w:szCs w:val="20"/>
              </w:rPr>
              <w:t>1.173***</w:t>
            </w:r>
          </w:p>
        </w:tc>
      </w:tr>
      <w:tr w:rsidR="00212E14" w:rsidRPr="00F32020" w14:paraId="2E2980B3" w14:textId="77777777" w:rsidTr="00D314EE">
        <w:trPr>
          <w:trHeight w:val="260"/>
        </w:trPr>
        <w:tc>
          <w:tcPr>
            <w:tcW w:w="3600" w:type="dxa"/>
            <w:shd w:val="clear" w:color="000000" w:fill="FFFFFF"/>
            <w:noWrap/>
            <w:vAlign w:val="bottom"/>
            <w:hideMark/>
          </w:tcPr>
          <w:p w14:paraId="17B4F841"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14A49F45"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0A7EE2C0"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40CD9A92" w14:textId="77777777" w:rsidR="00212E14" w:rsidRPr="00F32020" w:rsidRDefault="00212E14" w:rsidP="00D314EE">
            <w:pPr>
              <w:jc w:val="center"/>
              <w:rPr>
                <w:sz w:val="20"/>
                <w:szCs w:val="20"/>
              </w:rPr>
            </w:pPr>
            <w:r w:rsidRPr="00F32020">
              <w:rPr>
                <w:sz w:val="20"/>
                <w:szCs w:val="20"/>
              </w:rPr>
              <w:t>(0.0481)</w:t>
            </w:r>
          </w:p>
        </w:tc>
        <w:tc>
          <w:tcPr>
            <w:tcW w:w="1560" w:type="dxa"/>
            <w:shd w:val="clear" w:color="000000" w:fill="FFFFFF"/>
            <w:noWrap/>
            <w:vAlign w:val="bottom"/>
            <w:hideMark/>
          </w:tcPr>
          <w:p w14:paraId="2AAF9D12" w14:textId="77777777" w:rsidR="00212E14" w:rsidRPr="00F32020" w:rsidRDefault="00212E14" w:rsidP="00D314EE">
            <w:pPr>
              <w:jc w:val="center"/>
              <w:rPr>
                <w:sz w:val="20"/>
                <w:szCs w:val="20"/>
              </w:rPr>
            </w:pPr>
            <w:r w:rsidRPr="00F32020">
              <w:rPr>
                <w:sz w:val="20"/>
                <w:szCs w:val="20"/>
              </w:rPr>
              <w:t>(0.0483)</w:t>
            </w:r>
          </w:p>
        </w:tc>
      </w:tr>
      <w:tr w:rsidR="00212E14" w:rsidRPr="00F32020" w14:paraId="2C474417" w14:textId="77777777" w:rsidTr="00D314EE">
        <w:trPr>
          <w:trHeight w:val="260"/>
        </w:trPr>
        <w:tc>
          <w:tcPr>
            <w:tcW w:w="3600" w:type="dxa"/>
            <w:shd w:val="clear" w:color="000000" w:fill="FFFFFF"/>
            <w:noWrap/>
            <w:vAlign w:val="bottom"/>
          </w:tcPr>
          <w:p w14:paraId="093B1F9C" w14:textId="77777777" w:rsidR="00212E14" w:rsidRPr="00F32020" w:rsidRDefault="00212E14" w:rsidP="00D314EE">
            <w:pPr>
              <w:rPr>
                <w:sz w:val="20"/>
                <w:szCs w:val="20"/>
              </w:rPr>
            </w:pPr>
            <w:r w:rsidRPr="00F32020">
              <w:rPr>
                <w:sz w:val="20"/>
                <w:szCs w:val="20"/>
              </w:rPr>
              <w:t>Founders’ age</w:t>
            </w:r>
          </w:p>
        </w:tc>
        <w:tc>
          <w:tcPr>
            <w:tcW w:w="1380" w:type="dxa"/>
            <w:shd w:val="clear" w:color="000000" w:fill="FFFFFF"/>
            <w:noWrap/>
            <w:vAlign w:val="bottom"/>
          </w:tcPr>
          <w:p w14:paraId="3C384936"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tcPr>
          <w:p w14:paraId="565D7688"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tcPr>
          <w:p w14:paraId="5A99180C" w14:textId="77777777" w:rsidR="00212E14" w:rsidRPr="00F32020" w:rsidRDefault="00212E14" w:rsidP="00D314EE">
            <w:pPr>
              <w:jc w:val="center"/>
              <w:rPr>
                <w:sz w:val="20"/>
                <w:szCs w:val="20"/>
              </w:rPr>
            </w:pPr>
            <w:r w:rsidRPr="00F32020">
              <w:rPr>
                <w:sz w:val="20"/>
                <w:szCs w:val="20"/>
              </w:rPr>
              <w:t>0.990***</w:t>
            </w:r>
          </w:p>
        </w:tc>
        <w:tc>
          <w:tcPr>
            <w:tcW w:w="1560" w:type="dxa"/>
            <w:shd w:val="clear" w:color="000000" w:fill="FFFFFF"/>
            <w:noWrap/>
            <w:vAlign w:val="bottom"/>
          </w:tcPr>
          <w:p w14:paraId="3E3C59A1" w14:textId="77777777" w:rsidR="00212E14" w:rsidRPr="00F32020" w:rsidRDefault="00212E14" w:rsidP="00D314EE">
            <w:pPr>
              <w:jc w:val="center"/>
              <w:rPr>
                <w:sz w:val="20"/>
                <w:szCs w:val="20"/>
              </w:rPr>
            </w:pPr>
            <w:r w:rsidRPr="00F32020">
              <w:rPr>
                <w:sz w:val="20"/>
                <w:szCs w:val="20"/>
              </w:rPr>
              <w:t>0.989***</w:t>
            </w:r>
          </w:p>
        </w:tc>
      </w:tr>
      <w:tr w:rsidR="00212E14" w:rsidRPr="00F32020" w14:paraId="5446440F" w14:textId="77777777" w:rsidTr="00D314EE">
        <w:trPr>
          <w:trHeight w:val="260"/>
        </w:trPr>
        <w:tc>
          <w:tcPr>
            <w:tcW w:w="3600" w:type="dxa"/>
            <w:shd w:val="clear" w:color="000000" w:fill="FFFFFF"/>
            <w:noWrap/>
            <w:vAlign w:val="bottom"/>
          </w:tcPr>
          <w:p w14:paraId="450BEE96"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tcPr>
          <w:p w14:paraId="75CCCE39"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tcPr>
          <w:p w14:paraId="4D1069D3"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tcPr>
          <w:p w14:paraId="09B8AD15" w14:textId="77777777" w:rsidR="00212E14" w:rsidRPr="00F32020" w:rsidRDefault="00212E14" w:rsidP="00D314EE">
            <w:pPr>
              <w:jc w:val="center"/>
              <w:rPr>
                <w:sz w:val="20"/>
                <w:szCs w:val="20"/>
              </w:rPr>
            </w:pPr>
            <w:r w:rsidRPr="00F32020">
              <w:rPr>
                <w:sz w:val="20"/>
                <w:szCs w:val="20"/>
              </w:rPr>
              <w:t>(0.0037)</w:t>
            </w:r>
          </w:p>
        </w:tc>
        <w:tc>
          <w:tcPr>
            <w:tcW w:w="1560" w:type="dxa"/>
            <w:shd w:val="clear" w:color="000000" w:fill="FFFFFF"/>
            <w:noWrap/>
            <w:vAlign w:val="bottom"/>
          </w:tcPr>
          <w:p w14:paraId="0CD4A18D" w14:textId="77777777" w:rsidR="00212E14" w:rsidRPr="00F32020" w:rsidRDefault="00212E14" w:rsidP="00D314EE">
            <w:pPr>
              <w:jc w:val="center"/>
              <w:rPr>
                <w:sz w:val="20"/>
                <w:szCs w:val="20"/>
              </w:rPr>
            </w:pPr>
            <w:r w:rsidRPr="00F32020">
              <w:rPr>
                <w:sz w:val="20"/>
                <w:szCs w:val="20"/>
              </w:rPr>
              <w:t>(0.0037)</w:t>
            </w:r>
          </w:p>
        </w:tc>
      </w:tr>
      <w:tr w:rsidR="00212E14" w:rsidRPr="00F32020" w14:paraId="7ADDAA65" w14:textId="77777777" w:rsidTr="00D314EE">
        <w:trPr>
          <w:trHeight w:val="260"/>
        </w:trPr>
        <w:tc>
          <w:tcPr>
            <w:tcW w:w="3600" w:type="dxa"/>
            <w:shd w:val="clear" w:color="000000" w:fill="FFFFFF"/>
            <w:noWrap/>
            <w:vAlign w:val="bottom"/>
          </w:tcPr>
          <w:p w14:paraId="26ADE93D" w14:textId="77777777" w:rsidR="00212E14" w:rsidRPr="00F32020" w:rsidRDefault="00212E14" w:rsidP="00D314EE">
            <w:pPr>
              <w:rPr>
                <w:sz w:val="20"/>
                <w:szCs w:val="20"/>
              </w:rPr>
            </w:pPr>
            <w:r w:rsidRPr="00F32020">
              <w:rPr>
                <w:sz w:val="20"/>
                <w:szCs w:val="20"/>
              </w:rPr>
              <w:t>% of females in founding team</w:t>
            </w:r>
          </w:p>
        </w:tc>
        <w:tc>
          <w:tcPr>
            <w:tcW w:w="1380" w:type="dxa"/>
            <w:shd w:val="clear" w:color="000000" w:fill="FFFFFF"/>
            <w:noWrap/>
            <w:vAlign w:val="bottom"/>
          </w:tcPr>
          <w:p w14:paraId="78D99150"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tcPr>
          <w:p w14:paraId="4DA8A731"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tcPr>
          <w:p w14:paraId="5A22E9D3" w14:textId="77777777" w:rsidR="00212E14" w:rsidRPr="00F32020" w:rsidRDefault="00212E14" w:rsidP="00D314EE">
            <w:pPr>
              <w:jc w:val="center"/>
              <w:rPr>
                <w:sz w:val="20"/>
                <w:szCs w:val="20"/>
              </w:rPr>
            </w:pPr>
            <w:r w:rsidRPr="00F32020">
              <w:rPr>
                <w:sz w:val="20"/>
                <w:szCs w:val="20"/>
              </w:rPr>
              <w:t>1.283***</w:t>
            </w:r>
          </w:p>
        </w:tc>
        <w:tc>
          <w:tcPr>
            <w:tcW w:w="1560" w:type="dxa"/>
            <w:shd w:val="clear" w:color="000000" w:fill="FFFFFF"/>
            <w:noWrap/>
            <w:vAlign w:val="bottom"/>
          </w:tcPr>
          <w:p w14:paraId="08713A7E" w14:textId="77777777" w:rsidR="00212E14" w:rsidRPr="00F32020" w:rsidRDefault="00212E14" w:rsidP="00D314EE">
            <w:pPr>
              <w:jc w:val="center"/>
              <w:rPr>
                <w:sz w:val="20"/>
                <w:szCs w:val="20"/>
              </w:rPr>
            </w:pPr>
            <w:r w:rsidRPr="00F32020">
              <w:rPr>
                <w:sz w:val="20"/>
                <w:szCs w:val="20"/>
              </w:rPr>
              <w:t>1.278***</w:t>
            </w:r>
          </w:p>
        </w:tc>
      </w:tr>
      <w:tr w:rsidR="00212E14" w:rsidRPr="00F32020" w14:paraId="5903E3FB" w14:textId="77777777" w:rsidTr="00D314EE">
        <w:trPr>
          <w:trHeight w:val="260"/>
        </w:trPr>
        <w:tc>
          <w:tcPr>
            <w:tcW w:w="3600" w:type="dxa"/>
            <w:shd w:val="clear" w:color="000000" w:fill="FFFFFF"/>
            <w:noWrap/>
            <w:vAlign w:val="bottom"/>
          </w:tcPr>
          <w:p w14:paraId="24DECE7E"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tcPr>
          <w:p w14:paraId="12A47D89"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tcPr>
          <w:p w14:paraId="4B70A85E"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tcPr>
          <w:p w14:paraId="3BF7EF72" w14:textId="77777777" w:rsidR="00212E14" w:rsidRPr="00F32020" w:rsidRDefault="00212E14" w:rsidP="00D314EE">
            <w:pPr>
              <w:jc w:val="center"/>
              <w:rPr>
                <w:sz w:val="20"/>
                <w:szCs w:val="20"/>
              </w:rPr>
            </w:pPr>
            <w:r w:rsidRPr="00F32020">
              <w:rPr>
                <w:sz w:val="20"/>
                <w:szCs w:val="20"/>
              </w:rPr>
              <w:t>(0.1140)</w:t>
            </w:r>
          </w:p>
        </w:tc>
        <w:tc>
          <w:tcPr>
            <w:tcW w:w="1560" w:type="dxa"/>
            <w:shd w:val="clear" w:color="000000" w:fill="FFFFFF"/>
            <w:noWrap/>
            <w:vAlign w:val="bottom"/>
          </w:tcPr>
          <w:p w14:paraId="31A9C554" w14:textId="77777777" w:rsidR="00212E14" w:rsidRPr="00F32020" w:rsidRDefault="00212E14" w:rsidP="00D314EE">
            <w:pPr>
              <w:jc w:val="center"/>
              <w:rPr>
                <w:sz w:val="20"/>
                <w:szCs w:val="20"/>
              </w:rPr>
            </w:pPr>
            <w:r w:rsidRPr="00F32020">
              <w:rPr>
                <w:sz w:val="20"/>
                <w:szCs w:val="20"/>
              </w:rPr>
              <w:t>(0.1140)</w:t>
            </w:r>
          </w:p>
        </w:tc>
      </w:tr>
      <w:tr w:rsidR="00212E14" w:rsidRPr="00F32020" w14:paraId="5ED1DD95" w14:textId="77777777" w:rsidTr="00D314EE">
        <w:trPr>
          <w:trHeight w:val="260"/>
        </w:trPr>
        <w:tc>
          <w:tcPr>
            <w:tcW w:w="3600" w:type="dxa"/>
            <w:shd w:val="clear" w:color="000000" w:fill="FFFFFF"/>
            <w:noWrap/>
            <w:vAlign w:val="bottom"/>
            <w:hideMark/>
          </w:tcPr>
          <w:p w14:paraId="054E046E" w14:textId="77777777" w:rsidR="00212E14" w:rsidRPr="00F32020" w:rsidRDefault="00212E14" w:rsidP="00D314EE">
            <w:pPr>
              <w:rPr>
                <w:sz w:val="20"/>
                <w:szCs w:val="20"/>
              </w:rPr>
            </w:pPr>
            <w:r w:rsidRPr="00F32020">
              <w:rPr>
                <w:sz w:val="20"/>
                <w:szCs w:val="20"/>
              </w:rPr>
              <w:t>GDP Growth</w:t>
            </w:r>
          </w:p>
        </w:tc>
        <w:tc>
          <w:tcPr>
            <w:tcW w:w="1380" w:type="dxa"/>
            <w:shd w:val="clear" w:color="000000" w:fill="FFFFFF"/>
            <w:noWrap/>
            <w:vAlign w:val="bottom"/>
            <w:hideMark/>
          </w:tcPr>
          <w:p w14:paraId="1D0CA730"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09768AE6"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23BB3E59" w14:textId="77777777" w:rsidR="00212E14" w:rsidRPr="00F32020" w:rsidRDefault="00212E14" w:rsidP="00D314EE">
            <w:pPr>
              <w:jc w:val="center"/>
              <w:rPr>
                <w:sz w:val="20"/>
                <w:szCs w:val="20"/>
              </w:rPr>
            </w:pPr>
            <w:r w:rsidRPr="00F32020">
              <w:rPr>
                <w:sz w:val="20"/>
                <w:szCs w:val="20"/>
              </w:rPr>
              <w:t> </w:t>
            </w:r>
          </w:p>
        </w:tc>
        <w:tc>
          <w:tcPr>
            <w:tcW w:w="1560" w:type="dxa"/>
            <w:shd w:val="clear" w:color="000000" w:fill="FFFFFF"/>
            <w:noWrap/>
            <w:vAlign w:val="bottom"/>
            <w:hideMark/>
          </w:tcPr>
          <w:p w14:paraId="615396ED" w14:textId="77777777" w:rsidR="00212E14" w:rsidRPr="00F32020" w:rsidRDefault="00212E14" w:rsidP="00D314EE">
            <w:pPr>
              <w:jc w:val="center"/>
              <w:rPr>
                <w:sz w:val="20"/>
                <w:szCs w:val="20"/>
              </w:rPr>
            </w:pPr>
            <w:r w:rsidRPr="00F32020">
              <w:rPr>
                <w:sz w:val="20"/>
                <w:szCs w:val="20"/>
              </w:rPr>
              <w:t>1.012</w:t>
            </w:r>
          </w:p>
        </w:tc>
      </w:tr>
      <w:tr w:rsidR="00212E14" w:rsidRPr="00F32020" w14:paraId="650CB9BB" w14:textId="77777777" w:rsidTr="00D314EE">
        <w:trPr>
          <w:trHeight w:val="260"/>
        </w:trPr>
        <w:tc>
          <w:tcPr>
            <w:tcW w:w="3600" w:type="dxa"/>
            <w:shd w:val="clear" w:color="000000" w:fill="FFFFFF"/>
            <w:noWrap/>
            <w:vAlign w:val="bottom"/>
            <w:hideMark/>
          </w:tcPr>
          <w:p w14:paraId="342E9504"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7A1785E7"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7378EBBF"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00F8EFE8" w14:textId="77777777" w:rsidR="00212E14" w:rsidRPr="00F32020" w:rsidRDefault="00212E14" w:rsidP="00D314EE">
            <w:pPr>
              <w:jc w:val="center"/>
              <w:rPr>
                <w:sz w:val="20"/>
                <w:szCs w:val="20"/>
              </w:rPr>
            </w:pPr>
            <w:r w:rsidRPr="00F32020">
              <w:rPr>
                <w:sz w:val="20"/>
                <w:szCs w:val="20"/>
              </w:rPr>
              <w:t> </w:t>
            </w:r>
          </w:p>
        </w:tc>
        <w:tc>
          <w:tcPr>
            <w:tcW w:w="1560" w:type="dxa"/>
            <w:shd w:val="clear" w:color="000000" w:fill="FFFFFF"/>
            <w:noWrap/>
            <w:vAlign w:val="bottom"/>
            <w:hideMark/>
          </w:tcPr>
          <w:p w14:paraId="691851F3" w14:textId="77777777" w:rsidR="00212E14" w:rsidRPr="00F32020" w:rsidRDefault="00212E14" w:rsidP="00D314EE">
            <w:pPr>
              <w:jc w:val="center"/>
              <w:rPr>
                <w:sz w:val="20"/>
                <w:szCs w:val="20"/>
              </w:rPr>
            </w:pPr>
            <w:r w:rsidRPr="00F32020">
              <w:rPr>
                <w:sz w:val="20"/>
                <w:szCs w:val="20"/>
              </w:rPr>
              <w:t>(0.0323)</w:t>
            </w:r>
          </w:p>
        </w:tc>
      </w:tr>
      <w:tr w:rsidR="00212E14" w:rsidRPr="00F32020" w14:paraId="55FF0E20" w14:textId="77777777" w:rsidTr="00D314EE">
        <w:trPr>
          <w:trHeight w:val="43"/>
        </w:trPr>
        <w:tc>
          <w:tcPr>
            <w:tcW w:w="3600" w:type="dxa"/>
            <w:shd w:val="clear" w:color="000000" w:fill="FFFFFF"/>
            <w:noWrap/>
            <w:vAlign w:val="bottom"/>
            <w:hideMark/>
          </w:tcPr>
          <w:p w14:paraId="343E3A2A" w14:textId="77777777" w:rsidR="00212E14" w:rsidRPr="00F32020" w:rsidRDefault="00212E14" w:rsidP="00D314EE">
            <w:pPr>
              <w:rPr>
                <w:sz w:val="20"/>
                <w:szCs w:val="20"/>
              </w:rPr>
            </w:pPr>
            <w:r w:rsidRPr="00F32020">
              <w:rPr>
                <w:sz w:val="20"/>
                <w:szCs w:val="20"/>
              </w:rPr>
              <w:t>Inflation</w:t>
            </w:r>
          </w:p>
        </w:tc>
        <w:tc>
          <w:tcPr>
            <w:tcW w:w="1380" w:type="dxa"/>
            <w:shd w:val="clear" w:color="000000" w:fill="FFFFFF"/>
            <w:noWrap/>
            <w:vAlign w:val="bottom"/>
            <w:hideMark/>
          </w:tcPr>
          <w:p w14:paraId="524A2111"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00E371C8"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3090A8A6" w14:textId="77777777" w:rsidR="00212E14" w:rsidRPr="00F32020" w:rsidRDefault="00212E14" w:rsidP="00D314EE">
            <w:pPr>
              <w:jc w:val="center"/>
              <w:rPr>
                <w:sz w:val="20"/>
                <w:szCs w:val="20"/>
              </w:rPr>
            </w:pPr>
            <w:r w:rsidRPr="00F32020">
              <w:rPr>
                <w:sz w:val="20"/>
                <w:szCs w:val="20"/>
              </w:rPr>
              <w:t> </w:t>
            </w:r>
          </w:p>
        </w:tc>
        <w:tc>
          <w:tcPr>
            <w:tcW w:w="1560" w:type="dxa"/>
            <w:shd w:val="clear" w:color="000000" w:fill="FFFFFF"/>
            <w:noWrap/>
            <w:vAlign w:val="bottom"/>
            <w:hideMark/>
          </w:tcPr>
          <w:p w14:paraId="38A2BB7A" w14:textId="77777777" w:rsidR="00212E14" w:rsidRPr="00F32020" w:rsidRDefault="00212E14" w:rsidP="00D314EE">
            <w:pPr>
              <w:jc w:val="center"/>
              <w:rPr>
                <w:sz w:val="20"/>
                <w:szCs w:val="20"/>
              </w:rPr>
            </w:pPr>
            <w:r w:rsidRPr="00F32020">
              <w:rPr>
                <w:sz w:val="20"/>
                <w:szCs w:val="20"/>
              </w:rPr>
              <w:t>0.957**</w:t>
            </w:r>
          </w:p>
        </w:tc>
      </w:tr>
      <w:tr w:rsidR="00212E14" w:rsidRPr="00F32020" w14:paraId="1164C073" w14:textId="77777777" w:rsidTr="00D314EE">
        <w:trPr>
          <w:trHeight w:val="260"/>
        </w:trPr>
        <w:tc>
          <w:tcPr>
            <w:tcW w:w="3600" w:type="dxa"/>
            <w:shd w:val="clear" w:color="000000" w:fill="FFFFFF"/>
            <w:noWrap/>
            <w:vAlign w:val="bottom"/>
            <w:hideMark/>
          </w:tcPr>
          <w:p w14:paraId="34CDB8D8"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5338FA6E"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4BEC1E22"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3C4CE5D4" w14:textId="77777777" w:rsidR="00212E14" w:rsidRPr="00F32020" w:rsidRDefault="00212E14" w:rsidP="00D314EE">
            <w:pPr>
              <w:jc w:val="center"/>
              <w:rPr>
                <w:sz w:val="20"/>
                <w:szCs w:val="20"/>
              </w:rPr>
            </w:pPr>
            <w:r w:rsidRPr="00F32020">
              <w:rPr>
                <w:sz w:val="20"/>
                <w:szCs w:val="20"/>
              </w:rPr>
              <w:t> </w:t>
            </w:r>
          </w:p>
        </w:tc>
        <w:tc>
          <w:tcPr>
            <w:tcW w:w="1560" w:type="dxa"/>
            <w:shd w:val="clear" w:color="000000" w:fill="FFFFFF"/>
            <w:noWrap/>
            <w:vAlign w:val="bottom"/>
            <w:hideMark/>
          </w:tcPr>
          <w:p w14:paraId="6D19C9EF" w14:textId="77777777" w:rsidR="00212E14" w:rsidRPr="00F32020" w:rsidRDefault="00212E14" w:rsidP="00D314EE">
            <w:pPr>
              <w:jc w:val="center"/>
              <w:rPr>
                <w:sz w:val="20"/>
                <w:szCs w:val="20"/>
              </w:rPr>
            </w:pPr>
            <w:r w:rsidRPr="00F32020">
              <w:rPr>
                <w:sz w:val="20"/>
                <w:szCs w:val="20"/>
              </w:rPr>
              <w:t>(0.0205)</w:t>
            </w:r>
          </w:p>
        </w:tc>
      </w:tr>
      <w:tr w:rsidR="00212E14" w:rsidRPr="00F32020" w14:paraId="6342B55A" w14:textId="77777777" w:rsidTr="00D314EE">
        <w:trPr>
          <w:trHeight w:val="260"/>
        </w:trPr>
        <w:tc>
          <w:tcPr>
            <w:tcW w:w="3600" w:type="dxa"/>
            <w:shd w:val="clear" w:color="000000" w:fill="FFFFFF"/>
            <w:noWrap/>
            <w:vAlign w:val="bottom"/>
            <w:hideMark/>
          </w:tcPr>
          <w:p w14:paraId="6137C189" w14:textId="77777777" w:rsidR="00212E14" w:rsidRPr="00F32020" w:rsidRDefault="00212E14" w:rsidP="00D314EE">
            <w:pPr>
              <w:rPr>
                <w:sz w:val="20"/>
                <w:szCs w:val="20"/>
              </w:rPr>
            </w:pPr>
            <w:r w:rsidRPr="00F32020">
              <w:rPr>
                <w:sz w:val="20"/>
                <w:szCs w:val="20"/>
              </w:rPr>
              <w:t>Institutional Index (WGI)</w:t>
            </w:r>
          </w:p>
        </w:tc>
        <w:tc>
          <w:tcPr>
            <w:tcW w:w="1380" w:type="dxa"/>
            <w:shd w:val="clear" w:color="000000" w:fill="FFFFFF"/>
            <w:noWrap/>
            <w:vAlign w:val="bottom"/>
            <w:hideMark/>
          </w:tcPr>
          <w:p w14:paraId="330882BB"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688C113B"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607DE158" w14:textId="77777777" w:rsidR="00212E14" w:rsidRPr="00F32020" w:rsidRDefault="00212E14" w:rsidP="00D314EE">
            <w:pPr>
              <w:jc w:val="center"/>
              <w:rPr>
                <w:sz w:val="20"/>
                <w:szCs w:val="20"/>
              </w:rPr>
            </w:pPr>
            <w:r w:rsidRPr="00F32020">
              <w:rPr>
                <w:sz w:val="20"/>
                <w:szCs w:val="20"/>
              </w:rPr>
              <w:t> </w:t>
            </w:r>
          </w:p>
        </w:tc>
        <w:tc>
          <w:tcPr>
            <w:tcW w:w="1560" w:type="dxa"/>
            <w:shd w:val="clear" w:color="000000" w:fill="FFFFFF"/>
            <w:noWrap/>
            <w:vAlign w:val="bottom"/>
            <w:hideMark/>
          </w:tcPr>
          <w:p w14:paraId="583ACFCC" w14:textId="77777777" w:rsidR="00212E14" w:rsidRPr="00F32020" w:rsidRDefault="00212E14" w:rsidP="00D314EE">
            <w:pPr>
              <w:jc w:val="center"/>
              <w:rPr>
                <w:sz w:val="20"/>
                <w:szCs w:val="20"/>
              </w:rPr>
            </w:pPr>
            <w:r w:rsidRPr="00F32020">
              <w:rPr>
                <w:sz w:val="20"/>
                <w:szCs w:val="20"/>
              </w:rPr>
              <w:t>0.908</w:t>
            </w:r>
          </w:p>
        </w:tc>
      </w:tr>
      <w:tr w:rsidR="00212E14" w:rsidRPr="00F32020" w14:paraId="77F56C28" w14:textId="77777777" w:rsidTr="00D314EE">
        <w:trPr>
          <w:trHeight w:val="260"/>
        </w:trPr>
        <w:tc>
          <w:tcPr>
            <w:tcW w:w="3600" w:type="dxa"/>
            <w:shd w:val="clear" w:color="000000" w:fill="FFFFFF"/>
            <w:noWrap/>
            <w:vAlign w:val="bottom"/>
            <w:hideMark/>
          </w:tcPr>
          <w:p w14:paraId="11341B49"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17076DFA"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1312DAFA"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5567636A" w14:textId="77777777" w:rsidR="00212E14" w:rsidRPr="00F32020" w:rsidRDefault="00212E14" w:rsidP="00D314EE">
            <w:pPr>
              <w:jc w:val="center"/>
              <w:rPr>
                <w:sz w:val="20"/>
                <w:szCs w:val="20"/>
              </w:rPr>
            </w:pPr>
            <w:r w:rsidRPr="00F32020">
              <w:rPr>
                <w:sz w:val="20"/>
                <w:szCs w:val="20"/>
              </w:rPr>
              <w:t> </w:t>
            </w:r>
          </w:p>
        </w:tc>
        <w:tc>
          <w:tcPr>
            <w:tcW w:w="1560" w:type="dxa"/>
            <w:shd w:val="clear" w:color="000000" w:fill="FFFFFF"/>
            <w:noWrap/>
            <w:vAlign w:val="bottom"/>
            <w:hideMark/>
          </w:tcPr>
          <w:p w14:paraId="7A5DB4FE" w14:textId="77777777" w:rsidR="00212E14" w:rsidRPr="00F32020" w:rsidRDefault="00212E14" w:rsidP="00D314EE">
            <w:pPr>
              <w:jc w:val="center"/>
              <w:rPr>
                <w:sz w:val="20"/>
                <w:szCs w:val="20"/>
              </w:rPr>
            </w:pPr>
            <w:r w:rsidRPr="00F32020">
              <w:rPr>
                <w:sz w:val="20"/>
                <w:szCs w:val="20"/>
              </w:rPr>
              <w:t>(0.0980)</w:t>
            </w:r>
          </w:p>
        </w:tc>
      </w:tr>
      <w:tr w:rsidR="00212E14" w:rsidRPr="00F32020" w14:paraId="35720E63" w14:textId="77777777" w:rsidTr="00D314EE">
        <w:trPr>
          <w:trHeight w:val="260"/>
        </w:trPr>
        <w:tc>
          <w:tcPr>
            <w:tcW w:w="3600" w:type="dxa"/>
            <w:shd w:val="clear" w:color="000000" w:fill="FFFFFF"/>
            <w:noWrap/>
            <w:vAlign w:val="bottom"/>
            <w:hideMark/>
          </w:tcPr>
          <w:p w14:paraId="1D432C5A" w14:textId="77777777" w:rsidR="00212E14" w:rsidRPr="00F32020" w:rsidRDefault="00212E14" w:rsidP="00D314EE">
            <w:pPr>
              <w:rPr>
                <w:sz w:val="20"/>
                <w:szCs w:val="20"/>
              </w:rPr>
            </w:pPr>
            <w:r w:rsidRPr="00F32020">
              <w:rPr>
                <w:sz w:val="20"/>
                <w:szCs w:val="20"/>
              </w:rPr>
              <w:t>Constant</w:t>
            </w:r>
          </w:p>
        </w:tc>
        <w:tc>
          <w:tcPr>
            <w:tcW w:w="1380" w:type="dxa"/>
            <w:shd w:val="clear" w:color="000000" w:fill="FFFFFF"/>
            <w:noWrap/>
            <w:vAlign w:val="bottom"/>
            <w:hideMark/>
          </w:tcPr>
          <w:p w14:paraId="350928E0" w14:textId="77777777" w:rsidR="00212E14" w:rsidRPr="00F32020" w:rsidRDefault="00212E14" w:rsidP="00D314EE">
            <w:pPr>
              <w:jc w:val="center"/>
              <w:rPr>
                <w:sz w:val="20"/>
                <w:szCs w:val="20"/>
              </w:rPr>
            </w:pPr>
            <w:r w:rsidRPr="00F32020">
              <w:rPr>
                <w:sz w:val="20"/>
                <w:szCs w:val="20"/>
              </w:rPr>
              <w:t>0.209***</w:t>
            </w:r>
          </w:p>
        </w:tc>
        <w:tc>
          <w:tcPr>
            <w:tcW w:w="1580" w:type="dxa"/>
            <w:shd w:val="clear" w:color="000000" w:fill="FFFFFF"/>
            <w:noWrap/>
            <w:vAlign w:val="bottom"/>
            <w:hideMark/>
          </w:tcPr>
          <w:p w14:paraId="3B71EB59" w14:textId="77777777" w:rsidR="00212E14" w:rsidRPr="00F32020" w:rsidRDefault="00212E14" w:rsidP="00D314EE">
            <w:pPr>
              <w:jc w:val="center"/>
              <w:rPr>
                <w:sz w:val="20"/>
                <w:szCs w:val="20"/>
              </w:rPr>
            </w:pPr>
            <w:r w:rsidRPr="00F32020">
              <w:rPr>
                <w:sz w:val="20"/>
                <w:szCs w:val="20"/>
              </w:rPr>
              <w:t>0.143***</w:t>
            </w:r>
          </w:p>
        </w:tc>
        <w:tc>
          <w:tcPr>
            <w:tcW w:w="1600" w:type="dxa"/>
            <w:shd w:val="clear" w:color="000000" w:fill="FFFFFF"/>
            <w:noWrap/>
            <w:vAlign w:val="bottom"/>
            <w:hideMark/>
          </w:tcPr>
          <w:p w14:paraId="1C5E843C" w14:textId="77777777" w:rsidR="00212E14" w:rsidRPr="00F32020" w:rsidRDefault="00212E14" w:rsidP="00D314EE">
            <w:pPr>
              <w:jc w:val="center"/>
              <w:rPr>
                <w:sz w:val="20"/>
                <w:szCs w:val="20"/>
              </w:rPr>
            </w:pPr>
            <w:r w:rsidRPr="00F32020">
              <w:rPr>
                <w:sz w:val="20"/>
                <w:szCs w:val="20"/>
              </w:rPr>
              <w:t>0.147***</w:t>
            </w:r>
          </w:p>
        </w:tc>
        <w:tc>
          <w:tcPr>
            <w:tcW w:w="1560" w:type="dxa"/>
            <w:shd w:val="clear" w:color="000000" w:fill="FFFFFF"/>
            <w:noWrap/>
            <w:vAlign w:val="bottom"/>
            <w:hideMark/>
          </w:tcPr>
          <w:p w14:paraId="7103AF89" w14:textId="77777777" w:rsidR="00212E14" w:rsidRPr="00F32020" w:rsidRDefault="00212E14" w:rsidP="00D314EE">
            <w:pPr>
              <w:jc w:val="center"/>
              <w:rPr>
                <w:sz w:val="20"/>
                <w:szCs w:val="20"/>
              </w:rPr>
            </w:pPr>
            <w:r w:rsidRPr="00F32020">
              <w:rPr>
                <w:sz w:val="20"/>
                <w:szCs w:val="20"/>
              </w:rPr>
              <w:t>0.204***</w:t>
            </w:r>
          </w:p>
        </w:tc>
      </w:tr>
      <w:tr w:rsidR="00212E14" w:rsidRPr="00F32020" w14:paraId="129FC3EE" w14:textId="77777777" w:rsidTr="00D314EE">
        <w:trPr>
          <w:trHeight w:val="260"/>
        </w:trPr>
        <w:tc>
          <w:tcPr>
            <w:tcW w:w="3600" w:type="dxa"/>
            <w:shd w:val="clear" w:color="000000" w:fill="FFFFFF"/>
            <w:noWrap/>
            <w:vAlign w:val="bottom"/>
            <w:hideMark/>
          </w:tcPr>
          <w:p w14:paraId="739EA9ED"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28E9F19E" w14:textId="77777777" w:rsidR="00212E14" w:rsidRPr="00F32020" w:rsidRDefault="00212E14" w:rsidP="00D314EE">
            <w:pPr>
              <w:jc w:val="center"/>
              <w:rPr>
                <w:sz w:val="20"/>
                <w:szCs w:val="20"/>
              </w:rPr>
            </w:pPr>
            <w:r w:rsidRPr="00F32020">
              <w:rPr>
                <w:sz w:val="20"/>
                <w:szCs w:val="20"/>
              </w:rPr>
              <w:t>(0.0513)</w:t>
            </w:r>
          </w:p>
        </w:tc>
        <w:tc>
          <w:tcPr>
            <w:tcW w:w="1580" w:type="dxa"/>
            <w:shd w:val="clear" w:color="000000" w:fill="FFFFFF"/>
            <w:noWrap/>
            <w:vAlign w:val="bottom"/>
            <w:hideMark/>
          </w:tcPr>
          <w:p w14:paraId="31E71271" w14:textId="77777777" w:rsidR="00212E14" w:rsidRPr="00F32020" w:rsidRDefault="00212E14" w:rsidP="00D314EE">
            <w:pPr>
              <w:jc w:val="center"/>
              <w:rPr>
                <w:sz w:val="20"/>
                <w:szCs w:val="20"/>
              </w:rPr>
            </w:pPr>
            <w:r w:rsidRPr="00F32020">
              <w:rPr>
                <w:sz w:val="20"/>
                <w:szCs w:val="20"/>
              </w:rPr>
              <w:t>(0.0426)</w:t>
            </w:r>
          </w:p>
        </w:tc>
        <w:tc>
          <w:tcPr>
            <w:tcW w:w="1600" w:type="dxa"/>
            <w:shd w:val="clear" w:color="000000" w:fill="FFFFFF"/>
            <w:noWrap/>
            <w:vAlign w:val="bottom"/>
            <w:hideMark/>
          </w:tcPr>
          <w:p w14:paraId="08BB3CF1" w14:textId="77777777" w:rsidR="00212E14" w:rsidRPr="00F32020" w:rsidRDefault="00212E14" w:rsidP="00D314EE">
            <w:pPr>
              <w:jc w:val="center"/>
              <w:rPr>
                <w:sz w:val="20"/>
                <w:szCs w:val="20"/>
              </w:rPr>
            </w:pPr>
            <w:r w:rsidRPr="00F32020">
              <w:rPr>
                <w:sz w:val="20"/>
                <w:szCs w:val="20"/>
              </w:rPr>
              <w:t>(0.0477)</w:t>
            </w:r>
          </w:p>
        </w:tc>
        <w:tc>
          <w:tcPr>
            <w:tcW w:w="1560" w:type="dxa"/>
            <w:shd w:val="clear" w:color="000000" w:fill="FFFFFF"/>
            <w:noWrap/>
            <w:vAlign w:val="bottom"/>
            <w:hideMark/>
          </w:tcPr>
          <w:p w14:paraId="121D8C65" w14:textId="77777777" w:rsidR="00212E14" w:rsidRPr="00F32020" w:rsidRDefault="00212E14" w:rsidP="00D314EE">
            <w:pPr>
              <w:jc w:val="center"/>
              <w:rPr>
                <w:sz w:val="20"/>
                <w:szCs w:val="20"/>
              </w:rPr>
            </w:pPr>
            <w:r w:rsidRPr="00F32020">
              <w:rPr>
                <w:sz w:val="20"/>
                <w:szCs w:val="20"/>
              </w:rPr>
              <w:t>(0.0837)</w:t>
            </w:r>
          </w:p>
        </w:tc>
      </w:tr>
      <w:tr w:rsidR="00212E14" w:rsidRPr="00F32020" w14:paraId="04BB430E" w14:textId="77777777" w:rsidTr="00D314EE">
        <w:trPr>
          <w:trHeight w:val="260"/>
        </w:trPr>
        <w:tc>
          <w:tcPr>
            <w:tcW w:w="3600" w:type="dxa"/>
            <w:shd w:val="clear" w:color="000000" w:fill="FFFFFF"/>
            <w:noWrap/>
            <w:vAlign w:val="bottom"/>
            <w:hideMark/>
          </w:tcPr>
          <w:p w14:paraId="162C2EA5" w14:textId="77777777" w:rsidR="00212E14" w:rsidRPr="00F32020" w:rsidRDefault="00212E14" w:rsidP="00D314EE">
            <w:pPr>
              <w:rPr>
                <w:sz w:val="20"/>
                <w:szCs w:val="20"/>
              </w:rPr>
            </w:pPr>
            <w:r w:rsidRPr="00F32020">
              <w:rPr>
                <w:sz w:val="20"/>
                <w:szCs w:val="20"/>
              </w:rPr>
              <w:t> </w:t>
            </w:r>
          </w:p>
        </w:tc>
        <w:tc>
          <w:tcPr>
            <w:tcW w:w="1380" w:type="dxa"/>
            <w:shd w:val="clear" w:color="000000" w:fill="FFFFFF"/>
            <w:noWrap/>
            <w:vAlign w:val="bottom"/>
            <w:hideMark/>
          </w:tcPr>
          <w:p w14:paraId="380637B9" w14:textId="77777777" w:rsidR="00212E14" w:rsidRPr="00F32020" w:rsidRDefault="00212E14" w:rsidP="00D314EE">
            <w:pPr>
              <w:jc w:val="center"/>
              <w:rPr>
                <w:sz w:val="20"/>
                <w:szCs w:val="20"/>
              </w:rPr>
            </w:pPr>
            <w:r w:rsidRPr="00F32020">
              <w:rPr>
                <w:sz w:val="20"/>
                <w:szCs w:val="20"/>
              </w:rPr>
              <w:t> </w:t>
            </w:r>
          </w:p>
        </w:tc>
        <w:tc>
          <w:tcPr>
            <w:tcW w:w="1580" w:type="dxa"/>
            <w:shd w:val="clear" w:color="000000" w:fill="FFFFFF"/>
            <w:noWrap/>
            <w:vAlign w:val="bottom"/>
            <w:hideMark/>
          </w:tcPr>
          <w:p w14:paraId="61948E7E" w14:textId="77777777" w:rsidR="00212E14" w:rsidRPr="00F32020" w:rsidRDefault="00212E14" w:rsidP="00D314EE">
            <w:pPr>
              <w:jc w:val="center"/>
              <w:rPr>
                <w:sz w:val="20"/>
                <w:szCs w:val="20"/>
              </w:rPr>
            </w:pPr>
            <w:r w:rsidRPr="00F32020">
              <w:rPr>
                <w:sz w:val="20"/>
                <w:szCs w:val="20"/>
              </w:rPr>
              <w:t> </w:t>
            </w:r>
          </w:p>
        </w:tc>
        <w:tc>
          <w:tcPr>
            <w:tcW w:w="1600" w:type="dxa"/>
            <w:shd w:val="clear" w:color="000000" w:fill="FFFFFF"/>
            <w:noWrap/>
            <w:vAlign w:val="bottom"/>
            <w:hideMark/>
          </w:tcPr>
          <w:p w14:paraId="1B2B7342" w14:textId="77777777" w:rsidR="00212E14" w:rsidRPr="00F32020" w:rsidRDefault="00212E14" w:rsidP="00D314EE">
            <w:pPr>
              <w:jc w:val="center"/>
              <w:rPr>
                <w:sz w:val="20"/>
                <w:szCs w:val="20"/>
              </w:rPr>
            </w:pPr>
            <w:r w:rsidRPr="00F32020">
              <w:rPr>
                <w:sz w:val="20"/>
                <w:szCs w:val="20"/>
              </w:rPr>
              <w:t> </w:t>
            </w:r>
          </w:p>
        </w:tc>
        <w:tc>
          <w:tcPr>
            <w:tcW w:w="1560" w:type="dxa"/>
            <w:shd w:val="clear" w:color="000000" w:fill="FFFFFF"/>
            <w:noWrap/>
            <w:vAlign w:val="bottom"/>
            <w:hideMark/>
          </w:tcPr>
          <w:p w14:paraId="6CF16BA3" w14:textId="77777777" w:rsidR="00212E14" w:rsidRPr="00F32020" w:rsidRDefault="00212E14" w:rsidP="00D314EE">
            <w:pPr>
              <w:jc w:val="center"/>
              <w:rPr>
                <w:sz w:val="20"/>
                <w:szCs w:val="20"/>
              </w:rPr>
            </w:pPr>
            <w:r w:rsidRPr="00F32020">
              <w:rPr>
                <w:sz w:val="20"/>
                <w:szCs w:val="20"/>
              </w:rPr>
              <w:t> </w:t>
            </w:r>
          </w:p>
        </w:tc>
      </w:tr>
      <w:tr w:rsidR="00212E14" w:rsidRPr="00F32020" w14:paraId="3F763834" w14:textId="77777777" w:rsidTr="00D314EE">
        <w:trPr>
          <w:trHeight w:val="260"/>
        </w:trPr>
        <w:tc>
          <w:tcPr>
            <w:tcW w:w="3600" w:type="dxa"/>
            <w:shd w:val="clear" w:color="000000" w:fill="FFFFFF"/>
            <w:noWrap/>
            <w:vAlign w:val="bottom"/>
            <w:hideMark/>
          </w:tcPr>
          <w:p w14:paraId="1F0826DC" w14:textId="77777777" w:rsidR="00212E14" w:rsidRPr="00F32020" w:rsidRDefault="00212E14" w:rsidP="00D314EE">
            <w:pPr>
              <w:rPr>
                <w:sz w:val="20"/>
                <w:szCs w:val="20"/>
              </w:rPr>
            </w:pPr>
            <w:r w:rsidRPr="00F32020">
              <w:rPr>
                <w:sz w:val="20"/>
                <w:szCs w:val="20"/>
              </w:rPr>
              <w:t>Observations</w:t>
            </w:r>
          </w:p>
        </w:tc>
        <w:tc>
          <w:tcPr>
            <w:tcW w:w="1380" w:type="dxa"/>
            <w:shd w:val="clear" w:color="000000" w:fill="FFFFFF"/>
            <w:noWrap/>
            <w:vAlign w:val="bottom"/>
            <w:hideMark/>
          </w:tcPr>
          <w:p w14:paraId="16C7974C" w14:textId="77777777" w:rsidR="00212E14" w:rsidRPr="00F32020" w:rsidRDefault="00212E14" w:rsidP="00D314EE">
            <w:pPr>
              <w:jc w:val="center"/>
              <w:rPr>
                <w:sz w:val="20"/>
                <w:szCs w:val="20"/>
              </w:rPr>
            </w:pPr>
            <w:r w:rsidRPr="00F32020">
              <w:rPr>
                <w:sz w:val="20"/>
                <w:szCs w:val="20"/>
              </w:rPr>
              <w:t>9,988</w:t>
            </w:r>
          </w:p>
        </w:tc>
        <w:tc>
          <w:tcPr>
            <w:tcW w:w="1580" w:type="dxa"/>
            <w:shd w:val="clear" w:color="000000" w:fill="FFFFFF"/>
            <w:noWrap/>
            <w:vAlign w:val="bottom"/>
            <w:hideMark/>
          </w:tcPr>
          <w:p w14:paraId="0203FC21" w14:textId="77777777" w:rsidR="00212E14" w:rsidRPr="00F32020" w:rsidRDefault="00212E14" w:rsidP="00D314EE">
            <w:pPr>
              <w:jc w:val="center"/>
              <w:rPr>
                <w:sz w:val="20"/>
                <w:szCs w:val="20"/>
              </w:rPr>
            </w:pPr>
            <w:r w:rsidRPr="00F32020">
              <w:rPr>
                <w:sz w:val="20"/>
                <w:szCs w:val="20"/>
              </w:rPr>
              <w:t>9,273</w:t>
            </w:r>
          </w:p>
        </w:tc>
        <w:tc>
          <w:tcPr>
            <w:tcW w:w="1600" w:type="dxa"/>
            <w:shd w:val="clear" w:color="000000" w:fill="FFFFFF"/>
            <w:noWrap/>
            <w:vAlign w:val="bottom"/>
            <w:hideMark/>
          </w:tcPr>
          <w:p w14:paraId="6DEC3655" w14:textId="77777777" w:rsidR="00212E14" w:rsidRPr="00F32020" w:rsidRDefault="00212E14" w:rsidP="00D314EE">
            <w:pPr>
              <w:jc w:val="center"/>
              <w:rPr>
                <w:sz w:val="20"/>
                <w:szCs w:val="20"/>
              </w:rPr>
            </w:pPr>
            <w:r w:rsidRPr="00F32020">
              <w:rPr>
                <w:sz w:val="20"/>
                <w:szCs w:val="20"/>
              </w:rPr>
              <w:t>8,369</w:t>
            </w:r>
          </w:p>
        </w:tc>
        <w:tc>
          <w:tcPr>
            <w:tcW w:w="1560" w:type="dxa"/>
            <w:shd w:val="clear" w:color="000000" w:fill="FFFFFF"/>
            <w:noWrap/>
            <w:vAlign w:val="bottom"/>
            <w:hideMark/>
          </w:tcPr>
          <w:p w14:paraId="19ED4B80" w14:textId="77777777" w:rsidR="00212E14" w:rsidRPr="00F32020" w:rsidRDefault="00212E14" w:rsidP="00D314EE">
            <w:pPr>
              <w:jc w:val="center"/>
              <w:rPr>
                <w:sz w:val="20"/>
                <w:szCs w:val="20"/>
              </w:rPr>
            </w:pPr>
            <w:r w:rsidRPr="00F32020">
              <w:rPr>
                <w:sz w:val="20"/>
                <w:szCs w:val="20"/>
              </w:rPr>
              <w:t>8,369</w:t>
            </w:r>
          </w:p>
        </w:tc>
      </w:tr>
      <w:tr w:rsidR="00212E14" w:rsidRPr="00F32020" w14:paraId="3E2A108B" w14:textId="77777777" w:rsidTr="00D314EE">
        <w:trPr>
          <w:trHeight w:val="260"/>
        </w:trPr>
        <w:tc>
          <w:tcPr>
            <w:tcW w:w="3600" w:type="dxa"/>
            <w:shd w:val="clear" w:color="000000" w:fill="FFFFFF"/>
            <w:noWrap/>
            <w:vAlign w:val="bottom"/>
            <w:hideMark/>
          </w:tcPr>
          <w:p w14:paraId="35570067" w14:textId="77777777" w:rsidR="00212E14" w:rsidRPr="00F32020" w:rsidRDefault="00212E14" w:rsidP="00D314EE">
            <w:pPr>
              <w:rPr>
                <w:sz w:val="20"/>
                <w:szCs w:val="20"/>
              </w:rPr>
            </w:pPr>
            <w:r w:rsidRPr="00F32020">
              <w:rPr>
                <w:sz w:val="20"/>
                <w:szCs w:val="20"/>
              </w:rPr>
              <w:t># of Founders Dummies</w:t>
            </w:r>
          </w:p>
        </w:tc>
        <w:tc>
          <w:tcPr>
            <w:tcW w:w="1380" w:type="dxa"/>
            <w:shd w:val="clear" w:color="000000" w:fill="FFFFFF"/>
            <w:noWrap/>
            <w:vAlign w:val="bottom"/>
            <w:hideMark/>
          </w:tcPr>
          <w:p w14:paraId="65B73D44" w14:textId="77777777" w:rsidR="00212E14" w:rsidRPr="00F32020" w:rsidRDefault="00212E14" w:rsidP="00D314EE">
            <w:pPr>
              <w:jc w:val="center"/>
              <w:rPr>
                <w:sz w:val="20"/>
                <w:szCs w:val="20"/>
              </w:rPr>
            </w:pPr>
            <w:r w:rsidRPr="00F32020">
              <w:rPr>
                <w:sz w:val="20"/>
                <w:szCs w:val="20"/>
              </w:rPr>
              <w:t>YES</w:t>
            </w:r>
          </w:p>
        </w:tc>
        <w:tc>
          <w:tcPr>
            <w:tcW w:w="1580" w:type="dxa"/>
            <w:shd w:val="clear" w:color="000000" w:fill="FFFFFF"/>
            <w:noWrap/>
            <w:vAlign w:val="bottom"/>
            <w:hideMark/>
          </w:tcPr>
          <w:p w14:paraId="41B64F57" w14:textId="77777777" w:rsidR="00212E14" w:rsidRPr="00F32020" w:rsidRDefault="00212E14" w:rsidP="00D314EE">
            <w:pPr>
              <w:jc w:val="center"/>
              <w:rPr>
                <w:sz w:val="20"/>
                <w:szCs w:val="20"/>
              </w:rPr>
            </w:pPr>
            <w:r w:rsidRPr="00F32020">
              <w:rPr>
                <w:sz w:val="20"/>
                <w:szCs w:val="20"/>
              </w:rPr>
              <w:t>YES</w:t>
            </w:r>
          </w:p>
        </w:tc>
        <w:tc>
          <w:tcPr>
            <w:tcW w:w="1600" w:type="dxa"/>
            <w:shd w:val="clear" w:color="000000" w:fill="FFFFFF"/>
            <w:noWrap/>
            <w:vAlign w:val="bottom"/>
            <w:hideMark/>
          </w:tcPr>
          <w:p w14:paraId="0A0E9D31" w14:textId="77777777" w:rsidR="00212E14" w:rsidRPr="00F32020" w:rsidRDefault="00212E14" w:rsidP="00D314EE">
            <w:pPr>
              <w:jc w:val="center"/>
              <w:rPr>
                <w:sz w:val="20"/>
                <w:szCs w:val="20"/>
              </w:rPr>
            </w:pPr>
            <w:r w:rsidRPr="00F32020">
              <w:rPr>
                <w:sz w:val="20"/>
                <w:szCs w:val="20"/>
              </w:rPr>
              <w:t>YES</w:t>
            </w:r>
          </w:p>
        </w:tc>
        <w:tc>
          <w:tcPr>
            <w:tcW w:w="1560" w:type="dxa"/>
            <w:shd w:val="clear" w:color="000000" w:fill="FFFFFF"/>
            <w:noWrap/>
            <w:vAlign w:val="bottom"/>
            <w:hideMark/>
          </w:tcPr>
          <w:p w14:paraId="6DB11972" w14:textId="77777777" w:rsidR="00212E14" w:rsidRPr="00F32020" w:rsidRDefault="00212E14" w:rsidP="00D314EE">
            <w:pPr>
              <w:jc w:val="center"/>
              <w:rPr>
                <w:sz w:val="20"/>
                <w:szCs w:val="20"/>
              </w:rPr>
            </w:pPr>
            <w:r w:rsidRPr="00F32020">
              <w:rPr>
                <w:sz w:val="20"/>
                <w:szCs w:val="20"/>
              </w:rPr>
              <w:t>YES</w:t>
            </w:r>
          </w:p>
        </w:tc>
      </w:tr>
      <w:tr w:rsidR="00212E14" w:rsidRPr="00F32020" w14:paraId="0B76FEFB" w14:textId="77777777" w:rsidTr="00D314EE">
        <w:trPr>
          <w:trHeight w:val="260"/>
        </w:trPr>
        <w:tc>
          <w:tcPr>
            <w:tcW w:w="3600" w:type="dxa"/>
            <w:shd w:val="clear" w:color="000000" w:fill="FFFFFF"/>
            <w:noWrap/>
            <w:vAlign w:val="bottom"/>
            <w:hideMark/>
          </w:tcPr>
          <w:p w14:paraId="6EC96E26" w14:textId="77777777" w:rsidR="00212E14" w:rsidRPr="00F32020" w:rsidRDefault="00212E14" w:rsidP="00D314EE">
            <w:pPr>
              <w:rPr>
                <w:sz w:val="20"/>
                <w:szCs w:val="20"/>
              </w:rPr>
            </w:pPr>
            <w:r w:rsidRPr="00F32020">
              <w:rPr>
                <w:sz w:val="20"/>
                <w:szCs w:val="20"/>
              </w:rPr>
              <w:t>Programme Dummies</w:t>
            </w:r>
          </w:p>
        </w:tc>
        <w:tc>
          <w:tcPr>
            <w:tcW w:w="1380" w:type="dxa"/>
            <w:shd w:val="clear" w:color="000000" w:fill="FFFFFF"/>
            <w:noWrap/>
            <w:vAlign w:val="bottom"/>
            <w:hideMark/>
          </w:tcPr>
          <w:p w14:paraId="409396D9" w14:textId="77777777" w:rsidR="00212E14" w:rsidRPr="00F32020" w:rsidRDefault="00212E14" w:rsidP="00D314EE">
            <w:pPr>
              <w:jc w:val="center"/>
              <w:rPr>
                <w:sz w:val="20"/>
                <w:szCs w:val="20"/>
              </w:rPr>
            </w:pPr>
            <w:r w:rsidRPr="00F32020">
              <w:rPr>
                <w:sz w:val="20"/>
                <w:szCs w:val="20"/>
              </w:rPr>
              <w:t>YES</w:t>
            </w:r>
          </w:p>
        </w:tc>
        <w:tc>
          <w:tcPr>
            <w:tcW w:w="1580" w:type="dxa"/>
            <w:shd w:val="clear" w:color="000000" w:fill="FFFFFF"/>
            <w:noWrap/>
            <w:vAlign w:val="bottom"/>
            <w:hideMark/>
          </w:tcPr>
          <w:p w14:paraId="790EE429" w14:textId="77777777" w:rsidR="00212E14" w:rsidRPr="00F32020" w:rsidRDefault="00212E14" w:rsidP="00D314EE">
            <w:pPr>
              <w:jc w:val="center"/>
              <w:rPr>
                <w:sz w:val="20"/>
                <w:szCs w:val="20"/>
              </w:rPr>
            </w:pPr>
            <w:r w:rsidRPr="00F32020">
              <w:rPr>
                <w:sz w:val="20"/>
                <w:szCs w:val="20"/>
              </w:rPr>
              <w:t>YES</w:t>
            </w:r>
          </w:p>
        </w:tc>
        <w:tc>
          <w:tcPr>
            <w:tcW w:w="1600" w:type="dxa"/>
            <w:shd w:val="clear" w:color="000000" w:fill="FFFFFF"/>
            <w:noWrap/>
            <w:vAlign w:val="bottom"/>
            <w:hideMark/>
          </w:tcPr>
          <w:p w14:paraId="4B53F739" w14:textId="77777777" w:rsidR="00212E14" w:rsidRPr="00F32020" w:rsidRDefault="00212E14" w:rsidP="00D314EE">
            <w:pPr>
              <w:jc w:val="center"/>
              <w:rPr>
                <w:sz w:val="20"/>
                <w:szCs w:val="20"/>
              </w:rPr>
            </w:pPr>
            <w:r w:rsidRPr="00F32020">
              <w:rPr>
                <w:sz w:val="20"/>
                <w:szCs w:val="20"/>
              </w:rPr>
              <w:t>YES</w:t>
            </w:r>
          </w:p>
        </w:tc>
        <w:tc>
          <w:tcPr>
            <w:tcW w:w="1560" w:type="dxa"/>
            <w:shd w:val="clear" w:color="000000" w:fill="FFFFFF"/>
            <w:noWrap/>
            <w:vAlign w:val="bottom"/>
            <w:hideMark/>
          </w:tcPr>
          <w:p w14:paraId="6F402922" w14:textId="77777777" w:rsidR="00212E14" w:rsidRPr="00F32020" w:rsidRDefault="00212E14" w:rsidP="00D314EE">
            <w:pPr>
              <w:jc w:val="center"/>
              <w:rPr>
                <w:sz w:val="20"/>
                <w:szCs w:val="20"/>
              </w:rPr>
            </w:pPr>
            <w:r w:rsidRPr="00F32020">
              <w:rPr>
                <w:sz w:val="20"/>
                <w:szCs w:val="20"/>
              </w:rPr>
              <w:t>YES</w:t>
            </w:r>
          </w:p>
        </w:tc>
      </w:tr>
      <w:tr w:rsidR="00212E14" w:rsidRPr="00F32020" w14:paraId="152A9445" w14:textId="77777777" w:rsidTr="00D314EE">
        <w:trPr>
          <w:trHeight w:val="260"/>
        </w:trPr>
        <w:tc>
          <w:tcPr>
            <w:tcW w:w="3600" w:type="dxa"/>
            <w:shd w:val="clear" w:color="000000" w:fill="FFFFFF"/>
            <w:noWrap/>
            <w:vAlign w:val="bottom"/>
            <w:hideMark/>
          </w:tcPr>
          <w:p w14:paraId="6F209FF3" w14:textId="77777777" w:rsidR="00212E14" w:rsidRPr="00F32020" w:rsidRDefault="00212E14" w:rsidP="00D314EE">
            <w:pPr>
              <w:rPr>
                <w:sz w:val="20"/>
                <w:szCs w:val="20"/>
              </w:rPr>
            </w:pPr>
            <w:r w:rsidRPr="00F32020">
              <w:rPr>
                <w:sz w:val="20"/>
                <w:szCs w:val="20"/>
              </w:rPr>
              <w:t>Sector Dummies</w:t>
            </w:r>
          </w:p>
        </w:tc>
        <w:tc>
          <w:tcPr>
            <w:tcW w:w="1380" w:type="dxa"/>
            <w:shd w:val="clear" w:color="000000" w:fill="FFFFFF"/>
            <w:noWrap/>
            <w:vAlign w:val="bottom"/>
            <w:hideMark/>
          </w:tcPr>
          <w:p w14:paraId="51A51307" w14:textId="77777777" w:rsidR="00212E14" w:rsidRPr="00F32020" w:rsidRDefault="00212E14" w:rsidP="00D314EE">
            <w:pPr>
              <w:jc w:val="center"/>
              <w:rPr>
                <w:sz w:val="20"/>
                <w:szCs w:val="20"/>
              </w:rPr>
            </w:pPr>
            <w:r w:rsidRPr="00F32020">
              <w:rPr>
                <w:sz w:val="20"/>
                <w:szCs w:val="20"/>
              </w:rPr>
              <w:t>YES</w:t>
            </w:r>
          </w:p>
        </w:tc>
        <w:tc>
          <w:tcPr>
            <w:tcW w:w="1580" w:type="dxa"/>
            <w:shd w:val="clear" w:color="000000" w:fill="FFFFFF"/>
            <w:noWrap/>
            <w:vAlign w:val="bottom"/>
            <w:hideMark/>
          </w:tcPr>
          <w:p w14:paraId="44D7E728" w14:textId="77777777" w:rsidR="00212E14" w:rsidRPr="00F32020" w:rsidRDefault="00212E14" w:rsidP="00D314EE">
            <w:pPr>
              <w:jc w:val="center"/>
              <w:rPr>
                <w:sz w:val="20"/>
                <w:szCs w:val="20"/>
              </w:rPr>
            </w:pPr>
            <w:r w:rsidRPr="00F32020">
              <w:rPr>
                <w:sz w:val="20"/>
                <w:szCs w:val="20"/>
              </w:rPr>
              <w:t>YES</w:t>
            </w:r>
          </w:p>
        </w:tc>
        <w:tc>
          <w:tcPr>
            <w:tcW w:w="1600" w:type="dxa"/>
            <w:shd w:val="clear" w:color="000000" w:fill="FFFFFF"/>
            <w:noWrap/>
            <w:vAlign w:val="bottom"/>
            <w:hideMark/>
          </w:tcPr>
          <w:p w14:paraId="29CBCDC9" w14:textId="77777777" w:rsidR="00212E14" w:rsidRPr="00F32020" w:rsidRDefault="00212E14" w:rsidP="00D314EE">
            <w:pPr>
              <w:jc w:val="center"/>
              <w:rPr>
                <w:sz w:val="20"/>
                <w:szCs w:val="20"/>
              </w:rPr>
            </w:pPr>
            <w:r w:rsidRPr="00F32020">
              <w:rPr>
                <w:sz w:val="20"/>
                <w:szCs w:val="20"/>
              </w:rPr>
              <w:t>YES</w:t>
            </w:r>
          </w:p>
        </w:tc>
        <w:tc>
          <w:tcPr>
            <w:tcW w:w="1560" w:type="dxa"/>
            <w:shd w:val="clear" w:color="000000" w:fill="FFFFFF"/>
            <w:noWrap/>
            <w:vAlign w:val="bottom"/>
            <w:hideMark/>
          </w:tcPr>
          <w:p w14:paraId="0AA27336" w14:textId="77777777" w:rsidR="00212E14" w:rsidRPr="00F32020" w:rsidRDefault="00212E14" w:rsidP="00D314EE">
            <w:pPr>
              <w:jc w:val="center"/>
              <w:rPr>
                <w:sz w:val="20"/>
                <w:szCs w:val="20"/>
              </w:rPr>
            </w:pPr>
            <w:r w:rsidRPr="00F32020">
              <w:rPr>
                <w:sz w:val="20"/>
                <w:szCs w:val="20"/>
              </w:rPr>
              <w:t>YES</w:t>
            </w:r>
          </w:p>
        </w:tc>
      </w:tr>
      <w:tr w:rsidR="00212E14" w:rsidRPr="00F32020" w14:paraId="4B809111" w14:textId="77777777" w:rsidTr="00D314EE">
        <w:trPr>
          <w:trHeight w:val="260"/>
        </w:trPr>
        <w:tc>
          <w:tcPr>
            <w:tcW w:w="3600" w:type="dxa"/>
            <w:shd w:val="clear" w:color="000000" w:fill="FFFFFF"/>
            <w:noWrap/>
            <w:vAlign w:val="bottom"/>
            <w:hideMark/>
          </w:tcPr>
          <w:p w14:paraId="1D86D0A4" w14:textId="77777777" w:rsidR="00212E14" w:rsidRPr="00F32020" w:rsidRDefault="00212E14" w:rsidP="00D314EE">
            <w:pPr>
              <w:rPr>
                <w:sz w:val="20"/>
                <w:szCs w:val="20"/>
              </w:rPr>
            </w:pPr>
            <w:r w:rsidRPr="00F32020">
              <w:rPr>
                <w:sz w:val="20"/>
                <w:szCs w:val="20"/>
              </w:rPr>
              <w:t>Year Dummies</w:t>
            </w:r>
          </w:p>
        </w:tc>
        <w:tc>
          <w:tcPr>
            <w:tcW w:w="1380" w:type="dxa"/>
            <w:shd w:val="clear" w:color="000000" w:fill="FFFFFF"/>
            <w:noWrap/>
            <w:vAlign w:val="bottom"/>
            <w:hideMark/>
          </w:tcPr>
          <w:p w14:paraId="57FEF88C" w14:textId="77777777" w:rsidR="00212E14" w:rsidRPr="00F32020" w:rsidRDefault="00212E14" w:rsidP="00D314EE">
            <w:pPr>
              <w:jc w:val="center"/>
              <w:rPr>
                <w:sz w:val="20"/>
                <w:szCs w:val="20"/>
              </w:rPr>
            </w:pPr>
            <w:r w:rsidRPr="00F32020">
              <w:rPr>
                <w:sz w:val="20"/>
                <w:szCs w:val="20"/>
              </w:rPr>
              <w:t>YES</w:t>
            </w:r>
          </w:p>
        </w:tc>
        <w:tc>
          <w:tcPr>
            <w:tcW w:w="1580" w:type="dxa"/>
            <w:shd w:val="clear" w:color="000000" w:fill="FFFFFF"/>
            <w:noWrap/>
            <w:vAlign w:val="bottom"/>
            <w:hideMark/>
          </w:tcPr>
          <w:p w14:paraId="6B91EBF2" w14:textId="77777777" w:rsidR="00212E14" w:rsidRPr="00F32020" w:rsidRDefault="00212E14" w:rsidP="00D314EE">
            <w:pPr>
              <w:jc w:val="center"/>
              <w:rPr>
                <w:sz w:val="20"/>
                <w:szCs w:val="20"/>
              </w:rPr>
            </w:pPr>
            <w:r w:rsidRPr="00F32020">
              <w:rPr>
                <w:sz w:val="20"/>
                <w:szCs w:val="20"/>
              </w:rPr>
              <w:t>YES</w:t>
            </w:r>
          </w:p>
        </w:tc>
        <w:tc>
          <w:tcPr>
            <w:tcW w:w="1600" w:type="dxa"/>
            <w:shd w:val="clear" w:color="000000" w:fill="FFFFFF"/>
            <w:noWrap/>
            <w:vAlign w:val="bottom"/>
            <w:hideMark/>
          </w:tcPr>
          <w:p w14:paraId="5815A1FE" w14:textId="77777777" w:rsidR="00212E14" w:rsidRPr="00F32020" w:rsidRDefault="00212E14" w:rsidP="00D314EE">
            <w:pPr>
              <w:jc w:val="center"/>
              <w:rPr>
                <w:sz w:val="20"/>
                <w:szCs w:val="20"/>
              </w:rPr>
            </w:pPr>
            <w:r w:rsidRPr="00F32020">
              <w:rPr>
                <w:sz w:val="20"/>
                <w:szCs w:val="20"/>
              </w:rPr>
              <w:t>YES</w:t>
            </w:r>
          </w:p>
        </w:tc>
        <w:tc>
          <w:tcPr>
            <w:tcW w:w="1560" w:type="dxa"/>
            <w:shd w:val="clear" w:color="000000" w:fill="FFFFFF"/>
            <w:noWrap/>
            <w:vAlign w:val="bottom"/>
            <w:hideMark/>
          </w:tcPr>
          <w:p w14:paraId="50F46982" w14:textId="77777777" w:rsidR="00212E14" w:rsidRPr="00F32020" w:rsidRDefault="00212E14" w:rsidP="00D314EE">
            <w:pPr>
              <w:jc w:val="center"/>
              <w:rPr>
                <w:sz w:val="20"/>
                <w:szCs w:val="20"/>
              </w:rPr>
            </w:pPr>
            <w:r w:rsidRPr="00F32020">
              <w:rPr>
                <w:sz w:val="20"/>
                <w:szCs w:val="20"/>
              </w:rPr>
              <w:t>YES</w:t>
            </w:r>
          </w:p>
        </w:tc>
      </w:tr>
      <w:tr w:rsidR="00212E14" w:rsidRPr="00F32020" w14:paraId="7F443352" w14:textId="77777777" w:rsidTr="00D314EE">
        <w:trPr>
          <w:trHeight w:val="260"/>
        </w:trPr>
        <w:tc>
          <w:tcPr>
            <w:tcW w:w="3600" w:type="dxa"/>
            <w:tcBorders>
              <w:bottom w:val="single" w:sz="4" w:space="0" w:color="auto"/>
            </w:tcBorders>
            <w:shd w:val="clear" w:color="000000" w:fill="FFFFFF"/>
            <w:noWrap/>
            <w:vAlign w:val="bottom"/>
            <w:hideMark/>
          </w:tcPr>
          <w:p w14:paraId="1E4A2826" w14:textId="77777777" w:rsidR="00212E14" w:rsidRPr="00F32020" w:rsidRDefault="00212E14" w:rsidP="00D314EE">
            <w:pPr>
              <w:rPr>
                <w:sz w:val="20"/>
                <w:szCs w:val="20"/>
              </w:rPr>
            </w:pPr>
            <w:r w:rsidRPr="00F32020">
              <w:rPr>
                <w:sz w:val="20"/>
                <w:szCs w:val="20"/>
              </w:rPr>
              <w:t>Regional Dummies</w:t>
            </w:r>
          </w:p>
        </w:tc>
        <w:tc>
          <w:tcPr>
            <w:tcW w:w="1380" w:type="dxa"/>
            <w:tcBorders>
              <w:bottom w:val="single" w:sz="4" w:space="0" w:color="auto"/>
            </w:tcBorders>
            <w:shd w:val="clear" w:color="000000" w:fill="FFFFFF"/>
            <w:noWrap/>
            <w:vAlign w:val="bottom"/>
            <w:hideMark/>
          </w:tcPr>
          <w:p w14:paraId="1DF2EDA8" w14:textId="77777777" w:rsidR="00212E14" w:rsidRPr="00F32020" w:rsidRDefault="00212E14" w:rsidP="00D314EE">
            <w:pPr>
              <w:jc w:val="center"/>
              <w:rPr>
                <w:sz w:val="20"/>
                <w:szCs w:val="20"/>
              </w:rPr>
            </w:pPr>
            <w:r w:rsidRPr="00F32020">
              <w:rPr>
                <w:sz w:val="20"/>
                <w:szCs w:val="20"/>
              </w:rPr>
              <w:t>YES</w:t>
            </w:r>
          </w:p>
        </w:tc>
        <w:tc>
          <w:tcPr>
            <w:tcW w:w="1580" w:type="dxa"/>
            <w:tcBorders>
              <w:bottom w:val="single" w:sz="4" w:space="0" w:color="auto"/>
            </w:tcBorders>
            <w:shd w:val="clear" w:color="000000" w:fill="FFFFFF"/>
            <w:noWrap/>
            <w:vAlign w:val="bottom"/>
            <w:hideMark/>
          </w:tcPr>
          <w:p w14:paraId="0B94142F" w14:textId="77777777" w:rsidR="00212E14" w:rsidRPr="00F32020" w:rsidRDefault="00212E14" w:rsidP="00D314EE">
            <w:pPr>
              <w:jc w:val="center"/>
              <w:rPr>
                <w:sz w:val="20"/>
                <w:szCs w:val="20"/>
              </w:rPr>
            </w:pPr>
            <w:r w:rsidRPr="00F32020">
              <w:rPr>
                <w:sz w:val="20"/>
                <w:szCs w:val="20"/>
              </w:rPr>
              <w:t>YES</w:t>
            </w:r>
          </w:p>
        </w:tc>
        <w:tc>
          <w:tcPr>
            <w:tcW w:w="1600" w:type="dxa"/>
            <w:tcBorders>
              <w:bottom w:val="single" w:sz="4" w:space="0" w:color="auto"/>
            </w:tcBorders>
            <w:shd w:val="clear" w:color="000000" w:fill="FFFFFF"/>
            <w:noWrap/>
            <w:vAlign w:val="bottom"/>
            <w:hideMark/>
          </w:tcPr>
          <w:p w14:paraId="4AD713DC" w14:textId="77777777" w:rsidR="00212E14" w:rsidRPr="00F32020" w:rsidRDefault="00212E14" w:rsidP="00D314EE">
            <w:pPr>
              <w:jc w:val="center"/>
              <w:rPr>
                <w:sz w:val="20"/>
                <w:szCs w:val="20"/>
              </w:rPr>
            </w:pPr>
            <w:r w:rsidRPr="00F32020">
              <w:rPr>
                <w:sz w:val="20"/>
                <w:szCs w:val="20"/>
              </w:rPr>
              <w:t>YES</w:t>
            </w:r>
          </w:p>
        </w:tc>
        <w:tc>
          <w:tcPr>
            <w:tcW w:w="1560" w:type="dxa"/>
            <w:tcBorders>
              <w:bottom w:val="single" w:sz="4" w:space="0" w:color="auto"/>
            </w:tcBorders>
            <w:shd w:val="clear" w:color="000000" w:fill="FFFFFF"/>
            <w:noWrap/>
            <w:vAlign w:val="bottom"/>
            <w:hideMark/>
          </w:tcPr>
          <w:p w14:paraId="3821AF05" w14:textId="77777777" w:rsidR="00212E14" w:rsidRPr="00F32020" w:rsidRDefault="00212E14" w:rsidP="00D314EE">
            <w:pPr>
              <w:jc w:val="center"/>
              <w:rPr>
                <w:sz w:val="20"/>
                <w:szCs w:val="20"/>
              </w:rPr>
            </w:pPr>
            <w:r w:rsidRPr="00F32020">
              <w:rPr>
                <w:sz w:val="20"/>
                <w:szCs w:val="20"/>
              </w:rPr>
              <w:t>YES</w:t>
            </w:r>
          </w:p>
        </w:tc>
      </w:tr>
      <w:tr w:rsidR="00681F3B" w:rsidRPr="00F32020" w14:paraId="24AA5F76" w14:textId="77777777" w:rsidTr="00D314EE">
        <w:trPr>
          <w:trHeight w:val="260"/>
        </w:trPr>
        <w:tc>
          <w:tcPr>
            <w:tcW w:w="3600" w:type="dxa"/>
            <w:tcBorders>
              <w:bottom w:val="single" w:sz="4" w:space="0" w:color="auto"/>
            </w:tcBorders>
            <w:shd w:val="clear" w:color="000000" w:fill="FFFFFF"/>
            <w:noWrap/>
            <w:vAlign w:val="bottom"/>
          </w:tcPr>
          <w:p w14:paraId="0DEAD6E9" w14:textId="0B3BBC4A" w:rsidR="00681F3B" w:rsidRPr="00F32020" w:rsidRDefault="00681F3B" w:rsidP="00D314EE">
            <w:pPr>
              <w:rPr>
                <w:sz w:val="20"/>
                <w:szCs w:val="20"/>
              </w:rPr>
            </w:pPr>
            <w:r w:rsidRPr="00F32020">
              <w:rPr>
                <w:sz w:val="20"/>
                <w:szCs w:val="20"/>
              </w:rPr>
              <w:t>Likelihood Ratio Test (p-value)</w:t>
            </w:r>
          </w:p>
        </w:tc>
        <w:tc>
          <w:tcPr>
            <w:tcW w:w="1380" w:type="dxa"/>
            <w:tcBorders>
              <w:bottom w:val="single" w:sz="4" w:space="0" w:color="auto"/>
            </w:tcBorders>
            <w:shd w:val="clear" w:color="000000" w:fill="FFFFFF"/>
            <w:noWrap/>
            <w:vAlign w:val="bottom"/>
          </w:tcPr>
          <w:p w14:paraId="05436DE2" w14:textId="26A069A8" w:rsidR="00681F3B" w:rsidRPr="00F32020" w:rsidRDefault="00681F3B" w:rsidP="00D314EE">
            <w:pPr>
              <w:jc w:val="center"/>
              <w:rPr>
                <w:sz w:val="20"/>
                <w:szCs w:val="20"/>
              </w:rPr>
            </w:pPr>
            <w:r w:rsidRPr="00F32020">
              <w:rPr>
                <w:sz w:val="20"/>
                <w:szCs w:val="20"/>
              </w:rPr>
              <w:t>0.000</w:t>
            </w:r>
          </w:p>
        </w:tc>
        <w:tc>
          <w:tcPr>
            <w:tcW w:w="1580" w:type="dxa"/>
            <w:tcBorders>
              <w:bottom w:val="single" w:sz="4" w:space="0" w:color="auto"/>
            </w:tcBorders>
            <w:shd w:val="clear" w:color="000000" w:fill="FFFFFF"/>
            <w:noWrap/>
            <w:vAlign w:val="bottom"/>
          </w:tcPr>
          <w:p w14:paraId="06DB244A" w14:textId="05121761" w:rsidR="00681F3B" w:rsidRPr="00F32020" w:rsidRDefault="00681F3B" w:rsidP="00D314EE">
            <w:pPr>
              <w:jc w:val="center"/>
              <w:rPr>
                <w:sz w:val="20"/>
                <w:szCs w:val="20"/>
              </w:rPr>
            </w:pPr>
            <w:r w:rsidRPr="00F32020">
              <w:rPr>
                <w:sz w:val="20"/>
                <w:szCs w:val="20"/>
              </w:rPr>
              <w:t>0.000</w:t>
            </w:r>
          </w:p>
        </w:tc>
        <w:tc>
          <w:tcPr>
            <w:tcW w:w="1600" w:type="dxa"/>
            <w:tcBorders>
              <w:bottom w:val="single" w:sz="4" w:space="0" w:color="auto"/>
            </w:tcBorders>
            <w:shd w:val="clear" w:color="000000" w:fill="FFFFFF"/>
            <w:noWrap/>
            <w:vAlign w:val="bottom"/>
          </w:tcPr>
          <w:p w14:paraId="200BCC4E" w14:textId="53958B1D" w:rsidR="00681F3B" w:rsidRPr="00F32020" w:rsidRDefault="00681F3B" w:rsidP="00D314EE">
            <w:pPr>
              <w:jc w:val="center"/>
              <w:rPr>
                <w:sz w:val="20"/>
                <w:szCs w:val="20"/>
              </w:rPr>
            </w:pPr>
            <w:r w:rsidRPr="00F32020">
              <w:rPr>
                <w:sz w:val="20"/>
                <w:szCs w:val="20"/>
              </w:rPr>
              <w:t>0.000</w:t>
            </w:r>
          </w:p>
        </w:tc>
        <w:tc>
          <w:tcPr>
            <w:tcW w:w="1560" w:type="dxa"/>
            <w:tcBorders>
              <w:bottom w:val="single" w:sz="4" w:space="0" w:color="auto"/>
            </w:tcBorders>
            <w:shd w:val="clear" w:color="000000" w:fill="FFFFFF"/>
            <w:noWrap/>
            <w:vAlign w:val="bottom"/>
          </w:tcPr>
          <w:p w14:paraId="7FA98042" w14:textId="196D0A78" w:rsidR="00681F3B" w:rsidRPr="00F32020" w:rsidRDefault="00681F3B" w:rsidP="00D314EE">
            <w:pPr>
              <w:jc w:val="center"/>
              <w:rPr>
                <w:sz w:val="20"/>
                <w:szCs w:val="20"/>
              </w:rPr>
            </w:pPr>
            <w:r w:rsidRPr="00F32020">
              <w:rPr>
                <w:sz w:val="20"/>
                <w:szCs w:val="20"/>
              </w:rPr>
              <w:t>0.000</w:t>
            </w:r>
          </w:p>
        </w:tc>
      </w:tr>
      <w:tr w:rsidR="00212E14" w:rsidRPr="00F32020" w14:paraId="07267521" w14:textId="77777777" w:rsidTr="00D314EE">
        <w:trPr>
          <w:trHeight w:val="520"/>
        </w:trPr>
        <w:tc>
          <w:tcPr>
            <w:tcW w:w="9720" w:type="dxa"/>
            <w:gridSpan w:val="5"/>
            <w:tcBorders>
              <w:top w:val="single" w:sz="4" w:space="0" w:color="auto"/>
            </w:tcBorders>
            <w:shd w:val="clear" w:color="000000" w:fill="FFFFFF"/>
            <w:noWrap/>
            <w:vAlign w:val="bottom"/>
            <w:hideMark/>
          </w:tcPr>
          <w:p w14:paraId="7671CF31" w14:textId="3E9351F3" w:rsidR="00212E14" w:rsidRPr="00F32020" w:rsidRDefault="00212E14" w:rsidP="00D314EE">
            <w:pPr>
              <w:jc w:val="both"/>
              <w:rPr>
                <w:sz w:val="20"/>
                <w:szCs w:val="20"/>
              </w:rPr>
            </w:pPr>
            <w:r w:rsidRPr="00F32020">
              <w:rPr>
                <w:sz w:val="20"/>
                <w:szCs w:val="20"/>
              </w:rPr>
              <w:t>Notes: Standard errors in parentheses. Multi-level logit model estimated via generalised linear mixed-effects model (GLMM), where ventures (level 1) are nested within accelerator programmes (level 2). Coefficients are reported as odds ratios (e</w:t>
            </w:r>
            <w:r w:rsidRPr="00F32020">
              <w:rPr>
                <w:sz w:val="20"/>
                <w:szCs w:val="20"/>
                <w:vertAlign w:val="superscript"/>
              </w:rPr>
              <w:t>β</w:t>
            </w:r>
            <w:r w:rsidRPr="00F32020">
              <w:rPr>
                <w:sz w:val="20"/>
                <w:szCs w:val="20"/>
              </w:rPr>
              <w:t>) and standard errors are reported using the delta method (e</w:t>
            </w:r>
            <w:r w:rsidRPr="00F32020">
              <w:rPr>
                <w:sz w:val="20"/>
                <w:szCs w:val="20"/>
                <w:vertAlign w:val="superscript"/>
              </w:rPr>
              <w:t>β</w:t>
            </w:r>
            <w:r w:rsidRPr="00F32020">
              <w:rPr>
                <w:sz w:val="20"/>
                <w:szCs w:val="20"/>
              </w:rPr>
              <w:t xml:space="preserve"> x std. errors). Variables defined in Table A1. *** p&lt;0.01, ** p&lt;0.05, * p&lt;0.1</w:t>
            </w:r>
          </w:p>
        </w:tc>
      </w:tr>
      <w:bookmarkEnd w:id="24"/>
    </w:tbl>
    <w:p w14:paraId="69681CDF" w14:textId="77777777" w:rsidR="00212E14" w:rsidRPr="00F32020" w:rsidRDefault="00212E14" w:rsidP="00212E14">
      <w:pPr>
        <w:rPr>
          <w:shd w:val="clear" w:color="auto" w:fill="FFFFFF"/>
          <w:lang w:val="en-US"/>
        </w:rPr>
      </w:pPr>
    </w:p>
    <w:p w14:paraId="2D2F901C" w14:textId="36171A38" w:rsidR="00212E14" w:rsidRPr="00F32020" w:rsidRDefault="00212E14">
      <w:pPr>
        <w:rPr>
          <w:shd w:val="clear" w:color="auto" w:fill="FFFFFF"/>
          <w:lang w:val="en-US"/>
        </w:rPr>
      </w:pPr>
      <w:r w:rsidRPr="00F32020">
        <w:rPr>
          <w:shd w:val="clear" w:color="auto" w:fill="FFFFFF"/>
          <w:lang w:val="en-US"/>
        </w:rPr>
        <w:br w:type="page"/>
      </w:r>
    </w:p>
    <w:p w14:paraId="3A74B09C" w14:textId="77777777" w:rsidR="00D47508" w:rsidRPr="00F32020" w:rsidRDefault="00D47508">
      <w:pPr>
        <w:rPr>
          <w:b/>
          <w:bCs/>
          <w:shd w:val="clear" w:color="auto" w:fill="FFFFFF"/>
        </w:rPr>
      </w:pPr>
      <w:r w:rsidRPr="00F32020">
        <w:rPr>
          <w:b/>
          <w:bCs/>
          <w:shd w:val="clear" w:color="auto" w:fill="FFFFFF"/>
        </w:rPr>
        <w:lastRenderedPageBreak/>
        <w:t>Table 3 – IV estimation techniques</w:t>
      </w:r>
    </w:p>
    <w:tbl>
      <w:tblPr>
        <w:tblW w:w="9020" w:type="dxa"/>
        <w:jc w:val="center"/>
        <w:tblLook w:val="04A0" w:firstRow="1" w:lastRow="0" w:firstColumn="1" w:lastColumn="0" w:noHBand="0" w:noVBand="1"/>
      </w:tblPr>
      <w:tblGrid>
        <w:gridCol w:w="2615"/>
        <w:gridCol w:w="1539"/>
        <w:gridCol w:w="3687"/>
        <w:gridCol w:w="923"/>
        <w:gridCol w:w="256"/>
      </w:tblGrid>
      <w:tr w:rsidR="003D5122" w:rsidRPr="00F32020" w14:paraId="05BE890B" w14:textId="77777777" w:rsidTr="00A02E26">
        <w:trPr>
          <w:trHeight w:val="260"/>
          <w:jc w:val="center"/>
        </w:trPr>
        <w:tc>
          <w:tcPr>
            <w:tcW w:w="2615" w:type="dxa"/>
            <w:tcBorders>
              <w:top w:val="single" w:sz="4" w:space="0" w:color="auto"/>
            </w:tcBorders>
            <w:shd w:val="clear" w:color="000000" w:fill="FFFFFF"/>
            <w:noWrap/>
            <w:vAlign w:val="bottom"/>
            <w:hideMark/>
          </w:tcPr>
          <w:p w14:paraId="598612FD" w14:textId="77777777" w:rsidR="003D5122" w:rsidRPr="00F32020" w:rsidRDefault="003D5122" w:rsidP="00D7489C">
            <w:pPr>
              <w:rPr>
                <w:sz w:val="16"/>
                <w:szCs w:val="16"/>
              </w:rPr>
            </w:pPr>
            <w:r w:rsidRPr="00F32020">
              <w:rPr>
                <w:sz w:val="16"/>
                <w:szCs w:val="16"/>
              </w:rPr>
              <w:t> </w:t>
            </w:r>
          </w:p>
        </w:tc>
        <w:tc>
          <w:tcPr>
            <w:tcW w:w="1546" w:type="dxa"/>
            <w:tcBorders>
              <w:top w:val="single" w:sz="4" w:space="0" w:color="auto"/>
            </w:tcBorders>
            <w:shd w:val="clear" w:color="000000" w:fill="FFFFFF"/>
            <w:vAlign w:val="bottom"/>
          </w:tcPr>
          <w:p w14:paraId="07936727" w14:textId="77777777" w:rsidR="003D5122" w:rsidRPr="00F32020" w:rsidRDefault="003D5122" w:rsidP="00D7489C">
            <w:pPr>
              <w:jc w:val="center"/>
              <w:rPr>
                <w:sz w:val="16"/>
                <w:szCs w:val="16"/>
              </w:rPr>
            </w:pPr>
            <w:r w:rsidRPr="00F32020">
              <w:rPr>
                <w:sz w:val="16"/>
                <w:szCs w:val="16"/>
              </w:rPr>
              <w:t>(1)</w:t>
            </w:r>
          </w:p>
        </w:tc>
        <w:tc>
          <w:tcPr>
            <w:tcW w:w="3687" w:type="dxa"/>
            <w:tcBorders>
              <w:top w:val="single" w:sz="4" w:space="0" w:color="auto"/>
            </w:tcBorders>
            <w:shd w:val="clear" w:color="000000" w:fill="FFFFFF"/>
            <w:noWrap/>
            <w:vAlign w:val="bottom"/>
          </w:tcPr>
          <w:p w14:paraId="3CE90495" w14:textId="408DD78E" w:rsidR="003D5122" w:rsidRPr="00F32020" w:rsidRDefault="003D5122" w:rsidP="00D7489C">
            <w:pPr>
              <w:jc w:val="center"/>
              <w:rPr>
                <w:sz w:val="16"/>
                <w:szCs w:val="16"/>
              </w:rPr>
            </w:pPr>
            <w:r w:rsidRPr="00F32020">
              <w:rPr>
                <w:sz w:val="16"/>
                <w:szCs w:val="16"/>
              </w:rPr>
              <w:t>(2)</w:t>
            </w:r>
          </w:p>
        </w:tc>
        <w:tc>
          <w:tcPr>
            <w:tcW w:w="0" w:type="auto"/>
            <w:tcBorders>
              <w:top w:val="single" w:sz="4" w:space="0" w:color="auto"/>
            </w:tcBorders>
            <w:shd w:val="clear" w:color="000000" w:fill="FFFFFF"/>
            <w:noWrap/>
            <w:vAlign w:val="bottom"/>
          </w:tcPr>
          <w:p w14:paraId="5261918F" w14:textId="26A569C3" w:rsidR="003D5122" w:rsidRPr="00F32020" w:rsidRDefault="003D5122" w:rsidP="00D7489C">
            <w:pPr>
              <w:jc w:val="center"/>
              <w:rPr>
                <w:sz w:val="16"/>
                <w:szCs w:val="16"/>
              </w:rPr>
            </w:pPr>
            <w:r w:rsidRPr="00F32020">
              <w:rPr>
                <w:sz w:val="16"/>
                <w:szCs w:val="16"/>
              </w:rPr>
              <w:t>(3)</w:t>
            </w:r>
          </w:p>
        </w:tc>
        <w:tc>
          <w:tcPr>
            <w:tcW w:w="0" w:type="auto"/>
            <w:tcBorders>
              <w:top w:val="single" w:sz="4" w:space="0" w:color="auto"/>
            </w:tcBorders>
            <w:shd w:val="clear" w:color="000000" w:fill="FFFFFF"/>
            <w:noWrap/>
            <w:vAlign w:val="bottom"/>
          </w:tcPr>
          <w:p w14:paraId="0419F518" w14:textId="541E16B8" w:rsidR="003D5122" w:rsidRPr="00F32020" w:rsidRDefault="003D5122" w:rsidP="00D7489C">
            <w:pPr>
              <w:jc w:val="center"/>
              <w:rPr>
                <w:sz w:val="16"/>
                <w:szCs w:val="16"/>
              </w:rPr>
            </w:pPr>
          </w:p>
        </w:tc>
      </w:tr>
      <w:tr w:rsidR="003D5122" w:rsidRPr="00F32020" w14:paraId="2A677776" w14:textId="77777777" w:rsidTr="00A02E26">
        <w:trPr>
          <w:trHeight w:val="316"/>
          <w:jc w:val="center"/>
        </w:trPr>
        <w:tc>
          <w:tcPr>
            <w:tcW w:w="2615" w:type="dxa"/>
            <w:tcBorders>
              <w:bottom w:val="single" w:sz="4" w:space="0" w:color="auto"/>
            </w:tcBorders>
            <w:shd w:val="clear" w:color="000000" w:fill="FFFFFF"/>
            <w:noWrap/>
            <w:vAlign w:val="center"/>
            <w:hideMark/>
          </w:tcPr>
          <w:p w14:paraId="799C146E" w14:textId="77777777" w:rsidR="003D5122" w:rsidRPr="00F32020" w:rsidRDefault="003D5122" w:rsidP="00D7489C">
            <w:pPr>
              <w:jc w:val="center"/>
              <w:rPr>
                <w:sz w:val="16"/>
                <w:szCs w:val="16"/>
              </w:rPr>
            </w:pPr>
            <w:r w:rsidRPr="00F32020">
              <w:rPr>
                <w:sz w:val="16"/>
                <w:szCs w:val="16"/>
              </w:rPr>
              <w:t>VARIABLES</w:t>
            </w:r>
          </w:p>
        </w:tc>
        <w:tc>
          <w:tcPr>
            <w:tcW w:w="0" w:type="auto"/>
            <w:tcBorders>
              <w:bottom w:val="single" w:sz="4" w:space="0" w:color="auto"/>
            </w:tcBorders>
            <w:shd w:val="clear" w:color="000000" w:fill="FFFFFF"/>
            <w:vAlign w:val="center"/>
          </w:tcPr>
          <w:p w14:paraId="73C8AAF5" w14:textId="77777777" w:rsidR="003D5122" w:rsidRPr="00F32020" w:rsidRDefault="003D5122" w:rsidP="00D7489C">
            <w:pPr>
              <w:jc w:val="center"/>
              <w:rPr>
                <w:sz w:val="16"/>
                <w:szCs w:val="16"/>
              </w:rPr>
            </w:pPr>
            <w:r w:rsidRPr="00F32020">
              <w:rPr>
                <w:sz w:val="16"/>
                <w:szCs w:val="16"/>
              </w:rPr>
              <w:t>2SRI</w:t>
            </w:r>
          </w:p>
        </w:tc>
        <w:tc>
          <w:tcPr>
            <w:tcW w:w="0" w:type="auto"/>
            <w:tcBorders>
              <w:bottom w:val="single" w:sz="4" w:space="0" w:color="auto"/>
            </w:tcBorders>
            <w:shd w:val="clear" w:color="000000" w:fill="FFFFFF"/>
            <w:noWrap/>
            <w:vAlign w:val="center"/>
          </w:tcPr>
          <w:p w14:paraId="74536187" w14:textId="25AFFF48" w:rsidR="003D5122" w:rsidRPr="00F32020" w:rsidRDefault="003D5122" w:rsidP="00D7489C">
            <w:pPr>
              <w:jc w:val="center"/>
              <w:rPr>
                <w:sz w:val="16"/>
                <w:szCs w:val="16"/>
              </w:rPr>
            </w:pPr>
            <w:r w:rsidRPr="00F32020">
              <w:rPr>
                <w:sz w:val="16"/>
                <w:szCs w:val="16"/>
              </w:rPr>
              <w:t>IVPROBIT</w:t>
            </w:r>
          </w:p>
        </w:tc>
        <w:tc>
          <w:tcPr>
            <w:tcW w:w="0" w:type="auto"/>
            <w:tcBorders>
              <w:bottom w:val="single" w:sz="4" w:space="0" w:color="auto"/>
            </w:tcBorders>
            <w:shd w:val="clear" w:color="000000" w:fill="FFFFFF"/>
            <w:noWrap/>
            <w:vAlign w:val="center"/>
          </w:tcPr>
          <w:p w14:paraId="3DD160DE" w14:textId="2643D0D1" w:rsidR="003D5122" w:rsidRPr="00F32020" w:rsidRDefault="003D5122" w:rsidP="00D7489C">
            <w:pPr>
              <w:jc w:val="center"/>
              <w:rPr>
                <w:sz w:val="16"/>
                <w:szCs w:val="16"/>
              </w:rPr>
            </w:pPr>
            <w:r w:rsidRPr="00F32020">
              <w:rPr>
                <w:sz w:val="16"/>
                <w:szCs w:val="16"/>
              </w:rPr>
              <w:t>2SLS</w:t>
            </w:r>
          </w:p>
        </w:tc>
        <w:tc>
          <w:tcPr>
            <w:tcW w:w="0" w:type="auto"/>
            <w:tcBorders>
              <w:bottom w:val="single" w:sz="4" w:space="0" w:color="auto"/>
            </w:tcBorders>
            <w:shd w:val="clear" w:color="000000" w:fill="FFFFFF"/>
            <w:noWrap/>
            <w:vAlign w:val="center"/>
          </w:tcPr>
          <w:p w14:paraId="247E02FC" w14:textId="6241BB3A" w:rsidR="003D5122" w:rsidRPr="00F32020" w:rsidRDefault="003D5122" w:rsidP="00D7489C">
            <w:pPr>
              <w:jc w:val="center"/>
              <w:rPr>
                <w:sz w:val="16"/>
                <w:szCs w:val="16"/>
              </w:rPr>
            </w:pPr>
          </w:p>
        </w:tc>
      </w:tr>
      <w:tr w:rsidR="003D5122" w:rsidRPr="00F32020" w14:paraId="5EF95CA4" w14:textId="77777777" w:rsidTr="00A02E26">
        <w:trPr>
          <w:trHeight w:val="260"/>
          <w:jc w:val="center"/>
        </w:trPr>
        <w:tc>
          <w:tcPr>
            <w:tcW w:w="2615" w:type="dxa"/>
            <w:shd w:val="clear" w:color="000000" w:fill="FFFFFF"/>
            <w:noWrap/>
            <w:vAlign w:val="bottom"/>
            <w:hideMark/>
          </w:tcPr>
          <w:p w14:paraId="5E5EA835" w14:textId="77777777" w:rsidR="003D5122" w:rsidRPr="00F32020" w:rsidRDefault="003D5122" w:rsidP="003D5122">
            <w:pPr>
              <w:rPr>
                <w:sz w:val="16"/>
                <w:szCs w:val="16"/>
              </w:rPr>
            </w:pPr>
            <w:r w:rsidRPr="00F32020">
              <w:rPr>
                <w:sz w:val="16"/>
                <w:szCs w:val="16"/>
              </w:rPr>
              <w:t>Cultural Diversity</w:t>
            </w:r>
          </w:p>
        </w:tc>
        <w:tc>
          <w:tcPr>
            <w:tcW w:w="0" w:type="auto"/>
            <w:shd w:val="clear" w:color="000000" w:fill="FFFFFF"/>
            <w:vAlign w:val="bottom"/>
          </w:tcPr>
          <w:p w14:paraId="7067D7E3" w14:textId="77777777" w:rsidR="003D5122" w:rsidRPr="00F32020" w:rsidRDefault="003D5122" w:rsidP="003D5122">
            <w:pPr>
              <w:jc w:val="center"/>
              <w:rPr>
                <w:sz w:val="16"/>
                <w:szCs w:val="16"/>
              </w:rPr>
            </w:pPr>
            <w:r w:rsidRPr="00F32020">
              <w:rPr>
                <w:sz w:val="16"/>
                <w:szCs w:val="16"/>
              </w:rPr>
              <w:t>1.094**</w:t>
            </w:r>
          </w:p>
        </w:tc>
        <w:tc>
          <w:tcPr>
            <w:tcW w:w="0" w:type="auto"/>
            <w:shd w:val="clear" w:color="000000" w:fill="FFFFFF"/>
            <w:noWrap/>
          </w:tcPr>
          <w:p w14:paraId="5AD2091D" w14:textId="6FC3DD33" w:rsidR="003D5122" w:rsidRPr="00F32020" w:rsidRDefault="003D5122" w:rsidP="003D5122">
            <w:pPr>
              <w:jc w:val="center"/>
              <w:rPr>
                <w:sz w:val="16"/>
                <w:szCs w:val="16"/>
              </w:rPr>
            </w:pPr>
            <w:r w:rsidRPr="00F32020">
              <w:rPr>
                <w:sz w:val="16"/>
                <w:szCs w:val="16"/>
              </w:rPr>
              <w:t>1.325***</w:t>
            </w:r>
          </w:p>
        </w:tc>
        <w:tc>
          <w:tcPr>
            <w:tcW w:w="0" w:type="auto"/>
            <w:shd w:val="clear" w:color="000000" w:fill="FFFFFF"/>
            <w:noWrap/>
          </w:tcPr>
          <w:p w14:paraId="46B47BDF" w14:textId="4E52887B" w:rsidR="003D5122" w:rsidRPr="00F32020" w:rsidRDefault="003D5122" w:rsidP="003D5122">
            <w:pPr>
              <w:jc w:val="center"/>
              <w:rPr>
                <w:sz w:val="16"/>
                <w:szCs w:val="16"/>
              </w:rPr>
            </w:pPr>
            <w:r w:rsidRPr="00F32020">
              <w:rPr>
                <w:sz w:val="16"/>
                <w:szCs w:val="16"/>
              </w:rPr>
              <w:t>1.091***</w:t>
            </w:r>
          </w:p>
        </w:tc>
        <w:tc>
          <w:tcPr>
            <w:tcW w:w="0" w:type="auto"/>
            <w:shd w:val="clear" w:color="000000" w:fill="FFFFFF"/>
            <w:noWrap/>
            <w:vAlign w:val="bottom"/>
          </w:tcPr>
          <w:p w14:paraId="1500E7CA" w14:textId="6B9CFFFD" w:rsidR="003D5122" w:rsidRPr="00F32020" w:rsidRDefault="003D5122" w:rsidP="003D5122">
            <w:pPr>
              <w:jc w:val="center"/>
              <w:rPr>
                <w:sz w:val="16"/>
                <w:szCs w:val="16"/>
              </w:rPr>
            </w:pPr>
          </w:p>
        </w:tc>
      </w:tr>
      <w:tr w:rsidR="003D5122" w:rsidRPr="00F32020" w14:paraId="5B041D73" w14:textId="77777777" w:rsidTr="00A02E26">
        <w:trPr>
          <w:trHeight w:val="260"/>
          <w:jc w:val="center"/>
        </w:trPr>
        <w:tc>
          <w:tcPr>
            <w:tcW w:w="2615" w:type="dxa"/>
            <w:shd w:val="clear" w:color="000000" w:fill="FFFFFF"/>
            <w:noWrap/>
            <w:vAlign w:val="bottom"/>
            <w:hideMark/>
          </w:tcPr>
          <w:p w14:paraId="1F63DE37"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5550A744" w14:textId="77777777" w:rsidR="003D5122" w:rsidRPr="00F32020" w:rsidRDefault="003D5122" w:rsidP="003D5122">
            <w:pPr>
              <w:jc w:val="center"/>
              <w:rPr>
                <w:sz w:val="16"/>
                <w:szCs w:val="16"/>
              </w:rPr>
            </w:pPr>
            <w:r w:rsidRPr="00F32020">
              <w:rPr>
                <w:sz w:val="16"/>
                <w:szCs w:val="16"/>
              </w:rPr>
              <w:t>(0.0394)</w:t>
            </w:r>
          </w:p>
        </w:tc>
        <w:tc>
          <w:tcPr>
            <w:tcW w:w="0" w:type="auto"/>
            <w:shd w:val="clear" w:color="000000" w:fill="FFFFFF"/>
            <w:noWrap/>
          </w:tcPr>
          <w:p w14:paraId="122DB9E4" w14:textId="4809D65A" w:rsidR="003D5122" w:rsidRPr="00F32020" w:rsidRDefault="003D5122" w:rsidP="003D5122">
            <w:pPr>
              <w:jc w:val="center"/>
              <w:rPr>
                <w:sz w:val="16"/>
                <w:szCs w:val="16"/>
              </w:rPr>
            </w:pPr>
            <w:r w:rsidRPr="00F32020">
              <w:rPr>
                <w:sz w:val="16"/>
                <w:szCs w:val="16"/>
              </w:rPr>
              <w:t>(0.138)</w:t>
            </w:r>
          </w:p>
        </w:tc>
        <w:tc>
          <w:tcPr>
            <w:tcW w:w="0" w:type="auto"/>
            <w:shd w:val="clear" w:color="000000" w:fill="FFFFFF"/>
            <w:noWrap/>
          </w:tcPr>
          <w:p w14:paraId="7F411FAA" w14:textId="4F4AC56D" w:rsidR="003D5122" w:rsidRPr="00F32020" w:rsidRDefault="003D5122" w:rsidP="003D5122">
            <w:pPr>
              <w:jc w:val="center"/>
              <w:rPr>
                <w:sz w:val="16"/>
                <w:szCs w:val="16"/>
              </w:rPr>
            </w:pPr>
            <w:r w:rsidRPr="00F32020">
              <w:rPr>
                <w:sz w:val="16"/>
                <w:szCs w:val="16"/>
              </w:rPr>
              <w:t>(0.0305)</w:t>
            </w:r>
          </w:p>
        </w:tc>
        <w:tc>
          <w:tcPr>
            <w:tcW w:w="0" w:type="auto"/>
            <w:shd w:val="clear" w:color="000000" w:fill="FFFFFF"/>
            <w:noWrap/>
            <w:vAlign w:val="bottom"/>
          </w:tcPr>
          <w:p w14:paraId="0068B3AC" w14:textId="0BE62777" w:rsidR="003D5122" w:rsidRPr="00F32020" w:rsidRDefault="003D5122" w:rsidP="003D5122">
            <w:pPr>
              <w:jc w:val="center"/>
              <w:rPr>
                <w:sz w:val="16"/>
                <w:szCs w:val="16"/>
              </w:rPr>
            </w:pPr>
          </w:p>
        </w:tc>
      </w:tr>
      <w:tr w:rsidR="003D5122" w:rsidRPr="00F32020" w14:paraId="37FCA14C" w14:textId="77777777" w:rsidTr="00A02E26">
        <w:trPr>
          <w:trHeight w:val="260"/>
          <w:jc w:val="center"/>
        </w:trPr>
        <w:tc>
          <w:tcPr>
            <w:tcW w:w="2615" w:type="dxa"/>
            <w:shd w:val="clear" w:color="000000" w:fill="FFFFFF"/>
            <w:noWrap/>
            <w:vAlign w:val="bottom"/>
            <w:hideMark/>
          </w:tcPr>
          <w:p w14:paraId="47EABB8A" w14:textId="77777777" w:rsidR="003D5122" w:rsidRPr="00F32020" w:rsidRDefault="003D5122" w:rsidP="003D5122">
            <w:pPr>
              <w:rPr>
                <w:sz w:val="16"/>
                <w:szCs w:val="16"/>
              </w:rPr>
            </w:pPr>
            <w:r w:rsidRPr="00F32020">
              <w:rPr>
                <w:sz w:val="21"/>
                <w:szCs w:val="21"/>
              </w:rPr>
              <w:t>ε</w:t>
            </w:r>
            <w:r w:rsidRPr="00F32020">
              <w:rPr>
                <w:sz w:val="21"/>
                <w:szCs w:val="21"/>
                <w:vertAlign w:val="subscript"/>
              </w:rPr>
              <w:t>cultural diversity</w:t>
            </w:r>
          </w:p>
        </w:tc>
        <w:tc>
          <w:tcPr>
            <w:tcW w:w="0" w:type="auto"/>
            <w:shd w:val="clear" w:color="000000" w:fill="FFFFFF"/>
            <w:vAlign w:val="bottom"/>
          </w:tcPr>
          <w:p w14:paraId="13297327" w14:textId="77777777" w:rsidR="003D5122" w:rsidRPr="00F32020" w:rsidRDefault="003D5122" w:rsidP="003D5122">
            <w:pPr>
              <w:jc w:val="center"/>
              <w:rPr>
                <w:sz w:val="16"/>
                <w:szCs w:val="16"/>
              </w:rPr>
            </w:pPr>
            <w:r w:rsidRPr="00F32020">
              <w:rPr>
                <w:sz w:val="16"/>
                <w:szCs w:val="16"/>
              </w:rPr>
              <w:t>0.711**</w:t>
            </w:r>
          </w:p>
        </w:tc>
        <w:tc>
          <w:tcPr>
            <w:tcW w:w="0" w:type="auto"/>
            <w:shd w:val="clear" w:color="000000" w:fill="FFFFFF"/>
            <w:noWrap/>
          </w:tcPr>
          <w:p w14:paraId="383366BA" w14:textId="19906AFF" w:rsidR="003D5122" w:rsidRPr="00F32020" w:rsidRDefault="003D5122" w:rsidP="003D5122">
            <w:pPr>
              <w:jc w:val="center"/>
              <w:rPr>
                <w:sz w:val="16"/>
                <w:szCs w:val="16"/>
              </w:rPr>
            </w:pPr>
          </w:p>
        </w:tc>
        <w:tc>
          <w:tcPr>
            <w:tcW w:w="0" w:type="auto"/>
            <w:shd w:val="clear" w:color="000000" w:fill="FFFFFF"/>
            <w:noWrap/>
          </w:tcPr>
          <w:p w14:paraId="26F8B2F5" w14:textId="19FCFD5C" w:rsidR="003D5122" w:rsidRPr="00F32020" w:rsidRDefault="003D5122" w:rsidP="003D5122">
            <w:pPr>
              <w:jc w:val="center"/>
              <w:rPr>
                <w:sz w:val="16"/>
                <w:szCs w:val="16"/>
              </w:rPr>
            </w:pPr>
          </w:p>
        </w:tc>
        <w:tc>
          <w:tcPr>
            <w:tcW w:w="0" w:type="auto"/>
            <w:shd w:val="clear" w:color="000000" w:fill="FFFFFF"/>
            <w:noWrap/>
            <w:vAlign w:val="bottom"/>
          </w:tcPr>
          <w:p w14:paraId="2DF61C20" w14:textId="1D7E8690" w:rsidR="003D5122" w:rsidRPr="00F32020" w:rsidRDefault="003D5122" w:rsidP="003D5122">
            <w:pPr>
              <w:jc w:val="center"/>
              <w:rPr>
                <w:sz w:val="16"/>
                <w:szCs w:val="16"/>
              </w:rPr>
            </w:pPr>
          </w:p>
        </w:tc>
      </w:tr>
      <w:tr w:rsidR="003D5122" w:rsidRPr="00F32020" w14:paraId="2C2CAC99" w14:textId="77777777" w:rsidTr="00A02E26">
        <w:trPr>
          <w:trHeight w:val="260"/>
          <w:jc w:val="center"/>
        </w:trPr>
        <w:tc>
          <w:tcPr>
            <w:tcW w:w="2615" w:type="dxa"/>
            <w:shd w:val="clear" w:color="000000" w:fill="FFFFFF"/>
            <w:noWrap/>
            <w:vAlign w:val="bottom"/>
            <w:hideMark/>
          </w:tcPr>
          <w:p w14:paraId="71C4AEAF"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216E53C1" w14:textId="77777777" w:rsidR="003D5122" w:rsidRPr="00F32020" w:rsidRDefault="003D5122" w:rsidP="003D5122">
            <w:pPr>
              <w:jc w:val="center"/>
              <w:rPr>
                <w:sz w:val="16"/>
                <w:szCs w:val="16"/>
              </w:rPr>
            </w:pPr>
            <w:r w:rsidRPr="00F32020">
              <w:rPr>
                <w:sz w:val="16"/>
                <w:szCs w:val="16"/>
              </w:rPr>
              <w:t>(0.102)</w:t>
            </w:r>
          </w:p>
        </w:tc>
        <w:tc>
          <w:tcPr>
            <w:tcW w:w="0" w:type="auto"/>
            <w:shd w:val="clear" w:color="000000" w:fill="FFFFFF"/>
            <w:noWrap/>
          </w:tcPr>
          <w:p w14:paraId="208FE769" w14:textId="1AB03E91" w:rsidR="003D5122" w:rsidRPr="00F32020" w:rsidRDefault="003D5122" w:rsidP="003D5122">
            <w:pPr>
              <w:jc w:val="center"/>
              <w:rPr>
                <w:sz w:val="16"/>
                <w:szCs w:val="16"/>
              </w:rPr>
            </w:pPr>
          </w:p>
        </w:tc>
        <w:tc>
          <w:tcPr>
            <w:tcW w:w="0" w:type="auto"/>
            <w:shd w:val="clear" w:color="000000" w:fill="FFFFFF"/>
            <w:noWrap/>
          </w:tcPr>
          <w:p w14:paraId="4BAD67E2" w14:textId="4A7236E1" w:rsidR="003D5122" w:rsidRPr="00F32020" w:rsidRDefault="003D5122" w:rsidP="003D5122">
            <w:pPr>
              <w:jc w:val="center"/>
              <w:rPr>
                <w:sz w:val="16"/>
                <w:szCs w:val="16"/>
              </w:rPr>
            </w:pPr>
          </w:p>
        </w:tc>
        <w:tc>
          <w:tcPr>
            <w:tcW w:w="0" w:type="auto"/>
            <w:shd w:val="clear" w:color="000000" w:fill="FFFFFF"/>
            <w:noWrap/>
            <w:vAlign w:val="bottom"/>
          </w:tcPr>
          <w:p w14:paraId="5677208B" w14:textId="52BD7D06" w:rsidR="003D5122" w:rsidRPr="00F32020" w:rsidRDefault="003D5122" w:rsidP="003D5122">
            <w:pPr>
              <w:jc w:val="center"/>
              <w:rPr>
                <w:sz w:val="16"/>
                <w:szCs w:val="16"/>
              </w:rPr>
            </w:pPr>
          </w:p>
        </w:tc>
      </w:tr>
      <w:tr w:rsidR="003D5122" w:rsidRPr="00F32020" w14:paraId="2B2FFE1A" w14:textId="77777777" w:rsidTr="00A02E26">
        <w:trPr>
          <w:trHeight w:val="260"/>
          <w:jc w:val="center"/>
        </w:trPr>
        <w:tc>
          <w:tcPr>
            <w:tcW w:w="2615" w:type="dxa"/>
            <w:shd w:val="clear" w:color="000000" w:fill="FFFFFF"/>
            <w:noWrap/>
            <w:vAlign w:val="bottom"/>
            <w:hideMark/>
          </w:tcPr>
          <w:p w14:paraId="1E4DB8C1" w14:textId="77777777" w:rsidR="003D5122" w:rsidRPr="00F32020" w:rsidRDefault="003D5122" w:rsidP="003D5122">
            <w:pPr>
              <w:rPr>
                <w:sz w:val="16"/>
                <w:szCs w:val="16"/>
              </w:rPr>
            </w:pPr>
            <w:r w:rsidRPr="00F32020">
              <w:rPr>
                <w:sz w:val="16"/>
                <w:szCs w:val="16"/>
              </w:rPr>
              <w:t>Log (Years firm is active)</w:t>
            </w:r>
          </w:p>
        </w:tc>
        <w:tc>
          <w:tcPr>
            <w:tcW w:w="0" w:type="auto"/>
            <w:shd w:val="clear" w:color="000000" w:fill="FFFFFF"/>
            <w:vAlign w:val="bottom"/>
          </w:tcPr>
          <w:p w14:paraId="26B57CE9" w14:textId="77777777" w:rsidR="003D5122" w:rsidRPr="00F32020" w:rsidRDefault="003D5122" w:rsidP="003D5122">
            <w:pPr>
              <w:jc w:val="center"/>
              <w:rPr>
                <w:sz w:val="16"/>
                <w:szCs w:val="16"/>
              </w:rPr>
            </w:pPr>
            <w:r w:rsidRPr="00F32020">
              <w:rPr>
                <w:sz w:val="16"/>
                <w:szCs w:val="16"/>
              </w:rPr>
              <w:t>1.050</w:t>
            </w:r>
          </w:p>
        </w:tc>
        <w:tc>
          <w:tcPr>
            <w:tcW w:w="0" w:type="auto"/>
            <w:shd w:val="clear" w:color="000000" w:fill="FFFFFF"/>
            <w:noWrap/>
          </w:tcPr>
          <w:p w14:paraId="1B85C459" w14:textId="3C711908" w:rsidR="003D5122" w:rsidRPr="00F32020" w:rsidRDefault="003D5122" w:rsidP="003D5122">
            <w:pPr>
              <w:jc w:val="center"/>
              <w:rPr>
                <w:sz w:val="16"/>
                <w:szCs w:val="16"/>
              </w:rPr>
            </w:pPr>
            <w:r w:rsidRPr="00F32020">
              <w:rPr>
                <w:sz w:val="16"/>
                <w:szCs w:val="16"/>
              </w:rPr>
              <w:t>0.996</w:t>
            </w:r>
          </w:p>
        </w:tc>
        <w:tc>
          <w:tcPr>
            <w:tcW w:w="0" w:type="auto"/>
            <w:shd w:val="clear" w:color="000000" w:fill="FFFFFF"/>
            <w:noWrap/>
          </w:tcPr>
          <w:p w14:paraId="75CA4BAB" w14:textId="0284D246" w:rsidR="003D5122" w:rsidRPr="00F32020" w:rsidRDefault="003D5122" w:rsidP="003D5122">
            <w:pPr>
              <w:jc w:val="center"/>
              <w:rPr>
                <w:sz w:val="16"/>
                <w:szCs w:val="16"/>
              </w:rPr>
            </w:pPr>
            <w:r w:rsidRPr="00F32020">
              <w:rPr>
                <w:sz w:val="16"/>
                <w:szCs w:val="16"/>
              </w:rPr>
              <w:t>1.000</w:t>
            </w:r>
          </w:p>
        </w:tc>
        <w:tc>
          <w:tcPr>
            <w:tcW w:w="0" w:type="auto"/>
            <w:shd w:val="clear" w:color="000000" w:fill="FFFFFF"/>
            <w:noWrap/>
            <w:vAlign w:val="bottom"/>
          </w:tcPr>
          <w:p w14:paraId="6CC5C7F2" w14:textId="11F2B08A" w:rsidR="003D5122" w:rsidRPr="00F32020" w:rsidRDefault="003D5122" w:rsidP="003D5122">
            <w:pPr>
              <w:jc w:val="center"/>
              <w:rPr>
                <w:sz w:val="16"/>
                <w:szCs w:val="16"/>
              </w:rPr>
            </w:pPr>
          </w:p>
        </w:tc>
      </w:tr>
      <w:tr w:rsidR="003D5122" w:rsidRPr="00F32020" w14:paraId="6D95496B" w14:textId="77777777" w:rsidTr="00A02E26">
        <w:trPr>
          <w:trHeight w:val="260"/>
          <w:jc w:val="center"/>
        </w:trPr>
        <w:tc>
          <w:tcPr>
            <w:tcW w:w="2615" w:type="dxa"/>
            <w:shd w:val="clear" w:color="000000" w:fill="FFFFFF"/>
            <w:noWrap/>
            <w:vAlign w:val="bottom"/>
            <w:hideMark/>
          </w:tcPr>
          <w:p w14:paraId="6B33FACB"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4429254C" w14:textId="77777777" w:rsidR="003D5122" w:rsidRPr="00F32020" w:rsidRDefault="003D5122" w:rsidP="003D5122">
            <w:pPr>
              <w:jc w:val="center"/>
              <w:rPr>
                <w:sz w:val="16"/>
                <w:szCs w:val="16"/>
              </w:rPr>
            </w:pPr>
            <w:r w:rsidRPr="00F32020">
              <w:rPr>
                <w:sz w:val="16"/>
                <w:szCs w:val="16"/>
              </w:rPr>
              <w:t>(0.0603)</w:t>
            </w:r>
          </w:p>
        </w:tc>
        <w:tc>
          <w:tcPr>
            <w:tcW w:w="0" w:type="auto"/>
            <w:shd w:val="clear" w:color="000000" w:fill="FFFFFF"/>
            <w:noWrap/>
          </w:tcPr>
          <w:p w14:paraId="7988AFA5" w14:textId="59DA15AE" w:rsidR="003D5122" w:rsidRPr="00F32020" w:rsidRDefault="003D5122" w:rsidP="003D5122">
            <w:pPr>
              <w:jc w:val="center"/>
              <w:rPr>
                <w:sz w:val="16"/>
                <w:szCs w:val="16"/>
              </w:rPr>
            </w:pPr>
            <w:r w:rsidRPr="00F32020">
              <w:rPr>
                <w:sz w:val="16"/>
                <w:szCs w:val="16"/>
              </w:rPr>
              <w:t>(0.0277)</w:t>
            </w:r>
          </w:p>
        </w:tc>
        <w:tc>
          <w:tcPr>
            <w:tcW w:w="0" w:type="auto"/>
            <w:shd w:val="clear" w:color="000000" w:fill="FFFFFF"/>
            <w:noWrap/>
          </w:tcPr>
          <w:p w14:paraId="0BC74162" w14:textId="3C837B95" w:rsidR="003D5122" w:rsidRPr="00F32020" w:rsidRDefault="003D5122" w:rsidP="003D5122">
            <w:pPr>
              <w:jc w:val="center"/>
              <w:rPr>
                <w:sz w:val="16"/>
                <w:szCs w:val="16"/>
              </w:rPr>
            </w:pPr>
            <w:r w:rsidRPr="00F32020">
              <w:rPr>
                <w:sz w:val="16"/>
                <w:szCs w:val="16"/>
              </w:rPr>
              <w:t>(0.00733)</w:t>
            </w:r>
          </w:p>
        </w:tc>
        <w:tc>
          <w:tcPr>
            <w:tcW w:w="0" w:type="auto"/>
            <w:shd w:val="clear" w:color="000000" w:fill="FFFFFF"/>
            <w:noWrap/>
            <w:vAlign w:val="bottom"/>
          </w:tcPr>
          <w:p w14:paraId="76240A90" w14:textId="1DDEDD25" w:rsidR="003D5122" w:rsidRPr="00F32020" w:rsidRDefault="003D5122" w:rsidP="003D5122">
            <w:pPr>
              <w:jc w:val="center"/>
              <w:rPr>
                <w:sz w:val="16"/>
                <w:szCs w:val="16"/>
              </w:rPr>
            </w:pPr>
          </w:p>
        </w:tc>
      </w:tr>
      <w:tr w:rsidR="003D5122" w:rsidRPr="00F32020" w14:paraId="7998FAF3" w14:textId="77777777" w:rsidTr="00A02E26">
        <w:trPr>
          <w:trHeight w:val="260"/>
          <w:jc w:val="center"/>
        </w:trPr>
        <w:tc>
          <w:tcPr>
            <w:tcW w:w="2615" w:type="dxa"/>
            <w:shd w:val="clear" w:color="000000" w:fill="FFFFFF"/>
            <w:noWrap/>
            <w:vAlign w:val="bottom"/>
            <w:hideMark/>
          </w:tcPr>
          <w:p w14:paraId="132E781F" w14:textId="77777777" w:rsidR="003D5122" w:rsidRPr="00F32020" w:rsidRDefault="003D5122" w:rsidP="003D5122">
            <w:pPr>
              <w:rPr>
                <w:sz w:val="16"/>
                <w:szCs w:val="16"/>
              </w:rPr>
            </w:pPr>
            <w:r w:rsidRPr="00F32020">
              <w:rPr>
                <w:sz w:val="16"/>
                <w:szCs w:val="16"/>
              </w:rPr>
              <w:t>Log (Revenues in t-1)</w:t>
            </w:r>
          </w:p>
        </w:tc>
        <w:tc>
          <w:tcPr>
            <w:tcW w:w="0" w:type="auto"/>
            <w:shd w:val="clear" w:color="000000" w:fill="FFFFFF"/>
            <w:vAlign w:val="bottom"/>
          </w:tcPr>
          <w:p w14:paraId="78C3069D" w14:textId="77777777" w:rsidR="003D5122" w:rsidRPr="00F32020" w:rsidRDefault="003D5122" w:rsidP="003D5122">
            <w:pPr>
              <w:jc w:val="center"/>
              <w:rPr>
                <w:sz w:val="16"/>
                <w:szCs w:val="16"/>
              </w:rPr>
            </w:pPr>
            <w:r w:rsidRPr="00F32020">
              <w:rPr>
                <w:sz w:val="16"/>
                <w:szCs w:val="16"/>
              </w:rPr>
              <w:t>1.065***</w:t>
            </w:r>
          </w:p>
        </w:tc>
        <w:tc>
          <w:tcPr>
            <w:tcW w:w="0" w:type="auto"/>
            <w:shd w:val="clear" w:color="000000" w:fill="FFFFFF"/>
            <w:noWrap/>
          </w:tcPr>
          <w:p w14:paraId="6CE1AE91" w14:textId="1E7EA2E2" w:rsidR="003D5122" w:rsidRPr="00F32020" w:rsidRDefault="003D5122" w:rsidP="003D5122">
            <w:pPr>
              <w:jc w:val="center"/>
              <w:rPr>
                <w:sz w:val="16"/>
                <w:szCs w:val="16"/>
              </w:rPr>
            </w:pPr>
            <w:r w:rsidRPr="00F32020">
              <w:rPr>
                <w:sz w:val="16"/>
                <w:szCs w:val="16"/>
              </w:rPr>
              <w:t>1.029***</w:t>
            </w:r>
          </w:p>
        </w:tc>
        <w:tc>
          <w:tcPr>
            <w:tcW w:w="0" w:type="auto"/>
            <w:shd w:val="clear" w:color="000000" w:fill="FFFFFF"/>
            <w:noWrap/>
          </w:tcPr>
          <w:p w14:paraId="28F2E27E" w14:textId="1B28C6CB" w:rsidR="003D5122" w:rsidRPr="00F32020" w:rsidRDefault="003D5122" w:rsidP="003D5122">
            <w:pPr>
              <w:jc w:val="center"/>
              <w:rPr>
                <w:sz w:val="16"/>
                <w:szCs w:val="16"/>
              </w:rPr>
            </w:pPr>
            <w:r w:rsidRPr="00F32020">
              <w:rPr>
                <w:sz w:val="16"/>
                <w:szCs w:val="16"/>
              </w:rPr>
              <w:t>1.008***</w:t>
            </w:r>
          </w:p>
        </w:tc>
        <w:tc>
          <w:tcPr>
            <w:tcW w:w="0" w:type="auto"/>
            <w:shd w:val="clear" w:color="000000" w:fill="FFFFFF"/>
            <w:noWrap/>
            <w:vAlign w:val="bottom"/>
          </w:tcPr>
          <w:p w14:paraId="08E7D252" w14:textId="5B471DC3" w:rsidR="003D5122" w:rsidRPr="00F32020" w:rsidRDefault="003D5122" w:rsidP="003D5122">
            <w:pPr>
              <w:jc w:val="center"/>
              <w:rPr>
                <w:sz w:val="16"/>
                <w:szCs w:val="16"/>
              </w:rPr>
            </w:pPr>
          </w:p>
        </w:tc>
      </w:tr>
      <w:tr w:rsidR="003D5122" w:rsidRPr="00F32020" w14:paraId="400C6092" w14:textId="77777777" w:rsidTr="00A02E26">
        <w:trPr>
          <w:trHeight w:val="260"/>
          <w:jc w:val="center"/>
        </w:trPr>
        <w:tc>
          <w:tcPr>
            <w:tcW w:w="2615" w:type="dxa"/>
            <w:shd w:val="clear" w:color="000000" w:fill="FFFFFF"/>
            <w:noWrap/>
            <w:vAlign w:val="bottom"/>
            <w:hideMark/>
          </w:tcPr>
          <w:p w14:paraId="7CE046BE"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4306DAA3" w14:textId="77777777" w:rsidR="003D5122" w:rsidRPr="00F32020" w:rsidRDefault="003D5122" w:rsidP="003D5122">
            <w:pPr>
              <w:jc w:val="center"/>
              <w:rPr>
                <w:sz w:val="16"/>
                <w:szCs w:val="16"/>
              </w:rPr>
            </w:pPr>
            <w:r w:rsidRPr="00F32020">
              <w:rPr>
                <w:sz w:val="16"/>
                <w:szCs w:val="16"/>
              </w:rPr>
              <w:t>(0.0081)</w:t>
            </w:r>
          </w:p>
        </w:tc>
        <w:tc>
          <w:tcPr>
            <w:tcW w:w="0" w:type="auto"/>
            <w:shd w:val="clear" w:color="000000" w:fill="FFFFFF"/>
            <w:noWrap/>
          </w:tcPr>
          <w:p w14:paraId="78FE838A" w14:textId="7B3B7670" w:rsidR="003D5122" w:rsidRPr="00F32020" w:rsidRDefault="003D5122" w:rsidP="003D5122">
            <w:pPr>
              <w:jc w:val="center"/>
              <w:rPr>
                <w:sz w:val="16"/>
                <w:szCs w:val="16"/>
              </w:rPr>
            </w:pPr>
            <w:r w:rsidRPr="00F32020">
              <w:rPr>
                <w:sz w:val="16"/>
                <w:szCs w:val="16"/>
              </w:rPr>
              <w:t>(0.00384)</w:t>
            </w:r>
          </w:p>
        </w:tc>
        <w:tc>
          <w:tcPr>
            <w:tcW w:w="0" w:type="auto"/>
            <w:shd w:val="clear" w:color="000000" w:fill="FFFFFF"/>
            <w:noWrap/>
          </w:tcPr>
          <w:p w14:paraId="57094DA7" w14:textId="065F250E" w:rsidR="003D5122" w:rsidRPr="00F32020" w:rsidRDefault="003D5122" w:rsidP="003D5122">
            <w:pPr>
              <w:jc w:val="center"/>
              <w:rPr>
                <w:sz w:val="16"/>
                <w:szCs w:val="16"/>
              </w:rPr>
            </w:pPr>
            <w:r w:rsidRPr="00F32020">
              <w:rPr>
                <w:sz w:val="16"/>
                <w:szCs w:val="16"/>
              </w:rPr>
              <w:t>(0.00102)</w:t>
            </w:r>
          </w:p>
        </w:tc>
        <w:tc>
          <w:tcPr>
            <w:tcW w:w="0" w:type="auto"/>
            <w:shd w:val="clear" w:color="000000" w:fill="FFFFFF"/>
            <w:noWrap/>
            <w:vAlign w:val="bottom"/>
          </w:tcPr>
          <w:p w14:paraId="1AF4D7B6" w14:textId="5ECF42F9" w:rsidR="003D5122" w:rsidRPr="00F32020" w:rsidRDefault="003D5122" w:rsidP="003D5122">
            <w:pPr>
              <w:jc w:val="center"/>
              <w:rPr>
                <w:sz w:val="16"/>
                <w:szCs w:val="16"/>
              </w:rPr>
            </w:pPr>
          </w:p>
        </w:tc>
      </w:tr>
      <w:tr w:rsidR="003D5122" w:rsidRPr="00F32020" w14:paraId="484C8DBE" w14:textId="77777777" w:rsidTr="00A02E26">
        <w:trPr>
          <w:trHeight w:val="260"/>
          <w:jc w:val="center"/>
        </w:trPr>
        <w:tc>
          <w:tcPr>
            <w:tcW w:w="2615" w:type="dxa"/>
            <w:shd w:val="clear" w:color="000000" w:fill="FFFFFF"/>
            <w:noWrap/>
            <w:vAlign w:val="bottom"/>
            <w:hideMark/>
          </w:tcPr>
          <w:p w14:paraId="35E18646" w14:textId="77777777" w:rsidR="003D5122" w:rsidRPr="00F32020" w:rsidRDefault="003D5122" w:rsidP="003D5122">
            <w:pPr>
              <w:rPr>
                <w:sz w:val="16"/>
                <w:szCs w:val="16"/>
              </w:rPr>
            </w:pPr>
            <w:r w:rsidRPr="00F32020">
              <w:rPr>
                <w:sz w:val="16"/>
                <w:szCs w:val="16"/>
              </w:rPr>
              <w:t>Non-for-profit type</w:t>
            </w:r>
          </w:p>
        </w:tc>
        <w:tc>
          <w:tcPr>
            <w:tcW w:w="0" w:type="auto"/>
            <w:shd w:val="clear" w:color="000000" w:fill="FFFFFF"/>
            <w:vAlign w:val="bottom"/>
          </w:tcPr>
          <w:p w14:paraId="27E8FEFA" w14:textId="77777777" w:rsidR="003D5122" w:rsidRPr="00F32020" w:rsidRDefault="003D5122" w:rsidP="003D5122">
            <w:pPr>
              <w:jc w:val="center"/>
              <w:rPr>
                <w:sz w:val="16"/>
                <w:szCs w:val="16"/>
              </w:rPr>
            </w:pPr>
            <w:r w:rsidRPr="00F32020">
              <w:rPr>
                <w:sz w:val="16"/>
                <w:szCs w:val="16"/>
              </w:rPr>
              <w:t>0.862</w:t>
            </w:r>
          </w:p>
        </w:tc>
        <w:tc>
          <w:tcPr>
            <w:tcW w:w="0" w:type="auto"/>
            <w:shd w:val="clear" w:color="000000" w:fill="FFFFFF"/>
            <w:noWrap/>
          </w:tcPr>
          <w:p w14:paraId="308A849A" w14:textId="18198C47" w:rsidR="003D5122" w:rsidRPr="00F32020" w:rsidRDefault="003D5122" w:rsidP="003D5122">
            <w:pPr>
              <w:jc w:val="center"/>
              <w:rPr>
                <w:sz w:val="16"/>
                <w:szCs w:val="16"/>
              </w:rPr>
            </w:pPr>
            <w:r w:rsidRPr="00F32020">
              <w:rPr>
                <w:sz w:val="16"/>
                <w:szCs w:val="16"/>
              </w:rPr>
              <w:t>0.846</w:t>
            </w:r>
          </w:p>
        </w:tc>
        <w:tc>
          <w:tcPr>
            <w:tcW w:w="0" w:type="auto"/>
            <w:shd w:val="clear" w:color="000000" w:fill="FFFFFF"/>
            <w:noWrap/>
          </w:tcPr>
          <w:p w14:paraId="4D0DE23C" w14:textId="0B1D2C42" w:rsidR="003D5122" w:rsidRPr="00F32020" w:rsidRDefault="003D5122" w:rsidP="003D5122">
            <w:pPr>
              <w:jc w:val="center"/>
              <w:rPr>
                <w:sz w:val="16"/>
                <w:szCs w:val="16"/>
              </w:rPr>
            </w:pPr>
            <w:r w:rsidRPr="00F32020">
              <w:rPr>
                <w:sz w:val="16"/>
                <w:szCs w:val="16"/>
              </w:rPr>
              <w:t>0.957***</w:t>
            </w:r>
          </w:p>
        </w:tc>
        <w:tc>
          <w:tcPr>
            <w:tcW w:w="0" w:type="auto"/>
            <w:shd w:val="clear" w:color="000000" w:fill="FFFFFF"/>
            <w:noWrap/>
            <w:vAlign w:val="bottom"/>
          </w:tcPr>
          <w:p w14:paraId="28ACECEB" w14:textId="0643DFC3" w:rsidR="003D5122" w:rsidRPr="00F32020" w:rsidRDefault="003D5122" w:rsidP="003D5122">
            <w:pPr>
              <w:jc w:val="center"/>
              <w:rPr>
                <w:sz w:val="16"/>
                <w:szCs w:val="16"/>
              </w:rPr>
            </w:pPr>
          </w:p>
        </w:tc>
      </w:tr>
      <w:tr w:rsidR="003D5122" w:rsidRPr="00F32020" w14:paraId="4E32C751" w14:textId="77777777" w:rsidTr="00A02E26">
        <w:trPr>
          <w:trHeight w:val="260"/>
          <w:jc w:val="center"/>
        </w:trPr>
        <w:tc>
          <w:tcPr>
            <w:tcW w:w="2615" w:type="dxa"/>
            <w:shd w:val="clear" w:color="000000" w:fill="FFFFFF"/>
            <w:noWrap/>
            <w:vAlign w:val="bottom"/>
            <w:hideMark/>
          </w:tcPr>
          <w:p w14:paraId="3BE68F03"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17092987" w14:textId="77777777" w:rsidR="003D5122" w:rsidRPr="00F32020" w:rsidRDefault="003D5122" w:rsidP="003D5122">
            <w:pPr>
              <w:jc w:val="center"/>
              <w:rPr>
                <w:sz w:val="16"/>
                <w:szCs w:val="16"/>
              </w:rPr>
            </w:pPr>
            <w:r w:rsidRPr="00F32020">
              <w:rPr>
                <w:sz w:val="16"/>
                <w:szCs w:val="16"/>
              </w:rPr>
              <w:t>(0.1060)</w:t>
            </w:r>
          </w:p>
        </w:tc>
        <w:tc>
          <w:tcPr>
            <w:tcW w:w="0" w:type="auto"/>
            <w:shd w:val="clear" w:color="000000" w:fill="FFFFFF"/>
            <w:noWrap/>
          </w:tcPr>
          <w:p w14:paraId="558AE5CD" w14:textId="5AFB4B08" w:rsidR="003D5122" w:rsidRPr="00F32020" w:rsidRDefault="003D5122" w:rsidP="003D5122">
            <w:pPr>
              <w:jc w:val="center"/>
              <w:rPr>
                <w:sz w:val="16"/>
                <w:szCs w:val="16"/>
              </w:rPr>
            </w:pPr>
            <w:r w:rsidRPr="00F32020">
              <w:rPr>
                <w:sz w:val="16"/>
                <w:szCs w:val="16"/>
              </w:rPr>
              <w:t>(0.1476)</w:t>
            </w:r>
          </w:p>
        </w:tc>
        <w:tc>
          <w:tcPr>
            <w:tcW w:w="0" w:type="auto"/>
            <w:shd w:val="clear" w:color="000000" w:fill="FFFFFF"/>
            <w:noWrap/>
          </w:tcPr>
          <w:p w14:paraId="4C9EC76F" w14:textId="79378CDB" w:rsidR="003D5122" w:rsidRPr="00F32020" w:rsidRDefault="003D5122" w:rsidP="003D5122">
            <w:pPr>
              <w:jc w:val="center"/>
              <w:rPr>
                <w:sz w:val="16"/>
                <w:szCs w:val="16"/>
              </w:rPr>
            </w:pPr>
            <w:r w:rsidRPr="00F32020">
              <w:rPr>
                <w:sz w:val="16"/>
                <w:szCs w:val="16"/>
              </w:rPr>
              <w:t>(0.0132)</w:t>
            </w:r>
          </w:p>
        </w:tc>
        <w:tc>
          <w:tcPr>
            <w:tcW w:w="0" w:type="auto"/>
            <w:shd w:val="clear" w:color="000000" w:fill="FFFFFF"/>
            <w:noWrap/>
            <w:vAlign w:val="bottom"/>
          </w:tcPr>
          <w:p w14:paraId="0255BEA0" w14:textId="17EB718C" w:rsidR="003D5122" w:rsidRPr="00F32020" w:rsidRDefault="003D5122" w:rsidP="003D5122">
            <w:pPr>
              <w:jc w:val="center"/>
              <w:rPr>
                <w:sz w:val="16"/>
                <w:szCs w:val="16"/>
              </w:rPr>
            </w:pPr>
          </w:p>
        </w:tc>
      </w:tr>
      <w:tr w:rsidR="003D5122" w:rsidRPr="00F32020" w14:paraId="2A90E568" w14:textId="77777777" w:rsidTr="00A02E26">
        <w:trPr>
          <w:trHeight w:val="260"/>
          <w:jc w:val="center"/>
        </w:trPr>
        <w:tc>
          <w:tcPr>
            <w:tcW w:w="2615" w:type="dxa"/>
            <w:shd w:val="clear" w:color="000000" w:fill="FFFFFF"/>
            <w:noWrap/>
            <w:vAlign w:val="bottom"/>
            <w:hideMark/>
          </w:tcPr>
          <w:p w14:paraId="0D154F50" w14:textId="77777777" w:rsidR="003D5122" w:rsidRPr="00F32020" w:rsidRDefault="003D5122" w:rsidP="003D5122">
            <w:pPr>
              <w:rPr>
                <w:sz w:val="16"/>
                <w:szCs w:val="16"/>
              </w:rPr>
            </w:pPr>
            <w:r w:rsidRPr="00F32020">
              <w:rPr>
                <w:sz w:val="16"/>
                <w:szCs w:val="16"/>
              </w:rPr>
              <w:t>Social Motives</w:t>
            </w:r>
          </w:p>
        </w:tc>
        <w:tc>
          <w:tcPr>
            <w:tcW w:w="0" w:type="auto"/>
            <w:shd w:val="clear" w:color="000000" w:fill="FFFFFF"/>
            <w:vAlign w:val="bottom"/>
          </w:tcPr>
          <w:p w14:paraId="05905E39" w14:textId="77777777" w:rsidR="003D5122" w:rsidRPr="00F32020" w:rsidRDefault="003D5122" w:rsidP="003D5122">
            <w:pPr>
              <w:jc w:val="center"/>
              <w:rPr>
                <w:sz w:val="16"/>
                <w:szCs w:val="16"/>
              </w:rPr>
            </w:pPr>
            <w:r w:rsidRPr="00F32020">
              <w:rPr>
                <w:sz w:val="16"/>
                <w:szCs w:val="16"/>
              </w:rPr>
              <w:t>0.906</w:t>
            </w:r>
          </w:p>
        </w:tc>
        <w:tc>
          <w:tcPr>
            <w:tcW w:w="0" w:type="auto"/>
            <w:shd w:val="clear" w:color="000000" w:fill="FFFFFF"/>
            <w:noWrap/>
          </w:tcPr>
          <w:p w14:paraId="0E7B5FFD" w14:textId="3F831218" w:rsidR="003D5122" w:rsidRPr="00F32020" w:rsidRDefault="003D5122" w:rsidP="003D5122">
            <w:pPr>
              <w:jc w:val="center"/>
              <w:rPr>
                <w:sz w:val="16"/>
                <w:szCs w:val="16"/>
              </w:rPr>
            </w:pPr>
            <w:r w:rsidRPr="00F32020">
              <w:rPr>
                <w:sz w:val="16"/>
                <w:szCs w:val="16"/>
              </w:rPr>
              <w:t>0.884</w:t>
            </w:r>
          </w:p>
        </w:tc>
        <w:tc>
          <w:tcPr>
            <w:tcW w:w="0" w:type="auto"/>
            <w:shd w:val="clear" w:color="000000" w:fill="FFFFFF"/>
            <w:noWrap/>
          </w:tcPr>
          <w:p w14:paraId="2E1E37FD" w14:textId="6323A631" w:rsidR="003D5122" w:rsidRPr="00F32020" w:rsidRDefault="003D5122" w:rsidP="003D5122">
            <w:pPr>
              <w:jc w:val="center"/>
              <w:rPr>
                <w:sz w:val="16"/>
                <w:szCs w:val="16"/>
              </w:rPr>
            </w:pPr>
            <w:r w:rsidRPr="00F32020">
              <w:rPr>
                <w:sz w:val="16"/>
                <w:szCs w:val="16"/>
              </w:rPr>
              <w:t>0.968**</w:t>
            </w:r>
          </w:p>
        </w:tc>
        <w:tc>
          <w:tcPr>
            <w:tcW w:w="0" w:type="auto"/>
            <w:shd w:val="clear" w:color="000000" w:fill="FFFFFF"/>
            <w:noWrap/>
            <w:vAlign w:val="bottom"/>
          </w:tcPr>
          <w:p w14:paraId="5856BEE6" w14:textId="4AEEBB3F" w:rsidR="003D5122" w:rsidRPr="00F32020" w:rsidRDefault="003D5122" w:rsidP="003D5122">
            <w:pPr>
              <w:jc w:val="center"/>
              <w:rPr>
                <w:sz w:val="16"/>
                <w:szCs w:val="16"/>
              </w:rPr>
            </w:pPr>
          </w:p>
        </w:tc>
      </w:tr>
      <w:tr w:rsidR="003D5122" w:rsidRPr="00F32020" w14:paraId="1BB31161" w14:textId="77777777" w:rsidTr="00A02E26">
        <w:trPr>
          <w:trHeight w:val="260"/>
          <w:jc w:val="center"/>
        </w:trPr>
        <w:tc>
          <w:tcPr>
            <w:tcW w:w="2615" w:type="dxa"/>
            <w:shd w:val="clear" w:color="000000" w:fill="FFFFFF"/>
            <w:noWrap/>
            <w:vAlign w:val="bottom"/>
            <w:hideMark/>
          </w:tcPr>
          <w:p w14:paraId="13BD95C2"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6B26F82F" w14:textId="77777777" w:rsidR="003D5122" w:rsidRPr="00F32020" w:rsidRDefault="003D5122" w:rsidP="003D5122">
            <w:pPr>
              <w:jc w:val="center"/>
              <w:rPr>
                <w:sz w:val="16"/>
                <w:szCs w:val="16"/>
              </w:rPr>
            </w:pPr>
            <w:r w:rsidRPr="00F32020">
              <w:rPr>
                <w:sz w:val="16"/>
                <w:szCs w:val="16"/>
              </w:rPr>
              <w:t>(0.0957)</w:t>
            </w:r>
          </w:p>
        </w:tc>
        <w:tc>
          <w:tcPr>
            <w:tcW w:w="0" w:type="auto"/>
            <w:shd w:val="clear" w:color="000000" w:fill="FFFFFF"/>
            <w:noWrap/>
          </w:tcPr>
          <w:p w14:paraId="510C1291" w14:textId="269F345E" w:rsidR="003D5122" w:rsidRPr="00F32020" w:rsidRDefault="003D5122" w:rsidP="003D5122">
            <w:pPr>
              <w:jc w:val="center"/>
              <w:rPr>
                <w:sz w:val="16"/>
                <w:szCs w:val="16"/>
              </w:rPr>
            </w:pPr>
            <w:r w:rsidRPr="00F32020">
              <w:rPr>
                <w:sz w:val="16"/>
                <w:szCs w:val="16"/>
              </w:rPr>
              <w:t>(0.0960)</w:t>
            </w:r>
          </w:p>
        </w:tc>
        <w:tc>
          <w:tcPr>
            <w:tcW w:w="0" w:type="auto"/>
            <w:shd w:val="clear" w:color="000000" w:fill="FFFFFF"/>
            <w:noWrap/>
          </w:tcPr>
          <w:p w14:paraId="5731294E" w14:textId="69AB9092" w:rsidR="003D5122" w:rsidRPr="00F32020" w:rsidRDefault="003D5122" w:rsidP="003D5122">
            <w:pPr>
              <w:jc w:val="center"/>
              <w:rPr>
                <w:sz w:val="16"/>
                <w:szCs w:val="16"/>
              </w:rPr>
            </w:pPr>
            <w:r w:rsidRPr="00F32020">
              <w:rPr>
                <w:sz w:val="16"/>
                <w:szCs w:val="16"/>
              </w:rPr>
              <w:t>(0.0140)</w:t>
            </w:r>
          </w:p>
        </w:tc>
        <w:tc>
          <w:tcPr>
            <w:tcW w:w="0" w:type="auto"/>
            <w:shd w:val="clear" w:color="000000" w:fill="FFFFFF"/>
            <w:noWrap/>
            <w:vAlign w:val="bottom"/>
          </w:tcPr>
          <w:p w14:paraId="140A6D01" w14:textId="0458808D" w:rsidR="003D5122" w:rsidRPr="00F32020" w:rsidRDefault="003D5122" w:rsidP="003D5122">
            <w:pPr>
              <w:jc w:val="center"/>
              <w:rPr>
                <w:sz w:val="16"/>
                <w:szCs w:val="16"/>
              </w:rPr>
            </w:pPr>
          </w:p>
        </w:tc>
      </w:tr>
      <w:tr w:rsidR="003D5122" w:rsidRPr="00F32020" w14:paraId="47022BDD" w14:textId="77777777" w:rsidTr="00A02E26">
        <w:trPr>
          <w:trHeight w:val="260"/>
          <w:jc w:val="center"/>
        </w:trPr>
        <w:tc>
          <w:tcPr>
            <w:tcW w:w="2615" w:type="dxa"/>
            <w:shd w:val="clear" w:color="000000" w:fill="FFFFFF"/>
            <w:noWrap/>
            <w:vAlign w:val="bottom"/>
            <w:hideMark/>
          </w:tcPr>
          <w:p w14:paraId="3FAE7999" w14:textId="77777777" w:rsidR="003D5122" w:rsidRPr="00F32020" w:rsidRDefault="003D5122" w:rsidP="003D5122">
            <w:pPr>
              <w:rPr>
                <w:sz w:val="16"/>
                <w:szCs w:val="16"/>
              </w:rPr>
            </w:pPr>
            <w:r w:rsidRPr="00F32020">
              <w:rPr>
                <w:sz w:val="16"/>
                <w:szCs w:val="16"/>
              </w:rPr>
              <w:t>Model invention-based</w:t>
            </w:r>
          </w:p>
        </w:tc>
        <w:tc>
          <w:tcPr>
            <w:tcW w:w="0" w:type="auto"/>
            <w:shd w:val="clear" w:color="000000" w:fill="FFFFFF"/>
            <w:vAlign w:val="bottom"/>
          </w:tcPr>
          <w:p w14:paraId="237BC7BD" w14:textId="77777777" w:rsidR="003D5122" w:rsidRPr="00F32020" w:rsidRDefault="003D5122" w:rsidP="003D5122">
            <w:pPr>
              <w:jc w:val="center"/>
              <w:rPr>
                <w:sz w:val="16"/>
                <w:szCs w:val="16"/>
              </w:rPr>
            </w:pPr>
            <w:r w:rsidRPr="00F32020">
              <w:rPr>
                <w:sz w:val="16"/>
                <w:szCs w:val="16"/>
              </w:rPr>
              <w:t>1.121*</w:t>
            </w:r>
          </w:p>
        </w:tc>
        <w:tc>
          <w:tcPr>
            <w:tcW w:w="0" w:type="auto"/>
            <w:shd w:val="clear" w:color="000000" w:fill="FFFFFF"/>
            <w:noWrap/>
          </w:tcPr>
          <w:p w14:paraId="5EAA5960" w14:textId="7DAE8A01" w:rsidR="003D5122" w:rsidRPr="00F32020" w:rsidRDefault="003D5122" w:rsidP="003D5122">
            <w:pPr>
              <w:jc w:val="center"/>
              <w:rPr>
                <w:sz w:val="16"/>
                <w:szCs w:val="16"/>
              </w:rPr>
            </w:pPr>
            <w:r w:rsidRPr="00F32020">
              <w:rPr>
                <w:sz w:val="16"/>
                <w:szCs w:val="16"/>
              </w:rPr>
              <w:t>0.919</w:t>
            </w:r>
          </w:p>
        </w:tc>
        <w:tc>
          <w:tcPr>
            <w:tcW w:w="0" w:type="auto"/>
            <w:shd w:val="clear" w:color="000000" w:fill="FFFFFF"/>
            <w:noWrap/>
          </w:tcPr>
          <w:p w14:paraId="4833AF29" w14:textId="75D62B05" w:rsidR="003D5122" w:rsidRPr="00F32020" w:rsidRDefault="003D5122" w:rsidP="003D5122">
            <w:pPr>
              <w:jc w:val="center"/>
              <w:rPr>
                <w:sz w:val="16"/>
                <w:szCs w:val="16"/>
              </w:rPr>
            </w:pPr>
            <w:r w:rsidRPr="00F32020">
              <w:rPr>
                <w:sz w:val="16"/>
                <w:szCs w:val="16"/>
              </w:rPr>
              <w:t>0.976***</w:t>
            </w:r>
          </w:p>
        </w:tc>
        <w:tc>
          <w:tcPr>
            <w:tcW w:w="0" w:type="auto"/>
            <w:shd w:val="clear" w:color="000000" w:fill="FFFFFF"/>
            <w:noWrap/>
            <w:vAlign w:val="bottom"/>
          </w:tcPr>
          <w:p w14:paraId="01D39855" w14:textId="518B95D3" w:rsidR="003D5122" w:rsidRPr="00F32020" w:rsidRDefault="003D5122" w:rsidP="003D5122">
            <w:pPr>
              <w:jc w:val="center"/>
              <w:rPr>
                <w:sz w:val="16"/>
                <w:szCs w:val="16"/>
              </w:rPr>
            </w:pPr>
          </w:p>
        </w:tc>
      </w:tr>
      <w:tr w:rsidR="003D5122" w:rsidRPr="00F32020" w14:paraId="0A78D6BB" w14:textId="77777777" w:rsidTr="00A02E26">
        <w:trPr>
          <w:trHeight w:val="260"/>
          <w:jc w:val="center"/>
        </w:trPr>
        <w:tc>
          <w:tcPr>
            <w:tcW w:w="2615" w:type="dxa"/>
            <w:shd w:val="clear" w:color="000000" w:fill="FFFFFF"/>
            <w:noWrap/>
            <w:vAlign w:val="bottom"/>
            <w:hideMark/>
          </w:tcPr>
          <w:p w14:paraId="39599D1F"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3DED6DF4" w14:textId="77777777" w:rsidR="003D5122" w:rsidRPr="00F32020" w:rsidRDefault="003D5122" w:rsidP="003D5122">
            <w:pPr>
              <w:jc w:val="center"/>
              <w:rPr>
                <w:sz w:val="16"/>
                <w:szCs w:val="16"/>
              </w:rPr>
            </w:pPr>
            <w:r w:rsidRPr="00F32020">
              <w:rPr>
                <w:sz w:val="16"/>
                <w:szCs w:val="16"/>
              </w:rPr>
              <w:t>(0.0751)</w:t>
            </w:r>
          </w:p>
        </w:tc>
        <w:tc>
          <w:tcPr>
            <w:tcW w:w="0" w:type="auto"/>
            <w:shd w:val="clear" w:color="000000" w:fill="FFFFFF"/>
            <w:noWrap/>
          </w:tcPr>
          <w:p w14:paraId="589FEC40" w14:textId="793EC1BF" w:rsidR="003D5122" w:rsidRPr="00F32020" w:rsidRDefault="003D5122" w:rsidP="003D5122">
            <w:pPr>
              <w:jc w:val="center"/>
              <w:rPr>
                <w:sz w:val="16"/>
                <w:szCs w:val="16"/>
              </w:rPr>
            </w:pPr>
            <w:r w:rsidRPr="00F32020">
              <w:rPr>
                <w:sz w:val="16"/>
                <w:szCs w:val="16"/>
              </w:rPr>
              <w:t>(0.1093)</w:t>
            </w:r>
          </w:p>
        </w:tc>
        <w:tc>
          <w:tcPr>
            <w:tcW w:w="0" w:type="auto"/>
            <w:shd w:val="clear" w:color="000000" w:fill="FFFFFF"/>
            <w:noWrap/>
          </w:tcPr>
          <w:p w14:paraId="0A373F73" w14:textId="343D53EE" w:rsidR="003D5122" w:rsidRPr="00F32020" w:rsidRDefault="003D5122" w:rsidP="003D5122">
            <w:pPr>
              <w:jc w:val="center"/>
              <w:rPr>
                <w:sz w:val="16"/>
                <w:szCs w:val="16"/>
              </w:rPr>
            </w:pPr>
            <w:r w:rsidRPr="00F32020">
              <w:rPr>
                <w:sz w:val="16"/>
                <w:szCs w:val="16"/>
              </w:rPr>
              <w:t>(0.00825)</w:t>
            </w:r>
          </w:p>
        </w:tc>
        <w:tc>
          <w:tcPr>
            <w:tcW w:w="0" w:type="auto"/>
            <w:shd w:val="clear" w:color="000000" w:fill="FFFFFF"/>
            <w:noWrap/>
            <w:vAlign w:val="bottom"/>
          </w:tcPr>
          <w:p w14:paraId="0489DD59" w14:textId="50EACD17" w:rsidR="003D5122" w:rsidRPr="00F32020" w:rsidRDefault="003D5122" w:rsidP="003D5122">
            <w:pPr>
              <w:jc w:val="center"/>
              <w:rPr>
                <w:sz w:val="16"/>
                <w:szCs w:val="16"/>
              </w:rPr>
            </w:pPr>
          </w:p>
        </w:tc>
      </w:tr>
      <w:tr w:rsidR="003D5122" w:rsidRPr="00F32020" w14:paraId="27DDCCC7" w14:textId="77777777" w:rsidTr="00A02E26">
        <w:trPr>
          <w:trHeight w:val="260"/>
          <w:jc w:val="center"/>
        </w:trPr>
        <w:tc>
          <w:tcPr>
            <w:tcW w:w="2615" w:type="dxa"/>
            <w:shd w:val="clear" w:color="000000" w:fill="FFFFFF"/>
            <w:noWrap/>
            <w:vAlign w:val="bottom"/>
            <w:hideMark/>
          </w:tcPr>
          <w:p w14:paraId="58D27CE1" w14:textId="77777777" w:rsidR="003D5122" w:rsidRPr="00F32020" w:rsidRDefault="003D5122" w:rsidP="003D5122">
            <w:pPr>
              <w:rPr>
                <w:sz w:val="16"/>
                <w:szCs w:val="16"/>
              </w:rPr>
            </w:pPr>
            <w:r w:rsidRPr="00F32020">
              <w:rPr>
                <w:sz w:val="16"/>
                <w:szCs w:val="16"/>
              </w:rPr>
              <w:t>Intellectual Property</w:t>
            </w:r>
          </w:p>
        </w:tc>
        <w:tc>
          <w:tcPr>
            <w:tcW w:w="0" w:type="auto"/>
            <w:shd w:val="clear" w:color="000000" w:fill="FFFFFF"/>
            <w:vAlign w:val="bottom"/>
          </w:tcPr>
          <w:p w14:paraId="1E0D9F61" w14:textId="77777777" w:rsidR="003D5122" w:rsidRPr="00F32020" w:rsidRDefault="003D5122" w:rsidP="003D5122">
            <w:pPr>
              <w:jc w:val="center"/>
              <w:rPr>
                <w:sz w:val="16"/>
                <w:szCs w:val="16"/>
              </w:rPr>
            </w:pPr>
            <w:r w:rsidRPr="00F32020">
              <w:rPr>
                <w:sz w:val="16"/>
                <w:szCs w:val="16"/>
              </w:rPr>
              <w:t>1.010</w:t>
            </w:r>
          </w:p>
        </w:tc>
        <w:tc>
          <w:tcPr>
            <w:tcW w:w="0" w:type="auto"/>
            <w:shd w:val="clear" w:color="000000" w:fill="FFFFFF"/>
            <w:noWrap/>
          </w:tcPr>
          <w:p w14:paraId="0BA80556" w14:textId="1649E14E" w:rsidR="003D5122" w:rsidRPr="00F32020" w:rsidRDefault="003D5122" w:rsidP="003D5122">
            <w:pPr>
              <w:jc w:val="center"/>
              <w:rPr>
                <w:sz w:val="16"/>
                <w:szCs w:val="16"/>
              </w:rPr>
            </w:pPr>
            <w:r w:rsidRPr="00F32020">
              <w:rPr>
                <w:sz w:val="16"/>
                <w:szCs w:val="16"/>
              </w:rPr>
              <w:t>0.957</w:t>
            </w:r>
          </w:p>
        </w:tc>
        <w:tc>
          <w:tcPr>
            <w:tcW w:w="0" w:type="auto"/>
            <w:shd w:val="clear" w:color="000000" w:fill="FFFFFF"/>
            <w:noWrap/>
          </w:tcPr>
          <w:p w14:paraId="47E17774" w14:textId="2FC9A7B4" w:rsidR="003D5122" w:rsidRPr="00F32020" w:rsidRDefault="003D5122" w:rsidP="003D5122">
            <w:pPr>
              <w:jc w:val="center"/>
              <w:rPr>
                <w:sz w:val="16"/>
                <w:szCs w:val="16"/>
              </w:rPr>
            </w:pPr>
            <w:r w:rsidRPr="00F32020">
              <w:rPr>
                <w:sz w:val="16"/>
                <w:szCs w:val="16"/>
              </w:rPr>
              <w:t>0.988</w:t>
            </w:r>
          </w:p>
        </w:tc>
        <w:tc>
          <w:tcPr>
            <w:tcW w:w="0" w:type="auto"/>
            <w:shd w:val="clear" w:color="000000" w:fill="FFFFFF"/>
            <w:noWrap/>
            <w:vAlign w:val="bottom"/>
          </w:tcPr>
          <w:p w14:paraId="2FB0745C" w14:textId="04E267FA" w:rsidR="003D5122" w:rsidRPr="00F32020" w:rsidRDefault="003D5122" w:rsidP="003D5122">
            <w:pPr>
              <w:jc w:val="center"/>
              <w:rPr>
                <w:sz w:val="16"/>
                <w:szCs w:val="16"/>
              </w:rPr>
            </w:pPr>
          </w:p>
        </w:tc>
      </w:tr>
      <w:tr w:rsidR="003D5122" w:rsidRPr="00F32020" w14:paraId="0DA9BD1D" w14:textId="77777777" w:rsidTr="00A02E26">
        <w:trPr>
          <w:trHeight w:val="260"/>
          <w:jc w:val="center"/>
        </w:trPr>
        <w:tc>
          <w:tcPr>
            <w:tcW w:w="2615" w:type="dxa"/>
            <w:shd w:val="clear" w:color="000000" w:fill="FFFFFF"/>
            <w:noWrap/>
            <w:vAlign w:val="bottom"/>
            <w:hideMark/>
          </w:tcPr>
          <w:p w14:paraId="0305AF69"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0C26FCB4" w14:textId="77777777" w:rsidR="003D5122" w:rsidRPr="00F32020" w:rsidRDefault="003D5122" w:rsidP="003D5122">
            <w:pPr>
              <w:jc w:val="center"/>
              <w:rPr>
                <w:sz w:val="16"/>
                <w:szCs w:val="16"/>
              </w:rPr>
            </w:pPr>
            <w:r w:rsidRPr="00F32020">
              <w:rPr>
                <w:sz w:val="16"/>
                <w:szCs w:val="16"/>
              </w:rPr>
              <w:t>(0.0666)</w:t>
            </w:r>
          </w:p>
        </w:tc>
        <w:tc>
          <w:tcPr>
            <w:tcW w:w="0" w:type="auto"/>
            <w:shd w:val="clear" w:color="000000" w:fill="FFFFFF"/>
            <w:noWrap/>
          </w:tcPr>
          <w:p w14:paraId="4EB949A7" w14:textId="2B553558" w:rsidR="003D5122" w:rsidRPr="00F32020" w:rsidRDefault="003D5122" w:rsidP="003D5122">
            <w:pPr>
              <w:jc w:val="center"/>
              <w:rPr>
                <w:sz w:val="16"/>
                <w:szCs w:val="16"/>
              </w:rPr>
            </w:pPr>
            <w:r w:rsidRPr="00F32020">
              <w:rPr>
                <w:sz w:val="16"/>
                <w:szCs w:val="16"/>
              </w:rPr>
              <w:t>(0.0312)</w:t>
            </w:r>
          </w:p>
        </w:tc>
        <w:tc>
          <w:tcPr>
            <w:tcW w:w="0" w:type="auto"/>
            <w:shd w:val="clear" w:color="000000" w:fill="FFFFFF"/>
            <w:noWrap/>
          </w:tcPr>
          <w:p w14:paraId="354B6859" w14:textId="663380DA" w:rsidR="003D5122" w:rsidRPr="00F32020" w:rsidRDefault="003D5122" w:rsidP="003D5122">
            <w:pPr>
              <w:jc w:val="center"/>
              <w:rPr>
                <w:sz w:val="16"/>
                <w:szCs w:val="16"/>
              </w:rPr>
            </w:pPr>
            <w:r w:rsidRPr="00F32020">
              <w:rPr>
                <w:sz w:val="16"/>
                <w:szCs w:val="16"/>
              </w:rPr>
              <w:t>(0.00847)</w:t>
            </w:r>
          </w:p>
        </w:tc>
        <w:tc>
          <w:tcPr>
            <w:tcW w:w="0" w:type="auto"/>
            <w:shd w:val="clear" w:color="000000" w:fill="FFFFFF"/>
            <w:noWrap/>
            <w:vAlign w:val="bottom"/>
          </w:tcPr>
          <w:p w14:paraId="28EEDCF9" w14:textId="2B7C29BC" w:rsidR="003D5122" w:rsidRPr="00F32020" w:rsidRDefault="003D5122" w:rsidP="003D5122">
            <w:pPr>
              <w:jc w:val="center"/>
              <w:rPr>
                <w:sz w:val="16"/>
                <w:szCs w:val="16"/>
              </w:rPr>
            </w:pPr>
          </w:p>
        </w:tc>
      </w:tr>
      <w:tr w:rsidR="003D5122" w:rsidRPr="00F32020" w14:paraId="428A31E5" w14:textId="77777777" w:rsidTr="00A02E26">
        <w:trPr>
          <w:trHeight w:val="260"/>
          <w:jc w:val="center"/>
        </w:trPr>
        <w:tc>
          <w:tcPr>
            <w:tcW w:w="2615" w:type="dxa"/>
            <w:shd w:val="clear" w:color="000000" w:fill="FFFFFF"/>
            <w:noWrap/>
            <w:vAlign w:val="bottom"/>
            <w:hideMark/>
          </w:tcPr>
          <w:p w14:paraId="43C8BB01" w14:textId="77777777" w:rsidR="003D5122" w:rsidRPr="00F32020" w:rsidRDefault="003D5122" w:rsidP="003D5122">
            <w:pPr>
              <w:rPr>
                <w:sz w:val="16"/>
                <w:szCs w:val="16"/>
              </w:rPr>
            </w:pPr>
            <w:r w:rsidRPr="00F32020">
              <w:rPr>
                <w:sz w:val="16"/>
                <w:szCs w:val="16"/>
              </w:rPr>
              <w:t>Reported prior accelerator</w:t>
            </w:r>
          </w:p>
        </w:tc>
        <w:tc>
          <w:tcPr>
            <w:tcW w:w="0" w:type="auto"/>
            <w:shd w:val="clear" w:color="000000" w:fill="FFFFFF"/>
            <w:vAlign w:val="bottom"/>
          </w:tcPr>
          <w:p w14:paraId="06BAFB6B" w14:textId="77777777" w:rsidR="003D5122" w:rsidRPr="00F32020" w:rsidRDefault="003D5122" w:rsidP="003D5122">
            <w:pPr>
              <w:jc w:val="center"/>
              <w:rPr>
                <w:sz w:val="16"/>
                <w:szCs w:val="16"/>
              </w:rPr>
            </w:pPr>
            <w:r w:rsidRPr="00F32020">
              <w:rPr>
                <w:sz w:val="16"/>
                <w:szCs w:val="16"/>
              </w:rPr>
              <w:t>1.267***</w:t>
            </w:r>
          </w:p>
        </w:tc>
        <w:tc>
          <w:tcPr>
            <w:tcW w:w="0" w:type="auto"/>
            <w:shd w:val="clear" w:color="000000" w:fill="FFFFFF"/>
            <w:noWrap/>
          </w:tcPr>
          <w:p w14:paraId="4E4BFA7B" w14:textId="7EEC39CC" w:rsidR="003D5122" w:rsidRPr="00F32020" w:rsidRDefault="003D5122" w:rsidP="003D5122">
            <w:pPr>
              <w:jc w:val="center"/>
              <w:rPr>
                <w:sz w:val="16"/>
                <w:szCs w:val="16"/>
              </w:rPr>
            </w:pPr>
            <w:r w:rsidRPr="00F32020">
              <w:rPr>
                <w:sz w:val="16"/>
                <w:szCs w:val="16"/>
              </w:rPr>
              <w:t>1.007</w:t>
            </w:r>
          </w:p>
        </w:tc>
        <w:tc>
          <w:tcPr>
            <w:tcW w:w="0" w:type="auto"/>
            <w:shd w:val="clear" w:color="000000" w:fill="FFFFFF"/>
            <w:noWrap/>
          </w:tcPr>
          <w:p w14:paraId="53D52CE1" w14:textId="60E30A94" w:rsidR="003D5122" w:rsidRPr="00F32020" w:rsidRDefault="003D5122" w:rsidP="003D5122">
            <w:pPr>
              <w:jc w:val="center"/>
              <w:rPr>
                <w:sz w:val="16"/>
                <w:szCs w:val="16"/>
              </w:rPr>
            </w:pPr>
            <w:r w:rsidRPr="00F32020">
              <w:rPr>
                <w:sz w:val="16"/>
                <w:szCs w:val="16"/>
              </w:rPr>
              <w:t>1.000</w:t>
            </w:r>
          </w:p>
        </w:tc>
        <w:tc>
          <w:tcPr>
            <w:tcW w:w="0" w:type="auto"/>
            <w:shd w:val="clear" w:color="000000" w:fill="FFFFFF"/>
            <w:noWrap/>
            <w:vAlign w:val="bottom"/>
          </w:tcPr>
          <w:p w14:paraId="342798AB" w14:textId="11800956" w:rsidR="003D5122" w:rsidRPr="00F32020" w:rsidRDefault="003D5122" w:rsidP="003D5122">
            <w:pPr>
              <w:jc w:val="center"/>
              <w:rPr>
                <w:sz w:val="16"/>
                <w:szCs w:val="16"/>
              </w:rPr>
            </w:pPr>
          </w:p>
        </w:tc>
      </w:tr>
      <w:tr w:rsidR="003D5122" w:rsidRPr="00F32020" w14:paraId="10014C76" w14:textId="77777777" w:rsidTr="00A02E26">
        <w:trPr>
          <w:trHeight w:val="260"/>
          <w:jc w:val="center"/>
        </w:trPr>
        <w:tc>
          <w:tcPr>
            <w:tcW w:w="2615" w:type="dxa"/>
            <w:shd w:val="clear" w:color="000000" w:fill="FFFFFF"/>
            <w:noWrap/>
            <w:vAlign w:val="bottom"/>
            <w:hideMark/>
          </w:tcPr>
          <w:p w14:paraId="4AA8FD93"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5014D302" w14:textId="77777777" w:rsidR="003D5122" w:rsidRPr="00F32020" w:rsidRDefault="003D5122" w:rsidP="003D5122">
            <w:pPr>
              <w:jc w:val="center"/>
              <w:rPr>
                <w:sz w:val="16"/>
                <w:szCs w:val="16"/>
              </w:rPr>
            </w:pPr>
            <w:r w:rsidRPr="00F32020">
              <w:rPr>
                <w:sz w:val="16"/>
                <w:szCs w:val="16"/>
              </w:rPr>
              <w:t>(0.0873)</w:t>
            </w:r>
          </w:p>
        </w:tc>
        <w:tc>
          <w:tcPr>
            <w:tcW w:w="0" w:type="auto"/>
            <w:shd w:val="clear" w:color="000000" w:fill="FFFFFF"/>
            <w:noWrap/>
          </w:tcPr>
          <w:p w14:paraId="49EFCF10" w14:textId="4772363A" w:rsidR="003D5122" w:rsidRPr="00F32020" w:rsidRDefault="003D5122" w:rsidP="003D5122">
            <w:pPr>
              <w:jc w:val="center"/>
              <w:rPr>
                <w:sz w:val="16"/>
                <w:szCs w:val="16"/>
              </w:rPr>
            </w:pPr>
            <w:r w:rsidRPr="00F32020">
              <w:rPr>
                <w:sz w:val="16"/>
                <w:szCs w:val="16"/>
              </w:rPr>
              <w:t>(0.0344)</w:t>
            </w:r>
          </w:p>
        </w:tc>
        <w:tc>
          <w:tcPr>
            <w:tcW w:w="0" w:type="auto"/>
            <w:shd w:val="clear" w:color="000000" w:fill="FFFFFF"/>
            <w:noWrap/>
          </w:tcPr>
          <w:p w14:paraId="0FE782C4" w14:textId="0119B260" w:rsidR="003D5122" w:rsidRPr="00F32020" w:rsidRDefault="003D5122" w:rsidP="003D5122">
            <w:pPr>
              <w:jc w:val="center"/>
              <w:rPr>
                <w:sz w:val="16"/>
                <w:szCs w:val="16"/>
              </w:rPr>
            </w:pPr>
            <w:r w:rsidRPr="00F32020">
              <w:rPr>
                <w:sz w:val="16"/>
                <w:szCs w:val="16"/>
              </w:rPr>
              <w:t>(0.00918)</w:t>
            </w:r>
          </w:p>
        </w:tc>
        <w:tc>
          <w:tcPr>
            <w:tcW w:w="0" w:type="auto"/>
            <w:shd w:val="clear" w:color="000000" w:fill="FFFFFF"/>
            <w:noWrap/>
            <w:vAlign w:val="bottom"/>
          </w:tcPr>
          <w:p w14:paraId="3F904689" w14:textId="5E673A49" w:rsidR="003D5122" w:rsidRPr="00F32020" w:rsidRDefault="003D5122" w:rsidP="003D5122">
            <w:pPr>
              <w:jc w:val="center"/>
              <w:rPr>
                <w:sz w:val="16"/>
                <w:szCs w:val="16"/>
              </w:rPr>
            </w:pPr>
          </w:p>
        </w:tc>
      </w:tr>
      <w:tr w:rsidR="003D5122" w:rsidRPr="00F32020" w14:paraId="74AD96A6" w14:textId="77777777" w:rsidTr="00A02E26">
        <w:trPr>
          <w:trHeight w:val="260"/>
          <w:jc w:val="center"/>
        </w:trPr>
        <w:tc>
          <w:tcPr>
            <w:tcW w:w="2615" w:type="dxa"/>
            <w:shd w:val="clear" w:color="000000" w:fill="FFFFFF"/>
            <w:noWrap/>
            <w:vAlign w:val="bottom"/>
            <w:hideMark/>
          </w:tcPr>
          <w:p w14:paraId="1CDEFA60" w14:textId="77777777" w:rsidR="003D5122" w:rsidRPr="00F32020" w:rsidRDefault="003D5122" w:rsidP="003D5122">
            <w:pPr>
              <w:rPr>
                <w:sz w:val="16"/>
                <w:szCs w:val="16"/>
              </w:rPr>
            </w:pPr>
            <w:r w:rsidRPr="00F32020">
              <w:rPr>
                <w:sz w:val="16"/>
                <w:szCs w:val="16"/>
              </w:rPr>
              <w:t>Log (Equity since founded)</w:t>
            </w:r>
          </w:p>
        </w:tc>
        <w:tc>
          <w:tcPr>
            <w:tcW w:w="0" w:type="auto"/>
            <w:shd w:val="clear" w:color="000000" w:fill="FFFFFF"/>
            <w:vAlign w:val="bottom"/>
          </w:tcPr>
          <w:p w14:paraId="3137EE7F" w14:textId="77777777" w:rsidR="003D5122" w:rsidRPr="00F32020" w:rsidRDefault="003D5122" w:rsidP="003D5122">
            <w:pPr>
              <w:jc w:val="center"/>
              <w:rPr>
                <w:sz w:val="16"/>
                <w:szCs w:val="16"/>
              </w:rPr>
            </w:pPr>
            <w:r w:rsidRPr="00F32020">
              <w:rPr>
                <w:sz w:val="16"/>
                <w:szCs w:val="16"/>
              </w:rPr>
              <w:t>1.064***</w:t>
            </w:r>
          </w:p>
        </w:tc>
        <w:tc>
          <w:tcPr>
            <w:tcW w:w="0" w:type="auto"/>
            <w:shd w:val="clear" w:color="000000" w:fill="FFFFFF"/>
            <w:noWrap/>
          </w:tcPr>
          <w:p w14:paraId="49C54BC3" w14:textId="0397374D" w:rsidR="003D5122" w:rsidRPr="00F32020" w:rsidRDefault="003D5122" w:rsidP="003D5122">
            <w:pPr>
              <w:jc w:val="center"/>
              <w:rPr>
                <w:sz w:val="16"/>
                <w:szCs w:val="16"/>
              </w:rPr>
            </w:pPr>
            <w:r w:rsidRPr="00F32020">
              <w:rPr>
                <w:sz w:val="16"/>
                <w:szCs w:val="16"/>
              </w:rPr>
              <w:t>1.018***</w:t>
            </w:r>
          </w:p>
        </w:tc>
        <w:tc>
          <w:tcPr>
            <w:tcW w:w="0" w:type="auto"/>
            <w:shd w:val="clear" w:color="000000" w:fill="FFFFFF"/>
            <w:noWrap/>
          </w:tcPr>
          <w:p w14:paraId="30F85893" w14:textId="51DCC1D9" w:rsidR="003D5122" w:rsidRPr="00F32020" w:rsidRDefault="003D5122" w:rsidP="003D5122">
            <w:pPr>
              <w:jc w:val="center"/>
              <w:rPr>
                <w:sz w:val="16"/>
                <w:szCs w:val="16"/>
              </w:rPr>
            </w:pPr>
            <w:r w:rsidRPr="00F32020">
              <w:rPr>
                <w:sz w:val="16"/>
                <w:szCs w:val="16"/>
              </w:rPr>
              <w:t>1.005***</w:t>
            </w:r>
          </w:p>
        </w:tc>
        <w:tc>
          <w:tcPr>
            <w:tcW w:w="0" w:type="auto"/>
            <w:shd w:val="clear" w:color="000000" w:fill="FFFFFF"/>
            <w:noWrap/>
            <w:vAlign w:val="bottom"/>
          </w:tcPr>
          <w:p w14:paraId="426AC5FC" w14:textId="13ACB3F2" w:rsidR="003D5122" w:rsidRPr="00F32020" w:rsidRDefault="003D5122" w:rsidP="003D5122">
            <w:pPr>
              <w:jc w:val="center"/>
              <w:rPr>
                <w:sz w:val="16"/>
                <w:szCs w:val="16"/>
              </w:rPr>
            </w:pPr>
          </w:p>
        </w:tc>
      </w:tr>
      <w:tr w:rsidR="003D5122" w:rsidRPr="00F32020" w14:paraId="682F34BF" w14:textId="77777777" w:rsidTr="00A02E26">
        <w:trPr>
          <w:trHeight w:val="260"/>
          <w:jc w:val="center"/>
        </w:trPr>
        <w:tc>
          <w:tcPr>
            <w:tcW w:w="2615" w:type="dxa"/>
            <w:shd w:val="clear" w:color="000000" w:fill="FFFFFF"/>
            <w:noWrap/>
            <w:vAlign w:val="bottom"/>
            <w:hideMark/>
          </w:tcPr>
          <w:p w14:paraId="427965B3"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463F668F" w14:textId="77777777" w:rsidR="003D5122" w:rsidRPr="00F32020" w:rsidRDefault="003D5122" w:rsidP="003D5122">
            <w:pPr>
              <w:jc w:val="center"/>
              <w:rPr>
                <w:sz w:val="16"/>
                <w:szCs w:val="16"/>
              </w:rPr>
            </w:pPr>
            <w:r w:rsidRPr="00F32020">
              <w:rPr>
                <w:sz w:val="16"/>
                <w:szCs w:val="16"/>
              </w:rPr>
              <w:t>(0.0082)</w:t>
            </w:r>
          </w:p>
        </w:tc>
        <w:tc>
          <w:tcPr>
            <w:tcW w:w="0" w:type="auto"/>
            <w:shd w:val="clear" w:color="000000" w:fill="FFFFFF"/>
            <w:noWrap/>
          </w:tcPr>
          <w:p w14:paraId="094E5052" w14:textId="5B312B7C" w:rsidR="003D5122" w:rsidRPr="00F32020" w:rsidRDefault="003D5122" w:rsidP="003D5122">
            <w:pPr>
              <w:jc w:val="center"/>
              <w:rPr>
                <w:sz w:val="16"/>
                <w:szCs w:val="16"/>
              </w:rPr>
            </w:pPr>
            <w:r w:rsidRPr="00F32020">
              <w:rPr>
                <w:sz w:val="16"/>
                <w:szCs w:val="16"/>
              </w:rPr>
              <w:t>(0.00400)</w:t>
            </w:r>
          </w:p>
        </w:tc>
        <w:tc>
          <w:tcPr>
            <w:tcW w:w="0" w:type="auto"/>
            <w:shd w:val="clear" w:color="000000" w:fill="FFFFFF"/>
            <w:noWrap/>
          </w:tcPr>
          <w:p w14:paraId="1C6C217F" w14:textId="1D058BC9" w:rsidR="003D5122" w:rsidRPr="00F32020" w:rsidRDefault="003D5122" w:rsidP="003D5122">
            <w:pPr>
              <w:jc w:val="center"/>
              <w:rPr>
                <w:sz w:val="16"/>
                <w:szCs w:val="16"/>
              </w:rPr>
            </w:pPr>
            <w:r w:rsidRPr="00F32020">
              <w:rPr>
                <w:sz w:val="16"/>
                <w:szCs w:val="16"/>
              </w:rPr>
              <w:t>(0.00118)</w:t>
            </w:r>
          </w:p>
        </w:tc>
        <w:tc>
          <w:tcPr>
            <w:tcW w:w="0" w:type="auto"/>
            <w:shd w:val="clear" w:color="000000" w:fill="FFFFFF"/>
            <w:noWrap/>
            <w:vAlign w:val="bottom"/>
          </w:tcPr>
          <w:p w14:paraId="7B4DD874" w14:textId="3560C4F4" w:rsidR="003D5122" w:rsidRPr="00F32020" w:rsidRDefault="003D5122" w:rsidP="003D5122">
            <w:pPr>
              <w:jc w:val="center"/>
              <w:rPr>
                <w:sz w:val="16"/>
                <w:szCs w:val="16"/>
              </w:rPr>
            </w:pPr>
          </w:p>
        </w:tc>
      </w:tr>
      <w:tr w:rsidR="003D5122" w:rsidRPr="00F32020" w14:paraId="3D7A4334" w14:textId="77777777" w:rsidTr="00A02E26">
        <w:trPr>
          <w:trHeight w:val="260"/>
          <w:jc w:val="center"/>
        </w:trPr>
        <w:tc>
          <w:tcPr>
            <w:tcW w:w="2615" w:type="dxa"/>
            <w:shd w:val="clear" w:color="000000" w:fill="FFFFFF"/>
            <w:noWrap/>
            <w:vAlign w:val="bottom"/>
          </w:tcPr>
          <w:p w14:paraId="760784C9" w14:textId="77777777" w:rsidR="003D5122" w:rsidRPr="00F32020" w:rsidRDefault="003D5122" w:rsidP="003D5122">
            <w:pPr>
              <w:rPr>
                <w:sz w:val="16"/>
                <w:szCs w:val="16"/>
              </w:rPr>
            </w:pPr>
            <w:r w:rsidRPr="00F32020">
              <w:rPr>
                <w:sz w:val="16"/>
                <w:szCs w:val="16"/>
              </w:rPr>
              <w:t>Founding experience</w:t>
            </w:r>
          </w:p>
        </w:tc>
        <w:tc>
          <w:tcPr>
            <w:tcW w:w="0" w:type="auto"/>
            <w:shd w:val="clear" w:color="000000" w:fill="FFFFFF"/>
            <w:vAlign w:val="bottom"/>
          </w:tcPr>
          <w:p w14:paraId="197E0776" w14:textId="77777777" w:rsidR="003D5122" w:rsidRPr="00F32020" w:rsidRDefault="003D5122" w:rsidP="003D5122">
            <w:pPr>
              <w:jc w:val="center"/>
              <w:rPr>
                <w:sz w:val="16"/>
                <w:szCs w:val="16"/>
              </w:rPr>
            </w:pPr>
            <w:r w:rsidRPr="00F32020">
              <w:rPr>
                <w:sz w:val="16"/>
                <w:szCs w:val="16"/>
              </w:rPr>
              <w:t>0.947</w:t>
            </w:r>
          </w:p>
        </w:tc>
        <w:tc>
          <w:tcPr>
            <w:tcW w:w="0" w:type="auto"/>
            <w:shd w:val="clear" w:color="000000" w:fill="FFFFFF"/>
            <w:noWrap/>
          </w:tcPr>
          <w:p w14:paraId="12F0F7D6" w14:textId="5D29CACC" w:rsidR="003D5122" w:rsidRPr="00F32020" w:rsidRDefault="003D5122" w:rsidP="003D5122">
            <w:pPr>
              <w:jc w:val="center"/>
              <w:rPr>
                <w:sz w:val="16"/>
                <w:szCs w:val="16"/>
              </w:rPr>
            </w:pPr>
            <w:r w:rsidRPr="00F32020">
              <w:rPr>
                <w:sz w:val="16"/>
                <w:szCs w:val="16"/>
              </w:rPr>
              <w:t>0.927</w:t>
            </w:r>
          </w:p>
        </w:tc>
        <w:tc>
          <w:tcPr>
            <w:tcW w:w="0" w:type="auto"/>
            <w:shd w:val="clear" w:color="000000" w:fill="FFFFFF"/>
            <w:noWrap/>
          </w:tcPr>
          <w:p w14:paraId="41608889" w14:textId="78D056D0" w:rsidR="003D5122" w:rsidRPr="00F32020" w:rsidRDefault="003D5122" w:rsidP="003D5122">
            <w:pPr>
              <w:jc w:val="center"/>
              <w:rPr>
                <w:sz w:val="16"/>
                <w:szCs w:val="16"/>
              </w:rPr>
            </w:pPr>
            <w:r w:rsidRPr="00F32020">
              <w:rPr>
                <w:sz w:val="16"/>
                <w:szCs w:val="16"/>
              </w:rPr>
              <w:t>0.980**</w:t>
            </w:r>
          </w:p>
        </w:tc>
        <w:tc>
          <w:tcPr>
            <w:tcW w:w="0" w:type="auto"/>
            <w:shd w:val="clear" w:color="000000" w:fill="FFFFFF"/>
            <w:noWrap/>
            <w:vAlign w:val="bottom"/>
          </w:tcPr>
          <w:p w14:paraId="2F62C7A9" w14:textId="1C884526" w:rsidR="003D5122" w:rsidRPr="00F32020" w:rsidRDefault="003D5122" w:rsidP="003D5122">
            <w:pPr>
              <w:jc w:val="center"/>
              <w:rPr>
                <w:sz w:val="16"/>
                <w:szCs w:val="16"/>
              </w:rPr>
            </w:pPr>
          </w:p>
        </w:tc>
      </w:tr>
      <w:tr w:rsidR="003D5122" w:rsidRPr="00F32020" w14:paraId="6A8561A4" w14:textId="77777777" w:rsidTr="00A02E26">
        <w:trPr>
          <w:trHeight w:val="260"/>
          <w:jc w:val="center"/>
        </w:trPr>
        <w:tc>
          <w:tcPr>
            <w:tcW w:w="2615" w:type="dxa"/>
            <w:shd w:val="clear" w:color="000000" w:fill="FFFFFF"/>
            <w:noWrap/>
            <w:vAlign w:val="bottom"/>
          </w:tcPr>
          <w:p w14:paraId="1670E674"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0445AB57" w14:textId="77777777" w:rsidR="003D5122" w:rsidRPr="00F32020" w:rsidRDefault="003D5122" w:rsidP="003D5122">
            <w:pPr>
              <w:jc w:val="center"/>
              <w:rPr>
                <w:sz w:val="16"/>
                <w:szCs w:val="16"/>
              </w:rPr>
            </w:pPr>
            <w:r w:rsidRPr="00F32020">
              <w:rPr>
                <w:sz w:val="16"/>
                <w:szCs w:val="16"/>
              </w:rPr>
              <w:t>(0.0656)</w:t>
            </w:r>
          </w:p>
        </w:tc>
        <w:tc>
          <w:tcPr>
            <w:tcW w:w="0" w:type="auto"/>
            <w:shd w:val="clear" w:color="000000" w:fill="FFFFFF"/>
            <w:noWrap/>
          </w:tcPr>
          <w:p w14:paraId="7FCAC8BF" w14:textId="5433D808" w:rsidR="003D5122" w:rsidRPr="00F32020" w:rsidRDefault="003D5122" w:rsidP="003D5122">
            <w:pPr>
              <w:jc w:val="center"/>
              <w:rPr>
                <w:sz w:val="16"/>
                <w:szCs w:val="16"/>
              </w:rPr>
            </w:pPr>
            <w:r w:rsidRPr="00F32020">
              <w:rPr>
                <w:sz w:val="16"/>
                <w:szCs w:val="16"/>
              </w:rPr>
              <w:t>(0.0703)</w:t>
            </w:r>
          </w:p>
        </w:tc>
        <w:tc>
          <w:tcPr>
            <w:tcW w:w="0" w:type="auto"/>
            <w:shd w:val="clear" w:color="000000" w:fill="FFFFFF"/>
            <w:noWrap/>
          </w:tcPr>
          <w:p w14:paraId="218444AB" w14:textId="6B9F5DA0" w:rsidR="003D5122" w:rsidRPr="00F32020" w:rsidRDefault="003D5122" w:rsidP="003D5122">
            <w:pPr>
              <w:jc w:val="center"/>
              <w:rPr>
                <w:sz w:val="16"/>
                <w:szCs w:val="16"/>
              </w:rPr>
            </w:pPr>
            <w:r w:rsidRPr="00F32020">
              <w:rPr>
                <w:sz w:val="16"/>
                <w:szCs w:val="16"/>
              </w:rPr>
              <w:t>(0.00834)</w:t>
            </w:r>
          </w:p>
        </w:tc>
        <w:tc>
          <w:tcPr>
            <w:tcW w:w="0" w:type="auto"/>
            <w:shd w:val="clear" w:color="000000" w:fill="FFFFFF"/>
            <w:noWrap/>
            <w:vAlign w:val="bottom"/>
          </w:tcPr>
          <w:p w14:paraId="6A4B2292" w14:textId="7C2CE4F5" w:rsidR="003D5122" w:rsidRPr="00F32020" w:rsidRDefault="003D5122" w:rsidP="003D5122">
            <w:pPr>
              <w:jc w:val="center"/>
              <w:rPr>
                <w:sz w:val="16"/>
                <w:szCs w:val="16"/>
              </w:rPr>
            </w:pPr>
          </w:p>
        </w:tc>
      </w:tr>
      <w:tr w:rsidR="003D5122" w:rsidRPr="00F32020" w14:paraId="44E85BAF" w14:textId="77777777" w:rsidTr="00A02E26">
        <w:trPr>
          <w:trHeight w:val="260"/>
          <w:jc w:val="center"/>
        </w:trPr>
        <w:tc>
          <w:tcPr>
            <w:tcW w:w="2615" w:type="dxa"/>
            <w:shd w:val="clear" w:color="000000" w:fill="FFFFFF"/>
            <w:noWrap/>
            <w:vAlign w:val="bottom"/>
          </w:tcPr>
          <w:p w14:paraId="19FFB296" w14:textId="77777777" w:rsidR="003D5122" w:rsidRPr="00F32020" w:rsidRDefault="003D5122" w:rsidP="003D5122">
            <w:pPr>
              <w:rPr>
                <w:sz w:val="16"/>
                <w:szCs w:val="16"/>
              </w:rPr>
            </w:pPr>
            <w:r w:rsidRPr="00F32020">
              <w:rPr>
                <w:sz w:val="16"/>
                <w:szCs w:val="16"/>
              </w:rPr>
              <w:t>Founders’ Education</w:t>
            </w:r>
          </w:p>
        </w:tc>
        <w:tc>
          <w:tcPr>
            <w:tcW w:w="0" w:type="auto"/>
            <w:shd w:val="clear" w:color="000000" w:fill="FFFFFF"/>
            <w:vAlign w:val="bottom"/>
          </w:tcPr>
          <w:p w14:paraId="0172EE73" w14:textId="77777777" w:rsidR="003D5122" w:rsidRPr="00F32020" w:rsidRDefault="003D5122" w:rsidP="003D5122">
            <w:pPr>
              <w:jc w:val="center"/>
              <w:rPr>
                <w:sz w:val="16"/>
                <w:szCs w:val="16"/>
              </w:rPr>
            </w:pPr>
            <w:r w:rsidRPr="00F32020">
              <w:rPr>
                <w:sz w:val="16"/>
                <w:szCs w:val="16"/>
              </w:rPr>
              <w:t>1.180***</w:t>
            </w:r>
          </w:p>
        </w:tc>
        <w:tc>
          <w:tcPr>
            <w:tcW w:w="0" w:type="auto"/>
            <w:shd w:val="clear" w:color="000000" w:fill="FFFFFF"/>
            <w:noWrap/>
          </w:tcPr>
          <w:p w14:paraId="31326FF8" w14:textId="4273FAC5" w:rsidR="003D5122" w:rsidRPr="00F32020" w:rsidRDefault="003D5122" w:rsidP="003D5122">
            <w:pPr>
              <w:jc w:val="center"/>
              <w:rPr>
                <w:sz w:val="16"/>
                <w:szCs w:val="16"/>
              </w:rPr>
            </w:pPr>
            <w:r w:rsidRPr="00F32020">
              <w:rPr>
                <w:sz w:val="16"/>
                <w:szCs w:val="16"/>
              </w:rPr>
              <w:t>0.988</w:t>
            </w:r>
          </w:p>
        </w:tc>
        <w:tc>
          <w:tcPr>
            <w:tcW w:w="0" w:type="auto"/>
            <w:shd w:val="clear" w:color="000000" w:fill="FFFFFF"/>
            <w:noWrap/>
          </w:tcPr>
          <w:p w14:paraId="76FE4DCA" w14:textId="5BD7AAE6" w:rsidR="003D5122" w:rsidRPr="00F32020" w:rsidRDefault="003D5122" w:rsidP="003D5122">
            <w:pPr>
              <w:jc w:val="center"/>
              <w:rPr>
                <w:sz w:val="16"/>
                <w:szCs w:val="16"/>
              </w:rPr>
            </w:pPr>
            <w:r w:rsidRPr="00F32020">
              <w:rPr>
                <w:sz w:val="16"/>
                <w:szCs w:val="16"/>
              </w:rPr>
              <w:t>0.995</w:t>
            </w:r>
          </w:p>
        </w:tc>
        <w:tc>
          <w:tcPr>
            <w:tcW w:w="0" w:type="auto"/>
            <w:shd w:val="clear" w:color="000000" w:fill="FFFFFF"/>
            <w:noWrap/>
            <w:vAlign w:val="bottom"/>
          </w:tcPr>
          <w:p w14:paraId="14FB3BC7" w14:textId="4ABBF95C" w:rsidR="003D5122" w:rsidRPr="00F32020" w:rsidRDefault="003D5122" w:rsidP="003D5122">
            <w:pPr>
              <w:jc w:val="center"/>
              <w:rPr>
                <w:sz w:val="16"/>
                <w:szCs w:val="16"/>
              </w:rPr>
            </w:pPr>
          </w:p>
        </w:tc>
      </w:tr>
      <w:tr w:rsidR="003D5122" w:rsidRPr="00F32020" w14:paraId="2C62F2FE" w14:textId="77777777" w:rsidTr="00A02E26">
        <w:trPr>
          <w:trHeight w:val="260"/>
          <w:jc w:val="center"/>
        </w:trPr>
        <w:tc>
          <w:tcPr>
            <w:tcW w:w="2615" w:type="dxa"/>
            <w:shd w:val="clear" w:color="000000" w:fill="FFFFFF"/>
            <w:noWrap/>
            <w:vAlign w:val="bottom"/>
          </w:tcPr>
          <w:p w14:paraId="211219E0"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4E775CEC" w14:textId="77777777" w:rsidR="003D5122" w:rsidRPr="00F32020" w:rsidRDefault="003D5122" w:rsidP="003D5122">
            <w:pPr>
              <w:jc w:val="center"/>
              <w:rPr>
                <w:sz w:val="16"/>
                <w:szCs w:val="16"/>
              </w:rPr>
            </w:pPr>
            <w:r w:rsidRPr="00F32020">
              <w:rPr>
                <w:sz w:val="16"/>
                <w:szCs w:val="16"/>
              </w:rPr>
              <w:t>(0.0542)</w:t>
            </w:r>
          </w:p>
        </w:tc>
        <w:tc>
          <w:tcPr>
            <w:tcW w:w="0" w:type="auto"/>
            <w:shd w:val="clear" w:color="000000" w:fill="FFFFFF"/>
            <w:noWrap/>
          </w:tcPr>
          <w:p w14:paraId="5434AC90" w14:textId="76681EBF" w:rsidR="003D5122" w:rsidRPr="00F32020" w:rsidRDefault="003D5122" w:rsidP="003D5122">
            <w:pPr>
              <w:jc w:val="center"/>
              <w:rPr>
                <w:sz w:val="16"/>
                <w:szCs w:val="16"/>
              </w:rPr>
            </w:pPr>
            <w:r w:rsidRPr="00F32020">
              <w:rPr>
                <w:sz w:val="16"/>
                <w:szCs w:val="16"/>
              </w:rPr>
              <w:t>(0.0211)</w:t>
            </w:r>
          </w:p>
        </w:tc>
        <w:tc>
          <w:tcPr>
            <w:tcW w:w="0" w:type="auto"/>
            <w:shd w:val="clear" w:color="000000" w:fill="FFFFFF"/>
            <w:noWrap/>
          </w:tcPr>
          <w:p w14:paraId="03CD008F" w14:textId="7BC4296B" w:rsidR="003D5122" w:rsidRPr="00F32020" w:rsidRDefault="003D5122" w:rsidP="003D5122">
            <w:pPr>
              <w:jc w:val="center"/>
              <w:rPr>
                <w:sz w:val="16"/>
                <w:szCs w:val="16"/>
              </w:rPr>
            </w:pPr>
            <w:r w:rsidRPr="00F32020">
              <w:rPr>
                <w:sz w:val="16"/>
                <w:szCs w:val="16"/>
              </w:rPr>
              <w:t>(0.00582)</w:t>
            </w:r>
          </w:p>
        </w:tc>
        <w:tc>
          <w:tcPr>
            <w:tcW w:w="0" w:type="auto"/>
            <w:shd w:val="clear" w:color="000000" w:fill="FFFFFF"/>
            <w:noWrap/>
            <w:vAlign w:val="bottom"/>
          </w:tcPr>
          <w:p w14:paraId="6A9B252B" w14:textId="24112C86" w:rsidR="003D5122" w:rsidRPr="00F32020" w:rsidRDefault="003D5122" w:rsidP="003D5122">
            <w:pPr>
              <w:jc w:val="center"/>
              <w:rPr>
                <w:sz w:val="16"/>
                <w:szCs w:val="16"/>
              </w:rPr>
            </w:pPr>
          </w:p>
        </w:tc>
      </w:tr>
      <w:tr w:rsidR="003D5122" w:rsidRPr="00F32020" w14:paraId="2900763E" w14:textId="77777777" w:rsidTr="00A02E26">
        <w:trPr>
          <w:trHeight w:val="260"/>
          <w:jc w:val="center"/>
        </w:trPr>
        <w:tc>
          <w:tcPr>
            <w:tcW w:w="2615" w:type="dxa"/>
            <w:shd w:val="clear" w:color="000000" w:fill="FFFFFF"/>
            <w:noWrap/>
            <w:vAlign w:val="bottom"/>
          </w:tcPr>
          <w:p w14:paraId="6B10B4DD" w14:textId="77777777" w:rsidR="003D5122" w:rsidRPr="00F32020" w:rsidRDefault="003D5122" w:rsidP="003D5122">
            <w:pPr>
              <w:rPr>
                <w:sz w:val="16"/>
                <w:szCs w:val="16"/>
              </w:rPr>
            </w:pPr>
            <w:r w:rsidRPr="00F32020">
              <w:rPr>
                <w:sz w:val="16"/>
                <w:szCs w:val="16"/>
              </w:rPr>
              <w:t>Founders’ age</w:t>
            </w:r>
          </w:p>
        </w:tc>
        <w:tc>
          <w:tcPr>
            <w:tcW w:w="0" w:type="auto"/>
            <w:shd w:val="clear" w:color="000000" w:fill="FFFFFF"/>
            <w:vAlign w:val="bottom"/>
          </w:tcPr>
          <w:p w14:paraId="7AF78422" w14:textId="77777777" w:rsidR="003D5122" w:rsidRPr="00F32020" w:rsidRDefault="003D5122" w:rsidP="003D5122">
            <w:pPr>
              <w:jc w:val="center"/>
              <w:rPr>
                <w:sz w:val="16"/>
                <w:szCs w:val="16"/>
              </w:rPr>
            </w:pPr>
            <w:r w:rsidRPr="00F32020">
              <w:rPr>
                <w:sz w:val="16"/>
                <w:szCs w:val="16"/>
              </w:rPr>
              <w:t>0.989***</w:t>
            </w:r>
          </w:p>
        </w:tc>
        <w:tc>
          <w:tcPr>
            <w:tcW w:w="0" w:type="auto"/>
            <w:shd w:val="clear" w:color="000000" w:fill="FFFFFF"/>
            <w:noWrap/>
          </w:tcPr>
          <w:p w14:paraId="04950451" w14:textId="137074A9" w:rsidR="003D5122" w:rsidRPr="00F32020" w:rsidRDefault="003D5122" w:rsidP="003D5122">
            <w:pPr>
              <w:jc w:val="center"/>
              <w:rPr>
                <w:sz w:val="16"/>
                <w:szCs w:val="16"/>
              </w:rPr>
            </w:pPr>
            <w:r w:rsidRPr="00F32020">
              <w:rPr>
                <w:sz w:val="16"/>
                <w:szCs w:val="16"/>
              </w:rPr>
              <w:t>0.999</w:t>
            </w:r>
          </w:p>
        </w:tc>
        <w:tc>
          <w:tcPr>
            <w:tcW w:w="0" w:type="auto"/>
            <w:shd w:val="clear" w:color="000000" w:fill="FFFFFF"/>
            <w:noWrap/>
          </w:tcPr>
          <w:p w14:paraId="63D3438F" w14:textId="2F75F558" w:rsidR="003D5122" w:rsidRPr="00F32020" w:rsidRDefault="003D5122" w:rsidP="003D5122">
            <w:pPr>
              <w:jc w:val="center"/>
              <w:rPr>
                <w:sz w:val="16"/>
                <w:szCs w:val="16"/>
              </w:rPr>
            </w:pPr>
            <w:r w:rsidRPr="00F32020">
              <w:rPr>
                <w:sz w:val="16"/>
                <w:szCs w:val="16"/>
              </w:rPr>
              <w:t>1.000</w:t>
            </w:r>
          </w:p>
        </w:tc>
        <w:tc>
          <w:tcPr>
            <w:tcW w:w="0" w:type="auto"/>
            <w:shd w:val="clear" w:color="000000" w:fill="FFFFFF"/>
            <w:noWrap/>
            <w:vAlign w:val="bottom"/>
          </w:tcPr>
          <w:p w14:paraId="3AD39E44" w14:textId="6707DAFB" w:rsidR="003D5122" w:rsidRPr="00F32020" w:rsidRDefault="003D5122" w:rsidP="003D5122">
            <w:pPr>
              <w:jc w:val="center"/>
              <w:rPr>
                <w:sz w:val="16"/>
                <w:szCs w:val="16"/>
              </w:rPr>
            </w:pPr>
          </w:p>
        </w:tc>
      </w:tr>
      <w:tr w:rsidR="003D5122" w:rsidRPr="00F32020" w14:paraId="5375E9A2" w14:textId="77777777" w:rsidTr="00A02E26">
        <w:trPr>
          <w:trHeight w:val="260"/>
          <w:jc w:val="center"/>
        </w:trPr>
        <w:tc>
          <w:tcPr>
            <w:tcW w:w="2615" w:type="dxa"/>
            <w:shd w:val="clear" w:color="000000" w:fill="FFFFFF"/>
            <w:noWrap/>
            <w:vAlign w:val="bottom"/>
          </w:tcPr>
          <w:p w14:paraId="11C4F421"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4BD65407" w14:textId="77777777" w:rsidR="003D5122" w:rsidRPr="00F32020" w:rsidRDefault="003D5122" w:rsidP="003D5122">
            <w:pPr>
              <w:jc w:val="center"/>
              <w:rPr>
                <w:sz w:val="16"/>
                <w:szCs w:val="16"/>
              </w:rPr>
            </w:pPr>
            <w:r w:rsidRPr="00F32020">
              <w:rPr>
                <w:sz w:val="16"/>
                <w:szCs w:val="16"/>
              </w:rPr>
              <w:t>(0.0037)</w:t>
            </w:r>
          </w:p>
        </w:tc>
        <w:tc>
          <w:tcPr>
            <w:tcW w:w="0" w:type="auto"/>
            <w:shd w:val="clear" w:color="000000" w:fill="FFFFFF"/>
            <w:noWrap/>
          </w:tcPr>
          <w:p w14:paraId="786279AA" w14:textId="5C3820D4" w:rsidR="003D5122" w:rsidRPr="00F32020" w:rsidRDefault="003D5122" w:rsidP="003D5122">
            <w:pPr>
              <w:jc w:val="center"/>
              <w:rPr>
                <w:sz w:val="16"/>
                <w:szCs w:val="16"/>
              </w:rPr>
            </w:pPr>
            <w:r w:rsidRPr="00F32020">
              <w:rPr>
                <w:sz w:val="16"/>
                <w:szCs w:val="16"/>
              </w:rPr>
              <w:t>(0.00181)</w:t>
            </w:r>
          </w:p>
        </w:tc>
        <w:tc>
          <w:tcPr>
            <w:tcW w:w="0" w:type="auto"/>
            <w:shd w:val="clear" w:color="000000" w:fill="FFFFFF"/>
            <w:noWrap/>
          </w:tcPr>
          <w:p w14:paraId="74E268E3" w14:textId="5B51F407" w:rsidR="003D5122" w:rsidRPr="00F32020" w:rsidRDefault="003D5122" w:rsidP="003D5122">
            <w:pPr>
              <w:jc w:val="center"/>
              <w:rPr>
                <w:sz w:val="16"/>
                <w:szCs w:val="16"/>
              </w:rPr>
            </w:pPr>
            <w:r w:rsidRPr="00F32020">
              <w:rPr>
                <w:sz w:val="16"/>
                <w:szCs w:val="16"/>
              </w:rPr>
              <w:t>(0.000477)</w:t>
            </w:r>
          </w:p>
        </w:tc>
        <w:tc>
          <w:tcPr>
            <w:tcW w:w="0" w:type="auto"/>
            <w:shd w:val="clear" w:color="000000" w:fill="FFFFFF"/>
            <w:noWrap/>
            <w:vAlign w:val="bottom"/>
          </w:tcPr>
          <w:p w14:paraId="2CDECFAA" w14:textId="6203D376" w:rsidR="003D5122" w:rsidRPr="00F32020" w:rsidRDefault="003D5122" w:rsidP="003D5122">
            <w:pPr>
              <w:jc w:val="center"/>
              <w:rPr>
                <w:sz w:val="16"/>
                <w:szCs w:val="16"/>
              </w:rPr>
            </w:pPr>
          </w:p>
        </w:tc>
      </w:tr>
      <w:tr w:rsidR="003D5122" w:rsidRPr="00F32020" w14:paraId="7526D408" w14:textId="77777777" w:rsidTr="00A02E26">
        <w:trPr>
          <w:trHeight w:val="260"/>
          <w:jc w:val="center"/>
        </w:trPr>
        <w:tc>
          <w:tcPr>
            <w:tcW w:w="2615" w:type="dxa"/>
            <w:shd w:val="clear" w:color="000000" w:fill="FFFFFF"/>
            <w:noWrap/>
            <w:vAlign w:val="bottom"/>
            <w:hideMark/>
          </w:tcPr>
          <w:p w14:paraId="6D90C517" w14:textId="77777777" w:rsidR="003D5122" w:rsidRPr="00F32020" w:rsidRDefault="003D5122" w:rsidP="003D5122">
            <w:pPr>
              <w:rPr>
                <w:sz w:val="16"/>
                <w:szCs w:val="16"/>
              </w:rPr>
            </w:pPr>
            <w:r w:rsidRPr="00F32020">
              <w:rPr>
                <w:sz w:val="16"/>
                <w:szCs w:val="16"/>
              </w:rPr>
              <w:t>% of Females</w:t>
            </w:r>
          </w:p>
        </w:tc>
        <w:tc>
          <w:tcPr>
            <w:tcW w:w="0" w:type="auto"/>
            <w:shd w:val="clear" w:color="000000" w:fill="FFFFFF"/>
            <w:vAlign w:val="bottom"/>
          </w:tcPr>
          <w:p w14:paraId="65E5EA01" w14:textId="77777777" w:rsidR="003D5122" w:rsidRPr="00F32020" w:rsidRDefault="003D5122" w:rsidP="003D5122">
            <w:pPr>
              <w:jc w:val="center"/>
              <w:rPr>
                <w:sz w:val="16"/>
                <w:szCs w:val="16"/>
              </w:rPr>
            </w:pPr>
            <w:r w:rsidRPr="00F32020">
              <w:rPr>
                <w:sz w:val="16"/>
                <w:szCs w:val="16"/>
              </w:rPr>
              <w:t>1.267***</w:t>
            </w:r>
          </w:p>
        </w:tc>
        <w:tc>
          <w:tcPr>
            <w:tcW w:w="0" w:type="auto"/>
            <w:shd w:val="clear" w:color="000000" w:fill="FFFFFF"/>
            <w:noWrap/>
          </w:tcPr>
          <w:p w14:paraId="404F22DF" w14:textId="70505003" w:rsidR="003D5122" w:rsidRPr="00F32020" w:rsidRDefault="003D5122" w:rsidP="003D5122">
            <w:pPr>
              <w:jc w:val="center"/>
              <w:rPr>
                <w:sz w:val="16"/>
                <w:szCs w:val="16"/>
              </w:rPr>
            </w:pPr>
            <w:r w:rsidRPr="00F32020">
              <w:rPr>
                <w:sz w:val="16"/>
                <w:szCs w:val="16"/>
              </w:rPr>
              <w:t>1.197***</w:t>
            </w:r>
          </w:p>
        </w:tc>
        <w:tc>
          <w:tcPr>
            <w:tcW w:w="0" w:type="auto"/>
            <w:shd w:val="clear" w:color="000000" w:fill="FFFFFF"/>
            <w:noWrap/>
          </w:tcPr>
          <w:p w14:paraId="36F99E2D" w14:textId="720BA02F" w:rsidR="003D5122" w:rsidRPr="00F32020" w:rsidRDefault="003D5122" w:rsidP="003D5122">
            <w:pPr>
              <w:jc w:val="center"/>
              <w:rPr>
                <w:sz w:val="16"/>
                <w:szCs w:val="16"/>
              </w:rPr>
            </w:pPr>
            <w:r w:rsidRPr="00F32020">
              <w:rPr>
                <w:sz w:val="16"/>
                <w:szCs w:val="16"/>
              </w:rPr>
              <w:t>1.184***</w:t>
            </w:r>
          </w:p>
        </w:tc>
        <w:tc>
          <w:tcPr>
            <w:tcW w:w="0" w:type="auto"/>
            <w:shd w:val="clear" w:color="000000" w:fill="FFFFFF"/>
            <w:noWrap/>
            <w:vAlign w:val="bottom"/>
          </w:tcPr>
          <w:p w14:paraId="21360409" w14:textId="60EDB1D2" w:rsidR="003D5122" w:rsidRPr="00F32020" w:rsidRDefault="003D5122" w:rsidP="003D5122">
            <w:pPr>
              <w:jc w:val="center"/>
              <w:rPr>
                <w:sz w:val="16"/>
                <w:szCs w:val="16"/>
              </w:rPr>
            </w:pPr>
          </w:p>
        </w:tc>
      </w:tr>
      <w:tr w:rsidR="003D5122" w:rsidRPr="00F32020" w14:paraId="38E07C40" w14:textId="77777777" w:rsidTr="00A02E26">
        <w:trPr>
          <w:trHeight w:val="260"/>
          <w:jc w:val="center"/>
        </w:trPr>
        <w:tc>
          <w:tcPr>
            <w:tcW w:w="2615" w:type="dxa"/>
            <w:shd w:val="clear" w:color="000000" w:fill="FFFFFF"/>
            <w:noWrap/>
            <w:vAlign w:val="bottom"/>
            <w:hideMark/>
          </w:tcPr>
          <w:p w14:paraId="6DA1225A"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59AFC2D1" w14:textId="77777777" w:rsidR="003D5122" w:rsidRPr="00F32020" w:rsidRDefault="003D5122" w:rsidP="003D5122">
            <w:pPr>
              <w:jc w:val="center"/>
              <w:rPr>
                <w:sz w:val="16"/>
                <w:szCs w:val="16"/>
              </w:rPr>
            </w:pPr>
            <w:r w:rsidRPr="00F32020">
              <w:rPr>
                <w:sz w:val="16"/>
                <w:szCs w:val="16"/>
              </w:rPr>
              <w:t>(0.1140)</w:t>
            </w:r>
          </w:p>
        </w:tc>
        <w:tc>
          <w:tcPr>
            <w:tcW w:w="0" w:type="auto"/>
            <w:shd w:val="clear" w:color="000000" w:fill="FFFFFF"/>
            <w:noWrap/>
          </w:tcPr>
          <w:p w14:paraId="46D1A9F6" w14:textId="541A6B9D" w:rsidR="003D5122" w:rsidRPr="00F32020" w:rsidRDefault="003D5122" w:rsidP="003D5122">
            <w:pPr>
              <w:jc w:val="center"/>
              <w:rPr>
                <w:sz w:val="16"/>
                <w:szCs w:val="16"/>
              </w:rPr>
            </w:pPr>
            <w:r w:rsidRPr="00F32020">
              <w:rPr>
                <w:sz w:val="16"/>
                <w:szCs w:val="16"/>
              </w:rPr>
              <w:t>(0.0524)</w:t>
            </w:r>
          </w:p>
        </w:tc>
        <w:tc>
          <w:tcPr>
            <w:tcW w:w="0" w:type="auto"/>
            <w:shd w:val="clear" w:color="000000" w:fill="FFFFFF"/>
            <w:noWrap/>
          </w:tcPr>
          <w:p w14:paraId="74721AA1" w14:textId="430D1DA4" w:rsidR="003D5122" w:rsidRPr="00F32020" w:rsidRDefault="003D5122" w:rsidP="003D5122">
            <w:pPr>
              <w:jc w:val="center"/>
              <w:rPr>
                <w:sz w:val="16"/>
                <w:szCs w:val="16"/>
              </w:rPr>
            </w:pPr>
            <w:r w:rsidRPr="00F32020">
              <w:rPr>
                <w:sz w:val="16"/>
                <w:szCs w:val="16"/>
              </w:rPr>
              <w:t>(0.0491)</w:t>
            </w:r>
          </w:p>
        </w:tc>
        <w:tc>
          <w:tcPr>
            <w:tcW w:w="0" w:type="auto"/>
            <w:shd w:val="clear" w:color="000000" w:fill="FFFFFF"/>
            <w:noWrap/>
            <w:vAlign w:val="bottom"/>
          </w:tcPr>
          <w:p w14:paraId="587491A4" w14:textId="4BA16908" w:rsidR="003D5122" w:rsidRPr="00F32020" w:rsidRDefault="003D5122" w:rsidP="003D5122">
            <w:pPr>
              <w:jc w:val="center"/>
              <w:rPr>
                <w:sz w:val="16"/>
                <w:szCs w:val="16"/>
              </w:rPr>
            </w:pPr>
          </w:p>
        </w:tc>
      </w:tr>
      <w:tr w:rsidR="003D5122" w:rsidRPr="00F32020" w14:paraId="73D5C43E" w14:textId="77777777" w:rsidTr="00A02E26">
        <w:trPr>
          <w:trHeight w:val="260"/>
          <w:jc w:val="center"/>
        </w:trPr>
        <w:tc>
          <w:tcPr>
            <w:tcW w:w="2615" w:type="dxa"/>
            <w:shd w:val="clear" w:color="000000" w:fill="FFFFFF"/>
            <w:noWrap/>
            <w:vAlign w:val="bottom"/>
            <w:hideMark/>
          </w:tcPr>
          <w:p w14:paraId="170B681D" w14:textId="77777777" w:rsidR="003D5122" w:rsidRPr="00F32020" w:rsidRDefault="003D5122" w:rsidP="003D5122">
            <w:pPr>
              <w:rPr>
                <w:sz w:val="16"/>
                <w:szCs w:val="16"/>
              </w:rPr>
            </w:pPr>
            <w:r w:rsidRPr="00F32020">
              <w:rPr>
                <w:sz w:val="16"/>
                <w:szCs w:val="16"/>
              </w:rPr>
              <w:t>GDP Growth</w:t>
            </w:r>
          </w:p>
        </w:tc>
        <w:tc>
          <w:tcPr>
            <w:tcW w:w="0" w:type="auto"/>
            <w:shd w:val="clear" w:color="000000" w:fill="FFFFFF"/>
            <w:vAlign w:val="bottom"/>
          </w:tcPr>
          <w:p w14:paraId="2BA5D13D" w14:textId="77777777" w:rsidR="003D5122" w:rsidRPr="00F32020" w:rsidRDefault="003D5122" w:rsidP="003D5122">
            <w:pPr>
              <w:jc w:val="center"/>
              <w:rPr>
                <w:sz w:val="16"/>
                <w:szCs w:val="16"/>
              </w:rPr>
            </w:pPr>
            <w:r w:rsidRPr="00F32020">
              <w:rPr>
                <w:sz w:val="16"/>
                <w:szCs w:val="16"/>
              </w:rPr>
              <w:t>1.013</w:t>
            </w:r>
          </w:p>
        </w:tc>
        <w:tc>
          <w:tcPr>
            <w:tcW w:w="0" w:type="auto"/>
            <w:shd w:val="clear" w:color="000000" w:fill="FFFFFF"/>
            <w:noWrap/>
          </w:tcPr>
          <w:p w14:paraId="1358ED8D" w14:textId="149F4EDD" w:rsidR="003D5122" w:rsidRPr="00F32020" w:rsidRDefault="003D5122" w:rsidP="003D5122">
            <w:pPr>
              <w:jc w:val="center"/>
              <w:rPr>
                <w:sz w:val="16"/>
                <w:szCs w:val="16"/>
              </w:rPr>
            </w:pPr>
            <w:r w:rsidRPr="00F32020">
              <w:rPr>
                <w:sz w:val="16"/>
                <w:szCs w:val="16"/>
              </w:rPr>
              <w:t>0.999</w:t>
            </w:r>
          </w:p>
        </w:tc>
        <w:tc>
          <w:tcPr>
            <w:tcW w:w="0" w:type="auto"/>
            <w:shd w:val="clear" w:color="000000" w:fill="FFFFFF"/>
            <w:noWrap/>
          </w:tcPr>
          <w:p w14:paraId="559DEC46" w14:textId="6936EC13" w:rsidR="003D5122" w:rsidRPr="00F32020" w:rsidRDefault="003D5122" w:rsidP="003D5122">
            <w:pPr>
              <w:jc w:val="center"/>
              <w:rPr>
                <w:sz w:val="16"/>
                <w:szCs w:val="16"/>
              </w:rPr>
            </w:pPr>
            <w:r w:rsidRPr="00F32020">
              <w:rPr>
                <w:sz w:val="16"/>
                <w:szCs w:val="16"/>
              </w:rPr>
              <w:t>1.000</w:t>
            </w:r>
          </w:p>
        </w:tc>
        <w:tc>
          <w:tcPr>
            <w:tcW w:w="0" w:type="auto"/>
            <w:shd w:val="clear" w:color="000000" w:fill="FFFFFF"/>
            <w:noWrap/>
            <w:vAlign w:val="bottom"/>
          </w:tcPr>
          <w:p w14:paraId="267E2029" w14:textId="37B2ED59" w:rsidR="003D5122" w:rsidRPr="00F32020" w:rsidRDefault="003D5122" w:rsidP="003D5122">
            <w:pPr>
              <w:jc w:val="center"/>
              <w:rPr>
                <w:sz w:val="16"/>
                <w:szCs w:val="16"/>
              </w:rPr>
            </w:pPr>
          </w:p>
        </w:tc>
      </w:tr>
      <w:tr w:rsidR="003D5122" w:rsidRPr="00F32020" w14:paraId="1823EE82" w14:textId="77777777" w:rsidTr="00A02E26">
        <w:trPr>
          <w:trHeight w:val="260"/>
          <w:jc w:val="center"/>
        </w:trPr>
        <w:tc>
          <w:tcPr>
            <w:tcW w:w="2615" w:type="dxa"/>
            <w:shd w:val="clear" w:color="000000" w:fill="FFFFFF"/>
            <w:noWrap/>
            <w:vAlign w:val="bottom"/>
            <w:hideMark/>
          </w:tcPr>
          <w:p w14:paraId="6AD666D2"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3E33807F" w14:textId="77777777" w:rsidR="003D5122" w:rsidRPr="00F32020" w:rsidRDefault="003D5122" w:rsidP="003D5122">
            <w:pPr>
              <w:jc w:val="center"/>
              <w:rPr>
                <w:sz w:val="16"/>
                <w:szCs w:val="16"/>
              </w:rPr>
            </w:pPr>
            <w:r w:rsidRPr="00F32020">
              <w:rPr>
                <w:sz w:val="16"/>
                <w:szCs w:val="16"/>
              </w:rPr>
              <w:t>(0.0324)</w:t>
            </w:r>
          </w:p>
        </w:tc>
        <w:tc>
          <w:tcPr>
            <w:tcW w:w="0" w:type="auto"/>
            <w:shd w:val="clear" w:color="000000" w:fill="FFFFFF"/>
            <w:noWrap/>
          </w:tcPr>
          <w:p w14:paraId="58D56BDD" w14:textId="3EA12C2F" w:rsidR="003D5122" w:rsidRPr="00F32020" w:rsidRDefault="003D5122" w:rsidP="003D5122">
            <w:pPr>
              <w:jc w:val="center"/>
              <w:rPr>
                <w:sz w:val="16"/>
                <w:szCs w:val="16"/>
              </w:rPr>
            </w:pPr>
            <w:r w:rsidRPr="00F32020">
              <w:rPr>
                <w:sz w:val="16"/>
                <w:szCs w:val="16"/>
              </w:rPr>
              <w:t>(0.0114)</w:t>
            </w:r>
          </w:p>
        </w:tc>
        <w:tc>
          <w:tcPr>
            <w:tcW w:w="0" w:type="auto"/>
            <w:shd w:val="clear" w:color="000000" w:fill="FFFFFF"/>
            <w:noWrap/>
          </w:tcPr>
          <w:p w14:paraId="0E97F46D" w14:textId="7B0B8A63" w:rsidR="003D5122" w:rsidRPr="00F32020" w:rsidRDefault="003D5122" w:rsidP="003D5122">
            <w:pPr>
              <w:jc w:val="center"/>
              <w:rPr>
                <w:sz w:val="16"/>
                <w:szCs w:val="16"/>
              </w:rPr>
            </w:pPr>
            <w:r w:rsidRPr="00F32020">
              <w:rPr>
                <w:sz w:val="16"/>
                <w:szCs w:val="16"/>
              </w:rPr>
              <w:t>(0.00266)</w:t>
            </w:r>
          </w:p>
        </w:tc>
        <w:tc>
          <w:tcPr>
            <w:tcW w:w="0" w:type="auto"/>
            <w:shd w:val="clear" w:color="000000" w:fill="FFFFFF"/>
            <w:noWrap/>
            <w:vAlign w:val="bottom"/>
          </w:tcPr>
          <w:p w14:paraId="7688A5BA" w14:textId="57A4AC47" w:rsidR="003D5122" w:rsidRPr="00F32020" w:rsidRDefault="003D5122" w:rsidP="003D5122">
            <w:pPr>
              <w:jc w:val="center"/>
              <w:rPr>
                <w:sz w:val="16"/>
                <w:szCs w:val="16"/>
              </w:rPr>
            </w:pPr>
          </w:p>
        </w:tc>
      </w:tr>
      <w:tr w:rsidR="003D5122" w:rsidRPr="00F32020" w14:paraId="6F9F9884" w14:textId="77777777" w:rsidTr="00A02E26">
        <w:trPr>
          <w:trHeight w:val="260"/>
          <w:jc w:val="center"/>
        </w:trPr>
        <w:tc>
          <w:tcPr>
            <w:tcW w:w="2615" w:type="dxa"/>
            <w:shd w:val="clear" w:color="000000" w:fill="FFFFFF"/>
            <w:noWrap/>
            <w:vAlign w:val="bottom"/>
            <w:hideMark/>
          </w:tcPr>
          <w:p w14:paraId="3581C12D" w14:textId="77777777" w:rsidR="003D5122" w:rsidRPr="00F32020" w:rsidRDefault="003D5122" w:rsidP="003D5122">
            <w:pPr>
              <w:rPr>
                <w:sz w:val="16"/>
                <w:szCs w:val="16"/>
              </w:rPr>
            </w:pPr>
            <w:r w:rsidRPr="00F32020">
              <w:rPr>
                <w:sz w:val="16"/>
                <w:szCs w:val="16"/>
              </w:rPr>
              <w:t>Inflation</w:t>
            </w:r>
          </w:p>
        </w:tc>
        <w:tc>
          <w:tcPr>
            <w:tcW w:w="0" w:type="auto"/>
            <w:shd w:val="clear" w:color="000000" w:fill="FFFFFF"/>
            <w:vAlign w:val="bottom"/>
          </w:tcPr>
          <w:p w14:paraId="4DDCADEB" w14:textId="77777777" w:rsidR="003D5122" w:rsidRPr="00F32020" w:rsidRDefault="003D5122" w:rsidP="003D5122">
            <w:pPr>
              <w:jc w:val="center"/>
              <w:rPr>
                <w:sz w:val="16"/>
                <w:szCs w:val="16"/>
              </w:rPr>
            </w:pPr>
            <w:r w:rsidRPr="00F32020">
              <w:rPr>
                <w:sz w:val="16"/>
                <w:szCs w:val="16"/>
              </w:rPr>
              <w:t>0.956**</w:t>
            </w:r>
          </w:p>
        </w:tc>
        <w:tc>
          <w:tcPr>
            <w:tcW w:w="0" w:type="auto"/>
            <w:shd w:val="clear" w:color="000000" w:fill="FFFFFF"/>
            <w:noWrap/>
          </w:tcPr>
          <w:p w14:paraId="2608F0A8" w14:textId="4828CDE2" w:rsidR="003D5122" w:rsidRPr="00F32020" w:rsidRDefault="003D5122" w:rsidP="003D5122">
            <w:pPr>
              <w:jc w:val="center"/>
              <w:rPr>
                <w:sz w:val="16"/>
                <w:szCs w:val="16"/>
              </w:rPr>
            </w:pPr>
            <w:r w:rsidRPr="00F32020">
              <w:rPr>
                <w:sz w:val="16"/>
                <w:szCs w:val="16"/>
              </w:rPr>
              <w:t>0.960***</w:t>
            </w:r>
          </w:p>
        </w:tc>
        <w:tc>
          <w:tcPr>
            <w:tcW w:w="0" w:type="auto"/>
            <w:shd w:val="clear" w:color="000000" w:fill="FFFFFF"/>
            <w:noWrap/>
          </w:tcPr>
          <w:p w14:paraId="4005202B" w14:textId="04C8F0FA" w:rsidR="003D5122" w:rsidRPr="00F32020" w:rsidRDefault="003D5122" w:rsidP="003D5122">
            <w:pPr>
              <w:jc w:val="center"/>
              <w:rPr>
                <w:sz w:val="16"/>
                <w:szCs w:val="16"/>
              </w:rPr>
            </w:pPr>
            <w:r w:rsidRPr="00F32020">
              <w:rPr>
                <w:sz w:val="16"/>
                <w:szCs w:val="16"/>
              </w:rPr>
              <w:t>0.990***</w:t>
            </w:r>
          </w:p>
        </w:tc>
        <w:tc>
          <w:tcPr>
            <w:tcW w:w="0" w:type="auto"/>
            <w:shd w:val="clear" w:color="000000" w:fill="FFFFFF"/>
            <w:noWrap/>
            <w:vAlign w:val="bottom"/>
          </w:tcPr>
          <w:p w14:paraId="1FAFE1DF" w14:textId="22C42A38" w:rsidR="003D5122" w:rsidRPr="00F32020" w:rsidRDefault="003D5122" w:rsidP="003D5122">
            <w:pPr>
              <w:jc w:val="center"/>
              <w:rPr>
                <w:sz w:val="16"/>
                <w:szCs w:val="16"/>
              </w:rPr>
            </w:pPr>
          </w:p>
        </w:tc>
      </w:tr>
      <w:tr w:rsidR="003D5122" w:rsidRPr="00F32020" w14:paraId="297E2071" w14:textId="77777777" w:rsidTr="00A02E26">
        <w:trPr>
          <w:trHeight w:val="260"/>
          <w:jc w:val="center"/>
        </w:trPr>
        <w:tc>
          <w:tcPr>
            <w:tcW w:w="2615" w:type="dxa"/>
            <w:shd w:val="clear" w:color="000000" w:fill="FFFFFF"/>
            <w:noWrap/>
            <w:vAlign w:val="bottom"/>
            <w:hideMark/>
          </w:tcPr>
          <w:p w14:paraId="58AAEAF3"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300454CE" w14:textId="77777777" w:rsidR="003D5122" w:rsidRPr="00F32020" w:rsidRDefault="003D5122" w:rsidP="003D5122">
            <w:pPr>
              <w:jc w:val="center"/>
              <w:rPr>
                <w:sz w:val="16"/>
                <w:szCs w:val="16"/>
              </w:rPr>
            </w:pPr>
            <w:r w:rsidRPr="00F32020">
              <w:rPr>
                <w:sz w:val="16"/>
                <w:szCs w:val="16"/>
              </w:rPr>
              <w:t>(0.0207)</w:t>
            </w:r>
          </w:p>
        </w:tc>
        <w:tc>
          <w:tcPr>
            <w:tcW w:w="0" w:type="auto"/>
            <w:shd w:val="clear" w:color="000000" w:fill="FFFFFF"/>
            <w:noWrap/>
          </w:tcPr>
          <w:p w14:paraId="31362539" w14:textId="606F2387" w:rsidR="003D5122" w:rsidRPr="00F32020" w:rsidRDefault="003D5122" w:rsidP="003D5122">
            <w:pPr>
              <w:jc w:val="center"/>
              <w:rPr>
                <w:sz w:val="16"/>
                <w:szCs w:val="16"/>
              </w:rPr>
            </w:pPr>
            <w:r w:rsidRPr="00F32020">
              <w:rPr>
                <w:sz w:val="16"/>
                <w:szCs w:val="16"/>
              </w:rPr>
              <w:t>(0.00790)</w:t>
            </w:r>
          </w:p>
        </w:tc>
        <w:tc>
          <w:tcPr>
            <w:tcW w:w="0" w:type="auto"/>
            <w:shd w:val="clear" w:color="000000" w:fill="FFFFFF"/>
            <w:noWrap/>
          </w:tcPr>
          <w:p w14:paraId="053ED301" w14:textId="2BD167C9" w:rsidR="003D5122" w:rsidRPr="00F32020" w:rsidRDefault="003D5122" w:rsidP="003D5122">
            <w:pPr>
              <w:jc w:val="center"/>
              <w:rPr>
                <w:sz w:val="16"/>
                <w:szCs w:val="16"/>
              </w:rPr>
            </w:pPr>
            <w:r w:rsidRPr="00F32020">
              <w:rPr>
                <w:sz w:val="16"/>
                <w:szCs w:val="16"/>
              </w:rPr>
              <w:t>(0.00186)</w:t>
            </w:r>
          </w:p>
        </w:tc>
        <w:tc>
          <w:tcPr>
            <w:tcW w:w="0" w:type="auto"/>
            <w:shd w:val="clear" w:color="000000" w:fill="FFFFFF"/>
            <w:noWrap/>
            <w:vAlign w:val="bottom"/>
          </w:tcPr>
          <w:p w14:paraId="563171ED" w14:textId="402EB203" w:rsidR="003D5122" w:rsidRPr="00F32020" w:rsidRDefault="003D5122" w:rsidP="003D5122">
            <w:pPr>
              <w:jc w:val="center"/>
              <w:rPr>
                <w:sz w:val="16"/>
                <w:szCs w:val="16"/>
              </w:rPr>
            </w:pPr>
          </w:p>
        </w:tc>
      </w:tr>
      <w:tr w:rsidR="003D5122" w:rsidRPr="00F32020" w14:paraId="55B74340" w14:textId="77777777" w:rsidTr="00A02E26">
        <w:trPr>
          <w:trHeight w:val="260"/>
          <w:jc w:val="center"/>
        </w:trPr>
        <w:tc>
          <w:tcPr>
            <w:tcW w:w="2615" w:type="dxa"/>
            <w:shd w:val="clear" w:color="000000" w:fill="FFFFFF"/>
            <w:noWrap/>
            <w:vAlign w:val="bottom"/>
            <w:hideMark/>
          </w:tcPr>
          <w:p w14:paraId="66AF5F72" w14:textId="77777777" w:rsidR="003D5122" w:rsidRPr="00F32020" w:rsidRDefault="003D5122" w:rsidP="003D5122">
            <w:pPr>
              <w:rPr>
                <w:sz w:val="16"/>
                <w:szCs w:val="16"/>
              </w:rPr>
            </w:pPr>
            <w:r w:rsidRPr="00F32020">
              <w:rPr>
                <w:sz w:val="16"/>
                <w:szCs w:val="16"/>
              </w:rPr>
              <w:t>Institutional Index (WGI)</w:t>
            </w:r>
          </w:p>
        </w:tc>
        <w:tc>
          <w:tcPr>
            <w:tcW w:w="0" w:type="auto"/>
            <w:shd w:val="clear" w:color="000000" w:fill="FFFFFF"/>
            <w:vAlign w:val="bottom"/>
          </w:tcPr>
          <w:p w14:paraId="70ED94CB" w14:textId="77777777" w:rsidR="003D5122" w:rsidRPr="00F32020" w:rsidRDefault="003D5122" w:rsidP="003D5122">
            <w:pPr>
              <w:jc w:val="center"/>
              <w:rPr>
                <w:sz w:val="16"/>
                <w:szCs w:val="16"/>
              </w:rPr>
            </w:pPr>
            <w:r w:rsidRPr="00F32020">
              <w:rPr>
                <w:sz w:val="16"/>
                <w:szCs w:val="16"/>
              </w:rPr>
              <w:t>0.912</w:t>
            </w:r>
          </w:p>
        </w:tc>
        <w:tc>
          <w:tcPr>
            <w:tcW w:w="0" w:type="auto"/>
            <w:shd w:val="clear" w:color="000000" w:fill="FFFFFF"/>
            <w:noWrap/>
          </w:tcPr>
          <w:p w14:paraId="65721DAA" w14:textId="3FA58524" w:rsidR="003D5122" w:rsidRPr="00F32020" w:rsidRDefault="003D5122" w:rsidP="003D5122">
            <w:pPr>
              <w:jc w:val="center"/>
              <w:rPr>
                <w:sz w:val="16"/>
                <w:szCs w:val="16"/>
              </w:rPr>
            </w:pPr>
            <w:r w:rsidRPr="00F32020">
              <w:rPr>
                <w:sz w:val="16"/>
                <w:szCs w:val="16"/>
              </w:rPr>
              <w:t>0.899</w:t>
            </w:r>
          </w:p>
        </w:tc>
        <w:tc>
          <w:tcPr>
            <w:tcW w:w="0" w:type="auto"/>
            <w:shd w:val="clear" w:color="000000" w:fill="FFFFFF"/>
            <w:noWrap/>
          </w:tcPr>
          <w:p w14:paraId="65E8EE94" w14:textId="1B875001" w:rsidR="003D5122" w:rsidRPr="00F32020" w:rsidRDefault="003D5122" w:rsidP="003D5122">
            <w:pPr>
              <w:jc w:val="center"/>
              <w:rPr>
                <w:sz w:val="16"/>
                <w:szCs w:val="16"/>
              </w:rPr>
            </w:pPr>
            <w:r w:rsidRPr="00F32020">
              <w:rPr>
                <w:sz w:val="16"/>
                <w:szCs w:val="16"/>
              </w:rPr>
              <w:t>0.966***</w:t>
            </w:r>
          </w:p>
        </w:tc>
        <w:tc>
          <w:tcPr>
            <w:tcW w:w="0" w:type="auto"/>
            <w:shd w:val="clear" w:color="000000" w:fill="FFFFFF"/>
            <w:noWrap/>
            <w:vAlign w:val="bottom"/>
          </w:tcPr>
          <w:p w14:paraId="34158C37" w14:textId="0E17A37D" w:rsidR="003D5122" w:rsidRPr="00F32020" w:rsidRDefault="003D5122" w:rsidP="003D5122">
            <w:pPr>
              <w:jc w:val="center"/>
              <w:rPr>
                <w:sz w:val="16"/>
                <w:szCs w:val="16"/>
              </w:rPr>
            </w:pPr>
          </w:p>
        </w:tc>
      </w:tr>
      <w:tr w:rsidR="003D5122" w:rsidRPr="00F32020" w14:paraId="59C820CD" w14:textId="77777777" w:rsidTr="00A02E26">
        <w:trPr>
          <w:trHeight w:val="260"/>
          <w:jc w:val="center"/>
        </w:trPr>
        <w:tc>
          <w:tcPr>
            <w:tcW w:w="2615" w:type="dxa"/>
            <w:shd w:val="clear" w:color="000000" w:fill="FFFFFF"/>
            <w:noWrap/>
            <w:vAlign w:val="bottom"/>
            <w:hideMark/>
          </w:tcPr>
          <w:p w14:paraId="729BDF2A"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60CD4431" w14:textId="77777777" w:rsidR="003D5122" w:rsidRPr="00F32020" w:rsidRDefault="003D5122" w:rsidP="003D5122">
            <w:pPr>
              <w:jc w:val="center"/>
              <w:rPr>
                <w:sz w:val="16"/>
                <w:szCs w:val="16"/>
              </w:rPr>
            </w:pPr>
            <w:r w:rsidRPr="00F32020">
              <w:rPr>
                <w:sz w:val="16"/>
                <w:szCs w:val="16"/>
              </w:rPr>
              <w:t>(0.1010)</w:t>
            </w:r>
          </w:p>
        </w:tc>
        <w:tc>
          <w:tcPr>
            <w:tcW w:w="0" w:type="auto"/>
            <w:shd w:val="clear" w:color="000000" w:fill="FFFFFF"/>
            <w:noWrap/>
          </w:tcPr>
          <w:p w14:paraId="3DBE0868" w14:textId="19CFCBBB" w:rsidR="003D5122" w:rsidRPr="00F32020" w:rsidRDefault="003D5122" w:rsidP="003D5122">
            <w:pPr>
              <w:jc w:val="center"/>
              <w:rPr>
                <w:sz w:val="16"/>
                <w:szCs w:val="16"/>
              </w:rPr>
            </w:pPr>
            <w:r w:rsidRPr="00F32020">
              <w:rPr>
                <w:sz w:val="16"/>
                <w:szCs w:val="16"/>
              </w:rPr>
              <w:t>(0.1376)</w:t>
            </w:r>
          </w:p>
        </w:tc>
        <w:tc>
          <w:tcPr>
            <w:tcW w:w="0" w:type="auto"/>
            <w:shd w:val="clear" w:color="000000" w:fill="FFFFFF"/>
            <w:noWrap/>
          </w:tcPr>
          <w:p w14:paraId="3E555A3E" w14:textId="311502DE" w:rsidR="003D5122" w:rsidRPr="00F32020" w:rsidRDefault="003D5122" w:rsidP="003D5122">
            <w:pPr>
              <w:jc w:val="center"/>
              <w:rPr>
                <w:sz w:val="16"/>
                <w:szCs w:val="16"/>
              </w:rPr>
            </w:pPr>
            <w:r w:rsidRPr="00F32020">
              <w:rPr>
                <w:sz w:val="16"/>
                <w:szCs w:val="16"/>
              </w:rPr>
              <w:t>(0.0109)</w:t>
            </w:r>
          </w:p>
        </w:tc>
        <w:tc>
          <w:tcPr>
            <w:tcW w:w="0" w:type="auto"/>
            <w:shd w:val="clear" w:color="000000" w:fill="FFFFFF"/>
            <w:noWrap/>
            <w:vAlign w:val="bottom"/>
          </w:tcPr>
          <w:p w14:paraId="6B73DBE8" w14:textId="333DB715" w:rsidR="003D5122" w:rsidRPr="00F32020" w:rsidRDefault="003D5122" w:rsidP="003D5122">
            <w:pPr>
              <w:jc w:val="center"/>
              <w:rPr>
                <w:sz w:val="16"/>
                <w:szCs w:val="16"/>
              </w:rPr>
            </w:pPr>
          </w:p>
        </w:tc>
      </w:tr>
      <w:tr w:rsidR="003D5122" w:rsidRPr="00F32020" w14:paraId="01DE2AA4" w14:textId="77777777" w:rsidTr="00A02E26">
        <w:trPr>
          <w:trHeight w:val="260"/>
          <w:jc w:val="center"/>
        </w:trPr>
        <w:tc>
          <w:tcPr>
            <w:tcW w:w="2615" w:type="dxa"/>
            <w:shd w:val="clear" w:color="000000" w:fill="FFFFFF"/>
            <w:noWrap/>
            <w:vAlign w:val="bottom"/>
            <w:hideMark/>
          </w:tcPr>
          <w:p w14:paraId="6D9F426B" w14:textId="77777777" w:rsidR="003D5122" w:rsidRPr="00F32020" w:rsidRDefault="003D5122" w:rsidP="003D5122">
            <w:pPr>
              <w:rPr>
                <w:sz w:val="16"/>
                <w:szCs w:val="16"/>
              </w:rPr>
            </w:pPr>
            <w:r w:rsidRPr="00F32020">
              <w:rPr>
                <w:sz w:val="16"/>
                <w:szCs w:val="16"/>
              </w:rPr>
              <w:t>Constant</w:t>
            </w:r>
          </w:p>
        </w:tc>
        <w:tc>
          <w:tcPr>
            <w:tcW w:w="0" w:type="auto"/>
            <w:shd w:val="clear" w:color="000000" w:fill="FFFFFF"/>
            <w:vAlign w:val="bottom"/>
          </w:tcPr>
          <w:p w14:paraId="11C3FCEF" w14:textId="77777777" w:rsidR="003D5122" w:rsidRPr="00F32020" w:rsidRDefault="003D5122" w:rsidP="003D5122">
            <w:pPr>
              <w:jc w:val="center"/>
              <w:rPr>
                <w:sz w:val="16"/>
                <w:szCs w:val="16"/>
              </w:rPr>
            </w:pPr>
            <w:r w:rsidRPr="00F32020">
              <w:rPr>
                <w:sz w:val="16"/>
                <w:szCs w:val="16"/>
              </w:rPr>
              <w:t>0.207***</w:t>
            </w:r>
          </w:p>
        </w:tc>
        <w:tc>
          <w:tcPr>
            <w:tcW w:w="0" w:type="auto"/>
            <w:shd w:val="clear" w:color="000000" w:fill="FFFFFF"/>
            <w:noWrap/>
          </w:tcPr>
          <w:p w14:paraId="26CB0C41" w14:textId="6ADC6402" w:rsidR="003D5122" w:rsidRPr="00F32020" w:rsidRDefault="003D5122" w:rsidP="003D5122">
            <w:pPr>
              <w:jc w:val="center"/>
              <w:rPr>
                <w:sz w:val="16"/>
                <w:szCs w:val="16"/>
              </w:rPr>
            </w:pPr>
            <w:r w:rsidRPr="00F32020">
              <w:rPr>
                <w:sz w:val="16"/>
                <w:szCs w:val="16"/>
              </w:rPr>
              <w:t>0.496***</w:t>
            </w:r>
          </w:p>
        </w:tc>
        <w:tc>
          <w:tcPr>
            <w:tcW w:w="0" w:type="auto"/>
            <w:shd w:val="clear" w:color="000000" w:fill="FFFFFF"/>
            <w:noWrap/>
          </w:tcPr>
          <w:p w14:paraId="56A1F2A1" w14:textId="0E1BC396" w:rsidR="003D5122" w:rsidRPr="00F32020" w:rsidRDefault="003D5122" w:rsidP="003D5122">
            <w:pPr>
              <w:jc w:val="center"/>
              <w:rPr>
                <w:sz w:val="16"/>
                <w:szCs w:val="16"/>
              </w:rPr>
            </w:pPr>
            <w:r w:rsidRPr="00F32020">
              <w:rPr>
                <w:sz w:val="16"/>
                <w:szCs w:val="16"/>
              </w:rPr>
              <w:t>1.225***</w:t>
            </w:r>
          </w:p>
        </w:tc>
        <w:tc>
          <w:tcPr>
            <w:tcW w:w="0" w:type="auto"/>
            <w:shd w:val="clear" w:color="000000" w:fill="FFFFFF"/>
            <w:noWrap/>
            <w:vAlign w:val="bottom"/>
          </w:tcPr>
          <w:p w14:paraId="1DE5DC3D" w14:textId="04CB5FE0" w:rsidR="003D5122" w:rsidRPr="00F32020" w:rsidRDefault="003D5122" w:rsidP="003D5122">
            <w:pPr>
              <w:jc w:val="center"/>
              <w:rPr>
                <w:sz w:val="16"/>
                <w:szCs w:val="16"/>
              </w:rPr>
            </w:pPr>
          </w:p>
        </w:tc>
      </w:tr>
      <w:tr w:rsidR="003D5122" w:rsidRPr="00F32020" w14:paraId="5BB4B4C7" w14:textId="77777777" w:rsidTr="00A02E26">
        <w:trPr>
          <w:trHeight w:val="260"/>
          <w:jc w:val="center"/>
        </w:trPr>
        <w:tc>
          <w:tcPr>
            <w:tcW w:w="2615" w:type="dxa"/>
            <w:shd w:val="clear" w:color="000000" w:fill="FFFFFF"/>
            <w:noWrap/>
            <w:vAlign w:val="bottom"/>
            <w:hideMark/>
          </w:tcPr>
          <w:p w14:paraId="43167B58" w14:textId="77777777" w:rsidR="003D5122" w:rsidRPr="00F32020" w:rsidRDefault="003D5122" w:rsidP="003D5122">
            <w:pPr>
              <w:rPr>
                <w:sz w:val="16"/>
                <w:szCs w:val="16"/>
              </w:rPr>
            </w:pPr>
            <w:r w:rsidRPr="00F32020">
              <w:rPr>
                <w:sz w:val="16"/>
                <w:szCs w:val="16"/>
              </w:rPr>
              <w:t> </w:t>
            </w:r>
          </w:p>
        </w:tc>
        <w:tc>
          <w:tcPr>
            <w:tcW w:w="0" w:type="auto"/>
            <w:shd w:val="clear" w:color="000000" w:fill="FFFFFF"/>
            <w:vAlign w:val="bottom"/>
          </w:tcPr>
          <w:p w14:paraId="5086A76D" w14:textId="77777777" w:rsidR="003D5122" w:rsidRPr="00F32020" w:rsidRDefault="003D5122" w:rsidP="003D5122">
            <w:pPr>
              <w:jc w:val="center"/>
              <w:rPr>
                <w:sz w:val="16"/>
                <w:szCs w:val="16"/>
              </w:rPr>
            </w:pPr>
            <w:r w:rsidRPr="00F32020">
              <w:rPr>
                <w:sz w:val="16"/>
                <w:szCs w:val="16"/>
              </w:rPr>
              <w:t>(0.0856)</w:t>
            </w:r>
          </w:p>
        </w:tc>
        <w:tc>
          <w:tcPr>
            <w:tcW w:w="0" w:type="auto"/>
            <w:shd w:val="clear" w:color="000000" w:fill="FFFFFF"/>
            <w:noWrap/>
          </w:tcPr>
          <w:p w14:paraId="58D1E3E0" w14:textId="23F5A367" w:rsidR="003D5122" w:rsidRPr="00F32020" w:rsidRDefault="003D5122" w:rsidP="003D5122">
            <w:pPr>
              <w:jc w:val="center"/>
              <w:rPr>
                <w:sz w:val="16"/>
                <w:szCs w:val="16"/>
              </w:rPr>
            </w:pPr>
            <w:r w:rsidRPr="00F32020">
              <w:rPr>
                <w:sz w:val="16"/>
                <w:szCs w:val="16"/>
              </w:rPr>
              <w:t>(0.0693)</w:t>
            </w:r>
          </w:p>
        </w:tc>
        <w:tc>
          <w:tcPr>
            <w:tcW w:w="0" w:type="auto"/>
            <w:shd w:val="clear" w:color="000000" w:fill="FFFFFF"/>
            <w:noWrap/>
          </w:tcPr>
          <w:p w14:paraId="071FFC11" w14:textId="5A2B092A" w:rsidR="003D5122" w:rsidRPr="00F32020" w:rsidRDefault="003D5122" w:rsidP="003D5122">
            <w:pPr>
              <w:jc w:val="center"/>
              <w:rPr>
                <w:sz w:val="16"/>
                <w:szCs w:val="16"/>
              </w:rPr>
            </w:pPr>
            <w:r w:rsidRPr="00F32020">
              <w:rPr>
                <w:sz w:val="16"/>
                <w:szCs w:val="16"/>
              </w:rPr>
              <w:t>(0.0423)</w:t>
            </w:r>
          </w:p>
        </w:tc>
        <w:tc>
          <w:tcPr>
            <w:tcW w:w="0" w:type="auto"/>
            <w:shd w:val="clear" w:color="000000" w:fill="FFFFFF"/>
            <w:noWrap/>
            <w:vAlign w:val="bottom"/>
          </w:tcPr>
          <w:p w14:paraId="7115DD08" w14:textId="39F4CD8D" w:rsidR="003D5122" w:rsidRPr="00F32020" w:rsidRDefault="003D5122" w:rsidP="003D5122">
            <w:pPr>
              <w:jc w:val="center"/>
              <w:rPr>
                <w:sz w:val="16"/>
                <w:szCs w:val="16"/>
              </w:rPr>
            </w:pPr>
          </w:p>
        </w:tc>
      </w:tr>
      <w:tr w:rsidR="003D5122" w:rsidRPr="00F32020" w14:paraId="13805585" w14:textId="77777777" w:rsidTr="00A02E26">
        <w:trPr>
          <w:trHeight w:val="260"/>
          <w:jc w:val="center"/>
        </w:trPr>
        <w:tc>
          <w:tcPr>
            <w:tcW w:w="2615" w:type="dxa"/>
            <w:shd w:val="clear" w:color="000000" w:fill="FFFFFF"/>
            <w:noWrap/>
            <w:vAlign w:val="bottom"/>
            <w:hideMark/>
          </w:tcPr>
          <w:p w14:paraId="3E881CB8" w14:textId="77777777" w:rsidR="003D5122" w:rsidRPr="00F32020" w:rsidRDefault="003D5122" w:rsidP="003D5122">
            <w:pPr>
              <w:rPr>
                <w:sz w:val="16"/>
                <w:szCs w:val="16"/>
              </w:rPr>
            </w:pPr>
            <w:r w:rsidRPr="00F32020">
              <w:rPr>
                <w:sz w:val="16"/>
                <w:szCs w:val="16"/>
              </w:rPr>
              <w:t>Observations</w:t>
            </w:r>
          </w:p>
        </w:tc>
        <w:tc>
          <w:tcPr>
            <w:tcW w:w="0" w:type="auto"/>
            <w:shd w:val="clear" w:color="000000" w:fill="FFFFFF"/>
            <w:vAlign w:val="bottom"/>
          </w:tcPr>
          <w:p w14:paraId="06C2A44D" w14:textId="77777777" w:rsidR="003D5122" w:rsidRPr="00F32020" w:rsidRDefault="003D5122" w:rsidP="003D5122">
            <w:pPr>
              <w:jc w:val="center"/>
              <w:rPr>
                <w:sz w:val="16"/>
                <w:szCs w:val="16"/>
              </w:rPr>
            </w:pPr>
            <w:r w:rsidRPr="00F32020">
              <w:rPr>
                <w:sz w:val="16"/>
                <w:szCs w:val="16"/>
              </w:rPr>
              <w:t>8,369</w:t>
            </w:r>
          </w:p>
        </w:tc>
        <w:tc>
          <w:tcPr>
            <w:tcW w:w="0" w:type="auto"/>
            <w:shd w:val="clear" w:color="000000" w:fill="FFFFFF"/>
            <w:noWrap/>
            <w:vAlign w:val="bottom"/>
          </w:tcPr>
          <w:p w14:paraId="7425CF33" w14:textId="1C6E1CDB" w:rsidR="003D5122" w:rsidRPr="00F32020" w:rsidRDefault="003D5122" w:rsidP="003D5122">
            <w:pPr>
              <w:jc w:val="center"/>
              <w:rPr>
                <w:sz w:val="16"/>
                <w:szCs w:val="16"/>
              </w:rPr>
            </w:pPr>
            <w:r w:rsidRPr="00F32020">
              <w:rPr>
                <w:sz w:val="16"/>
                <w:szCs w:val="16"/>
              </w:rPr>
              <w:t>8,369</w:t>
            </w:r>
          </w:p>
        </w:tc>
        <w:tc>
          <w:tcPr>
            <w:tcW w:w="0" w:type="auto"/>
            <w:shd w:val="clear" w:color="000000" w:fill="FFFFFF"/>
            <w:noWrap/>
            <w:vAlign w:val="bottom"/>
          </w:tcPr>
          <w:p w14:paraId="698ABE54" w14:textId="26F612EC" w:rsidR="003D5122" w:rsidRPr="00F32020" w:rsidRDefault="003D5122" w:rsidP="003D5122">
            <w:pPr>
              <w:jc w:val="center"/>
              <w:rPr>
                <w:sz w:val="16"/>
                <w:szCs w:val="16"/>
              </w:rPr>
            </w:pPr>
            <w:r w:rsidRPr="00F32020">
              <w:rPr>
                <w:sz w:val="16"/>
                <w:szCs w:val="16"/>
              </w:rPr>
              <w:t>8,369</w:t>
            </w:r>
          </w:p>
        </w:tc>
        <w:tc>
          <w:tcPr>
            <w:tcW w:w="0" w:type="auto"/>
            <w:shd w:val="clear" w:color="000000" w:fill="FFFFFF"/>
            <w:noWrap/>
            <w:vAlign w:val="bottom"/>
          </w:tcPr>
          <w:p w14:paraId="0AB47E73" w14:textId="62CB4E2D" w:rsidR="003D5122" w:rsidRPr="00F32020" w:rsidRDefault="003D5122" w:rsidP="003D5122">
            <w:pPr>
              <w:jc w:val="center"/>
              <w:rPr>
                <w:sz w:val="16"/>
                <w:szCs w:val="16"/>
              </w:rPr>
            </w:pPr>
          </w:p>
        </w:tc>
      </w:tr>
      <w:tr w:rsidR="003D5122" w:rsidRPr="00F32020" w14:paraId="4C656A74" w14:textId="77777777" w:rsidTr="00A02E26">
        <w:trPr>
          <w:trHeight w:val="260"/>
          <w:jc w:val="center"/>
        </w:trPr>
        <w:tc>
          <w:tcPr>
            <w:tcW w:w="2615" w:type="dxa"/>
            <w:shd w:val="clear" w:color="000000" w:fill="FFFFFF"/>
            <w:noWrap/>
            <w:vAlign w:val="bottom"/>
            <w:hideMark/>
          </w:tcPr>
          <w:p w14:paraId="3D5D7947" w14:textId="77777777" w:rsidR="003D5122" w:rsidRPr="00F32020" w:rsidRDefault="003D5122" w:rsidP="003D5122">
            <w:pPr>
              <w:rPr>
                <w:sz w:val="16"/>
                <w:szCs w:val="16"/>
              </w:rPr>
            </w:pPr>
            <w:r w:rsidRPr="00F32020">
              <w:rPr>
                <w:sz w:val="16"/>
                <w:szCs w:val="16"/>
              </w:rPr>
              <w:t># of Founders Dummies</w:t>
            </w:r>
          </w:p>
        </w:tc>
        <w:tc>
          <w:tcPr>
            <w:tcW w:w="0" w:type="auto"/>
            <w:shd w:val="clear" w:color="000000" w:fill="FFFFFF"/>
            <w:vAlign w:val="bottom"/>
          </w:tcPr>
          <w:p w14:paraId="460267D8" w14:textId="77777777"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65569525" w14:textId="4755D034"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45A497D0" w14:textId="4940BFED"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5660EB91" w14:textId="72FC574B" w:rsidR="003D5122" w:rsidRPr="00F32020" w:rsidRDefault="003D5122" w:rsidP="003D5122">
            <w:pPr>
              <w:jc w:val="center"/>
              <w:rPr>
                <w:sz w:val="16"/>
                <w:szCs w:val="16"/>
              </w:rPr>
            </w:pPr>
          </w:p>
        </w:tc>
      </w:tr>
      <w:tr w:rsidR="003D5122" w:rsidRPr="00F32020" w14:paraId="204411CF" w14:textId="77777777" w:rsidTr="00A02E26">
        <w:trPr>
          <w:trHeight w:val="260"/>
          <w:jc w:val="center"/>
        </w:trPr>
        <w:tc>
          <w:tcPr>
            <w:tcW w:w="2615" w:type="dxa"/>
            <w:shd w:val="clear" w:color="000000" w:fill="FFFFFF"/>
            <w:noWrap/>
            <w:vAlign w:val="bottom"/>
            <w:hideMark/>
          </w:tcPr>
          <w:p w14:paraId="69B1C3D2" w14:textId="77777777" w:rsidR="003D5122" w:rsidRPr="00F32020" w:rsidRDefault="003D5122" w:rsidP="003D5122">
            <w:pPr>
              <w:rPr>
                <w:sz w:val="16"/>
                <w:szCs w:val="16"/>
              </w:rPr>
            </w:pPr>
            <w:r w:rsidRPr="00F32020">
              <w:rPr>
                <w:sz w:val="16"/>
                <w:szCs w:val="16"/>
              </w:rPr>
              <w:t>Programme Dummies</w:t>
            </w:r>
          </w:p>
        </w:tc>
        <w:tc>
          <w:tcPr>
            <w:tcW w:w="0" w:type="auto"/>
            <w:shd w:val="clear" w:color="000000" w:fill="FFFFFF"/>
            <w:vAlign w:val="bottom"/>
          </w:tcPr>
          <w:p w14:paraId="63B24DC4" w14:textId="77777777"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4A5E496B" w14:textId="42214224"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1E337952" w14:textId="540FB8EB"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37C20466" w14:textId="2E0D4B18" w:rsidR="003D5122" w:rsidRPr="00F32020" w:rsidRDefault="003D5122" w:rsidP="003D5122">
            <w:pPr>
              <w:jc w:val="center"/>
              <w:rPr>
                <w:sz w:val="16"/>
                <w:szCs w:val="16"/>
              </w:rPr>
            </w:pPr>
          </w:p>
        </w:tc>
      </w:tr>
      <w:tr w:rsidR="003D5122" w:rsidRPr="00F32020" w14:paraId="3BFE224C" w14:textId="77777777" w:rsidTr="00A02E26">
        <w:trPr>
          <w:trHeight w:val="260"/>
          <w:jc w:val="center"/>
        </w:trPr>
        <w:tc>
          <w:tcPr>
            <w:tcW w:w="2615" w:type="dxa"/>
            <w:shd w:val="clear" w:color="000000" w:fill="FFFFFF"/>
            <w:noWrap/>
            <w:vAlign w:val="bottom"/>
            <w:hideMark/>
          </w:tcPr>
          <w:p w14:paraId="6E6BE7FF" w14:textId="77777777" w:rsidR="003D5122" w:rsidRPr="00F32020" w:rsidRDefault="003D5122" w:rsidP="003D5122">
            <w:pPr>
              <w:rPr>
                <w:sz w:val="16"/>
                <w:szCs w:val="16"/>
              </w:rPr>
            </w:pPr>
            <w:r w:rsidRPr="00F32020">
              <w:rPr>
                <w:sz w:val="16"/>
                <w:szCs w:val="16"/>
              </w:rPr>
              <w:t>Sector Dummies</w:t>
            </w:r>
          </w:p>
        </w:tc>
        <w:tc>
          <w:tcPr>
            <w:tcW w:w="0" w:type="auto"/>
            <w:shd w:val="clear" w:color="000000" w:fill="FFFFFF"/>
            <w:vAlign w:val="bottom"/>
          </w:tcPr>
          <w:p w14:paraId="3CB00B83" w14:textId="77777777"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48B66D64" w14:textId="10F34476"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198F7623" w14:textId="7A35F6B2"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2FB3EA44" w14:textId="516DD70F" w:rsidR="003D5122" w:rsidRPr="00F32020" w:rsidRDefault="003D5122" w:rsidP="003D5122">
            <w:pPr>
              <w:jc w:val="center"/>
              <w:rPr>
                <w:sz w:val="16"/>
                <w:szCs w:val="16"/>
              </w:rPr>
            </w:pPr>
          </w:p>
        </w:tc>
      </w:tr>
      <w:tr w:rsidR="003D5122" w:rsidRPr="00F32020" w14:paraId="697653CE" w14:textId="77777777" w:rsidTr="00A02E26">
        <w:trPr>
          <w:trHeight w:val="260"/>
          <w:jc w:val="center"/>
        </w:trPr>
        <w:tc>
          <w:tcPr>
            <w:tcW w:w="2615" w:type="dxa"/>
            <w:shd w:val="clear" w:color="000000" w:fill="FFFFFF"/>
            <w:noWrap/>
            <w:vAlign w:val="bottom"/>
            <w:hideMark/>
          </w:tcPr>
          <w:p w14:paraId="1F769B1F" w14:textId="77777777" w:rsidR="003D5122" w:rsidRPr="00F32020" w:rsidRDefault="003D5122" w:rsidP="003D5122">
            <w:pPr>
              <w:rPr>
                <w:sz w:val="16"/>
                <w:szCs w:val="16"/>
              </w:rPr>
            </w:pPr>
            <w:r w:rsidRPr="00F32020">
              <w:rPr>
                <w:sz w:val="16"/>
                <w:szCs w:val="16"/>
              </w:rPr>
              <w:t>Year Dummies</w:t>
            </w:r>
          </w:p>
        </w:tc>
        <w:tc>
          <w:tcPr>
            <w:tcW w:w="0" w:type="auto"/>
            <w:shd w:val="clear" w:color="000000" w:fill="FFFFFF"/>
            <w:vAlign w:val="bottom"/>
          </w:tcPr>
          <w:p w14:paraId="2429C21D" w14:textId="77777777"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7108A1CE" w14:textId="5F960D20"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733462C7" w14:textId="0345F704" w:rsidR="003D5122" w:rsidRPr="00F32020" w:rsidRDefault="003D5122" w:rsidP="003D5122">
            <w:pPr>
              <w:jc w:val="center"/>
              <w:rPr>
                <w:sz w:val="16"/>
                <w:szCs w:val="16"/>
              </w:rPr>
            </w:pPr>
            <w:r w:rsidRPr="00F32020">
              <w:rPr>
                <w:sz w:val="16"/>
                <w:szCs w:val="16"/>
              </w:rPr>
              <w:t>YES</w:t>
            </w:r>
          </w:p>
        </w:tc>
        <w:tc>
          <w:tcPr>
            <w:tcW w:w="0" w:type="auto"/>
            <w:shd w:val="clear" w:color="000000" w:fill="FFFFFF"/>
            <w:noWrap/>
            <w:vAlign w:val="bottom"/>
          </w:tcPr>
          <w:p w14:paraId="3BBE71BE" w14:textId="48774BFF" w:rsidR="003D5122" w:rsidRPr="00F32020" w:rsidRDefault="003D5122" w:rsidP="003D5122">
            <w:pPr>
              <w:jc w:val="center"/>
              <w:rPr>
                <w:sz w:val="16"/>
                <w:szCs w:val="16"/>
              </w:rPr>
            </w:pPr>
          </w:p>
        </w:tc>
      </w:tr>
      <w:tr w:rsidR="003D5122" w:rsidRPr="00F32020" w14:paraId="2DF23481" w14:textId="77777777" w:rsidTr="00A02E26">
        <w:trPr>
          <w:trHeight w:val="280"/>
          <w:jc w:val="center"/>
        </w:trPr>
        <w:tc>
          <w:tcPr>
            <w:tcW w:w="2615" w:type="dxa"/>
            <w:tcBorders>
              <w:bottom w:val="single" w:sz="4" w:space="0" w:color="auto"/>
            </w:tcBorders>
            <w:shd w:val="clear" w:color="000000" w:fill="FFFFFF"/>
            <w:noWrap/>
            <w:vAlign w:val="bottom"/>
            <w:hideMark/>
          </w:tcPr>
          <w:p w14:paraId="7B79EA29" w14:textId="77777777" w:rsidR="003D5122" w:rsidRPr="00F32020" w:rsidRDefault="003D5122" w:rsidP="003D5122">
            <w:pPr>
              <w:rPr>
                <w:sz w:val="16"/>
                <w:szCs w:val="16"/>
              </w:rPr>
            </w:pPr>
            <w:r w:rsidRPr="00F32020">
              <w:rPr>
                <w:sz w:val="16"/>
                <w:szCs w:val="16"/>
              </w:rPr>
              <w:t>Regional Dummies</w:t>
            </w:r>
          </w:p>
        </w:tc>
        <w:tc>
          <w:tcPr>
            <w:tcW w:w="0" w:type="auto"/>
            <w:tcBorders>
              <w:bottom w:val="single" w:sz="4" w:space="0" w:color="auto"/>
            </w:tcBorders>
            <w:shd w:val="clear" w:color="000000" w:fill="FFFFFF"/>
            <w:vAlign w:val="bottom"/>
          </w:tcPr>
          <w:p w14:paraId="0F192F6B" w14:textId="77777777" w:rsidR="003D5122" w:rsidRPr="00F32020" w:rsidRDefault="003D5122" w:rsidP="003D5122">
            <w:pPr>
              <w:jc w:val="center"/>
              <w:rPr>
                <w:sz w:val="16"/>
                <w:szCs w:val="16"/>
              </w:rPr>
            </w:pPr>
            <w:r w:rsidRPr="00F32020">
              <w:rPr>
                <w:sz w:val="16"/>
                <w:szCs w:val="16"/>
              </w:rPr>
              <w:t>YES</w:t>
            </w:r>
          </w:p>
        </w:tc>
        <w:tc>
          <w:tcPr>
            <w:tcW w:w="0" w:type="auto"/>
            <w:tcBorders>
              <w:bottom w:val="single" w:sz="4" w:space="0" w:color="auto"/>
            </w:tcBorders>
            <w:shd w:val="clear" w:color="000000" w:fill="FFFFFF"/>
            <w:noWrap/>
            <w:vAlign w:val="bottom"/>
          </w:tcPr>
          <w:p w14:paraId="543CCD8C" w14:textId="1A826F8D" w:rsidR="003D5122" w:rsidRPr="00F32020" w:rsidRDefault="003D5122" w:rsidP="003D5122">
            <w:pPr>
              <w:jc w:val="center"/>
              <w:rPr>
                <w:sz w:val="16"/>
                <w:szCs w:val="16"/>
              </w:rPr>
            </w:pPr>
            <w:r w:rsidRPr="00F32020">
              <w:rPr>
                <w:sz w:val="16"/>
                <w:szCs w:val="16"/>
              </w:rPr>
              <w:t>YES</w:t>
            </w:r>
          </w:p>
        </w:tc>
        <w:tc>
          <w:tcPr>
            <w:tcW w:w="0" w:type="auto"/>
            <w:tcBorders>
              <w:bottom w:val="single" w:sz="4" w:space="0" w:color="auto"/>
            </w:tcBorders>
            <w:shd w:val="clear" w:color="000000" w:fill="FFFFFF"/>
            <w:noWrap/>
            <w:vAlign w:val="bottom"/>
          </w:tcPr>
          <w:p w14:paraId="3BA65E1C" w14:textId="2E21FA98" w:rsidR="003D5122" w:rsidRPr="00F32020" w:rsidRDefault="003D5122" w:rsidP="003D5122">
            <w:pPr>
              <w:jc w:val="center"/>
              <w:rPr>
                <w:sz w:val="16"/>
                <w:szCs w:val="16"/>
              </w:rPr>
            </w:pPr>
            <w:r w:rsidRPr="00F32020">
              <w:rPr>
                <w:sz w:val="16"/>
                <w:szCs w:val="16"/>
              </w:rPr>
              <w:t>YES</w:t>
            </w:r>
          </w:p>
        </w:tc>
        <w:tc>
          <w:tcPr>
            <w:tcW w:w="0" w:type="auto"/>
            <w:tcBorders>
              <w:bottom w:val="single" w:sz="4" w:space="0" w:color="auto"/>
            </w:tcBorders>
            <w:shd w:val="clear" w:color="000000" w:fill="FFFFFF"/>
            <w:noWrap/>
            <w:vAlign w:val="bottom"/>
          </w:tcPr>
          <w:p w14:paraId="78752160" w14:textId="11BDB152" w:rsidR="003D5122" w:rsidRPr="00F32020" w:rsidRDefault="003D5122" w:rsidP="003D5122">
            <w:pPr>
              <w:jc w:val="center"/>
              <w:rPr>
                <w:sz w:val="16"/>
                <w:szCs w:val="16"/>
              </w:rPr>
            </w:pPr>
          </w:p>
        </w:tc>
      </w:tr>
      <w:tr w:rsidR="003D5122" w:rsidRPr="00F32020" w14:paraId="3E15A07E" w14:textId="77777777" w:rsidTr="00A02E26">
        <w:trPr>
          <w:trHeight w:val="260"/>
          <w:jc w:val="center"/>
        </w:trPr>
        <w:tc>
          <w:tcPr>
            <w:tcW w:w="2615" w:type="dxa"/>
            <w:tcBorders>
              <w:top w:val="single" w:sz="4" w:space="0" w:color="auto"/>
            </w:tcBorders>
            <w:shd w:val="clear" w:color="000000" w:fill="FFFFFF"/>
            <w:noWrap/>
            <w:vAlign w:val="bottom"/>
          </w:tcPr>
          <w:p w14:paraId="3FD500A5" w14:textId="77777777" w:rsidR="003D5122" w:rsidRPr="00F32020" w:rsidRDefault="003D5122" w:rsidP="003D5122">
            <w:pPr>
              <w:rPr>
                <w:sz w:val="16"/>
                <w:szCs w:val="16"/>
              </w:rPr>
            </w:pPr>
            <w:r w:rsidRPr="00F32020">
              <w:rPr>
                <w:sz w:val="16"/>
                <w:szCs w:val="16"/>
              </w:rPr>
              <w:t>1</w:t>
            </w:r>
            <w:r w:rsidRPr="00F32020">
              <w:rPr>
                <w:sz w:val="16"/>
                <w:szCs w:val="16"/>
                <w:vertAlign w:val="superscript"/>
              </w:rPr>
              <w:t>st</w:t>
            </w:r>
            <w:r w:rsidRPr="00F32020">
              <w:rPr>
                <w:sz w:val="16"/>
                <w:szCs w:val="16"/>
              </w:rPr>
              <w:t xml:space="preserve"> stage: F-statistic</w:t>
            </w:r>
          </w:p>
        </w:tc>
        <w:tc>
          <w:tcPr>
            <w:tcW w:w="0" w:type="auto"/>
            <w:tcBorders>
              <w:top w:val="single" w:sz="4" w:space="0" w:color="auto"/>
            </w:tcBorders>
            <w:shd w:val="clear" w:color="000000" w:fill="FFFFFF"/>
            <w:vAlign w:val="bottom"/>
          </w:tcPr>
          <w:p w14:paraId="6986943A" w14:textId="77777777" w:rsidR="003D5122" w:rsidRPr="00F32020" w:rsidRDefault="003D5122" w:rsidP="003D5122">
            <w:pPr>
              <w:jc w:val="center"/>
              <w:rPr>
                <w:sz w:val="16"/>
                <w:szCs w:val="16"/>
              </w:rPr>
            </w:pPr>
            <w:r w:rsidRPr="00F32020">
              <w:rPr>
                <w:sz w:val="16"/>
                <w:szCs w:val="16"/>
              </w:rPr>
              <w:t>40.67</w:t>
            </w:r>
          </w:p>
        </w:tc>
        <w:tc>
          <w:tcPr>
            <w:tcW w:w="0" w:type="auto"/>
            <w:tcBorders>
              <w:top w:val="single" w:sz="4" w:space="0" w:color="auto"/>
            </w:tcBorders>
            <w:shd w:val="clear" w:color="000000" w:fill="FFFFFF"/>
            <w:noWrap/>
            <w:vAlign w:val="bottom"/>
          </w:tcPr>
          <w:p w14:paraId="6AF1708D" w14:textId="77777777" w:rsidR="003D5122" w:rsidRPr="00F32020" w:rsidRDefault="003D5122" w:rsidP="003D5122">
            <w:pPr>
              <w:jc w:val="center"/>
              <w:rPr>
                <w:sz w:val="16"/>
                <w:szCs w:val="16"/>
              </w:rPr>
            </w:pPr>
          </w:p>
        </w:tc>
        <w:tc>
          <w:tcPr>
            <w:tcW w:w="0" w:type="auto"/>
            <w:tcBorders>
              <w:top w:val="single" w:sz="4" w:space="0" w:color="auto"/>
            </w:tcBorders>
            <w:shd w:val="clear" w:color="000000" w:fill="FFFFFF"/>
            <w:noWrap/>
            <w:vAlign w:val="bottom"/>
          </w:tcPr>
          <w:p w14:paraId="4B77B840" w14:textId="539BD7D9" w:rsidR="003D5122" w:rsidRPr="00F32020" w:rsidRDefault="003D5122" w:rsidP="003D5122">
            <w:pPr>
              <w:jc w:val="center"/>
              <w:rPr>
                <w:sz w:val="16"/>
                <w:szCs w:val="16"/>
              </w:rPr>
            </w:pPr>
            <w:r w:rsidRPr="00F32020">
              <w:rPr>
                <w:sz w:val="16"/>
                <w:szCs w:val="16"/>
              </w:rPr>
              <w:t>40.67</w:t>
            </w:r>
          </w:p>
        </w:tc>
        <w:tc>
          <w:tcPr>
            <w:tcW w:w="0" w:type="auto"/>
            <w:tcBorders>
              <w:top w:val="single" w:sz="4" w:space="0" w:color="auto"/>
            </w:tcBorders>
            <w:shd w:val="clear" w:color="000000" w:fill="FFFFFF"/>
            <w:noWrap/>
            <w:vAlign w:val="bottom"/>
          </w:tcPr>
          <w:p w14:paraId="4AE43FCC" w14:textId="77777777" w:rsidR="003D5122" w:rsidRPr="00F32020" w:rsidRDefault="003D5122" w:rsidP="003D5122">
            <w:pPr>
              <w:jc w:val="center"/>
              <w:rPr>
                <w:sz w:val="16"/>
                <w:szCs w:val="16"/>
              </w:rPr>
            </w:pPr>
          </w:p>
        </w:tc>
      </w:tr>
      <w:tr w:rsidR="00765C76" w:rsidRPr="00F32020" w14:paraId="3FD25F6C" w14:textId="77777777" w:rsidTr="00A02E26">
        <w:trPr>
          <w:trHeight w:val="260"/>
          <w:jc w:val="center"/>
        </w:trPr>
        <w:tc>
          <w:tcPr>
            <w:tcW w:w="2615" w:type="dxa"/>
            <w:shd w:val="clear" w:color="000000" w:fill="FFFFFF"/>
            <w:noWrap/>
            <w:vAlign w:val="bottom"/>
          </w:tcPr>
          <w:p w14:paraId="76F85D40" w14:textId="31A702BA" w:rsidR="00765C76" w:rsidRPr="00F32020" w:rsidRDefault="00765C76" w:rsidP="003D5122">
            <w:pPr>
              <w:rPr>
                <w:sz w:val="16"/>
                <w:szCs w:val="16"/>
              </w:rPr>
            </w:pPr>
            <w:r w:rsidRPr="00F32020">
              <w:rPr>
                <w:sz w:val="16"/>
                <w:szCs w:val="16"/>
              </w:rPr>
              <w:t>Wald Test of Exogeneity (p-value)</w:t>
            </w:r>
          </w:p>
        </w:tc>
        <w:tc>
          <w:tcPr>
            <w:tcW w:w="0" w:type="auto"/>
            <w:shd w:val="clear" w:color="000000" w:fill="FFFFFF"/>
            <w:vAlign w:val="bottom"/>
          </w:tcPr>
          <w:p w14:paraId="311E554A" w14:textId="77777777" w:rsidR="00765C76" w:rsidRPr="00F32020" w:rsidRDefault="00765C76" w:rsidP="003D5122">
            <w:pPr>
              <w:jc w:val="center"/>
              <w:rPr>
                <w:sz w:val="16"/>
                <w:szCs w:val="16"/>
              </w:rPr>
            </w:pPr>
          </w:p>
        </w:tc>
        <w:tc>
          <w:tcPr>
            <w:tcW w:w="0" w:type="auto"/>
            <w:shd w:val="clear" w:color="000000" w:fill="FFFFFF"/>
            <w:noWrap/>
            <w:vAlign w:val="bottom"/>
          </w:tcPr>
          <w:p w14:paraId="73BAC714" w14:textId="1CD5DD65" w:rsidR="00765C76" w:rsidRPr="00F32020" w:rsidRDefault="00765C76" w:rsidP="003D5122">
            <w:pPr>
              <w:jc w:val="center"/>
              <w:rPr>
                <w:sz w:val="16"/>
                <w:szCs w:val="16"/>
              </w:rPr>
            </w:pPr>
            <w:r w:rsidRPr="00F32020">
              <w:rPr>
                <w:sz w:val="16"/>
                <w:szCs w:val="16"/>
              </w:rPr>
              <w:t>0.002</w:t>
            </w:r>
          </w:p>
        </w:tc>
        <w:tc>
          <w:tcPr>
            <w:tcW w:w="0" w:type="auto"/>
            <w:shd w:val="clear" w:color="000000" w:fill="FFFFFF"/>
            <w:noWrap/>
            <w:vAlign w:val="bottom"/>
          </w:tcPr>
          <w:p w14:paraId="5F744A3E" w14:textId="77777777" w:rsidR="00765C76" w:rsidRPr="00F32020" w:rsidRDefault="00765C76" w:rsidP="003D5122">
            <w:pPr>
              <w:jc w:val="center"/>
              <w:rPr>
                <w:sz w:val="16"/>
                <w:szCs w:val="16"/>
              </w:rPr>
            </w:pPr>
          </w:p>
        </w:tc>
        <w:tc>
          <w:tcPr>
            <w:tcW w:w="0" w:type="auto"/>
            <w:shd w:val="clear" w:color="000000" w:fill="FFFFFF"/>
            <w:noWrap/>
            <w:vAlign w:val="bottom"/>
          </w:tcPr>
          <w:p w14:paraId="0B510FA8" w14:textId="77777777" w:rsidR="00765C76" w:rsidRPr="00F32020" w:rsidRDefault="00765C76" w:rsidP="003D5122">
            <w:pPr>
              <w:jc w:val="center"/>
              <w:rPr>
                <w:sz w:val="16"/>
                <w:szCs w:val="16"/>
              </w:rPr>
            </w:pPr>
          </w:p>
        </w:tc>
      </w:tr>
      <w:tr w:rsidR="00765C76" w:rsidRPr="00F32020" w14:paraId="0C527F3A" w14:textId="77777777" w:rsidTr="00A02E26">
        <w:trPr>
          <w:trHeight w:val="260"/>
          <w:jc w:val="center"/>
        </w:trPr>
        <w:tc>
          <w:tcPr>
            <w:tcW w:w="2615" w:type="dxa"/>
            <w:shd w:val="clear" w:color="000000" w:fill="FFFFFF"/>
            <w:noWrap/>
            <w:vAlign w:val="bottom"/>
          </w:tcPr>
          <w:p w14:paraId="743DBDF0" w14:textId="3E74E504" w:rsidR="00765C76" w:rsidRPr="00F32020" w:rsidRDefault="00765C76" w:rsidP="003D5122">
            <w:pPr>
              <w:rPr>
                <w:sz w:val="16"/>
                <w:szCs w:val="16"/>
              </w:rPr>
            </w:pPr>
            <w:r w:rsidRPr="00F32020">
              <w:rPr>
                <w:sz w:val="16"/>
                <w:szCs w:val="16"/>
              </w:rPr>
              <w:t>Underidentification test (Kleibergen-Paap rk LM; p-value)</w:t>
            </w:r>
          </w:p>
        </w:tc>
        <w:tc>
          <w:tcPr>
            <w:tcW w:w="0" w:type="auto"/>
            <w:shd w:val="clear" w:color="000000" w:fill="FFFFFF"/>
            <w:vAlign w:val="bottom"/>
          </w:tcPr>
          <w:p w14:paraId="7FAC99A5" w14:textId="77777777" w:rsidR="00765C76" w:rsidRPr="00F32020" w:rsidRDefault="00765C76" w:rsidP="003D5122">
            <w:pPr>
              <w:jc w:val="center"/>
              <w:rPr>
                <w:sz w:val="16"/>
                <w:szCs w:val="16"/>
              </w:rPr>
            </w:pPr>
          </w:p>
        </w:tc>
        <w:tc>
          <w:tcPr>
            <w:tcW w:w="0" w:type="auto"/>
            <w:shd w:val="clear" w:color="000000" w:fill="FFFFFF"/>
            <w:noWrap/>
            <w:vAlign w:val="bottom"/>
          </w:tcPr>
          <w:p w14:paraId="1B8F39B7" w14:textId="77777777" w:rsidR="00765C76" w:rsidRPr="00F32020" w:rsidRDefault="00765C76" w:rsidP="003D5122">
            <w:pPr>
              <w:jc w:val="center"/>
              <w:rPr>
                <w:sz w:val="16"/>
                <w:szCs w:val="16"/>
              </w:rPr>
            </w:pPr>
          </w:p>
        </w:tc>
        <w:tc>
          <w:tcPr>
            <w:tcW w:w="0" w:type="auto"/>
            <w:shd w:val="clear" w:color="000000" w:fill="FFFFFF"/>
            <w:noWrap/>
            <w:vAlign w:val="bottom"/>
          </w:tcPr>
          <w:p w14:paraId="60A5F52C" w14:textId="5F190F52" w:rsidR="00765C76" w:rsidRPr="00F32020" w:rsidRDefault="00765C76" w:rsidP="003D5122">
            <w:pPr>
              <w:jc w:val="center"/>
              <w:rPr>
                <w:sz w:val="16"/>
                <w:szCs w:val="16"/>
              </w:rPr>
            </w:pPr>
            <w:r w:rsidRPr="00F32020">
              <w:rPr>
                <w:sz w:val="16"/>
                <w:szCs w:val="16"/>
              </w:rPr>
              <w:t>0.000</w:t>
            </w:r>
          </w:p>
        </w:tc>
        <w:tc>
          <w:tcPr>
            <w:tcW w:w="0" w:type="auto"/>
            <w:shd w:val="clear" w:color="000000" w:fill="FFFFFF"/>
            <w:noWrap/>
            <w:vAlign w:val="bottom"/>
          </w:tcPr>
          <w:p w14:paraId="59BB9510" w14:textId="77777777" w:rsidR="00765C76" w:rsidRPr="00F32020" w:rsidRDefault="00765C76" w:rsidP="003D5122">
            <w:pPr>
              <w:jc w:val="center"/>
              <w:rPr>
                <w:sz w:val="16"/>
                <w:szCs w:val="16"/>
              </w:rPr>
            </w:pPr>
          </w:p>
        </w:tc>
      </w:tr>
      <w:tr w:rsidR="00765C76" w:rsidRPr="00F32020" w14:paraId="6B55E425" w14:textId="77777777" w:rsidTr="00A02E26">
        <w:trPr>
          <w:trHeight w:val="260"/>
          <w:jc w:val="center"/>
        </w:trPr>
        <w:tc>
          <w:tcPr>
            <w:tcW w:w="2615" w:type="dxa"/>
            <w:shd w:val="clear" w:color="000000" w:fill="FFFFFF"/>
            <w:noWrap/>
            <w:vAlign w:val="bottom"/>
          </w:tcPr>
          <w:p w14:paraId="573BD3CC" w14:textId="1BCF32AC" w:rsidR="00765C76" w:rsidRPr="00F32020" w:rsidRDefault="00765C76" w:rsidP="003D5122">
            <w:pPr>
              <w:rPr>
                <w:sz w:val="16"/>
                <w:szCs w:val="16"/>
              </w:rPr>
            </w:pPr>
            <w:r w:rsidRPr="00F32020">
              <w:rPr>
                <w:sz w:val="16"/>
                <w:szCs w:val="16"/>
              </w:rPr>
              <w:t>Weak identification test (Kleibergen-Paap rk Wald F statistic)</w:t>
            </w:r>
          </w:p>
        </w:tc>
        <w:tc>
          <w:tcPr>
            <w:tcW w:w="0" w:type="auto"/>
            <w:shd w:val="clear" w:color="000000" w:fill="FFFFFF"/>
            <w:vAlign w:val="bottom"/>
          </w:tcPr>
          <w:p w14:paraId="2D3913C6" w14:textId="77777777" w:rsidR="00765C76" w:rsidRPr="00F32020" w:rsidRDefault="00765C76" w:rsidP="003D5122">
            <w:pPr>
              <w:jc w:val="center"/>
              <w:rPr>
                <w:sz w:val="16"/>
                <w:szCs w:val="16"/>
              </w:rPr>
            </w:pPr>
          </w:p>
        </w:tc>
        <w:tc>
          <w:tcPr>
            <w:tcW w:w="0" w:type="auto"/>
            <w:shd w:val="clear" w:color="000000" w:fill="FFFFFF"/>
            <w:noWrap/>
            <w:vAlign w:val="bottom"/>
          </w:tcPr>
          <w:p w14:paraId="01B86488" w14:textId="77777777" w:rsidR="00765C76" w:rsidRPr="00F32020" w:rsidRDefault="00765C76" w:rsidP="003D5122">
            <w:pPr>
              <w:jc w:val="center"/>
              <w:rPr>
                <w:sz w:val="16"/>
                <w:szCs w:val="16"/>
              </w:rPr>
            </w:pPr>
          </w:p>
        </w:tc>
        <w:tc>
          <w:tcPr>
            <w:tcW w:w="0" w:type="auto"/>
            <w:shd w:val="clear" w:color="000000" w:fill="FFFFFF"/>
            <w:noWrap/>
            <w:vAlign w:val="bottom"/>
          </w:tcPr>
          <w:p w14:paraId="19F56177" w14:textId="02D5149C" w:rsidR="00765C76" w:rsidRPr="00F32020" w:rsidRDefault="00765C76" w:rsidP="003D5122">
            <w:pPr>
              <w:jc w:val="center"/>
              <w:rPr>
                <w:sz w:val="16"/>
                <w:szCs w:val="16"/>
              </w:rPr>
            </w:pPr>
            <w:r w:rsidRPr="00F32020">
              <w:rPr>
                <w:sz w:val="16"/>
                <w:szCs w:val="16"/>
              </w:rPr>
              <w:t>97.140</w:t>
            </w:r>
          </w:p>
        </w:tc>
        <w:tc>
          <w:tcPr>
            <w:tcW w:w="0" w:type="auto"/>
            <w:shd w:val="clear" w:color="000000" w:fill="FFFFFF"/>
            <w:noWrap/>
            <w:vAlign w:val="bottom"/>
          </w:tcPr>
          <w:p w14:paraId="75A8E493" w14:textId="77777777" w:rsidR="00765C76" w:rsidRPr="00F32020" w:rsidRDefault="00765C76" w:rsidP="003D5122">
            <w:pPr>
              <w:jc w:val="center"/>
              <w:rPr>
                <w:sz w:val="16"/>
                <w:szCs w:val="16"/>
              </w:rPr>
            </w:pPr>
          </w:p>
        </w:tc>
      </w:tr>
      <w:tr w:rsidR="00765C76" w:rsidRPr="00F32020" w14:paraId="44CE7952" w14:textId="77777777" w:rsidTr="00A02E26">
        <w:trPr>
          <w:trHeight w:val="260"/>
          <w:jc w:val="center"/>
        </w:trPr>
        <w:tc>
          <w:tcPr>
            <w:tcW w:w="2615" w:type="dxa"/>
            <w:shd w:val="clear" w:color="000000" w:fill="FFFFFF"/>
            <w:noWrap/>
            <w:vAlign w:val="bottom"/>
          </w:tcPr>
          <w:p w14:paraId="444C95CD" w14:textId="4A5482C9" w:rsidR="00765C76" w:rsidRPr="00F32020" w:rsidRDefault="00765C76" w:rsidP="003D5122">
            <w:pPr>
              <w:rPr>
                <w:sz w:val="16"/>
                <w:szCs w:val="16"/>
              </w:rPr>
            </w:pPr>
            <w:r w:rsidRPr="00F32020">
              <w:rPr>
                <w:sz w:val="16"/>
                <w:szCs w:val="16"/>
              </w:rPr>
              <w:t>Overidentification test (Hansen’s J; p-value)</w:t>
            </w:r>
          </w:p>
        </w:tc>
        <w:tc>
          <w:tcPr>
            <w:tcW w:w="0" w:type="auto"/>
            <w:shd w:val="clear" w:color="000000" w:fill="FFFFFF"/>
            <w:vAlign w:val="bottom"/>
          </w:tcPr>
          <w:p w14:paraId="491BB290" w14:textId="77777777" w:rsidR="00765C76" w:rsidRPr="00F32020" w:rsidRDefault="00765C76" w:rsidP="003D5122">
            <w:pPr>
              <w:jc w:val="center"/>
              <w:rPr>
                <w:sz w:val="16"/>
                <w:szCs w:val="16"/>
              </w:rPr>
            </w:pPr>
          </w:p>
        </w:tc>
        <w:tc>
          <w:tcPr>
            <w:tcW w:w="0" w:type="auto"/>
            <w:shd w:val="clear" w:color="000000" w:fill="FFFFFF"/>
            <w:noWrap/>
            <w:vAlign w:val="bottom"/>
          </w:tcPr>
          <w:p w14:paraId="469E1707" w14:textId="77777777" w:rsidR="00765C76" w:rsidRPr="00F32020" w:rsidRDefault="00765C76" w:rsidP="003D5122">
            <w:pPr>
              <w:jc w:val="center"/>
              <w:rPr>
                <w:sz w:val="16"/>
                <w:szCs w:val="16"/>
              </w:rPr>
            </w:pPr>
          </w:p>
        </w:tc>
        <w:tc>
          <w:tcPr>
            <w:tcW w:w="0" w:type="auto"/>
            <w:shd w:val="clear" w:color="000000" w:fill="FFFFFF"/>
            <w:noWrap/>
            <w:vAlign w:val="bottom"/>
          </w:tcPr>
          <w:p w14:paraId="39E643C8" w14:textId="3518FC5D" w:rsidR="00765C76" w:rsidRPr="00F32020" w:rsidRDefault="00765C76" w:rsidP="003D5122">
            <w:pPr>
              <w:jc w:val="center"/>
              <w:rPr>
                <w:sz w:val="16"/>
                <w:szCs w:val="16"/>
              </w:rPr>
            </w:pPr>
            <w:r w:rsidRPr="00F32020">
              <w:rPr>
                <w:sz w:val="16"/>
                <w:szCs w:val="16"/>
              </w:rPr>
              <w:t>0.478</w:t>
            </w:r>
          </w:p>
        </w:tc>
        <w:tc>
          <w:tcPr>
            <w:tcW w:w="0" w:type="auto"/>
            <w:shd w:val="clear" w:color="000000" w:fill="FFFFFF"/>
            <w:noWrap/>
            <w:vAlign w:val="bottom"/>
          </w:tcPr>
          <w:p w14:paraId="51C31A22" w14:textId="77777777" w:rsidR="00765C76" w:rsidRPr="00F32020" w:rsidRDefault="00765C76" w:rsidP="003D5122">
            <w:pPr>
              <w:jc w:val="center"/>
              <w:rPr>
                <w:sz w:val="16"/>
                <w:szCs w:val="16"/>
              </w:rPr>
            </w:pPr>
          </w:p>
        </w:tc>
      </w:tr>
      <w:tr w:rsidR="003D5122" w:rsidRPr="00F32020" w14:paraId="00C1A1F6" w14:textId="77777777" w:rsidTr="00A02E26">
        <w:trPr>
          <w:trHeight w:val="260"/>
          <w:jc w:val="center"/>
        </w:trPr>
        <w:tc>
          <w:tcPr>
            <w:tcW w:w="2615" w:type="dxa"/>
            <w:shd w:val="clear" w:color="000000" w:fill="FFFFFF"/>
            <w:noWrap/>
            <w:vAlign w:val="bottom"/>
          </w:tcPr>
          <w:p w14:paraId="5EBAC7E8" w14:textId="77777777" w:rsidR="003D5122" w:rsidRPr="00F32020" w:rsidRDefault="003D5122" w:rsidP="003D5122">
            <w:pPr>
              <w:rPr>
                <w:sz w:val="16"/>
                <w:szCs w:val="16"/>
              </w:rPr>
            </w:pPr>
            <w:r w:rsidRPr="00F32020">
              <w:rPr>
                <w:sz w:val="16"/>
                <w:szCs w:val="16"/>
              </w:rPr>
              <w:t>1</w:t>
            </w:r>
            <w:r w:rsidRPr="00F32020">
              <w:rPr>
                <w:sz w:val="16"/>
                <w:szCs w:val="16"/>
                <w:vertAlign w:val="superscript"/>
              </w:rPr>
              <w:t>st</w:t>
            </w:r>
            <w:r w:rsidRPr="00F32020">
              <w:rPr>
                <w:sz w:val="16"/>
                <w:szCs w:val="16"/>
              </w:rPr>
              <w:t xml:space="preserve"> stage: Instruments</w:t>
            </w:r>
          </w:p>
        </w:tc>
        <w:tc>
          <w:tcPr>
            <w:tcW w:w="0" w:type="auto"/>
            <w:shd w:val="clear" w:color="000000" w:fill="FFFFFF"/>
            <w:vAlign w:val="bottom"/>
          </w:tcPr>
          <w:p w14:paraId="3E93E9B8" w14:textId="77777777" w:rsidR="003D5122" w:rsidRPr="00F32020" w:rsidRDefault="003D5122" w:rsidP="003D5122">
            <w:pPr>
              <w:jc w:val="center"/>
              <w:rPr>
                <w:sz w:val="16"/>
                <w:szCs w:val="16"/>
              </w:rPr>
            </w:pPr>
          </w:p>
        </w:tc>
        <w:tc>
          <w:tcPr>
            <w:tcW w:w="0" w:type="auto"/>
            <w:shd w:val="clear" w:color="000000" w:fill="FFFFFF"/>
            <w:noWrap/>
            <w:vAlign w:val="bottom"/>
          </w:tcPr>
          <w:p w14:paraId="4B7A1AE6" w14:textId="77777777" w:rsidR="003D5122" w:rsidRPr="00F32020" w:rsidRDefault="003D5122" w:rsidP="003D5122">
            <w:pPr>
              <w:jc w:val="center"/>
              <w:rPr>
                <w:sz w:val="16"/>
                <w:szCs w:val="16"/>
              </w:rPr>
            </w:pPr>
          </w:p>
        </w:tc>
        <w:tc>
          <w:tcPr>
            <w:tcW w:w="0" w:type="auto"/>
            <w:shd w:val="clear" w:color="000000" w:fill="FFFFFF"/>
            <w:noWrap/>
            <w:vAlign w:val="bottom"/>
          </w:tcPr>
          <w:p w14:paraId="2666C857" w14:textId="77777777" w:rsidR="003D5122" w:rsidRPr="00F32020" w:rsidRDefault="003D5122" w:rsidP="003D5122">
            <w:pPr>
              <w:jc w:val="center"/>
              <w:rPr>
                <w:sz w:val="16"/>
                <w:szCs w:val="16"/>
              </w:rPr>
            </w:pPr>
          </w:p>
        </w:tc>
        <w:tc>
          <w:tcPr>
            <w:tcW w:w="0" w:type="auto"/>
            <w:shd w:val="clear" w:color="000000" w:fill="FFFFFF"/>
            <w:noWrap/>
            <w:vAlign w:val="bottom"/>
          </w:tcPr>
          <w:p w14:paraId="502082D4" w14:textId="77777777" w:rsidR="003D5122" w:rsidRPr="00F32020" w:rsidRDefault="003D5122" w:rsidP="003D5122">
            <w:pPr>
              <w:jc w:val="center"/>
              <w:rPr>
                <w:sz w:val="16"/>
                <w:szCs w:val="16"/>
              </w:rPr>
            </w:pPr>
          </w:p>
        </w:tc>
      </w:tr>
      <w:tr w:rsidR="003D5122" w:rsidRPr="00F32020" w14:paraId="3688CF7F" w14:textId="77777777" w:rsidTr="00A02E26">
        <w:trPr>
          <w:trHeight w:val="260"/>
          <w:jc w:val="center"/>
        </w:trPr>
        <w:tc>
          <w:tcPr>
            <w:tcW w:w="2615" w:type="dxa"/>
            <w:shd w:val="clear" w:color="000000" w:fill="FFFFFF"/>
            <w:noWrap/>
            <w:vAlign w:val="bottom"/>
          </w:tcPr>
          <w:p w14:paraId="1F6EFD83" w14:textId="77777777" w:rsidR="003D5122" w:rsidRPr="00F32020" w:rsidRDefault="003D5122" w:rsidP="003D5122">
            <w:pPr>
              <w:rPr>
                <w:sz w:val="16"/>
                <w:szCs w:val="16"/>
              </w:rPr>
            </w:pPr>
            <w:r w:rsidRPr="00F32020">
              <w:rPr>
                <w:sz w:val="16"/>
                <w:szCs w:val="16"/>
              </w:rPr>
              <w:lastRenderedPageBreak/>
              <w:t>Pre 1500 Max Calories Max</w:t>
            </w:r>
          </w:p>
        </w:tc>
        <w:tc>
          <w:tcPr>
            <w:tcW w:w="0" w:type="auto"/>
            <w:shd w:val="clear" w:color="000000" w:fill="FFFFFF"/>
            <w:vAlign w:val="bottom"/>
          </w:tcPr>
          <w:p w14:paraId="00004557" w14:textId="77777777" w:rsidR="003D5122" w:rsidRPr="00F32020" w:rsidRDefault="003D5122" w:rsidP="003D5122">
            <w:pPr>
              <w:jc w:val="center"/>
              <w:rPr>
                <w:sz w:val="16"/>
                <w:szCs w:val="16"/>
              </w:rPr>
            </w:pPr>
            <w:r w:rsidRPr="00F32020">
              <w:rPr>
                <w:sz w:val="16"/>
                <w:szCs w:val="16"/>
              </w:rPr>
              <w:t>1.000***</w:t>
            </w:r>
          </w:p>
        </w:tc>
        <w:tc>
          <w:tcPr>
            <w:tcW w:w="0" w:type="auto"/>
            <w:shd w:val="clear" w:color="000000" w:fill="FFFFFF"/>
            <w:noWrap/>
          </w:tcPr>
          <w:p w14:paraId="2570C2CE" w14:textId="039B3B8B" w:rsidR="003D5122" w:rsidRPr="00F32020" w:rsidRDefault="003D5122" w:rsidP="003D5122">
            <w:pPr>
              <w:jc w:val="center"/>
              <w:rPr>
                <w:sz w:val="16"/>
                <w:szCs w:val="16"/>
              </w:rPr>
            </w:pPr>
            <w:r w:rsidRPr="00F32020">
              <w:rPr>
                <w:sz w:val="16"/>
                <w:szCs w:val="16"/>
              </w:rPr>
              <w:t>1.000***</w:t>
            </w:r>
          </w:p>
        </w:tc>
        <w:tc>
          <w:tcPr>
            <w:tcW w:w="0" w:type="auto"/>
            <w:shd w:val="clear" w:color="000000" w:fill="FFFFFF"/>
            <w:noWrap/>
            <w:vAlign w:val="bottom"/>
          </w:tcPr>
          <w:p w14:paraId="71EE30C3" w14:textId="65F70B49" w:rsidR="003D5122" w:rsidRPr="00F32020" w:rsidRDefault="003D5122" w:rsidP="003D5122">
            <w:pPr>
              <w:jc w:val="center"/>
              <w:rPr>
                <w:sz w:val="16"/>
                <w:szCs w:val="16"/>
              </w:rPr>
            </w:pPr>
            <w:r w:rsidRPr="00F32020">
              <w:rPr>
                <w:sz w:val="16"/>
                <w:szCs w:val="16"/>
              </w:rPr>
              <w:t>1.000***</w:t>
            </w:r>
          </w:p>
        </w:tc>
        <w:tc>
          <w:tcPr>
            <w:tcW w:w="0" w:type="auto"/>
            <w:shd w:val="clear" w:color="000000" w:fill="FFFFFF"/>
            <w:noWrap/>
            <w:vAlign w:val="bottom"/>
          </w:tcPr>
          <w:p w14:paraId="59D1A99A" w14:textId="77777777" w:rsidR="003D5122" w:rsidRPr="00F32020" w:rsidRDefault="003D5122" w:rsidP="003D5122">
            <w:pPr>
              <w:jc w:val="center"/>
              <w:rPr>
                <w:sz w:val="16"/>
                <w:szCs w:val="16"/>
              </w:rPr>
            </w:pPr>
          </w:p>
        </w:tc>
      </w:tr>
      <w:tr w:rsidR="003D5122" w:rsidRPr="00F32020" w14:paraId="795D8D82" w14:textId="77777777" w:rsidTr="00A02E26">
        <w:trPr>
          <w:trHeight w:val="260"/>
          <w:jc w:val="center"/>
        </w:trPr>
        <w:tc>
          <w:tcPr>
            <w:tcW w:w="2615" w:type="dxa"/>
            <w:shd w:val="clear" w:color="000000" w:fill="FFFFFF"/>
            <w:noWrap/>
            <w:vAlign w:val="bottom"/>
          </w:tcPr>
          <w:p w14:paraId="398D192C" w14:textId="77777777" w:rsidR="003D5122" w:rsidRPr="00F32020" w:rsidRDefault="003D5122" w:rsidP="003D5122">
            <w:pPr>
              <w:rPr>
                <w:sz w:val="16"/>
                <w:szCs w:val="16"/>
              </w:rPr>
            </w:pPr>
          </w:p>
        </w:tc>
        <w:tc>
          <w:tcPr>
            <w:tcW w:w="0" w:type="auto"/>
            <w:shd w:val="clear" w:color="000000" w:fill="FFFFFF"/>
            <w:vAlign w:val="bottom"/>
          </w:tcPr>
          <w:p w14:paraId="750B853F" w14:textId="77777777" w:rsidR="003D5122" w:rsidRPr="00F32020" w:rsidRDefault="003D5122" w:rsidP="003D5122">
            <w:pPr>
              <w:jc w:val="center"/>
              <w:rPr>
                <w:sz w:val="16"/>
                <w:szCs w:val="16"/>
              </w:rPr>
            </w:pPr>
            <w:r w:rsidRPr="00F32020">
              <w:rPr>
                <w:sz w:val="16"/>
                <w:szCs w:val="16"/>
              </w:rPr>
              <w:t>(0.000)</w:t>
            </w:r>
          </w:p>
        </w:tc>
        <w:tc>
          <w:tcPr>
            <w:tcW w:w="0" w:type="auto"/>
            <w:shd w:val="clear" w:color="000000" w:fill="FFFFFF"/>
            <w:noWrap/>
          </w:tcPr>
          <w:p w14:paraId="5603C10A" w14:textId="754802E2" w:rsidR="003D5122" w:rsidRPr="00F32020" w:rsidRDefault="003D5122" w:rsidP="003D5122">
            <w:pPr>
              <w:jc w:val="center"/>
              <w:rPr>
                <w:sz w:val="16"/>
                <w:szCs w:val="16"/>
              </w:rPr>
            </w:pPr>
            <w:r w:rsidRPr="00F32020">
              <w:rPr>
                <w:sz w:val="16"/>
                <w:szCs w:val="16"/>
              </w:rPr>
              <w:t>(4.60e-06)</w:t>
            </w:r>
          </w:p>
        </w:tc>
        <w:tc>
          <w:tcPr>
            <w:tcW w:w="0" w:type="auto"/>
            <w:shd w:val="clear" w:color="000000" w:fill="FFFFFF"/>
            <w:noWrap/>
            <w:vAlign w:val="bottom"/>
          </w:tcPr>
          <w:p w14:paraId="69117FE9" w14:textId="5178CF21" w:rsidR="003D5122" w:rsidRPr="00F32020" w:rsidRDefault="003D5122" w:rsidP="003D5122">
            <w:pPr>
              <w:jc w:val="center"/>
              <w:rPr>
                <w:sz w:val="16"/>
                <w:szCs w:val="16"/>
              </w:rPr>
            </w:pPr>
            <w:r w:rsidRPr="00F32020">
              <w:rPr>
                <w:sz w:val="16"/>
                <w:szCs w:val="16"/>
              </w:rPr>
              <w:t>(0.000)</w:t>
            </w:r>
          </w:p>
        </w:tc>
        <w:tc>
          <w:tcPr>
            <w:tcW w:w="0" w:type="auto"/>
            <w:shd w:val="clear" w:color="000000" w:fill="FFFFFF"/>
            <w:noWrap/>
            <w:vAlign w:val="bottom"/>
          </w:tcPr>
          <w:p w14:paraId="5F650155" w14:textId="77777777" w:rsidR="003D5122" w:rsidRPr="00F32020" w:rsidRDefault="003D5122" w:rsidP="003D5122">
            <w:pPr>
              <w:jc w:val="center"/>
              <w:rPr>
                <w:sz w:val="16"/>
                <w:szCs w:val="16"/>
              </w:rPr>
            </w:pPr>
          </w:p>
        </w:tc>
      </w:tr>
      <w:tr w:rsidR="003D5122" w:rsidRPr="00F32020" w14:paraId="72C5CF25" w14:textId="77777777" w:rsidTr="00A02E26">
        <w:trPr>
          <w:trHeight w:val="260"/>
          <w:jc w:val="center"/>
        </w:trPr>
        <w:tc>
          <w:tcPr>
            <w:tcW w:w="2615" w:type="dxa"/>
            <w:shd w:val="clear" w:color="000000" w:fill="FFFFFF"/>
            <w:noWrap/>
            <w:vAlign w:val="bottom"/>
          </w:tcPr>
          <w:p w14:paraId="150AB6FB" w14:textId="77777777" w:rsidR="003D5122" w:rsidRPr="00F32020" w:rsidRDefault="003D5122" w:rsidP="003D5122">
            <w:pPr>
              <w:rPr>
                <w:sz w:val="16"/>
                <w:szCs w:val="16"/>
              </w:rPr>
            </w:pPr>
            <w:r w:rsidRPr="00F32020">
              <w:rPr>
                <w:sz w:val="16"/>
                <w:szCs w:val="16"/>
              </w:rPr>
              <w:t>Migratory Distance from East Africa</w:t>
            </w:r>
          </w:p>
        </w:tc>
        <w:tc>
          <w:tcPr>
            <w:tcW w:w="0" w:type="auto"/>
            <w:shd w:val="clear" w:color="000000" w:fill="FFFFFF"/>
            <w:vAlign w:val="bottom"/>
          </w:tcPr>
          <w:p w14:paraId="571A6D4F" w14:textId="77777777" w:rsidR="003D5122" w:rsidRPr="00F32020" w:rsidRDefault="003D5122" w:rsidP="003D5122">
            <w:pPr>
              <w:jc w:val="center"/>
              <w:rPr>
                <w:sz w:val="16"/>
                <w:szCs w:val="16"/>
              </w:rPr>
            </w:pPr>
            <w:r w:rsidRPr="00F32020">
              <w:rPr>
                <w:sz w:val="16"/>
                <w:szCs w:val="16"/>
              </w:rPr>
              <w:t>0.994**</w:t>
            </w:r>
          </w:p>
        </w:tc>
        <w:tc>
          <w:tcPr>
            <w:tcW w:w="0" w:type="auto"/>
            <w:shd w:val="clear" w:color="000000" w:fill="FFFFFF"/>
            <w:noWrap/>
          </w:tcPr>
          <w:p w14:paraId="2BE05D65" w14:textId="66A38B90" w:rsidR="003D5122" w:rsidRPr="00F32020" w:rsidRDefault="003D5122" w:rsidP="003D5122">
            <w:pPr>
              <w:jc w:val="center"/>
              <w:rPr>
                <w:sz w:val="16"/>
                <w:szCs w:val="16"/>
              </w:rPr>
            </w:pPr>
            <w:r w:rsidRPr="00F32020">
              <w:rPr>
                <w:sz w:val="16"/>
                <w:szCs w:val="16"/>
              </w:rPr>
              <w:t>0.989**</w:t>
            </w:r>
          </w:p>
        </w:tc>
        <w:tc>
          <w:tcPr>
            <w:tcW w:w="0" w:type="auto"/>
            <w:shd w:val="clear" w:color="000000" w:fill="FFFFFF"/>
            <w:noWrap/>
            <w:vAlign w:val="bottom"/>
          </w:tcPr>
          <w:p w14:paraId="596BC288" w14:textId="22AEF623" w:rsidR="003D5122" w:rsidRPr="00F32020" w:rsidRDefault="003D5122" w:rsidP="003D5122">
            <w:pPr>
              <w:jc w:val="center"/>
              <w:rPr>
                <w:sz w:val="16"/>
                <w:szCs w:val="16"/>
              </w:rPr>
            </w:pPr>
            <w:r w:rsidRPr="00F32020">
              <w:rPr>
                <w:sz w:val="16"/>
                <w:szCs w:val="16"/>
              </w:rPr>
              <w:t>0.994**</w:t>
            </w:r>
          </w:p>
        </w:tc>
        <w:tc>
          <w:tcPr>
            <w:tcW w:w="0" w:type="auto"/>
            <w:shd w:val="clear" w:color="000000" w:fill="FFFFFF"/>
            <w:noWrap/>
            <w:vAlign w:val="bottom"/>
          </w:tcPr>
          <w:p w14:paraId="1612C941" w14:textId="77777777" w:rsidR="003D5122" w:rsidRPr="00F32020" w:rsidRDefault="003D5122" w:rsidP="003D5122">
            <w:pPr>
              <w:jc w:val="center"/>
              <w:rPr>
                <w:sz w:val="16"/>
                <w:szCs w:val="16"/>
              </w:rPr>
            </w:pPr>
          </w:p>
        </w:tc>
      </w:tr>
      <w:tr w:rsidR="003D5122" w:rsidRPr="00F32020" w14:paraId="7F77C25A" w14:textId="77777777" w:rsidTr="00A02E26">
        <w:trPr>
          <w:trHeight w:val="260"/>
          <w:jc w:val="center"/>
        </w:trPr>
        <w:tc>
          <w:tcPr>
            <w:tcW w:w="2615" w:type="dxa"/>
            <w:tcBorders>
              <w:bottom w:val="single" w:sz="4" w:space="0" w:color="auto"/>
            </w:tcBorders>
            <w:shd w:val="clear" w:color="000000" w:fill="FFFFFF"/>
            <w:noWrap/>
            <w:vAlign w:val="bottom"/>
            <w:hideMark/>
          </w:tcPr>
          <w:p w14:paraId="29A8A3F9" w14:textId="77777777" w:rsidR="003D5122" w:rsidRPr="00F32020" w:rsidRDefault="003D5122" w:rsidP="003D5122">
            <w:pPr>
              <w:rPr>
                <w:sz w:val="16"/>
                <w:szCs w:val="16"/>
              </w:rPr>
            </w:pPr>
            <w:r w:rsidRPr="00F32020">
              <w:rPr>
                <w:sz w:val="16"/>
                <w:szCs w:val="16"/>
              </w:rPr>
              <w:t> </w:t>
            </w:r>
          </w:p>
        </w:tc>
        <w:tc>
          <w:tcPr>
            <w:tcW w:w="0" w:type="auto"/>
            <w:tcBorders>
              <w:bottom w:val="single" w:sz="4" w:space="0" w:color="auto"/>
            </w:tcBorders>
            <w:shd w:val="clear" w:color="000000" w:fill="FFFFFF"/>
            <w:vAlign w:val="bottom"/>
          </w:tcPr>
          <w:p w14:paraId="45A73FBA" w14:textId="77777777" w:rsidR="003D5122" w:rsidRPr="00F32020" w:rsidRDefault="003D5122" w:rsidP="003D5122">
            <w:pPr>
              <w:jc w:val="center"/>
              <w:rPr>
                <w:sz w:val="16"/>
                <w:szCs w:val="16"/>
              </w:rPr>
            </w:pPr>
            <w:r w:rsidRPr="00F32020">
              <w:rPr>
                <w:sz w:val="16"/>
                <w:szCs w:val="16"/>
              </w:rPr>
              <w:t>(0.0036)</w:t>
            </w:r>
          </w:p>
        </w:tc>
        <w:tc>
          <w:tcPr>
            <w:tcW w:w="0" w:type="auto"/>
            <w:tcBorders>
              <w:bottom w:val="single" w:sz="4" w:space="0" w:color="auto"/>
            </w:tcBorders>
            <w:shd w:val="clear" w:color="000000" w:fill="FFFFFF"/>
            <w:noWrap/>
            <w:hideMark/>
          </w:tcPr>
          <w:p w14:paraId="3C44AC38" w14:textId="1FC4A18C" w:rsidR="003D5122" w:rsidRPr="00F32020" w:rsidRDefault="003D5122" w:rsidP="003D5122">
            <w:pPr>
              <w:jc w:val="center"/>
              <w:rPr>
                <w:sz w:val="16"/>
                <w:szCs w:val="16"/>
              </w:rPr>
            </w:pPr>
            <w:r w:rsidRPr="00F32020">
              <w:rPr>
                <w:sz w:val="16"/>
                <w:szCs w:val="16"/>
              </w:rPr>
              <w:t>(0.00454)</w:t>
            </w:r>
          </w:p>
        </w:tc>
        <w:tc>
          <w:tcPr>
            <w:tcW w:w="0" w:type="auto"/>
            <w:tcBorders>
              <w:bottom w:val="single" w:sz="4" w:space="0" w:color="auto"/>
            </w:tcBorders>
            <w:shd w:val="clear" w:color="000000" w:fill="FFFFFF"/>
            <w:noWrap/>
            <w:vAlign w:val="bottom"/>
            <w:hideMark/>
          </w:tcPr>
          <w:p w14:paraId="318FBE88" w14:textId="55764748" w:rsidR="003D5122" w:rsidRPr="00F32020" w:rsidRDefault="003D5122" w:rsidP="003D5122">
            <w:pPr>
              <w:jc w:val="center"/>
              <w:rPr>
                <w:sz w:val="16"/>
                <w:szCs w:val="16"/>
              </w:rPr>
            </w:pPr>
            <w:r w:rsidRPr="00F32020">
              <w:rPr>
                <w:sz w:val="16"/>
                <w:szCs w:val="16"/>
              </w:rPr>
              <w:t>(0.0036)</w:t>
            </w:r>
          </w:p>
        </w:tc>
        <w:tc>
          <w:tcPr>
            <w:tcW w:w="0" w:type="auto"/>
            <w:tcBorders>
              <w:bottom w:val="single" w:sz="4" w:space="0" w:color="auto"/>
            </w:tcBorders>
            <w:shd w:val="clear" w:color="000000" w:fill="FFFFFF"/>
            <w:noWrap/>
            <w:vAlign w:val="bottom"/>
            <w:hideMark/>
          </w:tcPr>
          <w:p w14:paraId="728D273E" w14:textId="77777777" w:rsidR="003D5122" w:rsidRPr="00F32020" w:rsidRDefault="003D5122" w:rsidP="003D5122">
            <w:pPr>
              <w:jc w:val="center"/>
              <w:rPr>
                <w:sz w:val="16"/>
                <w:szCs w:val="16"/>
              </w:rPr>
            </w:pPr>
            <w:r w:rsidRPr="00F32020">
              <w:rPr>
                <w:sz w:val="16"/>
                <w:szCs w:val="16"/>
              </w:rPr>
              <w:t> </w:t>
            </w:r>
          </w:p>
        </w:tc>
      </w:tr>
      <w:tr w:rsidR="00312D18" w:rsidRPr="00F32020" w14:paraId="6308E073" w14:textId="77777777" w:rsidTr="00855378">
        <w:trPr>
          <w:trHeight w:val="260"/>
          <w:jc w:val="center"/>
        </w:trPr>
        <w:tc>
          <w:tcPr>
            <w:tcW w:w="8764" w:type="dxa"/>
            <w:gridSpan w:val="4"/>
            <w:tcBorders>
              <w:top w:val="single" w:sz="4" w:space="0" w:color="auto"/>
              <w:bottom w:val="single" w:sz="4" w:space="0" w:color="auto"/>
            </w:tcBorders>
            <w:shd w:val="clear" w:color="000000" w:fill="FFFFFF"/>
            <w:noWrap/>
            <w:vAlign w:val="bottom"/>
          </w:tcPr>
          <w:p w14:paraId="49FBB8C1" w14:textId="7E53ED21" w:rsidR="00312D18" w:rsidRPr="00F32020" w:rsidRDefault="00312D18" w:rsidP="00F040AC">
            <w:pPr>
              <w:jc w:val="both"/>
              <w:rPr>
                <w:sz w:val="16"/>
                <w:szCs w:val="16"/>
              </w:rPr>
            </w:pPr>
            <w:r w:rsidRPr="00F32020">
              <w:rPr>
                <w:sz w:val="20"/>
                <w:szCs w:val="20"/>
              </w:rPr>
              <w:t>Notes: Standard errors in parentheses. Coefficients are reported as odds ratios (eβ) and standard errors are reported using the delta method (eβ x std. errors). Variables defined in Table A1. *** p&lt;0.01, ** p&lt;0.05, * p&lt;0.1</w:t>
            </w:r>
          </w:p>
        </w:tc>
        <w:tc>
          <w:tcPr>
            <w:tcW w:w="0" w:type="auto"/>
            <w:tcBorders>
              <w:top w:val="single" w:sz="4" w:space="0" w:color="auto"/>
              <w:bottom w:val="single" w:sz="4" w:space="0" w:color="auto"/>
            </w:tcBorders>
            <w:shd w:val="clear" w:color="000000" w:fill="FFFFFF"/>
            <w:noWrap/>
            <w:vAlign w:val="bottom"/>
          </w:tcPr>
          <w:p w14:paraId="58EBA43F" w14:textId="77777777" w:rsidR="00312D18" w:rsidRPr="00F32020" w:rsidRDefault="00312D18" w:rsidP="003D5122">
            <w:pPr>
              <w:jc w:val="center"/>
              <w:rPr>
                <w:sz w:val="16"/>
                <w:szCs w:val="16"/>
              </w:rPr>
            </w:pPr>
          </w:p>
        </w:tc>
      </w:tr>
    </w:tbl>
    <w:p w14:paraId="044F5D3D" w14:textId="42A6D010" w:rsidR="00D47508" w:rsidRPr="00F32020" w:rsidRDefault="00D47508">
      <w:pPr>
        <w:rPr>
          <w:b/>
          <w:bCs/>
          <w:shd w:val="clear" w:color="auto" w:fill="FFFFFF"/>
        </w:rPr>
      </w:pPr>
    </w:p>
    <w:p w14:paraId="46514BAF" w14:textId="77777777" w:rsidR="00312D18" w:rsidRPr="00F32020" w:rsidRDefault="00312D18">
      <w:pPr>
        <w:rPr>
          <w:b/>
          <w:bCs/>
          <w:shd w:val="clear" w:color="auto" w:fill="FFFFFF"/>
        </w:rPr>
      </w:pPr>
    </w:p>
    <w:p w14:paraId="06A2619B" w14:textId="77777777" w:rsidR="00312D18" w:rsidRPr="00F32020" w:rsidRDefault="00312D18">
      <w:pPr>
        <w:rPr>
          <w:b/>
          <w:bCs/>
          <w:shd w:val="clear" w:color="auto" w:fill="FFFFFF"/>
        </w:rPr>
      </w:pPr>
    </w:p>
    <w:p w14:paraId="7F29D0D7" w14:textId="77777777" w:rsidR="003252A5" w:rsidRDefault="003252A5">
      <w:pPr>
        <w:rPr>
          <w:b/>
          <w:bCs/>
          <w:shd w:val="clear" w:color="auto" w:fill="FFFFFF"/>
        </w:rPr>
      </w:pPr>
      <w:r>
        <w:rPr>
          <w:b/>
          <w:bCs/>
          <w:shd w:val="clear" w:color="auto" w:fill="FFFFFF"/>
        </w:rPr>
        <w:br w:type="page"/>
      </w:r>
    </w:p>
    <w:p w14:paraId="013CA0C9" w14:textId="42F9AB34" w:rsidR="00324915" w:rsidRPr="00F32020" w:rsidRDefault="00324915" w:rsidP="00324915">
      <w:pPr>
        <w:ind w:left="720" w:hanging="720"/>
        <w:jc w:val="center"/>
        <w:rPr>
          <w:b/>
          <w:bCs/>
          <w:shd w:val="clear" w:color="auto" w:fill="FFFFFF"/>
        </w:rPr>
      </w:pPr>
      <w:r w:rsidRPr="00F32020">
        <w:rPr>
          <w:b/>
          <w:bCs/>
          <w:shd w:val="clear" w:color="auto" w:fill="FFFFFF"/>
        </w:rPr>
        <w:lastRenderedPageBreak/>
        <w:t xml:space="preserve">Table </w:t>
      </w:r>
      <w:r w:rsidR="00D47508" w:rsidRPr="00F32020">
        <w:rPr>
          <w:b/>
          <w:bCs/>
          <w:shd w:val="clear" w:color="auto" w:fill="FFFFFF"/>
        </w:rPr>
        <w:t>4</w:t>
      </w:r>
      <w:r w:rsidRPr="00F32020">
        <w:rPr>
          <w:b/>
          <w:bCs/>
          <w:shd w:val="clear" w:color="auto" w:fill="FFFFFF"/>
        </w:rPr>
        <w:t xml:space="preserve">. Interactions of cultural diversity with other signals about founding teams’ human capital and demographic characteristics </w:t>
      </w:r>
    </w:p>
    <w:tbl>
      <w:tblPr>
        <w:tblW w:w="5000" w:type="pct"/>
        <w:tblLook w:val="04A0" w:firstRow="1" w:lastRow="0" w:firstColumn="1" w:lastColumn="0" w:noHBand="0" w:noVBand="1"/>
      </w:tblPr>
      <w:tblGrid>
        <w:gridCol w:w="4259"/>
        <w:gridCol w:w="1398"/>
        <w:gridCol w:w="983"/>
        <w:gridCol w:w="1190"/>
        <w:gridCol w:w="1190"/>
      </w:tblGrid>
      <w:tr w:rsidR="00324915" w:rsidRPr="00F32020" w14:paraId="728EA453" w14:textId="77777777" w:rsidTr="00D314EE">
        <w:trPr>
          <w:trHeight w:val="260"/>
        </w:trPr>
        <w:tc>
          <w:tcPr>
            <w:tcW w:w="2492" w:type="pct"/>
            <w:tcBorders>
              <w:top w:val="single" w:sz="4" w:space="0" w:color="auto"/>
            </w:tcBorders>
            <w:noWrap/>
            <w:vAlign w:val="bottom"/>
            <w:hideMark/>
          </w:tcPr>
          <w:p w14:paraId="0DF0FB91" w14:textId="77777777" w:rsidR="00324915" w:rsidRPr="00F32020" w:rsidRDefault="00324915" w:rsidP="00D314EE">
            <w:pPr>
              <w:rPr>
                <w:sz w:val="20"/>
                <w:szCs w:val="20"/>
                <w:lang w:eastAsia="en-US"/>
              </w:rPr>
            </w:pPr>
            <w:r w:rsidRPr="00F32020">
              <w:rPr>
                <w:sz w:val="20"/>
                <w:szCs w:val="20"/>
                <w:lang w:eastAsia="en-US"/>
              </w:rPr>
              <w:t>VARIABLES</w:t>
            </w:r>
          </w:p>
        </w:tc>
        <w:tc>
          <w:tcPr>
            <w:tcW w:w="753" w:type="pct"/>
            <w:tcBorders>
              <w:top w:val="single" w:sz="4" w:space="0" w:color="auto"/>
            </w:tcBorders>
            <w:noWrap/>
            <w:vAlign w:val="bottom"/>
            <w:hideMark/>
          </w:tcPr>
          <w:p w14:paraId="70EF9429" w14:textId="77777777" w:rsidR="00324915" w:rsidRPr="00F32020" w:rsidRDefault="00324915" w:rsidP="00D314EE">
            <w:pPr>
              <w:jc w:val="center"/>
              <w:rPr>
                <w:sz w:val="20"/>
                <w:szCs w:val="20"/>
              </w:rPr>
            </w:pPr>
            <w:r w:rsidRPr="00F32020">
              <w:rPr>
                <w:sz w:val="20"/>
                <w:szCs w:val="20"/>
              </w:rPr>
              <w:t>(1)</w:t>
            </w:r>
          </w:p>
        </w:tc>
        <w:tc>
          <w:tcPr>
            <w:tcW w:w="501" w:type="pct"/>
            <w:tcBorders>
              <w:top w:val="single" w:sz="4" w:space="0" w:color="auto"/>
            </w:tcBorders>
            <w:noWrap/>
            <w:vAlign w:val="bottom"/>
            <w:hideMark/>
          </w:tcPr>
          <w:p w14:paraId="3213CDDD" w14:textId="77777777" w:rsidR="00324915" w:rsidRPr="00F32020" w:rsidRDefault="00324915" w:rsidP="00D314EE">
            <w:pPr>
              <w:jc w:val="center"/>
              <w:rPr>
                <w:sz w:val="20"/>
                <w:szCs w:val="20"/>
              </w:rPr>
            </w:pPr>
            <w:r w:rsidRPr="00F32020">
              <w:rPr>
                <w:sz w:val="20"/>
                <w:szCs w:val="20"/>
              </w:rPr>
              <w:t>(2)</w:t>
            </w:r>
          </w:p>
        </w:tc>
        <w:tc>
          <w:tcPr>
            <w:tcW w:w="627" w:type="pct"/>
            <w:tcBorders>
              <w:top w:val="single" w:sz="4" w:space="0" w:color="auto"/>
            </w:tcBorders>
            <w:noWrap/>
            <w:vAlign w:val="bottom"/>
            <w:hideMark/>
          </w:tcPr>
          <w:p w14:paraId="3CCD54CD" w14:textId="77777777" w:rsidR="00324915" w:rsidRPr="00F32020" w:rsidRDefault="00324915" w:rsidP="00D314EE">
            <w:pPr>
              <w:jc w:val="center"/>
              <w:rPr>
                <w:sz w:val="20"/>
                <w:szCs w:val="20"/>
              </w:rPr>
            </w:pPr>
            <w:r w:rsidRPr="00F32020">
              <w:rPr>
                <w:sz w:val="20"/>
                <w:szCs w:val="20"/>
              </w:rPr>
              <w:t>(3)</w:t>
            </w:r>
          </w:p>
        </w:tc>
        <w:tc>
          <w:tcPr>
            <w:tcW w:w="627" w:type="pct"/>
            <w:tcBorders>
              <w:top w:val="single" w:sz="4" w:space="0" w:color="auto"/>
            </w:tcBorders>
            <w:noWrap/>
            <w:vAlign w:val="bottom"/>
            <w:hideMark/>
          </w:tcPr>
          <w:p w14:paraId="2C3B1B2F" w14:textId="77777777" w:rsidR="00324915" w:rsidRPr="00F32020" w:rsidRDefault="00324915" w:rsidP="00D314EE">
            <w:pPr>
              <w:jc w:val="center"/>
              <w:rPr>
                <w:sz w:val="20"/>
                <w:szCs w:val="20"/>
              </w:rPr>
            </w:pPr>
            <w:r w:rsidRPr="00F32020">
              <w:rPr>
                <w:sz w:val="20"/>
                <w:szCs w:val="20"/>
              </w:rPr>
              <w:t>(4)</w:t>
            </w:r>
          </w:p>
        </w:tc>
      </w:tr>
      <w:tr w:rsidR="00324915" w:rsidRPr="00F32020" w14:paraId="4AE848B5" w14:textId="77777777" w:rsidTr="00D314EE">
        <w:trPr>
          <w:trHeight w:val="260"/>
        </w:trPr>
        <w:tc>
          <w:tcPr>
            <w:tcW w:w="2492" w:type="pct"/>
            <w:tcBorders>
              <w:top w:val="single" w:sz="4" w:space="0" w:color="auto"/>
            </w:tcBorders>
            <w:noWrap/>
            <w:vAlign w:val="bottom"/>
            <w:hideMark/>
          </w:tcPr>
          <w:p w14:paraId="65430494" w14:textId="77777777" w:rsidR="00324915" w:rsidRPr="00F32020" w:rsidRDefault="00324915" w:rsidP="00D314EE">
            <w:pPr>
              <w:rPr>
                <w:sz w:val="20"/>
                <w:szCs w:val="20"/>
              </w:rPr>
            </w:pPr>
            <w:r w:rsidRPr="00F32020">
              <w:rPr>
                <w:sz w:val="20"/>
                <w:szCs w:val="20"/>
              </w:rPr>
              <w:t>Cultural Diversity</w:t>
            </w:r>
          </w:p>
        </w:tc>
        <w:tc>
          <w:tcPr>
            <w:tcW w:w="753" w:type="pct"/>
            <w:tcBorders>
              <w:top w:val="single" w:sz="4" w:space="0" w:color="auto"/>
            </w:tcBorders>
            <w:noWrap/>
            <w:vAlign w:val="bottom"/>
            <w:hideMark/>
          </w:tcPr>
          <w:p w14:paraId="5713887E" w14:textId="77777777" w:rsidR="00324915" w:rsidRPr="00F32020" w:rsidRDefault="00324915" w:rsidP="00D314EE">
            <w:pPr>
              <w:jc w:val="center"/>
              <w:rPr>
                <w:sz w:val="20"/>
                <w:szCs w:val="20"/>
              </w:rPr>
            </w:pPr>
            <w:r w:rsidRPr="00F32020">
              <w:rPr>
                <w:sz w:val="20"/>
                <w:szCs w:val="20"/>
              </w:rPr>
              <w:t>1.092*</w:t>
            </w:r>
          </w:p>
        </w:tc>
        <w:tc>
          <w:tcPr>
            <w:tcW w:w="501" w:type="pct"/>
            <w:tcBorders>
              <w:top w:val="single" w:sz="4" w:space="0" w:color="auto"/>
            </w:tcBorders>
            <w:noWrap/>
            <w:vAlign w:val="bottom"/>
            <w:hideMark/>
          </w:tcPr>
          <w:p w14:paraId="236824BD" w14:textId="77777777" w:rsidR="00324915" w:rsidRPr="00F32020" w:rsidRDefault="00324915" w:rsidP="00D314EE">
            <w:pPr>
              <w:jc w:val="center"/>
              <w:rPr>
                <w:sz w:val="20"/>
                <w:szCs w:val="20"/>
              </w:rPr>
            </w:pPr>
            <w:r w:rsidRPr="00F32020">
              <w:rPr>
                <w:sz w:val="20"/>
                <w:szCs w:val="20"/>
              </w:rPr>
              <w:t>1.148**</w:t>
            </w:r>
          </w:p>
        </w:tc>
        <w:tc>
          <w:tcPr>
            <w:tcW w:w="627" w:type="pct"/>
            <w:tcBorders>
              <w:top w:val="single" w:sz="4" w:space="0" w:color="auto"/>
            </w:tcBorders>
            <w:noWrap/>
            <w:vAlign w:val="bottom"/>
            <w:hideMark/>
          </w:tcPr>
          <w:p w14:paraId="6D562DC4" w14:textId="77777777" w:rsidR="00324915" w:rsidRPr="00F32020" w:rsidRDefault="00324915" w:rsidP="00D314EE">
            <w:pPr>
              <w:jc w:val="center"/>
              <w:rPr>
                <w:sz w:val="20"/>
                <w:szCs w:val="20"/>
              </w:rPr>
            </w:pPr>
            <w:r w:rsidRPr="00F32020">
              <w:rPr>
                <w:sz w:val="20"/>
                <w:szCs w:val="20"/>
              </w:rPr>
              <w:t>1.070</w:t>
            </w:r>
          </w:p>
        </w:tc>
        <w:tc>
          <w:tcPr>
            <w:tcW w:w="627" w:type="pct"/>
            <w:tcBorders>
              <w:top w:val="single" w:sz="4" w:space="0" w:color="auto"/>
            </w:tcBorders>
            <w:noWrap/>
            <w:vAlign w:val="bottom"/>
            <w:hideMark/>
          </w:tcPr>
          <w:p w14:paraId="1E26A081" w14:textId="77777777" w:rsidR="00324915" w:rsidRPr="00F32020" w:rsidRDefault="00324915" w:rsidP="00D314EE">
            <w:pPr>
              <w:jc w:val="center"/>
              <w:rPr>
                <w:sz w:val="20"/>
                <w:szCs w:val="20"/>
              </w:rPr>
            </w:pPr>
            <w:r w:rsidRPr="00F32020">
              <w:rPr>
                <w:sz w:val="20"/>
                <w:szCs w:val="20"/>
              </w:rPr>
              <w:t>1.124**</w:t>
            </w:r>
          </w:p>
        </w:tc>
      </w:tr>
      <w:tr w:rsidR="00324915" w:rsidRPr="00F32020" w14:paraId="197CEB78" w14:textId="77777777" w:rsidTr="00D314EE">
        <w:trPr>
          <w:trHeight w:val="260"/>
        </w:trPr>
        <w:tc>
          <w:tcPr>
            <w:tcW w:w="2492" w:type="pct"/>
            <w:noWrap/>
            <w:vAlign w:val="bottom"/>
            <w:hideMark/>
          </w:tcPr>
          <w:p w14:paraId="4C3A2B68" w14:textId="77777777" w:rsidR="00324915" w:rsidRPr="00F32020" w:rsidRDefault="00324915" w:rsidP="00D314EE">
            <w:pPr>
              <w:jc w:val="center"/>
              <w:rPr>
                <w:sz w:val="20"/>
                <w:szCs w:val="20"/>
              </w:rPr>
            </w:pPr>
          </w:p>
        </w:tc>
        <w:tc>
          <w:tcPr>
            <w:tcW w:w="753" w:type="pct"/>
            <w:noWrap/>
            <w:vAlign w:val="bottom"/>
            <w:hideMark/>
          </w:tcPr>
          <w:p w14:paraId="6EA024F2" w14:textId="77777777" w:rsidR="00324915" w:rsidRPr="00F32020" w:rsidRDefault="00324915" w:rsidP="00D314EE">
            <w:pPr>
              <w:jc w:val="center"/>
              <w:rPr>
                <w:sz w:val="20"/>
                <w:szCs w:val="20"/>
              </w:rPr>
            </w:pPr>
            <w:r w:rsidRPr="00F32020">
              <w:rPr>
                <w:sz w:val="20"/>
                <w:szCs w:val="20"/>
              </w:rPr>
              <w:t>(0.0541)</w:t>
            </w:r>
          </w:p>
        </w:tc>
        <w:tc>
          <w:tcPr>
            <w:tcW w:w="501" w:type="pct"/>
            <w:noWrap/>
            <w:vAlign w:val="bottom"/>
            <w:hideMark/>
          </w:tcPr>
          <w:p w14:paraId="10B654E6" w14:textId="77777777" w:rsidR="00324915" w:rsidRPr="00F32020" w:rsidRDefault="00324915" w:rsidP="00D314EE">
            <w:pPr>
              <w:jc w:val="center"/>
              <w:rPr>
                <w:sz w:val="20"/>
                <w:szCs w:val="20"/>
              </w:rPr>
            </w:pPr>
            <w:r w:rsidRPr="00F32020">
              <w:rPr>
                <w:sz w:val="20"/>
                <w:szCs w:val="20"/>
              </w:rPr>
              <w:t>(0.0664)</w:t>
            </w:r>
          </w:p>
        </w:tc>
        <w:tc>
          <w:tcPr>
            <w:tcW w:w="627" w:type="pct"/>
            <w:noWrap/>
            <w:vAlign w:val="bottom"/>
            <w:hideMark/>
          </w:tcPr>
          <w:p w14:paraId="3DE3AE22" w14:textId="77777777" w:rsidR="00324915" w:rsidRPr="00F32020" w:rsidRDefault="00324915" w:rsidP="00D314EE">
            <w:pPr>
              <w:jc w:val="center"/>
              <w:rPr>
                <w:sz w:val="20"/>
                <w:szCs w:val="20"/>
              </w:rPr>
            </w:pPr>
            <w:r w:rsidRPr="00F32020">
              <w:rPr>
                <w:sz w:val="20"/>
                <w:szCs w:val="20"/>
              </w:rPr>
              <w:t>(0.1330)</w:t>
            </w:r>
          </w:p>
        </w:tc>
        <w:tc>
          <w:tcPr>
            <w:tcW w:w="627" w:type="pct"/>
            <w:noWrap/>
            <w:vAlign w:val="bottom"/>
            <w:hideMark/>
          </w:tcPr>
          <w:p w14:paraId="629C1921" w14:textId="77777777" w:rsidR="00324915" w:rsidRPr="00F32020" w:rsidRDefault="00324915" w:rsidP="00D314EE">
            <w:pPr>
              <w:jc w:val="center"/>
              <w:rPr>
                <w:sz w:val="20"/>
                <w:szCs w:val="20"/>
              </w:rPr>
            </w:pPr>
            <w:r w:rsidRPr="00F32020">
              <w:rPr>
                <w:sz w:val="20"/>
                <w:szCs w:val="20"/>
              </w:rPr>
              <w:t>(0.0522)</w:t>
            </w:r>
          </w:p>
        </w:tc>
      </w:tr>
      <w:tr w:rsidR="00324915" w:rsidRPr="00F32020" w14:paraId="235AB2C1" w14:textId="77777777" w:rsidTr="00D314EE">
        <w:trPr>
          <w:trHeight w:val="260"/>
        </w:trPr>
        <w:tc>
          <w:tcPr>
            <w:tcW w:w="2492" w:type="pct"/>
            <w:noWrap/>
            <w:vAlign w:val="center"/>
            <w:hideMark/>
          </w:tcPr>
          <w:p w14:paraId="68622452" w14:textId="77777777" w:rsidR="00324915" w:rsidRPr="00F32020" w:rsidRDefault="00324915" w:rsidP="00D314EE">
            <w:pPr>
              <w:rPr>
                <w:sz w:val="20"/>
                <w:szCs w:val="20"/>
              </w:rPr>
            </w:pPr>
            <w:r w:rsidRPr="00F32020">
              <w:rPr>
                <w:sz w:val="20"/>
                <w:szCs w:val="20"/>
              </w:rPr>
              <w:t>Log (Years firm is active)</w:t>
            </w:r>
          </w:p>
        </w:tc>
        <w:tc>
          <w:tcPr>
            <w:tcW w:w="753" w:type="pct"/>
            <w:noWrap/>
            <w:vAlign w:val="bottom"/>
            <w:hideMark/>
          </w:tcPr>
          <w:p w14:paraId="181853CE" w14:textId="77777777" w:rsidR="00324915" w:rsidRPr="00F32020" w:rsidRDefault="00324915" w:rsidP="00D314EE">
            <w:pPr>
              <w:jc w:val="center"/>
              <w:rPr>
                <w:sz w:val="20"/>
                <w:szCs w:val="20"/>
              </w:rPr>
            </w:pPr>
            <w:r w:rsidRPr="00F32020">
              <w:rPr>
                <w:sz w:val="20"/>
                <w:szCs w:val="20"/>
              </w:rPr>
              <w:t>1.049</w:t>
            </w:r>
          </w:p>
        </w:tc>
        <w:tc>
          <w:tcPr>
            <w:tcW w:w="501" w:type="pct"/>
            <w:noWrap/>
            <w:vAlign w:val="bottom"/>
            <w:hideMark/>
          </w:tcPr>
          <w:p w14:paraId="7853BC88" w14:textId="77777777" w:rsidR="00324915" w:rsidRPr="00F32020" w:rsidRDefault="00324915" w:rsidP="00D314EE">
            <w:pPr>
              <w:jc w:val="center"/>
              <w:rPr>
                <w:sz w:val="20"/>
                <w:szCs w:val="20"/>
              </w:rPr>
            </w:pPr>
            <w:r w:rsidRPr="00F32020">
              <w:rPr>
                <w:sz w:val="20"/>
                <w:szCs w:val="20"/>
              </w:rPr>
              <w:t>1.050</w:t>
            </w:r>
          </w:p>
        </w:tc>
        <w:tc>
          <w:tcPr>
            <w:tcW w:w="627" w:type="pct"/>
            <w:noWrap/>
            <w:vAlign w:val="bottom"/>
            <w:hideMark/>
          </w:tcPr>
          <w:p w14:paraId="3F749E2C" w14:textId="77777777" w:rsidR="00324915" w:rsidRPr="00F32020" w:rsidRDefault="00324915" w:rsidP="00D314EE">
            <w:pPr>
              <w:jc w:val="center"/>
              <w:rPr>
                <w:sz w:val="20"/>
                <w:szCs w:val="20"/>
              </w:rPr>
            </w:pPr>
            <w:r w:rsidRPr="00F32020">
              <w:rPr>
                <w:sz w:val="20"/>
                <w:szCs w:val="20"/>
              </w:rPr>
              <w:t>1.049</w:t>
            </w:r>
          </w:p>
        </w:tc>
        <w:tc>
          <w:tcPr>
            <w:tcW w:w="627" w:type="pct"/>
            <w:noWrap/>
            <w:vAlign w:val="bottom"/>
            <w:hideMark/>
          </w:tcPr>
          <w:p w14:paraId="77E4E60F" w14:textId="77777777" w:rsidR="00324915" w:rsidRPr="00F32020" w:rsidRDefault="00324915" w:rsidP="00D314EE">
            <w:pPr>
              <w:jc w:val="center"/>
              <w:rPr>
                <w:sz w:val="20"/>
                <w:szCs w:val="20"/>
              </w:rPr>
            </w:pPr>
            <w:r w:rsidRPr="00F32020">
              <w:rPr>
                <w:sz w:val="20"/>
                <w:szCs w:val="20"/>
              </w:rPr>
              <w:t>1.048</w:t>
            </w:r>
          </w:p>
        </w:tc>
      </w:tr>
      <w:tr w:rsidR="00324915" w:rsidRPr="00F32020" w14:paraId="3872562E" w14:textId="77777777" w:rsidTr="00D314EE">
        <w:trPr>
          <w:trHeight w:val="260"/>
        </w:trPr>
        <w:tc>
          <w:tcPr>
            <w:tcW w:w="2492" w:type="pct"/>
            <w:noWrap/>
            <w:vAlign w:val="center"/>
            <w:hideMark/>
          </w:tcPr>
          <w:p w14:paraId="69885FC4" w14:textId="77777777" w:rsidR="00324915" w:rsidRPr="00F32020" w:rsidRDefault="00324915" w:rsidP="00D314EE">
            <w:pPr>
              <w:jc w:val="center"/>
              <w:rPr>
                <w:sz w:val="20"/>
                <w:szCs w:val="20"/>
              </w:rPr>
            </w:pPr>
          </w:p>
        </w:tc>
        <w:tc>
          <w:tcPr>
            <w:tcW w:w="753" w:type="pct"/>
            <w:noWrap/>
            <w:vAlign w:val="bottom"/>
            <w:hideMark/>
          </w:tcPr>
          <w:p w14:paraId="2FCED140" w14:textId="77777777" w:rsidR="00324915" w:rsidRPr="00F32020" w:rsidRDefault="00324915" w:rsidP="00D314EE">
            <w:pPr>
              <w:jc w:val="center"/>
              <w:rPr>
                <w:sz w:val="20"/>
                <w:szCs w:val="20"/>
              </w:rPr>
            </w:pPr>
            <w:r w:rsidRPr="00F32020">
              <w:rPr>
                <w:sz w:val="20"/>
                <w:szCs w:val="20"/>
              </w:rPr>
              <w:t>(0.0601)</w:t>
            </w:r>
          </w:p>
        </w:tc>
        <w:tc>
          <w:tcPr>
            <w:tcW w:w="501" w:type="pct"/>
            <w:noWrap/>
            <w:vAlign w:val="bottom"/>
            <w:hideMark/>
          </w:tcPr>
          <w:p w14:paraId="2C3E3F12" w14:textId="77777777" w:rsidR="00324915" w:rsidRPr="00F32020" w:rsidRDefault="00324915" w:rsidP="00D314EE">
            <w:pPr>
              <w:jc w:val="center"/>
              <w:rPr>
                <w:sz w:val="20"/>
                <w:szCs w:val="20"/>
              </w:rPr>
            </w:pPr>
            <w:r w:rsidRPr="00F32020">
              <w:rPr>
                <w:sz w:val="20"/>
                <w:szCs w:val="20"/>
              </w:rPr>
              <w:t>(0.0601)</w:t>
            </w:r>
          </w:p>
        </w:tc>
        <w:tc>
          <w:tcPr>
            <w:tcW w:w="627" w:type="pct"/>
            <w:noWrap/>
            <w:vAlign w:val="bottom"/>
            <w:hideMark/>
          </w:tcPr>
          <w:p w14:paraId="6B065F91" w14:textId="77777777" w:rsidR="00324915" w:rsidRPr="00F32020" w:rsidRDefault="00324915" w:rsidP="00D314EE">
            <w:pPr>
              <w:jc w:val="center"/>
              <w:rPr>
                <w:sz w:val="20"/>
                <w:szCs w:val="20"/>
              </w:rPr>
            </w:pPr>
            <w:r w:rsidRPr="00F32020">
              <w:rPr>
                <w:sz w:val="20"/>
                <w:szCs w:val="20"/>
              </w:rPr>
              <w:t>(0.0601)</w:t>
            </w:r>
          </w:p>
        </w:tc>
        <w:tc>
          <w:tcPr>
            <w:tcW w:w="627" w:type="pct"/>
            <w:noWrap/>
            <w:vAlign w:val="bottom"/>
            <w:hideMark/>
          </w:tcPr>
          <w:p w14:paraId="6E8D2932" w14:textId="77777777" w:rsidR="00324915" w:rsidRPr="00F32020" w:rsidRDefault="00324915" w:rsidP="00D314EE">
            <w:pPr>
              <w:jc w:val="center"/>
              <w:rPr>
                <w:sz w:val="20"/>
                <w:szCs w:val="20"/>
              </w:rPr>
            </w:pPr>
            <w:r w:rsidRPr="00F32020">
              <w:rPr>
                <w:sz w:val="20"/>
                <w:szCs w:val="20"/>
              </w:rPr>
              <w:t>(0.0600)</w:t>
            </w:r>
          </w:p>
        </w:tc>
      </w:tr>
      <w:tr w:rsidR="00324915" w:rsidRPr="00F32020" w14:paraId="51B34426" w14:textId="77777777" w:rsidTr="00D314EE">
        <w:trPr>
          <w:trHeight w:val="260"/>
        </w:trPr>
        <w:tc>
          <w:tcPr>
            <w:tcW w:w="2492" w:type="pct"/>
            <w:noWrap/>
            <w:vAlign w:val="center"/>
            <w:hideMark/>
          </w:tcPr>
          <w:p w14:paraId="1560F5A9" w14:textId="77777777" w:rsidR="00324915" w:rsidRPr="00F32020" w:rsidRDefault="00324915" w:rsidP="00D314EE">
            <w:pPr>
              <w:rPr>
                <w:sz w:val="20"/>
                <w:szCs w:val="20"/>
              </w:rPr>
            </w:pPr>
            <w:r w:rsidRPr="00F32020">
              <w:rPr>
                <w:sz w:val="20"/>
                <w:szCs w:val="20"/>
              </w:rPr>
              <w:t>Log (Revenues in t-1)</w:t>
            </w:r>
          </w:p>
        </w:tc>
        <w:tc>
          <w:tcPr>
            <w:tcW w:w="753" w:type="pct"/>
            <w:noWrap/>
            <w:vAlign w:val="bottom"/>
            <w:hideMark/>
          </w:tcPr>
          <w:p w14:paraId="43BD0ACB" w14:textId="77777777" w:rsidR="00324915" w:rsidRPr="00F32020" w:rsidRDefault="00324915" w:rsidP="00D314EE">
            <w:pPr>
              <w:jc w:val="center"/>
              <w:rPr>
                <w:sz w:val="20"/>
                <w:szCs w:val="20"/>
              </w:rPr>
            </w:pPr>
            <w:r w:rsidRPr="00F32020">
              <w:rPr>
                <w:sz w:val="20"/>
                <w:szCs w:val="20"/>
              </w:rPr>
              <w:t>1.065***</w:t>
            </w:r>
          </w:p>
        </w:tc>
        <w:tc>
          <w:tcPr>
            <w:tcW w:w="501" w:type="pct"/>
            <w:noWrap/>
            <w:vAlign w:val="bottom"/>
            <w:hideMark/>
          </w:tcPr>
          <w:p w14:paraId="4653E2A4" w14:textId="77777777" w:rsidR="00324915" w:rsidRPr="00F32020" w:rsidRDefault="00324915" w:rsidP="00D314EE">
            <w:pPr>
              <w:jc w:val="center"/>
              <w:rPr>
                <w:sz w:val="20"/>
                <w:szCs w:val="20"/>
              </w:rPr>
            </w:pPr>
            <w:r w:rsidRPr="00F32020">
              <w:rPr>
                <w:sz w:val="20"/>
                <w:szCs w:val="20"/>
              </w:rPr>
              <w:t>1.065***</w:t>
            </w:r>
          </w:p>
        </w:tc>
        <w:tc>
          <w:tcPr>
            <w:tcW w:w="627" w:type="pct"/>
            <w:noWrap/>
            <w:vAlign w:val="bottom"/>
            <w:hideMark/>
          </w:tcPr>
          <w:p w14:paraId="1B2A7FB4" w14:textId="77777777" w:rsidR="00324915" w:rsidRPr="00F32020" w:rsidRDefault="00324915" w:rsidP="00D314EE">
            <w:pPr>
              <w:jc w:val="center"/>
              <w:rPr>
                <w:sz w:val="20"/>
                <w:szCs w:val="20"/>
              </w:rPr>
            </w:pPr>
            <w:r w:rsidRPr="00F32020">
              <w:rPr>
                <w:sz w:val="20"/>
                <w:szCs w:val="20"/>
              </w:rPr>
              <w:t>1.065***</w:t>
            </w:r>
          </w:p>
        </w:tc>
        <w:tc>
          <w:tcPr>
            <w:tcW w:w="627" w:type="pct"/>
            <w:noWrap/>
            <w:vAlign w:val="bottom"/>
            <w:hideMark/>
          </w:tcPr>
          <w:p w14:paraId="4871D2DD" w14:textId="77777777" w:rsidR="00324915" w:rsidRPr="00F32020" w:rsidRDefault="00324915" w:rsidP="00D314EE">
            <w:pPr>
              <w:jc w:val="center"/>
              <w:rPr>
                <w:sz w:val="20"/>
                <w:szCs w:val="20"/>
              </w:rPr>
            </w:pPr>
            <w:r w:rsidRPr="00F32020">
              <w:rPr>
                <w:sz w:val="20"/>
                <w:szCs w:val="20"/>
              </w:rPr>
              <w:t>1.066***</w:t>
            </w:r>
          </w:p>
        </w:tc>
      </w:tr>
      <w:tr w:rsidR="00324915" w:rsidRPr="00F32020" w14:paraId="21DEC19E" w14:textId="77777777" w:rsidTr="00D314EE">
        <w:trPr>
          <w:trHeight w:val="260"/>
        </w:trPr>
        <w:tc>
          <w:tcPr>
            <w:tcW w:w="2492" w:type="pct"/>
            <w:noWrap/>
            <w:vAlign w:val="center"/>
            <w:hideMark/>
          </w:tcPr>
          <w:p w14:paraId="654A33CE" w14:textId="77777777" w:rsidR="00324915" w:rsidRPr="00F32020" w:rsidRDefault="00324915" w:rsidP="00D314EE">
            <w:pPr>
              <w:jc w:val="center"/>
              <w:rPr>
                <w:sz w:val="20"/>
                <w:szCs w:val="20"/>
              </w:rPr>
            </w:pPr>
          </w:p>
        </w:tc>
        <w:tc>
          <w:tcPr>
            <w:tcW w:w="753" w:type="pct"/>
            <w:noWrap/>
            <w:vAlign w:val="bottom"/>
            <w:hideMark/>
          </w:tcPr>
          <w:p w14:paraId="6AB2430B" w14:textId="77777777" w:rsidR="00324915" w:rsidRPr="00F32020" w:rsidRDefault="00324915" w:rsidP="00D314EE">
            <w:pPr>
              <w:jc w:val="center"/>
              <w:rPr>
                <w:sz w:val="20"/>
                <w:szCs w:val="20"/>
              </w:rPr>
            </w:pPr>
            <w:r w:rsidRPr="00F32020">
              <w:rPr>
                <w:sz w:val="20"/>
                <w:szCs w:val="20"/>
              </w:rPr>
              <w:t>(0.0081)</w:t>
            </w:r>
          </w:p>
        </w:tc>
        <w:tc>
          <w:tcPr>
            <w:tcW w:w="501" w:type="pct"/>
            <w:noWrap/>
            <w:vAlign w:val="bottom"/>
            <w:hideMark/>
          </w:tcPr>
          <w:p w14:paraId="53C2FBB3" w14:textId="77777777" w:rsidR="00324915" w:rsidRPr="00F32020" w:rsidRDefault="00324915" w:rsidP="00D314EE">
            <w:pPr>
              <w:jc w:val="center"/>
              <w:rPr>
                <w:sz w:val="20"/>
                <w:szCs w:val="20"/>
              </w:rPr>
            </w:pPr>
            <w:r w:rsidRPr="00F32020">
              <w:rPr>
                <w:sz w:val="20"/>
                <w:szCs w:val="20"/>
              </w:rPr>
              <w:t>(0.0081)</w:t>
            </w:r>
          </w:p>
        </w:tc>
        <w:tc>
          <w:tcPr>
            <w:tcW w:w="627" w:type="pct"/>
            <w:noWrap/>
            <w:vAlign w:val="bottom"/>
            <w:hideMark/>
          </w:tcPr>
          <w:p w14:paraId="7A3EE1C8" w14:textId="77777777" w:rsidR="00324915" w:rsidRPr="00F32020" w:rsidRDefault="00324915" w:rsidP="00D314EE">
            <w:pPr>
              <w:jc w:val="center"/>
              <w:rPr>
                <w:sz w:val="20"/>
                <w:szCs w:val="20"/>
              </w:rPr>
            </w:pPr>
            <w:r w:rsidRPr="00F32020">
              <w:rPr>
                <w:sz w:val="20"/>
                <w:szCs w:val="20"/>
              </w:rPr>
              <w:t>(0.0081)</w:t>
            </w:r>
          </w:p>
        </w:tc>
        <w:tc>
          <w:tcPr>
            <w:tcW w:w="627" w:type="pct"/>
            <w:noWrap/>
            <w:vAlign w:val="bottom"/>
            <w:hideMark/>
          </w:tcPr>
          <w:p w14:paraId="5968BB1A" w14:textId="77777777" w:rsidR="00324915" w:rsidRPr="00F32020" w:rsidRDefault="00324915" w:rsidP="00D314EE">
            <w:pPr>
              <w:jc w:val="center"/>
              <w:rPr>
                <w:sz w:val="20"/>
                <w:szCs w:val="20"/>
              </w:rPr>
            </w:pPr>
            <w:r w:rsidRPr="00F32020">
              <w:rPr>
                <w:sz w:val="20"/>
                <w:szCs w:val="20"/>
              </w:rPr>
              <w:t>(0.0081)</w:t>
            </w:r>
          </w:p>
        </w:tc>
      </w:tr>
      <w:tr w:rsidR="00324915" w:rsidRPr="00F32020" w14:paraId="1C96BF52" w14:textId="77777777" w:rsidTr="00D314EE">
        <w:trPr>
          <w:trHeight w:val="260"/>
        </w:trPr>
        <w:tc>
          <w:tcPr>
            <w:tcW w:w="2492" w:type="pct"/>
            <w:noWrap/>
            <w:vAlign w:val="center"/>
            <w:hideMark/>
          </w:tcPr>
          <w:p w14:paraId="79B696D2" w14:textId="77777777" w:rsidR="00324915" w:rsidRPr="00F32020" w:rsidRDefault="00324915" w:rsidP="00D314EE">
            <w:pPr>
              <w:rPr>
                <w:sz w:val="20"/>
                <w:szCs w:val="20"/>
              </w:rPr>
            </w:pPr>
            <w:r w:rsidRPr="00F32020">
              <w:rPr>
                <w:sz w:val="20"/>
                <w:szCs w:val="20"/>
              </w:rPr>
              <w:t>Non-for-profit type</w:t>
            </w:r>
          </w:p>
        </w:tc>
        <w:tc>
          <w:tcPr>
            <w:tcW w:w="753" w:type="pct"/>
            <w:noWrap/>
            <w:vAlign w:val="bottom"/>
            <w:hideMark/>
          </w:tcPr>
          <w:p w14:paraId="6CC500FB" w14:textId="77777777" w:rsidR="00324915" w:rsidRPr="00F32020" w:rsidRDefault="00324915" w:rsidP="00D314EE">
            <w:pPr>
              <w:jc w:val="center"/>
              <w:rPr>
                <w:sz w:val="20"/>
                <w:szCs w:val="20"/>
              </w:rPr>
            </w:pPr>
            <w:r w:rsidRPr="00F32020">
              <w:rPr>
                <w:sz w:val="20"/>
                <w:szCs w:val="20"/>
              </w:rPr>
              <w:t>0.871</w:t>
            </w:r>
          </w:p>
        </w:tc>
        <w:tc>
          <w:tcPr>
            <w:tcW w:w="501" w:type="pct"/>
            <w:noWrap/>
            <w:vAlign w:val="bottom"/>
            <w:hideMark/>
          </w:tcPr>
          <w:p w14:paraId="5CC37F6A" w14:textId="77777777" w:rsidR="00324915" w:rsidRPr="00F32020" w:rsidRDefault="00324915" w:rsidP="00D314EE">
            <w:pPr>
              <w:jc w:val="center"/>
              <w:rPr>
                <w:sz w:val="20"/>
                <w:szCs w:val="20"/>
              </w:rPr>
            </w:pPr>
            <w:r w:rsidRPr="00F32020">
              <w:rPr>
                <w:sz w:val="20"/>
                <w:szCs w:val="20"/>
              </w:rPr>
              <w:t>0.871</w:t>
            </w:r>
          </w:p>
        </w:tc>
        <w:tc>
          <w:tcPr>
            <w:tcW w:w="627" w:type="pct"/>
            <w:noWrap/>
            <w:vAlign w:val="bottom"/>
            <w:hideMark/>
          </w:tcPr>
          <w:p w14:paraId="52FBE471" w14:textId="77777777" w:rsidR="00324915" w:rsidRPr="00F32020" w:rsidRDefault="00324915" w:rsidP="00D314EE">
            <w:pPr>
              <w:jc w:val="center"/>
              <w:rPr>
                <w:sz w:val="20"/>
                <w:szCs w:val="20"/>
              </w:rPr>
            </w:pPr>
            <w:r w:rsidRPr="00F32020">
              <w:rPr>
                <w:sz w:val="20"/>
                <w:szCs w:val="20"/>
              </w:rPr>
              <w:t>0.870</w:t>
            </w:r>
          </w:p>
        </w:tc>
        <w:tc>
          <w:tcPr>
            <w:tcW w:w="627" w:type="pct"/>
            <w:noWrap/>
            <w:vAlign w:val="bottom"/>
            <w:hideMark/>
          </w:tcPr>
          <w:p w14:paraId="2477A236" w14:textId="77777777" w:rsidR="00324915" w:rsidRPr="00F32020" w:rsidRDefault="00324915" w:rsidP="00D314EE">
            <w:pPr>
              <w:jc w:val="center"/>
              <w:rPr>
                <w:sz w:val="20"/>
                <w:szCs w:val="20"/>
              </w:rPr>
            </w:pPr>
            <w:r w:rsidRPr="00F32020">
              <w:rPr>
                <w:sz w:val="20"/>
                <w:szCs w:val="20"/>
              </w:rPr>
              <w:t>0.871</w:t>
            </w:r>
          </w:p>
        </w:tc>
      </w:tr>
      <w:tr w:rsidR="00324915" w:rsidRPr="00F32020" w14:paraId="08835DA7" w14:textId="77777777" w:rsidTr="00D314EE">
        <w:trPr>
          <w:trHeight w:val="260"/>
        </w:trPr>
        <w:tc>
          <w:tcPr>
            <w:tcW w:w="2492" w:type="pct"/>
            <w:noWrap/>
            <w:vAlign w:val="bottom"/>
            <w:hideMark/>
          </w:tcPr>
          <w:p w14:paraId="5E366E20" w14:textId="77777777" w:rsidR="00324915" w:rsidRPr="00F32020" w:rsidRDefault="00324915" w:rsidP="00D314EE">
            <w:pPr>
              <w:jc w:val="center"/>
              <w:rPr>
                <w:sz w:val="20"/>
                <w:szCs w:val="20"/>
              </w:rPr>
            </w:pPr>
          </w:p>
        </w:tc>
        <w:tc>
          <w:tcPr>
            <w:tcW w:w="753" w:type="pct"/>
            <w:noWrap/>
            <w:vAlign w:val="bottom"/>
            <w:hideMark/>
          </w:tcPr>
          <w:p w14:paraId="692BAA73" w14:textId="77777777" w:rsidR="00324915" w:rsidRPr="00F32020" w:rsidRDefault="00324915" w:rsidP="00D314EE">
            <w:pPr>
              <w:jc w:val="center"/>
              <w:rPr>
                <w:sz w:val="20"/>
                <w:szCs w:val="20"/>
              </w:rPr>
            </w:pPr>
            <w:r w:rsidRPr="00F32020">
              <w:rPr>
                <w:sz w:val="20"/>
                <w:szCs w:val="20"/>
              </w:rPr>
              <w:t>(0.1070)</w:t>
            </w:r>
          </w:p>
        </w:tc>
        <w:tc>
          <w:tcPr>
            <w:tcW w:w="501" w:type="pct"/>
            <w:noWrap/>
            <w:vAlign w:val="bottom"/>
            <w:hideMark/>
          </w:tcPr>
          <w:p w14:paraId="4B36DC09" w14:textId="77777777" w:rsidR="00324915" w:rsidRPr="00F32020" w:rsidRDefault="00324915" w:rsidP="00D314EE">
            <w:pPr>
              <w:jc w:val="center"/>
              <w:rPr>
                <w:sz w:val="20"/>
                <w:szCs w:val="20"/>
              </w:rPr>
            </w:pPr>
            <w:r w:rsidRPr="00F32020">
              <w:rPr>
                <w:sz w:val="20"/>
                <w:szCs w:val="20"/>
              </w:rPr>
              <w:t>(0.1070)</w:t>
            </w:r>
          </w:p>
        </w:tc>
        <w:tc>
          <w:tcPr>
            <w:tcW w:w="627" w:type="pct"/>
            <w:noWrap/>
            <w:vAlign w:val="bottom"/>
            <w:hideMark/>
          </w:tcPr>
          <w:p w14:paraId="12A43271" w14:textId="77777777" w:rsidR="00324915" w:rsidRPr="00F32020" w:rsidRDefault="00324915" w:rsidP="00D314EE">
            <w:pPr>
              <w:jc w:val="center"/>
              <w:rPr>
                <w:sz w:val="20"/>
                <w:szCs w:val="20"/>
              </w:rPr>
            </w:pPr>
            <w:r w:rsidRPr="00F32020">
              <w:rPr>
                <w:sz w:val="20"/>
                <w:szCs w:val="20"/>
              </w:rPr>
              <w:t>(0.1070)</w:t>
            </w:r>
          </w:p>
        </w:tc>
        <w:tc>
          <w:tcPr>
            <w:tcW w:w="627" w:type="pct"/>
            <w:noWrap/>
            <w:vAlign w:val="bottom"/>
            <w:hideMark/>
          </w:tcPr>
          <w:p w14:paraId="402FE57A" w14:textId="77777777" w:rsidR="00324915" w:rsidRPr="00F32020" w:rsidRDefault="00324915" w:rsidP="00D314EE">
            <w:pPr>
              <w:jc w:val="center"/>
              <w:rPr>
                <w:sz w:val="20"/>
                <w:szCs w:val="20"/>
              </w:rPr>
            </w:pPr>
            <w:r w:rsidRPr="00F32020">
              <w:rPr>
                <w:sz w:val="20"/>
                <w:szCs w:val="20"/>
              </w:rPr>
              <w:t>(0.1070)</w:t>
            </w:r>
          </w:p>
        </w:tc>
      </w:tr>
      <w:tr w:rsidR="00324915" w:rsidRPr="00F32020" w14:paraId="63DD8CDF" w14:textId="77777777" w:rsidTr="00D314EE">
        <w:trPr>
          <w:trHeight w:val="260"/>
        </w:trPr>
        <w:tc>
          <w:tcPr>
            <w:tcW w:w="2492" w:type="pct"/>
            <w:noWrap/>
            <w:vAlign w:val="center"/>
            <w:hideMark/>
          </w:tcPr>
          <w:p w14:paraId="32AC8B76" w14:textId="77777777" w:rsidR="00324915" w:rsidRPr="00F32020" w:rsidRDefault="00324915" w:rsidP="00D314EE">
            <w:pPr>
              <w:rPr>
                <w:sz w:val="20"/>
                <w:szCs w:val="20"/>
              </w:rPr>
            </w:pPr>
            <w:r w:rsidRPr="00F32020">
              <w:rPr>
                <w:sz w:val="20"/>
                <w:szCs w:val="20"/>
              </w:rPr>
              <w:t>Social Motives</w:t>
            </w:r>
          </w:p>
        </w:tc>
        <w:tc>
          <w:tcPr>
            <w:tcW w:w="753" w:type="pct"/>
            <w:noWrap/>
            <w:vAlign w:val="bottom"/>
            <w:hideMark/>
          </w:tcPr>
          <w:p w14:paraId="206F05C3" w14:textId="77777777" w:rsidR="00324915" w:rsidRPr="00F32020" w:rsidRDefault="00324915" w:rsidP="00D314EE">
            <w:pPr>
              <w:jc w:val="center"/>
              <w:rPr>
                <w:sz w:val="20"/>
                <w:szCs w:val="20"/>
              </w:rPr>
            </w:pPr>
            <w:r w:rsidRPr="00F32020">
              <w:rPr>
                <w:sz w:val="20"/>
                <w:szCs w:val="20"/>
              </w:rPr>
              <w:t>0.908</w:t>
            </w:r>
          </w:p>
        </w:tc>
        <w:tc>
          <w:tcPr>
            <w:tcW w:w="501" w:type="pct"/>
            <w:noWrap/>
            <w:vAlign w:val="bottom"/>
            <w:hideMark/>
          </w:tcPr>
          <w:p w14:paraId="5E3CBFC9" w14:textId="77777777" w:rsidR="00324915" w:rsidRPr="00F32020" w:rsidRDefault="00324915" w:rsidP="00D314EE">
            <w:pPr>
              <w:jc w:val="center"/>
              <w:rPr>
                <w:sz w:val="20"/>
                <w:szCs w:val="20"/>
              </w:rPr>
            </w:pPr>
            <w:r w:rsidRPr="00F32020">
              <w:rPr>
                <w:sz w:val="20"/>
                <w:szCs w:val="20"/>
              </w:rPr>
              <w:t>0.908</w:t>
            </w:r>
          </w:p>
        </w:tc>
        <w:tc>
          <w:tcPr>
            <w:tcW w:w="627" w:type="pct"/>
            <w:noWrap/>
            <w:vAlign w:val="bottom"/>
            <w:hideMark/>
          </w:tcPr>
          <w:p w14:paraId="5B9679D4" w14:textId="77777777" w:rsidR="00324915" w:rsidRPr="00F32020" w:rsidRDefault="00324915" w:rsidP="00D314EE">
            <w:pPr>
              <w:jc w:val="center"/>
              <w:rPr>
                <w:sz w:val="20"/>
                <w:szCs w:val="20"/>
              </w:rPr>
            </w:pPr>
            <w:r w:rsidRPr="00F32020">
              <w:rPr>
                <w:sz w:val="20"/>
                <w:szCs w:val="20"/>
              </w:rPr>
              <w:t>0.908</w:t>
            </w:r>
          </w:p>
        </w:tc>
        <w:tc>
          <w:tcPr>
            <w:tcW w:w="627" w:type="pct"/>
            <w:noWrap/>
            <w:vAlign w:val="bottom"/>
            <w:hideMark/>
          </w:tcPr>
          <w:p w14:paraId="36CCA4DD" w14:textId="77777777" w:rsidR="00324915" w:rsidRPr="00F32020" w:rsidRDefault="00324915" w:rsidP="00D314EE">
            <w:pPr>
              <w:jc w:val="center"/>
              <w:rPr>
                <w:sz w:val="20"/>
                <w:szCs w:val="20"/>
              </w:rPr>
            </w:pPr>
            <w:r w:rsidRPr="00F32020">
              <w:rPr>
                <w:sz w:val="20"/>
                <w:szCs w:val="20"/>
              </w:rPr>
              <w:t>0.909</w:t>
            </w:r>
          </w:p>
        </w:tc>
      </w:tr>
      <w:tr w:rsidR="00324915" w:rsidRPr="00F32020" w14:paraId="09C218CA" w14:textId="77777777" w:rsidTr="00D314EE">
        <w:trPr>
          <w:trHeight w:val="260"/>
        </w:trPr>
        <w:tc>
          <w:tcPr>
            <w:tcW w:w="2492" w:type="pct"/>
            <w:noWrap/>
            <w:vAlign w:val="center"/>
            <w:hideMark/>
          </w:tcPr>
          <w:p w14:paraId="45723801" w14:textId="77777777" w:rsidR="00324915" w:rsidRPr="00F32020" w:rsidRDefault="00324915" w:rsidP="00D314EE">
            <w:pPr>
              <w:jc w:val="center"/>
              <w:rPr>
                <w:sz w:val="20"/>
                <w:szCs w:val="20"/>
              </w:rPr>
            </w:pPr>
          </w:p>
        </w:tc>
        <w:tc>
          <w:tcPr>
            <w:tcW w:w="753" w:type="pct"/>
            <w:noWrap/>
            <w:vAlign w:val="bottom"/>
            <w:hideMark/>
          </w:tcPr>
          <w:p w14:paraId="49DB54E8" w14:textId="77777777" w:rsidR="00324915" w:rsidRPr="00F32020" w:rsidRDefault="00324915" w:rsidP="00D314EE">
            <w:pPr>
              <w:jc w:val="center"/>
              <w:rPr>
                <w:sz w:val="20"/>
                <w:szCs w:val="20"/>
              </w:rPr>
            </w:pPr>
            <w:r w:rsidRPr="00F32020">
              <w:rPr>
                <w:sz w:val="20"/>
                <w:szCs w:val="20"/>
              </w:rPr>
              <w:t>(0.0960)</w:t>
            </w:r>
          </w:p>
        </w:tc>
        <w:tc>
          <w:tcPr>
            <w:tcW w:w="501" w:type="pct"/>
            <w:noWrap/>
            <w:vAlign w:val="bottom"/>
            <w:hideMark/>
          </w:tcPr>
          <w:p w14:paraId="7E551A40" w14:textId="77777777" w:rsidR="00324915" w:rsidRPr="00F32020" w:rsidRDefault="00324915" w:rsidP="00D314EE">
            <w:pPr>
              <w:jc w:val="center"/>
              <w:rPr>
                <w:sz w:val="20"/>
                <w:szCs w:val="20"/>
              </w:rPr>
            </w:pPr>
            <w:r w:rsidRPr="00F32020">
              <w:rPr>
                <w:sz w:val="20"/>
                <w:szCs w:val="20"/>
              </w:rPr>
              <w:t>(0.0960)</w:t>
            </w:r>
          </w:p>
        </w:tc>
        <w:tc>
          <w:tcPr>
            <w:tcW w:w="627" w:type="pct"/>
            <w:noWrap/>
            <w:vAlign w:val="bottom"/>
            <w:hideMark/>
          </w:tcPr>
          <w:p w14:paraId="21DCFE84" w14:textId="77777777" w:rsidR="00324915" w:rsidRPr="00F32020" w:rsidRDefault="00324915" w:rsidP="00D314EE">
            <w:pPr>
              <w:jc w:val="center"/>
              <w:rPr>
                <w:sz w:val="20"/>
                <w:szCs w:val="20"/>
              </w:rPr>
            </w:pPr>
            <w:r w:rsidRPr="00F32020">
              <w:rPr>
                <w:sz w:val="20"/>
                <w:szCs w:val="20"/>
              </w:rPr>
              <w:t>(0.0960)</w:t>
            </w:r>
          </w:p>
        </w:tc>
        <w:tc>
          <w:tcPr>
            <w:tcW w:w="627" w:type="pct"/>
            <w:noWrap/>
            <w:vAlign w:val="bottom"/>
            <w:hideMark/>
          </w:tcPr>
          <w:p w14:paraId="361CCBC5" w14:textId="77777777" w:rsidR="00324915" w:rsidRPr="00F32020" w:rsidRDefault="00324915" w:rsidP="00D314EE">
            <w:pPr>
              <w:jc w:val="center"/>
              <w:rPr>
                <w:sz w:val="20"/>
                <w:szCs w:val="20"/>
              </w:rPr>
            </w:pPr>
            <w:r w:rsidRPr="00F32020">
              <w:rPr>
                <w:sz w:val="20"/>
                <w:szCs w:val="20"/>
              </w:rPr>
              <w:t>(0.0960)</w:t>
            </w:r>
          </w:p>
        </w:tc>
      </w:tr>
      <w:tr w:rsidR="00324915" w:rsidRPr="00F32020" w14:paraId="7C08D539" w14:textId="77777777" w:rsidTr="00D314EE">
        <w:trPr>
          <w:trHeight w:val="260"/>
        </w:trPr>
        <w:tc>
          <w:tcPr>
            <w:tcW w:w="2492" w:type="pct"/>
            <w:noWrap/>
            <w:vAlign w:val="center"/>
            <w:hideMark/>
          </w:tcPr>
          <w:p w14:paraId="763DB726" w14:textId="77777777" w:rsidR="00324915" w:rsidRPr="00F32020" w:rsidRDefault="00324915" w:rsidP="00D314EE">
            <w:pPr>
              <w:rPr>
                <w:sz w:val="20"/>
                <w:szCs w:val="20"/>
              </w:rPr>
            </w:pPr>
            <w:r w:rsidRPr="00F32020">
              <w:rPr>
                <w:sz w:val="20"/>
                <w:szCs w:val="20"/>
              </w:rPr>
              <w:t>Model invention-based</w:t>
            </w:r>
          </w:p>
        </w:tc>
        <w:tc>
          <w:tcPr>
            <w:tcW w:w="753" w:type="pct"/>
            <w:noWrap/>
            <w:vAlign w:val="bottom"/>
            <w:hideMark/>
          </w:tcPr>
          <w:p w14:paraId="38A82EBB" w14:textId="77777777" w:rsidR="00324915" w:rsidRPr="00F32020" w:rsidRDefault="00324915" w:rsidP="00D314EE">
            <w:pPr>
              <w:jc w:val="center"/>
              <w:rPr>
                <w:sz w:val="20"/>
                <w:szCs w:val="20"/>
              </w:rPr>
            </w:pPr>
            <w:r w:rsidRPr="00F32020">
              <w:rPr>
                <w:sz w:val="20"/>
                <w:szCs w:val="20"/>
              </w:rPr>
              <w:t>1.116*</w:t>
            </w:r>
          </w:p>
        </w:tc>
        <w:tc>
          <w:tcPr>
            <w:tcW w:w="501" w:type="pct"/>
            <w:noWrap/>
            <w:vAlign w:val="bottom"/>
            <w:hideMark/>
          </w:tcPr>
          <w:p w14:paraId="27159493" w14:textId="77777777" w:rsidR="00324915" w:rsidRPr="00F32020" w:rsidRDefault="00324915" w:rsidP="00D314EE">
            <w:pPr>
              <w:jc w:val="center"/>
              <w:rPr>
                <w:sz w:val="20"/>
                <w:szCs w:val="20"/>
              </w:rPr>
            </w:pPr>
            <w:r w:rsidRPr="00F32020">
              <w:rPr>
                <w:sz w:val="20"/>
                <w:szCs w:val="20"/>
              </w:rPr>
              <w:t>1.118*</w:t>
            </w:r>
          </w:p>
        </w:tc>
        <w:tc>
          <w:tcPr>
            <w:tcW w:w="627" w:type="pct"/>
            <w:noWrap/>
            <w:vAlign w:val="bottom"/>
            <w:hideMark/>
          </w:tcPr>
          <w:p w14:paraId="01F1A0AD" w14:textId="77777777" w:rsidR="00324915" w:rsidRPr="00F32020" w:rsidRDefault="00324915" w:rsidP="00D314EE">
            <w:pPr>
              <w:jc w:val="center"/>
              <w:rPr>
                <w:sz w:val="20"/>
                <w:szCs w:val="20"/>
              </w:rPr>
            </w:pPr>
            <w:r w:rsidRPr="00F32020">
              <w:rPr>
                <w:sz w:val="20"/>
                <w:szCs w:val="20"/>
              </w:rPr>
              <w:t>1.116*</w:t>
            </w:r>
          </w:p>
        </w:tc>
        <w:tc>
          <w:tcPr>
            <w:tcW w:w="627" w:type="pct"/>
            <w:noWrap/>
            <w:vAlign w:val="bottom"/>
            <w:hideMark/>
          </w:tcPr>
          <w:p w14:paraId="2DADB516" w14:textId="77777777" w:rsidR="00324915" w:rsidRPr="00F32020" w:rsidRDefault="00324915" w:rsidP="00D314EE">
            <w:pPr>
              <w:jc w:val="center"/>
              <w:rPr>
                <w:sz w:val="20"/>
                <w:szCs w:val="20"/>
              </w:rPr>
            </w:pPr>
            <w:r w:rsidRPr="00F32020">
              <w:rPr>
                <w:sz w:val="20"/>
                <w:szCs w:val="20"/>
              </w:rPr>
              <w:t>1.115</w:t>
            </w:r>
          </w:p>
        </w:tc>
      </w:tr>
      <w:tr w:rsidR="00324915" w:rsidRPr="00F32020" w14:paraId="0251E403" w14:textId="77777777" w:rsidTr="00D314EE">
        <w:trPr>
          <w:trHeight w:val="260"/>
        </w:trPr>
        <w:tc>
          <w:tcPr>
            <w:tcW w:w="2492" w:type="pct"/>
            <w:noWrap/>
            <w:vAlign w:val="center"/>
            <w:hideMark/>
          </w:tcPr>
          <w:p w14:paraId="79E8E071" w14:textId="77777777" w:rsidR="00324915" w:rsidRPr="00F32020" w:rsidRDefault="00324915" w:rsidP="00D314EE">
            <w:pPr>
              <w:jc w:val="center"/>
              <w:rPr>
                <w:sz w:val="20"/>
                <w:szCs w:val="20"/>
              </w:rPr>
            </w:pPr>
          </w:p>
        </w:tc>
        <w:tc>
          <w:tcPr>
            <w:tcW w:w="753" w:type="pct"/>
            <w:noWrap/>
            <w:vAlign w:val="bottom"/>
            <w:hideMark/>
          </w:tcPr>
          <w:p w14:paraId="75F74F40" w14:textId="77777777" w:rsidR="00324915" w:rsidRPr="00F32020" w:rsidRDefault="00324915" w:rsidP="00D314EE">
            <w:pPr>
              <w:jc w:val="center"/>
              <w:rPr>
                <w:sz w:val="20"/>
                <w:szCs w:val="20"/>
              </w:rPr>
            </w:pPr>
            <w:r w:rsidRPr="00F32020">
              <w:rPr>
                <w:sz w:val="20"/>
                <w:szCs w:val="20"/>
              </w:rPr>
              <w:t>(0.0745)</w:t>
            </w:r>
          </w:p>
        </w:tc>
        <w:tc>
          <w:tcPr>
            <w:tcW w:w="501" w:type="pct"/>
            <w:noWrap/>
            <w:vAlign w:val="bottom"/>
            <w:hideMark/>
          </w:tcPr>
          <w:p w14:paraId="2BA8425D" w14:textId="77777777" w:rsidR="00324915" w:rsidRPr="00F32020" w:rsidRDefault="00324915" w:rsidP="00D314EE">
            <w:pPr>
              <w:jc w:val="center"/>
              <w:rPr>
                <w:sz w:val="20"/>
                <w:szCs w:val="20"/>
              </w:rPr>
            </w:pPr>
            <w:r w:rsidRPr="00F32020">
              <w:rPr>
                <w:sz w:val="20"/>
                <w:szCs w:val="20"/>
              </w:rPr>
              <w:t>(0.0746)</w:t>
            </w:r>
          </w:p>
        </w:tc>
        <w:tc>
          <w:tcPr>
            <w:tcW w:w="627" w:type="pct"/>
            <w:noWrap/>
            <w:vAlign w:val="bottom"/>
            <w:hideMark/>
          </w:tcPr>
          <w:p w14:paraId="7106A3DA" w14:textId="77777777" w:rsidR="00324915" w:rsidRPr="00F32020" w:rsidRDefault="00324915" w:rsidP="00D314EE">
            <w:pPr>
              <w:jc w:val="center"/>
              <w:rPr>
                <w:sz w:val="20"/>
                <w:szCs w:val="20"/>
              </w:rPr>
            </w:pPr>
            <w:r w:rsidRPr="00F32020">
              <w:rPr>
                <w:sz w:val="20"/>
                <w:szCs w:val="20"/>
              </w:rPr>
              <w:t>(0.0745)</w:t>
            </w:r>
          </w:p>
        </w:tc>
        <w:tc>
          <w:tcPr>
            <w:tcW w:w="627" w:type="pct"/>
            <w:noWrap/>
            <w:vAlign w:val="bottom"/>
            <w:hideMark/>
          </w:tcPr>
          <w:p w14:paraId="26C8D9A2" w14:textId="77777777" w:rsidR="00324915" w:rsidRPr="00F32020" w:rsidRDefault="00324915" w:rsidP="00D314EE">
            <w:pPr>
              <w:jc w:val="center"/>
              <w:rPr>
                <w:sz w:val="20"/>
                <w:szCs w:val="20"/>
              </w:rPr>
            </w:pPr>
            <w:r w:rsidRPr="00F32020">
              <w:rPr>
                <w:sz w:val="20"/>
                <w:szCs w:val="20"/>
              </w:rPr>
              <w:t>(0.0744)</w:t>
            </w:r>
          </w:p>
        </w:tc>
      </w:tr>
      <w:tr w:rsidR="00324915" w:rsidRPr="00F32020" w14:paraId="2BCBE054" w14:textId="77777777" w:rsidTr="00D314EE">
        <w:trPr>
          <w:trHeight w:val="260"/>
        </w:trPr>
        <w:tc>
          <w:tcPr>
            <w:tcW w:w="2492" w:type="pct"/>
            <w:noWrap/>
            <w:vAlign w:val="center"/>
            <w:hideMark/>
          </w:tcPr>
          <w:p w14:paraId="1AA4F77F" w14:textId="77777777" w:rsidR="00324915" w:rsidRPr="00F32020" w:rsidRDefault="00324915" w:rsidP="00D314EE">
            <w:pPr>
              <w:rPr>
                <w:sz w:val="20"/>
                <w:szCs w:val="20"/>
              </w:rPr>
            </w:pPr>
            <w:r w:rsidRPr="00F32020">
              <w:rPr>
                <w:sz w:val="20"/>
                <w:szCs w:val="20"/>
              </w:rPr>
              <w:t>Intellectual Property</w:t>
            </w:r>
          </w:p>
        </w:tc>
        <w:tc>
          <w:tcPr>
            <w:tcW w:w="753" w:type="pct"/>
            <w:noWrap/>
            <w:vAlign w:val="bottom"/>
            <w:hideMark/>
          </w:tcPr>
          <w:p w14:paraId="45B783A7" w14:textId="77777777" w:rsidR="00324915" w:rsidRPr="00F32020" w:rsidRDefault="00324915" w:rsidP="00D314EE">
            <w:pPr>
              <w:jc w:val="center"/>
              <w:rPr>
                <w:sz w:val="20"/>
                <w:szCs w:val="20"/>
              </w:rPr>
            </w:pPr>
            <w:r w:rsidRPr="00F32020">
              <w:rPr>
                <w:sz w:val="20"/>
                <w:szCs w:val="20"/>
              </w:rPr>
              <w:t>1.010</w:t>
            </w:r>
          </w:p>
        </w:tc>
        <w:tc>
          <w:tcPr>
            <w:tcW w:w="501" w:type="pct"/>
            <w:noWrap/>
            <w:vAlign w:val="bottom"/>
            <w:hideMark/>
          </w:tcPr>
          <w:p w14:paraId="2C427735" w14:textId="77777777" w:rsidR="00324915" w:rsidRPr="00F32020" w:rsidRDefault="00324915" w:rsidP="00D314EE">
            <w:pPr>
              <w:jc w:val="center"/>
              <w:rPr>
                <w:sz w:val="20"/>
                <w:szCs w:val="20"/>
              </w:rPr>
            </w:pPr>
            <w:r w:rsidRPr="00F32020">
              <w:rPr>
                <w:sz w:val="20"/>
                <w:szCs w:val="20"/>
              </w:rPr>
              <w:t>1.009</w:t>
            </w:r>
          </w:p>
        </w:tc>
        <w:tc>
          <w:tcPr>
            <w:tcW w:w="627" w:type="pct"/>
            <w:noWrap/>
            <w:vAlign w:val="bottom"/>
            <w:hideMark/>
          </w:tcPr>
          <w:p w14:paraId="0CE4086B" w14:textId="77777777" w:rsidR="00324915" w:rsidRPr="00F32020" w:rsidRDefault="00324915" w:rsidP="00D314EE">
            <w:pPr>
              <w:jc w:val="center"/>
              <w:rPr>
                <w:sz w:val="20"/>
                <w:szCs w:val="20"/>
              </w:rPr>
            </w:pPr>
            <w:r w:rsidRPr="00F32020">
              <w:rPr>
                <w:sz w:val="20"/>
                <w:szCs w:val="20"/>
              </w:rPr>
              <w:t>1.009</w:t>
            </w:r>
          </w:p>
        </w:tc>
        <w:tc>
          <w:tcPr>
            <w:tcW w:w="627" w:type="pct"/>
            <w:noWrap/>
            <w:vAlign w:val="bottom"/>
            <w:hideMark/>
          </w:tcPr>
          <w:p w14:paraId="2323B462" w14:textId="77777777" w:rsidR="00324915" w:rsidRPr="00F32020" w:rsidRDefault="00324915" w:rsidP="00D314EE">
            <w:pPr>
              <w:jc w:val="center"/>
              <w:rPr>
                <w:sz w:val="20"/>
                <w:szCs w:val="20"/>
              </w:rPr>
            </w:pPr>
            <w:r w:rsidRPr="00F32020">
              <w:rPr>
                <w:sz w:val="20"/>
                <w:szCs w:val="20"/>
              </w:rPr>
              <w:t>1.010</w:t>
            </w:r>
          </w:p>
        </w:tc>
      </w:tr>
      <w:tr w:rsidR="00324915" w:rsidRPr="00F32020" w14:paraId="682EAD40" w14:textId="77777777" w:rsidTr="00D314EE">
        <w:trPr>
          <w:trHeight w:val="260"/>
        </w:trPr>
        <w:tc>
          <w:tcPr>
            <w:tcW w:w="2492" w:type="pct"/>
            <w:noWrap/>
            <w:vAlign w:val="bottom"/>
            <w:hideMark/>
          </w:tcPr>
          <w:p w14:paraId="4769D05B" w14:textId="77777777" w:rsidR="00324915" w:rsidRPr="00F32020" w:rsidRDefault="00324915" w:rsidP="00D314EE">
            <w:pPr>
              <w:jc w:val="center"/>
              <w:rPr>
                <w:sz w:val="20"/>
                <w:szCs w:val="20"/>
              </w:rPr>
            </w:pPr>
          </w:p>
        </w:tc>
        <w:tc>
          <w:tcPr>
            <w:tcW w:w="753" w:type="pct"/>
            <w:noWrap/>
            <w:vAlign w:val="bottom"/>
            <w:hideMark/>
          </w:tcPr>
          <w:p w14:paraId="416B04BB" w14:textId="77777777" w:rsidR="00324915" w:rsidRPr="00F32020" w:rsidRDefault="00324915" w:rsidP="00D314EE">
            <w:pPr>
              <w:jc w:val="center"/>
              <w:rPr>
                <w:sz w:val="20"/>
                <w:szCs w:val="20"/>
              </w:rPr>
            </w:pPr>
            <w:r w:rsidRPr="00F32020">
              <w:rPr>
                <w:sz w:val="20"/>
                <w:szCs w:val="20"/>
              </w:rPr>
              <w:t>(0.0665)</w:t>
            </w:r>
          </w:p>
        </w:tc>
        <w:tc>
          <w:tcPr>
            <w:tcW w:w="501" w:type="pct"/>
            <w:noWrap/>
            <w:vAlign w:val="bottom"/>
            <w:hideMark/>
          </w:tcPr>
          <w:p w14:paraId="41A15353" w14:textId="77777777" w:rsidR="00324915" w:rsidRPr="00F32020" w:rsidRDefault="00324915" w:rsidP="00D314EE">
            <w:pPr>
              <w:jc w:val="center"/>
              <w:rPr>
                <w:sz w:val="20"/>
                <w:szCs w:val="20"/>
              </w:rPr>
            </w:pPr>
            <w:r w:rsidRPr="00F32020">
              <w:rPr>
                <w:sz w:val="20"/>
                <w:szCs w:val="20"/>
              </w:rPr>
              <w:t>(0.0664)</w:t>
            </w:r>
          </w:p>
        </w:tc>
        <w:tc>
          <w:tcPr>
            <w:tcW w:w="627" w:type="pct"/>
            <w:noWrap/>
            <w:vAlign w:val="bottom"/>
            <w:hideMark/>
          </w:tcPr>
          <w:p w14:paraId="65066560" w14:textId="77777777" w:rsidR="00324915" w:rsidRPr="00F32020" w:rsidRDefault="00324915" w:rsidP="00D314EE">
            <w:pPr>
              <w:jc w:val="center"/>
              <w:rPr>
                <w:sz w:val="20"/>
                <w:szCs w:val="20"/>
              </w:rPr>
            </w:pPr>
            <w:r w:rsidRPr="00F32020">
              <w:rPr>
                <w:sz w:val="20"/>
                <w:szCs w:val="20"/>
              </w:rPr>
              <w:t>(0.0665)</w:t>
            </w:r>
          </w:p>
        </w:tc>
        <w:tc>
          <w:tcPr>
            <w:tcW w:w="627" w:type="pct"/>
            <w:noWrap/>
            <w:vAlign w:val="bottom"/>
            <w:hideMark/>
          </w:tcPr>
          <w:p w14:paraId="416C05FE" w14:textId="77777777" w:rsidR="00324915" w:rsidRPr="00F32020" w:rsidRDefault="00324915" w:rsidP="00D314EE">
            <w:pPr>
              <w:jc w:val="center"/>
              <w:rPr>
                <w:sz w:val="20"/>
                <w:szCs w:val="20"/>
              </w:rPr>
            </w:pPr>
            <w:r w:rsidRPr="00F32020">
              <w:rPr>
                <w:sz w:val="20"/>
                <w:szCs w:val="20"/>
              </w:rPr>
              <w:t>(0.0665)</w:t>
            </w:r>
          </w:p>
        </w:tc>
      </w:tr>
      <w:tr w:rsidR="00324915" w:rsidRPr="00F32020" w14:paraId="307D0181" w14:textId="77777777" w:rsidTr="00D314EE">
        <w:trPr>
          <w:trHeight w:val="260"/>
        </w:trPr>
        <w:tc>
          <w:tcPr>
            <w:tcW w:w="2492" w:type="pct"/>
            <w:noWrap/>
            <w:vAlign w:val="bottom"/>
            <w:hideMark/>
          </w:tcPr>
          <w:p w14:paraId="61B95121" w14:textId="77777777" w:rsidR="00324915" w:rsidRPr="00F32020" w:rsidRDefault="00324915" w:rsidP="00D314EE">
            <w:pPr>
              <w:rPr>
                <w:sz w:val="20"/>
                <w:szCs w:val="20"/>
              </w:rPr>
            </w:pPr>
            <w:r w:rsidRPr="00F32020">
              <w:rPr>
                <w:sz w:val="20"/>
                <w:szCs w:val="20"/>
              </w:rPr>
              <w:t>Log (Equity since founded)</w:t>
            </w:r>
          </w:p>
        </w:tc>
        <w:tc>
          <w:tcPr>
            <w:tcW w:w="753" w:type="pct"/>
            <w:noWrap/>
            <w:vAlign w:val="bottom"/>
            <w:hideMark/>
          </w:tcPr>
          <w:p w14:paraId="1D6A59E0" w14:textId="77777777" w:rsidR="00324915" w:rsidRPr="00F32020" w:rsidRDefault="00324915" w:rsidP="00D314EE">
            <w:pPr>
              <w:jc w:val="center"/>
              <w:rPr>
                <w:sz w:val="20"/>
                <w:szCs w:val="20"/>
              </w:rPr>
            </w:pPr>
            <w:r w:rsidRPr="00F32020">
              <w:rPr>
                <w:sz w:val="20"/>
                <w:szCs w:val="20"/>
              </w:rPr>
              <w:t>1.064***</w:t>
            </w:r>
          </w:p>
        </w:tc>
        <w:tc>
          <w:tcPr>
            <w:tcW w:w="501" w:type="pct"/>
            <w:noWrap/>
            <w:vAlign w:val="bottom"/>
            <w:hideMark/>
          </w:tcPr>
          <w:p w14:paraId="140695A8" w14:textId="77777777" w:rsidR="00324915" w:rsidRPr="00F32020" w:rsidRDefault="00324915" w:rsidP="00D314EE">
            <w:pPr>
              <w:jc w:val="center"/>
              <w:rPr>
                <w:sz w:val="20"/>
                <w:szCs w:val="20"/>
              </w:rPr>
            </w:pPr>
            <w:r w:rsidRPr="00F32020">
              <w:rPr>
                <w:sz w:val="20"/>
                <w:szCs w:val="20"/>
              </w:rPr>
              <w:t>1.064***</w:t>
            </w:r>
          </w:p>
        </w:tc>
        <w:tc>
          <w:tcPr>
            <w:tcW w:w="627" w:type="pct"/>
            <w:noWrap/>
            <w:vAlign w:val="bottom"/>
            <w:hideMark/>
          </w:tcPr>
          <w:p w14:paraId="5BA8191C" w14:textId="77777777" w:rsidR="00324915" w:rsidRPr="00F32020" w:rsidRDefault="00324915" w:rsidP="00D314EE">
            <w:pPr>
              <w:jc w:val="center"/>
              <w:rPr>
                <w:sz w:val="20"/>
                <w:szCs w:val="20"/>
              </w:rPr>
            </w:pPr>
            <w:r w:rsidRPr="00F32020">
              <w:rPr>
                <w:sz w:val="20"/>
                <w:szCs w:val="20"/>
              </w:rPr>
              <w:t>1.064***</w:t>
            </w:r>
          </w:p>
        </w:tc>
        <w:tc>
          <w:tcPr>
            <w:tcW w:w="627" w:type="pct"/>
            <w:noWrap/>
            <w:vAlign w:val="bottom"/>
            <w:hideMark/>
          </w:tcPr>
          <w:p w14:paraId="5AD82129" w14:textId="77777777" w:rsidR="00324915" w:rsidRPr="00F32020" w:rsidRDefault="00324915" w:rsidP="00D314EE">
            <w:pPr>
              <w:jc w:val="center"/>
              <w:rPr>
                <w:sz w:val="20"/>
                <w:szCs w:val="20"/>
              </w:rPr>
            </w:pPr>
            <w:r w:rsidRPr="00F32020">
              <w:rPr>
                <w:sz w:val="20"/>
                <w:szCs w:val="20"/>
              </w:rPr>
              <w:t>1.064***</w:t>
            </w:r>
          </w:p>
        </w:tc>
      </w:tr>
      <w:tr w:rsidR="00324915" w:rsidRPr="00F32020" w14:paraId="127A2993" w14:textId="77777777" w:rsidTr="00D314EE">
        <w:trPr>
          <w:trHeight w:val="260"/>
        </w:trPr>
        <w:tc>
          <w:tcPr>
            <w:tcW w:w="2492" w:type="pct"/>
            <w:noWrap/>
            <w:vAlign w:val="bottom"/>
            <w:hideMark/>
          </w:tcPr>
          <w:p w14:paraId="46AF8303" w14:textId="77777777" w:rsidR="00324915" w:rsidRPr="00F32020" w:rsidRDefault="00324915" w:rsidP="00D314EE">
            <w:pPr>
              <w:jc w:val="center"/>
              <w:rPr>
                <w:sz w:val="20"/>
                <w:szCs w:val="20"/>
              </w:rPr>
            </w:pPr>
          </w:p>
        </w:tc>
        <w:tc>
          <w:tcPr>
            <w:tcW w:w="753" w:type="pct"/>
            <w:noWrap/>
            <w:vAlign w:val="bottom"/>
            <w:hideMark/>
          </w:tcPr>
          <w:p w14:paraId="5641D910" w14:textId="77777777" w:rsidR="00324915" w:rsidRPr="00F32020" w:rsidRDefault="00324915" w:rsidP="00D314EE">
            <w:pPr>
              <w:jc w:val="center"/>
              <w:rPr>
                <w:sz w:val="20"/>
                <w:szCs w:val="20"/>
              </w:rPr>
            </w:pPr>
            <w:r w:rsidRPr="00F32020">
              <w:rPr>
                <w:sz w:val="20"/>
                <w:szCs w:val="20"/>
              </w:rPr>
              <w:t>(0.0080)</w:t>
            </w:r>
          </w:p>
        </w:tc>
        <w:tc>
          <w:tcPr>
            <w:tcW w:w="501" w:type="pct"/>
            <w:noWrap/>
            <w:vAlign w:val="bottom"/>
            <w:hideMark/>
          </w:tcPr>
          <w:p w14:paraId="373125E3" w14:textId="77777777" w:rsidR="00324915" w:rsidRPr="00F32020" w:rsidRDefault="00324915" w:rsidP="00D314EE">
            <w:pPr>
              <w:jc w:val="center"/>
              <w:rPr>
                <w:sz w:val="20"/>
                <w:szCs w:val="20"/>
              </w:rPr>
            </w:pPr>
            <w:r w:rsidRPr="00F32020">
              <w:rPr>
                <w:sz w:val="20"/>
                <w:szCs w:val="20"/>
              </w:rPr>
              <w:t>(0.0080)</w:t>
            </w:r>
          </w:p>
        </w:tc>
        <w:tc>
          <w:tcPr>
            <w:tcW w:w="627" w:type="pct"/>
            <w:noWrap/>
            <w:vAlign w:val="bottom"/>
            <w:hideMark/>
          </w:tcPr>
          <w:p w14:paraId="73873E98" w14:textId="77777777" w:rsidR="00324915" w:rsidRPr="00F32020" w:rsidRDefault="00324915" w:rsidP="00D314EE">
            <w:pPr>
              <w:jc w:val="center"/>
              <w:rPr>
                <w:sz w:val="20"/>
                <w:szCs w:val="20"/>
              </w:rPr>
            </w:pPr>
            <w:r w:rsidRPr="00F32020">
              <w:rPr>
                <w:sz w:val="20"/>
                <w:szCs w:val="20"/>
              </w:rPr>
              <w:t>(0.0080)</w:t>
            </w:r>
          </w:p>
        </w:tc>
        <w:tc>
          <w:tcPr>
            <w:tcW w:w="627" w:type="pct"/>
            <w:noWrap/>
            <w:vAlign w:val="bottom"/>
            <w:hideMark/>
          </w:tcPr>
          <w:p w14:paraId="267931D9" w14:textId="77777777" w:rsidR="00324915" w:rsidRPr="00F32020" w:rsidRDefault="00324915" w:rsidP="00D314EE">
            <w:pPr>
              <w:jc w:val="center"/>
              <w:rPr>
                <w:sz w:val="20"/>
                <w:szCs w:val="20"/>
              </w:rPr>
            </w:pPr>
            <w:r w:rsidRPr="00F32020">
              <w:rPr>
                <w:sz w:val="20"/>
                <w:szCs w:val="20"/>
              </w:rPr>
              <w:t>(0.0080)</w:t>
            </w:r>
          </w:p>
        </w:tc>
      </w:tr>
      <w:tr w:rsidR="00324915" w:rsidRPr="00F32020" w14:paraId="78E6C1CF" w14:textId="77777777" w:rsidTr="00D314EE">
        <w:trPr>
          <w:trHeight w:val="260"/>
        </w:trPr>
        <w:tc>
          <w:tcPr>
            <w:tcW w:w="2492" w:type="pct"/>
            <w:noWrap/>
            <w:vAlign w:val="center"/>
            <w:hideMark/>
          </w:tcPr>
          <w:p w14:paraId="7399BAC6" w14:textId="77777777" w:rsidR="00324915" w:rsidRPr="00F32020" w:rsidRDefault="00324915" w:rsidP="00D314EE">
            <w:pPr>
              <w:rPr>
                <w:sz w:val="20"/>
                <w:szCs w:val="20"/>
              </w:rPr>
            </w:pPr>
            <w:r w:rsidRPr="00F32020">
              <w:rPr>
                <w:sz w:val="20"/>
                <w:szCs w:val="20"/>
              </w:rPr>
              <w:t>Reported prior accelerator</w:t>
            </w:r>
          </w:p>
        </w:tc>
        <w:tc>
          <w:tcPr>
            <w:tcW w:w="753" w:type="pct"/>
            <w:noWrap/>
            <w:vAlign w:val="bottom"/>
            <w:hideMark/>
          </w:tcPr>
          <w:p w14:paraId="6B9F3DFB" w14:textId="77777777" w:rsidR="00324915" w:rsidRPr="00F32020" w:rsidRDefault="00324915" w:rsidP="00D314EE">
            <w:pPr>
              <w:jc w:val="center"/>
              <w:rPr>
                <w:sz w:val="20"/>
                <w:szCs w:val="20"/>
              </w:rPr>
            </w:pPr>
            <w:r w:rsidRPr="00F32020">
              <w:rPr>
                <w:sz w:val="20"/>
                <w:szCs w:val="20"/>
              </w:rPr>
              <w:t>1.261***</w:t>
            </w:r>
          </w:p>
        </w:tc>
        <w:tc>
          <w:tcPr>
            <w:tcW w:w="501" w:type="pct"/>
            <w:noWrap/>
            <w:vAlign w:val="bottom"/>
            <w:hideMark/>
          </w:tcPr>
          <w:p w14:paraId="5719B05B" w14:textId="77777777" w:rsidR="00324915" w:rsidRPr="00F32020" w:rsidRDefault="00324915" w:rsidP="00D314EE">
            <w:pPr>
              <w:jc w:val="center"/>
              <w:rPr>
                <w:sz w:val="20"/>
                <w:szCs w:val="20"/>
              </w:rPr>
            </w:pPr>
            <w:r w:rsidRPr="00F32020">
              <w:rPr>
                <w:sz w:val="20"/>
                <w:szCs w:val="20"/>
              </w:rPr>
              <w:t>1.264***</w:t>
            </w:r>
          </w:p>
        </w:tc>
        <w:tc>
          <w:tcPr>
            <w:tcW w:w="627" w:type="pct"/>
            <w:noWrap/>
            <w:vAlign w:val="bottom"/>
            <w:hideMark/>
          </w:tcPr>
          <w:p w14:paraId="0F8F7BBD" w14:textId="77777777" w:rsidR="00324915" w:rsidRPr="00F32020" w:rsidRDefault="00324915" w:rsidP="00D314EE">
            <w:pPr>
              <w:jc w:val="center"/>
              <w:rPr>
                <w:sz w:val="20"/>
                <w:szCs w:val="20"/>
              </w:rPr>
            </w:pPr>
            <w:r w:rsidRPr="00F32020">
              <w:rPr>
                <w:sz w:val="20"/>
                <w:szCs w:val="20"/>
              </w:rPr>
              <w:t>1.261***</w:t>
            </w:r>
          </w:p>
        </w:tc>
        <w:tc>
          <w:tcPr>
            <w:tcW w:w="627" w:type="pct"/>
            <w:noWrap/>
            <w:vAlign w:val="bottom"/>
            <w:hideMark/>
          </w:tcPr>
          <w:p w14:paraId="0E8AABA0" w14:textId="77777777" w:rsidR="00324915" w:rsidRPr="00F32020" w:rsidRDefault="00324915" w:rsidP="00D314EE">
            <w:pPr>
              <w:jc w:val="center"/>
              <w:rPr>
                <w:sz w:val="20"/>
                <w:szCs w:val="20"/>
              </w:rPr>
            </w:pPr>
            <w:r w:rsidRPr="00F32020">
              <w:rPr>
                <w:sz w:val="20"/>
                <w:szCs w:val="20"/>
              </w:rPr>
              <w:t>1.261***</w:t>
            </w:r>
          </w:p>
        </w:tc>
      </w:tr>
      <w:tr w:rsidR="00324915" w:rsidRPr="00F32020" w14:paraId="5631D2C8" w14:textId="77777777" w:rsidTr="00D314EE">
        <w:trPr>
          <w:trHeight w:val="260"/>
        </w:trPr>
        <w:tc>
          <w:tcPr>
            <w:tcW w:w="2492" w:type="pct"/>
            <w:noWrap/>
            <w:vAlign w:val="bottom"/>
            <w:hideMark/>
          </w:tcPr>
          <w:p w14:paraId="47A6143D" w14:textId="77777777" w:rsidR="00324915" w:rsidRPr="00F32020" w:rsidRDefault="00324915" w:rsidP="00D314EE">
            <w:pPr>
              <w:jc w:val="center"/>
              <w:rPr>
                <w:sz w:val="20"/>
                <w:szCs w:val="20"/>
              </w:rPr>
            </w:pPr>
          </w:p>
        </w:tc>
        <w:tc>
          <w:tcPr>
            <w:tcW w:w="753" w:type="pct"/>
            <w:noWrap/>
            <w:vAlign w:val="bottom"/>
            <w:hideMark/>
          </w:tcPr>
          <w:p w14:paraId="496353AF" w14:textId="77777777" w:rsidR="00324915" w:rsidRPr="00F32020" w:rsidRDefault="00324915" w:rsidP="00D314EE">
            <w:pPr>
              <w:jc w:val="center"/>
              <w:rPr>
                <w:sz w:val="20"/>
                <w:szCs w:val="20"/>
              </w:rPr>
            </w:pPr>
            <w:r w:rsidRPr="00F32020">
              <w:rPr>
                <w:sz w:val="20"/>
                <w:szCs w:val="20"/>
              </w:rPr>
              <w:t>(0.0850)</w:t>
            </w:r>
          </w:p>
        </w:tc>
        <w:tc>
          <w:tcPr>
            <w:tcW w:w="501" w:type="pct"/>
            <w:noWrap/>
            <w:vAlign w:val="bottom"/>
            <w:hideMark/>
          </w:tcPr>
          <w:p w14:paraId="028E2D28" w14:textId="77777777" w:rsidR="00324915" w:rsidRPr="00F32020" w:rsidRDefault="00324915" w:rsidP="00D314EE">
            <w:pPr>
              <w:jc w:val="center"/>
              <w:rPr>
                <w:sz w:val="20"/>
                <w:szCs w:val="20"/>
              </w:rPr>
            </w:pPr>
            <w:r w:rsidRPr="00F32020">
              <w:rPr>
                <w:sz w:val="20"/>
                <w:szCs w:val="20"/>
              </w:rPr>
              <w:t>(0.0853)</w:t>
            </w:r>
          </w:p>
        </w:tc>
        <w:tc>
          <w:tcPr>
            <w:tcW w:w="627" w:type="pct"/>
            <w:noWrap/>
            <w:vAlign w:val="bottom"/>
            <w:hideMark/>
          </w:tcPr>
          <w:p w14:paraId="2366FD13" w14:textId="77777777" w:rsidR="00324915" w:rsidRPr="00F32020" w:rsidRDefault="00324915" w:rsidP="00D314EE">
            <w:pPr>
              <w:jc w:val="center"/>
              <w:rPr>
                <w:sz w:val="20"/>
                <w:szCs w:val="20"/>
              </w:rPr>
            </w:pPr>
            <w:r w:rsidRPr="00F32020">
              <w:rPr>
                <w:sz w:val="20"/>
                <w:szCs w:val="20"/>
              </w:rPr>
              <w:t>(0.0851)</w:t>
            </w:r>
          </w:p>
        </w:tc>
        <w:tc>
          <w:tcPr>
            <w:tcW w:w="627" w:type="pct"/>
            <w:noWrap/>
            <w:vAlign w:val="bottom"/>
            <w:hideMark/>
          </w:tcPr>
          <w:p w14:paraId="41077575" w14:textId="77777777" w:rsidR="00324915" w:rsidRPr="00F32020" w:rsidRDefault="00324915" w:rsidP="00D314EE">
            <w:pPr>
              <w:jc w:val="center"/>
              <w:rPr>
                <w:sz w:val="20"/>
                <w:szCs w:val="20"/>
              </w:rPr>
            </w:pPr>
            <w:r w:rsidRPr="00F32020">
              <w:rPr>
                <w:sz w:val="20"/>
                <w:szCs w:val="20"/>
              </w:rPr>
              <w:t>(0.0850)</w:t>
            </w:r>
          </w:p>
        </w:tc>
      </w:tr>
      <w:tr w:rsidR="00324915" w:rsidRPr="00F32020" w14:paraId="097E4399" w14:textId="77777777" w:rsidTr="00D314EE">
        <w:trPr>
          <w:trHeight w:val="260"/>
        </w:trPr>
        <w:tc>
          <w:tcPr>
            <w:tcW w:w="2492" w:type="pct"/>
            <w:noWrap/>
            <w:vAlign w:val="center"/>
            <w:hideMark/>
          </w:tcPr>
          <w:p w14:paraId="50703539" w14:textId="77777777" w:rsidR="00324915" w:rsidRPr="00F32020" w:rsidRDefault="00324915" w:rsidP="00D314EE">
            <w:pPr>
              <w:rPr>
                <w:sz w:val="20"/>
                <w:szCs w:val="20"/>
              </w:rPr>
            </w:pPr>
            <w:r w:rsidRPr="00F32020">
              <w:rPr>
                <w:sz w:val="20"/>
                <w:szCs w:val="20"/>
              </w:rPr>
              <w:t>Founders’ founding experience</w:t>
            </w:r>
          </w:p>
        </w:tc>
        <w:tc>
          <w:tcPr>
            <w:tcW w:w="753" w:type="pct"/>
            <w:noWrap/>
            <w:vAlign w:val="bottom"/>
            <w:hideMark/>
          </w:tcPr>
          <w:p w14:paraId="7BB69B21" w14:textId="77777777" w:rsidR="00324915" w:rsidRPr="00F32020" w:rsidRDefault="00324915" w:rsidP="00D314EE">
            <w:pPr>
              <w:jc w:val="center"/>
              <w:rPr>
                <w:sz w:val="20"/>
                <w:szCs w:val="20"/>
              </w:rPr>
            </w:pPr>
            <w:r w:rsidRPr="00F32020">
              <w:rPr>
                <w:sz w:val="20"/>
                <w:szCs w:val="20"/>
              </w:rPr>
              <w:t>0.945</w:t>
            </w:r>
          </w:p>
        </w:tc>
        <w:tc>
          <w:tcPr>
            <w:tcW w:w="501" w:type="pct"/>
            <w:noWrap/>
            <w:vAlign w:val="bottom"/>
            <w:hideMark/>
          </w:tcPr>
          <w:p w14:paraId="276A2F82" w14:textId="77777777" w:rsidR="00324915" w:rsidRPr="00F32020" w:rsidRDefault="00324915" w:rsidP="00D314EE">
            <w:pPr>
              <w:jc w:val="center"/>
              <w:rPr>
                <w:sz w:val="20"/>
                <w:szCs w:val="20"/>
              </w:rPr>
            </w:pPr>
            <w:r w:rsidRPr="00F32020">
              <w:rPr>
                <w:sz w:val="20"/>
                <w:szCs w:val="20"/>
              </w:rPr>
              <w:t>0.943</w:t>
            </w:r>
          </w:p>
        </w:tc>
        <w:tc>
          <w:tcPr>
            <w:tcW w:w="627" w:type="pct"/>
            <w:noWrap/>
            <w:vAlign w:val="bottom"/>
            <w:hideMark/>
          </w:tcPr>
          <w:p w14:paraId="2FAD6512" w14:textId="77777777" w:rsidR="00324915" w:rsidRPr="00F32020" w:rsidRDefault="00324915" w:rsidP="00D314EE">
            <w:pPr>
              <w:jc w:val="center"/>
              <w:rPr>
                <w:sz w:val="20"/>
                <w:szCs w:val="20"/>
              </w:rPr>
            </w:pPr>
            <w:r w:rsidRPr="00F32020">
              <w:rPr>
                <w:sz w:val="20"/>
                <w:szCs w:val="20"/>
              </w:rPr>
              <w:t>0.944</w:t>
            </w:r>
          </w:p>
        </w:tc>
        <w:tc>
          <w:tcPr>
            <w:tcW w:w="627" w:type="pct"/>
            <w:noWrap/>
            <w:vAlign w:val="bottom"/>
            <w:hideMark/>
          </w:tcPr>
          <w:p w14:paraId="2A0B2B06" w14:textId="77777777" w:rsidR="00324915" w:rsidRPr="00F32020" w:rsidRDefault="00324915" w:rsidP="00D314EE">
            <w:pPr>
              <w:jc w:val="center"/>
              <w:rPr>
                <w:sz w:val="20"/>
                <w:szCs w:val="20"/>
              </w:rPr>
            </w:pPr>
            <w:r w:rsidRPr="00F32020">
              <w:rPr>
                <w:sz w:val="20"/>
                <w:szCs w:val="20"/>
              </w:rPr>
              <w:t>0.943</w:t>
            </w:r>
          </w:p>
        </w:tc>
      </w:tr>
      <w:tr w:rsidR="00324915" w:rsidRPr="00F32020" w14:paraId="04D97AFD" w14:textId="77777777" w:rsidTr="00D314EE">
        <w:trPr>
          <w:trHeight w:val="260"/>
        </w:trPr>
        <w:tc>
          <w:tcPr>
            <w:tcW w:w="2492" w:type="pct"/>
            <w:noWrap/>
            <w:vAlign w:val="center"/>
            <w:hideMark/>
          </w:tcPr>
          <w:p w14:paraId="4BF403D2" w14:textId="77777777" w:rsidR="00324915" w:rsidRPr="00F32020" w:rsidRDefault="00324915" w:rsidP="00D314EE">
            <w:pPr>
              <w:jc w:val="center"/>
              <w:rPr>
                <w:sz w:val="20"/>
                <w:szCs w:val="20"/>
              </w:rPr>
            </w:pPr>
          </w:p>
        </w:tc>
        <w:tc>
          <w:tcPr>
            <w:tcW w:w="753" w:type="pct"/>
            <w:noWrap/>
            <w:vAlign w:val="bottom"/>
            <w:hideMark/>
          </w:tcPr>
          <w:p w14:paraId="6B4374D1" w14:textId="77777777" w:rsidR="00324915" w:rsidRPr="00F32020" w:rsidRDefault="00324915" w:rsidP="00D314EE">
            <w:pPr>
              <w:jc w:val="center"/>
              <w:rPr>
                <w:sz w:val="20"/>
                <w:szCs w:val="20"/>
              </w:rPr>
            </w:pPr>
            <w:r w:rsidRPr="00F32020">
              <w:rPr>
                <w:sz w:val="20"/>
                <w:szCs w:val="20"/>
              </w:rPr>
              <w:t>(0.0681)</w:t>
            </w:r>
          </w:p>
        </w:tc>
        <w:tc>
          <w:tcPr>
            <w:tcW w:w="501" w:type="pct"/>
            <w:noWrap/>
            <w:vAlign w:val="bottom"/>
            <w:hideMark/>
          </w:tcPr>
          <w:p w14:paraId="15E5547D" w14:textId="77777777" w:rsidR="00324915" w:rsidRPr="00F32020" w:rsidRDefault="00324915" w:rsidP="00D314EE">
            <w:pPr>
              <w:jc w:val="center"/>
              <w:rPr>
                <w:sz w:val="20"/>
                <w:szCs w:val="20"/>
              </w:rPr>
            </w:pPr>
            <w:r w:rsidRPr="00F32020">
              <w:rPr>
                <w:sz w:val="20"/>
                <w:szCs w:val="20"/>
              </w:rPr>
              <w:t>(0.0647)</w:t>
            </w:r>
          </w:p>
        </w:tc>
        <w:tc>
          <w:tcPr>
            <w:tcW w:w="627" w:type="pct"/>
            <w:noWrap/>
            <w:vAlign w:val="bottom"/>
            <w:hideMark/>
          </w:tcPr>
          <w:p w14:paraId="19E6FBE1" w14:textId="77777777" w:rsidR="00324915" w:rsidRPr="00F32020" w:rsidRDefault="00324915" w:rsidP="00D314EE">
            <w:pPr>
              <w:jc w:val="center"/>
              <w:rPr>
                <w:sz w:val="20"/>
                <w:szCs w:val="20"/>
              </w:rPr>
            </w:pPr>
            <w:r w:rsidRPr="00F32020">
              <w:rPr>
                <w:sz w:val="20"/>
                <w:szCs w:val="20"/>
              </w:rPr>
              <w:t>(0.0648)</w:t>
            </w:r>
          </w:p>
        </w:tc>
        <w:tc>
          <w:tcPr>
            <w:tcW w:w="627" w:type="pct"/>
            <w:noWrap/>
            <w:vAlign w:val="bottom"/>
            <w:hideMark/>
          </w:tcPr>
          <w:p w14:paraId="4D59B09E" w14:textId="77777777" w:rsidR="00324915" w:rsidRPr="00F32020" w:rsidRDefault="00324915" w:rsidP="00D314EE">
            <w:pPr>
              <w:jc w:val="center"/>
              <w:rPr>
                <w:sz w:val="20"/>
                <w:szCs w:val="20"/>
              </w:rPr>
            </w:pPr>
            <w:r w:rsidRPr="00F32020">
              <w:rPr>
                <w:sz w:val="20"/>
                <w:szCs w:val="20"/>
              </w:rPr>
              <w:t>(0.0647)</w:t>
            </w:r>
          </w:p>
        </w:tc>
      </w:tr>
      <w:tr w:rsidR="00324915" w:rsidRPr="00F32020" w14:paraId="6EAFC4EC" w14:textId="77777777" w:rsidTr="00D314EE">
        <w:trPr>
          <w:trHeight w:val="260"/>
        </w:trPr>
        <w:tc>
          <w:tcPr>
            <w:tcW w:w="2492" w:type="pct"/>
            <w:noWrap/>
            <w:vAlign w:val="center"/>
            <w:hideMark/>
          </w:tcPr>
          <w:p w14:paraId="264FEA5E" w14:textId="77777777" w:rsidR="00324915" w:rsidRPr="00F32020" w:rsidRDefault="00324915" w:rsidP="00D314EE">
            <w:pPr>
              <w:rPr>
                <w:sz w:val="20"/>
                <w:szCs w:val="20"/>
              </w:rPr>
            </w:pPr>
            <w:r w:rsidRPr="00F32020">
              <w:rPr>
                <w:sz w:val="20"/>
                <w:szCs w:val="20"/>
              </w:rPr>
              <w:t>Founders’ education</w:t>
            </w:r>
          </w:p>
        </w:tc>
        <w:tc>
          <w:tcPr>
            <w:tcW w:w="753" w:type="pct"/>
            <w:noWrap/>
            <w:vAlign w:val="bottom"/>
            <w:hideMark/>
          </w:tcPr>
          <w:p w14:paraId="62DEE34D" w14:textId="77777777" w:rsidR="00324915" w:rsidRPr="00F32020" w:rsidRDefault="00324915" w:rsidP="00D314EE">
            <w:pPr>
              <w:jc w:val="center"/>
              <w:rPr>
                <w:sz w:val="20"/>
                <w:szCs w:val="20"/>
              </w:rPr>
            </w:pPr>
            <w:r w:rsidRPr="00F32020">
              <w:rPr>
                <w:sz w:val="20"/>
                <w:szCs w:val="20"/>
              </w:rPr>
              <w:t>1.173***</w:t>
            </w:r>
          </w:p>
        </w:tc>
        <w:tc>
          <w:tcPr>
            <w:tcW w:w="501" w:type="pct"/>
            <w:noWrap/>
            <w:vAlign w:val="bottom"/>
            <w:hideMark/>
          </w:tcPr>
          <w:p w14:paraId="1BC2E1EF" w14:textId="77777777" w:rsidR="00324915" w:rsidRPr="00F32020" w:rsidRDefault="00324915" w:rsidP="00D314EE">
            <w:pPr>
              <w:jc w:val="center"/>
              <w:rPr>
                <w:sz w:val="20"/>
                <w:szCs w:val="20"/>
              </w:rPr>
            </w:pPr>
            <w:r w:rsidRPr="00F32020">
              <w:rPr>
                <w:sz w:val="20"/>
                <w:szCs w:val="20"/>
              </w:rPr>
              <w:t>1.194***</w:t>
            </w:r>
          </w:p>
        </w:tc>
        <w:tc>
          <w:tcPr>
            <w:tcW w:w="627" w:type="pct"/>
            <w:noWrap/>
            <w:vAlign w:val="bottom"/>
            <w:hideMark/>
          </w:tcPr>
          <w:p w14:paraId="1E6242F3" w14:textId="77777777" w:rsidR="00324915" w:rsidRPr="00F32020" w:rsidRDefault="00324915" w:rsidP="00D314EE">
            <w:pPr>
              <w:jc w:val="center"/>
              <w:rPr>
                <w:sz w:val="20"/>
                <w:szCs w:val="20"/>
              </w:rPr>
            </w:pPr>
            <w:r w:rsidRPr="00F32020">
              <w:rPr>
                <w:sz w:val="20"/>
                <w:szCs w:val="20"/>
              </w:rPr>
              <w:t>1.173***</w:t>
            </w:r>
          </w:p>
        </w:tc>
        <w:tc>
          <w:tcPr>
            <w:tcW w:w="627" w:type="pct"/>
            <w:noWrap/>
            <w:vAlign w:val="bottom"/>
            <w:hideMark/>
          </w:tcPr>
          <w:p w14:paraId="3AAF35CD" w14:textId="77777777" w:rsidR="00324915" w:rsidRPr="00F32020" w:rsidRDefault="00324915" w:rsidP="00D314EE">
            <w:pPr>
              <w:jc w:val="center"/>
              <w:rPr>
                <w:sz w:val="20"/>
                <w:szCs w:val="20"/>
              </w:rPr>
            </w:pPr>
            <w:r w:rsidRPr="00F32020">
              <w:rPr>
                <w:sz w:val="20"/>
                <w:szCs w:val="20"/>
              </w:rPr>
              <w:t>1.172***</w:t>
            </w:r>
          </w:p>
        </w:tc>
      </w:tr>
      <w:tr w:rsidR="00324915" w:rsidRPr="00F32020" w14:paraId="1CF13C25" w14:textId="77777777" w:rsidTr="00D314EE">
        <w:trPr>
          <w:trHeight w:val="260"/>
        </w:trPr>
        <w:tc>
          <w:tcPr>
            <w:tcW w:w="2492" w:type="pct"/>
            <w:noWrap/>
            <w:vAlign w:val="bottom"/>
            <w:hideMark/>
          </w:tcPr>
          <w:p w14:paraId="68228E90" w14:textId="77777777" w:rsidR="00324915" w:rsidRPr="00F32020" w:rsidRDefault="00324915" w:rsidP="00D314EE">
            <w:pPr>
              <w:jc w:val="center"/>
              <w:rPr>
                <w:sz w:val="20"/>
                <w:szCs w:val="20"/>
              </w:rPr>
            </w:pPr>
          </w:p>
        </w:tc>
        <w:tc>
          <w:tcPr>
            <w:tcW w:w="753" w:type="pct"/>
            <w:noWrap/>
            <w:vAlign w:val="bottom"/>
            <w:hideMark/>
          </w:tcPr>
          <w:p w14:paraId="10C41BD5" w14:textId="77777777" w:rsidR="00324915" w:rsidRPr="00F32020" w:rsidRDefault="00324915" w:rsidP="00D314EE">
            <w:pPr>
              <w:jc w:val="center"/>
              <w:rPr>
                <w:sz w:val="20"/>
                <w:szCs w:val="20"/>
              </w:rPr>
            </w:pPr>
            <w:r w:rsidRPr="00F32020">
              <w:rPr>
                <w:sz w:val="20"/>
                <w:szCs w:val="20"/>
              </w:rPr>
              <w:t>(0.0483)</w:t>
            </w:r>
          </w:p>
        </w:tc>
        <w:tc>
          <w:tcPr>
            <w:tcW w:w="501" w:type="pct"/>
            <w:noWrap/>
            <w:vAlign w:val="bottom"/>
            <w:hideMark/>
          </w:tcPr>
          <w:p w14:paraId="4E6C74F9" w14:textId="77777777" w:rsidR="00324915" w:rsidRPr="00F32020" w:rsidRDefault="00324915" w:rsidP="00D314EE">
            <w:pPr>
              <w:jc w:val="center"/>
              <w:rPr>
                <w:sz w:val="20"/>
                <w:szCs w:val="20"/>
              </w:rPr>
            </w:pPr>
            <w:r w:rsidRPr="00F32020">
              <w:rPr>
                <w:sz w:val="20"/>
                <w:szCs w:val="20"/>
              </w:rPr>
              <w:t>(0.0526)</w:t>
            </w:r>
          </w:p>
        </w:tc>
        <w:tc>
          <w:tcPr>
            <w:tcW w:w="627" w:type="pct"/>
            <w:noWrap/>
            <w:vAlign w:val="bottom"/>
            <w:hideMark/>
          </w:tcPr>
          <w:p w14:paraId="31D04FF2" w14:textId="77777777" w:rsidR="00324915" w:rsidRPr="00F32020" w:rsidRDefault="00324915" w:rsidP="00D314EE">
            <w:pPr>
              <w:jc w:val="center"/>
              <w:rPr>
                <w:sz w:val="20"/>
                <w:szCs w:val="20"/>
              </w:rPr>
            </w:pPr>
            <w:r w:rsidRPr="00F32020">
              <w:rPr>
                <w:sz w:val="20"/>
                <w:szCs w:val="20"/>
              </w:rPr>
              <w:t>(0.0483)</w:t>
            </w:r>
          </w:p>
        </w:tc>
        <w:tc>
          <w:tcPr>
            <w:tcW w:w="627" w:type="pct"/>
            <w:noWrap/>
            <w:vAlign w:val="bottom"/>
            <w:hideMark/>
          </w:tcPr>
          <w:p w14:paraId="1F97C870" w14:textId="77777777" w:rsidR="00324915" w:rsidRPr="00F32020" w:rsidRDefault="00324915" w:rsidP="00D314EE">
            <w:pPr>
              <w:jc w:val="center"/>
              <w:rPr>
                <w:sz w:val="20"/>
                <w:szCs w:val="20"/>
              </w:rPr>
            </w:pPr>
            <w:r w:rsidRPr="00F32020">
              <w:rPr>
                <w:sz w:val="20"/>
                <w:szCs w:val="20"/>
              </w:rPr>
              <w:t>(0.0483)</w:t>
            </w:r>
          </w:p>
        </w:tc>
      </w:tr>
      <w:tr w:rsidR="00324915" w:rsidRPr="00F32020" w14:paraId="0BD031FB" w14:textId="77777777" w:rsidTr="00D314EE">
        <w:trPr>
          <w:trHeight w:val="260"/>
        </w:trPr>
        <w:tc>
          <w:tcPr>
            <w:tcW w:w="2492" w:type="pct"/>
            <w:noWrap/>
            <w:vAlign w:val="center"/>
            <w:hideMark/>
          </w:tcPr>
          <w:p w14:paraId="6D9D078B" w14:textId="77777777" w:rsidR="00324915" w:rsidRPr="00F32020" w:rsidRDefault="00324915" w:rsidP="00D314EE">
            <w:pPr>
              <w:rPr>
                <w:sz w:val="20"/>
                <w:szCs w:val="20"/>
              </w:rPr>
            </w:pPr>
            <w:r w:rsidRPr="00F32020">
              <w:rPr>
                <w:sz w:val="20"/>
                <w:szCs w:val="20"/>
              </w:rPr>
              <w:t>Founders’ age</w:t>
            </w:r>
          </w:p>
        </w:tc>
        <w:tc>
          <w:tcPr>
            <w:tcW w:w="753" w:type="pct"/>
            <w:noWrap/>
            <w:vAlign w:val="bottom"/>
            <w:hideMark/>
          </w:tcPr>
          <w:p w14:paraId="3C3750DD" w14:textId="77777777" w:rsidR="00324915" w:rsidRPr="00F32020" w:rsidRDefault="00324915" w:rsidP="00D314EE">
            <w:pPr>
              <w:jc w:val="center"/>
              <w:rPr>
                <w:sz w:val="20"/>
                <w:szCs w:val="20"/>
              </w:rPr>
            </w:pPr>
            <w:r w:rsidRPr="00F32020">
              <w:rPr>
                <w:sz w:val="20"/>
                <w:szCs w:val="20"/>
              </w:rPr>
              <w:t>0.989***</w:t>
            </w:r>
          </w:p>
        </w:tc>
        <w:tc>
          <w:tcPr>
            <w:tcW w:w="501" w:type="pct"/>
            <w:noWrap/>
            <w:vAlign w:val="bottom"/>
            <w:hideMark/>
          </w:tcPr>
          <w:p w14:paraId="31260162" w14:textId="77777777" w:rsidR="00324915" w:rsidRPr="00F32020" w:rsidRDefault="00324915" w:rsidP="00D314EE">
            <w:pPr>
              <w:jc w:val="center"/>
              <w:rPr>
                <w:sz w:val="20"/>
                <w:szCs w:val="20"/>
              </w:rPr>
            </w:pPr>
            <w:r w:rsidRPr="00F32020">
              <w:rPr>
                <w:sz w:val="20"/>
                <w:szCs w:val="20"/>
              </w:rPr>
              <w:t>0.989***</w:t>
            </w:r>
          </w:p>
        </w:tc>
        <w:tc>
          <w:tcPr>
            <w:tcW w:w="627" w:type="pct"/>
            <w:noWrap/>
            <w:vAlign w:val="bottom"/>
            <w:hideMark/>
          </w:tcPr>
          <w:p w14:paraId="1A0FD0F0" w14:textId="77777777" w:rsidR="00324915" w:rsidRPr="00F32020" w:rsidRDefault="00324915" w:rsidP="00D314EE">
            <w:pPr>
              <w:jc w:val="center"/>
              <w:rPr>
                <w:sz w:val="20"/>
                <w:szCs w:val="20"/>
              </w:rPr>
            </w:pPr>
            <w:r w:rsidRPr="00F32020">
              <w:rPr>
                <w:sz w:val="20"/>
                <w:szCs w:val="20"/>
              </w:rPr>
              <w:t>0.989***</w:t>
            </w:r>
          </w:p>
        </w:tc>
        <w:tc>
          <w:tcPr>
            <w:tcW w:w="627" w:type="pct"/>
            <w:noWrap/>
            <w:vAlign w:val="bottom"/>
            <w:hideMark/>
          </w:tcPr>
          <w:p w14:paraId="6BCF53D6" w14:textId="77777777" w:rsidR="00324915" w:rsidRPr="00F32020" w:rsidRDefault="00324915" w:rsidP="00D314EE">
            <w:pPr>
              <w:jc w:val="center"/>
              <w:rPr>
                <w:sz w:val="20"/>
                <w:szCs w:val="20"/>
              </w:rPr>
            </w:pPr>
            <w:r w:rsidRPr="00F32020">
              <w:rPr>
                <w:sz w:val="20"/>
                <w:szCs w:val="20"/>
              </w:rPr>
              <w:t>0.989***</w:t>
            </w:r>
          </w:p>
        </w:tc>
      </w:tr>
      <w:tr w:rsidR="00324915" w:rsidRPr="00F32020" w14:paraId="37B05938" w14:textId="77777777" w:rsidTr="00D314EE">
        <w:trPr>
          <w:trHeight w:val="260"/>
        </w:trPr>
        <w:tc>
          <w:tcPr>
            <w:tcW w:w="2492" w:type="pct"/>
            <w:noWrap/>
            <w:vAlign w:val="center"/>
            <w:hideMark/>
          </w:tcPr>
          <w:p w14:paraId="4D1A19C3" w14:textId="77777777" w:rsidR="00324915" w:rsidRPr="00F32020" w:rsidRDefault="00324915" w:rsidP="00D314EE">
            <w:pPr>
              <w:jc w:val="center"/>
              <w:rPr>
                <w:sz w:val="20"/>
                <w:szCs w:val="20"/>
              </w:rPr>
            </w:pPr>
          </w:p>
        </w:tc>
        <w:tc>
          <w:tcPr>
            <w:tcW w:w="753" w:type="pct"/>
            <w:noWrap/>
            <w:vAlign w:val="bottom"/>
            <w:hideMark/>
          </w:tcPr>
          <w:p w14:paraId="7D5B34CA" w14:textId="77777777" w:rsidR="00324915" w:rsidRPr="00F32020" w:rsidRDefault="00324915" w:rsidP="00D314EE">
            <w:pPr>
              <w:jc w:val="center"/>
              <w:rPr>
                <w:sz w:val="20"/>
                <w:szCs w:val="20"/>
              </w:rPr>
            </w:pPr>
            <w:r w:rsidRPr="00F32020">
              <w:rPr>
                <w:sz w:val="20"/>
                <w:szCs w:val="20"/>
              </w:rPr>
              <w:t>(0.0037)</w:t>
            </w:r>
          </w:p>
        </w:tc>
        <w:tc>
          <w:tcPr>
            <w:tcW w:w="501" w:type="pct"/>
            <w:noWrap/>
            <w:vAlign w:val="bottom"/>
            <w:hideMark/>
          </w:tcPr>
          <w:p w14:paraId="2F051941" w14:textId="77777777" w:rsidR="00324915" w:rsidRPr="00F32020" w:rsidRDefault="00324915" w:rsidP="00D314EE">
            <w:pPr>
              <w:jc w:val="center"/>
              <w:rPr>
                <w:sz w:val="20"/>
                <w:szCs w:val="20"/>
              </w:rPr>
            </w:pPr>
            <w:r w:rsidRPr="00F32020">
              <w:rPr>
                <w:sz w:val="20"/>
                <w:szCs w:val="20"/>
              </w:rPr>
              <w:t>(0.0037)</w:t>
            </w:r>
          </w:p>
        </w:tc>
        <w:tc>
          <w:tcPr>
            <w:tcW w:w="627" w:type="pct"/>
            <w:noWrap/>
            <w:vAlign w:val="bottom"/>
            <w:hideMark/>
          </w:tcPr>
          <w:p w14:paraId="71A68D6E" w14:textId="77777777" w:rsidR="00324915" w:rsidRPr="00F32020" w:rsidRDefault="00324915" w:rsidP="00D314EE">
            <w:pPr>
              <w:jc w:val="center"/>
              <w:rPr>
                <w:sz w:val="20"/>
                <w:szCs w:val="20"/>
              </w:rPr>
            </w:pPr>
            <w:r w:rsidRPr="00F32020">
              <w:rPr>
                <w:sz w:val="20"/>
                <w:szCs w:val="20"/>
              </w:rPr>
              <w:t>(0.0039)</w:t>
            </w:r>
          </w:p>
        </w:tc>
        <w:tc>
          <w:tcPr>
            <w:tcW w:w="627" w:type="pct"/>
            <w:noWrap/>
            <w:vAlign w:val="bottom"/>
            <w:hideMark/>
          </w:tcPr>
          <w:p w14:paraId="1D8CA55B" w14:textId="77777777" w:rsidR="00324915" w:rsidRPr="00F32020" w:rsidRDefault="00324915" w:rsidP="00D314EE">
            <w:pPr>
              <w:jc w:val="center"/>
              <w:rPr>
                <w:sz w:val="20"/>
                <w:szCs w:val="20"/>
              </w:rPr>
            </w:pPr>
            <w:r w:rsidRPr="00F32020">
              <w:rPr>
                <w:sz w:val="20"/>
                <w:szCs w:val="20"/>
              </w:rPr>
              <w:t>(0.0037)</w:t>
            </w:r>
          </w:p>
        </w:tc>
      </w:tr>
      <w:tr w:rsidR="00324915" w:rsidRPr="00F32020" w14:paraId="23777914" w14:textId="77777777" w:rsidTr="00D314EE">
        <w:trPr>
          <w:trHeight w:val="260"/>
        </w:trPr>
        <w:tc>
          <w:tcPr>
            <w:tcW w:w="2492" w:type="pct"/>
            <w:noWrap/>
            <w:vAlign w:val="bottom"/>
            <w:hideMark/>
          </w:tcPr>
          <w:p w14:paraId="035B85ED" w14:textId="77777777" w:rsidR="00324915" w:rsidRPr="00F32020" w:rsidRDefault="00324915" w:rsidP="00D314EE">
            <w:pPr>
              <w:rPr>
                <w:sz w:val="20"/>
                <w:szCs w:val="20"/>
              </w:rPr>
            </w:pPr>
            <w:r w:rsidRPr="00F32020">
              <w:rPr>
                <w:sz w:val="20"/>
                <w:szCs w:val="20"/>
              </w:rPr>
              <w:t>% of females in founding team</w:t>
            </w:r>
          </w:p>
        </w:tc>
        <w:tc>
          <w:tcPr>
            <w:tcW w:w="753" w:type="pct"/>
            <w:noWrap/>
            <w:vAlign w:val="bottom"/>
            <w:hideMark/>
          </w:tcPr>
          <w:p w14:paraId="692D7AA2" w14:textId="77777777" w:rsidR="00324915" w:rsidRPr="00F32020" w:rsidRDefault="00324915" w:rsidP="00D314EE">
            <w:pPr>
              <w:jc w:val="center"/>
              <w:rPr>
                <w:sz w:val="20"/>
                <w:szCs w:val="20"/>
              </w:rPr>
            </w:pPr>
            <w:r w:rsidRPr="00F32020">
              <w:rPr>
                <w:sz w:val="20"/>
                <w:szCs w:val="20"/>
              </w:rPr>
              <w:t>1.278***</w:t>
            </w:r>
          </w:p>
        </w:tc>
        <w:tc>
          <w:tcPr>
            <w:tcW w:w="501" w:type="pct"/>
            <w:noWrap/>
            <w:vAlign w:val="bottom"/>
            <w:hideMark/>
          </w:tcPr>
          <w:p w14:paraId="10C69922" w14:textId="77777777" w:rsidR="00324915" w:rsidRPr="00F32020" w:rsidRDefault="00324915" w:rsidP="00D314EE">
            <w:pPr>
              <w:jc w:val="center"/>
              <w:rPr>
                <w:sz w:val="20"/>
                <w:szCs w:val="20"/>
              </w:rPr>
            </w:pPr>
            <w:r w:rsidRPr="00F32020">
              <w:rPr>
                <w:sz w:val="20"/>
                <w:szCs w:val="20"/>
              </w:rPr>
              <w:t>1.273***</w:t>
            </w:r>
          </w:p>
        </w:tc>
        <w:tc>
          <w:tcPr>
            <w:tcW w:w="627" w:type="pct"/>
            <w:noWrap/>
            <w:vAlign w:val="bottom"/>
            <w:hideMark/>
          </w:tcPr>
          <w:p w14:paraId="2DED5FA1" w14:textId="77777777" w:rsidR="00324915" w:rsidRPr="00F32020" w:rsidRDefault="00324915" w:rsidP="00D314EE">
            <w:pPr>
              <w:jc w:val="center"/>
              <w:rPr>
                <w:sz w:val="20"/>
                <w:szCs w:val="20"/>
              </w:rPr>
            </w:pPr>
            <w:r w:rsidRPr="00F32020">
              <w:rPr>
                <w:sz w:val="20"/>
                <w:szCs w:val="20"/>
              </w:rPr>
              <w:t>1.278***</w:t>
            </w:r>
          </w:p>
        </w:tc>
        <w:tc>
          <w:tcPr>
            <w:tcW w:w="627" w:type="pct"/>
            <w:noWrap/>
            <w:vAlign w:val="bottom"/>
            <w:hideMark/>
          </w:tcPr>
          <w:p w14:paraId="067A78C3" w14:textId="77777777" w:rsidR="00324915" w:rsidRPr="00F32020" w:rsidRDefault="00324915" w:rsidP="00D314EE">
            <w:pPr>
              <w:jc w:val="center"/>
              <w:rPr>
                <w:sz w:val="20"/>
                <w:szCs w:val="20"/>
              </w:rPr>
            </w:pPr>
            <w:r w:rsidRPr="00F32020">
              <w:rPr>
                <w:sz w:val="20"/>
                <w:szCs w:val="20"/>
              </w:rPr>
              <w:t>1.311***</w:t>
            </w:r>
          </w:p>
        </w:tc>
      </w:tr>
      <w:tr w:rsidR="00324915" w:rsidRPr="00F32020" w14:paraId="69ED2CFC" w14:textId="77777777" w:rsidTr="00D314EE">
        <w:trPr>
          <w:trHeight w:val="260"/>
        </w:trPr>
        <w:tc>
          <w:tcPr>
            <w:tcW w:w="2492" w:type="pct"/>
            <w:noWrap/>
            <w:vAlign w:val="bottom"/>
            <w:hideMark/>
          </w:tcPr>
          <w:p w14:paraId="396CBC7F" w14:textId="77777777" w:rsidR="00324915" w:rsidRPr="00F32020" w:rsidRDefault="00324915" w:rsidP="00D314EE">
            <w:pPr>
              <w:jc w:val="center"/>
              <w:rPr>
                <w:sz w:val="20"/>
                <w:szCs w:val="20"/>
              </w:rPr>
            </w:pPr>
          </w:p>
        </w:tc>
        <w:tc>
          <w:tcPr>
            <w:tcW w:w="753" w:type="pct"/>
            <w:noWrap/>
            <w:vAlign w:val="bottom"/>
            <w:hideMark/>
          </w:tcPr>
          <w:p w14:paraId="1B8831E0" w14:textId="77777777" w:rsidR="00324915" w:rsidRPr="00F32020" w:rsidRDefault="00324915" w:rsidP="00D314EE">
            <w:pPr>
              <w:jc w:val="center"/>
              <w:rPr>
                <w:sz w:val="20"/>
                <w:szCs w:val="20"/>
              </w:rPr>
            </w:pPr>
            <w:r w:rsidRPr="00F32020">
              <w:rPr>
                <w:sz w:val="20"/>
                <w:szCs w:val="20"/>
              </w:rPr>
              <w:t>(0.1140)</w:t>
            </w:r>
          </w:p>
        </w:tc>
        <w:tc>
          <w:tcPr>
            <w:tcW w:w="501" w:type="pct"/>
            <w:noWrap/>
            <w:vAlign w:val="bottom"/>
            <w:hideMark/>
          </w:tcPr>
          <w:p w14:paraId="52EE1AC4" w14:textId="77777777" w:rsidR="00324915" w:rsidRPr="00F32020" w:rsidRDefault="00324915" w:rsidP="00D314EE">
            <w:pPr>
              <w:jc w:val="center"/>
              <w:rPr>
                <w:sz w:val="20"/>
                <w:szCs w:val="20"/>
              </w:rPr>
            </w:pPr>
            <w:r w:rsidRPr="00F32020">
              <w:rPr>
                <w:sz w:val="20"/>
                <w:szCs w:val="20"/>
              </w:rPr>
              <w:t>(0.1140)</w:t>
            </w:r>
          </w:p>
        </w:tc>
        <w:tc>
          <w:tcPr>
            <w:tcW w:w="627" w:type="pct"/>
            <w:noWrap/>
            <w:vAlign w:val="bottom"/>
            <w:hideMark/>
          </w:tcPr>
          <w:p w14:paraId="1385BA7B" w14:textId="77777777" w:rsidR="00324915" w:rsidRPr="00F32020" w:rsidRDefault="00324915" w:rsidP="00D314EE">
            <w:pPr>
              <w:jc w:val="center"/>
              <w:rPr>
                <w:sz w:val="20"/>
                <w:szCs w:val="20"/>
              </w:rPr>
            </w:pPr>
            <w:r w:rsidRPr="00F32020">
              <w:rPr>
                <w:sz w:val="20"/>
                <w:szCs w:val="20"/>
              </w:rPr>
              <w:t>(0.1140)</w:t>
            </w:r>
          </w:p>
        </w:tc>
        <w:tc>
          <w:tcPr>
            <w:tcW w:w="627" w:type="pct"/>
            <w:noWrap/>
            <w:vAlign w:val="bottom"/>
            <w:hideMark/>
          </w:tcPr>
          <w:p w14:paraId="0C4FBC08" w14:textId="77777777" w:rsidR="00324915" w:rsidRPr="00F32020" w:rsidRDefault="00324915" w:rsidP="00D314EE">
            <w:pPr>
              <w:jc w:val="center"/>
              <w:rPr>
                <w:sz w:val="20"/>
                <w:szCs w:val="20"/>
              </w:rPr>
            </w:pPr>
            <w:r w:rsidRPr="00F32020">
              <w:rPr>
                <w:sz w:val="20"/>
                <w:szCs w:val="20"/>
              </w:rPr>
              <w:t>(0.1220)</w:t>
            </w:r>
          </w:p>
        </w:tc>
      </w:tr>
      <w:tr w:rsidR="00324915" w:rsidRPr="00F32020" w14:paraId="640088B1" w14:textId="77777777" w:rsidTr="00D314EE">
        <w:trPr>
          <w:trHeight w:val="260"/>
        </w:trPr>
        <w:tc>
          <w:tcPr>
            <w:tcW w:w="2492" w:type="pct"/>
            <w:noWrap/>
            <w:vAlign w:val="bottom"/>
            <w:hideMark/>
          </w:tcPr>
          <w:p w14:paraId="4AE3B496" w14:textId="77777777" w:rsidR="00324915" w:rsidRPr="00F32020" w:rsidRDefault="00324915" w:rsidP="00D314EE">
            <w:pPr>
              <w:rPr>
                <w:sz w:val="20"/>
                <w:szCs w:val="20"/>
              </w:rPr>
            </w:pPr>
            <w:r w:rsidRPr="00F32020">
              <w:rPr>
                <w:sz w:val="20"/>
                <w:szCs w:val="20"/>
              </w:rPr>
              <w:t>Cultural Diversity x Founders’ founding experience</w:t>
            </w:r>
          </w:p>
        </w:tc>
        <w:tc>
          <w:tcPr>
            <w:tcW w:w="753" w:type="pct"/>
            <w:noWrap/>
            <w:vAlign w:val="bottom"/>
            <w:hideMark/>
          </w:tcPr>
          <w:p w14:paraId="1C93ADB2" w14:textId="77777777" w:rsidR="00324915" w:rsidRPr="00F32020" w:rsidRDefault="00324915" w:rsidP="00D314EE">
            <w:pPr>
              <w:jc w:val="center"/>
              <w:rPr>
                <w:sz w:val="20"/>
                <w:szCs w:val="20"/>
              </w:rPr>
            </w:pPr>
            <w:r w:rsidRPr="00F32020">
              <w:rPr>
                <w:sz w:val="20"/>
                <w:szCs w:val="20"/>
              </w:rPr>
              <w:t>0.997</w:t>
            </w:r>
          </w:p>
        </w:tc>
        <w:tc>
          <w:tcPr>
            <w:tcW w:w="501" w:type="pct"/>
            <w:noWrap/>
            <w:vAlign w:val="bottom"/>
            <w:hideMark/>
          </w:tcPr>
          <w:p w14:paraId="687B38EA" w14:textId="77777777" w:rsidR="00324915" w:rsidRPr="00F32020" w:rsidRDefault="00324915" w:rsidP="00D314EE">
            <w:pPr>
              <w:jc w:val="center"/>
              <w:rPr>
                <w:sz w:val="20"/>
                <w:szCs w:val="20"/>
              </w:rPr>
            </w:pPr>
          </w:p>
        </w:tc>
        <w:tc>
          <w:tcPr>
            <w:tcW w:w="627" w:type="pct"/>
            <w:noWrap/>
            <w:vAlign w:val="bottom"/>
            <w:hideMark/>
          </w:tcPr>
          <w:p w14:paraId="5A434C23" w14:textId="77777777" w:rsidR="00324915" w:rsidRPr="00F32020" w:rsidRDefault="00324915" w:rsidP="00D314EE">
            <w:pPr>
              <w:jc w:val="center"/>
              <w:rPr>
                <w:sz w:val="20"/>
                <w:szCs w:val="20"/>
              </w:rPr>
            </w:pPr>
          </w:p>
        </w:tc>
        <w:tc>
          <w:tcPr>
            <w:tcW w:w="627" w:type="pct"/>
            <w:noWrap/>
            <w:vAlign w:val="bottom"/>
            <w:hideMark/>
          </w:tcPr>
          <w:p w14:paraId="62CCC077" w14:textId="77777777" w:rsidR="00324915" w:rsidRPr="00F32020" w:rsidRDefault="00324915" w:rsidP="00D314EE">
            <w:pPr>
              <w:jc w:val="center"/>
              <w:rPr>
                <w:sz w:val="20"/>
                <w:szCs w:val="20"/>
              </w:rPr>
            </w:pPr>
          </w:p>
        </w:tc>
      </w:tr>
      <w:tr w:rsidR="00324915" w:rsidRPr="00F32020" w14:paraId="443215B3" w14:textId="77777777" w:rsidTr="00D314EE">
        <w:trPr>
          <w:trHeight w:val="260"/>
        </w:trPr>
        <w:tc>
          <w:tcPr>
            <w:tcW w:w="2492" w:type="pct"/>
            <w:noWrap/>
            <w:vAlign w:val="bottom"/>
            <w:hideMark/>
          </w:tcPr>
          <w:p w14:paraId="0388EAFC" w14:textId="77777777" w:rsidR="00324915" w:rsidRPr="00F32020" w:rsidRDefault="00324915" w:rsidP="00D314EE">
            <w:pPr>
              <w:jc w:val="center"/>
              <w:rPr>
                <w:sz w:val="20"/>
                <w:szCs w:val="20"/>
              </w:rPr>
            </w:pPr>
          </w:p>
        </w:tc>
        <w:tc>
          <w:tcPr>
            <w:tcW w:w="753" w:type="pct"/>
            <w:noWrap/>
            <w:vAlign w:val="bottom"/>
            <w:hideMark/>
          </w:tcPr>
          <w:p w14:paraId="36AB829D" w14:textId="77777777" w:rsidR="00324915" w:rsidRPr="00F32020" w:rsidRDefault="00324915" w:rsidP="00D314EE">
            <w:pPr>
              <w:jc w:val="center"/>
              <w:rPr>
                <w:sz w:val="20"/>
                <w:szCs w:val="20"/>
              </w:rPr>
            </w:pPr>
            <w:r w:rsidRPr="00F32020">
              <w:rPr>
                <w:sz w:val="20"/>
                <w:szCs w:val="20"/>
              </w:rPr>
              <w:t>(0.0681)</w:t>
            </w:r>
          </w:p>
        </w:tc>
        <w:tc>
          <w:tcPr>
            <w:tcW w:w="501" w:type="pct"/>
            <w:noWrap/>
            <w:vAlign w:val="bottom"/>
            <w:hideMark/>
          </w:tcPr>
          <w:p w14:paraId="6CBE9C4C" w14:textId="77777777" w:rsidR="00324915" w:rsidRPr="00F32020" w:rsidRDefault="00324915" w:rsidP="00D314EE">
            <w:pPr>
              <w:jc w:val="center"/>
              <w:rPr>
                <w:sz w:val="20"/>
                <w:szCs w:val="20"/>
              </w:rPr>
            </w:pPr>
          </w:p>
        </w:tc>
        <w:tc>
          <w:tcPr>
            <w:tcW w:w="627" w:type="pct"/>
            <w:noWrap/>
            <w:vAlign w:val="bottom"/>
            <w:hideMark/>
          </w:tcPr>
          <w:p w14:paraId="677EF296" w14:textId="77777777" w:rsidR="00324915" w:rsidRPr="00F32020" w:rsidRDefault="00324915" w:rsidP="00D314EE">
            <w:pPr>
              <w:jc w:val="center"/>
              <w:rPr>
                <w:sz w:val="20"/>
                <w:szCs w:val="20"/>
              </w:rPr>
            </w:pPr>
          </w:p>
        </w:tc>
        <w:tc>
          <w:tcPr>
            <w:tcW w:w="627" w:type="pct"/>
            <w:noWrap/>
            <w:vAlign w:val="bottom"/>
            <w:hideMark/>
          </w:tcPr>
          <w:p w14:paraId="0C2D62C0" w14:textId="77777777" w:rsidR="00324915" w:rsidRPr="00F32020" w:rsidRDefault="00324915" w:rsidP="00D314EE">
            <w:pPr>
              <w:jc w:val="center"/>
              <w:rPr>
                <w:sz w:val="20"/>
                <w:szCs w:val="20"/>
              </w:rPr>
            </w:pPr>
          </w:p>
        </w:tc>
      </w:tr>
      <w:tr w:rsidR="00324915" w:rsidRPr="00F32020" w14:paraId="1724CE02" w14:textId="77777777" w:rsidTr="00D314EE">
        <w:trPr>
          <w:trHeight w:val="260"/>
        </w:trPr>
        <w:tc>
          <w:tcPr>
            <w:tcW w:w="2492" w:type="pct"/>
            <w:noWrap/>
            <w:vAlign w:val="bottom"/>
            <w:hideMark/>
          </w:tcPr>
          <w:p w14:paraId="50774579" w14:textId="77777777" w:rsidR="00324915" w:rsidRPr="00F32020" w:rsidRDefault="00324915" w:rsidP="00D314EE">
            <w:pPr>
              <w:rPr>
                <w:sz w:val="20"/>
                <w:szCs w:val="20"/>
              </w:rPr>
            </w:pPr>
            <w:r w:rsidRPr="00F32020">
              <w:rPr>
                <w:sz w:val="20"/>
                <w:szCs w:val="20"/>
              </w:rPr>
              <w:t>Cultural Diversity x Founders’ education</w:t>
            </w:r>
          </w:p>
        </w:tc>
        <w:tc>
          <w:tcPr>
            <w:tcW w:w="753" w:type="pct"/>
            <w:noWrap/>
            <w:vAlign w:val="bottom"/>
            <w:hideMark/>
          </w:tcPr>
          <w:p w14:paraId="0AB11DCF" w14:textId="77777777" w:rsidR="00324915" w:rsidRPr="00F32020" w:rsidRDefault="00324915" w:rsidP="00D314EE">
            <w:pPr>
              <w:rPr>
                <w:sz w:val="20"/>
                <w:szCs w:val="20"/>
              </w:rPr>
            </w:pPr>
          </w:p>
        </w:tc>
        <w:tc>
          <w:tcPr>
            <w:tcW w:w="501" w:type="pct"/>
            <w:noWrap/>
            <w:vAlign w:val="bottom"/>
            <w:hideMark/>
          </w:tcPr>
          <w:p w14:paraId="47D1426D" w14:textId="77777777" w:rsidR="00324915" w:rsidRPr="00F32020" w:rsidRDefault="00324915" w:rsidP="00D314EE">
            <w:pPr>
              <w:jc w:val="center"/>
              <w:rPr>
                <w:sz w:val="20"/>
                <w:szCs w:val="20"/>
              </w:rPr>
            </w:pPr>
            <w:r w:rsidRPr="00F32020">
              <w:rPr>
                <w:sz w:val="20"/>
                <w:szCs w:val="20"/>
              </w:rPr>
              <w:t>0.963</w:t>
            </w:r>
          </w:p>
        </w:tc>
        <w:tc>
          <w:tcPr>
            <w:tcW w:w="627" w:type="pct"/>
            <w:noWrap/>
            <w:vAlign w:val="bottom"/>
            <w:hideMark/>
          </w:tcPr>
          <w:p w14:paraId="41EE1A3A" w14:textId="77777777" w:rsidR="00324915" w:rsidRPr="00F32020" w:rsidRDefault="00324915" w:rsidP="00D314EE">
            <w:pPr>
              <w:jc w:val="center"/>
              <w:rPr>
                <w:sz w:val="20"/>
                <w:szCs w:val="20"/>
              </w:rPr>
            </w:pPr>
          </w:p>
        </w:tc>
        <w:tc>
          <w:tcPr>
            <w:tcW w:w="627" w:type="pct"/>
            <w:noWrap/>
            <w:vAlign w:val="bottom"/>
            <w:hideMark/>
          </w:tcPr>
          <w:p w14:paraId="6670F99C" w14:textId="77777777" w:rsidR="00324915" w:rsidRPr="00F32020" w:rsidRDefault="00324915" w:rsidP="00D314EE">
            <w:pPr>
              <w:jc w:val="center"/>
              <w:rPr>
                <w:sz w:val="20"/>
                <w:szCs w:val="20"/>
              </w:rPr>
            </w:pPr>
          </w:p>
        </w:tc>
      </w:tr>
      <w:tr w:rsidR="00324915" w:rsidRPr="00F32020" w14:paraId="6C5864A9" w14:textId="77777777" w:rsidTr="00D314EE">
        <w:trPr>
          <w:trHeight w:val="260"/>
        </w:trPr>
        <w:tc>
          <w:tcPr>
            <w:tcW w:w="2492" w:type="pct"/>
            <w:noWrap/>
            <w:vAlign w:val="bottom"/>
            <w:hideMark/>
          </w:tcPr>
          <w:p w14:paraId="79FFF19F" w14:textId="77777777" w:rsidR="00324915" w:rsidRPr="00F32020" w:rsidRDefault="00324915" w:rsidP="00D314EE">
            <w:pPr>
              <w:jc w:val="center"/>
              <w:rPr>
                <w:sz w:val="20"/>
                <w:szCs w:val="20"/>
              </w:rPr>
            </w:pPr>
          </w:p>
        </w:tc>
        <w:tc>
          <w:tcPr>
            <w:tcW w:w="753" w:type="pct"/>
            <w:noWrap/>
            <w:vAlign w:val="bottom"/>
            <w:hideMark/>
          </w:tcPr>
          <w:p w14:paraId="6AE56B3A" w14:textId="77777777" w:rsidR="00324915" w:rsidRPr="00F32020" w:rsidRDefault="00324915" w:rsidP="00D314EE">
            <w:pPr>
              <w:rPr>
                <w:sz w:val="20"/>
                <w:szCs w:val="20"/>
              </w:rPr>
            </w:pPr>
          </w:p>
        </w:tc>
        <w:tc>
          <w:tcPr>
            <w:tcW w:w="501" w:type="pct"/>
            <w:noWrap/>
            <w:vAlign w:val="bottom"/>
            <w:hideMark/>
          </w:tcPr>
          <w:p w14:paraId="7E4F83AE" w14:textId="77777777" w:rsidR="00324915" w:rsidRPr="00F32020" w:rsidRDefault="00324915" w:rsidP="00D314EE">
            <w:pPr>
              <w:jc w:val="center"/>
              <w:rPr>
                <w:sz w:val="20"/>
                <w:szCs w:val="20"/>
              </w:rPr>
            </w:pPr>
            <w:r w:rsidRPr="00F32020">
              <w:rPr>
                <w:sz w:val="20"/>
                <w:szCs w:val="20"/>
              </w:rPr>
              <w:t>(0.0320)</w:t>
            </w:r>
          </w:p>
        </w:tc>
        <w:tc>
          <w:tcPr>
            <w:tcW w:w="627" w:type="pct"/>
            <w:noWrap/>
            <w:vAlign w:val="bottom"/>
            <w:hideMark/>
          </w:tcPr>
          <w:p w14:paraId="4B7BB4E7" w14:textId="77777777" w:rsidR="00324915" w:rsidRPr="00F32020" w:rsidRDefault="00324915" w:rsidP="00D314EE">
            <w:pPr>
              <w:jc w:val="center"/>
              <w:rPr>
                <w:sz w:val="20"/>
                <w:szCs w:val="20"/>
              </w:rPr>
            </w:pPr>
          </w:p>
        </w:tc>
        <w:tc>
          <w:tcPr>
            <w:tcW w:w="627" w:type="pct"/>
            <w:noWrap/>
            <w:vAlign w:val="bottom"/>
            <w:hideMark/>
          </w:tcPr>
          <w:p w14:paraId="63D7E426" w14:textId="77777777" w:rsidR="00324915" w:rsidRPr="00F32020" w:rsidRDefault="00324915" w:rsidP="00D314EE">
            <w:pPr>
              <w:jc w:val="center"/>
              <w:rPr>
                <w:sz w:val="20"/>
                <w:szCs w:val="20"/>
              </w:rPr>
            </w:pPr>
          </w:p>
        </w:tc>
      </w:tr>
      <w:tr w:rsidR="00324915" w:rsidRPr="00F32020" w14:paraId="77F570F2" w14:textId="77777777" w:rsidTr="00D314EE">
        <w:trPr>
          <w:trHeight w:val="260"/>
        </w:trPr>
        <w:tc>
          <w:tcPr>
            <w:tcW w:w="2492" w:type="pct"/>
            <w:noWrap/>
            <w:vAlign w:val="bottom"/>
            <w:hideMark/>
          </w:tcPr>
          <w:p w14:paraId="161AA5F4" w14:textId="77777777" w:rsidR="00324915" w:rsidRPr="00F32020" w:rsidRDefault="00324915" w:rsidP="00D314EE">
            <w:pPr>
              <w:rPr>
                <w:sz w:val="20"/>
                <w:szCs w:val="20"/>
              </w:rPr>
            </w:pPr>
            <w:r w:rsidRPr="00F32020">
              <w:rPr>
                <w:sz w:val="20"/>
                <w:szCs w:val="20"/>
              </w:rPr>
              <w:t>Cultural Diversity x Founders’ age</w:t>
            </w:r>
          </w:p>
        </w:tc>
        <w:tc>
          <w:tcPr>
            <w:tcW w:w="753" w:type="pct"/>
            <w:noWrap/>
            <w:vAlign w:val="bottom"/>
            <w:hideMark/>
          </w:tcPr>
          <w:p w14:paraId="175D2D2D" w14:textId="77777777" w:rsidR="00324915" w:rsidRPr="00F32020" w:rsidRDefault="00324915" w:rsidP="00D314EE">
            <w:pPr>
              <w:rPr>
                <w:sz w:val="20"/>
                <w:szCs w:val="20"/>
              </w:rPr>
            </w:pPr>
          </w:p>
        </w:tc>
        <w:tc>
          <w:tcPr>
            <w:tcW w:w="501" w:type="pct"/>
            <w:noWrap/>
            <w:vAlign w:val="bottom"/>
            <w:hideMark/>
          </w:tcPr>
          <w:p w14:paraId="6C9ADF47" w14:textId="77777777" w:rsidR="00324915" w:rsidRPr="00F32020" w:rsidRDefault="00324915" w:rsidP="00D314EE">
            <w:pPr>
              <w:jc w:val="center"/>
              <w:rPr>
                <w:sz w:val="20"/>
                <w:szCs w:val="20"/>
              </w:rPr>
            </w:pPr>
          </w:p>
        </w:tc>
        <w:tc>
          <w:tcPr>
            <w:tcW w:w="627" w:type="pct"/>
            <w:noWrap/>
            <w:vAlign w:val="bottom"/>
            <w:hideMark/>
          </w:tcPr>
          <w:p w14:paraId="0C748F06" w14:textId="77777777" w:rsidR="00324915" w:rsidRPr="00F32020" w:rsidRDefault="00324915" w:rsidP="00D314EE">
            <w:pPr>
              <w:jc w:val="center"/>
              <w:rPr>
                <w:sz w:val="20"/>
                <w:szCs w:val="20"/>
              </w:rPr>
            </w:pPr>
            <w:r w:rsidRPr="00F32020">
              <w:rPr>
                <w:sz w:val="20"/>
                <w:szCs w:val="20"/>
              </w:rPr>
              <w:t>1.001</w:t>
            </w:r>
          </w:p>
        </w:tc>
        <w:tc>
          <w:tcPr>
            <w:tcW w:w="627" w:type="pct"/>
            <w:noWrap/>
            <w:vAlign w:val="bottom"/>
            <w:hideMark/>
          </w:tcPr>
          <w:p w14:paraId="6E9F7FC4" w14:textId="77777777" w:rsidR="00324915" w:rsidRPr="00F32020" w:rsidRDefault="00324915" w:rsidP="00D314EE">
            <w:pPr>
              <w:jc w:val="center"/>
              <w:rPr>
                <w:sz w:val="20"/>
                <w:szCs w:val="20"/>
              </w:rPr>
            </w:pPr>
          </w:p>
        </w:tc>
      </w:tr>
      <w:tr w:rsidR="00324915" w:rsidRPr="00F32020" w14:paraId="0E53BD99" w14:textId="77777777" w:rsidTr="00D314EE">
        <w:trPr>
          <w:trHeight w:val="260"/>
        </w:trPr>
        <w:tc>
          <w:tcPr>
            <w:tcW w:w="2492" w:type="pct"/>
            <w:noWrap/>
            <w:vAlign w:val="bottom"/>
            <w:hideMark/>
          </w:tcPr>
          <w:p w14:paraId="1DFADFBD" w14:textId="77777777" w:rsidR="00324915" w:rsidRPr="00F32020" w:rsidRDefault="00324915" w:rsidP="00D314EE">
            <w:pPr>
              <w:jc w:val="center"/>
              <w:rPr>
                <w:sz w:val="20"/>
                <w:szCs w:val="20"/>
              </w:rPr>
            </w:pPr>
          </w:p>
        </w:tc>
        <w:tc>
          <w:tcPr>
            <w:tcW w:w="753" w:type="pct"/>
            <w:noWrap/>
            <w:vAlign w:val="bottom"/>
            <w:hideMark/>
          </w:tcPr>
          <w:p w14:paraId="3C6617D3" w14:textId="77777777" w:rsidR="00324915" w:rsidRPr="00F32020" w:rsidRDefault="00324915" w:rsidP="00D314EE">
            <w:pPr>
              <w:rPr>
                <w:sz w:val="20"/>
                <w:szCs w:val="20"/>
              </w:rPr>
            </w:pPr>
          </w:p>
        </w:tc>
        <w:tc>
          <w:tcPr>
            <w:tcW w:w="501" w:type="pct"/>
            <w:noWrap/>
            <w:vAlign w:val="bottom"/>
            <w:hideMark/>
          </w:tcPr>
          <w:p w14:paraId="33ACBC0A" w14:textId="77777777" w:rsidR="00324915" w:rsidRPr="00F32020" w:rsidRDefault="00324915" w:rsidP="00D314EE">
            <w:pPr>
              <w:jc w:val="center"/>
              <w:rPr>
                <w:sz w:val="20"/>
                <w:szCs w:val="20"/>
              </w:rPr>
            </w:pPr>
          </w:p>
        </w:tc>
        <w:tc>
          <w:tcPr>
            <w:tcW w:w="627" w:type="pct"/>
            <w:noWrap/>
            <w:vAlign w:val="bottom"/>
            <w:hideMark/>
          </w:tcPr>
          <w:p w14:paraId="04B6A2EE" w14:textId="77777777" w:rsidR="00324915" w:rsidRPr="00F32020" w:rsidRDefault="00324915" w:rsidP="00D314EE">
            <w:pPr>
              <w:jc w:val="center"/>
              <w:rPr>
                <w:sz w:val="20"/>
                <w:szCs w:val="20"/>
              </w:rPr>
            </w:pPr>
            <w:r w:rsidRPr="00F32020">
              <w:rPr>
                <w:sz w:val="20"/>
                <w:szCs w:val="20"/>
              </w:rPr>
              <w:t>(0.0033)</w:t>
            </w:r>
          </w:p>
        </w:tc>
        <w:tc>
          <w:tcPr>
            <w:tcW w:w="627" w:type="pct"/>
            <w:noWrap/>
            <w:vAlign w:val="bottom"/>
            <w:hideMark/>
          </w:tcPr>
          <w:p w14:paraId="6D952906" w14:textId="77777777" w:rsidR="00324915" w:rsidRPr="00F32020" w:rsidRDefault="00324915" w:rsidP="00D314EE">
            <w:pPr>
              <w:jc w:val="center"/>
              <w:rPr>
                <w:sz w:val="20"/>
                <w:szCs w:val="20"/>
              </w:rPr>
            </w:pPr>
          </w:p>
        </w:tc>
      </w:tr>
      <w:tr w:rsidR="00324915" w:rsidRPr="00F32020" w14:paraId="3AA7AB4E" w14:textId="77777777" w:rsidTr="00D314EE">
        <w:trPr>
          <w:trHeight w:val="260"/>
        </w:trPr>
        <w:tc>
          <w:tcPr>
            <w:tcW w:w="2492" w:type="pct"/>
            <w:noWrap/>
            <w:vAlign w:val="bottom"/>
            <w:hideMark/>
          </w:tcPr>
          <w:p w14:paraId="3D9D5825" w14:textId="77777777" w:rsidR="00324915" w:rsidRPr="00F32020" w:rsidRDefault="00324915" w:rsidP="00D314EE">
            <w:pPr>
              <w:rPr>
                <w:sz w:val="20"/>
                <w:szCs w:val="20"/>
              </w:rPr>
            </w:pPr>
            <w:r w:rsidRPr="00F32020">
              <w:rPr>
                <w:sz w:val="20"/>
                <w:szCs w:val="20"/>
              </w:rPr>
              <w:t>Cultural Diversity x % of females in founding team</w:t>
            </w:r>
          </w:p>
        </w:tc>
        <w:tc>
          <w:tcPr>
            <w:tcW w:w="753" w:type="pct"/>
            <w:noWrap/>
            <w:vAlign w:val="bottom"/>
            <w:hideMark/>
          </w:tcPr>
          <w:p w14:paraId="584B5ACE" w14:textId="77777777" w:rsidR="00324915" w:rsidRPr="00F32020" w:rsidRDefault="00324915" w:rsidP="00D314EE">
            <w:pPr>
              <w:rPr>
                <w:sz w:val="20"/>
                <w:szCs w:val="20"/>
              </w:rPr>
            </w:pPr>
          </w:p>
        </w:tc>
        <w:tc>
          <w:tcPr>
            <w:tcW w:w="501" w:type="pct"/>
            <w:noWrap/>
            <w:vAlign w:val="bottom"/>
            <w:hideMark/>
          </w:tcPr>
          <w:p w14:paraId="5DE78918" w14:textId="77777777" w:rsidR="00324915" w:rsidRPr="00F32020" w:rsidRDefault="00324915" w:rsidP="00D314EE">
            <w:pPr>
              <w:jc w:val="center"/>
              <w:rPr>
                <w:sz w:val="20"/>
                <w:szCs w:val="20"/>
              </w:rPr>
            </w:pPr>
          </w:p>
        </w:tc>
        <w:tc>
          <w:tcPr>
            <w:tcW w:w="627" w:type="pct"/>
            <w:noWrap/>
            <w:vAlign w:val="bottom"/>
            <w:hideMark/>
          </w:tcPr>
          <w:p w14:paraId="16834C04" w14:textId="77777777" w:rsidR="00324915" w:rsidRPr="00F32020" w:rsidRDefault="00324915" w:rsidP="00D314EE">
            <w:pPr>
              <w:jc w:val="center"/>
              <w:rPr>
                <w:sz w:val="20"/>
                <w:szCs w:val="20"/>
              </w:rPr>
            </w:pPr>
          </w:p>
        </w:tc>
        <w:tc>
          <w:tcPr>
            <w:tcW w:w="627" w:type="pct"/>
            <w:noWrap/>
            <w:vAlign w:val="bottom"/>
            <w:hideMark/>
          </w:tcPr>
          <w:p w14:paraId="4607F751" w14:textId="77777777" w:rsidR="00324915" w:rsidRPr="00F32020" w:rsidRDefault="00324915" w:rsidP="00D314EE">
            <w:pPr>
              <w:jc w:val="center"/>
              <w:rPr>
                <w:sz w:val="20"/>
                <w:szCs w:val="20"/>
              </w:rPr>
            </w:pPr>
            <w:r w:rsidRPr="00F32020">
              <w:rPr>
                <w:sz w:val="20"/>
                <w:szCs w:val="20"/>
              </w:rPr>
              <w:t>0.903</w:t>
            </w:r>
          </w:p>
        </w:tc>
      </w:tr>
      <w:tr w:rsidR="00324915" w:rsidRPr="00F32020" w14:paraId="587FD60E" w14:textId="77777777" w:rsidTr="00D314EE">
        <w:trPr>
          <w:trHeight w:val="260"/>
        </w:trPr>
        <w:tc>
          <w:tcPr>
            <w:tcW w:w="2492" w:type="pct"/>
            <w:noWrap/>
            <w:vAlign w:val="bottom"/>
            <w:hideMark/>
          </w:tcPr>
          <w:p w14:paraId="4D6390BF" w14:textId="77777777" w:rsidR="00324915" w:rsidRPr="00F32020" w:rsidRDefault="00324915" w:rsidP="00D314EE">
            <w:pPr>
              <w:jc w:val="center"/>
              <w:rPr>
                <w:sz w:val="20"/>
                <w:szCs w:val="20"/>
              </w:rPr>
            </w:pPr>
          </w:p>
        </w:tc>
        <w:tc>
          <w:tcPr>
            <w:tcW w:w="753" w:type="pct"/>
            <w:noWrap/>
            <w:vAlign w:val="bottom"/>
            <w:hideMark/>
          </w:tcPr>
          <w:p w14:paraId="7FB4DF2D" w14:textId="77777777" w:rsidR="00324915" w:rsidRPr="00F32020" w:rsidRDefault="00324915" w:rsidP="00D314EE">
            <w:pPr>
              <w:rPr>
                <w:sz w:val="20"/>
                <w:szCs w:val="20"/>
              </w:rPr>
            </w:pPr>
          </w:p>
        </w:tc>
        <w:tc>
          <w:tcPr>
            <w:tcW w:w="501" w:type="pct"/>
            <w:noWrap/>
            <w:vAlign w:val="bottom"/>
            <w:hideMark/>
          </w:tcPr>
          <w:p w14:paraId="58E2C1D9" w14:textId="77777777" w:rsidR="00324915" w:rsidRPr="00F32020" w:rsidRDefault="00324915" w:rsidP="00D314EE">
            <w:pPr>
              <w:jc w:val="center"/>
              <w:rPr>
                <w:sz w:val="20"/>
                <w:szCs w:val="20"/>
              </w:rPr>
            </w:pPr>
          </w:p>
        </w:tc>
        <w:tc>
          <w:tcPr>
            <w:tcW w:w="627" w:type="pct"/>
            <w:noWrap/>
            <w:vAlign w:val="bottom"/>
            <w:hideMark/>
          </w:tcPr>
          <w:p w14:paraId="0E338F75" w14:textId="77777777" w:rsidR="00324915" w:rsidRPr="00F32020" w:rsidRDefault="00324915" w:rsidP="00D314EE">
            <w:pPr>
              <w:jc w:val="center"/>
              <w:rPr>
                <w:sz w:val="20"/>
                <w:szCs w:val="20"/>
              </w:rPr>
            </w:pPr>
          </w:p>
        </w:tc>
        <w:tc>
          <w:tcPr>
            <w:tcW w:w="627" w:type="pct"/>
            <w:noWrap/>
            <w:vAlign w:val="bottom"/>
            <w:hideMark/>
          </w:tcPr>
          <w:p w14:paraId="6B132503" w14:textId="77777777" w:rsidR="00324915" w:rsidRPr="00F32020" w:rsidRDefault="00324915" w:rsidP="00D314EE">
            <w:pPr>
              <w:jc w:val="center"/>
              <w:rPr>
                <w:sz w:val="20"/>
                <w:szCs w:val="20"/>
              </w:rPr>
            </w:pPr>
            <w:r w:rsidRPr="00F32020">
              <w:rPr>
                <w:sz w:val="20"/>
                <w:szCs w:val="20"/>
              </w:rPr>
              <w:t>(0.0909)</w:t>
            </w:r>
          </w:p>
        </w:tc>
      </w:tr>
      <w:tr w:rsidR="00324915" w:rsidRPr="00F32020" w14:paraId="07C3E922" w14:textId="77777777" w:rsidTr="00D314EE">
        <w:trPr>
          <w:trHeight w:val="260"/>
        </w:trPr>
        <w:tc>
          <w:tcPr>
            <w:tcW w:w="2492" w:type="pct"/>
            <w:noWrap/>
            <w:vAlign w:val="center"/>
            <w:hideMark/>
          </w:tcPr>
          <w:p w14:paraId="3B43BB91" w14:textId="77777777" w:rsidR="00324915" w:rsidRPr="00F32020" w:rsidRDefault="00324915" w:rsidP="00D314EE">
            <w:pPr>
              <w:rPr>
                <w:sz w:val="20"/>
                <w:szCs w:val="20"/>
              </w:rPr>
            </w:pPr>
            <w:r w:rsidRPr="00F32020">
              <w:rPr>
                <w:sz w:val="20"/>
                <w:szCs w:val="20"/>
              </w:rPr>
              <w:t>GDP Growth</w:t>
            </w:r>
          </w:p>
        </w:tc>
        <w:tc>
          <w:tcPr>
            <w:tcW w:w="753" w:type="pct"/>
            <w:noWrap/>
            <w:vAlign w:val="bottom"/>
            <w:hideMark/>
          </w:tcPr>
          <w:p w14:paraId="307F7368" w14:textId="77777777" w:rsidR="00324915" w:rsidRPr="00F32020" w:rsidRDefault="00324915" w:rsidP="00D314EE">
            <w:pPr>
              <w:jc w:val="center"/>
              <w:rPr>
                <w:sz w:val="20"/>
                <w:szCs w:val="20"/>
              </w:rPr>
            </w:pPr>
            <w:r w:rsidRPr="00F32020">
              <w:rPr>
                <w:sz w:val="20"/>
                <w:szCs w:val="20"/>
              </w:rPr>
              <w:t>1.012</w:t>
            </w:r>
          </w:p>
        </w:tc>
        <w:tc>
          <w:tcPr>
            <w:tcW w:w="501" w:type="pct"/>
            <w:noWrap/>
            <w:vAlign w:val="bottom"/>
            <w:hideMark/>
          </w:tcPr>
          <w:p w14:paraId="247B2C6F" w14:textId="77777777" w:rsidR="00324915" w:rsidRPr="00F32020" w:rsidRDefault="00324915" w:rsidP="00D314EE">
            <w:pPr>
              <w:jc w:val="center"/>
              <w:rPr>
                <w:sz w:val="20"/>
                <w:szCs w:val="20"/>
              </w:rPr>
            </w:pPr>
            <w:r w:rsidRPr="00F32020">
              <w:rPr>
                <w:sz w:val="20"/>
                <w:szCs w:val="20"/>
              </w:rPr>
              <w:t>1.012</w:t>
            </w:r>
          </w:p>
        </w:tc>
        <w:tc>
          <w:tcPr>
            <w:tcW w:w="627" w:type="pct"/>
            <w:noWrap/>
            <w:vAlign w:val="bottom"/>
            <w:hideMark/>
          </w:tcPr>
          <w:p w14:paraId="24645506" w14:textId="77777777" w:rsidR="00324915" w:rsidRPr="00F32020" w:rsidRDefault="00324915" w:rsidP="00D314EE">
            <w:pPr>
              <w:jc w:val="center"/>
              <w:rPr>
                <w:sz w:val="20"/>
                <w:szCs w:val="20"/>
              </w:rPr>
            </w:pPr>
            <w:r w:rsidRPr="00F32020">
              <w:rPr>
                <w:sz w:val="20"/>
                <w:szCs w:val="20"/>
              </w:rPr>
              <w:t>1.012</w:t>
            </w:r>
          </w:p>
        </w:tc>
        <w:tc>
          <w:tcPr>
            <w:tcW w:w="627" w:type="pct"/>
            <w:noWrap/>
            <w:vAlign w:val="bottom"/>
            <w:hideMark/>
          </w:tcPr>
          <w:p w14:paraId="381E9196" w14:textId="77777777" w:rsidR="00324915" w:rsidRPr="00F32020" w:rsidRDefault="00324915" w:rsidP="00D314EE">
            <w:pPr>
              <w:jc w:val="center"/>
              <w:rPr>
                <w:sz w:val="20"/>
                <w:szCs w:val="20"/>
              </w:rPr>
            </w:pPr>
            <w:r w:rsidRPr="00F32020">
              <w:rPr>
                <w:sz w:val="20"/>
                <w:szCs w:val="20"/>
              </w:rPr>
              <w:t>1.012</w:t>
            </w:r>
          </w:p>
        </w:tc>
      </w:tr>
      <w:tr w:rsidR="00324915" w:rsidRPr="00F32020" w14:paraId="0F77C418" w14:textId="77777777" w:rsidTr="00D314EE">
        <w:trPr>
          <w:trHeight w:val="260"/>
        </w:trPr>
        <w:tc>
          <w:tcPr>
            <w:tcW w:w="2492" w:type="pct"/>
            <w:noWrap/>
            <w:vAlign w:val="center"/>
            <w:hideMark/>
          </w:tcPr>
          <w:p w14:paraId="01D37554" w14:textId="77777777" w:rsidR="00324915" w:rsidRPr="00F32020" w:rsidRDefault="00324915" w:rsidP="00D314EE">
            <w:pPr>
              <w:jc w:val="center"/>
              <w:rPr>
                <w:sz w:val="20"/>
                <w:szCs w:val="20"/>
              </w:rPr>
            </w:pPr>
          </w:p>
        </w:tc>
        <w:tc>
          <w:tcPr>
            <w:tcW w:w="753" w:type="pct"/>
            <w:noWrap/>
            <w:vAlign w:val="bottom"/>
            <w:hideMark/>
          </w:tcPr>
          <w:p w14:paraId="2848BEEE" w14:textId="77777777" w:rsidR="00324915" w:rsidRPr="00F32020" w:rsidRDefault="00324915" w:rsidP="00D314EE">
            <w:pPr>
              <w:jc w:val="center"/>
              <w:rPr>
                <w:sz w:val="20"/>
                <w:szCs w:val="20"/>
              </w:rPr>
            </w:pPr>
            <w:r w:rsidRPr="00F32020">
              <w:rPr>
                <w:sz w:val="20"/>
                <w:szCs w:val="20"/>
              </w:rPr>
              <w:t>(0.0323)</w:t>
            </w:r>
          </w:p>
        </w:tc>
        <w:tc>
          <w:tcPr>
            <w:tcW w:w="501" w:type="pct"/>
            <w:noWrap/>
            <w:vAlign w:val="bottom"/>
            <w:hideMark/>
          </w:tcPr>
          <w:p w14:paraId="09D178C6" w14:textId="77777777" w:rsidR="00324915" w:rsidRPr="00F32020" w:rsidRDefault="00324915" w:rsidP="00D314EE">
            <w:pPr>
              <w:jc w:val="center"/>
              <w:rPr>
                <w:sz w:val="20"/>
                <w:szCs w:val="20"/>
              </w:rPr>
            </w:pPr>
            <w:r w:rsidRPr="00F32020">
              <w:rPr>
                <w:sz w:val="20"/>
                <w:szCs w:val="20"/>
              </w:rPr>
              <w:t>(0.0324)</w:t>
            </w:r>
          </w:p>
        </w:tc>
        <w:tc>
          <w:tcPr>
            <w:tcW w:w="627" w:type="pct"/>
            <w:noWrap/>
            <w:vAlign w:val="bottom"/>
            <w:hideMark/>
          </w:tcPr>
          <w:p w14:paraId="4412F2E9" w14:textId="77777777" w:rsidR="00324915" w:rsidRPr="00F32020" w:rsidRDefault="00324915" w:rsidP="00D314EE">
            <w:pPr>
              <w:jc w:val="center"/>
              <w:rPr>
                <w:sz w:val="20"/>
                <w:szCs w:val="20"/>
              </w:rPr>
            </w:pPr>
            <w:r w:rsidRPr="00F32020">
              <w:rPr>
                <w:sz w:val="20"/>
                <w:szCs w:val="20"/>
              </w:rPr>
              <w:t>(0.0323)</w:t>
            </w:r>
          </w:p>
        </w:tc>
        <w:tc>
          <w:tcPr>
            <w:tcW w:w="627" w:type="pct"/>
            <w:noWrap/>
            <w:vAlign w:val="bottom"/>
            <w:hideMark/>
          </w:tcPr>
          <w:p w14:paraId="25FDAA37" w14:textId="77777777" w:rsidR="00324915" w:rsidRPr="00F32020" w:rsidRDefault="00324915" w:rsidP="00D314EE">
            <w:pPr>
              <w:jc w:val="center"/>
              <w:rPr>
                <w:sz w:val="20"/>
                <w:szCs w:val="20"/>
              </w:rPr>
            </w:pPr>
            <w:r w:rsidRPr="00F32020">
              <w:rPr>
                <w:sz w:val="20"/>
                <w:szCs w:val="20"/>
              </w:rPr>
              <w:t>(0.0323)</w:t>
            </w:r>
          </w:p>
        </w:tc>
      </w:tr>
      <w:tr w:rsidR="00324915" w:rsidRPr="00F32020" w14:paraId="43542F1D" w14:textId="77777777" w:rsidTr="00D314EE">
        <w:trPr>
          <w:trHeight w:val="260"/>
        </w:trPr>
        <w:tc>
          <w:tcPr>
            <w:tcW w:w="2492" w:type="pct"/>
            <w:noWrap/>
            <w:vAlign w:val="center"/>
            <w:hideMark/>
          </w:tcPr>
          <w:p w14:paraId="00AA8478" w14:textId="77777777" w:rsidR="00324915" w:rsidRPr="00F32020" w:rsidRDefault="00324915" w:rsidP="00D314EE">
            <w:pPr>
              <w:rPr>
                <w:sz w:val="20"/>
                <w:szCs w:val="20"/>
              </w:rPr>
            </w:pPr>
            <w:r w:rsidRPr="00F32020">
              <w:rPr>
                <w:sz w:val="20"/>
                <w:szCs w:val="20"/>
              </w:rPr>
              <w:t>Inflation</w:t>
            </w:r>
          </w:p>
        </w:tc>
        <w:tc>
          <w:tcPr>
            <w:tcW w:w="753" w:type="pct"/>
            <w:noWrap/>
            <w:vAlign w:val="bottom"/>
            <w:hideMark/>
          </w:tcPr>
          <w:p w14:paraId="28A8A877" w14:textId="77777777" w:rsidR="00324915" w:rsidRPr="00F32020" w:rsidRDefault="00324915" w:rsidP="00D314EE">
            <w:pPr>
              <w:jc w:val="center"/>
              <w:rPr>
                <w:sz w:val="20"/>
                <w:szCs w:val="20"/>
              </w:rPr>
            </w:pPr>
            <w:r w:rsidRPr="00F32020">
              <w:rPr>
                <w:sz w:val="20"/>
                <w:szCs w:val="20"/>
              </w:rPr>
              <w:t>0.957**</w:t>
            </w:r>
          </w:p>
        </w:tc>
        <w:tc>
          <w:tcPr>
            <w:tcW w:w="501" w:type="pct"/>
            <w:noWrap/>
            <w:vAlign w:val="bottom"/>
            <w:hideMark/>
          </w:tcPr>
          <w:p w14:paraId="6953B1E6" w14:textId="77777777" w:rsidR="00324915" w:rsidRPr="00F32020" w:rsidRDefault="00324915" w:rsidP="00D314EE">
            <w:pPr>
              <w:jc w:val="center"/>
              <w:rPr>
                <w:sz w:val="20"/>
                <w:szCs w:val="20"/>
              </w:rPr>
            </w:pPr>
            <w:r w:rsidRPr="00F32020">
              <w:rPr>
                <w:sz w:val="20"/>
                <w:szCs w:val="20"/>
              </w:rPr>
              <w:t>0.957**</w:t>
            </w:r>
          </w:p>
        </w:tc>
        <w:tc>
          <w:tcPr>
            <w:tcW w:w="627" w:type="pct"/>
            <w:noWrap/>
            <w:vAlign w:val="bottom"/>
            <w:hideMark/>
          </w:tcPr>
          <w:p w14:paraId="4ADCB3A3" w14:textId="77777777" w:rsidR="00324915" w:rsidRPr="00F32020" w:rsidRDefault="00324915" w:rsidP="00D314EE">
            <w:pPr>
              <w:jc w:val="center"/>
              <w:rPr>
                <w:sz w:val="20"/>
                <w:szCs w:val="20"/>
              </w:rPr>
            </w:pPr>
            <w:r w:rsidRPr="00F32020">
              <w:rPr>
                <w:sz w:val="20"/>
                <w:szCs w:val="20"/>
              </w:rPr>
              <w:t>0.957**</w:t>
            </w:r>
          </w:p>
        </w:tc>
        <w:tc>
          <w:tcPr>
            <w:tcW w:w="627" w:type="pct"/>
            <w:noWrap/>
            <w:vAlign w:val="bottom"/>
            <w:hideMark/>
          </w:tcPr>
          <w:p w14:paraId="0FE445BD" w14:textId="77777777" w:rsidR="00324915" w:rsidRPr="00F32020" w:rsidRDefault="00324915" w:rsidP="00D314EE">
            <w:pPr>
              <w:jc w:val="center"/>
              <w:rPr>
                <w:sz w:val="20"/>
                <w:szCs w:val="20"/>
              </w:rPr>
            </w:pPr>
            <w:r w:rsidRPr="00F32020">
              <w:rPr>
                <w:sz w:val="20"/>
                <w:szCs w:val="20"/>
              </w:rPr>
              <w:t>0.957**</w:t>
            </w:r>
          </w:p>
        </w:tc>
      </w:tr>
      <w:tr w:rsidR="00324915" w:rsidRPr="00F32020" w14:paraId="54F4EC3D" w14:textId="77777777" w:rsidTr="00D314EE">
        <w:trPr>
          <w:trHeight w:val="260"/>
        </w:trPr>
        <w:tc>
          <w:tcPr>
            <w:tcW w:w="2492" w:type="pct"/>
            <w:noWrap/>
            <w:vAlign w:val="center"/>
            <w:hideMark/>
          </w:tcPr>
          <w:p w14:paraId="0FA04201" w14:textId="77777777" w:rsidR="00324915" w:rsidRPr="00F32020" w:rsidRDefault="00324915" w:rsidP="00D314EE">
            <w:pPr>
              <w:jc w:val="center"/>
              <w:rPr>
                <w:sz w:val="20"/>
                <w:szCs w:val="20"/>
              </w:rPr>
            </w:pPr>
          </w:p>
        </w:tc>
        <w:tc>
          <w:tcPr>
            <w:tcW w:w="753" w:type="pct"/>
            <w:noWrap/>
            <w:vAlign w:val="bottom"/>
            <w:hideMark/>
          </w:tcPr>
          <w:p w14:paraId="1210EB5F" w14:textId="77777777" w:rsidR="00324915" w:rsidRPr="00F32020" w:rsidRDefault="00324915" w:rsidP="00D314EE">
            <w:pPr>
              <w:jc w:val="center"/>
              <w:rPr>
                <w:sz w:val="20"/>
                <w:szCs w:val="20"/>
              </w:rPr>
            </w:pPr>
            <w:r w:rsidRPr="00F32020">
              <w:rPr>
                <w:sz w:val="20"/>
                <w:szCs w:val="20"/>
              </w:rPr>
              <w:t>(0.0205)</w:t>
            </w:r>
          </w:p>
        </w:tc>
        <w:tc>
          <w:tcPr>
            <w:tcW w:w="501" w:type="pct"/>
            <w:noWrap/>
            <w:vAlign w:val="bottom"/>
            <w:hideMark/>
          </w:tcPr>
          <w:p w14:paraId="2E22482C" w14:textId="77777777" w:rsidR="00324915" w:rsidRPr="00F32020" w:rsidRDefault="00324915" w:rsidP="00D314EE">
            <w:pPr>
              <w:jc w:val="center"/>
              <w:rPr>
                <w:sz w:val="20"/>
                <w:szCs w:val="20"/>
              </w:rPr>
            </w:pPr>
            <w:r w:rsidRPr="00F32020">
              <w:rPr>
                <w:sz w:val="20"/>
                <w:szCs w:val="20"/>
              </w:rPr>
              <w:t>(0.0205)</w:t>
            </w:r>
          </w:p>
        </w:tc>
        <w:tc>
          <w:tcPr>
            <w:tcW w:w="627" w:type="pct"/>
            <w:noWrap/>
            <w:vAlign w:val="bottom"/>
            <w:hideMark/>
          </w:tcPr>
          <w:p w14:paraId="74377D59" w14:textId="77777777" w:rsidR="00324915" w:rsidRPr="00F32020" w:rsidRDefault="00324915" w:rsidP="00D314EE">
            <w:pPr>
              <w:jc w:val="center"/>
              <w:rPr>
                <w:sz w:val="20"/>
                <w:szCs w:val="20"/>
              </w:rPr>
            </w:pPr>
            <w:r w:rsidRPr="00F32020">
              <w:rPr>
                <w:sz w:val="20"/>
                <w:szCs w:val="20"/>
              </w:rPr>
              <w:t>(0.0205)</w:t>
            </w:r>
          </w:p>
        </w:tc>
        <w:tc>
          <w:tcPr>
            <w:tcW w:w="627" w:type="pct"/>
            <w:noWrap/>
            <w:vAlign w:val="bottom"/>
            <w:hideMark/>
          </w:tcPr>
          <w:p w14:paraId="0FD0B679" w14:textId="77777777" w:rsidR="00324915" w:rsidRPr="00F32020" w:rsidRDefault="00324915" w:rsidP="00D314EE">
            <w:pPr>
              <w:jc w:val="center"/>
              <w:rPr>
                <w:sz w:val="20"/>
                <w:szCs w:val="20"/>
              </w:rPr>
            </w:pPr>
            <w:r w:rsidRPr="00F32020">
              <w:rPr>
                <w:sz w:val="20"/>
                <w:szCs w:val="20"/>
              </w:rPr>
              <w:t>(0.0205)</w:t>
            </w:r>
          </w:p>
        </w:tc>
      </w:tr>
      <w:tr w:rsidR="00324915" w:rsidRPr="00F32020" w14:paraId="426ECF21" w14:textId="77777777" w:rsidTr="00D314EE">
        <w:trPr>
          <w:trHeight w:val="260"/>
        </w:trPr>
        <w:tc>
          <w:tcPr>
            <w:tcW w:w="2492" w:type="pct"/>
            <w:noWrap/>
            <w:vAlign w:val="center"/>
            <w:hideMark/>
          </w:tcPr>
          <w:p w14:paraId="5317C769" w14:textId="77777777" w:rsidR="00324915" w:rsidRPr="00F32020" w:rsidRDefault="00324915" w:rsidP="00D314EE">
            <w:pPr>
              <w:rPr>
                <w:sz w:val="20"/>
                <w:szCs w:val="20"/>
              </w:rPr>
            </w:pPr>
            <w:r w:rsidRPr="00F32020">
              <w:rPr>
                <w:sz w:val="20"/>
                <w:szCs w:val="20"/>
              </w:rPr>
              <w:t>Institutional Index (WGI)</w:t>
            </w:r>
          </w:p>
        </w:tc>
        <w:tc>
          <w:tcPr>
            <w:tcW w:w="753" w:type="pct"/>
            <w:noWrap/>
            <w:vAlign w:val="bottom"/>
            <w:hideMark/>
          </w:tcPr>
          <w:p w14:paraId="5249EC86" w14:textId="77777777" w:rsidR="00324915" w:rsidRPr="00F32020" w:rsidRDefault="00324915" w:rsidP="00D314EE">
            <w:pPr>
              <w:jc w:val="center"/>
              <w:rPr>
                <w:sz w:val="20"/>
                <w:szCs w:val="20"/>
              </w:rPr>
            </w:pPr>
            <w:r w:rsidRPr="00F32020">
              <w:rPr>
                <w:sz w:val="20"/>
                <w:szCs w:val="20"/>
              </w:rPr>
              <w:t>0.908</w:t>
            </w:r>
          </w:p>
        </w:tc>
        <w:tc>
          <w:tcPr>
            <w:tcW w:w="501" w:type="pct"/>
            <w:noWrap/>
            <w:vAlign w:val="bottom"/>
            <w:hideMark/>
          </w:tcPr>
          <w:p w14:paraId="7903A14D" w14:textId="77777777" w:rsidR="00324915" w:rsidRPr="00F32020" w:rsidRDefault="00324915" w:rsidP="00D314EE">
            <w:pPr>
              <w:jc w:val="center"/>
              <w:rPr>
                <w:sz w:val="20"/>
                <w:szCs w:val="20"/>
              </w:rPr>
            </w:pPr>
            <w:r w:rsidRPr="00F32020">
              <w:rPr>
                <w:sz w:val="20"/>
                <w:szCs w:val="20"/>
              </w:rPr>
              <w:t>0.907</w:t>
            </w:r>
          </w:p>
        </w:tc>
        <w:tc>
          <w:tcPr>
            <w:tcW w:w="627" w:type="pct"/>
            <w:noWrap/>
            <w:vAlign w:val="bottom"/>
            <w:hideMark/>
          </w:tcPr>
          <w:p w14:paraId="1B4FF1E6" w14:textId="77777777" w:rsidR="00324915" w:rsidRPr="00F32020" w:rsidRDefault="00324915" w:rsidP="00D314EE">
            <w:pPr>
              <w:jc w:val="center"/>
              <w:rPr>
                <w:sz w:val="20"/>
                <w:szCs w:val="20"/>
              </w:rPr>
            </w:pPr>
            <w:r w:rsidRPr="00F32020">
              <w:rPr>
                <w:sz w:val="20"/>
                <w:szCs w:val="20"/>
              </w:rPr>
              <w:t>0.908</w:t>
            </w:r>
          </w:p>
        </w:tc>
        <w:tc>
          <w:tcPr>
            <w:tcW w:w="627" w:type="pct"/>
            <w:noWrap/>
            <w:vAlign w:val="bottom"/>
            <w:hideMark/>
          </w:tcPr>
          <w:p w14:paraId="64FFBFD2" w14:textId="77777777" w:rsidR="00324915" w:rsidRPr="00F32020" w:rsidRDefault="00324915" w:rsidP="00D314EE">
            <w:pPr>
              <w:jc w:val="center"/>
              <w:rPr>
                <w:sz w:val="20"/>
                <w:szCs w:val="20"/>
              </w:rPr>
            </w:pPr>
            <w:r w:rsidRPr="00F32020">
              <w:rPr>
                <w:sz w:val="20"/>
                <w:szCs w:val="20"/>
              </w:rPr>
              <w:t>0.908</w:t>
            </w:r>
          </w:p>
        </w:tc>
      </w:tr>
      <w:tr w:rsidR="00324915" w:rsidRPr="00F32020" w14:paraId="455C47D3" w14:textId="77777777" w:rsidTr="00D314EE">
        <w:trPr>
          <w:trHeight w:val="260"/>
        </w:trPr>
        <w:tc>
          <w:tcPr>
            <w:tcW w:w="2492" w:type="pct"/>
            <w:noWrap/>
            <w:vAlign w:val="bottom"/>
            <w:hideMark/>
          </w:tcPr>
          <w:p w14:paraId="300CF7C9" w14:textId="77777777" w:rsidR="00324915" w:rsidRPr="00F32020" w:rsidRDefault="00324915" w:rsidP="00D314EE">
            <w:pPr>
              <w:jc w:val="center"/>
              <w:rPr>
                <w:sz w:val="20"/>
                <w:szCs w:val="20"/>
              </w:rPr>
            </w:pPr>
          </w:p>
        </w:tc>
        <w:tc>
          <w:tcPr>
            <w:tcW w:w="753" w:type="pct"/>
            <w:noWrap/>
            <w:vAlign w:val="bottom"/>
            <w:hideMark/>
          </w:tcPr>
          <w:p w14:paraId="7C8AA8D7" w14:textId="77777777" w:rsidR="00324915" w:rsidRPr="00F32020" w:rsidRDefault="00324915" w:rsidP="00D314EE">
            <w:pPr>
              <w:jc w:val="center"/>
              <w:rPr>
                <w:sz w:val="20"/>
                <w:szCs w:val="20"/>
              </w:rPr>
            </w:pPr>
            <w:r w:rsidRPr="00F32020">
              <w:rPr>
                <w:sz w:val="20"/>
                <w:szCs w:val="20"/>
              </w:rPr>
              <w:t>(0.0980)</w:t>
            </w:r>
          </w:p>
        </w:tc>
        <w:tc>
          <w:tcPr>
            <w:tcW w:w="501" w:type="pct"/>
            <w:noWrap/>
            <w:vAlign w:val="bottom"/>
            <w:hideMark/>
          </w:tcPr>
          <w:p w14:paraId="6E7C439A" w14:textId="77777777" w:rsidR="00324915" w:rsidRPr="00F32020" w:rsidRDefault="00324915" w:rsidP="00D314EE">
            <w:pPr>
              <w:jc w:val="center"/>
              <w:rPr>
                <w:sz w:val="20"/>
                <w:szCs w:val="20"/>
              </w:rPr>
            </w:pPr>
            <w:r w:rsidRPr="00F32020">
              <w:rPr>
                <w:sz w:val="20"/>
                <w:szCs w:val="20"/>
              </w:rPr>
              <w:t>(0.0979)</w:t>
            </w:r>
          </w:p>
        </w:tc>
        <w:tc>
          <w:tcPr>
            <w:tcW w:w="627" w:type="pct"/>
            <w:noWrap/>
            <w:vAlign w:val="bottom"/>
            <w:hideMark/>
          </w:tcPr>
          <w:p w14:paraId="303A62C2" w14:textId="77777777" w:rsidR="00324915" w:rsidRPr="00F32020" w:rsidRDefault="00324915" w:rsidP="00D314EE">
            <w:pPr>
              <w:jc w:val="center"/>
              <w:rPr>
                <w:sz w:val="20"/>
                <w:szCs w:val="20"/>
              </w:rPr>
            </w:pPr>
            <w:r w:rsidRPr="00F32020">
              <w:rPr>
                <w:sz w:val="20"/>
                <w:szCs w:val="20"/>
              </w:rPr>
              <w:t>(0.0980)</w:t>
            </w:r>
          </w:p>
        </w:tc>
        <w:tc>
          <w:tcPr>
            <w:tcW w:w="627" w:type="pct"/>
            <w:noWrap/>
            <w:vAlign w:val="bottom"/>
            <w:hideMark/>
          </w:tcPr>
          <w:p w14:paraId="4AEB7109" w14:textId="77777777" w:rsidR="00324915" w:rsidRPr="00F32020" w:rsidRDefault="00324915" w:rsidP="00D314EE">
            <w:pPr>
              <w:jc w:val="center"/>
              <w:rPr>
                <w:sz w:val="20"/>
                <w:szCs w:val="20"/>
              </w:rPr>
            </w:pPr>
            <w:r w:rsidRPr="00F32020">
              <w:rPr>
                <w:sz w:val="20"/>
                <w:szCs w:val="20"/>
              </w:rPr>
              <w:t>(0.0980)</w:t>
            </w:r>
          </w:p>
        </w:tc>
      </w:tr>
      <w:tr w:rsidR="00324915" w:rsidRPr="00F32020" w14:paraId="3EA0C5E6" w14:textId="77777777" w:rsidTr="00D314EE">
        <w:trPr>
          <w:trHeight w:val="260"/>
        </w:trPr>
        <w:tc>
          <w:tcPr>
            <w:tcW w:w="2492" w:type="pct"/>
            <w:noWrap/>
            <w:vAlign w:val="bottom"/>
            <w:hideMark/>
          </w:tcPr>
          <w:p w14:paraId="003C5687" w14:textId="77777777" w:rsidR="00324915" w:rsidRPr="00F32020" w:rsidRDefault="00324915" w:rsidP="00D314EE">
            <w:pPr>
              <w:rPr>
                <w:sz w:val="20"/>
                <w:szCs w:val="20"/>
              </w:rPr>
            </w:pPr>
            <w:r w:rsidRPr="00F32020">
              <w:rPr>
                <w:sz w:val="20"/>
                <w:szCs w:val="20"/>
              </w:rPr>
              <w:t>Constant</w:t>
            </w:r>
          </w:p>
        </w:tc>
        <w:tc>
          <w:tcPr>
            <w:tcW w:w="753" w:type="pct"/>
            <w:noWrap/>
            <w:vAlign w:val="bottom"/>
            <w:hideMark/>
          </w:tcPr>
          <w:p w14:paraId="25D02999" w14:textId="77777777" w:rsidR="00324915" w:rsidRPr="00F32020" w:rsidRDefault="00324915" w:rsidP="00D314EE">
            <w:pPr>
              <w:jc w:val="center"/>
              <w:rPr>
                <w:sz w:val="20"/>
                <w:szCs w:val="20"/>
              </w:rPr>
            </w:pPr>
            <w:r w:rsidRPr="00F32020">
              <w:rPr>
                <w:sz w:val="20"/>
                <w:szCs w:val="20"/>
              </w:rPr>
              <w:t>0.204***</w:t>
            </w:r>
          </w:p>
        </w:tc>
        <w:tc>
          <w:tcPr>
            <w:tcW w:w="501" w:type="pct"/>
            <w:noWrap/>
            <w:vAlign w:val="bottom"/>
            <w:hideMark/>
          </w:tcPr>
          <w:p w14:paraId="3DD8A109" w14:textId="77777777" w:rsidR="00324915" w:rsidRPr="00F32020" w:rsidRDefault="00324915" w:rsidP="00D314EE">
            <w:pPr>
              <w:jc w:val="center"/>
              <w:rPr>
                <w:sz w:val="20"/>
                <w:szCs w:val="20"/>
              </w:rPr>
            </w:pPr>
            <w:r w:rsidRPr="00F32020">
              <w:rPr>
                <w:sz w:val="20"/>
                <w:szCs w:val="20"/>
              </w:rPr>
              <w:t>0.200***</w:t>
            </w:r>
          </w:p>
        </w:tc>
        <w:tc>
          <w:tcPr>
            <w:tcW w:w="627" w:type="pct"/>
            <w:noWrap/>
            <w:vAlign w:val="bottom"/>
            <w:hideMark/>
          </w:tcPr>
          <w:p w14:paraId="3AA69EF3" w14:textId="77777777" w:rsidR="00324915" w:rsidRPr="00F32020" w:rsidRDefault="00324915" w:rsidP="00D314EE">
            <w:pPr>
              <w:jc w:val="center"/>
              <w:rPr>
                <w:sz w:val="20"/>
                <w:szCs w:val="20"/>
              </w:rPr>
            </w:pPr>
            <w:r w:rsidRPr="00F32020">
              <w:rPr>
                <w:sz w:val="20"/>
                <w:szCs w:val="20"/>
              </w:rPr>
              <w:t>0.205***</w:t>
            </w:r>
          </w:p>
        </w:tc>
        <w:tc>
          <w:tcPr>
            <w:tcW w:w="627" w:type="pct"/>
            <w:noWrap/>
            <w:vAlign w:val="bottom"/>
            <w:hideMark/>
          </w:tcPr>
          <w:p w14:paraId="252CB176" w14:textId="77777777" w:rsidR="00324915" w:rsidRPr="00F32020" w:rsidRDefault="00324915" w:rsidP="00D314EE">
            <w:pPr>
              <w:jc w:val="center"/>
              <w:rPr>
                <w:sz w:val="20"/>
                <w:szCs w:val="20"/>
              </w:rPr>
            </w:pPr>
            <w:r w:rsidRPr="00F32020">
              <w:rPr>
                <w:sz w:val="20"/>
                <w:szCs w:val="20"/>
              </w:rPr>
              <w:t>0.201***</w:t>
            </w:r>
          </w:p>
        </w:tc>
      </w:tr>
      <w:tr w:rsidR="00324915" w:rsidRPr="00F32020" w14:paraId="48199655" w14:textId="77777777" w:rsidTr="00D314EE">
        <w:trPr>
          <w:trHeight w:val="260"/>
        </w:trPr>
        <w:tc>
          <w:tcPr>
            <w:tcW w:w="2492" w:type="pct"/>
            <w:noWrap/>
            <w:vAlign w:val="bottom"/>
            <w:hideMark/>
          </w:tcPr>
          <w:p w14:paraId="38D4CDB7" w14:textId="77777777" w:rsidR="00324915" w:rsidRPr="00F32020" w:rsidRDefault="00324915" w:rsidP="00D314EE">
            <w:pPr>
              <w:jc w:val="center"/>
              <w:rPr>
                <w:sz w:val="20"/>
                <w:szCs w:val="20"/>
              </w:rPr>
            </w:pPr>
          </w:p>
        </w:tc>
        <w:tc>
          <w:tcPr>
            <w:tcW w:w="753" w:type="pct"/>
            <w:noWrap/>
            <w:vAlign w:val="bottom"/>
            <w:hideMark/>
          </w:tcPr>
          <w:p w14:paraId="56E4B20E" w14:textId="77777777" w:rsidR="00324915" w:rsidRPr="00F32020" w:rsidRDefault="00324915" w:rsidP="00D314EE">
            <w:pPr>
              <w:jc w:val="center"/>
              <w:rPr>
                <w:sz w:val="20"/>
                <w:szCs w:val="20"/>
              </w:rPr>
            </w:pPr>
            <w:r w:rsidRPr="00F32020">
              <w:rPr>
                <w:sz w:val="20"/>
                <w:szCs w:val="20"/>
              </w:rPr>
              <w:t>(0.0837)</w:t>
            </w:r>
          </w:p>
        </w:tc>
        <w:tc>
          <w:tcPr>
            <w:tcW w:w="501" w:type="pct"/>
            <w:noWrap/>
            <w:vAlign w:val="bottom"/>
            <w:hideMark/>
          </w:tcPr>
          <w:p w14:paraId="1E8FB55B" w14:textId="77777777" w:rsidR="00324915" w:rsidRPr="00F32020" w:rsidRDefault="00324915" w:rsidP="00D314EE">
            <w:pPr>
              <w:jc w:val="center"/>
              <w:rPr>
                <w:sz w:val="20"/>
                <w:szCs w:val="20"/>
              </w:rPr>
            </w:pPr>
            <w:r w:rsidRPr="00F32020">
              <w:rPr>
                <w:sz w:val="20"/>
                <w:szCs w:val="20"/>
              </w:rPr>
              <w:t>(0.0824)</w:t>
            </w:r>
          </w:p>
        </w:tc>
        <w:tc>
          <w:tcPr>
            <w:tcW w:w="627" w:type="pct"/>
            <w:noWrap/>
            <w:vAlign w:val="bottom"/>
            <w:hideMark/>
          </w:tcPr>
          <w:p w14:paraId="0A2D179D" w14:textId="77777777" w:rsidR="00324915" w:rsidRPr="00F32020" w:rsidRDefault="00324915" w:rsidP="00D314EE">
            <w:pPr>
              <w:jc w:val="center"/>
              <w:rPr>
                <w:sz w:val="20"/>
                <w:szCs w:val="20"/>
              </w:rPr>
            </w:pPr>
            <w:r w:rsidRPr="00F32020">
              <w:rPr>
                <w:sz w:val="20"/>
                <w:szCs w:val="20"/>
              </w:rPr>
              <w:t>(0.0848)</w:t>
            </w:r>
          </w:p>
        </w:tc>
        <w:tc>
          <w:tcPr>
            <w:tcW w:w="627" w:type="pct"/>
            <w:noWrap/>
            <w:vAlign w:val="bottom"/>
            <w:hideMark/>
          </w:tcPr>
          <w:p w14:paraId="7EEF944F" w14:textId="77777777" w:rsidR="00324915" w:rsidRPr="00F32020" w:rsidRDefault="00324915" w:rsidP="00D314EE">
            <w:pPr>
              <w:jc w:val="center"/>
              <w:rPr>
                <w:sz w:val="20"/>
                <w:szCs w:val="20"/>
              </w:rPr>
            </w:pPr>
            <w:r w:rsidRPr="00F32020">
              <w:rPr>
                <w:sz w:val="20"/>
                <w:szCs w:val="20"/>
              </w:rPr>
              <w:t>(0.0827)</w:t>
            </w:r>
          </w:p>
        </w:tc>
      </w:tr>
      <w:tr w:rsidR="00324915" w:rsidRPr="00F32020" w14:paraId="4F0C9532" w14:textId="77777777" w:rsidTr="00D314EE">
        <w:trPr>
          <w:trHeight w:val="260"/>
        </w:trPr>
        <w:tc>
          <w:tcPr>
            <w:tcW w:w="2492" w:type="pct"/>
            <w:noWrap/>
            <w:vAlign w:val="bottom"/>
            <w:hideMark/>
          </w:tcPr>
          <w:p w14:paraId="18A909A2" w14:textId="77777777" w:rsidR="00324915" w:rsidRPr="00F32020" w:rsidRDefault="00324915" w:rsidP="00D314EE">
            <w:pPr>
              <w:rPr>
                <w:sz w:val="20"/>
                <w:szCs w:val="20"/>
              </w:rPr>
            </w:pPr>
            <w:r w:rsidRPr="00F32020">
              <w:rPr>
                <w:sz w:val="20"/>
                <w:szCs w:val="20"/>
              </w:rPr>
              <w:t>Observations</w:t>
            </w:r>
          </w:p>
        </w:tc>
        <w:tc>
          <w:tcPr>
            <w:tcW w:w="753" w:type="pct"/>
            <w:noWrap/>
            <w:vAlign w:val="bottom"/>
            <w:hideMark/>
          </w:tcPr>
          <w:p w14:paraId="27E33BA8" w14:textId="77777777" w:rsidR="00324915" w:rsidRPr="00F32020" w:rsidRDefault="00324915" w:rsidP="00D314EE">
            <w:pPr>
              <w:jc w:val="center"/>
              <w:rPr>
                <w:sz w:val="20"/>
                <w:szCs w:val="20"/>
              </w:rPr>
            </w:pPr>
            <w:r w:rsidRPr="00F32020">
              <w:rPr>
                <w:sz w:val="20"/>
                <w:szCs w:val="20"/>
              </w:rPr>
              <w:t>8,369</w:t>
            </w:r>
          </w:p>
        </w:tc>
        <w:tc>
          <w:tcPr>
            <w:tcW w:w="501" w:type="pct"/>
            <w:noWrap/>
            <w:vAlign w:val="bottom"/>
            <w:hideMark/>
          </w:tcPr>
          <w:p w14:paraId="53747186" w14:textId="77777777" w:rsidR="00324915" w:rsidRPr="00F32020" w:rsidRDefault="00324915" w:rsidP="00D314EE">
            <w:pPr>
              <w:jc w:val="center"/>
              <w:rPr>
                <w:sz w:val="20"/>
                <w:szCs w:val="20"/>
              </w:rPr>
            </w:pPr>
            <w:r w:rsidRPr="00F32020">
              <w:rPr>
                <w:sz w:val="20"/>
                <w:szCs w:val="20"/>
              </w:rPr>
              <w:t>8,369</w:t>
            </w:r>
          </w:p>
        </w:tc>
        <w:tc>
          <w:tcPr>
            <w:tcW w:w="627" w:type="pct"/>
            <w:noWrap/>
            <w:vAlign w:val="bottom"/>
            <w:hideMark/>
          </w:tcPr>
          <w:p w14:paraId="3534052F" w14:textId="77777777" w:rsidR="00324915" w:rsidRPr="00F32020" w:rsidRDefault="00324915" w:rsidP="00D314EE">
            <w:pPr>
              <w:jc w:val="center"/>
              <w:rPr>
                <w:sz w:val="20"/>
                <w:szCs w:val="20"/>
              </w:rPr>
            </w:pPr>
            <w:r w:rsidRPr="00F32020">
              <w:rPr>
                <w:sz w:val="20"/>
                <w:szCs w:val="20"/>
              </w:rPr>
              <w:t>8,369</w:t>
            </w:r>
          </w:p>
        </w:tc>
        <w:tc>
          <w:tcPr>
            <w:tcW w:w="627" w:type="pct"/>
            <w:noWrap/>
            <w:vAlign w:val="bottom"/>
            <w:hideMark/>
          </w:tcPr>
          <w:p w14:paraId="27B7BE4F" w14:textId="77777777" w:rsidR="00324915" w:rsidRPr="00F32020" w:rsidRDefault="00324915" w:rsidP="00D314EE">
            <w:pPr>
              <w:jc w:val="center"/>
              <w:rPr>
                <w:sz w:val="20"/>
                <w:szCs w:val="20"/>
              </w:rPr>
            </w:pPr>
            <w:r w:rsidRPr="00F32020">
              <w:rPr>
                <w:sz w:val="20"/>
                <w:szCs w:val="20"/>
              </w:rPr>
              <w:t>8,369</w:t>
            </w:r>
          </w:p>
        </w:tc>
      </w:tr>
      <w:tr w:rsidR="00324915" w:rsidRPr="00F32020" w14:paraId="01476F45" w14:textId="77777777" w:rsidTr="00D314EE">
        <w:trPr>
          <w:trHeight w:val="260"/>
        </w:trPr>
        <w:tc>
          <w:tcPr>
            <w:tcW w:w="2492" w:type="pct"/>
            <w:noWrap/>
            <w:vAlign w:val="bottom"/>
            <w:hideMark/>
          </w:tcPr>
          <w:p w14:paraId="30C4775B" w14:textId="77777777" w:rsidR="00324915" w:rsidRPr="00F32020" w:rsidRDefault="00324915" w:rsidP="00D314EE">
            <w:pPr>
              <w:rPr>
                <w:sz w:val="20"/>
                <w:szCs w:val="20"/>
              </w:rPr>
            </w:pPr>
            <w:r w:rsidRPr="00F32020">
              <w:rPr>
                <w:sz w:val="20"/>
                <w:szCs w:val="20"/>
              </w:rPr>
              <w:t># of Founders Dummies</w:t>
            </w:r>
          </w:p>
        </w:tc>
        <w:tc>
          <w:tcPr>
            <w:tcW w:w="753" w:type="pct"/>
            <w:noWrap/>
            <w:vAlign w:val="bottom"/>
            <w:hideMark/>
          </w:tcPr>
          <w:p w14:paraId="7C23AFE0" w14:textId="77777777" w:rsidR="00324915" w:rsidRPr="00F32020" w:rsidRDefault="00324915" w:rsidP="00D314EE">
            <w:pPr>
              <w:jc w:val="center"/>
              <w:rPr>
                <w:sz w:val="20"/>
                <w:szCs w:val="20"/>
              </w:rPr>
            </w:pPr>
            <w:r w:rsidRPr="00F32020">
              <w:rPr>
                <w:sz w:val="20"/>
                <w:szCs w:val="20"/>
              </w:rPr>
              <w:t>YES</w:t>
            </w:r>
          </w:p>
        </w:tc>
        <w:tc>
          <w:tcPr>
            <w:tcW w:w="501" w:type="pct"/>
            <w:noWrap/>
            <w:vAlign w:val="bottom"/>
            <w:hideMark/>
          </w:tcPr>
          <w:p w14:paraId="001F3212"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47D07C3C"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243ADD45" w14:textId="77777777" w:rsidR="00324915" w:rsidRPr="00F32020" w:rsidRDefault="00324915" w:rsidP="00D314EE">
            <w:pPr>
              <w:jc w:val="center"/>
              <w:rPr>
                <w:sz w:val="20"/>
                <w:szCs w:val="20"/>
              </w:rPr>
            </w:pPr>
            <w:r w:rsidRPr="00F32020">
              <w:rPr>
                <w:sz w:val="20"/>
                <w:szCs w:val="20"/>
              </w:rPr>
              <w:t>YES</w:t>
            </w:r>
          </w:p>
        </w:tc>
      </w:tr>
      <w:tr w:rsidR="00324915" w:rsidRPr="00F32020" w14:paraId="4045260A" w14:textId="77777777" w:rsidTr="00D314EE">
        <w:trPr>
          <w:trHeight w:val="260"/>
        </w:trPr>
        <w:tc>
          <w:tcPr>
            <w:tcW w:w="2492" w:type="pct"/>
            <w:noWrap/>
            <w:vAlign w:val="bottom"/>
            <w:hideMark/>
          </w:tcPr>
          <w:p w14:paraId="2C845D52" w14:textId="77777777" w:rsidR="00324915" w:rsidRPr="00F32020" w:rsidRDefault="00324915" w:rsidP="00D314EE">
            <w:pPr>
              <w:rPr>
                <w:sz w:val="20"/>
                <w:szCs w:val="20"/>
              </w:rPr>
            </w:pPr>
            <w:r w:rsidRPr="00F32020">
              <w:rPr>
                <w:sz w:val="20"/>
                <w:szCs w:val="20"/>
              </w:rPr>
              <w:t>Programme Dummies</w:t>
            </w:r>
          </w:p>
        </w:tc>
        <w:tc>
          <w:tcPr>
            <w:tcW w:w="753" w:type="pct"/>
            <w:noWrap/>
            <w:vAlign w:val="bottom"/>
            <w:hideMark/>
          </w:tcPr>
          <w:p w14:paraId="6CFCCF8E" w14:textId="77777777" w:rsidR="00324915" w:rsidRPr="00F32020" w:rsidRDefault="00324915" w:rsidP="00D314EE">
            <w:pPr>
              <w:jc w:val="center"/>
              <w:rPr>
                <w:sz w:val="20"/>
                <w:szCs w:val="20"/>
              </w:rPr>
            </w:pPr>
            <w:r w:rsidRPr="00F32020">
              <w:rPr>
                <w:sz w:val="20"/>
                <w:szCs w:val="20"/>
              </w:rPr>
              <w:t>YES</w:t>
            </w:r>
          </w:p>
        </w:tc>
        <w:tc>
          <w:tcPr>
            <w:tcW w:w="501" w:type="pct"/>
            <w:noWrap/>
            <w:vAlign w:val="bottom"/>
            <w:hideMark/>
          </w:tcPr>
          <w:p w14:paraId="39B36BD7"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333CF2E5"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443F0239" w14:textId="77777777" w:rsidR="00324915" w:rsidRPr="00F32020" w:rsidRDefault="00324915" w:rsidP="00D314EE">
            <w:pPr>
              <w:jc w:val="center"/>
              <w:rPr>
                <w:sz w:val="20"/>
                <w:szCs w:val="20"/>
              </w:rPr>
            </w:pPr>
            <w:r w:rsidRPr="00F32020">
              <w:rPr>
                <w:sz w:val="20"/>
                <w:szCs w:val="20"/>
              </w:rPr>
              <w:t>YES</w:t>
            </w:r>
          </w:p>
        </w:tc>
      </w:tr>
      <w:tr w:rsidR="00324915" w:rsidRPr="00F32020" w14:paraId="1E3BD35E" w14:textId="77777777" w:rsidTr="00D314EE">
        <w:trPr>
          <w:trHeight w:val="260"/>
        </w:trPr>
        <w:tc>
          <w:tcPr>
            <w:tcW w:w="2492" w:type="pct"/>
            <w:noWrap/>
            <w:vAlign w:val="bottom"/>
            <w:hideMark/>
          </w:tcPr>
          <w:p w14:paraId="37D12599" w14:textId="77777777" w:rsidR="00324915" w:rsidRPr="00F32020" w:rsidRDefault="00324915" w:rsidP="00D314EE">
            <w:pPr>
              <w:rPr>
                <w:sz w:val="20"/>
                <w:szCs w:val="20"/>
              </w:rPr>
            </w:pPr>
            <w:r w:rsidRPr="00F32020">
              <w:rPr>
                <w:sz w:val="20"/>
                <w:szCs w:val="20"/>
              </w:rPr>
              <w:t>Sector Dummies</w:t>
            </w:r>
          </w:p>
        </w:tc>
        <w:tc>
          <w:tcPr>
            <w:tcW w:w="753" w:type="pct"/>
            <w:noWrap/>
            <w:vAlign w:val="bottom"/>
            <w:hideMark/>
          </w:tcPr>
          <w:p w14:paraId="6D9C41DC" w14:textId="77777777" w:rsidR="00324915" w:rsidRPr="00F32020" w:rsidRDefault="00324915" w:rsidP="00D314EE">
            <w:pPr>
              <w:jc w:val="center"/>
              <w:rPr>
                <w:sz w:val="20"/>
                <w:szCs w:val="20"/>
              </w:rPr>
            </w:pPr>
            <w:r w:rsidRPr="00F32020">
              <w:rPr>
                <w:sz w:val="20"/>
                <w:szCs w:val="20"/>
              </w:rPr>
              <w:t>YES</w:t>
            </w:r>
          </w:p>
        </w:tc>
        <w:tc>
          <w:tcPr>
            <w:tcW w:w="501" w:type="pct"/>
            <w:noWrap/>
            <w:vAlign w:val="bottom"/>
            <w:hideMark/>
          </w:tcPr>
          <w:p w14:paraId="1E97889D"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3660B3E5"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36E22F42" w14:textId="77777777" w:rsidR="00324915" w:rsidRPr="00F32020" w:rsidRDefault="00324915" w:rsidP="00D314EE">
            <w:pPr>
              <w:jc w:val="center"/>
              <w:rPr>
                <w:sz w:val="20"/>
                <w:szCs w:val="20"/>
              </w:rPr>
            </w:pPr>
            <w:r w:rsidRPr="00F32020">
              <w:rPr>
                <w:sz w:val="20"/>
                <w:szCs w:val="20"/>
              </w:rPr>
              <w:t>YES</w:t>
            </w:r>
          </w:p>
        </w:tc>
      </w:tr>
      <w:tr w:rsidR="00324915" w:rsidRPr="00F32020" w14:paraId="1DF71D94" w14:textId="77777777" w:rsidTr="00D314EE">
        <w:trPr>
          <w:trHeight w:val="260"/>
        </w:trPr>
        <w:tc>
          <w:tcPr>
            <w:tcW w:w="2492" w:type="pct"/>
            <w:noWrap/>
            <w:vAlign w:val="bottom"/>
            <w:hideMark/>
          </w:tcPr>
          <w:p w14:paraId="78286F33" w14:textId="77777777" w:rsidR="00324915" w:rsidRPr="00F32020" w:rsidRDefault="00324915" w:rsidP="00D314EE">
            <w:pPr>
              <w:rPr>
                <w:sz w:val="20"/>
                <w:szCs w:val="20"/>
              </w:rPr>
            </w:pPr>
            <w:r w:rsidRPr="00F32020">
              <w:rPr>
                <w:sz w:val="20"/>
                <w:szCs w:val="20"/>
              </w:rPr>
              <w:t>Year Dummies</w:t>
            </w:r>
          </w:p>
        </w:tc>
        <w:tc>
          <w:tcPr>
            <w:tcW w:w="753" w:type="pct"/>
            <w:noWrap/>
            <w:vAlign w:val="bottom"/>
            <w:hideMark/>
          </w:tcPr>
          <w:p w14:paraId="423EDE41" w14:textId="77777777" w:rsidR="00324915" w:rsidRPr="00F32020" w:rsidRDefault="00324915" w:rsidP="00D314EE">
            <w:pPr>
              <w:jc w:val="center"/>
              <w:rPr>
                <w:sz w:val="20"/>
                <w:szCs w:val="20"/>
              </w:rPr>
            </w:pPr>
            <w:r w:rsidRPr="00F32020">
              <w:rPr>
                <w:sz w:val="20"/>
                <w:szCs w:val="20"/>
              </w:rPr>
              <w:t>YES</w:t>
            </w:r>
          </w:p>
        </w:tc>
        <w:tc>
          <w:tcPr>
            <w:tcW w:w="501" w:type="pct"/>
            <w:noWrap/>
            <w:vAlign w:val="bottom"/>
            <w:hideMark/>
          </w:tcPr>
          <w:p w14:paraId="00E13EA8"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5C2D5ABE"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52FF0F34" w14:textId="77777777" w:rsidR="00324915" w:rsidRPr="00F32020" w:rsidRDefault="00324915" w:rsidP="00D314EE">
            <w:pPr>
              <w:jc w:val="center"/>
              <w:rPr>
                <w:sz w:val="20"/>
                <w:szCs w:val="20"/>
              </w:rPr>
            </w:pPr>
            <w:r w:rsidRPr="00F32020">
              <w:rPr>
                <w:sz w:val="20"/>
                <w:szCs w:val="20"/>
              </w:rPr>
              <w:t>YES</w:t>
            </w:r>
          </w:p>
        </w:tc>
      </w:tr>
      <w:tr w:rsidR="00324915" w:rsidRPr="00F32020" w14:paraId="34B5D58E" w14:textId="77777777" w:rsidTr="00D314EE">
        <w:trPr>
          <w:trHeight w:val="260"/>
        </w:trPr>
        <w:tc>
          <w:tcPr>
            <w:tcW w:w="2492" w:type="pct"/>
            <w:noWrap/>
            <w:vAlign w:val="bottom"/>
            <w:hideMark/>
          </w:tcPr>
          <w:p w14:paraId="2C366885" w14:textId="77777777" w:rsidR="00324915" w:rsidRPr="00F32020" w:rsidRDefault="00324915" w:rsidP="00D314EE">
            <w:pPr>
              <w:rPr>
                <w:sz w:val="20"/>
                <w:szCs w:val="20"/>
              </w:rPr>
            </w:pPr>
            <w:r w:rsidRPr="00F32020">
              <w:rPr>
                <w:sz w:val="20"/>
                <w:szCs w:val="20"/>
              </w:rPr>
              <w:t>Regional Dummies</w:t>
            </w:r>
          </w:p>
        </w:tc>
        <w:tc>
          <w:tcPr>
            <w:tcW w:w="753" w:type="pct"/>
            <w:noWrap/>
            <w:vAlign w:val="bottom"/>
            <w:hideMark/>
          </w:tcPr>
          <w:p w14:paraId="3E54812C" w14:textId="77777777" w:rsidR="00324915" w:rsidRPr="00F32020" w:rsidRDefault="00324915" w:rsidP="00D314EE">
            <w:pPr>
              <w:jc w:val="center"/>
              <w:rPr>
                <w:sz w:val="20"/>
                <w:szCs w:val="20"/>
              </w:rPr>
            </w:pPr>
            <w:r w:rsidRPr="00F32020">
              <w:rPr>
                <w:sz w:val="20"/>
                <w:szCs w:val="20"/>
              </w:rPr>
              <w:t>YES</w:t>
            </w:r>
          </w:p>
        </w:tc>
        <w:tc>
          <w:tcPr>
            <w:tcW w:w="501" w:type="pct"/>
            <w:noWrap/>
            <w:vAlign w:val="bottom"/>
            <w:hideMark/>
          </w:tcPr>
          <w:p w14:paraId="4AEC3A11"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637C8A25" w14:textId="77777777" w:rsidR="00324915" w:rsidRPr="00F32020" w:rsidRDefault="00324915" w:rsidP="00D314EE">
            <w:pPr>
              <w:jc w:val="center"/>
              <w:rPr>
                <w:sz w:val="20"/>
                <w:szCs w:val="20"/>
              </w:rPr>
            </w:pPr>
            <w:r w:rsidRPr="00F32020">
              <w:rPr>
                <w:sz w:val="20"/>
                <w:szCs w:val="20"/>
              </w:rPr>
              <w:t>YES</w:t>
            </w:r>
          </w:p>
        </w:tc>
        <w:tc>
          <w:tcPr>
            <w:tcW w:w="627" w:type="pct"/>
            <w:noWrap/>
            <w:vAlign w:val="bottom"/>
            <w:hideMark/>
          </w:tcPr>
          <w:p w14:paraId="3BCCA3D4" w14:textId="77777777" w:rsidR="00324915" w:rsidRPr="00F32020" w:rsidRDefault="00324915" w:rsidP="00D314EE">
            <w:pPr>
              <w:jc w:val="center"/>
              <w:rPr>
                <w:sz w:val="20"/>
                <w:szCs w:val="20"/>
              </w:rPr>
            </w:pPr>
            <w:r w:rsidRPr="00F32020">
              <w:rPr>
                <w:sz w:val="20"/>
                <w:szCs w:val="20"/>
              </w:rPr>
              <w:t>YES</w:t>
            </w:r>
          </w:p>
        </w:tc>
      </w:tr>
      <w:tr w:rsidR="00324915" w:rsidRPr="00F32020" w14:paraId="13C77D43" w14:textId="77777777" w:rsidTr="00D314EE">
        <w:trPr>
          <w:trHeight w:val="260"/>
        </w:trPr>
        <w:tc>
          <w:tcPr>
            <w:tcW w:w="5000" w:type="pct"/>
            <w:gridSpan w:val="5"/>
            <w:tcBorders>
              <w:top w:val="single" w:sz="4" w:space="0" w:color="auto"/>
            </w:tcBorders>
            <w:noWrap/>
            <w:vAlign w:val="bottom"/>
          </w:tcPr>
          <w:p w14:paraId="3ECE84C0" w14:textId="43676C1A" w:rsidR="00324915" w:rsidRPr="00F32020" w:rsidRDefault="00324915" w:rsidP="00D314EE">
            <w:pPr>
              <w:jc w:val="both"/>
              <w:rPr>
                <w:sz w:val="20"/>
                <w:szCs w:val="20"/>
              </w:rPr>
            </w:pPr>
            <w:r w:rsidRPr="00F32020">
              <w:rPr>
                <w:sz w:val="20"/>
                <w:szCs w:val="20"/>
              </w:rPr>
              <w:lastRenderedPageBreak/>
              <w:t>Notes: Standard errors in parentheses. Multi-level logit model estimated via generalised linear mixed-effects model (GLMM), where ventures (level 1) are nested within accelerator programmes (level 2). Coefficients are reported as odds ratios (eβ) and standard errors are reported using the delta method (eβ x std. errors). Variables defined in Table A1. *** p&lt;0.01, ** p&lt;0.05, * p&lt;0.1</w:t>
            </w:r>
          </w:p>
        </w:tc>
      </w:tr>
    </w:tbl>
    <w:p w14:paraId="2F55A7B8" w14:textId="176751F9" w:rsidR="00152AEF" w:rsidRPr="00F32020" w:rsidRDefault="00152AEF" w:rsidP="002F7FD6">
      <w:pPr>
        <w:adjustRightInd w:val="0"/>
        <w:jc w:val="both"/>
        <w:rPr>
          <w:shd w:val="clear" w:color="auto" w:fill="FFFFFF"/>
          <w:lang w:val="en-US"/>
        </w:rPr>
      </w:pPr>
    </w:p>
    <w:p w14:paraId="71C07A12" w14:textId="77777777" w:rsidR="00152AEF" w:rsidRPr="00F32020" w:rsidRDefault="00152AEF">
      <w:pPr>
        <w:rPr>
          <w:shd w:val="clear" w:color="auto" w:fill="FFFFFF"/>
          <w:lang w:val="en-US"/>
        </w:rPr>
      </w:pPr>
      <w:r w:rsidRPr="00F32020">
        <w:rPr>
          <w:shd w:val="clear" w:color="auto" w:fill="FFFFFF"/>
          <w:lang w:val="en-US"/>
        </w:rPr>
        <w:br w:type="page"/>
      </w:r>
    </w:p>
    <w:p w14:paraId="1158E84F" w14:textId="77777777" w:rsidR="00152AEF" w:rsidRPr="00F32020" w:rsidRDefault="00152AEF" w:rsidP="00152AEF">
      <w:pPr>
        <w:rPr>
          <w:b/>
          <w:bCs/>
          <w:shd w:val="clear" w:color="auto" w:fill="FFFFFF"/>
        </w:rPr>
      </w:pPr>
      <w:r w:rsidRPr="00F32020">
        <w:rPr>
          <w:b/>
          <w:bCs/>
          <w:shd w:val="clear" w:color="auto" w:fill="FFFFFF"/>
        </w:rPr>
        <w:lastRenderedPageBreak/>
        <w:t>ONLINE APPENDIX - SUPPLEMENTARY MATERIAL</w:t>
      </w:r>
    </w:p>
    <w:p w14:paraId="1AD4D70C" w14:textId="77777777" w:rsidR="00152AEF" w:rsidRPr="00F32020" w:rsidRDefault="00152AEF" w:rsidP="00152AEF">
      <w:pPr>
        <w:rPr>
          <w:b/>
          <w:bCs/>
          <w:sz w:val="32"/>
          <w:szCs w:val="32"/>
        </w:rPr>
      </w:pPr>
    </w:p>
    <w:p w14:paraId="724AB19C" w14:textId="77777777" w:rsidR="00152AEF" w:rsidRPr="00F32020" w:rsidRDefault="00152AEF" w:rsidP="00152AEF">
      <w:pPr>
        <w:rPr>
          <w:b/>
          <w:bCs/>
          <w:sz w:val="32"/>
          <w:szCs w:val="32"/>
        </w:rPr>
      </w:pPr>
      <w:r w:rsidRPr="00F32020">
        <w:rPr>
          <w:b/>
          <w:bCs/>
          <w:sz w:val="32"/>
          <w:szCs w:val="32"/>
        </w:rPr>
        <w:t xml:space="preserve">Cultural diversity in new venture founding teams: does it matter for </w:t>
      </w:r>
      <w:r w:rsidRPr="00F32020">
        <w:rPr>
          <w:rFonts w:eastAsia="CharisSIL"/>
          <w:b/>
          <w:bCs/>
          <w:sz w:val="32"/>
          <w:szCs w:val="32"/>
        </w:rPr>
        <w:t>accelerators’ selection decisions?</w:t>
      </w:r>
    </w:p>
    <w:p w14:paraId="368CAE1A" w14:textId="77777777" w:rsidR="00152AEF" w:rsidRPr="00F32020" w:rsidRDefault="00152AEF" w:rsidP="00152AEF">
      <w:pPr>
        <w:rPr>
          <w:b/>
          <w:bCs/>
          <w:shd w:val="clear" w:color="auto" w:fill="FFFFFF"/>
        </w:rPr>
      </w:pPr>
    </w:p>
    <w:p w14:paraId="4DFFDBCF" w14:textId="77777777" w:rsidR="00152AEF" w:rsidRPr="00F32020" w:rsidRDefault="00152AEF" w:rsidP="00152AEF">
      <w:pPr>
        <w:jc w:val="center"/>
        <w:rPr>
          <w:b/>
          <w:bCs/>
          <w:shd w:val="clear" w:color="auto" w:fill="FFFFFF"/>
        </w:rPr>
      </w:pPr>
    </w:p>
    <w:p w14:paraId="6BA06F29" w14:textId="77777777" w:rsidR="00152AEF" w:rsidRPr="00F32020" w:rsidRDefault="00152AEF" w:rsidP="00152AEF">
      <w:pPr>
        <w:spacing w:line="360" w:lineRule="auto"/>
        <w:rPr>
          <w:b/>
          <w:bCs/>
        </w:rPr>
      </w:pPr>
      <w:r w:rsidRPr="00F32020">
        <w:rPr>
          <w:b/>
          <w:bCs/>
          <w:shd w:val="clear" w:color="auto" w:fill="FFFFFF"/>
        </w:rPr>
        <w:t xml:space="preserve">I. </w:t>
      </w:r>
      <w:r w:rsidRPr="00F32020">
        <w:rPr>
          <w:b/>
          <w:bCs/>
        </w:rPr>
        <w:t>Discussion of national cultural indicators</w:t>
      </w:r>
    </w:p>
    <w:p w14:paraId="04D5655E" w14:textId="47EA4F05" w:rsidR="00152AEF" w:rsidRPr="00F32020" w:rsidRDefault="00152AEF" w:rsidP="00152AEF">
      <w:pPr>
        <w:spacing w:line="360" w:lineRule="auto"/>
        <w:jc w:val="both"/>
      </w:pPr>
      <w:r w:rsidRPr="00F32020">
        <w:t>The four cultural dimensions that we use in the main part of our analysis (i.e. power distance, uncertainty avoidance, individualism, masculinity), were originally developed in the 1970s by Hofstede (1980), whilst the two dimensions that we consider in robustness analysis (i.e. long-term orientation and indulgence) were added in subsequent work (Hofstede and Bond, 1988; Hofstede et al., 2010).</w:t>
      </w:r>
      <w:r w:rsidRPr="00F32020">
        <w:rPr>
          <w:rStyle w:val="FootnoteReference"/>
        </w:rPr>
        <w:footnoteReference w:id="3"/>
      </w:r>
      <w:r w:rsidRPr="00F32020">
        <w:t xml:space="preserve"> As in Frijns et al. (2016) we focus on the four main indicators because </w:t>
      </w:r>
      <w:r w:rsidR="00AA1BE4">
        <w:t xml:space="preserve">(i) </w:t>
      </w:r>
      <w:r w:rsidRPr="00F32020">
        <w:t xml:space="preserve">they are the ones used in most studies (Kreiser et al., 2010; Zheng et al., 2012; </w:t>
      </w:r>
      <w:r w:rsidRPr="00F32020">
        <w:rPr>
          <w:rFonts w:eastAsiaTheme="minorHAnsi"/>
          <w:lang w:eastAsia="en-US"/>
        </w:rPr>
        <w:t xml:space="preserve">El Ghoul and Zheng, 2016; Boubakri and Saffar, 2016; </w:t>
      </w:r>
      <w:r w:rsidRPr="00F32020">
        <w:t xml:space="preserve">Nash and Patel, 2019), </w:t>
      </w:r>
      <w:r w:rsidR="00AA1BE4" w:rsidRPr="00AA1BE4">
        <w:rPr>
          <w:lang w:val="en-US"/>
        </w:rPr>
        <w:t>(</w:t>
      </w:r>
      <w:r w:rsidR="00AA1BE4">
        <w:rPr>
          <w:lang w:val="en-US"/>
        </w:rPr>
        <w:t xml:space="preserve">ii) </w:t>
      </w:r>
      <w:r w:rsidRPr="00F32020">
        <w:t xml:space="preserve">the inclusion of the additional two indicators reduces substantially the number of ventures for which we have cultural information for all six indicators and for all the founders.  Additionally, the fifth and sixth dimension were computed </w:t>
      </w:r>
      <w:r w:rsidRPr="00F32020">
        <w:rPr>
          <w:rStyle w:val="Emphasis"/>
          <w:i w:val="0"/>
          <w:iCs w:val="0"/>
        </w:rPr>
        <w:t>ex post</w:t>
      </w:r>
      <w:r w:rsidRPr="00F32020">
        <w:t xml:space="preserve"> based on different surveys and among a different set of participants, leading to potential inconsistencies (Zheng et al., 2012; Frijns et al., 2016). However, as mentioned earlier, we consider these two additional indicators in robustness tests. </w:t>
      </w:r>
    </w:p>
    <w:p w14:paraId="099E892A" w14:textId="77777777" w:rsidR="00152AEF" w:rsidRPr="00F32020" w:rsidRDefault="00152AEF" w:rsidP="00152AEF">
      <w:pPr>
        <w:spacing w:line="360" w:lineRule="auto"/>
        <w:ind w:firstLine="720"/>
        <w:jc w:val="both"/>
      </w:pPr>
      <w:r w:rsidRPr="00F32020">
        <w:t>The cultural dimension of power distance refers to “</w:t>
      </w:r>
      <w:r w:rsidRPr="00F32020">
        <w:rPr>
          <w:rFonts w:eastAsiaTheme="minorHAnsi"/>
          <w:lang w:eastAsia="en-US"/>
        </w:rPr>
        <w:t>the extent to which the less powerful members of institutions and organisations within a country expect and accept that power is distributed unequally</w:t>
      </w:r>
      <w:r w:rsidRPr="00F32020">
        <w:rPr>
          <w:rFonts w:eastAsiaTheme="minorHAnsi"/>
          <w:i/>
          <w:iCs/>
          <w:lang w:eastAsia="en-US"/>
        </w:rPr>
        <w:t xml:space="preserve">” </w:t>
      </w:r>
      <w:r w:rsidRPr="00F32020">
        <w:rPr>
          <w:rFonts w:eastAsiaTheme="minorHAnsi"/>
          <w:lang w:eastAsia="en-US"/>
        </w:rPr>
        <w:t>(Hofstede et al., 2010; p. 61).</w:t>
      </w:r>
      <w:r w:rsidRPr="00F32020">
        <w:t xml:space="preserve"> For the construction of the </w:t>
      </w:r>
      <w:r w:rsidRPr="00F32020">
        <w:rPr>
          <w:iCs/>
        </w:rPr>
        <w:t>Power Distance Index,</w:t>
      </w:r>
      <w:r w:rsidRPr="00F32020">
        <w:rPr>
          <w:i/>
        </w:rPr>
        <w:t xml:space="preserve"> </w:t>
      </w:r>
      <w:r w:rsidRPr="00F32020">
        <w:rPr>
          <w:iCs/>
        </w:rPr>
        <w:t xml:space="preserve">Hofstede relied on the answers </w:t>
      </w:r>
      <w:r w:rsidRPr="00F32020">
        <w:t>to the following three survey questions: (i) Are employees afraid to express their disagreement with their managers? (ii) What are the subordinates’ perception of their bosses’ actual decision-making style? and (iii) What do subordinates prefer as their bosses’ decision-making style.</w:t>
      </w:r>
      <w:r w:rsidRPr="00F32020">
        <w:rPr>
          <w:sz w:val="20"/>
          <w:szCs w:val="20"/>
        </w:rPr>
        <w:t xml:space="preserve"> </w:t>
      </w:r>
      <w:r w:rsidRPr="00F32020">
        <w:t xml:space="preserve">Newman and Nollen (1996) mention that power distance in organisations may have implications for the degree of centralisation, formal hierarchy and the amount of participation in decision making in organisations. Furthermore, Kreiser et al. (2010) assert that managers in low power distance cultures will be more forward-looking when implementing corporate strategies, firms will </w:t>
      </w:r>
      <w:r w:rsidRPr="00F32020">
        <w:lastRenderedPageBreak/>
        <w:t xml:space="preserve">attempt to distinguish themselves from one another aiming to improve their industry standing, and they will enact proactive strategies to exploit opportunities as a means of survival. Given the above, a culture of power distance may have implications not only for the strategic decision and the future performance of the venture, but also for the interpersonal relationships between the founders and their stand towards participative leadership. </w:t>
      </w:r>
    </w:p>
    <w:p w14:paraId="2200C4B6" w14:textId="77777777" w:rsidR="00152AEF" w:rsidRPr="00F32020" w:rsidRDefault="00152AEF" w:rsidP="00152AEF">
      <w:pPr>
        <w:spacing w:line="360" w:lineRule="auto"/>
        <w:ind w:firstLine="720"/>
        <w:jc w:val="both"/>
        <w:rPr>
          <w:rFonts w:eastAsiaTheme="minorHAnsi"/>
          <w:lang w:eastAsia="en-US"/>
        </w:rPr>
      </w:pPr>
      <w:r w:rsidRPr="00F32020">
        <w:t>The cultural dimension of uncertainty avoidance</w:t>
      </w:r>
      <w:r w:rsidRPr="00F32020">
        <w:rPr>
          <w:rFonts w:eastAsiaTheme="minorHAnsi"/>
          <w:i/>
          <w:iCs/>
          <w:lang w:eastAsia="en-US"/>
        </w:rPr>
        <w:t xml:space="preserve"> </w:t>
      </w:r>
      <w:r w:rsidRPr="00F32020">
        <w:rPr>
          <w:rFonts w:eastAsiaTheme="minorHAnsi"/>
          <w:lang w:eastAsia="en-US"/>
        </w:rPr>
        <w:t>refers to</w:t>
      </w:r>
      <w:r w:rsidRPr="00F32020">
        <w:rPr>
          <w:rFonts w:eastAsiaTheme="minorHAnsi"/>
          <w:i/>
          <w:iCs/>
          <w:lang w:eastAsia="en-US"/>
        </w:rPr>
        <w:t xml:space="preserve"> </w:t>
      </w:r>
      <w:r w:rsidRPr="00F32020">
        <w:rPr>
          <w:rFonts w:eastAsiaTheme="minorHAnsi"/>
          <w:lang w:eastAsia="en-US"/>
        </w:rPr>
        <w:t>“</w:t>
      </w:r>
      <w:r w:rsidRPr="00F32020">
        <w:rPr>
          <w:rFonts w:eastAsiaTheme="minorHAnsi"/>
          <w:i/>
          <w:iCs/>
          <w:lang w:eastAsia="en-US"/>
        </w:rPr>
        <w:t>the extent to which the members of a culture feel threatened by ambiguous or unknown situations”</w:t>
      </w:r>
      <w:r w:rsidRPr="00F32020">
        <w:rPr>
          <w:rFonts w:eastAsiaTheme="minorHAnsi"/>
          <w:lang w:eastAsia="en-US"/>
        </w:rPr>
        <w:t xml:space="preserve"> (Hofstede et al., 2010; p. 191). </w:t>
      </w:r>
      <w:r w:rsidRPr="00F32020">
        <w:t xml:space="preserve">For the estimation of the uncertainty avoidance index, Hofstede relied on answers to questions related to job stress, rule orientation, and intention for a long-term career with the same firm. A national culture of uncertainty avoidance has been negatively associated with both firm risk-taking (Kreiser et al., 2010; Li et al., 2013) </w:t>
      </w:r>
      <w:r w:rsidRPr="00F32020">
        <w:rPr>
          <w:rFonts w:eastAsiaTheme="minorHAnsi"/>
          <w:lang w:eastAsia="en-US"/>
        </w:rPr>
        <w:t xml:space="preserve">and proactive firm behaviour </w:t>
      </w:r>
      <w:r w:rsidRPr="00F32020">
        <w:t>(Kreiser et al., 2010)</w:t>
      </w:r>
      <w:r w:rsidRPr="00F32020">
        <w:rPr>
          <w:rFonts w:eastAsiaTheme="minorHAnsi"/>
          <w:lang w:eastAsia="en-US"/>
        </w:rPr>
        <w:t>. However, as discussed in Hofstede et al. (2010), high uncertainty avoidance does not necessarily mean that</w:t>
      </w:r>
      <w:r w:rsidRPr="00F32020">
        <w:t xml:space="preserve"> </w:t>
      </w:r>
      <w:r w:rsidRPr="00F32020">
        <w:rPr>
          <w:rFonts w:eastAsiaTheme="minorHAnsi"/>
          <w:lang w:eastAsia="en-US"/>
        </w:rPr>
        <w:t>people do not take risks. Rather, they accept familiar risks, the ultimate goal being the reduction of ambiguity and unfamiliar risks. Interestingly, Hofstede et al. (2010) also point out that people in uncertainty-avoiding cultures look for structure in their organisations, institutions, and relationships that makes events clearly interpretable</w:t>
      </w:r>
      <w:r w:rsidRPr="00F32020">
        <w:t xml:space="preserve"> </w:t>
      </w:r>
      <w:r w:rsidRPr="00F32020">
        <w:rPr>
          <w:rFonts w:eastAsiaTheme="minorHAnsi"/>
          <w:lang w:eastAsia="en-US"/>
        </w:rPr>
        <w:t xml:space="preserve">and predictable. Along the same lines, Bogatyreva et al. (2019) mention that </w:t>
      </w:r>
      <w:r w:rsidRPr="00F32020">
        <w:t>in societies characterised by strong uncertainty avoidance, the engagement into the entrepreneurial process is expected to induce emotions of action doubt</w:t>
      </w:r>
      <w:r w:rsidRPr="00F32020">
        <w:rPr>
          <w:rFonts w:eastAsiaTheme="minorHAnsi"/>
          <w:lang w:eastAsia="en-US"/>
        </w:rPr>
        <w:t xml:space="preserve">. Therefore, a diversity in these preferences and expectations among the founding members, could have important implications for the venture and the signals that it sends.  </w:t>
      </w:r>
    </w:p>
    <w:p w14:paraId="1287334A" w14:textId="77777777" w:rsidR="00152AEF" w:rsidRPr="00F32020" w:rsidRDefault="00152AEF" w:rsidP="00152AEF">
      <w:pPr>
        <w:spacing w:line="360" w:lineRule="auto"/>
        <w:ind w:firstLine="720"/>
        <w:jc w:val="both"/>
      </w:pPr>
      <w:r w:rsidRPr="00F32020">
        <w:rPr>
          <w:rFonts w:eastAsiaTheme="minorHAnsi"/>
          <w:lang w:eastAsia="en-US"/>
        </w:rPr>
        <w:t>The third dimension of natural culture, known as individualism (versus collectivism), can be defined as follows: “Individualism pertains to societies in which the ties between individuals are loose: everyone is expected to look after him- or herself and his or her immediate family. Collectivism as its opposite pertains to societies in which people from birth onward are integrated into strong, cohesive in-groups, which throughout people’s lifetime continue to protect them in exchange for unquestioning loyalty</w:t>
      </w:r>
      <w:r w:rsidRPr="00F32020">
        <w:rPr>
          <w:rFonts w:eastAsiaTheme="minorHAnsi"/>
          <w:i/>
          <w:iCs/>
          <w:lang w:eastAsia="en-US"/>
        </w:rPr>
        <w:t xml:space="preserve">” </w:t>
      </w:r>
      <w:r w:rsidRPr="00F32020">
        <w:rPr>
          <w:rFonts w:eastAsiaTheme="minorHAnsi"/>
          <w:lang w:eastAsia="en-US"/>
        </w:rPr>
        <w:t xml:space="preserve">(Hofstede et al., 2010; p. 92). </w:t>
      </w:r>
      <w:r w:rsidRPr="00F32020">
        <w:t xml:space="preserve">This dimension was constructed on the basis of answers to questions related to work goals like having personal time, the freedom to adopt own approach to the job, a challenging work to do, training opportunities, good physical working conditions, and use of skills and abilities on the job. Hofstede et al. (2010) point out various differences between individualistic and collectivistic societies, that could be of interest in our context. For example, persons from an </w:t>
      </w:r>
      <w:r w:rsidRPr="00F32020">
        <w:rPr>
          <w:rFonts w:eastAsiaTheme="minorHAnsi"/>
          <w:lang w:eastAsia="en-US"/>
        </w:rPr>
        <w:t xml:space="preserve">individualistic culture would be expected to act according to their own interests, have individual ownership of resources, and a preference for low-context communication. </w:t>
      </w:r>
      <w:r w:rsidRPr="00F32020">
        <w:rPr>
          <w:rFonts w:eastAsiaTheme="minorHAnsi"/>
          <w:lang w:eastAsia="en-US"/>
        </w:rPr>
        <w:lastRenderedPageBreak/>
        <w:t xml:space="preserve">Furthermore, in an individualist society, the task is supposed to prevail over any personal relationship, whereas the opposite holds in a collectivist society.  On top of these differences, many scholars associate a culture of individualism with managerial overconfidence and </w:t>
      </w:r>
      <w:r w:rsidRPr="00F32020">
        <w:t>attribution bias</w:t>
      </w:r>
      <w:r w:rsidRPr="00F32020">
        <w:rPr>
          <w:rFonts w:eastAsiaTheme="minorHAnsi"/>
          <w:lang w:eastAsia="en-US"/>
        </w:rPr>
        <w:t xml:space="preserve"> (Chui et al., 2010; Ferris et al., 2013; Blomkvist et al., 2018). In turn, this may have positive or negative implications, like research and development investments (Shao et al., 2013), patents generation (Chen et al., 2017), corporate investment distortions (Malmendier and Tate, 2005), and lower response to corrective feedback in improving management forecast accuracy (Chen et al., 2015). </w:t>
      </w:r>
      <w:r w:rsidRPr="00F32020">
        <w:t>Therefore, it is natural to assume that having founders coming from an individualistic versus collectivistic society will have implications for the cohesion and efficient operation of the founding team.</w:t>
      </w:r>
    </w:p>
    <w:p w14:paraId="67C7680F" w14:textId="77777777" w:rsidR="00152AEF" w:rsidRPr="00F32020" w:rsidRDefault="00152AEF" w:rsidP="00152AEF">
      <w:pPr>
        <w:spacing w:line="360" w:lineRule="auto"/>
        <w:ind w:firstLine="720"/>
        <w:jc w:val="both"/>
      </w:pPr>
      <w:r w:rsidRPr="00F32020">
        <w:rPr>
          <w:rFonts w:eastAsiaTheme="minorHAnsi"/>
          <w:lang w:eastAsia="en-US"/>
        </w:rPr>
        <w:t xml:space="preserve">The fourth dimension of masculinity versus femininity was formed based on the importance attached to eight work goal items (earnings, recognition, advancement, challenge, manager, cooperation, living area, employment security) in the original survey of Hofstede, with men and women employees scoring consistently differently (Hofstede et al., 2010). </w:t>
      </w:r>
      <w:r w:rsidRPr="00F32020">
        <w:t>At the societal level, Hofstede et al. (2010, p. 140) mention that “</w:t>
      </w:r>
      <w:r w:rsidRPr="00F32020">
        <w:rPr>
          <w:rFonts w:eastAsiaTheme="minorHAnsi"/>
          <w:lang w:eastAsia="en-US"/>
        </w:rPr>
        <w:t>A society is called masculine when emotional gender roles are clearly</w:t>
      </w:r>
      <w:r w:rsidRPr="00F32020">
        <w:t xml:space="preserve"> </w:t>
      </w:r>
      <w:r w:rsidRPr="00F32020">
        <w:rPr>
          <w:rFonts w:eastAsiaTheme="minorHAnsi"/>
          <w:lang w:eastAsia="en-US"/>
        </w:rPr>
        <w:t>distinct: men are supposed to be assertive, tough, and focused on material</w:t>
      </w:r>
      <w:r w:rsidRPr="00F32020">
        <w:t xml:space="preserve"> </w:t>
      </w:r>
      <w:r w:rsidRPr="00F32020">
        <w:rPr>
          <w:rFonts w:eastAsiaTheme="minorHAnsi"/>
          <w:lang w:eastAsia="en-US"/>
        </w:rPr>
        <w:t>success, whereas women are supposed to be more modest, tender, and concerned</w:t>
      </w:r>
      <w:r w:rsidRPr="00F32020">
        <w:t xml:space="preserve"> </w:t>
      </w:r>
      <w:r w:rsidRPr="00F32020">
        <w:rPr>
          <w:rFonts w:eastAsiaTheme="minorHAnsi"/>
          <w:lang w:eastAsia="en-US"/>
        </w:rPr>
        <w:t>with the quality of life.</w:t>
      </w:r>
      <w:r w:rsidRPr="00F32020">
        <w:t xml:space="preserve"> </w:t>
      </w:r>
      <w:r w:rsidRPr="00F32020">
        <w:rPr>
          <w:rFonts w:eastAsiaTheme="minorHAnsi"/>
          <w:lang w:eastAsia="en-US"/>
        </w:rPr>
        <w:t>A society is called feminine when emotional gender roles overlap:</w:t>
      </w:r>
      <w:r w:rsidRPr="00F32020">
        <w:t xml:space="preserve"> </w:t>
      </w:r>
      <w:r w:rsidRPr="00F32020">
        <w:rPr>
          <w:rFonts w:eastAsiaTheme="minorHAnsi"/>
          <w:lang w:eastAsia="en-US"/>
        </w:rPr>
        <w:t>both men and women are supposed to be modest, tender, and concerned</w:t>
      </w:r>
      <w:r w:rsidRPr="00F32020">
        <w:t xml:space="preserve"> </w:t>
      </w:r>
      <w:r w:rsidRPr="00F32020">
        <w:rPr>
          <w:rFonts w:eastAsiaTheme="minorHAnsi"/>
          <w:lang w:eastAsia="en-US"/>
        </w:rPr>
        <w:t>with the quality of life</w:t>
      </w:r>
      <w:r w:rsidRPr="00F32020">
        <w:rPr>
          <w:rFonts w:eastAsiaTheme="minorHAnsi"/>
          <w:i/>
          <w:iCs/>
          <w:lang w:eastAsia="en-US"/>
        </w:rPr>
        <w:t xml:space="preserve">”. </w:t>
      </w:r>
      <w:r w:rsidRPr="00F32020">
        <w:t xml:space="preserve">Therefore, </w:t>
      </w:r>
      <w:r w:rsidRPr="00F32020">
        <w:rPr>
          <w:rFonts w:ascii="Times" w:eastAsiaTheme="minorHAnsi" w:hAnsi="Times" w:cs="BellMT"/>
          <w:lang w:eastAsia="en-US"/>
        </w:rPr>
        <w:t>m</w:t>
      </w:r>
      <w:r w:rsidRPr="00F32020">
        <w:rPr>
          <w:rFonts w:eastAsiaTheme="minorHAnsi"/>
          <w:lang w:eastAsia="en-US"/>
        </w:rPr>
        <w:t>asculinity as a cultural characteristic describes societies that are aggressive, competitive, and more task and</w:t>
      </w:r>
      <w:r w:rsidRPr="00F32020">
        <w:t xml:space="preserve"> </w:t>
      </w:r>
      <w:r w:rsidRPr="00F32020">
        <w:rPr>
          <w:rFonts w:eastAsiaTheme="minorHAnsi"/>
          <w:lang w:eastAsia="en-US"/>
        </w:rPr>
        <w:t>performance oriented, in contrast to feminine societies that are relationship oriented, and are based on trust, tolerance and societal interactions (Boubakri and Saffar, 2016).</w:t>
      </w:r>
      <w:r w:rsidRPr="00F32020">
        <w:t xml:space="preserve"> </w:t>
      </w:r>
      <w:r w:rsidRPr="00F32020">
        <w:rPr>
          <w:rFonts w:eastAsiaTheme="minorHAnsi"/>
          <w:lang w:eastAsia="en-US"/>
        </w:rPr>
        <w:t>In the business context, managers in masculine societies are driven by performance, they tend to examine the facts individually, reach conclusions on</w:t>
      </w:r>
      <w:r w:rsidRPr="00F32020">
        <w:t xml:space="preserve"> </w:t>
      </w:r>
      <w:r w:rsidRPr="00F32020">
        <w:rPr>
          <w:rFonts w:eastAsiaTheme="minorHAnsi"/>
          <w:lang w:eastAsia="en-US"/>
        </w:rPr>
        <w:t>their own, and make decisions based on their personal judgment</w:t>
      </w:r>
      <w:r w:rsidRPr="00F32020">
        <w:t xml:space="preserve"> (Chang and Noorbakhsh, 2009). Furthermore, driven by the high need for achievement, managers in masculine cultures are ambitious and more willing to engage in calculated, business-related risk-taking than other managers, whilst they also value decisive and immediate actions (Kreiser et al., 2010). </w:t>
      </w:r>
    </w:p>
    <w:p w14:paraId="67F000E8" w14:textId="77777777" w:rsidR="00152AEF" w:rsidRPr="00F32020" w:rsidRDefault="00152AEF" w:rsidP="00152AEF">
      <w:pPr>
        <w:spacing w:line="360" w:lineRule="auto"/>
        <w:ind w:firstLine="720"/>
        <w:jc w:val="both"/>
      </w:pPr>
    </w:p>
    <w:p w14:paraId="7D5FAEFA" w14:textId="77777777" w:rsidR="00152AEF" w:rsidRPr="00F32020" w:rsidRDefault="00152AEF" w:rsidP="00152AEF">
      <w:pPr>
        <w:spacing w:line="360" w:lineRule="auto"/>
        <w:ind w:firstLine="720"/>
        <w:jc w:val="both"/>
      </w:pPr>
    </w:p>
    <w:p w14:paraId="5AC89FD5" w14:textId="77777777" w:rsidR="00152AEF" w:rsidRPr="00F32020" w:rsidRDefault="00152AEF" w:rsidP="00152AEF">
      <w:pPr>
        <w:spacing w:line="360" w:lineRule="auto"/>
        <w:ind w:firstLine="720"/>
        <w:jc w:val="both"/>
      </w:pPr>
    </w:p>
    <w:p w14:paraId="5DA8A7B0" w14:textId="77777777" w:rsidR="00152AEF" w:rsidRPr="00F32020" w:rsidRDefault="00152AEF" w:rsidP="00152AEF">
      <w:r w:rsidRPr="00F32020">
        <w:br w:type="page"/>
      </w:r>
    </w:p>
    <w:p w14:paraId="2A35E7B3" w14:textId="3FD129FB" w:rsidR="00152AEF" w:rsidRPr="00F32020" w:rsidRDefault="00152AEF" w:rsidP="00152AEF">
      <w:pPr>
        <w:spacing w:line="360" w:lineRule="auto"/>
        <w:jc w:val="both"/>
        <w:rPr>
          <w:b/>
          <w:bCs/>
        </w:rPr>
      </w:pPr>
      <w:r w:rsidRPr="00F32020">
        <w:rPr>
          <w:b/>
          <w:bCs/>
        </w:rPr>
        <w:lastRenderedPageBreak/>
        <w:t xml:space="preserve">II. </w:t>
      </w:r>
      <w:r w:rsidR="000D48CE" w:rsidRPr="00F32020">
        <w:rPr>
          <w:b/>
          <w:bCs/>
        </w:rPr>
        <w:t xml:space="preserve">Sample, </w:t>
      </w:r>
      <w:r w:rsidRPr="00F32020">
        <w:rPr>
          <w:b/>
          <w:bCs/>
        </w:rPr>
        <w:t xml:space="preserve">Variable description and correlation coefficients </w:t>
      </w:r>
    </w:p>
    <w:p w14:paraId="126F33D5" w14:textId="77777777" w:rsidR="00757469" w:rsidRPr="00F32020" w:rsidRDefault="00757469" w:rsidP="00757469">
      <w:pPr>
        <w:spacing w:line="360" w:lineRule="auto"/>
        <w:jc w:val="both"/>
        <w:rPr>
          <w:b/>
          <w:bCs/>
        </w:rPr>
      </w:pPr>
      <w:r w:rsidRPr="00F32020">
        <w:rPr>
          <w:b/>
          <w:bCs/>
        </w:rPr>
        <w:t xml:space="preserve">Table A1 </w:t>
      </w:r>
    </w:p>
    <w:p w14:paraId="4F2428A0" w14:textId="77777777" w:rsidR="00757469" w:rsidRPr="00F32020" w:rsidRDefault="00757469" w:rsidP="00757469">
      <w:pPr>
        <w:spacing w:line="360" w:lineRule="auto"/>
        <w:jc w:val="both"/>
        <w:rPr>
          <w:b/>
          <w:bCs/>
        </w:rPr>
      </w:pPr>
      <w:r w:rsidRPr="00F32020">
        <w:rPr>
          <w:b/>
          <w:bCs/>
        </w:rPr>
        <w:t>Panel A. Applicant ventures’ HQ sample distribution</w:t>
      </w:r>
    </w:p>
    <w:p w14:paraId="39376F72" w14:textId="1C786E53" w:rsidR="00757469" w:rsidRPr="00F32020" w:rsidRDefault="00757469" w:rsidP="00757469">
      <w:pPr>
        <w:spacing w:line="360" w:lineRule="auto"/>
        <w:jc w:val="both"/>
      </w:pPr>
      <w:r w:rsidRPr="00F32020">
        <w:rPr>
          <w:b/>
          <w:bCs/>
        </w:rPr>
        <w:t>NB.</w:t>
      </w:r>
      <w:r w:rsidRPr="00F32020">
        <w:t xml:space="preserve"> Data based on baseline model sub-sample. Country names are in accordance </w:t>
      </w:r>
      <w:r w:rsidR="00742697" w:rsidRPr="00F32020">
        <w:t>with</w:t>
      </w:r>
      <w:r w:rsidRPr="00F32020">
        <w:t xml:space="preserve"> the official name accepted by the United Nations</w:t>
      </w:r>
    </w:p>
    <w:tbl>
      <w:tblPr>
        <w:tblW w:w="9549" w:type="dxa"/>
        <w:tblLook w:val="04A0" w:firstRow="1" w:lastRow="0" w:firstColumn="1" w:lastColumn="0" w:noHBand="0" w:noVBand="1"/>
      </w:tblPr>
      <w:tblGrid>
        <w:gridCol w:w="5042"/>
        <w:gridCol w:w="1630"/>
        <w:gridCol w:w="1510"/>
        <w:gridCol w:w="1636"/>
      </w:tblGrid>
      <w:tr w:rsidR="00757469" w:rsidRPr="00F32020" w14:paraId="3DE3706C" w14:textId="77777777" w:rsidTr="00E1138F">
        <w:trPr>
          <w:trHeight w:val="340"/>
        </w:trPr>
        <w:tc>
          <w:tcPr>
            <w:tcW w:w="5042" w:type="dxa"/>
            <w:tcBorders>
              <w:top w:val="single" w:sz="4" w:space="0" w:color="auto"/>
              <w:bottom w:val="single" w:sz="4" w:space="0" w:color="auto"/>
            </w:tcBorders>
            <w:noWrap/>
            <w:vAlign w:val="center"/>
            <w:hideMark/>
          </w:tcPr>
          <w:p w14:paraId="1EBB42C8" w14:textId="77777777" w:rsidR="00757469" w:rsidRPr="00F32020" w:rsidRDefault="00757469" w:rsidP="00EC7CDF">
            <w:pPr>
              <w:rPr>
                <w:b/>
                <w:bCs/>
              </w:rPr>
            </w:pPr>
            <w:r w:rsidRPr="00F32020">
              <w:rPr>
                <w:b/>
                <w:bCs/>
              </w:rPr>
              <w:t>Venture's HQ Country</w:t>
            </w:r>
          </w:p>
        </w:tc>
        <w:tc>
          <w:tcPr>
            <w:tcW w:w="1630" w:type="dxa"/>
            <w:tcBorders>
              <w:top w:val="single" w:sz="4" w:space="0" w:color="auto"/>
              <w:bottom w:val="single" w:sz="4" w:space="0" w:color="auto"/>
            </w:tcBorders>
            <w:noWrap/>
            <w:vAlign w:val="center"/>
            <w:hideMark/>
          </w:tcPr>
          <w:p w14:paraId="178C55ED" w14:textId="77777777" w:rsidR="00757469" w:rsidRPr="00F32020" w:rsidRDefault="00757469" w:rsidP="00EC7CDF">
            <w:pPr>
              <w:jc w:val="center"/>
              <w:rPr>
                <w:b/>
                <w:bCs/>
              </w:rPr>
            </w:pPr>
            <w:r w:rsidRPr="00F32020">
              <w:rPr>
                <w:b/>
                <w:bCs/>
              </w:rPr>
              <w:t>Applications</w:t>
            </w:r>
          </w:p>
          <w:p w14:paraId="10FDA862" w14:textId="45E65695" w:rsidR="00E1138F" w:rsidRPr="00F32020" w:rsidRDefault="00E1138F" w:rsidP="00EC7CDF">
            <w:pPr>
              <w:jc w:val="center"/>
              <w:rPr>
                <w:b/>
                <w:bCs/>
              </w:rPr>
            </w:pPr>
            <w:r w:rsidRPr="00F32020">
              <w:rPr>
                <w:b/>
                <w:bCs/>
              </w:rPr>
              <w:t>Submitted</w:t>
            </w:r>
          </w:p>
        </w:tc>
        <w:tc>
          <w:tcPr>
            <w:tcW w:w="1241" w:type="dxa"/>
            <w:tcBorders>
              <w:top w:val="single" w:sz="4" w:space="0" w:color="auto"/>
              <w:bottom w:val="single" w:sz="4" w:space="0" w:color="auto"/>
            </w:tcBorders>
            <w:noWrap/>
            <w:vAlign w:val="center"/>
            <w:hideMark/>
          </w:tcPr>
          <w:p w14:paraId="3B95FAAC" w14:textId="77777777" w:rsidR="00E1138F" w:rsidRPr="00F32020" w:rsidRDefault="00E1138F" w:rsidP="00EC7CDF">
            <w:pPr>
              <w:jc w:val="center"/>
              <w:rPr>
                <w:b/>
                <w:bCs/>
              </w:rPr>
            </w:pPr>
            <w:r w:rsidRPr="00F32020">
              <w:rPr>
                <w:b/>
                <w:bCs/>
              </w:rPr>
              <w:t>Applications</w:t>
            </w:r>
          </w:p>
          <w:p w14:paraId="6E317424" w14:textId="161B97A9" w:rsidR="00757469" w:rsidRPr="00F32020" w:rsidRDefault="00757469" w:rsidP="00EC7CDF">
            <w:pPr>
              <w:jc w:val="center"/>
              <w:rPr>
                <w:b/>
                <w:bCs/>
              </w:rPr>
            </w:pPr>
            <w:r w:rsidRPr="00F32020">
              <w:rPr>
                <w:b/>
                <w:bCs/>
              </w:rPr>
              <w:t>Selected</w:t>
            </w:r>
          </w:p>
        </w:tc>
        <w:tc>
          <w:tcPr>
            <w:tcW w:w="1636" w:type="dxa"/>
            <w:tcBorders>
              <w:top w:val="single" w:sz="4" w:space="0" w:color="auto"/>
              <w:bottom w:val="single" w:sz="4" w:space="0" w:color="auto"/>
            </w:tcBorders>
            <w:noWrap/>
            <w:vAlign w:val="center"/>
            <w:hideMark/>
          </w:tcPr>
          <w:p w14:paraId="267F92B6" w14:textId="77777777" w:rsidR="00E1138F" w:rsidRPr="00F32020" w:rsidRDefault="00E1138F" w:rsidP="00EC7CDF">
            <w:pPr>
              <w:jc w:val="center"/>
              <w:rPr>
                <w:b/>
                <w:bCs/>
              </w:rPr>
            </w:pPr>
            <w:r w:rsidRPr="00F32020">
              <w:rPr>
                <w:b/>
                <w:bCs/>
              </w:rPr>
              <w:t>Applications</w:t>
            </w:r>
          </w:p>
          <w:p w14:paraId="7A418049" w14:textId="460770CF" w:rsidR="00757469" w:rsidRPr="00F32020" w:rsidRDefault="00757469" w:rsidP="00EC7CDF">
            <w:pPr>
              <w:jc w:val="center"/>
              <w:rPr>
                <w:b/>
                <w:bCs/>
              </w:rPr>
            </w:pPr>
            <w:r w:rsidRPr="00F32020">
              <w:rPr>
                <w:b/>
                <w:bCs/>
              </w:rPr>
              <w:t>Selected (%)</w:t>
            </w:r>
          </w:p>
        </w:tc>
      </w:tr>
      <w:tr w:rsidR="00757469" w:rsidRPr="00F32020" w14:paraId="2B78F805" w14:textId="77777777" w:rsidTr="00E1138F">
        <w:trPr>
          <w:trHeight w:val="340"/>
        </w:trPr>
        <w:tc>
          <w:tcPr>
            <w:tcW w:w="5042" w:type="dxa"/>
            <w:tcBorders>
              <w:top w:val="single" w:sz="4" w:space="0" w:color="auto"/>
            </w:tcBorders>
            <w:noWrap/>
            <w:vAlign w:val="center"/>
            <w:hideMark/>
          </w:tcPr>
          <w:p w14:paraId="595CBB78" w14:textId="77777777" w:rsidR="00757469" w:rsidRPr="00F32020" w:rsidRDefault="00757469" w:rsidP="00EC7CDF">
            <w:r w:rsidRPr="00F32020">
              <w:t>United States of America</w:t>
            </w:r>
          </w:p>
        </w:tc>
        <w:tc>
          <w:tcPr>
            <w:tcW w:w="1630" w:type="dxa"/>
            <w:tcBorders>
              <w:top w:val="single" w:sz="4" w:space="0" w:color="auto"/>
            </w:tcBorders>
            <w:noWrap/>
            <w:vAlign w:val="center"/>
            <w:hideMark/>
          </w:tcPr>
          <w:p w14:paraId="5590DB6F" w14:textId="7725661E" w:rsidR="00757469" w:rsidRPr="00F32020" w:rsidRDefault="00757469" w:rsidP="00EC7CDF">
            <w:pPr>
              <w:jc w:val="center"/>
            </w:pPr>
            <w:r w:rsidRPr="00F32020">
              <w:t>1</w:t>
            </w:r>
            <w:r w:rsidR="00544B0A" w:rsidRPr="00F32020">
              <w:t>,</w:t>
            </w:r>
            <w:r w:rsidRPr="00F32020">
              <w:t>955</w:t>
            </w:r>
          </w:p>
        </w:tc>
        <w:tc>
          <w:tcPr>
            <w:tcW w:w="1241" w:type="dxa"/>
            <w:tcBorders>
              <w:top w:val="single" w:sz="4" w:space="0" w:color="auto"/>
            </w:tcBorders>
            <w:noWrap/>
            <w:vAlign w:val="center"/>
            <w:hideMark/>
          </w:tcPr>
          <w:p w14:paraId="313F204B" w14:textId="77777777" w:rsidR="00757469" w:rsidRPr="00F32020" w:rsidRDefault="00757469" w:rsidP="00EC7CDF">
            <w:pPr>
              <w:jc w:val="center"/>
            </w:pPr>
            <w:r w:rsidRPr="00F32020">
              <w:t>410</w:t>
            </w:r>
          </w:p>
        </w:tc>
        <w:tc>
          <w:tcPr>
            <w:tcW w:w="1636" w:type="dxa"/>
            <w:tcBorders>
              <w:top w:val="single" w:sz="4" w:space="0" w:color="auto"/>
            </w:tcBorders>
            <w:noWrap/>
            <w:vAlign w:val="center"/>
            <w:hideMark/>
          </w:tcPr>
          <w:p w14:paraId="5DC6B775" w14:textId="77777777" w:rsidR="00757469" w:rsidRPr="00F32020" w:rsidRDefault="00757469" w:rsidP="00EC7CDF">
            <w:pPr>
              <w:jc w:val="center"/>
            </w:pPr>
            <w:r w:rsidRPr="00F32020">
              <w:t>20.97</w:t>
            </w:r>
          </w:p>
        </w:tc>
      </w:tr>
      <w:tr w:rsidR="00757469" w:rsidRPr="00F32020" w14:paraId="56D28A2A" w14:textId="77777777" w:rsidTr="00E1138F">
        <w:trPr>
          <w:trHeight w:val="340"/>
        </w:trPr>
        <w:tc>
          <w:tcPr>
            <w:tcW w:w="5042" w:type="dxa"/>
            <w:noWrap/>
            <w:vAlign w:val="center"/>
            <w:hideMark/>
          </w:tcPr>
          <w:p w14:paraId="5ACF9C99" w14:textId="77777777" w:rsidR="00757469" w:rsidRPr="00F32020" w:rsidRDefault="00757469" w:rsidP="00EC7CDF">
            <w:r w:rsidRPr="00F32020">
              <w:t>United Mexican States</w:t>
            </w:r>
          </w:p>
        </w:tc>
        <w:tc>
          <w:tcPr>
            <w:tcW w:w="1630" w:type="dxa"/>
            <w:noWrap/>
            <w:vAlign w:val="center"/>
            <w:hideMark/>
          </w:tcPr>
          <w:p w14:paraId="69B7900B" w14:textId="70CB77BE" w:rsidR="00757469" w:rsidRPr="00F32020" w:rsidRDefault="00757469" w:rsidP="00EC7CDF">
            <w:pPr>
              <w:jc w:val="center"/>
            </w:pPr>
            <w:r w:rsidRPr="00F32020">
              <w:t>1</w:t>
            </w:r>
            <w:r w:rsidR="00544B0A" w:rsidRPr="00F32020">
              <w:t>,</w:t>
            </w:r>
            <w:r w:rsidRPr="00F32020">
              <w:t>316</w:t>
            </w:r>
          </w:p>
        </w:tc>
        <w:tc>
          <w:tcPr>
            <w:tcW w:w="1241" w:type="dxa"/>
            <w:noWrap/>
            <w:vAlign w:val="center"/>
            <w:hideMark/>
          </w:tcPr>
          <w:p w14:paraId="421DD681" w14:textId="77777777" w:rsidR="00757469" w:rsidRPr="00F32020" w:rsidRDefault="00757469" w:rsidP="00EC7CDF">
            <w:pPr>
              <w:jc w:val="center"/>
            </w:pPr>
            <w:r w:rsidRPr="00F32020">
              <w:t>313</w:t>
            </w:r>
          </w:p>
        </w:tc>
        <w:tc>
          <w:tcPr>
            <w:tcW w:w="1636" w:type="dxa"/>
            <w:noWrap/>
            <w:vAlign w:val="center"/>
            <w:hideMark/>
          </w:tcPr>
          <w:p w14:paraId="0DBAEAE8" w14:textId="77777777" w:rsidR="00757469" w:rsidRPr="00F32020" w:rsidRDefault="00757469" w:rsidP="00EC7CDF">
            <w:pPr>
              <w:jc w:val="center"/>
            </w:pPr>
            <w:r w:rsidRPr="00F32020">
              <w:t>23.78</w:t>
            </w:r>
          </w:p>
        </w:tc>
      </w:tr>
      <w:tr w:rsidR="00757469" w:rsidRPr="00F32020" w14:paraId="42F8621E" w14:textId="77777777" w:rsidTr="00E1138F">
        <w:trPr>
          <w:trHeight w:val="340"/>
        </w:trPr>
        <w:tc>
          <w:tcPr>
            <w:tcW w:w="5042" w:type="dxa"/>
            <w:noWrap/>
            <w:vAlign w:val="center"/>
            <w:hideMark/>
          </w:tcPr>
          <w:p w14:paraId="660B5CD3" w14:textId="77777777" w:rsidR="00757469" w:rsidRPr="00F32020" w:rsidRDefault="00757469" w:rsidP="00EC7CDF">
            <w:r w:rsidRPr="00F32020">
              <w:t>Republic of India</w:t>
            </w:r>
          </w:p>
        </w:tc>
        <w:tc>
          <w:tcPr>
            <w:tcW w:w="1630" w:type="dxa"/>
            <w:noWrap/>
            <w:vAlign w:val="center"/>
            <w:hideMark/>
          </w:tcPr>
          <w:p w14:paraId="5CF4F63F" w14:textId="48BDB520" w:rsidR="00757469" w:rsidRPr="00F32020" w:rsidRDefault="00757469" w:rsidP="00EC7CDF">
            <w:pPr>
              <w:jc w:val="center"/>
            </w:pPr>
            <w:r w:rsidRPr="00F32020">
              <w:t>1</w:t>
            </w:r>
            <w:r w:rsidR="00544B0A" w:rsidRPr="00F32020">
              <w:t>,</w:t>
            </w:r>
            <w:r w:rsidRPr="00F32020">
              <w:t>185</w:t>
            </w:r>
          </w:p>
        </w:tc>
        <w:tc>
          <w:tcPr>
            <w:tcW w:w="1241" w:type="dxa"/>
            <w:noWrap/>
            <w:vAlign w:val="center"/>
            <w:hideMark/>
          </w:tcPr>
          <w:p w14:paraId="3C97C8CC" w14:textId="77777777" w:rsidR="00757469" w:rsidRPr="00F32020" w:rsidRDefault="00757469" w:rsidP="00EC7CDF">
            <w:pPr>
              <w:jc w:val="center"/>
            </w:pPr>
            <w:r w:rsidRPr="00F32020">
              <w:t>101</w:t>
            </w:r>
          </w:p>
        </w:tc>
        <w:tc>
          <w:tcPr>
            <w:tcW w:w="1636" w:type="dxa"/>
            <w:noWrap/>
            <w:vAlign w:val="center"/>
            <w:hideMark/>
          </w:tcPr>
          <w:p w14:paraId="25FF01E5" w14:textId="77777777" w:rsidR="00757469" w:rsidRPr="00F32020" w:rsidRDefault="00757469" w:rsidP="00EC7CDF">
            <w:pPr>
              <w:jc w:val="center"/>
            </w:pPr>
            <w:r w:rsidRPr="00F32020">
              <w:t>8.52</w:t>
            </w:r>
          </w:p>
        </w:tc>
      </w:tr>
      <w:tr w:rsidR="00757469" w:rsidRPr="00F32020" w14:paraId="44A785C0" w14:textId="77777777" w:rsidTr="00E1138F">
        <w:trPr>
          <w:trHeight w:val="340"/>
        </w:trPr>
        <w:tc>
          <w:tcPr>
            <w:tcW w:w="5042" w:type="dxa"/>
            <w:noWrap/>
            <w:vAlign w:val="center"/>
            <w:hideMark/>
          </w:tcPr>
          <w:p w14:paraId="4DD8EE04" w14:textId="77777777" w:rsidR="00757469" w:rsidRPr="00F32020" w:rsidRDefault="00757469" w:rsidP="00EC7CDF">
            <w:r w:rsidRPr="00F32020">
              <w:t>Republic of Kenya</w:t>
            </w:r>
          </w:p>
        </w:tc>
        <w:tc>
          <w:tcPr>
            <w:tcW w:w="1630" w:type="dxa"/>
            <w:noWrap/>
            <w:vAlign w:val="center"/>
            <w:hideMark/>
          </w:tcPr>
          <w:p w14:paraId="162FF67B" w14:textId="77777777" w:rsidR="00757469" w:rsidRPr="00F32020" w:rsidRDefault="00757469" w:rsidP="00EC7CDF">
            <w:pPr>
              <w:jc w:val="center"/>
            </w:pPr>
            <w:r w:rsidRPr="00F32020">
              <w:t>834</w:t>
            </w:r>
          </w:p>
        </w:tc>
        <w:tc>
          <w:tcPr>
            <w:tcW w:w="1241" w:type="dxa"/>
            <w:noWrap/>
            <w:vAlign w:val="center"/>
            <w:hideMark/>
          </w:tcPr>
          <w:p w14:paraId="490F9D28" w14:textId="77777777" w:rsidR="00757469" w:rsidRPr="00F32020" w:rsidRDefault="00757469" w:rsidP="00EC7CDF">
            <w:pPr>
              <w:jc w:val="center"/>
            </w:pPr>
            <w:r w:rsidRPr="00F32020">
              <w:t>118</w:t>
            </w:r>
          </w:p>
        </w:tc>
        <w:tc>
          <w:tcPr>
            <w:tcW w:w="1636" w:type="dxa"/>
            <w:noWrap/>
            <w:vAlign w:val="center"/>
            <w:hideMark/>
          </w:tcPr>
          <w:p w14:paraId="770CE484" w14:textId="77777777" w:rsidR="00757469" w:rsidRPr="00F32020" w:rsidRDefault="00757469" w:rsidP="00EC7CDF">
            <w:pPr>
              <w:jc w:val="center"/>
            </w:pPr>
            <w:r w:rsidRPr="00F32020">
              <w:t>14.15</w:t>
            </w:r>
          </w:p>
        </w:tc>
      </w:tr>
      <w:tr w:rsidR="00757469" w:rsidRPr="00F32020" w14:paraId="3EF7A0E2" w14:textId="77777777" w:rsidTr="00E1138F">
        <w:trPr>
          <w:trHeight w:val="340"/>
        </w:trPr>
        <w:tc>
          <w:tcPr>
            <w:tcW w:w="5042" w:type="dxa"/>
            <w:noWrap/>
            <w:vAlign w:val="center"/>
            <w:hideMark/>
          </w:tcPr>
          <w:p w14:paraId="69C302DF" w14:textId="77777777" w:rsidR="00757469" w:rsidRPr="00F32020" w:rsidRDefault="00757469" w:rsidP="00EC7CDF">
            <w:r w:rsidRPr="00F32020">
              <w:t>Republic of Chile</w:t>
            </w:r>
          </w:p>
        </w:tc>
        <w:tc>
          <w:tcPr>
            <w:tcW w:w="1630" w:type="dxa"/>
            <w:noWrap/>
            <w:vAlign w:val="center"/>
            <w:hideMark/>
          </w:tcPr>
          <w:p w14:paraId="795202F8" w14:textId="77777777" w:rsidR="00757469" w:rsidRPr="00F32020" w:rsidRDefault="00757469" w:rsidP="00EC7CDF">
            <w:pPr>
              <w:jc w:val="center"/>
            </w:pPr>
            <w:r w:rsidRPr="00F32020">
              <w:t>639</w:t>
            </w:r>
          </w:p>
        </w:tc>
        <w:tc>
          <w:tcPr>
            <w:tcW w:w="1241" w:type="dxa"/>
            <w:noWrap/>
            <w:vAlign w:val="center"/>
            <w:hideMark/>
          </w:tcPr>
          <w:p w14:paraId="5A48DBC1" w14:textId="77777777" w:rsidR="00757469" w:rsidRPr="00F32020" w:rsidRDefault="00757469" w:rsidP="00EC7CDF">
            <w:pPr>
              <w:jc w:val="center"/>
            </w:pPr>
            <w:r w:rsidRPr="00F32020">
              <w:t>114</w:t>
            </w:r>
          </w:p>
        </w:tc>
        <w:tc>
          <w:tcPr>
            <w:tcW w:w="1636" w:type="dxa"/>
            <w:noWrap/>
            <w:vAlign w:val="center"/>
            <w:hideMark/>
          </w:tcPr>
          <w:p w14:paraId="3823581A" w14:textId="77777777" w:rsidR="00757469" w:rsidRPr="00F32020" w:rsidRDefault="00757469" w:rsidP="00EC7CDF">
            <w:pPr>
              <w:jc w:val="center"/>
            </w:pPr>
            <w:r w:rsidRPr="00F32020">
              <w:t>17.84</w:t>
            </w:r>
          </w:p>
        </w:tc>
      </w:tr>
      <w:tr w:rsidR="00757469" w:rsidRPr="00F32020" w14:paraId="20781A90" w14:textId="77777777" w:rsidTr="00E1138F">
        <w:trPr>
          <w:trHeight w:val="340"/>
        </w:trPr>
        <w:tc>
          <w:tcPr>
            <w:tcW w:w="5042" w:type="dxa"/>
            <w:noWrap/>
            <w:vAlign w:val="center"/>
            <w:hideMark/>
          </w:tcPr>
          <w:p w14:paraId="3CE3C3DC" w14:textId="77777777" w:rsidR="00757469" w:rsidRPr="00F32020" w:rsidRDefault="00757469" w:rsidP="00EC7CDF">
            <w:r w:rsidRPr="00F32020">
              <w:t>Federative Republic of Brazil</w:t>
            </w:r>
          </w:p>
        </w:tc>
        <w:tc>
          <w:tcPr>
            <w:tcW w:w="1630" w:type="dxa"/>
            <w:noWrap/>
            <w:vAlign w:val="center"/>
            <w:hideMark/>
          </w:tcPr>
          <w:p w14:paraId="08DDACE3" w14:textId="77777777" w:rsidR="00757469" w:rsidRPr="00F32020" w:rsidRDefault="00757469" w:rsidP="00EC7CDF">
            <w:pPr>
              <w:jc w:val="center"/>
            </w:pPr>
            <w:r w:rsidRPr="00F32020">
              <w:t>508</w:t>
            </w:r>
          </w:p>
        </w:tc>
        <w:tc>
          <w:tcPr>
            <w:tcW w:w="1241" w:type="dxa"/>
            <w:noWrap/>
            <w:vAlign w:val="center"/>
            <w:hideMark/>
          </w:tcPr>
          <w:p w14:paraId="3B3E2B66" w14:textId="77777777" w:rsidR="00757469" w:rsidRPr="00F32020" w:rsidRDefault="00757469" w:rsidP="00EC7CDF">
            <w:pPr>
              <w:jc w:val="center"/>
            </w:pPr>
            <w:r w:rsidRPr="00F32020">
              <w:t>73</w:t>
            </w:r>
          </w:p>
        </w:tc>
        <w:tc>
          <w:tcPr>
            <w:tcW w:w="1636" w:type="dxa"/>
            <w:noWrap/>
            <w:vAlign w:val="center"/>
            <w:hideMark/>
          </w:tcPr>
          <w:p w14:paraId="5B13C4F7" w14:textId="77777777" w:rsidR="00757469" w:rsidRPr="00F32020" w:rsidRDefault="00757469" w:rsidP="00EC7CDF">
            <w:pPr>
              <w:jc w:val="center"/>
            </w:pPr>
            <w:r w:rsidRPr="00F32020">
              <w:t>14.37</w:t>
            </w:r>
          </w:p>
        </w:tc>
      </w:tr>
      <w:tr w:rsidR="00757469" w:rsidRPr="00F32020" w14:paraId="0C96CDF2" w14:textId="77777777" w:rsidTr="00E1138F">
        <w:trPr>
          <w:trHeight w:val="340"/>
        </w:trPr>
        <w:tc>
          <w:tcPr>
            <w:tcW w:w="5042" w:type="dxa"/>
            <w:noWrap/>
            <w:vAlign w:val="center"/>
            <w:hideMark/>
          </w:tcPr>
          <w:p w14:paraId="3A9FD031" w14:textId="77777777" w:rsidR="00757469" w:rsidRPr="00F32020" w:rsidRDefault="00757469" w:rsidP="00EC7CDF">
            <w:r w:rsidRPr="00F32020">
              <w:t>Federal Republic of Nigeria</w:t>
            </w:r>
          </w:p>
        </w:tc>
        <w:tc>
          <w:tcPr>
            <w:tcW w:w="1630" w:type="dxa"/>
            <w:noWrap/>
            <w:vAlign w:val="center"/>
            <w:hideMark/>
          </w:tcPr>
          <w:p w14:paraId="2002C563" w14:textId="77777777" w:rsidR="00757469" w:rsidRPr="00F32020" w:rsidRDefault="00757469" w:rsidP="00EC7CDF">
            <w:pPr>
              <w:jc w:val="center"/>
            </w:pPr>
            <w:r w:rsidRPr="00F32020">
              <w:t>364</w:t>
            </w:r>
          </w:p>
        </w:tc>
        <w:tc>
          <w:tcPr>
            <w:tcW w:w="1241" w:type="dxa"/>
            <w:noWrap/>
            <w:vAlign w:val="center"/>
            <w:hideMark/>
          </w:tcPr>
          <w:p w14:paraId="255B3BC9" w14:textId="77777777" w:rsidR="00757469" w:rsidRPr="00F32020" w:rsidRDefault="00757469" w:rsidP="00EC7CDF">
            <w:pPr>
              <w:jc w:val="center"/>
            </w:pPr>
            <w:r w:rsidRPr="00F32020">
              <w:t>26</w:t>
            </w:r>
          </w:p>
        </w:tc>
        <w:tc>
          <w:tcPr>
            <w:tcW w:w="1636" w:type="dxa"/>
            <w:noWrap/>
            <w:vAlign w:val="center"/>
            <w:hideMark/>
          </w:tcPr>
          <w:p w14:paraId="3811592C" w14:textId="77777777" w:rsidR="00757469" w:rsidRPr="00F32020" w:rsidRDefault="00757469" w:rsidP="00EC7CDF">
            <w:pPr>
              <w:jc w:val="center"/>
            </w:pPr>
            <w:r w:rsidRPr="00F32020">
              <w:t>7.14</w:t>
            </w:r>
          </w:p>
        </w:tc>
      </w:tr>
      <w:tr w:rsidR="00757469" w:rsidRPr="00F32020" w14:paraId="5354AE53" w14:textId="77777777" w:rsidTr="00E1138F">
        <w:trPr>
          <w:trHeight w:val="340"/>
        </w:trPr>
        <w:tc>
          <w:tcPr>
            <w:tcW w:w="5042" w:type="dxa"/>
            <w:noWrap/>
            <w:vAlign w:val="center"/>
            <w:hideMark/>
          </w:tcPr>
          <w:p w14:paraId="1067720B" w14:textId="77777777" w:rsidR="00757469" w:rsidRPr="00F32020" w:rsidRDefault="00757469" w:rsidP="00EC7CDF">
            <w:r w:rsidRPr="00F32020">
              <w:t>Republic of Colombia</w:t>
            </w:r>
          </w:p>
        </w:tc>
        <w:tc>
          <w:tcPr>
            <w:tcW w:w="1630" w:type="dxa"/>
            <w:noWrap/>
            <w:vAlign w:val="center"/>
            <w:hideMark/>
          </w:tcPr>
          <w:p w14:paraId="6B8EBB27" w14:textId="77777777" w:rsidR="00757469" w:rsidRPr="00F32020" w:rsidRDefault="00757469" w:rsidP="00EC7CDF">
            <w:pPr>
              <w:jc w:val="center"/>
            </w:pPr>
            <w:r w:rsidRPr="00F32020">
              <w:t>328</w:t>
            </w:r>
          </w:p>
        </w:tc>
        <w:tc>
          <w:tcPr>
            <w:tcW w:w="1241" w:type="dxa"/>
            <w:noWrap/>
            <w:vAlign w:val="center"/>
            <w:hideMark/>
          </w:tcPr>
          <w:p w14:paraId="5DAEB8FC" w14:textId="77777777" w:rsidR="00757469" w:rsidRPr="00F32020" w:rsidRDefault="00757469" w:rsidP="00EC7CDF">
            <w:pPr>
              <w:jc w:val="center"/>
            </w:pPr>
            <w:r w:rsidRPr="00F32020">
              <w:t>72</w:t>
            </w:r>
          </w:p>
        </w:tc>
        <w:tc>
          <w:tcPr>
            <w:tcW w:w="1636" w:type="dxa"/>
            <w:noWrap/>
            <w:vAlign w:val="center"/>
            <w:hideMark/>
          </w:tcPr>
          <w:p w14:paraId="12FB7218" w14:textId="77777777" w:rsidR="00757469" w:rsidRPr="00F32020" w:rsidRDefault="00757469" w:rsidP="00EC7CDF">
            <w:pPr>
              <w:jc w:val="center"/>
            </w:pPr>
            <w:r w:rsidRPr="00F32020">
              <w:t>21.95</w:t>
            </w:r>
          </w:p>
        </w:tc>
      </w:tr>
      <w:tr w:rsidR="00757469" w:rsidRPr="00F32020" w14:paraId="0EA2C7FE" w14:textId="77777777" w:rsidTr="00E1138F">
        <w:trPr>
          <w:trHeight w:val="340"/>
        </w:trPr>
        <w:tc>
          <w:tcPr>
            <w:tcW w:w="5042" w:type="dxa"/>
            <w:noWrap/>
            <w:vAlign w:val="center"/>
            <w:hideMark/>
          </w:tcPr>
          <w:p w14:paraId="72B09B6A" w14:textId="77777777" w:rsidR="00757469" w:rsidRPr="00F32020" w:rsidRDefault="00757469" w:rsidP="00EC7CDF">
            <w:r w:rsidRPr="00F32020">
              <w:t>Republic of Ecuador</w:t>
            </w:r>
          </w:p>
        </w:tc>
        <w:tc>
          <w:tcPr>
            <w:tcW w:w="1630" w:type="dxa"/>
            <w:noWrap/>
            <w:vAlign w:val="center"/>
            <w:hideMark/>
          </w:tcPr>
          <w:p w14:paraId="7C47159C" w14:textId="77777777" w:rsidR="00757469" w:rsidRPr="00F32020" w:rsidRDefault="00757469" w:rsidP="00EC7CDF">
            <w:pPr>
              <w:jc w:val="center"/>
            </w:pPr>
            <w:r w:rsidRPr="00F32020">
              <w:t>181</w:t>
            </w:r>
          </w:p>
        </w:tc>
        <w:tc>
          <w:tcPr>
            <w:tcW w:w="1241" w:type="dxa"/>
            <w:noWrap/>
            <w:vAlign w:val="center"/>
            <w:hideMark/>
          </w:tcPr>
          <w:p w14:paraId="4E14F549" w14:textId="77777777" w:rsidR="00757469" w:rsidRPr="00F32020" w:rsidRDefault="00757469" w:rsidP="00EC7CDF">
            <w:pPr>
              <w:jc w:val="center"/>
            </w:pPr>
            <w:r w:rsidRPr="00F32020">
              <w:t>59</w:t>
            </w:r>
          </w:p>
        </w:tc>
        <w:tc>
          <w:tcPr>
            <w:tcW w:w="1636" w:type="dxa"/>
            <w:noWrap/>
            <w:vAlign w:val="center"/>
            <w:hideMark/>
          </w:tcPr>
          <w:p w14:paraId="1512D5DA" w14:textId="77777777" w:rsidR="00757469" w:rsidRPr="00F32020" w:rsidRDefault="00757469" w:rsidP="00EC7CDF">
            <w:pPr>
              <w:jc w:val="center"/>
            </w:pPr>
            <w:r w:rsidRPr="00F32020">
              <w:t>32.60</w:t>
            </w:r>
          </w:p>
        </w:tc>
      </w:tr>
      <w:tr w:rsidR="00757469" w:rsidRPr="00F32020" w14:paraId="4608B9DB" w14:textId="77777777" w:rsidTr="00E1138F">
        <w:trPr>
          <w:trHeight w:val="340"/>
        </w:trPr>
        <w:tc>
          <w:tcPr>
            <w:tcW w:w="5042" w:type="dxa"/>
            <w:noWrap/>
            <w:vAlign w:val="center"/>
            <w:hideMark/>
          </w:tcPr>
          <w:p w14:paraId="15DF0CCE" w14:textId="77777777" w:rsidR="00757469" w:rsidRPr="00F32020" w:rsidRDefault="00757469" w:rsidP="00EC7CDF">
            <w:r w:rsidRPr="00F32020">
              <w:t>Republic of South Africa</w:t>
            </w:r>
          </w:p>
        </w:tc>
        <w:tc>
          <w:tcPr>
            <w:tcW w:w="1630" w:type="dxa"/>
            <w:noWrap/>
            <w:vAlign w:val="center"/>
            <w:hideMark/>
          </w:tcPr>
          <w:p w14:paraId="28FAF0C9" w14:textId="77777777" w:rsidR="00757469" w:rsidRPr="00F32020" w:rsidRDefault="00757469" w:rsidP="00EC7CDF">
            <w:pPr>
              <w:jc w:val="center"/>
            </w:pPr>
            <w:r w:rsidRPr="00F32020">
              <w:t>171</w:t>
            </w:r>
          </w:p>
        </w:tc>
        <w:tc>
          <w:tcPr>
            <w:tcW w:w="1241" w:type="dxa"/>
            <w:noWrap/>
            <w:vAlign w:val="center"/>
            <w:hideMark/>
          </w:tcPr>
          <w:p w14:paraId="3DF42078" w14:textId="77777777" w:rsidR="00757469" w:rsidRPr="00F32020" w:rsidRDefault="00757469" w:rsidP="00EC7CDF">
            <w:pPr>
              <w:jc w:val="center"/>
            </w:pPr>
            <w:r w:rsidRPr="00F32020">
              <w:t>23</w:t>
            </w:r>
          </w:p>
        </w:tc>
        <w:tc>
          <w:tcPr>
            <w:tcW w:w="1636" w:type="dxa"/>
            <w:noWrap/>
            <w:vAlign w:val="center"/>
            <w:hideMark/>
          </w:tcPr>
          <w:p w14:paraId="598E6014" w14:textId="77777777" w:rsidR="00757469" w:rsidRPr="00F32020" w:rsidRDefault="00757469" w:rsidP="00EC7CDF">
            <w:pPr>
              <w:jc w:val="center"/>
            </w:pPr>
            <w:r w:rsidRPr="00F32020">
              <w:t>13.45</w:t>
            </w:r>
          </w:p>
        </w:tc>
      </w:tr>
      <w:tr w:rsidR="00757469" w:rsidRPr="00F32020" w14:paraId="1AB7C425" w14:textId="77777777" w:rsidTr="00E1138F">
        <w:trPr>
          <w:trHeight w:val="340"/>
        </w:trPr>
        <w:tc>
          <w:tcPr>
            <w:tcW w:w="5042" w:type="dxa"/>
            <w:noWrap/>
            <w:vAlign w:val="center"/>
            <w:hideMark/>
          </w:tcPr>
          <w:p w14:paraId="57CED130" w14:textId="77777777" w:rsidR="00757469" w:rsidRPr="00F32020" w:rsidRDefault="00757469" w:rsidP="00EC7CDF">
            <w:r w:rsidRPr="00F32020">
              <w:t>Republic of Indonesia</w:t>
            </w:r>
          </w:p>
        </w:tc>
        <w:tc>
          <w:tcPr>
            <w:tcW w:w="1630" w:type="dxa"/>
            <w:noWrap/>
            <w:vAlign w:val="center"/>
            <w:hideMark/>
          </w:tcPr>
          <w:p w14:paraId="343BF4FB" w14:textId="77777777" w:rsidR="00757469" w:rsidRPr="00F32020" w:rsidRDefault="00757469" w:rsidP="00EC7CDF">
            <w:pPr>
              <w:jc w:val="center"/>
            </w:pPr>
            <w:r w:rsidRPr="00F32020">
              <w:t>112</w:t>
            </w:r>
          </w:p>
        </w:tc>
        <w:tc>
          <w:tcPr>
            <w:tcW w:w="1241" w:type="dxa"/>
            <w:noWrap/>
            <w:vAlign w:val="center"/>
            <w:hideMark/>
          </w:tcPr>
          <w:p w14:paraId="7B321327" w14:textId="77777777" w:rsidR="00757469" w:rsidRPr="00F32020" w:rsidRDefault="00757469" w:rsidP="00EC7CDF">
            <w:pPr>
              <w:jc w:val="center"/>
            </w:pPr>
            <w:r w:rsidRPr="00F32020">
              <w:t>24</w:t>
            </w:r>
          </w:p>
        </w:tc>
        <w:tc>
          <w:tcPr>
            <w:tcW w:w="1636" w:type="dxa"/>
            <w:noWrap/>
            <w:vAlign w:val="center"/>
            <w:hideMark/>
          </w:tcPr>
          <w:p w14:paraId="4B15B46E" w14:textId="77777777" w:rsidR="00757469" w:rsidRPr="00F32020" w:rsidRDefault="00757469" w:rsidP="00EC7CDF">
            <w:pPr>
              <w:jc w:val="center"/>
            </w:pPr>
            <w:r w:rsidRPr="00F32020">
              <w:t>21.43</w:t>
            </w:r>
          </w:p>
        </w:tc>
      </w:tr>
      <w:tr w:rsidR="00757469" w:rsidRPr="00F32020" w14:paraId="635B94F4" w14:textId="77777777" w:rsidTr="00E1138F">
        <w:trPr>
          <w:trHeight w:val="340"/>
        </w:trPr>
        <w:tc>
          <w:tcPr>
            <w:tcW w:w="5042" w:type="dxa"/>
            <w:noWrap/>
            <w:vAlign w:val="center"/>
            <w:hideMark/>
          </w:tcPr>
          <w:p w14:paraId="16EC6D4D" w14:textId="77777777" w:rsidR="00757469" w:rsidRPr="00F32020" w:rsidRDefault="00757469" w:rsidP="00EC7CDF">
            <w:r w:rsidRPr="00F32020">
              <w:t>Republic of Guatemala</w:t>
            </w:r>
          </w:p>
        </w:tc>
        <w:tc>
          <w:tcPr>
            <w:tcW w:w="1630" w:type="dxa"/>
            <w:noWrap/>
            <w:vAlign w:val="center"/>
            <w:hideMark/>
          </w:tcPr>
          <w:p w14:paraId="0729DCBF" w14:textId="77777777" w:rsidR="00757469" w:rsidRPr="00F32020" w:rsidRDefault="00757469" w:rsidP="00EC7CDF">
            <w:pPr>
              <w:jc w:val="center"/>
            </w:pPr>
            <w:r w:rsidRPr="00F32020">
              <w:t>107</w:t>
            </w:r>
          </w:p>
        </w:tc>
        <w:tc>
          <w:tcPr>
            <w:tcW w:w="1241" w:type="dxa"/>
            <w:noWrap/>
            <w:vAlign w:val="center"/>
            <w:hideMark/>
          </w:tcPr>
          <w:p w14:paraId="6C064095" w14:textId="77777777" w:rsidR="00757469" w:rsidRPr="00F32020" w:rsidRDefault="00757469" w:rsidP="00EC7CDF">
            <w:pPr>
              <w:jc w:val="center"/>
            </w:pPr>
            <w:r w:rsidRPr="00F32020">
              <w:t>68</w:t>
            </w:r>
          </w:p>
        </w:tc>
        <w:tc>
          <w:tcPr>
            <w:tcW w:w="1636" w:type="dxa"/>
            <w:noWrap/>
            <w:vAlign w:val="center"/>
            <w:hideMark/>
          </w:tcPr>
          <w:p w14:paraId="46E892FB" w14:textId="77777777" w:rsidR="00757469" w:rsidRPr="00F32020" w:rsidRDefault="00757469" w:rsidP="00EC7CDF">
            <w:pPr>
              <w:jc w:val="center"/>
            </w:pPr>
            <w:r w:rsidRPr="00F32020">
              <w:t>63.55</w:t>
            </w:r>
          </w:p>
        </w:tc>
      </w:tr>
      <w:tr w:rsidR="00757469" w:rsidRPr="00F32020" w14:paraId="7E2854AB" w14:textId="77777777" w:rsidTr="00E1138F">
        <w:trPr>
          <w:trHeight w:val="340"/>
        </w:trPr>
        <w:tc>
          <w:tcPr>
            <w:tcW w:w="5042" w:type="dxa"/>
            <w:noWrap/>
            <w:vAlign w:val="center"/>
            <w:hideMark/>
          </w:tcPr>
          <w:p w14:paraId="4B6E3273" w14:textId="77777777" w:rsidR="00757469" w:rsidRPr="00F32020" w:rsidRDefault="00757469" w:rsidP="00EC7CDF">
            <w:r w:rsidRPr="00F32020">
              <w:t>United Republic of Tanzania</w:t>
            </w:r>
          </w:p>
        </w:tc>
        <w:tc>
          <w:tcPr>
            <w:tcW w:w="1630" w:type="dxa"/>
            <w:noWrap/>
            <w:vAlign w:val="center"/>
            <w:hideMark/>
          </w:tcPr>
          <w:p w14:paraId="5D924F80" w14:textId="77777777" w:rsidR="00757469" w:rsidRPr="00F32020" w:rsidRDefault="00757469" w:rsidP="00EC7CDF">
            <w:pPr>
              <w:jc w:val="center"/>
            </w:pPr>
            <w:r w:rsidRPr="00F32020">
              <w:t>105</w:t>
            </w:r>
          </w:p>
        </w:tc>
        <w:tc>
          <w:tcPr>
            <w:tcW w:w="1241" w:type="dxa"/>
            <w:noWrap/>
            <w:vAlign w:val="center"/>
            <w:hideMark/>
          </w:tcPr>
          <w:p w14:paraId="5100C6A7" w14:textId="77777777" w:rsidR="00757469" w:rsidRPr="00F32020" w:rsidRDefault="00757469" w:rsidP="00EC7CDF">
            <w:pPr>
              <w:jc w:val="center"/>
            </w:pPr>
            <w:r w:rsidRPr="00F32020">
              <w:t>16</w:t>
            </w:r>
          </w:p>
        </w:tc>
        <w:tc>
          <w:tcPr>
            <w:tcW w:w="1636" w:type="dxa"/>
            <w:noWrap/>
            <w:vAlign w:val="center"/>
            <w:hideMark/>
          </w:tcPr>
          <w:p w14:paraId="25D1D6C0" w14:textId="77777777" w:rsidR="00757469" w:rsidRPr="00F32020" w:rsidRDefault="00757469" w:rsidP="00EC7CDF">
            <w:pPr>
              <w:jc w:val="center"/>
            </w:pPr>
            <w:r w:rsidRPr="00F32020">
              <w:t>15.24</w:t>
            </w:r>
          </w:p>
        </w:tc>
      </w:tr>
      <w:tr w:rsidR="00757469" w:rsidRPr="00F32020" w14:paraId="0B211E07" w14:textId="77777777" w:rsidTr="00E1138F">
        <w:trPr>
          <w:trHeight w:val="340"/>
        </w:trPr>
        <w:tc>
          <w:tcPr>
            <w:tcW w:w="5042" w:type="dxa"/>
            <w:noWrap/>
            <w:vAlign w:val="center"/>
            <w:hideMark/>
          </w:tcPr>
          <w:p w14:paraId="6C452AEA" w14:textId="77777777" w:rsidR="00757469" w:rsidRPr="00F32020" w:rsidRDefault="00757469" w:rsidP="00EC7CDF">
            <w:r w:rsidRPr="00F32020">
              <w:t>Republic of Zambia</w:t>
            </w:r>
          </w:p>
        </w:tc>
        <w:tc>
          <w:tcPr>
            <w:tcW w:w="1630" w:type="dxa"/>
            <w:noWrap/>
            <w:vAlign w:val="center"/>
            <w:hideMark/>
          </w:tcPr>
          <w:p w14:paraId="348C4A85" w14:textId="77777777" w:rsidR="00757469" w:rsidRPr="00F32020" w:rsidRDefault="00757469" w:rsidP="00EC7CDF">
            <w:pPr>
              <w:jc w:val="center"/>
            </w:pPr>
            <w:r w:rsidRPr="00F32020">
              <w:t>101</w:t>
            </w:r>
          </w:p>
        </w:tc>
        <w:tc>
          <w:tcPr>
            <w:tcW w:w="1241" w:type="dxa"/>
            <w:noWrap/>
            <w:vAlign w:val="center"/>
            <w:hideMark/>
          </w:tcPr>
          <w:p w14:paraId="05139F5F" w14:textId="77777777" w:rsidR="00757469" w:rsidRPr="00F32020" w:rsidRDefault="00757469" w:rsidP="00EC7CDF">
            <w:pPr>
              <w:jc w:val="center"/>
            </w:pPr>
            <w:r w:rsidRPr="00F32020">
              <w:t>30</w:t>
            </w:r>
          </w:p>
        </w:tc>
        <w:tc>
          <w:tcPr>
            <w:tcW w:w="1636" w:type="dxa"/>
            <w:noWrap/>
            <w:vAlign w:val="center"/>
            <w:hideMark/>
          </w:tcPr>
          <w:p w14:paraId="5CD5A4D3" w14:textId="77777777" w:rsidR="00757469" w:rsidRPr="00F32020" w:rsidRDefault="00757469" w:rsidP="00EC7CDF">
            <w:pPr>
              <w:jc w:val="center"/>
            </w:pPr>
            <w:r w:rsidRPr="00F32020">
              <w:t>29.70</w:t>
            </w:r>
          </w:p>
        </w:tc>
      </w:tr>
      <w:tr w:rsidR="00757469" w:rsidRPr="00F32020" w14:paraId="193E35C3" w14:textId="77777777" w:rsidTr="00E1138F">
        <w:trPr>
          <w:trHeight w:val="340"/>
        </w:trPr>
        <w:tc>
          <w:tcPr>
            <w:tcW w:w="5042" w:type="dxa"/>
            <w:noWrap/>
            <w:vAlign w:val="center"/>
            <w:hideMark/>
          </w:tcPr>
          <w:p w14:paraId="1089B130" w14:textId="77777777" w:rsidR="00757469" w:rsidRPr="00F32020" w:rsidRDefault="00757469" w:rsidP="00EC7CDF">
            <w:r w:rsidRPr="00F32020">
              <w:t>Federal Democratic Republic of Ethiopia</w:t>
            </w:r>
          </w:p>
        </w:tc>
        <w:tc>
          <w:tcPr>
            <w:tcW w:w="1630" w:type="dxa"/>
            <w:noWrap/>
            <w:vAlign w:val="center"/>
            <w:hideMark/>
          </w:tcPr>
          <w:p w14:paraId="0D5F2C39" w14:textId="77777777" w:rsidR="00757469" w:rsidRPr="00F32020" w:rsidRDefault="00757469" w:rsidP="00EC7CDF">
            <w:pPr>
              <w:jc w:val="center"/>
            </w:pPr>
            <w:r w:rsidRPr="00F32020">
              <w:t>92</w:t>
            </w:r>
          </w:p>
        </w:tc>
        <w:tc>
          <w:tcPr>
            <w:tcW w:w="1241" w:type="dxa"/>
            <w:noWrap/>
            <w:vAlign w:val="center"/>
            <w:hideMark/>
          </w:tcPr>
          <w:p w14:paraId="17303983" w14:textId="77777777" w:rsidR="00757469" w:rsidRPr="00F32020" w:rsidRDefault="00757469" w:rsidP="00EC7CDF">
            <w:pPr>
              <w:jc w:val="center"/>
            </w:pPr>
            <w:r w:rsidRPr="00F32020">
              <w:t>18</w:t>
            </w:r>
          </w:p>
        </w:tc>
        <w:tc>
          <w:tcPr>
            <w:tcW w:w="1636" w:type="dxa"/>
            <w:noWrap/>
            <w:vAlign w:val="center"/>
            <w:hideMark/>
          </w:tcPr>
          <w:p w14:paraId="301B0FE9" w14:textId="77777777" w:rsidR="00757469" w:rsidRPr="00F32020" w:rsidRDefault="00757469" w:rsidP="00EC7CDF">
            <w:pPr>
              <w:jc w:val="center"/>
            </w:pPr>
            <w:r w:rsidRPr="00F32020">
              <w:t>19.57</w:t>
            </w:r>
          </w:p>
        </w:tc>
      </w:tr>
      <w:tr w:rsidR="00757469" w:rsidRPr="00F32020" w14:paraId="213ED841" w14:textId="77777777" w:rsidTr="00E1138F">
        <w:trPr>
          <w:trHeight w:val="340"/>
        </w:trPr>
        <w:tc>
          <w:tcPr>
            <w:tcW w:w="5042" w:type="dxa"/>
            <w:noWrap/>
            <w:vAlign w:val="center"/>
            <w:hideMark/>
          </w:tcPr>
          <w:p w14:paraId="02A144B3" w14:textId="77777777" w:rsidR="00757469" w:rsidRPr="00F32020" w:rsidRDefault="00757469" w:rsidP="00EC7CDF">
            <w:r w:rsidRPr="00F32020">
              <w:t>Australia</w:t>
            </w:r>
          </w:p>
        </w:tc>
        <w:tc>
          <w:tcPr>
            <w:tcW w:w="1630" w:type="dxa"/>
            <w:noWrap/>
            <w:vAlign w:val="center"/>
            <w:hideMark/>
          </w:tcPr>
          <w:p w14:paraId="7FD525BF" w14:textId="77777777" w:rsidR="00757469" w:rsidRPr="00F32020" w:rsidRDefault="00757469" w:rsidP="00EC7CDF">
            <w:pPr>
              <w:jc w:val="center"/>
            </w:pPr>
            <w:r w:rsidRPr="00F32020">
              <w:t>90</w:t>
            </w:r>
          </w:p>
        </w:tc>
        <w:tc>
          <w:tcPr>
            <w:tcW w:w="1241" w:type="dxa"/>
            <w:noWrap/>
            <w:vAlign w:val="center"/>
            <w:hideMark/>
          </w:tcPr>
          <w:p w14:paraId="2F15FC5D" w14:textId="77777777" w:rsidR="00757469" w:rsidRPr="00F32020" w:rsidRDefault="00757469" w:rsidP="00EC7CDF">
            <w:pPr>
              <w:jc w:val="center"/>
            </w:pPr>
            <w:r w:rsidRPr="00F32020">
              <w:t>31</w:t>
            </w:r>
          </w:p>
        </w:tc>
        <w:tc>
          <w:tcPr>
            <w:tcW w:w="1636" w:type="dxa"/>
            <w:noWrap/>
            <w:vAlign w:val="center"/>
            <w:hideMark/>
          </w:tcPr>
          <w:p w14:paraId="797F3C72" w14:textId="77777777" w:rsidR="00757469" w:rsidRPr="00F32020" w:rsidRDefault="00757469" w:rsidP="00EC7CDF">
            <w:pPr>
              <w:jc w:val="center"/>
            </w:pPr>
            <w:r w:rsidRPr="00F32020">
              <w:t>34.44</w:t>
            </w:r>
          </w:p>
        </w:tc>
      </w:tr>
      <w:tr w:rsidR="00757469" w:rsidRPr="00F32020" w14:paraId="006C5803" w14:textId="77777777" w:rsidTr="00E1138F">
        <w:trPr>
          <w:trHeight w:val="340"/>
        </w:trPr>
        <w:tc>
          <w:tcPr>
            <w:tcW w:w="5042" w:type="dxa"/>
            <w:noWrap/>
            <w:vAlign w:val="center"/>
            <w:hideMark/>
          </w:tcPr>
          <w:p w14:paraId="02FAEC64" w14:textId="77777777" w:rsidR="00757469" w:rsidRPr="00F32020" w:rsidRDefault="00757469" w:rsidP="00EC7CDF">
            <w:r w:rsidRPr="00F32020">
              <w:t>Republic of Honduras</w:t>
            </w:r>
          </w:p>
        </w:tc>
        <w:tc>
          <w:tcPr>
            <w:tcW w:w="1630" w:type="dxa"/>
            <w:noWrap/>
            <w:vAlign w:val="center"/>
            <w:hideMark/>
          </w:tcPr>
          <w:p w14:paraId="6F4B6356" w14:textId="77777777" w:rsidR="00757469" w:rsidRPr="00F32020" w:rsidRDefault="00757469" w:rsidP="00EC7CDF">
            <w:pPr>
              <w:jc w:val="center"/>
            </w:pPr>
            <w:r w:rsidRPr="00F32020">
              <w:t>80</w:t>
            </w:r>
          </w:p>
        </w:tc>
        <w:tc>
          <w:tcPr>
            <w:tcW w:w="1241" w:type="dxa"/>
            <w:noWrap/>
            <w:vAlign w:val="center"/>
            <w:hideMark/>
          </w:tcPr>
          <w:p w14:paraId="3A2EBE20" w14:textId="77777777" w:rsidR="00757469" w:rsidRPr="00F32020" w:rsidRDefault="00757469" w:rsidP="00EC7CDF">
            <w:pPr>
              <w:jc w:val="center"/>
            </w:pPr>
            <w:r w:rsidRPr="00F32020">
              <w:t>54</w:t>
            </w:r>
          </w:p>
        </w:tc>
        <w:tc>
          <w:tcPr>
            <w:tcW w:w="1636" w:type="dxa"/>
            <w:noWrap/>
            <w:vAlign w:val="center"/>
            <w:hideMark/>
          </w:tcPr>
          <w:p w14:paraId="2E40A0FA" w14:textId="77777777" w:rsidR="00757469" w:rsidRPr="00F32020" w:rsidRDefault="00757469" w:rsidP="00EC7CDF">
            <w:pPr>
              <w:jc w:val="center"/>
            </w:pPr>
            <w:r w:rsidRPr="00F32020">
              <w:t>67.50</w:t>
            </w:r>
          </w:p>
        </w:tc>
      </w:tr>
      <w:tr w:rsidR="00757469" w:rsidRPr="00F32020" w14:paraId="3D03AA84" w14:textId="77777777" w:rsidTr="00E1138F">
        <w:trPr>
          <w:trHeight w:val="340"/>
        </w:trPr>
        <w:tc>
          <w:tcPr>
            <w:tcW w:w="5042" w:type="dxa"/>
            <w:noWrap/>
            <w:vAlign w:val="center"/>
            <w:hideMark/>
          </w:tcPr>
          <w:p w14:paraId="57791F9D" w14:textId="77777777" w:rsidR="00757469" w:rsidRPr="00F32020" w:rsidRDefault="00757469" w:rsidP="00EC7CDF">
            <w:r w:rsidRPr="00F32020">
              <w:t>Canada</w:t>
            </w:r>
          </w:p>
        </w:tc>
        <w:tc>
          <w:tcPr>
            <w:tcW w:w="1630" w:type="dxa"/>
            <w:noWrap/>
            <w:vAlign w:val="center"/>
            <w:hideMark/>
          </w:tcPr>
          <w:p w14:paraId="5CBEB089" w14:textId="77777777" w:rsidR="00757469" w:rsidRPr="00F32020" w:rsidRDefault="00757469" w:rsidP="00EC7CDF">
            <w:pPr>
              <w:jc w:val="center"/>
            </w:pPr>
            <w:r w:rsidRPr="00F32020">
              <w:t>78</w:t>
            </w:r>
          </w:p>
        </w:tc>
        <w:tc>
          <w:tcPr>
            <w:tcW w:w="1241" w:type="dxa"/>
            <w:noWrap/>
            <w:vAlign w:val="center"/>
            <w:hideMark/>
          </w:tcPr>
          <w:p w14:paraId="1A876FA8" w14:textId="77777777" w:rsidR="00757469" w:rsidRPr="00F32020" w:rsidRDefault="00757469" w:rsidP="00EC7CDF">
            <w:pPr>
              <w:jc w:val="center"/>
            </w:pPr>
            <w:r w:rsidRPr="00F32020">
              <w:t>16</w:t>
            </w:r>
          </w:p>
        </w:tc>
        <w:tc>
          <w:tcPr>
            <w:tcW w:w="1636" w:type="dxa"/>
            <w:noWrap/>
            <w:vAlign w:val="center"/>
            <w:hideMark/>
          </w:tcPr>
          <w:p w14:paraId="58D34B7C" w14:textId="77777777" w:rsidR="00757469" w:rsidRPr="00F32020" w:rsidRDefault="00757469" w:rsidP="00EC7CDF">
            <w:pPr>
              <w:jc w:val="center"/>
            </w:pPr>
            <w:r w:rsidRPr="00F32020">
              <w:t>20.51</w:t>
            </w:r>
          </w:p>
        </w:tc>
      </w:tr>
      <w:tr w:rsidR="00757469" w:rsidRPr="00F32020" w14:paraId="26C6E15E" w14:textId="77777777" w:rsidTr="00E1138F">
        <w:trPr>
          <w:trHeight w:val="340"/>
        </w:trPr>
        <w:tc>
          <w:tcPr>
            <w:tcW w:w="5042" w:type="dxa"/>
            <w:noWrap/>
            <w:vAlign w:val="center"/>
            <w:hideMark/>
          </w:tcPr>
          <w:p w14:paraId="50B154F5" w14:textId="77777777" w:rsidR="00757469" w:rsidRPr="00F32020" w:rsidRDefault="00757469" w:rsidP="00EC7CDF">
            <w:r w:rsidRPr="00F32020">
              <w:t>Republic of Uganda</w:t>
            </w:r>
          </w:p>
        </w:tc>
        <w:tc>
          <w:tcPr>
            <w:tcW w:w="1630" w:type="dxa"/>
            <w:noWrap/>
            <w:vAlign w:val="center"/>
            <w:hideMark/>
          </w:tcPr>
          <w:p w14:paraId="3E150E06" w14:textId="77777777" w:rsidR="00757469" w:rsidRPr="00F32020" w:rsidRDefault="00757469" w:rsidP="00EC7CDF">
            <w:pPr>
              <w:jc w:val="center"/>
            </w:pPr>
            <w:r w:rsidRPr="00F32020">
              <w:t>71</w:t>
            </w:r>
          </w:p>
        </w:tc>
        <w:tc>
          <w:tcPr>
            <w:tcW w:w="1241" w:type="dxa"/>
            <w:noWrap/>
            <w:vAlign w:val="center"/>
            <w:hideMark/>
          </w:tcPr>
          <w:p w14:paraId="48C7DFE9" w14:textId="77777777" w:rsidR="00757469" w:rsidRPr="00F32020" w:rsidRDefault="00757469" w:rsidP="00EC7CDF">
            <w:pPr>
              <w:jc w:val="center"/>
            </w:pPr>
            <w:r w:rsidRPr="00F32020">
              <w:t>10</w:t>
            </w:r>
          </w:p>
        </w:tc>
        <w:tc>
          <w:tcPr>
            <w:tcW w:w="1636" w:type="dxa"/>
            <w:noWrap/>
            <w:vAlign w:val="center"/>
            <w:hideMark/>
          </w:tcPr>
          <w:p w14:paraId="36E5BE6B" w14:textId="77777777" w:rsidR="00757469" w:rsidRPr="00F32020" w:rsidRDefault="00757469" w:rsidP="00EC7CDF">
            <w:pPr>
              <w:jc w:val="center"/>
            </w:pPr>
            <w:r w:rsidRPr="00F32020">
              <w:t>14.08</w:t>
            </w:r>
          </w:p>
        </w:tc>
      </w:tr>
      <w:tr w:rsidR="00757469" w:rsidRPr="00F32020" w14:paraId="00F570AB" w14:textId="77777777" w:rsidTr="00E1138F">
        <w:trPr>
          <w:trHeight w:val="340"/>
        </w:trPr>
        <w:tc>
          <w:tcPr>
            <w:tcW w:w="5042" w:type="dxa"/>
            <w:noWrap/>
            <w:vAlign w:val="center"/>
            <w:hideMark/>
          </w:tcPr>
          <w:p w14:paraId="36C0AC77" w14:textId="77777777" w:rsidR="00757469" w:rsidRPr="00F32020" w:rsidRDefault="00757469" w:rsidP="00EC7CDF">
            <w:r w:rsidRPr="00F32020">
              <w:t>Republic of Ghana</w:t>
            </w:r>
          </w:p>
        </w:tc>
        <w:tc>
          <w:tcPr>
            <w:tcW w:w="1630" w:type="dxa"/>
            <w:noWrap/>
            <w:vAlign w:val="center"/>
            <w:hideMark/>
          </w:tcPr>
          <w:p w14:paraId="18A5187D" w14:textId="77777777" w:rsidR="00757469" w:rsidRPr="00F32020" w:rsidRDefault="00757469" w:rsidP="00EC7CDF">
            <w:pPr>
              <w:jc w:val="center"/>
            </w:pPr>
            <w:r w:rsidRPr="00F32020">
              <w:t>68</w:t>
            </w:r>
          </w:p>
        </w:tc>
        <w:tc>
          <w:tcPr>
            <w:tcW w:w="1241" w:type="dxa"/>
            <w:noWrap/>
            <w:vAlign w:val="center"/>
            <w:hideMark/>
          </w:tcPr>
          <w:p w14:paraId="10A94349" w14:textId="77777777" w:rsidR="00757469" w:rsidRPr="00F32020" w:rsidRDefault="00757469" w:rsidP="00EC7CDF">
            <w:pPr>
              <w:jc w:val="center"/>
            </w:pPr>
            <w:r w:rsidRPr="00F32020">
              <w:t>6</w:t>
            </w:r>
          </w:p>
        </w:tc>
        <w:tc>
          <w:tcPr>
            <w:tcW w:w="1636" w:type="dxa"/>
            <w:noWrap/>
            <w:vAlign w:val="center"/>
            <w:hideMark/>
          </w:tcPr>
          <w:p w14:paraId="4887131F" w14:textId="77777777" w:rsidR="00757469" w:rsidRPr="00F32020" w:rsidRDefault="00757469" w:rsidP="00EC7CDF">
            <w:pPr>
              <w:jc w:val="center"/>
            </w:pPr>
            <w:r w:rsidRPr="00F32020">
              <w:t>8.82</w:t>
            </w:r>
          </w:p>
        </w:tc>
      </w:tr>
      <w:tr w:rsidR="00757469" w:rsidRPr="00F32020" w14:paraId="3F9AB628" w14:textId="77777777" w:rsidTr="00E1138F">
        <w:trPr>
          <w:trHeight w:val="340"/>
        </w:trPr>
        <w:tc>
          <w:tcPr>
            <w:tcW w:w="5042" w:type="dxa"/>
            <w:noWrap/>
            <w:vAlign w:val="center"/>
            <w:hideMark/>
          </w:tcPr>
          <w:p w14:paraId="62F012E1" w14:textId="77777777" w:rsidR="00757469" w:rsidRPr="00F32020" w:rsidRDefault="00757469" w:rsidP="00EC7CDF">
            <w:r w:rsidRPr="00F32020">
              <w:t>Islamic Republic of Pakistan</w:t>
            </w:r>
          </w:p>
        </w:tc>
        <w:tc>
          <w:tcPr>
            <w:tcW w:w="1630" w:type="dxa"/>
            <w:noWrap/>
            <w:vAlign w:val="center"/>
            <w:hideMark/>
          </w:tcPr>
          <w:p w14:paraId="2F113BE0" w14:textId="77777777" w:rsidR="00757469" w:rsidRPr="00F32020" w:rsidRDefault="00757469" w:rsidP="00EC7CDF">
            <w:pPr>
              <w:jc w:val="center"/>
            </w:pPr>
            <w:r w:rsidRPr="00F32020">
              <w:t>66</w:t>
            </w:r>
          </w:p>
        </w:tc>
        <w:tc>
          <w:tcPr>
            <w:tcW w:w="1241" w:type="dxa"/>
            <w:noWrap/>
            <w:vAlign w:val="center"/>
            <w:hideMark/>
          </w:tcPr>
          <w:p w14:paraId="4332C22A" w14:textId="77777777" w:rsidR="00757469" w:rsidRPr="00F32020" w:rsidRDefault="00757469" w:rsidP="00EC7CDF">
            <w:pPr>
              <w:jc w:val="center"/>
            </w:pPr>
            <w:r w:rsidRPr="00F32020">
              <w:t>8</w:t>
            </w:r>
          </w:p>
        </w:tc>
        <w:tc>
          <w:tcPr>
            <w:tcW w:w="1636" w:type="dxa"/>
            <w:noWrap/>
            <w:vAlign w:val="center"/>
            <w:hideMark/>
          </w:tcPr>
          <w:p w14:paraId="0D4F8B2B" w14:textId="77777777" w:rsidR="00757469" w:rsidRPr="00F32020" w:rsidRDefault="00757469" w:rsidP="00EC7CDF">
            <w:pPr>
              <w:jc w:val="center"/>
            </w:pPr>
            <w:r w:rsidRPr="00F32020">
              <w:t>12.12</w:t>
            </w:r>
          </w:p>
        </w:tc>
      </w:tr>
      <w:tr w:rsidR="00757469" w:rsidRPr="00F32020" w14:paraId="5A4B389A" w14:textId="77777777" w:rsidTr="00E1138F">
        <w:trPr>
          <w:trHeight w:val="340"/>
        </w:trPr>
        <w:tc>
          <w:tcPr>
            <w:tcW w:w="5042" w:type="dxa"/>
            <w:noWrap/>
            <w:vAlign w:val="center"/>
            <w:hideMark/>
          </w:tcPr>
          <w:p w14:paraId="2D4AE596" w14:textId="77777777" w:rsidR="00757469" w:rsidRPr="00F32020" w:rsidRDefault="00757469" w:rsidP="00EC7CDF">
            <w:r w:rsidRPr="00F32020">
              <w:t>United Kingdom of Great Britain and Northern Ireland</w:t>
            </w:r>
          </w:p>
        </w:tc>
        <w:tc>
          <w:tcPr>
            <w:tcW w:w="1630" w:type="dxa"/>
            <w:noWrap/>
            <w:vAlign w:val="center"/>
            <w:hideMark/>
          </w:tcPr>
          <w:p w14:paraId="2D568927" w14:textId="77777777" w:rsidR="00757469" w:rsidRPr="00F32020" w:rsidRDefault="00757469" w:rsidP="00EC7CDF">
            <w:pPr>
              <w:jc w:val="center"/>
            </w:pPr>
            <w:r w:rsidRPr="00F32020">
              <w:t>63</w:t>
            </w:r>
          </w:p>
        </w:tc>
        <w:tc>
          <w:tcPr>
            <w:tcW w:w="1241" w:type="dxa"/>
            <w:noWrap/>
            <w:vAlign w:val="center"/>
            <w:hideMark/>
          </w:tcPr>
          <w:p w14:paraId="6BD878F4" w14:textId="77777777" w:rsidR="00757469" w:rsidRPr="00F32020" w:rsidRDefault="00757469" w:rsidP="00EC7CDF">
            <w:pPr>
              <w:jc w:val="center"/>
            </w:pPr>
            <w:r w:rsidRPr="00F32020">
              <w:t>9</w:t>
            </w:r>
          </w:p>
        </w:tc>
        <w:tc>
          <w:tcPr>
            <w:tcW w:w="1636" w:type="dxa"/>
            <w:noWrap/>
            <w:vAlign w:val="center"/>
            <w:hideMark/>
          </w:tcPr>
          <w:p w14:paraId="6AA51609" w14:textId="77777777" w:rsidR="00757469" w:rsidRPr="00F32020" w:rsidRDefault="00757469" w:rsidP="00EC7CDF">
            <w:pPr>
              <w:jc w:val="center"/>
            </w:pPr>
            <w:r w:rsidRPr="00F32020">
              <w:t>14.29</w:t>
            </w:r>
          </w:p>
        </w:tc>
      </w:tr>
      <w:tr w:rsidR="00757469" w:rsidRPr="00F32020" w14:paraId="72032A2F" w14:textId="77777777" w:rsidTr="00E1138F">
        <w:trPr>
          <w:trHeight w:val="340"/>
        </w:trPr>
        <w:tc>
          <w:tcPr>
            <w:tcW w:w="5042" w:type="dxa"/>
            <w:noWrap/>
            <w:vAlign w:val="center"/>
            <w:hideMark/>
          </w:tcPr>
          <w:p w14:paraId="12C743EA" w14:textId="77777777" w:rsidR="00757469" w:rsidRPr="00F32020" w:rsidRDefault="00757469" w:rsidP="00EC7CDF">
            <w:r w:rsidRPr="00F32020">
              <w:t>Republic of Peru</w:t>
            </w:r>
          </w:p>
        </w:tc>
        <w:tc>
          <w:tcPr>
            <w:tcW w:w="1630" w:type="dxa"/>
            <w:noWrap/>
            <w:vAlign w:val="center"/>
            <w:hideMark/>
          </w:tcPr>
          <w:p w14:paraId="018524EE" w14:textId="77777777" w:rsidR="00757469" w:rsidRPr="00F32020" w:rsidRDefault="00757469" w:rsidP="00EC7CDF">
            <w:pPr>
              <w:jc w:val="center"/>
            </w:pPr>
            <w:r w:rsidRPr="00F32020">
              <w:t>61</w:t>
            </w:r>
          </w:p>
        </w:tc>
        <w:tc>
          <w:tcPr>
            <w:tcW w:w="1241" w:type="dxa"/>
            <w:noWrap/>
            <w:vAlign w:val="center"/>
            <w:hideMark/>
          </w:tcPr>
          <w:p w14:paraId="6BE6656C" w14:textId="77777777" w:rsidR="00757469" w:rsidRPr="00F32020" w:rsidRDefault="00757469" w:rsidP="00EC7CDF">
            <w:pPr>
              <w:jc w:val="center"/>
            </w:pPr>
            <w:r w:rsidRPr="00F32020">
              <w:t>8</w:t>
            </w:r>
          </w:p>
        </w:tc>
        <w:tc>
          <w:tcPr>
            <w:tcW w:w="1636" w:type="dxa"/>
            <w:noWrap/>
            <w:vAlign w:val="center"/>
            <w:hideMark/>
          </w:tcPr>
          <w:p w14:paraId="00CDCB76" w14:textId="77777777" w:rsidR="00757469" w:rsidRPr="00F32020" w:rsidRDefault="00757469" w:rsidP="00EC7CDF">
            <w:pPr>
              <w:jc w:val="center"/>
            </w:pPr>
            <w:r w:rsidRPr="00F32020">
              <w:t>13.11</w:t>
            </w:r>
          </w:p>
        </w:tc>
      </w:tr>
      <w:tr w:rsidR="00757469" w:rsidRPr="00F32020" w14:paraId="01DFF38E" w14:textId="77777777" w:rsidTr="00E1138F">
        <w:trPr>
          <w:trHeight w:val="340"/>
        </w:trPr>
        <w:tc>
          <w:tcPr>
            <w:tcW w:w="5042" w:type="dxa"/>
            <w:noWrap/>
            <w:vAlign w:val="center"/>
            <w:hideMark/>
          </w:tcPr>
          <w:p w14:paraId="7E762F61" w14:textId="77777777" w:rsidR="00757469" w:rsidRPr="00F32020" w:rsidRDefault="00757469" w:rsidP="00EC7CDF">
            <w:r w:rsidRPr="00F32020">
              <w:t>French Republic</w:t>
            </w:r>
          </w:p>
        </w:tc>
        <w:tc>
          <w:tcPr>
            <w:tcW w:w="1630" w:type="dxa"/>
            <w:noWrap/>
            <w:vAlign w:val="center"/>
            <w:hideMark/>
          </w:tcPr>
          <w:p w14:paraId="17048D9C" w14:textId="77777777" w:rsidR="00757469" w:rsidRPr="00F32020" w:rsidRDefault="00757469" w:rsidP="00EC7CDF">
            <w:pPr>
              <w:jc w:val="center"/>
            </w:pPr>
            <w:r w:rsidRPr="00F32020">
              <w:t>45</w:t>
            </w:r>
          </w:p>
        </w:tc>
        <w:tc>
          <w:tcPr>
            <w:tcW w:w="1241" w:type="dxa"/>
            <w:noWrap/>
            <w:vAlign w:val="center"/>
            <w:hideMark/>
          </w:tcPr>
          <w:p w14:paraId="24B94668" w14:textId="77777777" w:rsidR="00757469" w:rsidRPr="00F32020" w:rsidRDefault="00757469" w:rsidP="00EC7CDF">
            <w:pPr>
              <w:jc w:val="center"/>
            </w:pPr>
            <w:r w:rsidRPr="00F32020">
              <w:t>17</w:t>
            </w:r>
          </w:p>
        </w:tc>
        <w:tc>
          <w:tcPr>
            <w:tcW w:w="1636" w:type="dxa"/>
            <w:noWrap/>
            <w:vAlign w:val="center"/>
            <w:hideMark/>
          </w:tcPr>
          <w:p w14:paraId="72CEC81D" w14:textId="77777777" w:rsidR="00757469" w:rsidRPr="00F32020" w:rsidRDefault="00757469" w:rsidP="00EC7CDF">
            <w:pPr>
              <w:jc w:val="center"/>
            </w:pPr>
            <w:r w:rsidRPr="00F32020">
              <w:t>37.78</w:t>
            </w:r>
          </w:p>
        </w:tc>
      </w:tr>
      <w:tr w:rsidR="00757469" w:rsidRPr="00F32020" w14:paraId="08B8D300" w14:textId="77777777" w:rsidTr="00E1138F">
        <w:trPr>
          <w:trHeight w:val="340"/>
        </w:trPr>
        <w:tc>
          <w:tcPr>
            <w:tcW w:w="5042" w:type="dxa"/>
            <w:noWrap/>
            <w:vAlign w:val="center"/>
            <w:hideMark/>
          </w:tcPr>
          <w:p w14:paraId="078F3B2C" w14:textId="77777777" w:rsidR="00757469" w:rsidRPr="00F32020" w:rsidRDefault="00757469" w:rsidP="00EC7CDF">
            <w:r w:rsidRPr="00F32020">
              <w:t>Republic of El Salvador</w:t>
            </w:r>
          </w:p>
        </w:tc>
        <w:tc>
          <w:tcPr>
            <w:tcW w:w="1630" w:type="dxa"/>
            <w:noWrap/>
            <w:vAlign w:val="center"/>
            <w:hideMark/>
          </w:tcPr>
          <w:p w14:paraId="1CDDBD63" w14:textId="77777777" w:rsidR="00757469" w:rsidRPr="00F32020" w:rsidRDefault="00757469" w:rsidP="00EC7CDF">
            <w:pPr>
              <w:jc w:val="center"/>
            </w:pPr>
            <w:r w:rsidRPr="00F32020">
              <w:t>43</w:t>
            </w:r>
          </w:p>
        </w:tc>
        <w:tc>
          <w:tcPr>
            <w:tcW w:w="1241" w:type="dxa"/>
            <w:noWrap/>
            <w:vAlign w:val="center"/>
            <w:hideMark/>
          </w:tcPr>
          <w:p w14:paraId="01B7447E" w14:textId="77777777" w:rsidR="00757469" w:rsidRPr="00F32020" w:rsidRDefault="00757469" w:rsidP="00EC7CDF">
            <w:pPr>
              <w:jc w:val="center"/>
            </w:pPr>
            <w:r w:rsidRPr="00F32020">
              <w:t>28</w:t>
            </w:r>
          </w:p>
        </w:tc>
        <w:tc>
          <w:tcPr>
            <w:tcW w:w="1636" w:type="dxa"/>
            <w:noWrap/>
            <w:vAlign w:val="center"/>
            <w:hideMark/>
          </w:tcPr>
          <w:p w14:paraId="6ECB4F94" w14:textId="77777777" w:rsidR="00757469" w:rsidRPr="00F32020" w:rsidRDefault="00757469" w:rsidP="00EC7CDF">
            <w:pPr>
              <w:jc w:val="center"/>
            </w:pPr>
            <w:r w:rsidRPr="00F32020">
              <w:t>65.12</w:t>
            </w:r>
          </w:p>
        </w:tc>
      </w:tr>
      <w:tr w:rsidR="00757469" w:rsidRPr="00F32020" w14:paraId="4DFD4E83" w14:textId="77777777" w:rsidTr="00E1138F">
        <w:trPr>
          <w:trHeight w:val="340"/>
        </w:trPr>
        <w:tc>
          <w:tcPr>
            <w:tcW w:w="5042" w:type="dxa"/>
            <w:noWrap/>
            <w:vAlign w:val="center"/>
            <w:hideMark/>
          </w:tcPr>
          <w:p w14:paraId="35835AED" w14:textId="77777777" w:rsidR="00757469" w:rsidRPr="00F32020" w:rsidRDefault="00757469" w:rsidP="00EC7CDF">
            <w:r w:rsidRPr="00F32020">
              <w:t>Republic of Costa Rica</w:t>
            </w:r>
          </w:p>
        </w:tc>
        <w:tc>
          <w:tcPr>
            <w:tcW w:w="1630" w:type="dxa"/>
            <w:noWrap/>
            <w:vAlign w:val="center"/>
            <w:hideMark/>
          </w:tcPr>
          <w:p w14:paraId="0B440B38" w14:textId="77777777" w:rsidR="00757469" w:rsidRPr="00F32020" w:rsidRDefault="00757469" w:rsidP="00EC7CDF">
            <w:pPr>
              <w:jc w:val="center"/>
            </w:pPr>
            <w:r w:rsidRPr="00F32020">
              <w:t>42</w:t>
            </w:r>
          </w:p>
        </w:tc>
        <w:tc>
          <w:tcPr>
            <w:tcW w:w="1241" w:type="dxa"/>
            <w:noWrap/>
            <w:vAlign w:val="center"/>
            <w:hideMark/>
          </w:tcPr>
          <w:p w14:paraId="4C6F2402" w14:textId="77777777" w:rsidR="00757469" w:rsidRPr="00F32020" w:rsidRDefault="00757469" w:rsidP="00EC7CDF">
            <w:pPr>
              <w:jc w:val="center"/>
            </w:pPr>
            <w:r w:rsidRPr="00F32020">
              <w:t>22</w:t>
            </w:r>
          </w:p>
        </w:tc>
        <w:tc>
          <w:tcPr>
            <w:tcW w:w="1636" w:type="dxa"/>
            <w:noWrap/>
            <w:vAlign w:val="center"/>
            <w:hideMark/>
          </w:tcPr>
          <w:p w14:paraId="5EC53133" w14:textId="77777777" w:rsidR="00757469" w:rsidRPr="00F32020" w:rsidRDefault="00757469" w:rsidP="00EC7CDF">
            <w:pPr>
              <w:jc w:val="center"/>
            </w:pPr>
            <w:r w:rsidRPr="00F32020">
              <w:t>52.38</w:t>
            </w:r>
          </w:p>
        </w:tc>
      </w:tr>
      <w:tr w:rsidR="00757469" w:rsidRPr="00F32020" w14:paraId="0CDEBD1A" w14:textId="77777777" w:rsidTr="00E1138F">
        <w:trPr>
          <w:trHeight w:val="340"/>
        </w:trPr>
        <w:tc>
          <w:tcPr>
            <w:tcW w:w="5042" w:type="dxa"/>
            <w:noWrap/>
            <w:vAlign w:val="center"/>
            <w:hideMark/>
          </w:tcPr>
          <w:p w14:paraId="09B9E164" w14:textId="77777777" w:rsidR="00757469" w:rsidRPr="00F32020" w:rsidRDefault="00757469" w:rsidP="00EC7CDF">
            <w:r w:rsidRPr="00F32020">
              <w:t>Jamaica</w:t>
            </w:r>
          </w:p>
        </w:tc>
        <w:tc>
          <w:tcPr>
            <w:tcW w:w="1630" w:type="dxa"/>
            <w:noWrap/>
            <w:vAlign w:val="center"/>
            <w:hideMark/>
          </w:tcPr>
          <w:p w14:paraId="3B087F16" w14:textId="77777777" w:rsidR="00757469" w:rsidRPr="00F32020" w:rsidRDefault="00757469" w:rsidP="00EC7CDF">
            <w:pPr>
              <w:jc w:val="center"/>
            </w:pPr>
            <w:r w:rsidRPr="00F32020">
              <w:t>40</w:t>
            </w:r>
          </w:p>
        </w:tc>
        <w:tc>
          <w:tcPr>
            <w:tcW w:w="1241" w:type="dxa"/>
            <w:noWrap/>
            <w:vAlign w:val="center"/>
            <w:hideMark/>
          </w:tcPr>
          <w:p w14:paraId="50004CF4" w14:textId="77777777" w:rsidR="00757469" w:rsidRPr="00F32020" w:rsidRDefault="00757469" w:rsidP="00EC7CDF">
            <w:pPr>
              <w:jc w:val="center"/>
            </w:pPr>
            <w:r w:rsidRPr="00F32020">
              <w:t>9</w:t>
            </w:r>
          </w:p>
        </w:tc>
        <w:tc>
          <w:tcPr>
            <w:tcW w:w="1636" w:type="dxa"/>
            <w:noWrap/>
            <w:vAlign w:val="center"/>
            <w:hideMark/>
          </w:tcPr>
          <w:p w14:paraId="3694FDF0" w14:textId="77777777" w:rsidR="00757469" w:rsidRPr="00F32020" w:rsidRDefault="00757469" w:rsidP="00EC7CDF">
            <w:pPr>
              <w:jc w:val="center"/>
            </w:pPr>
            <w:r w:rsidRPr="00F32020">
              <w:t>22.50</w:t>
            </w:r>
          </w:p>
        </w:tc>
      </w:tr>
      <w:tr w:rsidR="00757469" w:rsidRPr="00F32020" w14:paraId="2850E886" w14:textId="77777777" w:rsidTr="00E1138F">
        <w:trPr>
          <w:trHeight w:val="340"/>
        </w:trPr>
        <w:tc>
          <w:tcPr>
            <w:tcW w:w="5042" w:type="dxa"/>
            <w:noWrap/>
            <w:vAlign w:val="center"/>
            <w:hideMark/>
          </w:tcPr>
          <w:p w14:paraId="58094AE9" w14:textId="77777777" w:rsidR="00757469" w:rsidRPr="00F32020" w:rsidRDefault="00757469" w:rsidP="00EC7CDF">
            <w:r w:rsidRPr="00F32020">
              <w:t>Kingdom of Spain</w:t>
            </w:r>
          </w:p>
        </w:tc>
        <w:tc>
          <w:tcPr>
            <w:tcW w:w="1630" w:type="dxa"/>
            <w:noWrap/>
            <w:vAlign w:val="center"/>
            <w:hideMark/>
          </w:tcPr>
          <w:p w14:paraId="778BBCE2" w14:textId="77777777" w:rsidR="00757469" w:rsidRPr="00F32020" w:rsidRDefault="00757469" w:rsidP="00EC7CDF">
            <w:pPr>
              <w:jc w:val="center"/>
            </w:pPr>
            <w:r w:rsidRPr="00F32020">
              <w:t>31</w:t>
            </w:r>
          </w:p>
        </w:tc>
        <w:tc>
          <w:tcPr>
            <w:tcW w:w="1241" w:type="dxa"/>
            <w:noWrap/>
            <w:vAlign w:val="center"/>
            <w:hideMark/>
          </w:tcPr>
          <w:p w14:paraId="46DA2E0D" w14:textId="77777777" w:rsidR="00757469" w:rsidRPr="00F32020" w:rsidRDefault="00757469" w:rsidP="00EC7CDF">
            <w:pPr>
              <w:jc w:val="center"/>
            </w:pPr>
            <w:r w:rsidRPr="00F32020">
              <w:t>2</w:t>
            </w:r>
          </w:p>
        </w:tc>
        <w:tc>
          <w:tcPr>
            <w:tcW w:w="1636" w:type="dxa"/>
            <w:noWrap/>
            <w:vAlign w:val="center"/>
            <w:hideMark/>
          </w:tcPr>
          <w:p w14:paraId="3B257D9E" w14:textId="77777777" w:rsidR="00757469" w:rsidRPr="00F32020" w:rsidRDefault="00757469" w:rsidP="00EC7CDF">
            <w:pPr>
              <w:jc w:val="center"/>
            </w:pPr>
            <w:r w:rsidRPr="00F32020">
              <w:t>6.45</w:t>
            </w:r>
          </w:p>
        </w:tc>
      </w:tr>
      <w:tr w:rsidR="00757469" w:rsidRPr="00F32020" w14:paraId="46083E1D" w14:textId="77777777" w:rsidTr="00E1138F">
        <w:trPr>
          <w:trHeight w:val="340"/>
        </w:trPr>
        <w:tc>
          <w:tcPr>
            <w:tcW w:w="5042" w:type="dxa"/>
            <w:noWrap/>
            <w:vAlign w:val="center"/>
            <w:hideMark/>
          </w:tcPr>
          <w:p w14:paraId="42F51327" w14:textId="77777777" w:rsidR="00757469" w:rsidRPr="00F32020" w:rsidRDefault="00757469" w:rsidP="00EC7CDF">
            <w:r w:rsidRPr="00F32020">
              <w:t>People's Republic of Bangladesh</w:t>
            </w:r>
          </w:p>
        </w:tc>
        <w:tc>
          <w:tcPr>
            <w:tcW w:w="1630" w:type="dxa"/>
            <w:noWrap/>
            <w:vAlign w:val="center"/>
            <w:hideMark/>
          </w:tcPr>
          <w:p w14:paraId="4EEC9B08" w14:textId="77777777" w:rsidR="00757469" w:rsidRPr="00F32020" w:rsidRDefault="00757469" w:rsidP="00EC7CDF">
            <w:pPr>
              <w:jc w:val="center"/>
            </w:pPr>
            <w:r w:rsidRPr="00F32020">
              <w:t>24</w:t>
            </w:r>
          </w:p>
        </w:tc>
        <w:tc>
          <w:tcPr>
            <w:tcW w:w="1241" w:type="dxa"/>
            <w:noWrap/>
            <w:vAlign w:val="center"/>
            <w:hideMark/>
          </w:tcPr>
          <w:p w14:paraId="66044FE8" w14:textId="77777777" w:rsidR="00757469" w:rsidRPr="00F32020" w:rsidRDefault="00757469" w:rsidP="00EC7CDF">
            <w:pPr>
              <w:jc w:val="center"/>
            </w:pPr>
            <w:r w:rsidRPr="00F32020">
              <w:t>3</w:t>
            </w:r>
          </w:p>
        </w:tc>
        <w:tc>
          <w:tcPr>
            <w:tcW w:w="1636" w:type="dxa"/>
            <w:noWrap/>
            <w:vAlign w:val="center"/>
            <w:hideMark/>
          </w:tcPr>
          <w:p w14:paraId="4E7A547E" w14:textId="77777777" w:rsidR="00757469" w:rsidRPr="00F32020" w:rsidRDefault="00757469" w:rsidP="00EC7CDF">
            <w:pPr>
              <w:jc w:val="center"/>
            </w:pPr>
            <w:r w:rsidRPr="00F32020">
              <w:t>12.50</w:t>
            </w:r>
          </w:p>
        </w:tc>
      </w:tr>
      <w:tr w:rsidR="00757469" w:rsidRPr="00F32020" w14:paraId="336EEB39" w14:textId="77777777" w:rsidTr="00E1138F">
        <w:trPr>
          <w:trHeight w:val="340"/>
        </w:trPr>
        <w:tc>
          <w:tcPr>
            <w:tcW w:w="5042" w:type="dxa"/>
            <w:noWrap/>
            <w:vAlign w:val="center"/>
            <w:hideMark/>
          </w:tcPr>
          <w:p w14:paraId="4543BE4B" w14:textId="77777777" w:rsidR="00757469" w:rsidRPr="00F32020" w:rsidRDefault="00757469" w:rsidP="00EC7CDF">
            <w:r w:rsidRPr="00F32020">
              <w:t>Federal Republic of Germany</w:t>
            </w:r>
          </w:p>
        </w:tc>
        <w:tc>
          <w:tcPr>
            <w:tcW w:w="1630" w:type="dxa"/>
            <w:noWrap/>
            <w:vAlign w:val="center"/>
            <w:hideMark/>
          </w:tcPr>
          <w:p w14:paraId="52E82254" w14:textId="77777777" w:rsidR="00757469" w:rsidRPr="00F32020" w:rsidRDefault="00757469" w:rsidP="00EC7CDF">
            <w:pPr>
              <w:jc w:val="center"/>
            </w:pPr>
            <w:r w:rsidRPr="00F32020">
              <w:t>24</w:t>
            </w:r>
          </w:p>
        </w:tc>
        <w:tc>
          <w:tcPr>
            <w:tcW w:w="1241" w:type="dxa"/>
            <w:noWrap/>
            <w:vAlign w:val="center"/>
            <w:hideMark/>
          </w:tcPr>
          <w:p w14:paraId="2E79DD9D" w14:textId="77777777" w:rsidR="00757469" w:rsidRPr="00F32020" w:rsidRDefault="00757469" w:rsidP="00EC7CDF">
            <w:pPr>
              <w:jc w:val="center"/>
            </w:pPr>
            <w:r w:rsidRPr="00F32020">
              <w:t>15</w:t>
            </w:r>
          </w:p>
        </w:tc>
        <w:tc>
          <w:tcPr>
            <w:tcW w:w="1636" w:type="dxa"/>
            <w:noWrap/>
            <w:vAlign w:val="center"/>
            <w:hideMark/>
          </w:tcPr>
          <w:p w14:paraId="1437957F" w14:textId="77777777" w:rsidR="00757469" w:rsidRPr="00F32020" w:rsidRDefault="00757469" w:rsidP="00EC7CDF">
            <w:pPr>
              <w:jc w:val="center"/>
            </w:pPr>
            <w:r w:rsidRPr="00F32020">
              <w:t>62.50</w:t>
            </w:r>
          </w:p>
        </w:tc>
      </w:tr>
      <w:tr w:rsidR="00757469" w:rsidRPr="00F32020" w14:paraId="5A9C751B" w14:textId="77777777" w:rsidTr="00E1138F">
        <w:trPr>
          <w:trHeight w:val="340"/>
        </w:trPr>
        <w:tc>
          <w:tcPr>
            <w:tcW w:w="5042" w:type="dxa"/>
            <w:noWrap/>
            <w:vAlign w:val="center"/>
            <w:hideMark/>
          </w:tcPr>
          <w:p w14:paraId="4142CB7D" w14:textId="77777777" w:rsidR="00757469" w:rsidRPr="00F32020" w:rsidRDefault="00757469" w:rsidP="00EC7CDF">
            <w:r w:rsidRPr="00F32020">
              <w:t>Republic of the Philippines</w:t>
            </w:r>
          </w:p>
        </w:tc>
        <w:tc>
          <w:tcPr>
            <w:tcW w:w="1630" w:type="dxa"/>
            <w:noWrap/>
            <w:vAlign w:val="center"/>
            <w:hideMark/>
          </w:tcPr>
          <w:p w14:paraId="3A8555D3" w14:textId="77777777" w:rsidR="00757469" w:rsidRPr="00F32020" w:rsidRDefault="00757469" w:rsidP="00EC7CDF">
            <w:pPr>
              <w:jc w:val="center"/>
            </w:pPr>
            <w:r w:rsidRPr="00F32020">
              <w:t>23</w:t>
            </w:r>
          </w:p>
        </w:tc>
        <w:tc>
          <w:tcPr>
            <w:tcW w:w="1241" w:type="dxa"/>
            <w:noWrap/>
            <w:vAlign w:val="center"/>
            <w:hideMark/>
          </w:tcPr>
          <w:p w14:paraId="283A4A35" w14:textId="77777777" w:rsidR="00757469" w:rsidRPr="00F32020" w:rsidRDefault="00757469" w:rsidP="00EC7CDF">
            <w:pPr>
              <w:jc w:val="center"/>
            </w:pPr>
            <w:r w:rsidRPr="00F32020">
              <w:t>1</w:t>
            </w:r>
          </w:p>
        </w:tc>
        <w:tc>
          <w:tcPr>
            <w:tcW w:w="1636" w:type="dxa"/>
            <w:noWrap/>
            <w:vAlign w:val="center"/>
            <w:hideMark/>
          </w:tcPr>
          <w:p w14:paraId="5F3DA2D4" w14:textId="77777777" w:rsidR="00757469" w:rsidRPr="00F32020" w:rsidRDefault="00757469" w:rsidP="00EC7CDF">
            <w:pPr>
              <w:jc w:val="center"/>
            </w:pPr>
            <w:r w:rsidRPr="00F32020">
              <w:t>4.35</w:t>
            </w:r>
          </w:p>
        </w:tc>
      </w:tr>
      <w:tr w:rsidR="00757469" w:rsidRPr="00F32020" w14:paraId="44D99A6E" w14:textId="77777777" w:rsidTr="00E1138F">
        <w:trPr>
          <w:trHeight w:val="340"/>
        </w:trPr>
        <w:tc>
          <w:tcPr>
            <w:tcW w:w="5042" w:type="dxa"/>
            <w:noWrap/>
            <w:vAlign w:val="center"/>
            <w:hideMark/>
          </w:tcPr>
          <w:p w14:paraId="3F4581B2" w14:textId="77777777" w:rsidR="00757469" w:rsidRPr="00F32020" w:rsidRDefault="00757469" w:rsidP="00EC7CDF">
            <w:r w:rsidRPr="00F32020">
              <w:t>Eastern Republic of Uruguay</w:t>
            </w:r>
          </w:p>
        </w:tc>
        <w:tc>
          <w:tcPr>
            <w:tcW w:w="1630" w:type="dxa"/>
            <w:noWrap/>
            <w:vAlign w:val="center"/>
            <w:hideMark/>
          </w:tcPr>
          <w:p w14:paraId="688D714A" w14:textId="77777777" w:rsidR="00757469" w:rsidRPr="00F32020" w:rsidRDefault="00757469" w:rsidP="00EC7CDF">
            <w:pPr>
              <w:jc w:val="center"/>
            </w:pPr>
            <w:r w:rsidRPr="00F32020">
              <w:t>21</w:t>
            </w:r>
          </w:p>
        </w:tc>
        <w:tc>
          <w:tcPr>
            <w:tcW w:w="1241" w:type="dxa"/>
            <w:noWrap/>
            <w:vAlign w:val="center"/>
            <w:hideMark/>
          </w:tcPr>
          <w:p w14:paraId="154005BE" w14:textId="77777777" w:rsidR="00757469" w:rsidRPr="00F32020" w:rsidRDefault="00757469" w:rsidP="00EC7CDF">
            <w:pPr>
              <w:jc w:val="center"/>
            </w:pPr>
            <w:r w:rsidRPr="00F32020">
              <w:t>6</w:t>
            </w:r>
          </w:p>
        </w:tc>
        <w:tc>
          <w:tcPr>
            <w:tcW w:w="1636" w:type="dxa"/>
            <w:noWrap/>
            <w:vAlign w:val="center"/>
            <w:hideMark/>
          </w:tcPr>
          <w:p w14:paraId="5429060A" w14:textId="77777777" w:rsidR="00757469" w:rsidRPr="00F32020" w:rsidRDefault="00757469" w:rsidP="00EC7CDF">
            <w:pPr>
              <w:jc w:val="center"/>
            </w:pPr>
            <w:r w:rsidRPr="00F32020">
              <w:t>28.57</w:t>
            </w:r>
          </w:p>
        </w:tc>
      </w:tr>
      <w:tr w:rsidR="00757469" w:rsidRPr="00F32020" w14:paraId="11162F23" w14:textId="77777777" w:rsidTr="00E1138F">
        <w:trPr>
          <w:trHeight w:val="340"/>
        </w:trPr>
        <w:tc>
          <w:tcPr>
            <w:tcW w:w="5042" w:type="dxa"/>
            <w:noWrap/>
            <w:vAlign w:val="center"/>
            <w:hideMark/>
          </w:tcPr>
          <w:p w14:paraId="6B063DE8" w14:textId="77777777" w:rsidR="00757469" w:rsidRPr="00F32020" w:rsidRDefault="00757469" w:rsidP="00EC7CDF">
            <w:r w:rsidRPr="00F32020">
              <w:lastRenderedPageBreak/>
              <w:t>Italian Republic</w:t>
            </w:r>
          </w:p>
        </w:tc>
        <w:tc>
          <w:tcPr>
            <w:tcW w:w="1630" w:type="dxa"/>
            <w:noWrap/>
            <w:vAlign w:val="center"/>
            <w:hideMark/>
          </w:tcPr>
          <w:p w14:paraId="6981E637" w14:textId="77777777" w:rsidR="00757469" w:rsidRPr="00F32020" w:rsidRDefault="00757469" w:rsidP="00EC7CDF">
            <w:pPr>
              <w:jc w:val="center"/>
            </w:pPr>
            <w:r w:rsidRPr="00F32020">
              <w:t>19</w:t>
            </w:r>
          </w:p>
        </w:tc>
        <w:tc>
          <w:tcPr>
            <w:tcW w:w="1241" w:type="dxa"/>
            <w:noWrap/>
            <w:vAlign w:val="center"/>
            <w:hideMark/>
          </w:tcPr>
          <w:p w14:paraId="3769AC6A" w14:textId="77777777" w:rsidR="00757469" w:rsidRPr="00F32020" w:rsidRDefault="00757469" w:rsidP="00EC7CDF">
            <w:pPr>
              <w:jc w:val="center"/>
            </w:pPr>
            <w:r w:rsidRPr="00F32020">
              <w:t>1</w:t>
            </w:r>
          </w:p>
        </w:tc>
        <w:tc>
          <w:tcPr>
            <w:tcW w:w="1636" w:type="dxa"/>
            <w:noWrap/>
            <w:vAlign w:val="center"/>
            <w:hideMark/>
          </w:tcPr>
          <w:p w14:paraId="6C082F94" w14:textId="77777777" w:rsidR="00757469" w:rsidRPr="00F32020" w:rsidRDefault="00757469" w:rsidP="00EC7CDF">
            <w:pPr>
              <w:jc w:val="center"/>
            </w:pPr>
            <w:r w:rsidRPr="00F32020">
              <w:t>5.26</w:t>
            </w:r>
          </w:p>
        </w:tc>
      </w:tr>
      <w:tr w:rsidR="00757469" w:rsidRPr="00F32020" w14:paraId="5ECDBE1B" w14:textId="77777777" w:rsidTr="00E1138F">
        <w:trPr>
          <w:trHeight w:val="340"/>
        </w:trPr>
        <w:tc>
          <w:tcPr>
            <w:tcW w:w="5042" w:type="dxa"/>
            <w:noWrap/>
            <w:vAlign w:val="center"/>
            <w:hideMark/>
          </w:tcPr>
          <w:p w14:paraId="1B1B1A9F" w14:textId="77777777" w:rsidR="00757469" w:rsidRPr="00F32020" w:rsidRDefault="00757469" w:rsidP="00EC7CDF">
            <w:r w:rsidRPr="00F32020">
              <w:t>Republic of Senegal</w:t>
            </w:r>
          </w:p>
        </w:tc>
        <w:tc>
          <w:tcPr>
            <w:tcW w:w="1630" w:type="dxa"/>
            <w:noWrap/>
            <w:vAlign w:val="center"/>
            <w:hideMark/>
          </w:tcPr>
          <w:p w14:paraId="79D9157B" w14:textId="77777777" w:rsidR="00757469" w:rsidRPr="00F32020" w:rsidRDefault="00757469" w:rsidP="00EC7CDF">
            <w:pPr>
              <w:jc w:val="center"/>
            </w:pPr>
            <w:r w:rsidRPr="00F32020">
              <w:t>19</w:t>
            </w:r>
          </w:p>
        </w:tc>
        <w:tc>
          <w:tcPr>
            <w:tcW w:w="1241" w:type="dxa"/>
            <w:noWrap/>
            <w:vAlign w:val="center"/>
            <w:hideMark/>
          </w:tcPr>
          <w:p w14:paraId="181A1A14" w14:textId="77777777" w:rsidR="00757469" w:rsidRPr="00F32020" w:rsidRDefault="00757469" w:rsidP="00EC7CDF">
            <w:pPr>
              <w:jc w:val="center"/>
            </w:pPr>
            <w:r w:rsidRPr="00F32020">
              <w:t>3</w:t>
            </w:r>
          </w:p>
        </w:tc>
        <w:tc>
          <w:tcPr>
            <w:tcW w:w="1636" w:type="dxa"/>
            <w:noWrap/>
            <w:vAlign w:val="center"/>
            <w:hideMark/>
          </w:tcPr>
          <w:p w14:paraId="3C6737A0" w14:textId="77777777" w:rsidR="00757469" w:rsidRPr="00F32020" w:rsidRDefault="00757469" w:rsidP="00EC7CDF">
            <w:pPr>
              <w:jc w:val="center"/>
            </w:pPr>
            <w:r w:rsidRPr="00F32020">
              <w:t>15.79</w:t>
            </w:r>
          </w:p>
        </w:tc>
      </w:tr>
      <w:tr w:rsidR="00757469" w:rsidRPr="00F32020" w14:paraId="06E325BA" w14:textId="77777777" w:rsidTr="00E1138F">
        <w:trPr>
          <w:trHeight w:val="340"/>
        </w:trPr>
        <w:tc>
          <w:tcPr>
            <w:tcW w:w="5042" w:type="dxa"/>
            <w:noWrap/>
            <w:vAlign w:val="center"/>
            <w:hideMark/>
          </w:tcPr>
          <w:p w14:paraId="1602E881" w14:textId="77777777" w:rsidR="00757469" w:rsidRPr="00F32020" w:rsidRDefault="00757469" w:rsidP="00EC7CDF">
            <w:r w:rsidRPr="00F32020">
              <w:t>Ukraine</w:t>
            </w:r>
          </w:p>
        </w:tc>
        <w:tc>
          <w:tcPr>
            <w:tcW w:w="1630" w:type="dxa"/>
            <w:noWrap/>
            <w:vAlign w:val="center"/>
            <w:hideMark/>
          </w:tcPr>
          <w:p w14:paraId="089E5669" w14:textId="77777777" w:rsidR="00757469" w:rsidRPr="00F32020" w:rsidRDefault="00757469" w:rsidP="00EC7CDF">
            <w:pPr>
              <w:jc w:val="center"/>
            </w:pPr>
            <w:r w:rsidRPr="00F32020">
              <w:t>19</w:t>
            </w:r>
          </w:p>
        </w:tc>
        <w:tc>
          <w:tcPr>
            <w:tcW w:w="1241" w:type="dxa"/>
            <w:noWrap/>
            <w:vAlign w:val="center"/>
            <w:hideMark/>
          </w:tcPr>
          <w:p w14:paraId="3D65C0CD" w14:textId="77777777" w:rsidR="00757469" w:rsidRPr="00F32020" w:rsidRDefault="00757469" w:rsidP="00EC7CDF">
            <w:pPr>
              <w:jc w:val="center"/>
            </w:pPr>
            <w:r w:rsidRPr="00F32020">
              <w:t>0</w:t>
            </w:r>
          </w:p>
        </w:tc>
        <w:tc>
          <w:tcPr>
            <w:tcW w:w="1636" w:type="dxa"/>
            <w:noWrap/>
            <w:vAlign w:val="center"/>
            <w:hideMark/>
          </w:tcPr>
          <w:p w14:paraId="03A25D55" w14:textId="77777777" w:rsidR="00757469" w:rsidRPr="00F32020" w:rsidRDefault="00757469" w:rsidP="00EC7CDF">
            <w:pPr>
              <w:jc w:val="center"/>
            </w:pPr>
            <w:r w:rsidRPr="00F32020">
              <w:t>0.00</w:t>
            </w:r>
          </w:p>
        </w:tc>
      </w:tr>
      <w:tr w:rsidR="00757469" w:rsidRPr="00F32020" w14:paraId="1A0868C4" w14:textId="77777777" w:rsidTr="00E1138F">
        <w:trPr>
          <w:trHeight w:val="340"/>
        </w:trPr>
        <w:tc>
          <w:tcPr>
            <w:tcW w:w="5042" w:type="dxa"/>
            <w:noWrap/>
            <w:vAlign w:val="center"/>
            <w:hideMark/>
          </w:tcPr>
          <w:p w14:paraId="532B0B9D" w14:textId="77777777" w:rsidR="00757469" w:rsidRPr="00F32020" w:rsidRDefault="00757469" w:rsidP="00EC7CDF">
            <w:r w:rsidRPr="00F32020">
              <w:t>Hellenic Republic</w:t>
            </w:r>
          </w:p>
        </w:tc>
        <w:tc>
          <w:tcPr>
            <w:tcW w:w="1630" w:type="dxa"/>
            <w:noWrap/>
            <w:vAlign w:val="center"/>
            <w:hideMark/>
          </w:tcPr>
          <w:p w14:paraId="356964F8" w14:textId="77777777" w:rsidR="00757469" w:rsidRPr="00F32020" w:rsidRDefault="00757469" w:rsidP="00EC7CDF">
            <w:pPr>
              <w:jc w:val="center"/>
            </w:pPr>
            <w:r w:rsidRPr="00F32020">
              <w:t>18</w:t>
            </w:r>
          </w:p>
        </w:tc>
        <w:tc>
          <w:tcPr>
            <w:tcW w:w="1241" w:type="dxa"/>
            <w:noWrap/>
            <w:vAlign w:val="center"/>
            <w:hideMark/>
          </w:tcPr>
          <w:p w14:paraId="27535D41" w14:textId="77777777" w:rsidR="00757469" w:rsidRPr="00F32020" w:rsidRDefault="00757469" w:rsidP="00EC7CDF">
            <w:pPr>
              <w:jc w:val="center"/>
            </w:pPr>
            <w:r w:rsidRPr="00F32020">
              <w:t>5</w:t>
            </w:r>
          </w:p>
        </w:tc>
        <w:tc>
          <w:tcPr>
            <w:tcW w:w="1636" w:type="dxa"/>
            <w:noWrap/>
            <w:vAlign w:val="center"/>
            <w:hideMark/>
          </w:tcPr>
          <w:p w14:paraId="442D5450" w14:textId="77777777" w:rsidR="00757469" w:rsidRPr="00F32020" w:rsidRDefault="00757469" w:rsidP="00EC7CDF">
            <w:pPr>
              <w:jc w:val="center"/>
            </w:pPr>
            <w:r w:rsidRPr="00F32020">
              <w:t>27.78</w:t>
            </w:r>
          </w:p>
        </w:tc>
      </w:tr>
      <w:tr w:rsidR="00757469" w:rsidRPr="00F32020" w14:paraId="5BC4FA6C" w14:textId="77777777" w:rsidTr="00E1138F">
        <w:trPr>
          <w:trHeight w:val="340"/>
        </w:trPr>
        <w:tc>
          <w:tcPr>
            <w:tcW w:w="5042" w:type="dxa"/>
            <w:noWrap/>
            <w:vAlign w:val="center"/>
            <w:hideMark/>
          </w:tcPr>
          <w:p w14:paraId="4FA7E9AA" w14:textId="77777777" w:rsidR="00757469" w:rsidRPr="00F32020" w:rsidRDefault="00757469" w:rsidP="00EC7CDF">
            <w:r w:rsidRPr="00F32020">
              <w:t>Rwandese Republic</w:t>
            </w:r>
          </w:p>
        </w:tc>
        <w:tc>
          <w:tcPr>
            <w:tcW w:w="1630" w:type="dxa"/>
            <w:noWrap/>
            <w:vAlign w:val="center"/>
            <w:hideMark/>
          </w:tcPr>
          <w:p w14:paraId="77BBFD04" w14:textId="77777777" w:rsidR="00757469" w:rsidRPr="00F32020" w:rsidRDefault="00757469" w:rsidP="00EC7CDF">
            <w:pPr>
              <w:jc w:val="center"/>
            </w:pPr>
            <w:r w:rsidRPr="00F32020">
              <w:t>17</w:t>
            </w:r>
          </w:p>
        </w:tc>
        <w:tc>
          <w:tcPr>
            <w:tcW w:w="1241" w:type="dxa"/>
            <w:noWrap/>
            <w:vAlign w:val="center"/>
            <w:hideMark/>
          </w:tcPr>
          <w:p w14:paraId="01E66FA1" w14:textId="77777777" w:rsidR="00757469" w:rsidRPr="00F32020" w:rsidRDefault="00757469" w:rsidP="00EC7CDF">
            <w:pPr>
              <w:jc w:val="center"/>
            </w:pPr>
            <w:r w:rsidRPr="00F32020">
              <w:t>5</w:t>
            </w:r>
          </w:p>
        </w:tc>
        <w:tc>
          <w:tcPr>
            <w:tcW w:w="1636" w:type="dxa"/>
            <w:noWrap/>
            <w:vAlign w:val="center"/>
            <w:hideMark/>
          </w:tcPr>
          <w:p w14:paraId="005519A2" w14:textId="77777777" w:rsidR="00757469" w:rsidRPr="00F32020" w:rsidRDefault="00757469" w:rsidP="00EC7CDF">
            <w:pPr>
              <w:jc w:val="center"/>
            </w:pPr>
            <w:r w:rsidRPr="00F32020">
              <w:t>29.41</w:t>
            </w:r>
          </w:p>
        </w:tc>
      </w:tr>
      <w:tr w:rsidR="00757469" w:rsidRPr="00F32020" w14:paraId="7043CD56" w14:textId="77777777" w:rsidTr="00E1138F">
        <w:trPr>
          <w:trHeight w:val="340"/>
        </w:trPr>
        <w:tc>
          <w:tcPr>
            <w:tcW w:w="5042" w:type="dxa"/>
            <w:noWrap/>
            <w:vAlign w:val="center"/>
            <w:hideMark/>
          </w:tcPr>
          <w:p w14:paraId="2EC7F645" w14:textId="77777777" w:rsidR="00757469" w:rsidRPr="00F32020" w:rsidRDefault="00757469" w:rsidP="00EC7CDF">
            <w:r w:rsidRPr="00F32020">
              <w:t>Republic of Singapore</w:t>
            </w:r>
          </w:p>
        </w:tc>
        <w:tc>
          <w:tcPr>
            <w:tcW w:w="1630" w:type="dxa"/>
            <w:noWrap/>
            <w:vAlign w:val="center"/>
            <w:hideMark/>
          </w:tcPr>
          <w:p w14:paraId="483F7402" w14:textId="77777777" w:rsidR="00757469" w:rsidRPr="00F32020" w:rsidRDefault="00757469" w:rsidP="00EC7CDF">
            <w:pPr>
              <w:jc w:val="center"/>
            </w:pPr>
            <w:r w:rsidRPr="00F32020">
              <w:t>17</w:t>
            </w:r>
          </w:p>
        </w:tc>
        <w:tc>
          <w:tcPr>
            <w:tcW w:w="1241" w:type="dxa"/>
            <w:noWrap/>
            <w:vAlign w:val="center"/>
            <w:hideMark/>
          </w:tcPr>
          <w:p w14:paraId="45523A62" w14:textId="77777777" w:rsidR="00757469" w:rsidRPr="00F32020" w:rsidRDefault="00757469" w:rsidP="00EC7CDF">
            <w:pPr>
              <w:jc w:val="center"/>
            </w:pPr>
            <w:r w:rsidRPr="00F32020">
              <w:t>3</w:t>
            </w:r>
          </w:p>
        </w:tc>
        <w:tc>
          <w:tcPr>
            <w:tcW w:w="1636" w:type="dxa"/>
            <w:noWrap/>
            <w:vAlign w:val="center"/>
            <w:hideMark/>
          </w:tcPr>
          <w:p w14:paraId="7E968A47" w14:textId="77777777" w:rsidR="00757469" w:rsidRPr="00F32020" w:rsidRDefault="00757469" w:rsidP="00EC7CDF">
            <w:pPr>
              <w:jc w:val="center"/>
            </w:pPr>
            <w:r w:rsidRPr="00F32020">
              <w:t>17.65</w:t>
            </w:r>
          </w:p>
        </w:tc>
      </w:tr>
      <w:tr w:rsidR="00757469" w:rsidRPr="00F32020" w14:paraId="132F943F" w14:textId="77777777" w:rsidTr="00E1138F">
        <w:trPr>
          <w:trHeight w:val="340"/>
        </w:trPr>
        <w:tc>
          <w:tcPr>
            <w:tcW w:w="5042" w:type="dxa"/>
            <w:noWrap/>
            <w:vAlign w:val="center"/>
            <w:hideMark/>
          </w:tcPr>
          <w:p w14:paraId="74294CB5" w14:textId="77777777" w:rsidR="00757469" w:rsidRPr="00F32020" w:rsidRDefault="00757469" w:rsidP="00EC7CDF">
            <w:r w:rsidRPr="00F32020">
              <w:t>State of Israel</w:t>
            </w:r>
          </w:p>
        </w:tc>
        <w:tc>
          <w:tcPr>
            <w:tcW w:w="1630" w:type="dxa"/>
            <w:noWrap/>
            <w:vAlign w:val="center"/>
            <w:hideMark/>
          </w:tcPr>
          <w:p w14:paraId="6F70AE51" w14:textId="77777777" w:rsidR="00757469" w:rsidRPr="00F32020" w:rsidRDefault="00757469" w:rsidP="00EC7CDF">
            <w:pPr>
              <w:jc w:val="center"/>
            </w:pPr>
            <w:r w:rsidRPr="00F32020">
              <w:t>16</w:t>
            </w:r>
          </w:p>
        </w:tc>
        <w:tc>
          <w:tcPr>
            <w:tcW w:w="1241" w:type="dxa"/>
            <w:noWrap/>
            <w:vAlign w:val="center"/>
            <w:hideMark/>
          </w:tcPr>
          <w:p w14:paraId="50DC4F4A" w14:textId="77777777" w:rsidR="00757469" w:rsidRPr="00F32020" w:rsidRDefault="00757469" w:rsidP="00EC7CDF">
            <w:pPr>
              <w:jc w:val="center"/>
            </w:pPr>
            <w:r w:rsidRPr="00F32020">
              <w:t>1</w:t>
            </w:r>
          </w:p>
        </w:tc>
        <w:tc>
          <w:tcPr>
            <w:tcW w:w="1636" w:type="dxa"/>
            <w:noWrap/>
            <w:vAlign w:val="center"/>
            <w:hideMark/>
          </w:tcPr>
          <w:p w14:paraId="2EDA9915" w14:textId="77777777" w:rsidR="00757469" w:rsidRPr="00F32020" w:rsidRDefault="00757469" w:rsidP="00EC7CDF">
            <w:pPr>
              <w:jc w:val="center"/>
            </w:pPr>
            <w:r w:rsidRPr="00F32020">
              <w:t>6.25</w:t>
            </w:r>
          </w:p>
        </w:tc>
      </w:tr>
      <w:tr w:rsidR="00757469" w:rsidRPr="00F32020" w14:paraId="19CDBF62" w14:textId="77777777" w:rsidTr="00E1138F">
        <w:trPr>
          <w:trHeight w:val="340"/>
        </w:trPr>
        <w:tc>
          <w:tcPr>
            <w:tcW w:w="5042" w:type="dxa"/>
            <w:noWrap/>
            <w:vAlign w:val="center"/>
            <w:hideMark/>
          </w:tcPr>
          <w:p w14:paraId="2356F1A8" w14:textId="77777777" w:rsidR="00757469" w:rsidRPr="00F32020" w:rsidRDefault="00757469" w:rsidP="00EC7CDF">
            <w:r w:rsidRPr="00F32020">
              <w:t>Republic of Malawi</w:t>
            </w:r>
          </w:p>
        </w:tc>
        <w:tc>
          <w:tcPr>
            <w:tcW w:w="1630" w:type="dxa"/>
            <w:noWrap/>
            <w:vAlign w:val="center"/>
            <w:hideMark/>
          </w:tcPr>
          <w:p w14:paraId="5981796B" w14:textId="77777777" w:rsidR="00757469" w:rsidRPr="00F32020" w:rsidRDefault="00757469" w:rsidP="00EC7CDF">
            <w:pPr>
              <w:jc w:val="center"/>
            </w:pPr>
            <w:r w:rsidRPr="00F32020">
              <w:t>16</w:t>
            </w:r>
          </w:p>
        </w:tc>
        <w:tc>
          <w:tcPr>
            <w:tcW w:w="1241" w:type="dxa"/>
            <w:noWrap/>
            <w:vAlign w:val="center"/>
            <w:hideMark/>
          </w:tcPr>
          <w:p w14:paraId="571BF156" w14:textId="77777777" w:rsidR="00757469" w:rsidRPr="00F32020" w:rsidRDefault="00757469" w:rsidP="00EC7CDF">
            <w:pPr>
              <w:jc w:val="center"/>
            </w:pPr>
            <w:r w:rsidRPr="00F32020">
              <w:t>3</w:t>
            </w:r>
          </w:p>
        </w:tc>
        <w:tc>
          <w:tcPr>
            <w:tcW w:w="1636" w:type="dxa"/>
            <w:noWrap/>
            <w:vAlign w:val="center"/>
            <w:hideMark/>
          </w:tcPr>
          <w:p w14:paraId="6606468F" w14:textId="77777777" w:rsidR="00757469" w:rsidRPr="00F32020" w:rsidRDefault="00757469" w:rsidP="00EC7CDF">
            <w:pPr>
              <w:jc w:val="center"/>
            </w:pPr>
            <w:r w:rsidRPr="00F32020">
              <w:t>18.75</w:t>
            </w:r>
          </w:p>
        </w:tc>
      </w:tr>
      <w:tr w:rsidR="00757469" w:rsidRPr="00F32020" w14:paraId="5EBB0D09" w14:textId="77777777" w:rsidTr="00E1138F">
        <w:trPr>
          <w:trHeight w:val="340"/>
        </w:trPr>
        <w:tc>
          <w:tcPr>
            <w:tcW w:w="5042" w:type="dxa"/>
            <w:noWrap/>
            <w:vAlign w:val="center"/>
            <w:hideMark/>
          </w:tcPr>
          <w:p w14:paraId="0533C781" w14:textId="77777777" w:rsidR="00757469" w:rsidRPr="00F32020" w:rsidRDefault="00757469" w:rsidP="00EC7CDF">
            <w:r w:rsidRPr="00F32020">
              <w:t>Russian Federation</w:t>
            </w:r>
          </w:p>
        </w:tc>
        <w:tc>
          <w:tcPr>
            <w:tcW w:w="1630" w:type="dxa"/>
            <w:noWrap/>
            <w:vAlign w:val="center"/>
            <w:hideMark/>
          </w:tcPr>
          <w:p w14:paraId="2E795C7B" w14:textId="77777777" w:rsidR="00757469" w:rsidRPr="00F32020" w:rsidRDefault="00757469" w:rsidP="00EC7CDF">
            <w:pPr>
              <w:jc w:val="center"/>
            </w:pPr>
            <w:r w:rsidRPr="00F32020">
              <w:t>14</w:t>
            </w:r>
          </w:p>
        </w:tc>
        <w:tc>
          <w:tcPr>
            <w:tcW w:w="1241" w:type="dxa"/>
            <w:noWrap/>
            <w:vAlign w:val="center"/>
            <w:hideMark/>
          </w:tcPr>
          <w:p w14:paraId="00DDB281" w14:textId="77777777" w:rsidR="00757469" w:rsidRPr="00F32020" w:rsidRDefault="00757469" w:rsidP="00EC7CDF">
            <w:pPr>
              <w:jc w:val="center"/>
            </w:pPr>
            <w:r w:rsidRPr="00F32020">
              <w:t>1</w:t>
            </w:r>
          </w:p>
        </w:tc>
        <w:tc>
          <w:tcPr>
            <w:tcW w:w="1636" w:type="dxa"/>
            <w:noWrap/>
            <w:vAlign w:val="center"/>
            <w:hideMark/>
          </w:tcPr>
          <w:p w14:paraId="5415ADD8" w14:textId="77777777" w:rsidR="00757469" w:rsidRPr="00F32020" w:rsidRDefault="00757469" w:rsidP="00EC7CDF">
            <w:pPr>
              <w:jc w:val="center"/>
            </w:pPr>
            <w:r w:rsidRPr="00F32020">
              <w:t>7.14</w:t>
            </w:r>
          </w:p>
        </w:tc>
      </w:tr>
      <w:tr w:rsidR="00757469" w:rsidRPr="00F32020" w14:paraId="1B4ED102" w14:textId="77777777" w:rsidTr="00E1138F">
        <w:trPr>
          <w:trHeight w:val="340"/>
        </w:trPr>
        <w:tc>
          <w:tcPr>
            <w:tcW w:w="5042" w:type="dxa"/>
            <w:noWrap/>
            <w:vAlign w:val="center"/>
            <w:hideMark/>
          </w:tcPr>
          <w:p w14:paraId="48F00835" w14:textId="77777777" w:rsidR="00757469" w:rsidRPr="00F32020" w:rsidRDefault="00757469" w:rsidP="00EC7CDF">
            <w:r w:rsidRPr="00F32020">
              <w:t>Republic of Turkey</w:t>
            </w:r>
          </w:p>
        </w:tc>
        <w:tc>
          <w:tcPr>
            <w:tcW w:w="1630" w:type="dxa"/>
            <w:noWrap/>
            <w:vAlign w:val="center"/>
            <w:hideMark/>
          </w:tcPr>
          <w:p w14:paraId="3B77AF59" w14:textId="77777777" w:rsidR="00757469" w:rsidRPr="00F32020" w:rsidRDefault="00757469" w:rsidP="00EC7CDF">
            <w:pPr>
              <w:jc w:val="center"/>
            </w:pPr>
            <w:r w:rsidRPr="00F32020">
              <w:t>13</w:t>
            </w:r>
          </w:p>
        </w:tc>
        <w:tc>
          <w:tcPr>
            <w:tcW w:w="1241" w:type="dxa"/>
            <w:noWrap/>
            <w:vAlign w:val="center"/>
            <w:hideMark/>
          </w:tcPr>
          <w:p w14:paraId="798EB7DB" w14:textId="77777777" w:rsidR="00757469" w:rsidRPr="00F32020" w:rsidRDefault="00757469" w:rsidP="00EC7CDF">
            <w:pPr>
              <w:jc w:val="center"/>
            </w:pPr>
            <w:r w:rsidRPr="00F32020">
              <w:t>2</w:t>
            </w:r>
          </w:p>
        </w:tc>
        <w:tc>
          <w:tcPr>
            <w:tcW w:w="1636" w:type="dxa"/>
            <w:noWrap/>
            <w:vAlign w:val="center"/>
            <w:hideMark/>
          </w:tcPr>
          <w:p w14:paraId="7330342E" w14:textId="77777777" w:rsidR="00757469" w:rsidRPr="00F32020" w:rsidRDefault="00757469" w:rsidP="00EC7CDF">
            <w:pPr>
              <w:jc w:val="center"/>
            </w:pPr>
            <w:r w:rsidRPr="00F32020">
              <w:t>15.38</w:t>
            </w:r>
          </w:p>
        </w:tc>
      </w:tr>
      <w:tr w:rsidR="00757469" w:rsidRPr="00F32020" w14:paraId="0BABBEC7" w14:textId="77777777" w:rsidTr="00E1138F">
        <w:trPr>
          <w:trHeight w:val="340"/>
        </w:trPr>
        <w:tc>
          <w:tcPr>
            <w:tcW w:w="5042" w:type="dxa"/>
            <w:noWrap/>
            <w:vAlign w:val="center"/>
            <w:hideMark/>
          </w:tcPr>
          <w:p w14:paraId="39B4FCCA" w14:textId="77777777" w:rsidR="00757469" w:rsidRPr="00F32020" w:rsidRDefault="00757469" w:rsidP="00EC7CDF">
            <w:r w:rsidRPr="00F32020">
              <w:t>Burkina Faso</w:t>
            </w:r>
          </w:p>
        </w:tc>
        <w:tc>
          <w:tcPr>
            <w:tcW w:w="1630" w:type="dxa"/>
            <w:noWrap/>
            <w:vAlign w:val="center"/>
            <w:hideMark/>
          </w:tcPr>
          <w:p w14:paraId="6F529AA9" w14:textId="77777777" w:rsidR="00757469" w:rsidRPr="00F32020" w:rsidRDefault="00757469" w:rsidP="00EC7CDF">
            <w:pPr>
              <w:jc w:val="center"/>
            </w:pPr>
            <w:r w:rsidRPr="00F32020">
              <w:t>12</w:t>
            </w:r>
          </w:p>
        </w:tc>
        <w:tc>
          <w:tcPr>
            <w:tcW w:w="1241" w:type="dxa"/>
            <w:noWrap/>
            <w:vAlign w:val="center"/>
            <w:hideMark/>
          </w:tcPr>
          <w:p w14:paraId="4F0437F6" w14:textId="77777777" w:rsidR="00757469" w:rsidRPr="00F32020" w:rsidRDefault="00757469" w:rsidP="00EC7CDF">
            <w:pPr>
              <w:jc w:val="center"/>
            </w:pPr>
            <w:r w:rsidRPr="00F32020">
              <w:t>2</w:t>
            </w:r>
          </w:p>
        </w:tc>
        <w:tc>
          <w:tcPr>
            <w:tcW w:w="1636" w:type="dxa"/>
            <w:noWrap/>
            <w:vAlign w:val="center"/>
            <w:hideMark/>
          </w:tcPr>
          <w:p w14:paraId="6FE3A7DD" w14:textId="77777777" w:rsidR="00757469" w:rsidRPr="00F32020" w:rsidRDefault="00757469" w:rsidP="00EC7CDF">
            <w:pPr>
              <w:jc w:val="center"/>
            </w:pPr>
            <w:r w:rsidRPr="00F32020">
              <w:t>16.67</w:t>
            </w:r>
          </w:p>
        </w:tc>
      </w:tr>
      <w:tr w:rsidR="00757469" w:rsidRPr="00F32020" w14:paraId="1236C9FB" w14:textId="77777777" w:rsidTr="00E1138F">
        <w:trPr>
          <w:trHeight w:val="340"/>
        </w:trPr>
        <w:tc>
          <w:tcPr>
            <w:tcW w:w="5042" w:type="dxa"/>
            <w:noWrap/>
            <w:vAlign w:val="center"/>
            <w:hideMark/>
          </w:tcPr>
          <w:p w14:paraId="56C28493" w14:textId="77777777" w:rsidR="00757469" w:rsidRPr="00F32020" w:rsidRDefault="00757469" w:rsidP="00EC7CDF">
            <w:r w:rsidRPr="00F32020">
              <w:t>Ireland</w:t>
            </w:r>
          </w:p>
        </w:tc>
        <w:tc>
          <w:tcPr>
            <w:tcW w:w="1630" w:type="dxa"/>
            <w:noWrap/>
            <w:vAlign w:val="center"/>
            <w:hideMark/>
          </w:tcPr>
          <w:p w14:paraId="7F64E2A6" w14:textId="77777777" w:rsidR="00757469" w:rsidRPr="00F32020" w:rsidRDefault="00757469" w:rsidP="00EC7CDF">
            <w:pPr>
              <w:jc w:val="center"/>
            </w:pPr>
            <w:r w:rsidRPr="00F32020">
              <w:t>11</w:t>
            </w:r>
          </w:p>
        </w:tc>
        <w:tc>
          <w:tcPr>
            <w:tcW w:w="1241" w:type="dxa"/>
            <w:noWrap/>
            <w:vAlign w:val="center"/>
            <w:hideMark/>
          </w:tcPr>
          <w:p w14:paraId="5C58060B" w14:textId="77777777" w:rsidR="00757469" w:rsidRPr="00F32020" w:rsidRDefault="00757469" w:rsidP="00EC7CDF">
            <w:pPr>
              <w:jc w:val="center"/>
            </w:pPr>
            <w:r w:rsidRPr="00F32020">
              <w:t>2</w:t>
            </w:r>
          </w:p>
        </w:tc>
        <w:tc>
          <w:tcPr>
            <w:tcW w:w="1636" w:type="dxa"/>
            <w:noWrap/>
            <w:vAlign w:val="center"/>
            <w:hideMark/>
          </w:tcPr>
          <w:p w14:paraId="37ECCB0F" w14:textId="77777777" w:rsidR="00757469" w:rsidRPr="00F32020" w:rsidRDefault="00757469" w:rsidP="00EC7CDF">
            <w:pPr>
              <w:jc w:val="center"/>
            </w:pPr>
            <w:r w:rsidRPr="00F32020">
              <w:t>18.18</w:t>
            </w:r>
          </w:p>
        </w:tc>
      </w:tr>
      <w:tr w:rsidR="00757469" w:rsidRPr="00F32020" w14:paraId="48F89E62" w14:textId="77777777" w:rsidTr="00E1138F">
        <w:trPr>
          <w:trHeight w:val="340"/>
        </w:trPr>
        <w:tc>
          <w:tcPr>
            <w:tcW w:w="5042" w:type="dxa"/>
            <w:noWrap/>
            <w:vAlign w:val="center"/>
            <w:hideMark/>
          </w:tcPr>
          <w:p w14:paraId="5AEF5941" w14:textId="77777777" w:rsidR="00757469" w:rsidRPr="00F32020" w:rsidRDefault="00757469" w:rsidP="00EC7CDF">
            <w:r w:rsidRPr="00F32020">
              <w:t>Malaysia</w:t>
            </w:r>
          </w:p>
        </w:tc>
        <w:tc>
          <w:tcPr>
            <w:tcW w:w="1630" w:type="dxa"/>
            <w:noWrap/>
            <w:vAlign w:val="center"/>
            <w:hideMark/>
          </w:tcPr>
          <w:p w14:paraId="2B3FFFDC" w14:textId="77777777" w:rsidR="00757469" w:rsidRPr="00F32020" w:rsidRDefault="00757469" w:rsidP="00EC7CDF">
            <w:pPr>
              <w:jc w:val="center"/>
            </w:pPr>
            <w:r w:rsidRPr="00F32020">
              <w:t>11</w:t>
            </w:r>
          </w:p>
        </w:tc>
        <w:tc>
          <w:tcPr>
            <w:tcW w:w="1241" w:type="dxa"/>
            <w:noWrap/>
            <w:vAlign w:val="center"/>
            <w:hideMark/>
          </w:tcPr>
          <w:p w14:paraId="51476E51" w14:textId="77777777" w:rsidR="00757469" w:rsidRPr="00F32020" w:rsidRDefault="00757469" w:rsidP="00EC7CDF">
            <w:pPr>
              <w:jc w:val="center"/>
            </w:pPr>
            <w:r w:rsidRPr="00F32020">
              <w:t>1</w:t>
            </w:r>
          </w:p>
        </w:tc>
        <w:tc>
          <w:tcPr>
            <w:tcW w:w="1636" w:type="dxa"/>
            <w:noWrap/>
            <w:vAlign w:val="center"/>
            <w:hideMark/>
          </w:tcPr>
          <w:p w14:paraId="3C5FF9A2" w14:textId="77777777" w:rsidR="00757469" w:rsidRPr="00F32020" w:rsidRDefault="00757469" w:rsidP="00EC7CDF">
            <w:pPr>
              <w:jc w:val="center"/>
            </w:pPr>
            <w:r w:rsidRPr="00F32020">
              <w:t>9.09</w:t>
            </w:r>
          </w:p>
        </w:tc>
      </w:tr>
      <w:tr w:rsidR="00757469" w:rsidRPr="00F32020" w14:paraId="7710D703" w14:textId="77777777" w:rsidTr="00E1138F">
        <w:trPr>
          <w:trHeight w:val="340"/>
        </w:trPr>
        <w:tc>
          <w:tcPr>
            <w:tcW w:w="5042" w:type="dxa"/>
            <w:noWrap/>
            <w:vAlign w:val="center"/>
            <w:hideMark/>
          </w:tcPr>
          <w:p w14:paraId="04E0E9FA" w14:textId="77777777" w:rsidR="00757469" w:rsidRPr="00F32020" w:rsidRDefault="00757469" w:rsidP="00EC7CDF">
            <w:r w:rsidRPr="00F32020">
              <w:t>Swiss Confederation</w:t>
            </w:r>
          </w:p>
        </w:tc>
        <w:tc>
          <w:tcPr>
            <w:tcW w:w="1630" w:type="dxa"/>
            <w:noWrap/>
            <w:vAlign w:val="center"/>
            <w:hideMark/>
          </w:tcPr>
          <w:p w14:paraId="437CBD2A" w14:textId="77777777" w:rsidR="00757469" w:rsidRPr="00F32020" w:rsidRDefault="00757469" w:rsidP="00EC7CDF">
            <w:pPr>
              <w:jc w:val="center"/>
            </w:pPr>
            <w:r w:rsidRPr="00F32020">
              <w:t>11</w:t>
            </w:r>
          </w:p>
        </w:tc>
        <w:tc>
          <w:tcPr>
            <w:tcW w:w="1241" w:type="dxa"/>
            <w:noWrap/>
            <w:vAlign w:val="center"/>
            <w:hideMark/>
          </w:tcPr>
          <w:p w14:paraId="2371C795" w14:textId="77777777" w:rsidR="00757469" w:rsidRPr="00F32020" w:rsidRDefault="00757469" w:rsidP="00EC7CDF">
            <w:pPr>
              <w:jc w:val="center"/>
            </w:pPr>
            <w:r w:rsidRPr="00F32020">
              <w:t>1</w:t>
            </w:r>
          </w:p>
        </w:tc>
        <w:tc>
          <w:tcPr>
            <w:tcW w:w="1636" w:type="dxa"/>
            <w:noWrap/>
            <w:vAlign w:val="center"/>
            <w:hideMark/>
          </w:tcPr>
          <w:p w14:paraId="5F025201" w14:textId="77777777" w:rsidR="00757469" w:rsidRPr="00F32020" w:rsidRDefault="00757469" w:rsidP="00EC7CDF">
            <w:pPr>
              <w:jc w:val="center"/>
            </w:pPr>
            <w:r w:rsidRPr="00F32020">
              <w:t>9.09</w:t>
            </w:r>
          </w:p>
        </w:tc>
      </w:tr>
      <w:tr w:rsidR="00757469" w:rsidRPr="00F32020" w14:paraId="6F585859" w14:textId="77777777" w:rsidTr="00E1138F">
        <w:trPr>
          <w:trHeight w:val="340"/>
        </w:trPr>
        <w:tc>
          <w:tcPr>
            <w:tcW w:w="5042" w:type="dxa"/>
            <w:noWrap/>
            <w:vAlign w:val="center"/>
            <w:hideMark/>
          </w:tcPr>
          <w:p w14:paraId="5C158872" w14:textId="77777777" w:rsidR="00757469" w:rsidRPr="00F32020" w:rsidRDefault="00757469" w:rsidP="00EC7CDF">
            <w:r w:rsidRPr="00F32020">
              <w:t>Kingdom of the Netherlands</w:t>
            </w:r>
          </w:p>
        </w:tc>
        <w:tc>
          <w:tcPr>
            <w:tcW w:w="1630" w:type="dxa"/>
            <w:noWrap/>
            <w:vAlign w:val="center"/>
            <w:hideMark/>
          </w:tcPr>
          <w:p w14:paraId="41206F15" w14:textId="77777777" w:rsidR="00757469" w:rsidRPr="00F32020" w:rsidRDefault="00757469" w:rsidP="00EC7CDF">
            <w:pPr>
              <w:jc w:val="center"/>
            </w:pPr>
            <w:r w:rsidRPr="00F32020">
              <w:t>9</w:t>
            </w:r>
          </w:p>
        </w:tc>
        <w:tc>
          <w:tcPr>
            <w:tcW w:w="1241" w:type="dxa"/>
            <w:noWrap/>
            <w:vAlign w:val="center"/>
            <w:hideMark/>
          </w:tcPr>
          <w:p w14:paraId="1452412A" w14:textId="77777777" w:rsidR="00757469" w:rsidRPr="00F32020" w:rsidRDefault="00757469" w:rsidP="00EC7CDF">
            <w:pPr>
              <w:jc w:val="center"/>
            </w:pPr>
            <w:r w:rsidRPr="00F32020">
              <w:t>2</w:t>
            </w:r>
          </w:p>
        </w:tc>
        <w:tc>
          <w:tcPr>
            <w:tcW w:w="1636" w:type="dxa"/>
            <w:noWrap/>
            <w:vAlign w:val="center"/>
            <w:hideMark/>
          </w:tcPr>
          <w:p w14:paraId="329A9524" w14:textId="77777777" w:rsidR="00757469" w:rsidRPr="00F32020" w:rsidRDefault="00757469" w:rsidP="00EC7CDF">
            <w:pPr>
              <w:jc w:val="center"/>
            </w:pPr>
            <w:r w:rsidRPr="00F32020">
              <w:t>22.22</w:t>
            </w:r>
          </w:p>
        </w:tc>
      </w:tr>
      <w:tr w:rsidR="00757469" w:rsidRPr="00F32020" w14:paraId="284B4038" w14:textId="77777777" w:rsidTr="00E1138F">
        <w:trPr>
          <w:trHeight w:val="340"/>
        </w:trPr>
        <w:tc>
          <w:tcPr>
            <w:tcW w:w="5042" w:type="dxa"/>
            <w:noWrap/>
            <w:vAlign w:val="center"/>
            <w:hideMark/>
          </w:tcPr>
          <w:p w14:paraId="2B42391B" w14:textId="77777777" w:rsidR="00757469" w:rsidRPr="00F32020" w:rsidRDefault="00757469" w:rsidP="00EC7CDF">
            <w:r w:rsidRPr="00F32020">
              <w:t>Republic of Angola</w:t>
            </w:r>
          </w:p>
        </w:tc>
        <w:tc>
          <w:tcPr>
            <w:tcW w:w="1630" w:type="dxa"/>
            <w:noWrap/>
            <w:vAlign w:val="center"/>
            <w:hideMark/>
          </w:tcPr>
          <w:p w14:paraId="26959481" w14:textId="77777777" w:rsidR="00757469" w:rsidRPr="00F32020" w:rsidRDefault="00757469" w:rsidP="00EC7CDF">
            <w:pPr>
              <w:jc w:val="center"/>
            </w:pPr>
            <w:r w:rsidRPr="00F32020">
              <w:t>9</w:t>
            </w:r>
          </w:p>
        </w:tc>
        <w:tc>
          <w:tcPr>
            <w:tcW w:w="1241" w:type="dxa"/>
            <w:noWrap/>
            <w:vAlign w:val="center"/>
            <w:hideMark/>
          </w:tcPr>
          <w:p w14:paraId="536EEE95" w14:textId="77777777" w:rsidR="00757469" w:rsidRPr="00F32020" w:rsidRDefault="00757469" w:rsidP="00EC7CDF">
            <w:pPr>
              <w:jc w:val="center"/>
            </w:pPr>
            <w:r w:rsidRPr="00F32020">
              <w:t>0</w:t>
            </w:r>
          </w:p>
        </w:tc>
        <w:tc>
          <w:tcPr>
            <w:tcW w:w="1636" w:type="dxa"/>
            <w:noWrap/>
            <w:vAlign w:val="center"/>
            <w:hideMark/>
          </w:tcPr>
          <w:p w14:paraId="61C39C2C" w14:textId="77777777" w:rsidR="00757469" w:rsidRPr="00F32020" w:rsidRDefault="00757469" w:rsidP="00EC7CDF">
            <w:pPr>
              <w:jc w:val="center"/>
            </w:pPr>
            <w:r w:rsidRPr="00F32020">
              <w:t>0.00</w:t>
            </w:r>
          </w:p>
        </w:tc>
      </w:tr>
      <w:tr w:rsidR="00757469" w:rsidRPr="00F32020" w14:paraId="7C917B66" w14:textId="77777777" w:rsidTr="00E1138F">
        <w:trPr>
          <w:trHeight w:val="340"/>
        </w:trPr>
        <w:tc>
          <w:tcPr>
            <w:tcW w:w="5042" w:type="dxa"/>
            <w:noWrap/>
            <w:vAlign w:val="center"/>
            <w:hideMark/>
          </w:tcPr>
          <w:p w14:paraId="69EB5DF6" w14:textId="77777777" w:rsidR="00757469" w:rsidRPr="00F32020" w:rsidRDefault="00757469" w:rsidP="00EC7CDF">
            <w:r w:rsidRPr="00F32020">
              <w:t>Republic of Namibia</w:t>
            </w:r>
          </w:p>
        </w:tc>
        <w:tc>
          <w:tcPr>
            <w:tcW w:w="1630" w:type="dxa"/>
            <w:noWrap/>
            <w:vAlign w:val="center"/>
            <w:hideMark/>
          </w:tcPr>
          <w:p w14:paraId="05809A5C" w14:textId="77777777" w:rsidR="00757469" w:rsidRPr="00F32020" w:rsidRDefault="00757469" w:rsidP="00EC7CDF">
            <w:pPr>
              <w:jc w:val="center"/>
            </w:pPr>
            <w:r w:rsidRPr="00F32020">
              <w:t>9</w:t>
            </w:r>
          </w:p>
        </w:tc>
        <w:tc>
          <w:tcPr>
            <w:tcW w:w="1241" w:type="dxa"/>
            <w:noWrap/>
            <w:vAlign w:val="center"/>
            <w:hideMark/>
          </w:tcPr>
          <w:p w14:paraId="31AE75CB" w14:textId="77777777" w:rsidR="00757469" w:rsidRPr="00F32020" w:rsidRDefault="00757469" w:rsidP="00EC7CDF">
            <w:pPr>
              <w:jc w:val="center"/>
            </w:pPr>
            <w:r w:rsidRPr="00F32020">
              <w:t>0</w:t>
            </w:r>
          </w:p>
        </w:tc>
        <w:tc>
          <w:tcPr>
            <w:tcW w:w="1636" w:type="dxa"/>
            <w:noWrap/>
            <w:vAlign w:val="center"/>
            <w:hideMark/>
          </w:tcPr>
          <w:p w14:paraId="0CE9B355" w14:textId="77777777" w:rsidR="00757469" w:rsidRPr="00F32020" w:rsidRDefault="00757469" w:rsidP="00EC7CDF">
            <w:pPr>
              <w:jc w:val="center"/>
            </w:pPr>
            <w:r w:rsidRPr="00F32020">
              <w:t>0.00</w:t>
            </w:r>
          </w:p>
        </w:tc>
      </w:tr>
      <w:tr w:rsidR="00757469" w:rsidRPr="00F32020" w14:paraId="7260CF16" w14:textId="77777777" w:rsidTr="00E1138F">
        <w:trPr>
          <w:trHeight w:val="340"/>
        </w:trPr>
        <w:tc>
          <w:tcPr>
            <w:tcW w:w="5042" w:type="dxa"/>
            <w:noWrap/>
            <w:vAlign w:val="center"/>
            <w:hideMark/>
          </w:tcPr>
          <w:p w14:paraId="7437E8BE" w14:textId="77777777" w:rsidR="00757469" w:rsidRPr="00F32020" w:rsidRDefault="00757469" w:rsidP="00EC7CDF">
            <w:r w:rsidRPr="00F32020">
              <w:t>Kingdom of Denmark</w:t>
            </w:r>
          </w:p>
        </w:tc>
        <w:tc>
          <w:tcPr>
            <w:tcW w:w="1630" w:type="dxa"/>
            <w:noWrap/>
            <w:vAlign w:val="center"/>
            <w:hideMark/>
          </w:tcPr>
          <w:p w14:paraId="1FE8C86C" w14:textId="77777777" w:rsidR="00757469" w:rsidRPr="00F32020" w:rsidRDefault="00757469" w:rsidP="00EC7CDF">
            <w:pPr>
              <w:jc w:val="center"/>
            </w:pPr>
            <w:r w:rsidRPr="00F32020">
              <w:t>8</w:t>
            </w:r>
          </w:p>
        </w:tc>
        <w:tc>
          <w:tcPr>
            <w:tcW w:w="1241" w:type="dxa"/>
            <w:noWrap/>
            <w:vAlign w:val="center"/>
            <w:hideMark/>
          </w:tcPr>
          <w:p w14:paraId="405D9367" w14:textId="77777777" w:rsidR="00757469" w:rsidRPr="00F32020" w:rsidRDefault="00757469" w:rsidP="00EC7CDF">
            <w:pPr>
              <w:jc w:val="center"/>
            </w:pPr>
            <w:r w:rsidRPr="00F32020">
              <w:t>0</w:t>
            </w:r>
          </w:p>
        </w:tc>
        <w:tc>
          <w:tcPr>
            <w:tcW w:w="1636" w:type="dxa"/>
            <w:noWrap/>
            <w:vAlign w:val="center"/>
            <w:hideMark/>
          </w:tcPr>
          <w:p w14:paraId="60ECAAC9" w14:textId="77777777" w:rsidR="00757469" w:rsidRPr="00F32020" w:rsidRDefault="00757469" w:rsidP="00EC7CDF">
            <w:pPr>
              <w:jc w:val="center"/>
            </w:pPr>
            <w:r w:rsidRPr="00F32020">
              <w:t>0.00</w:t>
            </w:r>
          </w:p>
        </w:tc>
      </w:tr>
      <w:tr w:rsidR="00757469" w:rsidRPr="00F32020" w14:paraId="0385137F" w14:textId="77777777" w:rsidTr="00E1138F">
        <w:trPr>
          <w:trHeight w:val="340"/>
        </w:trPr>
        <w:tc>
          <w:tcPr>
            <w:tcW w:w="5042" w:type="dxa"/>
            <w:noWrap/>
            <w:vAlign w:val="center"/>
            <w:hideMark/>
          </w:tcPr>
          <w:p w14:paraId="06F578AE" w14:textId="77777777" w:rsidR="00757469" w:rsidRPr="00F32020" w:rsidRDefault="00757469" w:rsidP="00EC7CDF">
            <w:r w:rsidRPr="00F32020">
              <w:t>Republic of Panama</w:t>
            </w:r>
          </w:p>
        </w:tc>
        <w:tc>
          <w:tcPr>
            <w:tcW w:w="1630" w:type="dxa"/>
            <w:noWrap/>
            <w:vAlign w:val="center"/>
            <w:hideMark/>
          </w:tcPr>
          <w:p w14:paraId="12235E17" w14:textId="77777777" w:rsidR="00757469" w:rsidRPr="00F32020" w:rsidRDefault="00757469" w:rsidP="00EC7CDF">
            <w:pPr>
              <w:jc w:val="center"/>
            </w:pPr>
            <w:r w:rsidRPr="00F32020">
              <w:t>8</w:t>
            </w:r>
          </w:p>
        </w:tc>
        <w:tc>
          <w:tcPr>
            <w:tcW w:w="1241" w:type="dxa"/>
            <w:noWrap/>
            <w:vAlign w:val="center"/>
            <w:hideMark/>
          </w:tcPr>
          <w:p w14:paraId="71DD58A4" w14:textId="77777777" w:rsidR="00757469" w:rsidRPr="00F32020" w:rsidRDefault="00757469" w:rsidP="00EC7CDF">
            <w:pPr>
              <w:jc w:val="center"/>
            </w:pPr>
            <w:r w:rsidRPr="00F32020">
              <w:t>1</w:t>
            </w:r>
          </w:p>
        </w:tc>
        <w:tc>
          <w:tcPr>
            <w:tcW w:w="1636" w:type="dxa"/>
            <w:noWrap/>
            <w:vAlign w:val="center"/>
            <w:hideMark/>
          </w:tcPr>
          <w:p w14:paraId="539E85EF" w14:textId="77777777" w:rsidR="00757469" w:rsidRPr="00F32020" w:rsidRDefault="00757469" w:rsidP="00EC7CDF">
            <w:pPr>
              <w:jc w:val="center"/>
            </w:pPr>
            <w:r w:rsidRPr="00F32020">
              <w:t>12.50</w:t>
            </w:r>
          </w:p>
        </w:tc>
      </w:tr>
      <w:tr w:rsidR="00757469" w:rsidRPr="00F32020" w14:paraId="6EDCE5A2" w14:textId="77777777" w:rsidTr="00E1138F">
        <w:trPr>
          <w:trHeight w:val="340"/>
        </w:trPr>
        <w:tc>
          <w:tcPr>
            <w:tcW w:w="5042" w:type="dxa"/>
            <w:noWrap/>
            <w:vAlign w:val="center"/>
            <w:hideMark/>
          </w:tcPr>
          <w:p w14:paraId="2349914E" w14:textId="77777777" w:rsidR="00757469" w:rsidRPr="00F32020" w:rsidRDefault="00757469" w:rsidP="00EC7CDF">
            <w:r w:rsidRPr="00F32020">
              <w:t>Kingdom of Belgium</w:t>
            </w:r>
          </w:p>
        </w:tc>
        <w:tc>
          <w:tcPr>
            <w:tcW w:w="1630" w:type="dxa"/>
            <w:noWrap/>
            <w:vAlign w:val="center"/>
            <w:hideMark/>
          </w:tcPr>
          <w:p w14:paraId="58583095" w14:textId="77777777" w:rsidR="00757469" w:rsidRPr="00F32020" w:rsidRDefault="00757469" w:rsidP="00EC7CDF">
            <w:pPr>
              <w:jc w:val="center"/>
            </w:pPr>
            <w:r w:rsidRPr="00F32020">
              <w:t>6</w:t>
            </w:r>
          </w:p>
        </w:tc>
        <w:tc>
          <w:tcPr>
            <w:tcW w:w="1241" w:type="dxa"/>
            <w:noWrap/>
            <w:vAlign w:val="center"/>
            <w:hideMark/>
          </w:tcPr>
          <w:p w14:paraId="4A4C9666" w14:textId="77777777" w:rsidR="00757469" w:rsidRPr="00F32020" w:rsidRDefault="00757469" w:rsidP="00EC7CDF">
            <w:pPr>
              <w:jc w:val="center"/>
            </w:pPr>
            <w:r w:rsidRPr="00F32020">
              <w:t>0</w:t>
            </w:r>
          </w:p>
        </w:tc>
        <w:tc>
          <w:tcPr>
            <w:tcW w:w="1636" w:type="dxa"/>
            <w:noWrap/>
            <w:vAlign w:val="center"/>
            <w:hideMark/>
          </w:tcPr>
          <w:p w14:paraId="7732B1D3" w14:textId="77777777" w:rsidR="00757469" w:rsidRPr="00F32020" w:rsidRDefault="00757469" w:rsidP="00EC7CDF">
            <w:pPr>
              <w:jc w:val="center"/>
            </w:pPr>
            <w:r w:rsidRPr="00F32020">
              <w:t>0.00</w:t>
            </w:r>
          </w:p>
        </w:tc>
      </w:tr>
      <w:tr w:rsidR="00757469" w:rsidRPr="00F32020" w14:paraId="311B8176" w14:textId="77777777" w:rsidTr="00E1138F">
        <w:trPr>
          <w:trHeight w:val="340"/>
        </w:trPr>
        <w:tc>
          <w:tcPr>
            <w:tcW w:w="5042" w:type="dxa"/>
            <w:noWrap/>
            <w:vAlign w:val="center"/>
            <w:hideMark/>
          </w:tcPr>
          <w:p w14:paraId="2B626CF7" w14:textId="77777777" w:rsidR="00757469" w:rsidRPr="00F32020" w:rsidRDefault="00757469" w:rsidP="00EC7CDF">
            <w:r w:rsidRPr="00F32020">
              <w:t>People's Republic of China</w:t>
            </w:r>
          </w:p>
        </w:tc>
        <w:tc>
          <w:tcPr>
            <w:tcW w:w="1630" w:type="dxa"/>
            <w:noWrap/>
            <w:vAlign w:val="center"/>
            <w:hideMark/>
          </w:tcPr>
          <w:p w14:paraId="79FB15F8" w14:textId="77777777" w:rsidR="00757469" w:rsidRPr="00F32020" w:rsidRDefault="00757469" w:rsidP="00EC7CDF">
            <w:pPr>
              <w:jc w:val="center"/>
            </w:pPr>
            <w:r w:rsidRPr="00F32020">
              <w:t>6</w:t>
            </w:r>
          </w:p>
        </w:tc>
        <w:tc>
          <w:tcPr>
            <w:tcW w:w="1241" w:type="dxa"/>
            <w:noWrap/>
            <w:vAlign w:val="center"/>
            <w:hideMark/>
          </w:tcPr>
          <w:p w14:paraId="3086CDEB" w14:textId="77777777" w:rsidR="00757469" w:rsidRPr="00F32020" w:rsidRDefault="00757469" w:rsidP="00EC7CDF">
            <w:pPr>
              <w:jc w:val="center"/>
            </w:pPr>
            <w:r w:rsidRPr="00F32020">
              <w:t>1</w:t>
            </w:r>
          </w:p>
        </w:tc>
        <w:tc>
          <w:tcPr>
            <w:tcW w:w="1636" w:type="dxa"/>
            <w:noWrap/>
            <w:vAlign w:val="center"/>
            <w:hideMark/>
          </w:tcPr>
          <w:p w14:paraId="3E968FE8" w14:textId="77777777" w:rsidR="00757469" w:rsidRPr="00F32020" w:rsidRDefault="00757469" w:rsidP="00EC7CDF">
            <w:pPr>
              <w:jc w:val="center"/>
            </w:pPr>
            <w:r w:rsidRPr="00F32020">
              <w:t>16.67</w:t>
            </w:r>
          </w:p>
        </w:tc>
      </w:tr>
      <w:tr w:rsidR="00757469" w:rsidRPr="00F32020" w14:paraId="79097341" w14:textId="77777777" w:rsidTr="00E1138F">
        <w:trPr>
          <w:trHeight w:val="340"/>
        </w:trPr>
        <w:tc>
          <w:tcPr>
            <w:tcW w:w="5042" w:type="dxa"/>
            <w:noWrap/>
            <w:vAlign w:val="center"/>
            <w:hideMark/>
          </w:tcPr>
          <w:p w14:paraId="07425EF7" w14:textId="77777777" w:rsidR="00757469" w:rsidRPr="00F32020" w:rsidRDefault="00757469" w:rsidP="00EC7CDF">
            <w:r w:rsidRPr="00F32020">
              <w:t>Hungary</w:t>
            </w:r>
          </w:p>
        </w:tc>
        <w:tc>
          <w:tcPr>
            <w:tcW w:w="1630" w:type="dxa"/>
            <w:noWrap/>
            <w:vAlign w:val="center"/>
            <w:hideMark/>
          </w:tcPr>
          <w:p w14:paraId="1841EE11" w14:textId="77777777" w:rsidR="00757469" w:rsidRPr="00F32020" w:rsidRDefault="00757469" w:rsidP="00EC7CDF">
            <w:pPr>
              <w:jc w:val="center"/>
            </w:pPr>
            <w:r w:rsidRPr="00F32020">
              <w:t>6</w:t>
            </w:r>
          </w:p>
        </w:tc>
        <w:tc>
          <w:tcPr>
            <w:tcW w:w="1241" w:type="dxa"/>
            <w:noWrap/>
            <w:vAlign w:val="center"/>
            <w:hideMark/>
          </w:tcPr>
          <w:p w14:paraId="3456CED4" w14:textId="77777777" w:rsidR="00757469" w:rsidRPr="00F32020" w:rsidRDefault="00757469" w:rsidP="00EC7CDF">
            <w:pPr>
              <w:jc w:val="center"/>
            </w:pPr>
            <w:r w:rsidRPr="00F32020">
              <w:t>1</w:t>
            </w:r>
          </w:p>
        </w:tc>
        <w:tc>
          <w:tcPr>
            <w:tcW w:w="1636" w:type="dxa"/>
            <w:noWrap/>
            <w:vAlign w:val="center"/>
            <w:hideMark/>
          </w:tcPr>
          <w:p w14:paraId="01496DE4" w14:textId="77777777" w:rsidR="00757469" w:rsidRPr="00F32020" w:rsidRDefault="00757469" w:rsidP="00EC7CDF">
            <w:pPr>
              <w:jc w:val="center"/>
            </w:pPr>
            <w:r w:rsidRPr="00F32020">
              <w:t>16.67</w:t>
            </w:r>
          </w:p>
        </w:tc>
      </w:tr>
      <w:tr w:rsidR="00757469" w:rsidRPr="00F32020" w14:paraId="685D3C62" w14:textId="77777777" w:rsidTr="00E1138F">
        <w:trPr>
          <w:trHeight w:val="340"/>
        </w:trPr>
        <w:tc>
          <w:tcPr>
            <w:tcW w:w="5042" w:type="dxa"/>
            <w:noWrap/>
            <w:vAlign w:val="center"/>
            <w:hideMark/>
          </w:tcPr>
          <w:p w14:paraId="7A9783FD" w14:textId="77777777" w:rsidR="00757469" w:rsidRPr="00F32020" w:rsidRDefault="00757469" w:rsidP="00EC7CDF">
            <w:r w:rsidRPr="00F32020">
              <w:t>Portuguese Republic</w:t>
            </w:r>
          </w:p>
        </w:tc>
        <w:tc>
          <w:tcPr>
            <w:tcW w:w="1630" w:type="dxa"/>
            <w:noWrap/>
            <w:vAlign w:val="center"/>
            <w:hideMark/>
          </w:tcPr>
          <w:p w14:paraId="21AF8490" w14:textId="77777777" w:rsidR="00757469" w:rsidRPr="00F32020" w:rsidRDefault="00757469" w:rsidP="00EC7CDF">
            <w:pPr>
              <w:jc w:val="center"/>
            </w:pPr>
            <w:r w:rsidRPr="00F32020">
              <w:t>6</w:t>
            </w:r>
          </w:p>
        </w:tc>
        <w:tc>
          <w:tcPr>
            <w:tcW w:w="1241" w:type="dxa"/>
            <w:noWrap/>
            <w:vAlign w:val="center"/>
            <w:hideMark/>
          </w:tcPr>
          <w:p w14:paraId="657D4155" w14:textId="77777777" w:rsidR="00757469" w:rsidRPr="00F32020" w:rsidRDefault="00757469" w:rsidP="00EC7CDF">
            <w:pPr>
              <w:jc w:val="center"/>
            </w:pPr>
            <w:r w:rsidRPr="00F32020">
              <w:t>1</w:t>
            </w:r>
          </w:p>
        </w:tc>
        <w:tc>
          <w:tcPr>
            <w:tcW w:w="1636" w:type="dxa"/>
            <w:noWrap/>
            <w:vAlign w:val="center"/>
            <w:hideMark/>
          </w:tcPr>
          <w:p w14:paraId="11403C7D" w14:textId="77777777" w:rsidR="00757469" w:rsidRPr="00F32020" w:rsidRDefault="00757469" w:rsidP="00EC7CDF">
            <w:pPr>
              <w:jc w:val="center"/>
            </w:pPr>
            <w:r w:rsidRPr="00F32020">
              <w:t>16.67</w:t>
            </w:r>
          </w:p>
        </w:tc>
      </w:tr>
      <w:tr w:rsidR="00757469" w:rsidRPr="00F32020" w14:paraId="44316749" w14:textId="77777777" w:rsidTr="00E1138F">
        <w:trPr>
          <w:trHeight w:val="340"/>
        </w:trPr>
        <w:tc>
          <w:tcPr>
            <w:tcW w:w="5042" w:type="dxa"/>
            <w:noWrap/>
            <w:vAlign w:val="center"/>
            <w:hideMark/>
          </w:tcPr>
          <w:p w14:paraId="5BE2658C" w14:textId="77777777" w:rsidR="00757469" w:rsidRPr="00F32020" w:rsidRDefault="00757469" w:rsidP="00EC7CDF">
            <w:r w:rsidRPr="00F32020">
              <w:t>Kingdom of Sweden</w:t>
            </w:r>
          </w:p>
        </w:tc>
        <w:tc>
          <w:tcPr>
            <w:tcW w:w="1630" w:type="dxa"/>
            <w:noWrap/>
            <w:vAlign w:val="center"/>
            <w:hideMark/>
          </w:tcPr>
          <w:p w14:paraId="175EA5EC" w14:textId="77777777" w:rsidR="00757469" w:rsidRPr="00F32020" w:rsidRDefault="00757469" w:rsidP="00EC7CDF">
            <w:pPr>
              <w:jc w:val="center"/>
            </w:pPr>
            <w:r w:rsidRPr="00F32020">
              <w:t>6</w:t>
            </w:r>
          </w:p>
        </w:tc>
        <w:tc>
          <w:tcPr>
            <w:tcW w:w="1241" w:type="dxa"/>
            <w:noWrap/>
            <w:vAlign w:val="center"/>
            <w:hideMark/>
          </w:tcPr>
          <w:p w14:paraId="250FFE17" w14:textId="77777777" w:rsidR="00757469" w:rsidRPr="00F32020" w:rsidRDefault="00757469" w:rsidP="00EC7CDF">
            <w:pPr>
              <w:jc w:val="center"/>
            </w:pPr>
            <w:r w:rsidRPr="00F32020">
              <w:t>1</w:t>
            </w:r>
          </w:p>
        </w:tc>
        <w:tc>
          <w:tcPr>
            <w:tcW w:w="1636" w:type="dxa"/>
            <w:noWrap/>
            <w:vAlign w:val="center"/>
            <w:hideMark/>
          </w:tcPr>
          <w:p w14:paraId="71938A66" w14:textId="77777777" w:rsidR="00757469" w:rsidRPr="00F32020" w:rsidRDefault="00757469" w:rsidP="00EC7CDF">
            <w:pPr>
              <w:jc w:val="center"/>
            </w:pPr>
            <w:r w:rsidRPr="00F32020">
              <w:t>16.67</w:t>
            </w:r>
          </w:p>
        </w:tc>
      </w:tr>
      <w:tr w:rsidR="00757469" w:rsidRPr="00F32020" w14:paraId="02D28DCF" w14:textId="77777777" w:rsidTr="00E1138F">
        <w:trPr>
          <w:trHeight w:val="340"/>
        </w:trPr>
        <w:tc>
          <w:tcPr>
            <w:tcW w:w="5042" w:type="dxa"/>
            <w:noWrap/>
            <w:vAlign w:val="center"/>
            <w:hideMark/>
          </w:tcPr>
          <w:p w14:paraId="36543BA7" w14:textId="77777777" w:rsidR="00757469" w:rsidRPr="00F32020" w:rsidRDefault="00757469" w:rsidP="00EC7CDF">
            <w:r w:rsidRPr="00F32020">
              <w:t>Arab Republic of Egypt</w:t>
            </w:r>
          </w:p>
        </w:tc>
        <w:tc>
          <w:tcPr>
            <w:tcW w:w="1630" w:type="dxa"/>
            <w:noWrap/>
            <w:vAlign w:val="center"/>
            <w:hideMark/>
          </w:tcPr>
          <w:p w14:paraId="5881513B" w14:textId="77777777" w:rsidR="00757469" w:rsidRPr="00F32020" w:rsidRDefault="00757469" w:rsidP="00EC7CDF">
            <w:pPr>
              <w:jc w:val="center"/>
            </w:pPr>
            <w:r w:rsidRPr="00F32020">
              <w:t>5</w:t>
            </w:r>
          </w:p>
        </w:tc>
        <w:tc>
          <w:tcPr>
            <w:tcW w:w="1241" w:type="dxa"/>
            <w:noWrap/>
            <w:vAlign w:val="center"/>
            <w:hideMark/>
          </w:tcPr>
          <w:p w14:paraId="74161CEC" w14:textId="77777777" w:rsidR="00757469" w:rsidRPr="00F32020" w:rsidRDefault="00757469" w:rsidP="00EC7CDF">
            <w:pPr>
              <w:jc w:val="center"/>
            </w:pPr>
            <w:r w:rsidRPr="00F32020">
              <w:t>0</w:t>
            </w:r>
          </w:p>
        </w:tc>
        <w:tc>
          <w:tcPr>
            <w:tcW w:w="1636" w:type="dxa"/>
            <w:noWrap/>
            <w:vAlign w:val="center"/>
            <w:hideMark/>
          </w:tcPr>
          <w:p w14:paraId="0F60776F" w14:textId="77777777" w:rsidR="00757469" w:rsidRPr="00F32020" w:rsidRDefault="00757469" w:rsidP="00EC7CDF">
            <w:pPr>
              <w:jc w:val="center"/>
            </w:pPr>
            <w:r w:rsidRPr="00F32020">
              <w:t>0.00</w:t>
            </w:r>
          </w:p>
        </w:tc>
      </w:tr>
      <w:tr w:rsidR="00757469" w:rsidRPr="00F32020" w14:paraId="036F16F8" w14:textId="77777777" w:rsidTr="00E1138F">
        <w:trPr>
          <w:trHeight w:val="340"/>
        </w:trPr>
        <w:tc>
          <w:tcPr>
            <w:tcW w:w="5042" w:type="dxa"/>
            <w:noWrap/>
            <w:vAlign w:val="center"/>
            <w:hideMark/>
          </w:tcPr>
          <w:p w14:paraId="6296DF51" w14:textId="77777777" w:rsidR="00757469" w:rsidRPr="00F32020" w:rsidRDefault="00757469" w:rsidP="00EC7CDF">
            <w:r w:rsidRPr="00F32020">
              <w:t>Lebanese Republic</w:t>
            </w:r>
          </w:p>
        </w:tc>
        <w:tc>
          <w:tcPr>
            <w:tcW w:w="1630" w:type="dxa"/>
            <w:noWrap/>
            <w:vAlign w:val="center"/>
            <w:hideMark/>
          </w:tcPr>
          <w:p w14:paraId="51020B35" w14:textId="77777777" w:rsidR="00757469" w:rsidRPr="00F32020" w:rsidRDefault="00757469" w:rsidP="00EC7CDF">
            <w:pPr>
              <w:jc w:val="center"/>
            </w:pPr>
            <w:r w:rsidRPr="00F32020">
              <w:t>5</w:t>
            </w:r>
          </w:p>
        </w:tc>
        <w:tc>
          <w:tcPr>
            <w:tcW w:w="1241" w:type="dxa"/>
            <w:noWrap/>
            <w:vAlign w:val="center"/>
            <w:hideMark/>
          </w:tcPr>
          <w:p w14:paraId="5674C67F" w14:textId="77777777" w:rsidR="00757469" w:rsidRPr="00F32020" w:rsidRDefault="00757469" w:rsidP="00EC7CDF">
            <w:pPr>
              <w:jc w:val="center"/>
            </w:pPr>
            <w:r w:rsidRPr="00F32020">
              <w:t>0</w:t>
            </w:r>
          </w:p>
        </w:tc>
        <w:tc>
          <w:tcPr>
            <w:tcW w:w="1636" w:type="dxa"/>
            <w:noWrap/>
            <w:vAlign w:val="center"/>
            <w:hideMark/>
          </w:tcPr>
          <w:p w14:paraId="58EFD299" w14:textId="77777777" w:rsidR="00757469" w:rsidRPr="00F32020" w:rsidRDefault="00757469" w:rsidP="00EC7CDF">
            <w:pPr>
              <w:jc w:val="center"/>
            </w:pPr>
            <w:r w:rsidRPr="00F32020">
              <w:t>0.00</w:t>
            </w:r>
          </w:p>
        </w:tc>
      </w:tr>
      <w:tr w:rsidR="00757469" w:rsidRPr="00F32020" w14:paraId="4CF1BD11" w14:textId="77777777" w:rsidTr="00E1138F">
        <w:trPr>
          <w:trHeight w:val="340"/>
        </w:trPr>
        <w:tc>
          <w:tcPr>
            <w:tcW w:w="5042" w:type="dxa"/>
            <w:noWrap/>
            <w:vAlign w:val="center"/>
            <w:hideMark/>
          </w:tcPr>
          <w:p w14:paraId="57D0E456" w14:textId="77777777" w:rsidR="00757469" w:rsidRPr="00F32020" w:rsidRDefault="00757469" w:rsidP="00EC7CDF">
            <w:r w:rsidRPr="00F32020">
              <w:t>Kingdom of Norway</w:t>
            </w:r>
          </w:p>
        </w:tc>
        <w:tc>
          <w:tcPr>
            <w:tcW w:w="1630" w:type="dxa"/>
            <w:noWrap/>
            <w:vAlign w:val="center"/>
            <w:hideMark/>
          </w:tcPr>
          <w:p w14:paraId="03D49295" w14:textId="77777777" w:rsidR="00757469" w:rsidRPr="00F32020" w:rsidRDefault="00757469" w:rsidP="00EC7CDF">
            <w:pPr>
              <w:jc w:val="center"/>
            </w:pPr>
            <w:r w:rsidRPr="00F32020">
              <w:t>5</w:t>
            </w:r>
          </w:p>
        </w:tc>
        <w:tc>
          <w:tcPr>
            <w:tcW w:w="1241" w:type="dxa"/>
            <w:noWrap/>
            <w:vAlign w:val="center"/>
            <w:hideMark/>
          </w:tcPr>
          <w:p w14:paraId="0D0821B8" w14:textId="77777777" w:rsidR="00757469" w:rsidRPr="00F32020" w:rsidRDefault="00757469" w:rsidP="00EC7CDF">
            <w:pPr>
              <w:jc w:val="center"/>
            </w:pPr>
            <w:r w:rsidRPr="00F32020">
              <w:t>2</w:t>
            </w:r>
          </w:p>
        </w:tc>
        <w:tc>
          <w:tcPr>
            <w:tcW w:w="1636" w:type="dxa"/>
            <w:noWrap/>
            <w:vAlign w:val="center"/>
            <w:hideMark/>
          </w:tcPr>
          <w:p w14:paraId="0C023D2E" w14:textId="77777777" w:rsidR="00757469" w:rsidRPr="00F32020" w:rsidRDefault="00757469" w:rsidP="00EC7CDF">
            <w:pPr>
              <w:jc w:val="center"/>
            </w:pPr>
            <w:r w:rsidRPr="00F32020">
              <w:t>40.00</w:t>
            </w:r>
          </w:p>
        </w:tc>
      </w:tr>
      <w:tr w:rsidR="00757469" w:rsidRPr="00F32020" w14:paraId="703F8284" w14:textId="77777777" w:rsidTr="00E1138F">
        <w:trPr>
          <w:trHeight w:val="340"/>
        </w:trPr>
        <w:tc>
          <w:tcPr>
            <w:tcW w:w="5042" w:type="dxa"/>
            <w:noWrap/>
            <w:vAlign w:val="center"/>
            <w:hideMark/>
          </w:tcPr>
          <w:p w14:paraId="70EF0738" w14:textId="77777777" w:rsidR="00757469" w:rsidRPr="00F32020" w:rsidRDefault="00757469" w:rsidP="00EC7CDF">
            <w:r w:rsidRPr="00F32020">
              <w:t>Republic of Bulgaria</w:t>
            </w:r>
          </w:p>
        </w:tc>
        <w:tc>
          <w:tcPr>
            <w:tcW w:w="1630" w:type="dxa"/>
            <w:noWrap/>
            <w:vAlign w:val="center"/>
            <w:hideMark/>
          </w:tcPr>
          <w:p w14:paraId="1CF4EB94" w14:textId="77777777" w:rsidR="00757469" w:rsidRPr="00F32020" w:rsidRDefault="00757469" w:rsidP="00EC7CDF">
            <w:pPr>
              <w:jc w:val="center"/>
            </w:pPr>
            <w:r w:rsidRPr="00F32020">
              <w:t>4</w:t>
            </w:r>
          </w:p>
        </w:tc>
        <w:tc>
          <w:tcPr>
            <w:tcW w:w="1241" w:type="dxa"/>
            <w:noWrap/>
            <w:vAlign w:val="center"/>
            <w:hideMark/>
          </w:tcPr>
          <w:p w14:paraId="7AFE4688" w14:textId="77777777" w:rsidR="00757469" w:rsidRPr="00F32020" w:rsidRDefault="00757469" w:rsidP="00EC7CDF">
            <w:pPr>
              <w:jc w:val="center"/>
            </w:pPr>
            <w:r w:rsidRPr="00F32020">
              <w:t>0</w:t>
            </w:r>
          </w:p>
        </w:tc>
        <w:tc>
          <w:tcPr>
            <w:tcW w:w="1636" w:type="dxa"/>
            <w:noWrap/>
            <w:vAlign w:val="center"/>
            <w:hideMark/>
          </w:tcPr>
          <w:p w14:paraId="07E4D156" w14:textId="77777777" w:rsidR="00757469" w:rsidRPr="00F32020" w:rsidRDefault="00757469" w:rsidP="00EC7CDF">
            <w:pPr>
              <w:jc w:val="center"/>
            </w:pPr>
            <w:r w:rsidRPr="00F32020">
              <w:t>0.00</w:t>
            </w:r>
          </w:p>
        </w:tc>
      </w:tr>
      <w:tr w:rsidR="00757469" w:rsidRPr="00F32020" w14:paraId="2C287841" w14:textId="77777777" w:rsidTr="00E1138F">
        <w:trPr>
          <w:trHeight w:val="340"/>
        </w:trPr>
        <w:tc>
          <w:tcPr>
            <w:tcW w:w="5042" w:type="dxa"/>
            <w:noWrap/>
            <w:vAlign w:val="center"/>
            <w:hideMark/>
          </w:tcPr>
          <w:p w14:paraId="4F7EFD96" w14:textId="77777777" w:rsidR="00757469" w:rsidRPr="00F32020" w:rsidRDefault="00757469" w:rsidP="00EC7CDF">
            <w:r w:rsidRPr="00F32020">
              <w:t>Kingdom of Cambodia</w:t>
            </w:r>
          </w:p>
        </w:tc>
        <w:tc>
          <w:tcPr>
            <w:tcW w:w="1630" w:type="dxa"/>
            <w:noWrap/>
            <w:vAlign w:val="center"/>
            <w:hideMark/>
          </w:tcPr>
          <w:p w14:paraId="55D3323E" w14:textId="77777777" w:rsidR="00757469" w:rsidRPr="00F32020" w:rsidRDefault="00757469" w:rsidP="00EC7CDF">
            <w:pPr>
              <w:jc w:val="center"/>
            </w:pPr>
            <w:r w:rsidRPr="00F32020">
              <w:t>4</w:t>
            </w:r>
          </w:p>
        </w:tc>
        <w:tc>
          <w:tcPr>
            <w:tcW w:w="1241" w:type="dxa"/>
            <w:noWrap/>
            <w:vAlign w:val="center"/>
            <w:hideMark/>
          </w:tcPr>
          <w:p w14:paraId="223B4AB1" w14:textId="77777777" w:rsidR="00757469" w:rsidRPr="00F32020" w:rsidRDefault="00757469" w:rsidP="00EC7CDF">
            <w:pPr>
              <w:jc w:val="center"/>
            </w:pPr>
            <w:r w:rsidRPr="00F32020">
              <w:t>1</w:t>
            </w:r>
          </w:p>
        </w:tc>
        <w:tc>
          <w:tcPr>
            <w:tcW w:w="1636" w:type="dxa"/>
            <w:noWrap/>
            <w:vAlign w:val="center"/>
            <w:hideMark/>
          </w:tcPr>
          <w:p w14:paraId="57AD3DCB" w14:textId="77777777" w:rsidR="00757469" w:rsidRPr="00F32020" w:rsidRDefault="00757469" w:rsidP="00EC7CDF">
            <w:pPr>
              <w:jc w:val="center"/>
            </w:pPr>
            <w:r w:rsidRPr="00F32020">
              <w:t>25.00</w:t>
            </w:r>
          </w:p>
        </w:tc>
      </w:tr>
      <w:tr w:rsidR="00757469" w:rsidRPr="00F32020" w14:paraId="2B7C34CE" w14:textId="77777777" w:rsidTr="00E1138F">
        <w:trPr>
          <w:trHeight w:val="340"/>
        </w:trPr>
        <w:tc>
          <w:tcPr>
            <w:tcW w:w="5042" w:type="dxa"/>
            <w:noWrap/>
            <w:vAlign w:val="center"/>
            <w:hideMark/>
          </w:tcPr>
          <w:p w14:paraId="279A117C" w14:textId="77777777" w:rsidR="00757469" w:rsidRPr="00F32020" w:rsidRDefault="00757469" w:rsidP="00EC7CDF">
            <w:r w:rsidRPr="00F32020">
              <w:t>Republic of Estonia</w:t>
            </w:r>
          </w:p>
        </w:tc>
        <w:tc>
          <w:tcPr>
            <w:tcW w:w="1630" w:type="dxa"/>
            <w:noWrap/>
            <w:vAlign w:val="center"/>
            <w:hideMark/>
          </w:tcPr>
          <w:p w14:paraId="5C9D7A8B" w14:textId="77777777" w:rsidR="00757469" w:rsidRPr="00F32020" w:rsidRDefault="00757469" w:rsidP="00EC7CDF">
            <w:pPr>
              <w:jc w:val="center"/>
            </w:pPr>
            <w:r w:rsidRPr="00F32020">
              <w:t>4</w:t>
            </w:r>
          </w:p>
        </w:tc>
        <w:tc>
          <w:tcPr>
            <w:tcW w:w="1241" w:type="dxa"/>
            <w:noWrap/>
            <w:vAlign w:val="center"/>
            <w:hideMark/>
          </w:tcPr>
          <w:p w14:paraId="2072FEB0" w14:textId="77777777" w:rsidR="00757469" w:rsidRPr="00F32020" w:rsidRDefault="00757469" w:rsidP="00EC7CDF">
            <w:pPr>
              <w:jc w:val="center"/>
            </w:pPr>
            <w:r w:rsidRPr="00F32020">
              <w:t>0</w:t>
            </w:r>
          </w:p>
        </w:tc>
        <w:tc>
          <w:tcPr>
            <w:tcW w:w="1636" w:type="dxa"/>
            <w:noWrap/>
            <w:vAlign w:val="center"/>
            <w:hideMark/>
          </w:tcPr>
          <w:p w14:paraId="76A177C2" w14:textId="77777777" w:rsidR="00757469" w:rsidRPr="00F32020" w:rsidRDefault="00757469" w:rsidP="00EC7CDF">
            <w:pPr>
              <w:jc w:val="center"/>
            </w:pPr>
            <w:r w:rsidRPr="00F32020">
              <w:t>0.00</w:t>
            </w:r>
          </w:p>
        </w:tc>
      </w:tr>
      <w:tr w:rsidR="00757469" w:rsidRPr="00F32020" w14:paraId="04C1B986" w14:textId="77777777" w:rsidTr="00E1138F">
        <w:trPr>
          <w:trHeight w:val="340"/>
        </w:trPr>
        <w:tc>
          <w:tcPr>
            <w:tcW w:w="5042" w:type="dxa"/>
            <w:noWrap/>
            <w:vAlign w:val="center"/>
            <w:hideMark/>
          </w:tcPr>
          <w:p w14:paraId="570288E5" w14:textId="77777777" w:rsidR="00757469" w:rsidRPr="00F32020" w:rsidRDefault="00757469" w:rsidP="00EC7CDF">
            <w:r w:rsidRPr="00F32020">
              <w:t>Hong Kong (S.A.R.)</w:t>
            </w:r>
          </w:p>
        </w:tc>
        <w:tc>
          <w:tcPr>
            <w:tcW w:w="1630" w:type="dxa"/>
            <w:noWrap/>
            <w:vAlign w:val="center"/>
            <w:hideMark/>
          </w:tcPr>
          <w:p w14:paraId="174A8CAA" w14:textId="77777777" w:rsidR="00757469" w:rsidRPr="00F32020" w:rsidRDefault="00757469" w:rsidP="00EC7CDF">
            <w:pPr>
              <w:jc w:val="center"/>
            </w:pPr>
            <w:r w:rsidRPr="00F32020">
              <w:t>4</w:t>
            </w:r>
          </w:p>
        </w:tc>
        <w:tc>
          <w:tcPr>
            <w:tcW w:w="1241" w:type="dxa"/>
            <w:noWrap/>
            <w:vAlign w:val="center"/>
            <w:hideMark/>
          </w:tcPr>
          <w:p w14:paraId="22031693" w14:textId="77777777" w:rsidR="00757469" w:rsidRPr="00F32020" w:rsidRDefault="00757469" w:rsidP="00EC7CDF">
            <w:pPr>
              <w:jc w:val="center"/>
            </w:pPr>
            <w:r w:rsidRPr="00F32020">
              <w:t>0</w:t>
            </w:r>
          </w:p>
        </w:tc>
        <w:tc>
          <w:tcPr>
            <w:tcW w:w="1636" w:type="dxa"/>
            <w:noWrap/>
            <w:vAlign w:val="center"/>
            <w:hideMark/>
          </w:tcPr>
          <w:p w14:paraId="6B85BD72" w14:textId="77777777" w:rsidR="00757469" w:rsidRPr="00F32020" w:rsidRDefault="00757469" w:rsidP="00EC7CDF">
            <w:pPr>
              <w:jc w:val="center"/>
            </w:pPr>
            <w:r w:rsidRPr="00F32020">
              <w:t>0.00</w:t>
            </w:r>
          </w:p>
        </w:tc>
      </w:tr>
      <w:tr w:rsidR="00757469" w:rsidRPr="00F32020" w14:paraId="05908703" w14:textId="77777777" w:rsidTr="00E1138F">
        <w:trPr>
          <w:trHeight w:val="340"/>
        </w:trPr>
        <w:tc>
          <w:tcPr>
            <w:tcW w:w="5042" w:type="dxa"/>
            <w:noWrap/>
            <w:vAlign w:val="center"/>
            <w:hideMark/>
          </w:tcPr>
          <w:p w14:paraId="16F70DF1" w14:textId="77777777" w:rsidR="00757469" w:rsidRPr="00F32020" w:rsidRDefault="00757469" w:rsidP="00EC7CDF">
            <w:r w:rsidRPr="00F32020">
              <w:t>Hashemite Kingdom of Jordan</w:t>
            </w:r>
          </w:p>
        </w:tc>
        <w:tc>
          <w:tcPr>
            <w:tcW w:w="1630" w:type="dxa"/>
            <w:noWrap/>
            <w:vAlign w:val="center"/>
            <w:hideMark/>
          </w:tcPr>
          <w:p w14:paraId="1EDE9C3D" w14:textId="77777777" w:rsidR="00757469" w:rsidRPr="00F32020" w:rsidRDefault="00757469" w:rsidP="00EC7CDF">
            <w:pPr>
              <w:jc w:val="center"/>
            </w:pPr>
            <w:r w:rsidRPr="00F32020">
              <w:t>4</w:t>
            </w:r>
          </w:p>
        </w:tc>
        <w:tc>
          <w:tcPr>
            <w:tcW w:w="1241" w:type="dxa"/>
            <w:noWrap/>
            <w:vAlign w:val="center"/>
            <w:hideMark/>
          </w:tcPr>
          <w:p w14:paraId="5D1C80CA" w14:textId="77777777" w:rsidR="00757469" w:rsidRPr="00F32020" w:rsidRDefault="00757469" w:rsidP="00EC7CDF">
            <w:pPr>
              <w:jc w:val="center"/>
            </w:pPr>
            <w:r w:rsidRPr="00F32020">
              <w:t>0</w:t>
            </w:r>
          </w:p>
        </w:tc>
        <w:tc>
          <w:tcPr>
            <w:tcW w:w="1636" w:type="dxa"/>
            <w:noWrap/>
            <w:vAlign w:val="center"/>
            <w:hideMark/>
          </w:tcPr>
          <w:p w14:paraId="29859ACE" w14:textId="77777777" w:rsidR="00757469" w:rsidRPr="00F32020" w:rsidRDefault="00757469" w:rsidP="00EC7CDF">
            <w:pPr>
              <w:jc w:val="center"/>
            </w:pPr>
            <w:r w:rsidRPr="00F32020">
              <w:t>0.00</w:t>
            </w:r>
          </w:p>
        </w:tc>
      </w:tr>
      <w:tr w:rsidR="00757469" w:rsidRPr="00F32020" w14:paraId="12129BB4" w14:textId="77777777" w:rsidTr="00E1138F">
        <w:trPr>
          <w:trHeight w:val="340"/>
        </w:trPr>
        <w:tc>
          <w:tcPr>
            <w:tcW w:w="5042" w:type="dxa"/>
            <w:noWrap/>
            <w:vAlign w:val="center"/>
            <w:hideMark/>
          </w:tcPr>
          <w:p w14:paraId="14983E15" w14:textId="77777777" w:rsidR="00757469" w:rsidRPr="00F32020" w:rsidRDefault="00757469" w:rsidP="00EC7CDF">
            <w:r w:rsidRPr="00F32020">
              <w:t>Republic of Lithuania</w:t>
            </w:r>
          </w:p>
        </w:tc>
        <w:tc>
          <w:tcPr>
            <w:tcW w:w="1630" w:type="dxa"/>
            <w:noWrap/>
            <w:vAlign w:val="center"/>
            <w:hideMark/>
          </w:tcPr>
          <w:p w14:paraId="2F9263C0" w14:textId="77777777" w:rsidR="00757469" w:rsidRPr="00F32020" w:rsidRDefault="00757469" w:rsidP="00EC7CDF">
            <w:pPr>
              <w:jc w:val="center"/>
            </w:pPr>
            <w:r w:rsidRPr="00F32020">
              <w:t>4</w:t>
            </w:r>
          </w:p>
        </w:tc>
        <w:tc>
          <w:tcPr>
            <w:tcW w:w="1241" w:type="dxa"/>
            <w:noWrap/>
            <w:vAlign w:val="center"/>
            <w:hideMark/>
          </w:tcPr>
          <w:p w14:paraId="1E099877" w14:textId="77777777" w:rsidR="00757469" w:rsidRPr="00F32020" w:rsidRDefault="00757469" w:rsidP="00EC7CDF">
            <w:pPr>
              <w:jc w:val="center"/>
            </w:pPr>
            <w:r w:rsidRPr="00F32020">
              <w:t>1</w:t>
            </w:r>
          </w:p>
        </w:tc>
        <w:tc>
          <w:tcPr>
            <w:tcW w:w="1636" w:type="dxa"/>
            <w:noWrap/>
            <w:vAlign w:val="center"/>
            <w:hideMark/>
          </w:tcPr>
          <w:p w14:paraId="712ACD4B" w14:textId="77777777" w:rsidR="00757469" w:rsidRPr="00F32020" w:rsidRDefault="00757469" w:rsidP="00EC7CDF">
            <w:pPr>
              <w:jc w:val="center"/>
            </w:pPr>
            <w:r w:rsidRPr="00F32020">
              <w:t>25.00</w:t>
            </w:r>
          </w:p>
        </w:tc>
      </w:tr>
      <w:tr w:rsidR="00757469" w:rsidRPr="00F32020" w14:paraId="7F0B6642" w14:textId="77777777" w:rsidTr="00E1138F">
        <w:trPr>
          <w:trHeight w:val="340"/>
        </w:trPr>
        <w:tc>
          <w:tcPr>
            <w:tcW w:w="5042" w:type="dxa"/>
            <w:noWrap/>
            <w:vAlign w:val="center"/>
            <w:hideMark/>
          </w:tcPr>
          <w:p w14:paraId="6EEBF9C4" w14:textId="77777777" w:rsidR="00757469" w:rsidRPr="00F32020" w:rsidRDefault="00757469" w:rsidP="00EC7CDF">
            <w:r w:rsidRPr="00F32020">
              <w:t>Republic of Mauritius</w:t>
            </w:r>
          </w:p>
        </w:tc>
        <w:tc>
          <w:tcPr>
            <w:tcW w:w="1630" w:type="dxa"/>
            <w:noWrap/>
            <w:vAlign w:val="center"/>
            <w:hideMark/>
          </w:tcPr>
          <w:p w14:paraId="6DD9C8F0" w14:textId="77777777" w:rsidR="00757469" w:rsidRPr="00F32020" w:rsidRDefault="00757469" w:rsidP="00EC7CDF">
            <w:pPr>
              <w:jc w:val="center"/>
            </w:pPr>
            <w:r w:rsidRPr="00F32020">
              <w:t>4</w:t>
            </w:r>
          </w:p>
        </w:tc>
        <w:tc>
          <w:tcPr>
            <w:tcW w:w="1241" w:type="dxa"/>
            <w:noWrap/>
            <w:vAlign w:val="center"/>
            <w:hideMark/>
          </w:tcPr>
          <w:p w14:paraId="56FE9F64" w14:textId="77777777" w:rsidR="00757469" w:rsidRPr="00F32020" w:rsidRDefault="00757469" w:rsidP="00EC7CDF">
            <w:pPr>
              <w:jc w:val="center"/>
            </w:pPr>
            <w:r w:rsidRPr="00F32020">
              <w:t>1</w:t>
            </w:r>
          </w:p>
        </w:tc>
        <w:tc>
          <w:tcPr>
            <w:tcW w:w="1636" w:type="dxa"/>
            <w:noWrap/>
            <w:vAlign w:val="center"/>
            <w:hideMark/>
          </w:tcPr>
          <w:p w14:paraId="01359114" w14:textId="77777777" w:rsidR="00757469" w:rsidRPr="00F32020" w:rsidRDefault="00757469" w:rsidP="00EC7CDF">
            <w:pPr>
              <w:jc w:val="center"/>
            </w:pPr>
            <w:r w:rsidRPr="00F32020">
              <w:t>25.00</w:t>
            </w:r>
          </w:p>
        </w:tc>
      </w:tr>
      <w:tr w:rsidR="00757469" w:rsidRPr="00F32020" w14:paraId="2E92D616" w14:textId="77777777" w:rsidTr="00E1138F">
        <w:trPr>
          <w:trHeight w:val="340"/>
        </w:trPr>
        <w:tc>
          <w:tcPr>
            <w:tcW w:w="5042" w:type="dxa"/>
            <w:noWrap/>
            <w:vAlign w:val="center"/>
            <w:hideMark/>
          </w:tcPr>
          <w:p w14:paraId="735EE271" w14:textId="77777777" w:rsidR="00757469" w:rsidRPr="00F32020" w:rsidRDefault="00757469" w:rsidP="00EC7CDF">
            <w:r w:rsidRPr="00F32020">
              <w:t>Republic of Sierra Leone</w:t>
            </w:r>
          </w:p>
        </w:tc>
        <w:tc>
          <w:tcPr>
            <w:tcW w:w="1630" w:type="dxa"/>
            <w:noWrap/>
            <w:vAlign w:val="center"/>
            <w:hideMark/>
          </w:tcPr>
          <w:p w14:paraId="1A220728" w14:textId="77777777" w:rsidR="00757469" w:rsidRPr="00F32020" w:rsidRDefault="00757469" w:rsidP="00EC7CDF">
            <w:pPr>
              <w:jc w:val="center"/>
            </w:pPr>
            <w:r w:rsidRPr="00F32020">
              <w:t>4</w:t>
            </w:r>
          </w:p>
        </w:tc>
        <w:tc>
          <w:tcPr>
            <w:tcW w:w="1241" w:type="dxa"/>
            <w:noWrap/>
            <w:vAlign w:val="center"/>
            <w:hideMark/>
          </w:tcPr>
          <w:p w14:paraId="267957FC" w14:textId="77777777" w:rsidR="00757469" w:rsidRPr="00F32020" w:rsidRDefault="00757469" w:rsidP="00EC7CDF">
            <w:pPr>
              <w:jc w:val="center"/>
            </w:pPr>
            <w:r w:rsidRPr="00F32020">
              <w:t>0</w:t>
            </w:r>
          </w:p>
        </w:tc>
        <w:tc>
          <w:tcPr>
            <w:tcW w:w="1636" w:type="dxa"/>
            <w:noWrap/>
            <w:vAlign w:val="center"/>
            <w:hideMark/>
          </w:tcPr>
          <w:p w14:paraId="183118D8" w14:textId="77777777" w:rsidR="00757469" w:rsidRPr="00F32020" w:rsidRDefault="00757469" w:rsidP="00EC7CDF">
            <w:pPr>
              <w:jc w:val="center"/>
            </w:pPr>
            <w:r w:rsidRPr="00F32020">
              <w:t>0.00</w:t>
            </w:r>
          </w:p>
        </w:tc>
      </w:tr>
      <w:tr w:rsidR="00757469" w:rsidRPr="00F32020" w14:paraId="4CC6B8A1" w14:textId="77777777" w:rsidTr="00E1138F">
        <w:trPr>
          <w:trHeight w:val="340"/>
        </w:trPr>
        <w:tc>
          <w:tcPr>
            <w:tcW w:w="5042" w:type="dxa"/>
            <w:noWrap/>
            <w:vAlign w:val="center"/>
            <w:hideMark/>
          </w:tcPr>
          <w:p w14:paraId="522BC5A2" w14:textId="77777777" w:rsidR="00757469" w:rsidRPr="00F32020" w:rsidRDefault="00757469" w:rsidP="00EC7CDF">
            <w:r w:rsidRPr="00F32020">
              <w:t>Republic of Slovenia</w:t>
            </w:r>
          </w:p>
        </w:tc>
        <w:tc>
          <w:tcPr>
            <w:tcW w:w="1630" w:type="dxa"/>
            <w:noWrap/>
            <w:vAlign w:val="center"/>
            <w:hideMark/>
          </w:tcPr>
          <w:p w14:paraId="7449C82B" w14:textId="77777777" w:rsidR="00757469" w:rsidRPr="00F32020" w:rsidRDefault="00757469" w:rsidP="00EC7CDF">
            <w:pPr>
              <w:jc w:val="center"/>
            </w:pPr>
            <w:r w:rsidRPr="00F32020">
              <w:t>4</w:t>
            </w:r>
          </w:p>
        </w:tc>
        <w:tc>
          <w:tcPr>
            <w:tcW w:w="1241" w:type="dxa"/>
            <w:noWrap/>
            <w:vAlign w:val="center"/>
            <w:hideMark/>
          </w:tcPr>
          <w:p w14:paraId="4D90FE2D" w14:textId="77777777" w:rsidR="00757469" w:rsidRPr="00F32020" w:rsidRDefault="00757469" w:rsidP="00EC7CDF">
            <w:pPr>
              <w:jc w:val="center"/>
            </w:pPr>
            <w:r w:rsidRPr="00F32020">
              <w:t>0</w:t>
            </w:r>
          </w:p>
        </w:tc>
        <w:tc>
          <w:tcPr>
            <w:tcW w:w="1636" w:type="dxa"/>
            <w:noWrap/>
            <w:vAlign w:val="center"/>
            <w:hideMark/>
          </w:tcPr>
          <w:p w14:paraId="4E73D532" w14:textId="77777777" w:rsidR="00757469" w:rsidRPr="00F32020" w:rsidRDefault="00757469" w:rsidP="00EC7CDF">
            <w:pPr>
              <w:jc w:val="center"/>
            </w:pPr>
            <w:r w:rsidRPr="00F32020">
              <w:t>0.00</w:t>
            </w:r>
          </w:p>
        </w:tc>
      </w:tr>
      <w:tr w:rsidR="00757469" w:rsidRPr="00F32020" w14:paraId="76E0A865" w14:textId="77777777" w:rsidTr="00E1138F">
        <w:trPr>
          <w:trHeight w:val="340"/>
        </w:trPr>
        <w:tc>
          <w:tcPr>
            <w:tcW w:w="5042" w:type="dxa"/>
            <w:noWrap/>
            <w:vAlign w:val="center"/>
            <w:hideMark/>
          </w:tcPr>
          <w:p w14:paraId="7EA5CDAE" w14:textId="77777777" w:rsidR="00757469" w:rsidRPr="00F32020" w:rsidRDefault="00757469" w:rsidP="00EC7CDF">
            <w:r w:rsidRPr="00F32020">
              <w:t>United Arab Emirates</w:t>
            </w:r>
          </w:p>
        </w:tc>
        <w:tc>
          <w:tcPr>
            <w:tcW w:w="1630" w:type="dxa"/>
            <w:noWrap/>
            <w:vAlign w:val="center"/>
            <w:hideMark/>
          </w:tcPr>
          <w:p w14:paraId="39D07A35" w14:textId="77777777" w:rsidR="00757469" w:rsidRPr="00F32020" w:rsidRDefault="00757469" w:rsidP="00EC7CDF">
            <w:pPr>
              <w:jc w:val="center"/>
            </w:pPr>
            <w:r w:rsidRPr="00F32020">
              <w:t>4</w:t>
            </w:r>
          </w:p>
        </w:tc>
        <w:tc>
          <w:tcPr>
            <w:tcW w:w="1241" w:type="dxa"/>
            <w:noWrap/>
            <w:vAlign w:val="center"/>
            <w:hideMark/>
          </w:tcPr>
          <w:p w14:paraId="0DED0F9C" w14:textId="77777777" w:rsidR="00757469" w:rsidRPr="00F32020" w:rsidRDefault="00757469" w:rsidP="00EC7CDF">
            <w:pPr>
              <w:jc w:val="center"/>
            </w:pPr>
            <w:r w:rsidRPr="00F32020">
              <w:t>0</w:t>
            </w:r>
          </w:p>
        </w:tc>
        <w:tc>
          <w:tcPr>
            <w:tcW w:w="1636" w:type="dxa"/>
            <w:noWrap/>
            <w:vAlign w:val="center"/>
            <w:hideMark/>
          </w:tcPr>
          <w:p w14:paraId="5A7C8AAB" w14:textId="77777777" w:rsidR="00757469" w:rsidRPr="00F32020" w:rsidRDefault="00757469" w:rsidP="00EC7CDF">
            <w:pPr>
              <w:jc w:val="center"/>
            </w:pPr>
            <w:r w:rsidRPr="00F32020">
              <w:t>0.00</w:t>
            </w:r>
          </w:p>
        </w:tc>
      </w:tr>
      <w:tr w:rsidR="00757469" w:rsidRPr="00F32020" w14:paraId="47586237" w14:textId="77777777" w:rsidTr="00E1138F">
        <w:trPr>
          <w:trHeight w:val="340"/>
        </w:trPr>
        <w:tc>
          <w:tcPr>
            <w:tcW w:w="5042" w:type="dxa"/>
            <w:noWrap/>
            <w:vAlign w:val="center"/>
            <w:hideMark/>
          </w:tcPr>
          <w:p w14:paraId="23A92893" w14:textId="77777777" w:rsidR="00757469" w:rsidRPr="00F32020" w:rsidRDefault="00757469" w:rsidP="00EC7CDF">
            <w:r w:rsidRPr="00F32020">
              <w:t>Bolivarian Republic of Venezuela</w:t>
            </w:r>
          </w:p>
        </w:tc>
        <w:tc>
          <w:tcPr>
            <w:tcW w:w="1630" w:type="dxa"/>
            <w:noWrap/>
            <w:vAlign w:val="center"/>
            <w:hideMark/>
          </w:tcPr>
          <w:p w14:paraId="2B8648E0" w14:textId="77777777" w:rsidR="00757469" w:rsidRPr="00F32020" w:rsidRDefault="00757469" w:rsidP="00EC7CDF">
            <w:pPr>
              <w:jc w:val="center"/>
            </w:pPr>
            <w:r w:rsidRPr="00F32020">
              <w:t>4</w:t>
            </w:r>
          </w:p>
        </w:tc>
        <w:tc>
          <w:tcPr>
            <w:tcW w:w="1241" w:type="dxa"/>
            <w:noWrap/>
            <w:vAlign w:val="center"/>
            <w:hideMark/>
          </w:tcPr>
          <w:p w14:paraId="59A67910" w14:textId="77777777" w:rsidR="00757469" w:rsidRPr="00F32020" w:rsidRDefault="00757469" w:rsidP="00EC7CDF">
            <w:pPr>
              <w:jc w:val="center"/>
            </w:pPr>
            <w:r w:rsidRPr="00F32020">
              <w:t>0</w:t>
            </w:r>
          </w:p>
        </w:tc>
        <w:tc>
          <w:tcPr>
            <w:tcW w:w="1636" w:type="dxa"/>
            <w:noWrap/>
            <w:vAlign w:val="center"/>
            <w:hideMark/>
          </w:tcPr>
          <w:p w14:paraId="627F43C9" w14:textId="77777777" w:rsidR="00757469" w:rsidRPr="00F32020" w:rsidRDefault="00757469" w:rsidP="00EC7CDF">
            <w:pPr>
              <w:jc w:val="center"/>
            </w:pPr>
            <w:r w:rsidRPr="00F32020">
              <w:t>0.00</w:t>
            </w:r>
          </w:p>
        </w:tc>
      </w:tr>
      <w:tr w:rsidR="00757469" w:rsidRPr="00F32020" w14:paraId="322C5BA0" w14:textId="77777777" w:rsidTr="00E1138F">
        <w:trPr>
          <w:trHeight w:val="340"/>
        </w:trPr>
        <w:tc>
          <w:tcPr>
            <w:tcW w:w="5042" w:type="dxa"/>
            <w:noWrap/>
            <w:vAlign w:val="center"/>
            <w:hideMark/>
          </w:tcPr>
          <w:p w14:paraId="24BCBCE9" w14:textId="77777777" w:rsidR="00757469" w:rsidRPr="00F32020" w:rsidRDefault="00757469" w:rsidP="00EC7CDF">
            <w:r w:rsidRPr="00F32020">
              <w:t>Socialist Republic of Viet Nam</w:t>
            </w:r>
          </w:p>
        </w:tc>
        <w:tc>
          <w:tcPr>
            <w:tcW w:w="1630" w:type="dxa"/>
            <w:noWrap/>
            <w:vAlign w:val="center"/>
            <w:hideMark/>
          </w:tcPr>
          <w:p w14:paraId="77A803D1" w14:textId="77777777" w:rsidR="00757469" w:rsidRPr="00F32020" w:rsidRDefault="00757469" w:rsidP="00EC7CDF">
            <w:pPr>
              <w:jc w:val="center"/>
            </w:pPr>
            <w:r w:rsidRPr="00F32020">
              <w:t>4</w:t>
            </w:r>
          </w:p>
        </w:tc>
        <w:tc>
          <w:tcPr>
            <w:tcW w:w="1241" w:type="dxa"/>
            <w:noWrap/>
            <w:vAlign w:val="center"/>
            <w:hideMark/>
          </w:tcPr>
          <w:p w14:paraId="03A76C94" w14:textId="77777777" w:rsidR="00757469" w:rsidRPr="00F32020" w:rsidRDefault="00757469" w:rsidP="00EC7CDF">
            <w:pPr>
              <w:jc w:val="center"/>
            </w:pPr>
            <w:r w:rsidRPr="00F32020">
              <w:t>0</w:t>
            </w:r>
          </w:p>
        </w:tc>
        <w:tc>
          <w:tcPr>
            <w:tcW w:w="1636" w:type="dxa"/>
            <w:noWrap/>
            <w:vAlign w:val="center"/>
            <w:hideMark/>
          </w:tcPr>
          <w:p w14:paraId="48FD22C9" w14:textId="77777777" w:rsidR="00757469" w:rsidRPr="00F32020" w:rsidRDefault="00757469" w:rsidP="00EC7CDF">
            <w:pPr>
              <w:jc w:val="center"/>
            </w:pPr>
            <w:r w:rsidRPr="00F32020">
              <w:t>0.00</w:t>
            </w:r>
          </w:p>
        </w:tc>
      </w:tr>
      <w:tr w:rsidR="00757469" w:rsidRPr="00F32020" w14:paraId="2185AE9A" w14:textId="77777777" w:rsidTr="00E1138F">
        <w:trPr>
          <w:trHeight w:val="340"/>
        </w:trPr>
        <w:tc>
          <w:tcPr>
            <w:tcW w:w="5042" w:type="dxa"/>
            <w:noWrap/>
            <w:vAlign w:val="center"/>
            <w:hideMark/>
          </w:tcPr>
          <w:p w14:paraId="6AC3E476" w14:textId="77777777" w:rsidR="00757469" w:rsidRPr="00F32020" w:rsidRDefault="00757469" w:rsidP="00EC7CDF">
            <w:r w:rsidRPr="00F32020">
              <w:t>Argentine Republic</w:t>
            </w:r>
          </w:p>
        </w:tc>
        <w:tc>
          <w:tcPr>
            <w:tcW w:w="1630" w:type="dxa"/>
            <w:noWrap/>
            <w:vAlign w:val="center"/>
            <w:hideMark/>
          </w:tcPr>
          <w:p w14:paraId="78206CD0" w14:textId="77777777" w:rsidR="00757469" w:rsidRPr="00F32020" w:rsidRDefault="00757469" w:rsidP="00EC7CDF">
            <w:pPr>
              <w:jc w:val="center"/>
            </w:pPr>
            <w:r w:rsidRPr="00F32020">
              <w:t>3</w:t>
            </w:r>
          </w:p>
        </w:tc>
        <w:tc>
          <w:tcPr>
            <w:tcW w:w="1241" w:type="dxa"/>
            <w:noWrap/>
            <w:vAlign w:val="center"/>
            <w:hideMark/>
          </w:tcPr>
          <w:p w14:paraId="0EFB61A0" w14:textId="77777777" w:rsidR="00757469" w:rsidRPr="00F32020" w:rsidRDefault="00757469" w:rsidP="00EC7CDF">
            <w:pPr>
              <w:jc w:val="center"/>
            </w:pPr>
            <w:r w:rsidRPr="00F32020">
              <w:t>1</w:t>
            </w:r>
          </w:p>
        </w:tc>
        <w:tc>
          <w:tcPr>
            <w:tcW w:w="1636" w:type="dxa"/>
            <w:noWrap/>
            <w:vAlign w:val="center"/>
            <w:hideMark/>
          </w:tcPr>
          <w:p w14:paraId="5CDCE68E" w14:textId="77777777" w:rsidR="00757469" w:rsidRPr="00F32020" w:rsidRDefault="00757469" w:rsidP="00EC7CDF">
            <w:pPr>
              <w:jc w:val="center"/>
            </w:pPr>
            <w:r w:rsidRPr="00F32020">
              <w:t>33.33</w:t>
            </w:r>
          </w:p>
        </w:tc>
      </w:tr>
      <w:tr w:rsidR="00757469" w:rsidRPr="00F32020" w14:paraId="5FA488F1" w14:textId="77777777" w:rsidTr="00E1138F">
        <w:trPr>
          <w:trHeight w:val="340"/>
        </w:trPr>
        <w:tc>
          <w:tcPr>
            <w:tcW w:w="5042" w:type="dxa"/>
            <w:noWrap/>
            <w:vAlign w:val="center"/>
            <w:hideMark/>
          </w:tcPr>
          <w:p w14:paraId="20881BB2" w14:textId="77777777" w:rsidR="00757469" w:rsidRPr="00F32020" w:rsidRDefault="00757469" w:rsidP="00EC7CDF">
            <w:r w:rsidRPr="00F32020">
              <w:t>Federal Democratic Republic of Nepal</w:t>
            </w:r>
          </w:p>
        </w:tc>
        <w:tc>
          <w:tcPr>
            <w:tcW w:w="1630" w:type="dxa"/>
            <w:noWrap/>
            <w:vAlign w:val="center"/>
            <w:hideMark/>
          </w:tcPr>
          <w:p w14:paraId="209B35A9" w14:textId="77777777" w:rsidR="00757469" w:rsidRPr="00F32020" w:rsidRDefault="00757469" w:rsidP="00EC7CDF">
            <w:pPr>
              <w:jc w:val="center"/>
            </w:pPr>
            <w:r w:rsidRPr="00F32020">
              <w:t>3</w:t>
            </w:r>
          </w:p>
        </w:tc>
        <w:tc>
          <w:tcPr>
            <w:tcW w:w="1241" w:type="dxa"/>
            <w:noWrap/>
            <w:vAlign w:val="center"/>
            <w:hideMark/>
          </w:tcPr>
          <w:p w14:paraId="7D665E7F" w14:textId="77777777" w:rsidR="00757469" w:rsidRPr="00F32020" w:rsidRDefault="00757469" w:rsidP="00EC7CDF">
            <w:pPr>
              <w:jc w:val="center"/>
            </w:pPr>
            <w:r w:rsidRPr="00F32020">
              <w:t>0</w:t>
            </w:r>
          </w:p>
        </w:tc>
        <w:tc>
          <w:tcPr>
            <w:tcW w:w="1636" w:type="dxa"/>
            <w:noWrap/>
            <w:vAlign w:val="center"/>
            <w:hideMark/>
          </w:tcPr>
          <w:p w14:paraId="5B4420A0" w14:textId="77777777" w:rsidR="00757469" w:rsidRPr="00F32020" w:rsidRDefault="00757469" w:rsidP="00EC7CDF">
            <w:pPr>
              <w:jc w:val="center"/>
            </w:pPr>
            <w:r w:rsidRPr="00F32020">
              <w:t>0.00</w:t>
            </w:r>
          </w:p>
        </w:tc>
      </w:tr>
      <w:tr w:rsidR="00757469" w:rsidRPr="00F32020" w14:paraId="667FE28D" w14:textId="77777777" w:rsidTr="00E1138F">
        <w:trPr>
          <w:trHeight w:val="340"/>
        </w:trPr>
        <w:tc>
          <w:tcPr>
            <w:tcW w:w="5042" w:type="dxa"/>
            <w:noWrap/>
            <w:vAlign w:val="center"/>
            <w:hideMark/>
          </w:tcPr>
          <w:p w14:paraId="46267831" w14:textId="77777777" w:rsidR="00757469" w:rsidRPr="00F32020" w:rsidRDefault="00757469" w:rsidP="00EC7CDF">
            <w:r w:rsidRPr="00F32020">
              <w:lastRenderedPageBreak/>
              <w:t>New Zealand</w:t>
            </w:r>
          </w:p>
        </w:tc>
        <w:tc>
          <w:tcPr>
            <w:tcW w:w="1630" w:type="dxa"/>
            <w:noWrap/>
            <w:vAlign w:val="center"/>
            <w:hideMark/>
          </w:tcPr>
          <w:p w14:paraId="4CDDC631" w14:textId="77777777" w:rsidR="00757469" w:rsidRPr="00F32020" w:rsidRDefault="00757469" w:rsidP="00EC7CDF">
            <w:pPr>
              <w:jc w:val="center"/>
            </w:pPr>
            <w:r w:rsidRPr="00F32020">
              <w:t>3</w:t>
            </w:r>
          </w:p>
        </w:tc>
        <w:tc>
          <w:tcPr>
            <w:tcW w:w="1241" w:type="dxa"/>
            <w:noWrap/>
            <w:vAlign w:val="center"/>
            <w:hideMark/>
          </w:tcPr>
          <w:p w14:paraId="73093032" w14:textId="77777777" w:rsidR="00757469" w:rsidRPr="00F32020" w:rsidRDefault="00757469" w:rsidP="00EC7CDF">
            <w:pPr>
              <w:jc w:val="center"/>
            </w:pPr>
            <w:r w:rsidRPr="00F32020">
              <w:t>0</w:t>
            </w:r>
          </w:p>
        </w:tc>
        <w:tc>
          <w:tcPr>
            <w:tcW w:w="1636" w:type="dxa"/>
            <w:noWrap/>
            <w:vAlign w:val="center"/>
            <w:hideMark/>
          </w:tcPr>
          <w:p w14:paraId="428AEBAB" w14:textId="77777777" w:rsidR="00757469" w:rsidRPr="00F32020" w:rsidRDefault="00757469" w:rsidP="00EC7CDF">
            <w:pPr>
              <w:jc w:val="center"/>
            </w:pPr>
            <w:r w:rsidRPr="00F32020">
              <w:t>0.00</w:t>
            </w:r>
          </w:p>
        </w:tc>
      </w:tr>
      <w:tr w:rsidR="00757469" w:rsidRPr="00F32020" w14:paraId="4561ECC5" w14:textId="77777777" w:rsidTr="00E1138F">
        <w:trPr>
          <w:trHeight w:val="340"/>
        </w:trPr>
        <w:tc>
          <w:tcPr>
            <w:tcW w:w="5042" w:type="dxa"/>
            <w:noWrap/>
            <w:vAlign w:val="center"/>
            <w:hideMark/>
          </w:tcPr>
          <w:p w14:paraId="5323167C" w14:textId="77777777" w:rsidR="00757469" w:rsidRPr="00F32020" w:rsidRDefault="00757469" w:rsidP="00EC7CDF">
            <w:r w:rsidRPr="00F32020">
              <w:t>Republic of Nicaragua</w:t>
            </w:r>
          </w:p>
        </w:tc>
        <w:tc>
          <w:tcPr>
            <w:tcW w:w="1630" w:type="dxa"/>
            <w:noWrap/>
            <w:vAlign w:val="center"/>
            <w:hideMark/>
          </w:tcPr>
          <w:p w14:paraId="04227608" w14:textId="77777777" w:rsidR="00757469" w:rsidRPr="00F32020" w:rsidRDefault="00757469" w:rsidP="00EC7CDF">
            <w:pPr>
              <w:jc w:val="center"/>
            </w:pPr>
            <w:r w:rsidRPr="00F32020">
              <w:t>3</w:t>
            </w:r>
          </w:p>
        </w:tc>
        <w:tc>
          <w:tcPr>
            <w:tcW w:w="1241" w:type="dxa"/>
            <w:noWrap/>
            <w:vAlign w:val="center"/>
            <w:hideMark/>
          </w:tcPr>
          <w:p w14:paraId="3916C25C" w14:textId="77777777" w:rsidR="00757469" w:rsidRPr="00F32020" w:rsidRDefault="00757469" w:rsidP="00EC7CDF">
            <w:pPr>
              <w:jc w:val="center"/>
            </w:pPr>
            <w:r w:rsidRPr="00F32020">
              <w:t>2</w:t>
            </w:r>
          </w:p>
        </w:tc>
        <w:tc>
          <w:tcPr>
            <w:tcW w:w="1636" w:type="dxa"/>
            <w:noWrap/>
            <w:vAlign w:val="center"/>
            <w:hideMark/>
          </w:tcPr>
          <w:p w14:paraId="392B18C4" w14:textId="77777777" w:rsidR="00757469" w:rsidRPr="00F32020" w:rsidRDefault="00757469" w:rsidP="00EC7CDF">
            <w:pPr>
              <w:jc w:val="center"/>
            </w:pPr>
            <w:r w:rsidRPr="00F32020">
              <w:t>66.67</w:t>
            </w:r>
          </w:p>
        </w:tc>
      </w:tr>
      <w:tr w:rsidR="00757469" w:rsidRPr="00F32020" w14:paraId="07C14A86" w14:textId="77777777" w:rsidTr="00E1138F">
        <w:trPr>
          <w:trHeight w:val="340"/>
        </w:trPr>
        <w:tc>
          <w:tcPr>
            <w:tcW w:w="5042" w:type="dxa"/>
            <w:noWrap/>
            <w:vAlign w:val="center"/>
            <w:hideMark/>
          </w:tcPr>
          <w:p w14:paraId="58C52C0A" w14:textId="77777777" w:rsidR="00757469" w:rsidRPr="00F32020" w:rsidRDefault="00757469" w:rsidP="00EC7CDF">
            <w:r w:rsidRPr="00F32020">
              <w:t>Republic of Poland</w:t>
            </w:r>
          </w:p>
        </w:tc>
        <w:tc>
          <w:tcPr>
            <w:tcW w:w="1630" w:type="dxa"/>
            <w:noWrap/>
            <w:vAlign w:val="center"/>
            <w:hideMark/>
          </w:tcPr>
          <w:p w14:paraId="1F3759BF" w14:textId="77777777" w:rsidR="00757469" w:rsidRPr="00F32020" w:rsidRDefault="00757469" w:rsidP="00EC7CDF">
            <w:pPr>
              <w:jc w:val="center"/>
            </w:pPr>
            <w:r w:rsidRPr="00F32020">
              <w:t>3</w:t>
            </w:r>
          </w:p>
        </w:tc>
        <w:tc>
          <w:tcPr>
            <w:tcW w:w="1241" w:type="dxa"/>
            <w:noWrap/>
            <w:vAlign w:val="center"/>
            <w:hideMark/>
          </w:tcPr>
          <w:p w14:paraId="297AAD42" w14:textId="77777777" w:rsidR="00757469" w:rsidRPr="00F32020" w:rsidRDefault="00757469" w:rsidP="00EC7CDF">
            <w:pPr>
              <w:jc w:val="center"/>
            </w:pPr>
            <w:r w:rsidRPr="00F32020">
              <w:t>1</w:t>
            </w:r>
          </w:p>
        </w:tc>
        <w:tc>
          <w:tcPr>
            <w:tcW w:w="1636" w:type="dxa"/>
            <w:noWrap/>
            <w:vAlign w:val="center"/>
            <w:hideMark/>
          </w:tcPr>
          <w:p w14:paraId="625591A5" w14:textId="77777777" w:rsidR="00757469" w:rsidRPr="00F32020" w:rsidRDefault="00757469" w:rsidP="00EC7CDF">
            <w:pPr>
              <w:jc w:val="center"/>
            </w:pPr>
            <w:r w:rsidRPr="00F32020">
              <w:t>33.33</w:t>
            </w:r>
          </w:p>
        </w:tc>
      </w:tr>
      <w:tr w:rsidR="00757469" w:rsidRPr="00F32020" w14:paraId="0AB5C800" w14:textId="77777777" w:rsidTr="00E1138F">
        <w:trPr>
          <w:trHeight w:val="340"/>
        </w:trPr>
        <w:tc>
          <w:tcPr>
            <w:tcW w:w="5042" w:type="dxa"/>
            <w:noWrap/>
            <w:vAlign w:val="center"/>
            <w:hideMark/>
          </w:tcPr>
          <w:p w14:paraId="1D54B985" w14:textId="77777777" w:rsidR="00757469" w:rsidRPr="00F32020" w:rsidRDefault="00757469" w:rsidP="00EC7CDF">
            <w:r w:rsidRPr="00F32020">
              <w:t>Republic of Zimbabwe</w:t>
            </w:r>
          </w:p>
        </w:tc>
        <w:tc>
          <w:tcPr>
            <w:tcW w:w="1630" w:type="dxa"/>
            <w:noWrap/>
            <w:vAlign w:val="center"/>
            <w:hideMark/>
          </w:tcPr>
          <w:p w14:paraId="565DD7B1" w14:textId="77777777" w:rsidR="00757469" w:rsidRPr="00F32020" w:rsidRDefault="00757469" w:rsidP="00EC7CDF">
            <w:pPr>
              <w:jc w:val="center"/>
            </w:pPr>
            <w:r w:rsidRPr="00F32020">
              <w:t>3</w:t>
            </w:r>
          </w:p>
        </w:tc>
        <w:tc>
          <w:tcPr>
            <w:tcW w:w="1241" w:type="dxa"/>
            <w:noWrap/>
            <w:vAlign w:val="center"/>
            <w:hideMark/>
          </w:tcPr>
          <w:p w14:paraId="692879DD" w14:textId="77777777" w:rsidR="00757469" w:rsidRPr="00F32020" w:rsidRDefault="00757469" w:rsidP="00EC7CDF">
            <w:pPr>
              <w:jc w:val="center"/>
            </w:pPr>
            <w:r w:rsidRPr="00F32020">
              <w:t>0</w:t>
            </w:r>
          </w:p>
        </w:tc>
        <w:tc>
          <w:tcPr>
            <w:tcW w:w="1636" w:type="dxa"/>
            <w:noWrap/>
            <w:vAlign w:val="center"/>
            <w:hideMark/>
          </w:tcPr>
          <w:p w14:paraId="50D807F3" w14:textId="77777777" w:rsidR="00757469" w:rsidRPr="00F32020" w:rsidRDefault="00757469" w:rsidP="00EC7CDF">
            <w:pPr>
              <w:jc w:val="center"/>
            </w:pPr>
            <w:r w:rsidRPr="00F32020">
              <w:t>0.00</w:t>
            </w:r>
          </w:p>
        </w:tc>
      </w:tr>
      <w:tr w:rsidR="00757469" w:rsidRPr="00F32020" w14:paraId="2EC4BB99" w14:textId="77777777" w:rsidTr="00E1138F">
        <w:trPr>
          <w:trHeight w:val="340"/>
        </w:trPr>
        <w:tc>
          <w:tcPr>
            <w:tcW w:w="5042" w:type="dxa"/>
            <w:noWrap/>
            <w:vAlign w:val="center"/>
            <w:hideMark/>
          </w:tcPr>
          <w:p w14:paraId="7AC66FDA" w14:textId="77777777" w:rsidR="00757469" w:rsidRPr="00F32020" w:rsidRDefault="00757469" w:rsidP="00EC7CDF">
            <w:r w:rsidRPr="00F32020">
              <w:t>Republic of Armenia</w:t>
            </w:r>
          </w:p>
        </w:tc>
        <w:tc>
          <w:tcPr>
            <w:tcW w:w="1630" w:type="dxa"/>
            <w:noWrap/>
            <w:vAlign w:val="center"/>
            <w:hideMark/>
          </w:tcPr>
          <w:p w14:paraId="29BE05D1" w14:textId="77777777" w:rsidR="00757469" w:rsidRPr="00F32020" w:rsidRDefault="00757469" w:rsidP="00EC7CDF">
            <w:pPr>
              <w:jc w:val="center"/>
            </w:pPr>
            <w:r w:rsidRPr="00F32020">
              <w:t>2</w:t>
            </w:r>
          </w:p>
        </w:tc>
        <w:tc>
          <w:tcPr>
            <w:tcW w:w="1241" w:type="dxa"/>
            <w:noWrap/>
            <w:vAlign w:val="center"/>
            <w:hideMark/>
          </w:tcPr>
          <w:p w14:paraId="79F1F412" w14:textId="77777777" w:rsidR="00757469" w:rsidRPr="00F32020" w:rsidRDefault="00757469" w:rsidP="00EC7CDF">
            <w:pPr>
              <w:jc w:val="center"/>
            </w:pPr>
            <w:r w:rsidRPr="00F32020">
              <w:t>0</w:t>
            </w:r>
          </w:p>
        </w:tc>
        <w:tc>
          <w:tcPr>
            <w:tcW w:w="1636" w:type="dxa"/>
            <w:noWrap/>
            <w:vAlign w:val="center"/>
            <w:hideMark/>
          </w:tcPr>
          <w:p w14:paraId="522D4BE0" w14:textId="77777777" w:rsidR="00757469" w:rsidRPr="00F32020" w:rsidRDefault="00757469" w:rsidP="00EC7CDF">
            <w:pPr>
              <w:jc w:val="center"/>
            </w:pPr>
            <w:r w:rsidRPr="00F32020">
              <w:t>0.00</w:t>
            </w:r>
          </w:p>
        </w:tc>
      </w:tr>
      <w:tr w:rsidR="00757469" w:rsidRPr="00F32020" w14:paraId="5B7C9037" w14:textId="77777777" w:rsidTr="00E1138F">
        <w:trPr>
          <w:trHeight w:val="340"/>
        </w:trPr>
        <w:tc>
          <w:tcPr>
            <w:tcW w:w="5042" w:type="dxa"/>
            <w:noWrap/>
            <w:vAlign w:val="center"/>
            <w:hideMark/>
          </w:tcPr>
          <w:p w14:paraId="4C5DB3A6" w14:textId="77777777" w:rsidR="00757469" w:rsidRPr="00F32020" w:rsidRDefault="00757469" w:rsidP="00EC7CDF">
            <w:r w:rsidRPr="00F32020">
              <w:t>Republic of Austria</w:t>
            </w:r>
          </w:p>
        </w:tc>
        <w:tc>
          <w:tcPr>
            <w:tcW w:w="1630" w:type="dxa"/>
            <w:noWrap/>
            <w:vAlign w:val="center"/>
            <w:hideMark/>
          </w:tcPr>
          <w:p w14:paraId="41C1C3B1" w14:textId="77777777" w:rsidR="00757469" w:rsidRPr="00F32020" w:rsidRDefault="00757469" w:rsidP="00EC7CDF">
            <w:pPr>
              <w:jc w:val="center"/>
            </w:pPr>
            <w:r w:rsidRPr="00F32020">
              <w:t>2</w:t>
            </w:r>
          </w:p>
        </w:tc>
        <w:tc>
          <w:tcPr>
            <w:tcW w:w="1241" w:type="dxa"/>
            <w:noWrap/>
            <w:vAlign w:val="center"/>
            <w:hideMark/>
          </w:tcPr>
          <w:p w14:paraId="417D35B7" w14:textId="77777777" w:rsidR="00757469" w:rsidRPr="00F32020" w:rsidRDefault="00757469" w:rsidP="00EC7CDF">
            <w:pPr>
              <w:jc w:val="center"/>
            </w:pPr>
            <w:r w:rsidRPr="00F32020">
              <w:t>1</w:t>
            </w:r>
          </w:p>
        </w:tc>
        <w:tc>
          <w:tcPr>
            <w:tcW w:w="1636" w:type="dxa"/>
            <w:noWrap/>
            <w:vAlign w:val="center"/>
            <w:hideMark/>
          </w:tcPr>
          <w:p w14:paraId="7B829434" w14:textId="77777777" w:rsidR="00757469" w:rsidRPr="00F32020" w:rsidRDefault="00757469" w:rsidP="00EC7CDF">
            <w:pPr>
              <w:jc w:val="center"/>
            </w:pPr>
            <w:r w:rsidRPr="00F32020">
              <w:t>50.00</w:t>
            </w:r>
          </w:p>
        </w:tc>
      </w:tr>
      <w:tr w:rsidR="00757469" w:rsidRPr="00F32020" w14:paraId="2E51A88F" w14:textId="77777777" w:rsidTr="00E1138F">
        <w:trPr>
          <w:trHeight w:val="340"/>
        </w:trPr>
        <w:tc>
          <w:tcPr>
            <w:tcW w:w="5042" w:type="dxa"/>
            <w:noWrap/>
            <w:vAlign w:val="center"/>
            <w:hideMark/>
          </w:tcPr>
          <w:p w14:paraId="54B57B9A" w14:textId="77777777" w:rsidR="00757469" w:rsidRPr="00F32020" w:rsidRDefault="00757469" w:rsidP="00EC7CDF">
            <w:r w:rsidRPr="00F32020">
              <w:t>Dominican Republic</w:t>
            </w:r>
          </w:p>
        </w:tc>
        <w:tc>
          <w:tcPr>
            <w:tcW w:w="1630" w:type="dxa"/>
            <w:noWrap/>
            <w:vAlign w:val="center"/>
            <w:hideMark/>
          </w:tcPr>
          <w:p w14:paraId="515392D1" w14:textId="77777777" w:rsidR="00757469" w:rsidRPr="00F32020" w:rsidRDefault="00757469" w:rsidP="00EC7CDF">
            <w:pPr>
              <w:jc w:val="center"/>
            </w:pPr>
            <w:r w:rsidRPr="00F32020">
              <w:t>2</w:t>
            </w:r>
          </w:p>
        </w:tc>
        <w:tc>
          <w:tcPr>
            <w:tcW w:w="1241" w:type="dxa"/>
            <w:noWrap/>
            <w:vAlign w:val="center"/>
            <w:hideMark/>
          </w:tcPr>
          <w:p w14:paraId="0E344DE5" w14:textId="77777777" w:rsidR="00757469" w:rsidRPr="00F32020" w:rsidRDefault="00757469" w:rsidP="00EC7CDF">
            <w:pPr>
              <w:jc w:val="center"/>
            </w:pPr>
            <w:r w:rsidRPr="00F32020">
              <w:t>0</w:t>
            </w:r>
          </w:p>
        </w:tc>
        <w:tc>
          <w:tcPr>
            <w:tcW w:w="1636" w:type="dxa"/>
            <w:noWrap/>
            <w:vAlign w:val="center"/>
            <w:hideMark/>
          </w:tcPr>
          <w:p w14:paraId="079D083C" w14:textId="77777777" w:rsidR="00757469" w:rsidRPr="00F32020" w:rsidRDefault="00757469" w:rsidP="00EC7CDF">
            <w:pPr>
              <w:jc w:val="center"/>
            </w:pPr>
            <w:r w:rsidRPr="00F32020">
              <w:t>0.00</w:t>
            </w:r>
          </w:p>
        </w:tc>
      </w:tr>
      <w:tr w:rsidR="00757469" w:rsidRPr="00F32020" w14:paraId="508793B9" w14:textId="77777777" w:rsidTr="00E1138F">
        <w:trPr>
          <w:trHeight w:val="340"/>
        </w:trPr>
        <w:tc>
          <w:tcPr>
            <w:tcW w:w="5042" w:type="dxa"/>
            <w:noWrap/>
            <w:vAlign w:val="center"/>
            <w:hideMark/>
          </w:tcPr>
          <w:p w14:paraId="0DBC49B9" w14:textId="77777777" w:rsidR="00757469" w:rsidRPr="00F32020" w:rsidRDefault="00757469" w:rsidP="00EC7CDF">
            <w:r w:rsidRPr="00F32020">
              <w:t>Republic of Guinea</w:t>
            </w:r>
          </w:p>
        </w:tc>
        <w:tc>
          <w:tcPr>
            <w:tcW w:w="1630" w:type="dxa"/>
            <w:noWrap/>
            <w:vAlign w:val="center"/>
            <w:hideMark/>
          </w:tcPr>
          <w:p w14:paraId="0B64F489" w14:textId="77777777" w:rsidR="00757469" w:rsidRPr="00F32020" w:rsidRDefault="00757469" w:rsidP="00EC7CDF">
            <w:pPr>
              <w:jc w:val="center"/>
            </w:pPr>
            <w:r w:rsidRPr="00F32020">
              <w:t>2</w:t>
            </w:r>
          </w:p>
        </w:tc>
        <w:tc>
          <w:tcPr>
            <w:tcW w:w="1241" w:type="dxa"/>
            <w:noWrap/>
            <w:vAlign w:val="center"/>
            <w:hideMark/>
          </w:tcPr>
          <w:p w14:paraId="3B05D355" w14:textId="77777777" w:rsidR="00757469" w:rsidRPr="00F32020" w:rsidRDefault="00757469" w:rsidP="00EC7CDF">
            <w:pPr>
              <w:jc w:val="center"/>
            </w:pPr>
            <w:r w:rsidRPr="00F32020">
              <w:t>0</w:t>
            </w:r>
          </w:p>
        </w:tc>
        <w:tc>
          <w:tcPr>
            <w:tcW w:w="1636" w:type="dxa"/>
            <w:noWrap/>
            <w:vAlign w:val="center"/>
            <w:hideMark/>
          </w:tcPr>
          <w:p w14:paraId="69893A1F" w14:textId="77777777" w:rsidR="00757469" w:rsidRPr="00F32020" w:rsidRDefault="00757469" w:rsidP="00EC7CDF">
            <w:pPr>
              <w:jc w:val="center"/>
            </w:pPr>
            <w:r w:rsidRPr="00F32020">
              <w:t>0.00</w:t>
            </w:r>
          </w:p>
        </w:tc>
      </w:tr>
      <w:tr w:rsidR="00757469" w:rsidRPr="00F32020" w14:paraId="191667AC" w14:textId="77777777" w:rsidTr="00E1138F">
        <w:trPr>
          <w:trHeight w:val="340"/>
        </w:trPr>
        <w:tc>
          <w:tcPr>
            <w:tcW w:w="5042" w:type="dxa"/>
            <w:noWrap/>
            <w:vAlign w:val="center"/>
            <w:hideMark/>
          </w:tcPr>
          <w:p w14:paraId="7C3AFF96" w14:textId="77777777" w:rsidR="00757469" w:rsidRPr="00F32020" w:rsidRDefault="00757469" w:rsidP="00EC7CDF">
            <w:r w:rsidRPr="00F32020">
              <w:t>Kingdom of Saudi Arabia</w:t>
            </w:r>
          </w:p>
        </w:tc>
        <w:tc>
          <w:tcPr>
            <w:tcW w:w="1630" w:type="dxa"/>
            <w:noWrap/>
            <w:vAlign w:val="center"/>
            <w:hideMark/>
          </w:tcPr>
          <w:p w14:paraId="7E6C2675" w14:textId="77777777" w:rsidR="00757469" w:rsidRPr="00F32020" w:rsidRDefault="00757469" w:rsidP="00EC7CDF">
            <w:pPr>
              <w:jc w:val="center"/>
            </w:pPr>
            <w:r w:rsidRPr="00F32020">
              <w:t>2</w:t>
            </w:r>
          </w:p>
        </w:tc>
        <w:tc>
          <w:tcPr>
            <w:tcW w:w="1241" w:type="dxa"/>
            <w:noWrap/>
            <w:vAlign w:val="center"/>
            <w:hideMark/>
          </w:tcPr>
          <w:p w14:paraId="160C5835" w14:textId="77777777" w:rsidR="00757469" w:rsidRPr="00F32020" w:rsidRDefault="00757469" w:rsidP="00EC7CDF">
            <w:pPr>
              <w:jc w:val="center"/>
            </w:pPr>
            <w:r w:rsidRPr="00F32020">
              <w:t>0</w:t>
            </w:r>
          </w:p>
        </w:tc>
        <w:tc>
          <w:tcPr>
            <w:tcW w:w="1636" w:type="dxa"/>
            <w:noWrap/>
            <w:vAlign w:val="center"/>
            <w:hideMark/>
          </w:tcPr>
          <w:p w14:paraId="72A0ACE9" w14:textId="77777777" w:rsidR="00757469" w:rsidRPr="00F32020" w:rsidRDefault="00757469" w:rsidP="00EC7CDF">
            <w:pPr>
              <w:jc w:val="center"/>
            </w:pPr>
            <w:r w:rsidRPr="00F32020">
              <w:t>0.00</w:t>
            </w:r>
          </w:p>
        </w:tc>
      </w:tr>
      <w:tr w:rsidR="00757469" w:rsidRPr="00F32020" w14:paraId="34C5169C" w14:textId="77777777" w:rsidTr="00E1138F">
        <w:trPr>
          <w:trHeight w:val="340"/>
        </w:trPr>
        <w:tc>
          <w:tcPr>
            <w:tcW w:w="5042" w:type="dxa"/>
            <w:noWrap/>
            <w:vAlign w:val="center"/>
            <w:hideMark/>
          </w:tcPr>
          <w:p w14:paraId="0B94033C" w14:textId="77777777" w:rsidR="00757469" w:rsidRPr="00F32020" w:rsidRDefault="00757469" w:rsidP="00EC7CDF">
            <w:r w:rsidRPr="00F32020">
              <w:t>Slovak Republic</w:t>
            </w:r>
          </w:p>
        </w:tc>
        <w:tc>
          <w:tcPr>
            <w:tcW w:w="1630" w:type="dxa"/>
            <w:noWrap/>
            <w:vAlign w:val="center"/>
            <w:hideMark/>
          </w:tcPr>
          <w:p w14:paraId="484CCECB" w14:textId="77777777" w:rsidR="00757469" w:rsidRPr="00F32020" w:rsidRDefault="00757469" w:rsidP="00EC7CDF">
            <w:pPr>
              <w:jc w:val="center"/>
            </w:pPr>
            <w:r w:rsidRPr="00F32020">
              <w:t>2</w:t>
            </w:r>
          </w:p>
        </w:tc>
        <w:tc>
          <w:tcPr>
            <w:tcW w:w="1241" w:type="dxa"/>
            <w:noWrap/>
            <w:vAlign w:val="center"/>
            <w:hideMark/>
          </w:tcPr>
          <w:p w14:paraId="45A60BDA" w14:textId="77777777" w:rsidR="00757469" w:rsidRPr="00F32020" w:rsidRDefault="00757469" w:rsidP="00EC7CDF">
            <w:pPr>
              <w:jc w:val="center"/>
            </w:pPr>
            <w:r w:rsidRPr="00F32020">
              <w:t>0</w:t>
            </w:r>
          </w:p>
        </w:tc>
        <w:tc>
          <w:tcPr>
            <w:tcW w:w="1636" w:type="dxa"/>
            <w:noWrap/>
            <w:vAlign w:val="center"/>
            <w:hideMark/>
          </w:tcPr>
          <w:p w14:paraId="0E217653" w14:textId="77777777" w:rsidR="00757469" w:rsidRPr="00F32020" w:rsidRDefault="00757469" w:rsidP="00EC7CDF">
            <w:pPr>
              <w:jc w:val="center"/>
            </w:pPr>
            <w:r w:rsidRPr="00F32020">
              <w:t>0.00</w:t>
            </w:r>
          </w:p>
        </w:tc>
      </w:tr>
      <w:tr w:rsidR="00757469" w:rsidRPr="00F32020" w14:paraId="1137E0DD" w14:textId="77777777" w:rsidTr="00E1138F">
        <w:trPr>
          <w:trHeight w:val="340"/>
        </w:trPr>
        <w:tc>
          <w:tcPr>
            <w:tcW w:w="5042" w:type="dxa"/>
            <w:noWrap/>
            <w:vAlign w:val="center"/>
            <w:hideMark/>
          </w:tcPr>
          <w:p w14:paraId="08012AF4" w14:textId="77777777" w:rsidR="00757469" w:rsidRPr="00F32020" w:rsidRDefault="00757469" w:rsidP="00EC7CDF">
            <w:r w:rsidRPr="00F32020">
              <w:t>Republic of Korea</w:t>
            </w:r>
          </w:p>
        </w:tc>
        <w:tc>
          <w:tcPr>
            <w:tcW w:w="1630" w:type="dxa"/>
            <w:noWrap/>
            <w:vAlign w:val="center"/>
            <w:hideMark/>
          </w:tcPr>
          <w:p w14:paraId="2FD982AC" w14:textId="77777777" w:rsidR="00757469" w:rsidRPr="00F32020" w:rsidRDefault="00757469" w:rsidP="00EC7CDF">
            <w:pPr>
              <w:jc w:val="center"/>
            </w:pPr>
            <w:r w:rsidRPr="00F32020">
              <w:t>2</w:t>
            </w:r>
          </w:p>
        </w:tc>
        <w:tc>
          <w:tcPr>
            <w:tcW w:w="1241" w:type="dxa"/>
            <w:noWrap/>
            <w:vAlign w:val="center"/>
            <w:hideMark/>
          </w:tcPr>
          <w:p w14:paraId="4676C485" w14:textId="77777777" w:rsidR="00757469" w:rsidRPr="00F32020" w:rsidRDefault="00757469" w:rsidP="00EC7CDF">
            <w:pPr>
              <w:jc w:val="center"/>
            </w:pPr>
            <w:r w:rsidRPr="00F32020">
              <w:t>0</w:t>
            </w:r>
          </w:p>
        </w:tc>
        <w:tc>
          <w:tcPr>
            <w:tcW w:w="1636" w:type="dxa"/>
            <w:noWrap/>
            <w:vAlign w:val="center"/>
            <w:hideMark/>
          </w:tcPr>
          <w:p w14:paraId="555DF975" w14:textId="77777777" w:rsidR="00757469" w:rsidRPr="00F32020" w:rsidRDefault="00757469" w:rsidP="00EC7CDF">
            <w:pPr>
              <w:jc w:val="center"/>
            </w:pPr>
            <w:r w:rsidRPr="00F32020">
              <w:t>0.00</w:t>
            </w:r>
          </w:p>
        </w:tc>
      </w:tr>
      <w:tr w:rsidR="00757469" w:rsidRPr="00F32020" w14:paraId="70BE2297" w14:textId="77777777" w:rsidTr="00E1138F">
        <w:trPr>
          <w:trHeight w:val="340"/>
        </w:trPr>
        <w:tc>
          <w:tcPr>
            <w:tcW w:w="5042" w:type="dxa"/>
            <w:noWrap/>
            <w:vAlign w:val="center"/>
            <w:hideMark/>
          </w:tcPr>
          <w:p w14:paraId="27BA2C38" w14:textId="77777777" w:rsidR="00757469" w:rsidRPr="00F32020" w:rsidRDefault="00757469" w:rsidP="00EC7CDF">
            <w:r w:rsidRPr="00F32020">
              <w:t>Democratic Socialist Republic of Sri Lanka</w:t>
            </w:r>
          </w:p>
        </w:tc>
        <w:tc>
          <w:tcPr>
            <w:tcW w:w="1630" w:type="dxa"/>
            <w:noWrap/>
            <w:vAlign w:val="center"/>
            <w:hideMark/>
          </w:tcPr>
          <w:p w14:paraId="2C3F2115" w14:textId="77777777" w:rsidR="00757469" w:rsidRPr="00F32020" w:rsidRDefault="00757469" w:rsidP="00EC7CDF">
            <w:pPr>
              <w:jc w:val="center"/>
            </w:pPr>
            <w:r w:rsidRPr="00F32020">
              <w:t>2</w:t>
            </w:r>
          </w:p>
        </w:tc>
        <w:tc>
          <w:tcPr>
            <w:tcW w:w="1241" w:type="dxa"/>
            <w:noWrap/>
            <w:vAlign w:val="center"/>
            <w:hideMark/>
          </w:tcPr>
          <w:p w14:paraId="0CE4FA13" w14:textId="77777777" w:rsidR="00757469" w:rsidRPr="00F32020" w:rsidRDefault="00757469" w:rsidP="00EC7CDF">
            <w:pPr>
              <w:jc w:val="center"/>
            </w:pPr>
            <w:r w:rsidRPr="00F32020">
              <w:t>0</w:t>
            </w:r>
          </w:p>
        </w:tc>
        <w:tc>
          <w:tcPr>
            <w:tcW w:w="1636" w:type="dxa"/>
            <w:noWrap/>
            <w:vAlign w:val="center"/>
            <w:hideMark/>
          </w:tcPr>
          <w:p w14:paraId="475A5D67" w14:textId="77777777" w:rsidR="00757469" w:rsidRPr="00F32020" w:rsidRDefault="00757469" w:rsidP="00EC7CDF">
            <w:pPr>
              <w:jc w:val="center"/>
            </w:pPr>
            <w:r w:rsidRPr="00F32020">
              <w:t>0.00</w:t>
            </w:r>
          </w:p>
        </w:tc>
      </w:tr>
      <w:tr w:rsidR="00757469" w:rsidRPr="00F32020" w14:paraId="24B20D87" w14:textId="77777777" w:rsidTr="00E1138F">
        <w:trPr>
          <w:trHeight w:val="340"/>
        </w:trPr>
        <w:tc>
          <w:tcPr>
            <w:tcW w:w="5042" w:type="dxa"/>
            <w:noWrap/>
            <w:vAlign w:val="center"/>
            <w:hideMark/>
          </w:tcPr>
          <w:p w14:paraId="4941E375" w14:textId="77777777" w:rsidR="00757469" w:rsidRPr="00F32020" w:rsidRDefault="00757469" w:rsidP="00EC7CDF">
            <w:r w:rsidRPr="00F32020">
              <w:t>Republic of Albania</w:t>
            </w:r>
          </w:p>
        </w:tc>
        <w:tc>
          <w:tcPr>
            <w:tcW w:w="1630" w:type="dxa"/>
            <w:noWrap/>
            <w:vAlign w:val="center"/>
            <w:hideMark/>
          </w:tcPr>
          <w:p w14:paraId="7FBFC8DB" w14:textId="77777777" w:rsidR="00757469" w:rsidRPr="00F32020" w:rsidRDefault="00757469" w:rsidP="00EC7CDF">
            <w:pPr>
              <w:jc w:val="center"/>
            </w:pPr>
            <w:r w:rsidRPr="00F32020">
              <w:t>1</w:t>
            </w:r>
          </w:p>
        </w:tc>
        <w:tc>
          <w:tcPr>
            <w:tcW w:w="1241" w:type="dxa"/>
            <w:noWrap/>
            <w:vAlign w:val="center"/>
            <w:hideMark/>
          </w:tcPr>
          <w:p w14:paraId="7B897317" w14:textId="77777777" w:rsidR="00757469" w:rsidRPr="00F32020" w:rsidRDefault="00757469" w:rsidP="00EC7CDF">
            <w:pPr>
              <w:jc w:val="center"/>
            </w:pPr>
            <w:r w:rsidRPr="00F32020">
              <w:t>0</w:t>
            </w:r>
          </w:p>
        </w:tc>
        <w:tc>
          <w:tcPr>
            <w:tcW w:w="1636" w:type="dxa"/>
            <w:noWrap/>
            <w:vAlign w:val="center"/>
            <w:hideMark/>
          </w:tcPr>
          <w:p w14:paraId="63112B2B" w14:textId="77777777" w:rsidR="00757469" w:rsidRPr="00F32020" w:rsidRDefault="00757469" w:rsidP="00EC7CDF">
            <w:pPr>
              <w:jc w:val="center"/>
            </w:pPr>
            <w:r w:rsidRPr="00F32020">
              <w:t>0.00</w:t>
            </w:r>
          </w:p>
        </w:tc>
      </w:tr>
      <w:tr w:rsidR="00757469" w:rsidRPr="00F32020" w14:paraId="2B66FC76" w14:textId="77777777" w:rsidTr="00E1138F">
        <w:trPr>
          <w:trHeight w:val="340"/>
        </w:trPr>
        <w:tc>
          <w:tcPr>
            <w:tcW w:w="5042" w:type="dxa"/>
            <w:noWrap/>
            <w:vAlign w:val="center"/>
            <w:hideMark/>
          </w:tcPr>
          <w:p w14:paraId="5DBDC603" w14:textId="77777777" w:rsidR="00757469" w:rsidRPr="00F32020" w:rsidRDefault="00757469" w:rsidP="00EC7CDF">
            <w:r w:rsidRPr="00F32020">
              <w:t>Principality of Andorra</w:t>
            </w:r>
          </w:p>
        </w:tc>
        <w:tc>
          <w:tcPr>
            <w:tcW w:w="1630" w:type="dxa"/>
            <w:noWrap/>
            <w:vAlign w:val="center"/>
            <w:hideMark/>
          </w:tcPr>
          <w:p w14:paraId="5462565A" w14:textId="77777777" w:rsidR="00757469" w:rsidRPr="00F32020" w:rsidRDefault="00757469" w:rsidP="00EC7CDF">
            <w:pPr>
              <w:jc w:val="center"/>
            </w:pPr>
            <w:r w:rsidRPr="00F32020">
              <w:t>1</w:t>
            </w:r>
          </w:p>
        </w:tc>
        <w:tc>
          <w:tcPr>
            <w:tcW w:w="1241" w:type="dxa"/>
            <w:noWrap/>
            <w:vAlign w:val="center"/>
            <w:hideMark/>
          </w:tcPr>
          <w:p w14:paraId="5B979ECC" w14:textId="77777777" w:rsidR="00757469" w:rsidRPr="00F32020" w:rsidRDefault="00757469" w:rsidP="00EC7CDF">
            <w:pPr>
              <w:jc w:val="center"/>
            </w:pPr>
            <w:r w:rsidRPr="00F32020">
              <w:t>0</w:t>
            </w:r>
          </w:p>
        </w:tc>
        <w:tc>
          <w:tcPr>
            <w:tcW w:w="1636" w:type="dxa"/>
            <w:noWrap/>
            <w:vAlign w:val="center"/>
            <w:hideMark/>
          </w:tcPr>
          <w:p w14:paraId="62B3EBB9" w14:textId="77777777" w:rsidR="00757469" w:rsidRPr="00F32020" w:rsidRDefault="00757469" w:rsidP="00EC7CDF">
            <w:pPr>
              <w:jc w:val="center"/>
            </w:pPr>
            <w:r w:rsidRPr="00F32020">
              <w:t>0.00</w:t>
            </w:r>
          </w:p>
        </w:tc>
      </w:tr>
      <w:tr w:rsidR="00757469" w:rsidRPr="00F32020" w14:paraId="05192E43" w14:textId="77777777" w:rsidTr="00E1138F">
        <w:trPr>
          <w:trHeight w:val="340"/>
        </w:trPr>
        <w:tc>
          <w:tcPr>
            <w:tcW w:w="5042" w:type="dxa"/>
            <w:noWrap/>
            <w:vAlign w:val="center"/>
            <w:hideMark/>
          </w:tcPr>
          <w:p w14:paraId="28F0160F" w14:textId="77777777" w:rsidR="00757469" w:rsidRPr="00F32020" w:rsidRDefault="00757469" w:rsidP="00EC7CDF">
            <w:r w:rsidRPr="00F32020">
              <w:t>Republic of Botswana</w:t>
            </w:r>
          </w:p>
        </w:tc>
        <w:tc>
          <w:tcPr>
            <w:tcW w:w="1630" w:type="dxa"/>
            <w:noWrap/>
            <w:vAlign w:val="center"/>
            <w:hideMark/>
          </w:tcPr>
          <w:p w14:paraId="1D8AF31A" w14:textId="77777777" w:rsidR="00757469" w:rsidRPr="00F32020" w:rsidRDefault="00757469" w:rsidP="00EC7CDF">
            <w:pPr>
              <w:jc w:val="center"/>
            </w:pPr>
            <w:r w:rsidRPr="00F32020">
              <w:t>1</w:t>
            </w:r>
          </w:p>
        </w:tc>
        <w:tc>
          <w:tcPr>
            <w:tcW w:w="1241" w:type="dxa"/>
            <w:noWrap/>
            <w:vAlign w:val="center"/>
            <w:hideMark/>
          </w:tcPr>
          <w:p w14:paraId="769CE204" w14:textId="77777777" w:rsidR="00757469" w:rsidRPr="00F32020" w:rsidRDefault="00757469" w:rsidP="00EC7CDF">
            <w:pPr>
              <w:jc w:val="center"/>
            </w:pPr>
            <w:r w:rsidRPr="00F32020">
              <w:t>0</w:t>
            </w:r>
          </w:p>
        </w:tc>
        <w:tc>
          <w:tcPr>
            <w:tcW w:w="1636" w:type="dxa"/>
            <w:noWrap/>
            <w:vAlign w:val="center"/>
            <w:hideMark/>
          </w:tcPr>
          <w:p w14:paraId="7B97AEC8" w14:textId="77777777" w:rsidR="00757469" w:rsidRPr="00F32020" w:rsidRDefault="00757469" w:rsidP="00EC7CDF">
            <w:pPr>
              <w:jc w:val="center"/>
            </w:pPr>
            <w:r w:rsidRPr="00F32020">
              <w:t>0.00</w:t>
            </w:r>
          </w:p>
        </w:tc>
      </w:tr>
      <w:tr w:rsidR="00757469" w:rsidRPr="00F32020" w14:paraId="0D0CA6CC" w14:textId="77777777" w:rsidTr="00E1138F">
        <w:trPr>
          <w:trHeight w:val="340"/>
        </w:trPr>
        <w:tc>
          <w:tcPr>
            <w:tcW w:w="5042" w:type="dxa"/>
            <w:noWrap/>
            <w:vAlign w:val="center"/>
            <w:hideMark/>
          </w:tcPr>
          <w:p w14:paraId="321080B4" w14:textId="77777777" w:rsidR="00757469" w:rsidRPr="00F32020" w:rsidRDefault="00757469" w:rsidP="00EC7CDF">
            <w:r w:rsidRPr="00F32020">
              <w:t>Republic of Cameroon</w:t>
            </w:r>
          </w:p>
        </w:tc>
        <w:tc>
          <w:tcPr>
            <w:tcW w:w="1630" w:type="dxa"/>
            <w:noWrap/>
            <w:vAlign w:val="center"/>
            <w:hideMark/>
          </w:tcPr>
          <w:p w14:paraId="3E26545B" w14:textId="77777777" w:rsidR="00757469" w:rsidRPr="00F32020" w:rsidRDefault="00757469" w:rsidP="00EC7CDF">
            <w:pPr>
              <w:jc w:val="center"/>
            </w:pPr>
            <w:r w:rsidRPr="00F32020">
              <w:t>1</w:t>
            </w:r>
          </w:p>
        </w:tc>
        <w:tc>
          <w:tcPr>
            <w:tcW w:w="1241" w:type="dxa"/>
            <w:noWrap/>
            <w:vAlign w:val="center"/>
            <w:hideMark/>
          </w:tcPr>
          <w:p w14:paraId="5F7EEE2A" w14:textId="77777777" w:rsidR="00757469" w:rsidRPr="00F32020" w:rsidRDefault="00757469" w:rsidP="00EC7CDF">
            <w:pPr>
              <w:jc w:val="center"/>
            </w:pPr>
            <w:r w:rsidRPr="00F32020">
              <w:t>0</w:t>
            </w:r>
          </w:p>
        </w:tc>
        <w:tc>
          <w:tcPr>
            <w:tcW w:w="1636" w:type="dxa"/>
            <w:noWrap/>
            <w:vAlign w:val="center"/>
            <w:hideMark/>
          </w:tcPr>
          <w:p w14:paraId="2383A98F" w14:textId="77777777" w:rsidR="00757469" w:rsidRPr="00F32020" w:rsidRDefault="00757469" w:rsidP="00EC7CDF">
            <w:pPr>
              <w:jc w:val="center"/>
            </w:pPr>
            <w:r w:rsidRPr="00F32020">
              <w:t>0.00</w:t>
            </w:r>
          </w:p>
        </w:tc>
      </w:tr>
      <w:tr w:rsidR="00757469" w:rsidRPr="00F32020" w14:paraId="5C535B7F" w14:textId="77777777" w:rsidTr="00E1138F">
        <w:trPr>
          <w:trHeight w:val="340"/>
        </w:trPr>
        <w:tc>
          <w:tcPr>
            <w:tcW w:w="5042" w:type="dxa"/>
            <w:noWrap/>
            <w:vAlign w:val="center"/>
            <w:hideMark/>
          </w:tcPr>
          <w:p w14:paraId="39679D67" w14:textId="77777777" w:rsidR="00757469" w:rsidRPr="00F32020" w:rsidRDefault="00757469" w:rsidP="00EC7CDF">
            <w:r w:rsidRPr="00F32020">
              <w:t>Union of the Comoros</w:t>
            </w:r>
          </w:p>
        </w:tc>
        <w:tc>
          <w:tcPr>
            <w:tcW w:w="1630" w:type="dxa"/>
            <w:noWrap/>
            <w:vAlign w:val="center"/>
            <w:hideMark/>
          </w:tcPr>
          <w:p w14:paraId="570E4239" w14:textId="77777777" w:rsidR="00757469" w:rsidRPr="00F32020" w:rsidRDefault="00757469" w:rsidP="00EC7CDF">
            <w:pPr>
              <w:jc w:val="center"/>
            </w:pPr>
            <w:r w:rsidRPr="00F32020">
              <w:t>1</w:t>
            </w:r>
          </w:p>
        </w:tc>
        <w:tc>
          <w:tcPr>
            <w:tcW w:w="1241" w:type="dxa"/>
            <w:noWrap/>
            <w:vAlign w:val="center"/>
            <w:hideMark/>
          </w:tcPr>
          <w:p w14:paraId="590F5B53" w14:textId="77777777" w:rsidR="00757469" w:rsidRPr="00F32020" w:rsidRDefault="00757469" w:rsidP="00EC7CDF">
            <w:pPr>
              <w:jc w:val="center"/>
            </w:pPr>
            <w:r w:rsidRPr="00F32020">
              <w:t>0</w:t>
            </w:r>
          </w:p>
        </w:tc>
        <w:tc>
          <w:tcPr>
            <w:tcW w:w="1636" w:type="dxa"/>
            <w:noWrap/>
            <w:vAlign w:val="center"/>
            <w:hideMark/>
          </w:tcPr>
          <w:p w14:paraId="3D2F5818" w14:textId="77777777" w:rsidR="00757469" w:rsidRPr="00F32020" w:rsidRDefault="00757469" w:rsidP="00EC7CDF">
            <w:pPr>
              <w:jc w:val="center"/>
            </w:pPr>
            <w:r w:rsidRPr="00F32020">
              <w:t>0.00</w:t>
            </w:r>
          </w:p>
        </w:tc>
      </w:tr>
      <w:tr w:rsidR="00757469" w:rsidRPr="00F32020" w14:paraId="7CBE1732" w14:textId="77777777" w:rsidTr="00E1138F">
        <w:trPr>
          <w:trHeight w:val="340"/>
        </w:trPr>
        <w:tc>
          <w:tcPr>
            <w:tcW w:w="5042" w:type="dxa"/>
            <w:noWrap/>
            <w:vAlign w:val="center"/>
            <w:hideMark/>
          </w:tcPr>
          <w:p w14:paraId="04E9FB9F" w14:textId="77777777" w:rsidR="00757469" w:rsidRPr="00F32020" w:rsidRDefault="00757469" w:rsidP="00EC7CDF">
            <w:r w:rsidRPr="00F32020">
              <w:t>Democratic Republic of the Congo</w:t>
            </w:r>
          </w:p>
        </w:tc>
        <w:tc>
          <w:tcPr>
            <w:tcW w:w="1630" w:type="dxa"/>
            <w:noWrap/>
            <w:vAlign w:val="center"/>
            <w:hideMark/>
          </w:tcPr>
          <w:p w14:paraId="1F66A621" w14:textId="77777777" w:rsidR="00757469" w:rsidRPr="00F32020" w:rsidRDefault="00757469" w:rsidP="00EC7CDF">
            <w:pPr>
              <w:jc w:val="center"/>
            </w:pPr>
            <w:r w:rsidRPr="00F32020">
              <w:t>2</w:t>
            </w:r>
          </w:p>
        </w:tc>
        <w:tc>
          <w:tcPr>
            <w:tcW w:w="1241" w:type="dxa"/>
            <w:noWrap/>
            <w:vAlign w:val="center"/>
            <w:hideMark/>
          </w:tcPr>
          <w:p w14:paraId="40000FA3" w14:textId="77777777" w:rsidR="00757469" w:rsidRPr="00F32020" w:rsidRDefault="00757469" w:rsidP="00EC7CDF">
            <w:pPr>
              <w:jc w:val="center"/>
            </w:pPr>
            <w:r w:rsidRPr="00F32020">
              <w:t>0</w:t>
            </w:r>
          </w:p>
        </w:tc>
        <w:tc>
          <w:tcPr>
            <w:tcW w:w="1636" w:type="dxa"/>
            <w:noWrap/>
            <w:vAlign w:val="center"/>
            <w:hideMark/>
          </w:tcPr>
          <w:p w14:paraId="5D64BD46" w14:textId="77777777" w:rsidR="00757469" w:rsidRPr="00F32020" w:rsidRDefault="00757469" w:rsidP="00EC7CDF">
            <w:pPr>
              <w:jc w:val="center"/>
            </w:pPr>
            <w:r w:rsidRPr="00F32020">
              <w:t>0.00</w:t>
            </w:r>
          </w:p>
        </w:tc>
      </w:tr>
      <w:tr w:rsidR="00757469" w:rsidRPr="00F32020" w14:paraId="1F96DA42" w14:textId="77777777" w:rsidTr="00E1138F">
        <w:trPr>
          <w:trHeight w:val="340"/>
        </w:trPr>
        <w:tc>
          <w:tcPr>
            <w:tcW w:w="5042" w:type="dxa"/>
            <w:noWrap/>
            <w:vAlign w:val="center"/>
            <w:hideMark/>
          </w:tcPr>
          <w:p w14:paraId="238CC12B" w14:textId="77777777" w:rsidR="00757469" w:rsidRPr="00F32020" w:rsidRDefault="00757469" w:rsidP="00EC7CDF">
            <w:r w:rsidRPr="00F32020">
              <w:t>Republic of Finland</w:t>
            </w:r>
          </w:p>
        </w:tc>
        <w:tc>
          <w:tcPr>
            <w:tcW w:w="1630" w:type="dxa"/>
            <w:noWrap/>
            <w:vAlign w:val="center"/>
            <w:hideMark/>
          </w:tcPr>
          <w:p w14:paraId="69DB4697" w14:textId="77777777" w:rsidR="00757469" w:rsidRPr="00F32020" w:rsidRDefault="00757469" w:rsidP="00EC7CDF">
            <w:pPr>
              <w:jc w:val="center"/>
            </w:pPr>
            <w:r w:rsidRPr="00F32020">
              <w:t>1</w:t>
            </w:r>
          </w:p>
        </w:tc>
        <w:tc>
          <w:tcPr>
            <w:tcW w:w="1241" w:type="dxa"/>
            <w:noWrap/>
            <w:vAlign w:val="center"/>
            <w:hideMark/>
          </w:tcPr>
          <w:p w14:paraId="1C3002FF" w14:textId="77777777" w:rsidR="00757469" w:rsidRPr="00F32020" w:rsidRDefault="00757469" w:rsidP="00EC7CDF">
            <w:pPr>
              <w:jc w:val="center"/>
            </w:pPr>
            <w:r w:rsidRPr="00F32020">
              <w:t>1</w:t>
            </w:r>
          </w:p>
        </w:tc>
        <w:tc>
          <w:tcPr>
            <w:tcW w:w="1636" w:type="dxa"/>
            <w:noWrap/>
            <w:vAlign w:val="center"/>
            <w:hideMark/>
          </w:tcPr>
          <w:p w14:paraId="78EFB8F0" w14:textId="77777777" w:rsidR="00757469" w:rsidRPr="00F32020" w:rsidRDefault="00757469" w:rsidP="00EC7CDF">
            <w:pPr>
              <w:jc w:val="center"/>
            </w:pPr>
            <w:r w:rsidRPr="00F32020">
              <w:t>100.00</w:t>
            </w:r>
          </w:p>
        </w:tc>
      </w:tr>
      <w:tr w:rsidR="00757469" w:rsidRPr="00F32020" w14:paraId="14B81DCD" w14:textId="77777777" w:rsidTr="00E1138F">
        <w:trPr>
          <w:trHeight w:val="340"/>
        </w:trPr>
        <w:tc>
          <w:tcPr>
            <w:tcW w:w="5042" w:type="dxa"/>
            <w:noWrap/>
            <w:vAlign w:val="center"/>
            <w:hideMark/>
          </w:tcPr>
          <w:p w14:paraId="793FCE3F" w14:textId="77777777" w:rsidR="00757469" w:rsidRPr="00F32020" w:rsidRDefault="00757469" w:rsidP="00EC7CDF">
            <w:r w:rsidRPr="00F32020">
              <w:t>Republic of the Gambia</w:t>
            </w:r>
          </w:p>
        </w:tc>
        <w:tc>
          <w:tcPr>
            <w:tcW w:w="1630" w:type="dxa"/>
            <w:noWrap/>
            <w:vAlign w:val="center"/>
            <w:hideMark/>
          </w:tcPr>
          <w:p w14:paraId="1FD8308A" w14:textId="77777777" w:rsidR="00757469" w:rsidRPr="00F32020" w:rsidRDefault="00757469" w:rsidP="00EC7CDF">
            <w:pPr>
              <w:jc w:val="center"/>
            </w:pPr>
            <w:r w:rsidRPr="00F32020">
              <w:t>1</w:t>
            </w:r>
          </w:p>
        </w:tc>
        <w:tc>
          <w:tcPr>
            <w:tcW w:w="1241" w:type="dxa"/>
            <w:noWrap/>
            <w:vAlign w:val="center"/>
            <w:hideMark/>
          </w:tcPr>
          <w:p w14:paraId="43CAD61B" w14:textId="77777777" w:rsidR="00757469" w:rsidRPr="00F32020" w:rsidRDefault="00757469" w:rsidP="00EC7CDF">
            <w:pPr>
              <w:jc w:val="center"/>
            </w:pPr>
            <w:r w:rsidRPr="00F32020">
              <w:t>0</w:t>
            </w:r>
          </w:p>
        </w:tc>
        <w:tc>
          <w:tcPr>
            <w:tcW w:w="1636" w:type="dxa"/>
            <w:noWrap/>
            <w:vAlign w:val="center"/>
            <w:hideMark/>
          </w:tcPr>
          <w:p w14:paraId="57849795" w14:textId="77777777" w:rsidR="00757469" w:rsidRPr="00F32020" w:rsidRDefault="00757469" w:rsidP="00EC7CDF">
            <w:pPr>
              <w:jc w:val="center"/>
            </w:pPr>
            <w:r w:rsidRPr="00F32020">
              <w:t>0.00</w:t>
            </w:r>
          </w:p>
        </w:tc>
      </w:tr>
      <w:tr w:rsidR="00757469" w:rsidRPr="00F32020" w14:paraId="5035747B" w14:textId="77777777" w:rsidTr="00E1138F">
        <w:trPr>
          <w:trHeight w:val="340"/>
        </w:trPr>
        <w:tc>
          <w:tcPr>
            <w:tcW w:w="5042" w:type="dxa"/>
            <w:noWrap/>
            <w:vAlign w:val="center"/>
            <w:hideMark/>
          </w:tcPr>
          <w:p w14:paraId="765BFFCF" w14:textId="77777777" w:rsidR="00757469" w:rsidRPr="00F32020" w:rsidRDefault="00757469" w:rsidP="00EC7CDF">
            <w:r w:rsidRPr="00F32020">
              <w:t>Georgia</w:t>
            </w:r>
          </w:p>
        </w:tc>
        <w:tc>
          <w:tcPr>
            <w:tcW w:w="1630" w:type="dxa"/>
            <w:noWrap/>
            <w:vAlign w:val="center"/>
            <w:hideMark/>
          </w:tcPr>
          <w:p w14:paraId="4271AD32" w14:textId="77777777" w:rsidR="00757469" w:rsidRPr="00F32020" w:rsidRDefault="00757469" w:rsidP="00EC7CDF">
            <w:pPr>
              <w:jc w:val="center"/>
            </w:pPr>
            <w:r w:rsidRPr="00F32020">
              <w:t>1</w:t>
            </w:r>
          </w:p>
        </w:tc>
        <w:tc>
          <w:tcPr>
            <w:tcW w:w="1241" w:type="dxa"/>
            <w:noWrap/>
            <w:vAlign w:val="center"/>
            <w:hideMark/>
          </w:tcPr>
          <w:p w14:paraId="1E0E40E4" w14:textId="77777777" w:rsidR="00757469" w:rsidRPr="00F32020" w:rsidRDefault="00757469" w:rsidP="00EC7CDF">
            <w:pPr>
              <w:jc w:val="center"/>
            </w:pPr>
            <w:r w:rsidRPr="00F32020">
              <w:t>0</w:t>
            </w:r>
          </w:p>
        </w:tc>
        <w:tc>
          <w:tcPr>
            <w:tcW w:w="1636" w:type="dxa"/>
            <w:noWrap/>
            <w:vAlign w:val="center"/>
            <w:hideMark/>
          </w:tcPr>
          <w:p w14:paraId="23DC299F" w14:textId="77777777" w:rsidR="00757469" w:rsidRPr="00F32020" w:rsidRDefault="00757469" w:rsidP="00EC7CDF">
            <w:pPr>
              <w:jc w:val="center"/>
            </w:pPr>
            <w:r w:rsidRPr="00F32020">
              <w:t>0.00</w:t>
            </w:r>
          </w:p>
        </w:tc>
      </w:tr>
      <w:tr w:rsidR="00757469" w:rsidRPr="00F32020" w14:paraId="04B4B531" w14:textId="77777777" w:rsidTr="00E1138F">
        <w:trPr>
          <w:trHeight w:val="340"/>
        </w:trPr>
        <w:tc>
          <w:tcPr>
            <w:tcW w:w="5042" w:type="dxa"/>
            <w:noWrap/>
            <w:vAlign w:val="center"/>
            <w:hideMark/>
          </w:tcPr>
          <w:p w14:paraId="2DC2639C" w14:textId="77777777" w:rsidR="00757469" w:rsidRPr="00F32020" w:rsidRDefault="00757469" w:rsidP="00EC7CDF">
            <w:r w:rsidRPr="00F32020">
              <w:t>Republic of Iraq</w:t>
            </w:r>
          </w:p>
        </w:tc>
        <w:tc>
          <w:tcPr>
            <w:tcW w:w="1630" w:type="dxa"/>
            <w:noWrap/>
            <w:vAlign w:val="center"/>
            <w:hideMark/>
          </w:tcPr>
          <w:p w14:paraId="157411BF" w14:textId="77777777" w:rsidR="00757469" w:rsidRPr="00F32020" w:rsidRDefault="00757469" w:rsidP="00EC7CDF">
            <w:pPr>
              <w:jc w:val="center"/>
            </w:pPr>
            <w:r w:rsidRPr="00F32020">
              <w:t>1</w:t>
            </w:r>
          </w:p>
        </w:tc>
        <w:tc>
          <w:tcPr>
            <w:tcW w:w="1241" w:type="dxa"/>
            <w:noWrap/>
            <w:vAlign w:val="center"/>
            <w:hideMark/>
          </w:tcPr>
          <w:p w14:paraId="20D97719" w14:textId="77777777" w:rsidR="00757469" w:rsidRPr="00F32020" w:rsidRDefault="00757469" w:rsidP="00EC7CDF">
            <w:pPr>
              <w:jc w:val="center"/>
            </w:pPr>
            <w:r w:rsidRPr="00F32020">
              <w:t>0</w:t>
            </w:r>
          </w:p>
        </w:tc>
        <w:tc>
          <w:tcPr>
            <w:tcW w:w="1636" w:type="dxa"/>
            <w:noWrap/>
            <w:vAlign w:val="center"/>
            <w:hideMark/>
          </w:tcPr>
          <w:p w14:paraId="51BAC216" w14:textId="77777777" w:rsidR="00757469" w:rsidRPr="00F32020" w:rsidRDefault="00757469" w:rsidP="00EC7CDF">
            <w:pPr>
              <w:jc w:val="center"/>
            </w:pPr>
            <w:r w:rsidRPr="00F32020">
              <w:t>0.00</w:t>
            </w:r>
          </w:p>
        </w:tc>
      </w:tr>
      <w:tr w:rsidR="00757469" w:rsidRPr="00F32020" w14:paraId="2F92D588" w14:textId="77777777" w:rsidTr="00E1138F">
        <w:trPr>
          <w:trHeight w:val="340"/>
        </w:trPr>
        <w:tc>
          <w:tcPr>
            <w:tcW w:w="5042" w:type="dxa"/>
            <w:noWrap/>
            <w:vAlign w:val="center"/>
            <w:hideMark/>
          </w:tcPr>
          <w:p w14:paraId="2397BB32" w14:textId="77777777" w:rsidR="00757469" w:rsidRPr="00F32020" w:rsidRDefault="00757469" w:rsidP="00EC7CDF">
            <w:r w:rsidRPr="00F32020">
              <w:t>Republic of Kiribati</w:t>
            </w:r>
          </w:p>
        </w:tc>
        <w:tc>
          <w:tcPr>
            <w:tcW w:w="1630" w:type="dxa"/>
            <w:noWrap/>
            <w:vAlign w:val="center"/>
            <w:hideMark/>
          </w:tcPr>
          <w:p w14:paraId="0EF52EF4" w14:textId="77777777" w:rsidR="00757469" w:rsidRPr="00F32020" w:rsidRDefault="00757469" w:rsidP="00EC7CDF">
            <w:pPr>
              <w:jc w:val="center"/>
            </w:pPr>
            <w:r w:rsidRPr="00F32020">
              <w:t>1</w:t>
            </w:r>
          </w:p>
        </w:tc>
        <w:tc>
          <w:tcPr>
            <w:tcW w:w="1241" w:type="dxa"/>
            <w:noWrap/>
            <w:vAlign w:val="center"/>
            <w:hideMark/>
          </w:tcPr>
          <w:p w14:paraId="6F170C8C" w14:textId="77777777" w:rsidR="00757469" w:rsidRPr="00F32020" w:rsidRDefault="00757469" w:rsidP="00EC7CDF">
            <w:pPr>
              <w:jc w:val="center"/>
            </w:pPr>
            <w:r w:rsidRPr="00F32020">
              <w:t>1</w:t>
            </w:r>
          </w:p>
        </w:tc>
        <w:tc>
          <w:tcPr>
            <w:tcW w:w="1636" w:type="dxa"/>
            <w:noWrap/>
            <w:vAlign w:val="center"/>
            <w:hideMark/>
          </w:tcPr>
          <w:p w14:paraId="624942C1" w14:textId="77777777" w:rsidR="00757469" w:rsidRPr="00F32020" w:rsidRDefault="00757469" w:rsidP="00EC7CDF">
            <w:pPr>
              <w:jc w:val="center"/>
            </w:pPr>
            <w:r w:rsidRPr="00F32020">
              <w:t>100.00</w:t>
            </w:r>
          </w:p>
        </w:tc>
      </w:tr>
      <w:tr w:rsidR="00757469" w:rsidRPr="00F32020" w14:paraId="0C121EF4" w14:textId="77777777" w:rsidTr="00E1138F">
        <w:trPr>
          <w:trHeight w:val="340"/>
        </w:trPr>
        <w:tc>
          <w:tcPr>
            <w:tcW w:w="5042" w:type="dxa"/>
            <w:noWrap/>
            <w:vAlign w:val="center"/>
            <w:hideMark/>
          </w:tcPr>
          <w:p w14:paraId="2F16A011" w14:textId="77777777" w:rsidR="00757469" w:rsidRPr="00F32020" w:rsidRDefault="00757469" w:rsidP="00EC7CDF">
            <w:r w:rsidRPr="00F32020">
              <w:t>State of Kuwait</w:t>
            </w:r>
          </w:p>
        </w:tc>
        <w:tc>
          <w:tcPr>
            <w:tcW w:w="1630" w:type="dxa"/>
            <w:noWrap/>
            <w:vAlign w:val="center"/>
            <w:hideMark/>
          </w:tcPr>
          <w:p w14:paraId="120787F7" w14:textId="77777777" w:rsidR="00757469" w:rsidRPr="00F32020" w:rsidRDefault="00757469" w:rsidP="00EC7CDF">
            <w:pPr>
              <w:jc w:val="center"/>
            </w:pPr>
            <w:r w:rsidRPr="00F32020">
              <w:t>1</w:t>
            </w:r>
          </w:p>
        </w:tc>
        <w:tc>
          <w:tcPr>
            <w:tcW w:w="1241" w:type="dxa"/>
            <w:noWrap/>
            <w:vAlign w:val="center"/>
            <w:hideMark/>
          </w:tcPr>
          <w:p w14:paraId="45F7D5C3" w14:textId="77777777" w:rsidR="00757469" w:rsidRPr="00F32020" w:rsidRDefault="00757469" w:rsidP="00EC7CDF">
            <w:pPr>
              <w:jc w:val="center"/>
            </w:pPr>
            <w:r w:rsidRPr="00F32020">
              <w:t>0</w:t>
            </w:r>
          </w:p>
        </w:tc>
        <w:tc>
          <w:tcPr>
            <w:tcW w:w="1636" w:type="dxa"/>
            <w:noWrap/>
            <w:vAlign w:val="center"/>
            <w:hideMark/>
          </w:tcPr>
          <w:p w14:paraId="4FD07B2C" w14:textId="77777777" w:rsidR="00757469" w:rsidRPr="00F32020" w:rsidRDefault="00757469" w:rsidP="00EC7CDF">
            <w:pPr>
              <w:jc w:val="center"/>
            </w:pPr>
            <w:r w:rsidRPr="00F32020">
              <w:t>0.00</w:t>
            </w:r>
          </w:p>
        </w:tc>
      </w:tr>
      <w:tr w:rsidR="00757469" w:rsidRPr="00F32020" w14:paraId="2AACC3AF" w14:textId="77777777" w:rsidTr="00E1138F">
        <w:trPr>
          <w:trHeight w:val="340"/>
        </w:trPr>
        <w:tc>
          <w:tcPr>
            <w:tcW w:w="5042" w:type="dxa"/>
            <w:noWrap/>
            <w:vAlign w:val="center"/>
            <w:hideMark/>
          </w:tcPr>
          <w:p w14:paraId="2E3A338F" w14:textId="77777777" w:rsidR="00757469" w:rsidRPr="00F32020" w:rsidRDefault="00757469" w:rsidP="00EC7CDF">
            <w:r w:rsidRPr="00F32020">
              <w:t>Republic of Latvia</w:t>
            </w:r>
          </w:p>
        </w:tc>
        <w:tc>
          <w:tcPr>
            <w:tcW w:w="1630" w:type="dxa"/>
            <w:noWrap/>
            <w:vAlign w:val="center"/>
            <w:hideMark/>
          </w:tcPr>
          <w:p w14:paraId="09D8C247" w14:textId="77777777" w:rsidR="00757469" w:rsidRPr="00F32020" w:rsidRDefault="00757469" w:rsidP="00EC7CDF">
            <w:pPr>
              <w:jc w:val="center"/>
            </w:pPr>
            <w:r w:rsidRPr="00F32020">
              <w:t>1</w:t>
            </w:r>
          </w:p>
        </w:tc>
        <w:tc>
          <w:tcPr>
            <w:tcW w:w="1241" w:type="dxa"/>
            <w:noWrap/>
            <w:vAlign w:val="center"/>
            <w:hideMark/>
          </w:tcPr>
          <w:p w14:paraId="5BA1E2A7" w14:textId="77777777" w:rsidR="00757469" w:rsidRPr="00F32020" w:rsidRDefault="00757469" w:rsidP="00EC7CDF">
            <w:pPr>
              <w:jc w:val="center"/>
            </w:pPr>
            <w:r w:rsidRPr="00F32020">
              <w:t>0</w:t>
            </w:r>
          </w:p>
        </w:tc>
        <w:tc>
          <w:tcPr>
            <w:tcW w:w="1636" w:type="dxa"/>
            <w:noWrap/>
            <w:vAlign w:val="center"/>
            <w:hideMark/>
          </w:tcPr>
          <w:p w14:paraId="6C80F7BB" w14:textId="77777777" w:rsidR="00757469" w:rsidRPr="00F32020" w:rsidRDefault="00757469" w:rsidP="00EC7CDF">
            <w:pPr>
              <w:jc w:val="center"/>
            </w:pPr>
            <w:r w:rsidRPr="00F32020">
              <w:t>0.00</w:t>
            </w:r>
          </w:p>
        </w:tc>
      </w:tr>
      <w:tr w:rsidR="00757469" w:rsidRPr="00F32020" w14:paraId="0A203099" w14:textId="77777777" w:rsidTr="00E1138F">
        <w:trPr>
          <w:trHeight w:val="340"/>
        </w:trPr>
        <w:tc>
          <w:tcPr>
            <w:tcW w:w="5042" w:type="dxa"/>
            <w:noWrap/>
            <w:vAlign w:val="center"/>
            <w:hideMark/>
          </w:tcPr>
          <w:p w14:paraId="40DBE911" w14:textId="77777777" w:rsidR="00757469" w:rsidRPr="00F32020" w:rsidRDefault="00757469" w:rsidP="00EC7CDF">
            <w:r w:rsidRPr="00F32020">
              <w:t>Kingdom of Lesotho</w:t>
            </w:r>
          </w:p>
        </w:tc>
        <w:tc>
          <w:tcPr>
            <w:tcW w:w="1630" w:type="dxa"/>
            <w:noWrap/>
            <w:vAlign w:val="center"/>
            <w:hideMark/>
          </w:tcPr>
          <w:p w14:paraId="4F88F882" w14:textId="77777777" w:rsidR="00757469" w:rsidRPr="00F32020" w:rsidRDefault="00757469" w:rsidP="00EC7CDF">
            <w:pPr>
              <w:jc w:val="center"/>
            </w:pPr>
            <w:r w:rsidRPr="00F32020">
              <w:t>1</w:t>
            </w:r>
          </w:p>
        </w:tc>
        <w:tc>
          <w:tcPr>
            <w:tcW w:w="1241" w:type="dxa"/>
            <w:noWrap/>
            <w:vAlign w:val="center"/>
            <w:hideMark/>
          </w:tcPr>
          <w:p w14:paraId="54B26A11" w14:textId="77777777" w:rsidR="00757469" w:rsidRPr="00F32020" w:rsidRDefault="00757469" w:rsidP="00EC7CDF">
            <w:pPr>
              <w:jc w:val="center"/>
            </w:pPr>
            <w:r w:rsidRPr="00F32020">
              <w:t>0</w:t>
            </w:r>
          </w:p>
        </w:tc>
        <w:tc>
          <w:tcPr>
            <w:tcW w:w="1636" w:type="dxa"/>
            <w:noWrap/>
            <w:vAlign w:val="center"/>
            <w:hideMark/>
          </w:tcPr>
          <w:p w14:paraId="5B9BFC05" w14:textId="77777777" w:rsidR="00757469" w:rsidRPr="00F32020" w:rsidRDefault="00757469" w:rsidP="00EC7CDF">
            <w:pPr>
              <w:jc w:val="center"/>
            </w:pPr>
            <w:r w:rsidRPr="00F32020">
              <w:t>0.00</w:t>
            </w:r>
          </w:p>
        </w:tc>
      </w:tr>
      <w:tr w:rsidR="00757469" w:rsidRPr="00F32020" w14:paraId="634859F3" w14:textId="77777777" w:rsidTr="00E1138F">
        <w:trPr>
          <w:trHeight w:val="340"/>
        </w:trPr>
        <w:tc>
          <w:tcPr>
            <w:tcW w:w="5042" w:type="dxa"/>
            <w:noWrap/>
            <w:vAlign w:val="center"/>
            <w:hideMark/>
          </w:tcPr>
          <w:p w14:paraId="0FF51CD3" w14:textId="77777777" w:rsidR="00757469" w:rsidRPr="00F32020" w:rsidRDefault="00757469" w:rsidP="00EC7CDF">
            <w:r w:rsidRPr="00F32020">
              <w:t>Republic of Madagascar</w:t>
            </w:r>
          </w:p>
        </w:tc>
        <w:tc>
          <w:tcPr>
            <w:tcW w:w="1630" w:type="dxa"/>
            <w:noWrap/>
            <w:vAlign w:val="center"/>
            <w:hideMark/>
          </w:tcPr>
          <w:p w14:paraId="495F89D1" w14:textId="77777777" w:rsidR="00757469" w:rsidRPr="00F32020" w:rsidRDefault="00757469" w:rsidP="00EC7CDF">
            <w:pPr>
              <w:jc w:val="center"/>
            </w:pPr>
            <w:r w:rsidRPr="00F32020">
              <w:t>1</w:t>
            </w:r>
          </w:p>
        </w:tc>
        <w:tc>
          <w:tcPr>
            <w:tcW w:w="1241" w:type="dxa"/>
            <w:noWrap/>
            <w:vAlign w:val="center"/>
            <w:hideMark/>
          </w:tcPr>
          <w:p w14:paraId="7136F57C" w14:textId="77777777" w:rsidR="00757469" w:rsidRPr="00F32020" w:rsidRDefault="00757469" w:rsidP="00EC7CDF">
            <w:pPr>
              <w:jc w:val="center"/>
            </w:pPr>
            <w:r w:rsidRPr="00F32020">
              <w:t>0</w:t>
            </w:r>
          </w:p>
        </w:tc>
        <w:tc>
          <w:tcPr>
            <w:tcW w:w="1636" w:type="dxa"/>
            <w:noWrap/>
            <w:vAlign w:val="center"/>
            <w:hideMark/>
          </w:tcPr>
          <w:p w14:paraId="647478BA" w14:textId="77777777" w:rsidR="00757469" w:rsidRPr="00F32020" w:rsidRDefault="00757469" w:rsidP="00EC7CDF">
            <w:pPr>
              <w:jc w:val="center"/>
            </w:pPr>
            <w:r w:rsidRPr="00F32020">
              <w:t>0.00</w:t>
            </w:r>
          </w:p>
        </w:tc>
      </w:tr>
      <w:tr w:rsidR="00757469" w:rsidRPr="00F32020" w14:paraId="1F003A8C" w14:textId="77777777" w:rsidTr="00E1138F">
        <w:trPr>
          <w:trHeight w:val="340"/>
        </w:trPr>
        <w:tc>
          <w:tcPr>
            <w:tcW w:w="5042" w:type="dxa"/>
            <w:noWrap/>
            <w:vAlign w:val="center"/>
            <w:hideMark/>
          </w:tcPr>
          <w:p w14:paraId="69AFAC12" w14:textId="77777777" w:rsidR="00757469" w:rsidRPr="00F32020" w:rsidRDefault="00757469" w:rsidP="00EC7CDF">
            <w:r w:rsidRPr="00F32020">
              <w:t xml:space="preserve">Federated States of Micronesia </w:t>
            </w:r>
          </w:p>
        </w:tc>
        <w:tc>
          <w:tcPr>
            <w:tcW w:w="1630" w:type="dxa"/>
            <w:noWrap/>
            <w:vAlign w:val="center"/>
            <w:hideMark/>
          </w:tcPr>
          <w:p w14:paraId="136924DB" w14:textId="77777777" w:rsidR="00757469" w:rsidRPr="00F32020" w:rsidRDefault="00757469" w:rsidP="00EC7CDF">
            <w:pPr>
              <w:jc w:val="center"/>
            </w:pPr>
            <w:r w:rsidRPr="00F32020">
              <w:t>1</w:t>
            </w:r>
          </w:p>
        </w:tc>
        <w:tc>
          <w:tcPr>
            <w:tcW w:w="1241" w:type="dxa"/>
            <w:noWrap/>
            <w:vAlign w:val="center"/>
            <w:hideMark/>
          </w:tcPr>
          <w:p w14:paraId="43B791C4" w14:textId="77777777" w:rsidR="00757469" w:rsidRPr="00F32020" w:rsidRDefault="00757469" w:rsidP="00EC7CDF">
            <w:pPr>
              <w:jc w:val="center"/>
            </w:pPr>
            <w:r w:rsidRPr="00F32020">
              <w:t>0</w:t>
            </w:r>
          </w:p>
        </w:tc>
        <w:tc>
          <w:tcPr>
            <w:tcW w:w="1636" w:type="dxa"/>
            <w:noWrap/>
            <w:vAlign w:val="center"/>
            <w:hideMark/>
          </w:tcPr>
          <w:p w14:paraId="745FEC7C" w14:textId="77777777" w:rsidR="00757469" w:rsidRPr="00F32020" w:rsidRDefault="00757469" w:rsidP="00EC7CDF">
            <w:pPr>
              <w:jc w:val="center"/>
            </w:pPr>
            <w:r w:rsidRPr="00F32020">
              <w:t>0.00</w:t>
            </w:r>
          </w:p>
        </w:tc>
      </w:tr>
      <w:tr w:rsidR="00757469" w:rsidRPr="00F32020" w14:paraId="14C8FC9B" w14:textId="77777777" w:rsidTr="00E1138F">
        <w:trPr>
          <w:trHeight w:val="340"/>
        </w:trPr>
        <w:tc>
          <w:tcPr>
            <w:tcW w:w="5042" w:type="dxa"/>
            <w:noWrap/>
            <w:vAlign w:val="center"/>
            <w:hideMark/>
          </w:tcPr>
          <w:p w14:paraId="66D2DD1B" w14:textId="77777777" w:rsidR="00757469" w:rsidRPr="00F32020" w:rsidRDefault="00757469" w:rsidP="00EC7CDF">
            <w:r w:rsidRPr="00F32020">
              <w:t>Republic of Myanmar</w:t>
            </w:r>
          </w:p>
        </w:tc>
        <w:tc>
          <w:tcPr>
            <w:tcW w:w="1630" w:type="dxa"/>
            <w:noWrap/>
            <w:vAlign w:val="center"/>
            <w:hideMark/>
          </w:tcPr>
          <w:p w14:paraId="42794341" w14:textId="77777777" w:rsidR="00757469" w:rsidRPr="00F32020" w:rsidRDefault="00757469" w:rsidP="00EC7CDF">
            <w:pPr>
              <w:jc w:val="center"/>
            </w:pPr>
            <w:r w:rsidRPr="00F32020">
              <w:t>1</w:t>
            </w:r>
          </w:p>
        </w:tc>
        <w:tc>
          <w:tcPr>
            <w:tcW w:w="1241" w:type="dxa"/>
            <w:noWrap/>
            <w:vAlign w:val="center"/>
            <w:hideMark/>
          </w:tcPr>
          <w:p w14:paraId="4115E46A" w14:textId="77777777" w:rsidR="00757469" w:rsidRPr="00F32020" w:rsidRDefault="00757469" w:rsidP="00EC7CDF">
            <w:pPr>
              <w:jc w:val="center"/>
            </w:pPr>
            <w:r w:rsidRPr="00F32020">
              <w:t>0</w:t>
            </w:r>
          </w:p>
        </w:tc>
        <w:tc>
          <w:tcPr>
            <w:tcW w:w="1636" w:type="dxa"/>
            <w:noWrap/>
            <w:vAlign w:val="center"/>
            <w:hideMark/>
          </w:tcPr>
          <w:p w14:paraId="7FE87B23" w14:textId="77777777" w:rsidR="00757469" w:rsidRPr="00F32020" w:rsidRDefault="00757469" w:rsidP="00EC7CDF">
            <w:pPr>
              <w:jc w:val="center"/>
            </w:pPr>
            <w:r w:rsidRPr="00F32020">
              <w:t>0.00</w:t>
            </w:r>
          </w:p>
        </w:tc>
      </w:tr>
      <w:tr w:rsidR="00757469" w:rsidRPr="00F32020" w14:paraId="5C4BB060" w14:textId="77777777" w:rsidTr="00E1138F">
        <w:trPr>
          <w:trHeight w:val="340"/>
        </w:trPr>
        <w:tc>
          <w:tcPr>
            <w:tcW w:w="5042" w:type="dxa"/>
            <w:noWrap/>
            <w:vAlign w:val="center"/>
            <w:hideMark/>
          </w:tcPr>
          <w:p w14:paraId="7D8F88C4" w14:textId="77777777" w:rsidR="00757469" w:rsidRPr="00F32020" w:rsidRDefault="00757469" w:rsidP="00EC7CDF">
            <w:r w:rsidRPr="00F32020">
              <w:t>Republic of Palau</w:t>
            </w:r>
          </w:p>
        </w:tc>
        <w:tc>
          <w:tcPr>
            <w:tcW w:w="1630" w:type="dxa"/>
            <w:noWrap/>
            <w:vAlign w:val="center"/>
            <w:hideMark/>
          </w:tcPr>
          <w:p w14:paraId="067ECBD4" w14:textId="77777777" w:rsidR="00757469" w:rsidRPr="00F32020" w:rsidRDefault="00757469" w:rsidP="00EC7CDF">
            <w:pPr>
              <w:jc w:val="center"/>
            </w:pPr>
            <w:r w:rsidRPr="00F32020">
              <w:t>1</w:t>
            </w:r>
          </w:p>
        </w:tc>
        <w:tc>
          <w:tcPr>
            <w:tcW w:w="1241" w:type="dxa"/>
            <w:noWrap/>
            <w:vAlign w:val="center"/>
            <w:hideMark/>
          </w:tcPr>
          <w:p w14:paraId="495E4AF9" w14:textId="77777777" w:rsidR="00757469" w:rsidRPr="00F32020" w:rsidRDefault="00757469" w:rsidP="00EC7CDF">
            <w:pPr>
              <w:jc w:val="center"/>
            </w:pPr>
            <w:r w:rsidRPr="00F32020">
              <w:t>0</w:t>
            </w:r>
          </w:p>
        </w:tc>
        <w:tc>
          <w:tcPr>
            <w:tcW w:w="1636" w:type="dxa"/>
            <w:noWrap/>
            <w:vAlign w:val="center"/>
            <w:hideMark/>
          </w:tcPr>
          <w:p w14:paraId="416F0CD2" w14:textId="77777777" w:rsidR="00757469" w:rsidRPr="00F32020" w:rsidRDefault="00757469" w:rsidP="00EC7CDF">
            <w:pPr>
              <w:jc w:val="center"/>
            </w:pPr>
            <w:r w:rsidRPr="00F32020">
              <w:t>0.00</w:t>
            </w:r>
          </w:p>
        </w:tc>
      </w:tr>
      <w:tr w:rsidR="00757469" w:rsidRPr="00F32020" w14:paraId="1AB63CC0" w14:textId="77777777" w:rsidTr="00E1138F">
        <w:trPr>
          <w:trHeight w:val="340"/>
        </w:trPr>
        <w:tc>
          <w:tcPr>
            <w:tcW w:w="5042" w:type="dxa"/>
            <w:noWrap/>
            <w:vAlign w:val="center"/>
            <w:hideMark/>
          </w:tcPr>
          <w:p w14:paraId="5EBA35C7" w14:textId="77777777" w:rsidR="00757469" w:rsidRPr="00F32020" w:rsidRDefault="00757469" w:rsidP="00EC7CDF">
            <w:r w:rsidRPr="00F32020">
              <w:t>Republic of Paraguay</w:t>
            </w:r>
          </w:p>
        </w:tc>
        <w:tc>
          <w:tcPr>
            <w:tcW w:w="1630" w:type="dxa"/>
            <w:noWrap/>
            <w:vAlign w:val="center"/>
            <w:hideMark/>
          </w:tcPr>
          <w:p w14:paraId="28AE0A81" w14:textId="77777777" w:rsidR="00757469" w:rsidRPr="00F32020" w:rsidRDefault="00757469" w:rsidP="00EC7CDF">
            <w:pPr>
              <w:jc w:val="center"/>
            </w:pPr>
            <w:r w:rsidRPr="00F32020">
              <w:t>1</w:t>
            </w:r>
          </w:p>
        </w:tc>
        <w:tc>
          <w:tcPr>
            <w:tcW w:w="1241" w:type="dxa"/>
            <w:noWrap/>
            <w:vAlign w:val="center"/>
            <w:hideMark/>
          </w:tcPr>
          <w:p w14:paraId="37D5D054" w14:textId="77777777" w:rsidR="00757469" w:rsidRPr="00F32020" w:rsidRDefault="00757469" w:rsidP="00EC7CDF">
            <w:pPr>
              <w:jc w:val="center"/>
            </w:pPr>
            <w:r w:rsidRPr="00F32020">
              <w:t>0</w:t>
            </w:r>
          </w:p>
        </w:tc>
        <w:tc>
          <w:tcPr>
            <w:tcW w:w="1636" w:type="dxa"/>
            <w:noWrap/>
            <w:vAlign w:val="center"/>
            <w:hideMark/>
          </w:tcPr>
          <w:p w14:paraId="20A5FBB6" w14:textId="77777777" w:rsidR="00757469" w:rsidRPr="00F32020" w:rsidRDefault="00757469" w:rsidP="00EC7CDF">
            <w:pPr>
              <w:jc w:val="center"/>
            </w:pPr>
            <w:r w:rsidRPr="00F32020">
              <w:t>0.00</w:t>
            </w:r>
          </w:p>
        </w:tc>
      </w:tr>
      <w:tr w:rsidR="00757469" w:rsidRPr="00F32020" w14:paraId="2096576E" w14:textId="77777777" w:rsidTr="00E1138F">
        <w:trPr>
          <w:trHeight w:val="340"/>
        </w:trPr>
        <w:tc>
          <w:tcPr>
            <w:tcW w:w="5042" w:type="dxa"/>
            <w:noWrap/>
            <w:vAlign w:val="center"/>
            <w:hideMark/>
          </w:tcPr>
          <w:p w14:paraId="5C455E1A" w14:textId="77777777" w:rsidR="00757469" w:rsidRPr="00F32020" w:rsidRDefault="00757469" w:rsidP="00EC7CDF">
            <w:r w:rsidRPr="00F32020">
              <w:t>Puerto Rico</w:t>
            </w:r>
          </w:p>
        </w:tc>
        <w:tc>
          <w:tcPr>
            <w:tcW w:w="1630" w:type="dxa"/>
            <w:noWrap/>
            <w:vAlign w:val="center"/>
            <w:hideMark/>
          </w:tcPr>
          <w:p w14:paraId="6C37E8CE" w14:textId="77777777" w:rsidR="00757469" w:rsidRPr="00F32020" w:rsidRDefault="00757469" w:rsidP="00EC7CDF">
            <w:pPr>
              <w:jc w:val="center"/>
            </w:pPr>
            <w:r w:rsidRPr="00F32020">
              <w:t>1</w:t>
            </w:r>
          </w:p>
        </w:tc>
        <w:tc>
          <w:tcPr>
            <w:tcW w:w="1241" w:type="dxa"/>
            <w:noWrap/>
            <w:vAlign w:val="center"/>
            <w:hideMark/>
          </w:tcPr>
          <w:p w14:paraId="37EB0D1D" w14:textId="77777777" w:rsidR="00757469" w:rsidRPr="00F32020" w:rsidRDefault="00757469" w:rsidP="00EC7CDF">
            <w:pPr>
              <w:jc w:val="center"/>
            </w:pPr>
            <w:r w:rsidRPr="00F32020">
              <w:t>0</w:t>
            </w:r>
          </w:p>
        </w:tc>
        <w:tc>
          <w:tcPr>
            <w:tcW w:w="1636" w:type="dxa"/>
            <w:noWrap/>
            <w:vAlign w:val="center"/>
            <w:hideMark/>
          </w:tcPr>
          <w:p w14:paraId="4F62E920" w14:textId="77777777" w:rsidR="00757469" w:rsidRPr="00F32020" w:rsidRDefault="00757469" w:rsidP="00EC7CDF">
            <w:pPr>
              <w:jc w:val="center"/>
            </w:pPr>
            <w:r w:rsidRPr="00F32020">
              <w:t>0.00</w:t>
            </w:r>
          </w:p>
        </w:tc>
      </w:tr>
      <w:tr w:rsidR="00757469" w:rsidRPr="00F32020" w14:paraId="282B7FFD" w14:textId="77777777" w:rsidTr="000C3961">
        <w:trPr>
          <w:trHeight w:val="340"/>
        </w:trPr>
        <w:tc>
          <w:tcPr>
            <w:tcW w:w="5042" w:type="dxa"/>
            <w:tcBorders>
              <w:bottom w:val="single" w:sz="4" w:space="0" w:color="auto"/>
            </w:tcBorders>
            <w:noWrap/>
            <w:vAlign w:val="center"/>
            <w:hideMark/>
          </w:tcPr>
          <w:p w14:paraId="42A4D287" w14:textId="77777777" w:rsidR="00757469" w:rsidRPr="00F32020" w:rsidRDefault="00757469" w:rsidP="00EC7CDF">
            <w:r w:rsidRPr="00F32020">
              <w:t>Republic of Serbia</w:t>
            </w:r>
          </w:p>
        </w:tc>
        <w:tc>
          <w:tcPr>
            <w:tcW w:w="1630" w:type="dxa"/>
            <w:tcBorders>
              <w:bottom w:val="single" w:sz="4" w:space="0" w:color="auto"/>
            </w:tcBorders>
            <w:noWrap/>
            <w:vAlign w:val="center"/>
            <w:hideMark/>
          </w:tcPr>
          <w:p w14:paraId="482D6E64" w14:textId="77777777" w:rsidR="00757469" w:rsidRPr="00F32020" w:rsidRDefault="00757469" w:rsidP="00EC7CDF">
            <w:pPr>
              <w:jc w:val="center"/>
            </w:pPr>
            <w:r w:rsidRPr="00F32020">
              <w:t>1</w:t>
            </w:r>
          </w:p>
        </w:tc>
        <w:tc>
          <w:tcPr>
            <w:tcW w:w="1241" w:type="dxa"/>
            <w:tcBorders>
              <w:bottom w:val="single" w:sz="4" w:space="0" w:color="auto"/>
            </w:tcBorders>
            <w:noWrap/>
            <w:vAlign w:val="center"/>
            <w:hideMark/>
          </w:tcPr>
          <w:p w14:paraId="11F0DB02" w14:textId="77777777" w:rsidR="00757469" w:rsidRPr="00F32020" w:rsidRDefault="00757469" w:rsidP="00EC7CDF">
            <w:pPr>
              <w:jc w:val="center"/>
            </w:pPr>
            <w:r w:rsidRPr="00F32020">
              <w:t>0</w:t>
            </w:r>
          </w:p>
        </w:tc>
        <w:tc>
          <w:tcPr>
            <w:tcW w:w="1636" w:type="dxa"/>
            <w:tcBorders>
              <w:bottom w:val="single" w:sz="4" w:space="0" w:color="auto"/>
            </w:tcBorders>
            <w:noWrap/>
            <w:vAlign w:val="center"/>
            <w:hideMark/>
          </w:tcPr>
          <w:p w14:paraId="600E85AF" w14:textId="77777777" w:rsidR="00757469" w:rsidRPr="00F32020" w:rsidRDefault="00757469" w:rsidP="00EC7CDF">
            <w:pPr>
              <w:jc w:val="center"/>
            </w:pPr>
            <w:r w:rsidRPr="00F32020">
              <w:t>0.00</w:t>
            </w:r>
          </w:p>
        </w:tc>
      </w:tr>
    </w:tbl>
    <w:p w14:paraId="27D9D897" w14:textId="77777777" w:rsidR="00757469" w:rsidRPr="00F32020" w:rsidRDefault="00757469" w:rsidP="00757469">
      <w:pPr>
        <w:spacing w:line="360" w:lineRule="auto"/>
        <w:jc w:val="both"/>
        <w:rPr>
          <w:b/>
          <w:bCs/>
          <w:highlight w:val="yellow"/>
        </w:rPr>
      </w:pPr>
    </w:p>
    <w:p w14:paraId="6B56DDDD" w14:textId="77777777" w:rsidR="00757469" w:rsidRPr="00F32020" w:rsidRDefault="00757469" w:rsidP="00757469">
      <w:pPr>
        <w:spacing w:line="360" w:lineRule="auto"/>
        <w:jc w:val="both"/>
        <w:rPr>
          <w:b/>
          <w:bCs/>
          <w:highlight w:val="yellow"/>
        </w:rPr>
        <w:sectPr w:rsidR="00757469" w:rsidRPr="00F32020" w:rsidSect="00582554">
          <w:headerReference w:type="even" r:id="rId103"/>
          <w:headerReference w:type="default" r:id="rId104"/>
          <w:footerReference w:type="even" r:id="rId105"/>
          <w:footerReference w:type="default" r:id="rId106"/>
          <w:headerReference w:type="first" r:id="rId107"/>
          <w:footerReference w:type="first" r:id="rId108"/>
          <w:pgSz w:w="11900" w:h="16840"/>
          <w:pgMar w:top="1440" w:right="1440" w:bottom="1440" w:left="1440" w:header="708" w:footer="708" w:gutter="0"/>
          <w:cols w:space="708"/>
          <w:docGrid w:linePitch="360"/>
        </w:sectPr>
      </w:pPr>
    </w:p>
    <w:p w14:paraId="7E8A4C49" w14:textId="77777777" w:rsidR="00757469" w:rsidRPr="00F32020" w:rsidRDefault="00757469" w:rsidP="00757469">
      <w:pPr>
        <w:spacing w:line="360" w:lineRule="auto"/>
        <w:jc w:val="both"/>
        <w:rPr>
          <w:b/>
          <w:bCs/>
        </w:rPr>
      </w:pPr>
      <w:r w:rsidRPr="00F32020">
        <w:rPr>
          <w:b/>
          <w:bCs/>
        </w:rPr>
        <w:lastRenderedPageBreak/>
        <w:t>Panel B. Geographical region of accelerators’ programmes</w:t>
      </w:r>
    </w:p>
    <w:p w14:paraId="1A9D8708" w14:textId="77777777" w:rsidR="00757469" w:rsidRPr="00F32020" w:rsidRDefault="00757469" w:rsidP="00757469">
      <w:pPr>
        <w:spacing w:line="360" w:lineRule="auto"/>
        <w:jc w:val="both"/>
      </w:pPr>
      <w:r w:rsidRPr="00F32020">
        <w:rPr>
          <w:b/>
          <w:bCs/>
        </w:rPr>
        <w:t>NB.</w:t>
      </w:r>
      <w:r w:rsidRPr="00F32020">
        <w:t xml:space="preserve"> Data based on baseline model sub-sample. For some observations, we do not have information about the programme region</w:t>
      </w:r>
    </w:p>
    <w:tbl>
      <w:tblPr>
        <w:tblW w:w="7477" w:type="dxa"/>
        <w:tblLook w:val="04A0" w:firstRow="1" w:lastRow="0" w:firstColumn="1" w:lastColumn="0" w:noHBand="0" w:noVBand="1"/>
      </w:tblPr>
      <w:tblGrid>
        <w:gridCol w:w="3022"/>
        <w:gridCol w:w="1510"/>
        <w:gridCol w:w="1510"/>
        <w:gridCol w:w="1569"/>
      </w:tblGrid>
      <w:tr w:rsidR="00757469" w:rsidRPr="00F32020" w14:paraId="5B9212C1" w14:textId="77777777" w:rsidTr="00544B0A">
        <w:trPr>
          <w:trHeight w:val="320"/>
        </w:trPr>
        <w:tc>
          <w:tcPr>
            <w:tcW w:w="3022" w:type="dxa"/>
            <w:tcBorders>
              <w:top w:val="single" w:sz="4" w:space="0" w:color="auto"/>
              <w:bottom w:val="single" w:sz="4" w:space="0" w:color="auto"/>
            </w:tcBorders>
            <w:noWrap/>
            <w:vAlign w:val="bottom"/>
            <w:hideMark/>
          </w:tcPr>
          <w:p w14:paraId="2851F0C9" w14:textId="77777777" w:rsidR="00757469" w:rsidRPr="00F32020" w:rsidRDefault="00757469" w:rsidP="00EC7CDF">
            <w:pPr>
              <w:rPr>
                <w:b/>
                <w:bCs/>
              </w:rPr>
            </w:pPr>
            <w:r w:rsidRPr="00F32020">
              <w:rPr>
                <w:b/>
                <w:bCs/>
              </w:rPr>
              <w:t>Region</w:t>
            </w:r>
          </w:p>
        </w:tc>
        <w:tc>
          <w:tcPr>
            <w:tcW w:w="1443" w:type="dxa"/>
            <w:tcBorders>
              <w:top w:val="single" w:sz="4" w:space="0" w:color="auto"/>
              <w:bottom w:val="single" w:sz="4" w:space="0" w:color="auto"/>
            </w:tcBorders>
            <w:noWrap/>
            <w:vAlign w:val="bottom"/>
            <w:hideMark/>
          </w:tcPr>
          <w:p w14:paraId="4C1DADA7" w14:textId="77777777" w:rsidR="00757469" w:rsidRPr="00F32020" w:rsidRDefault="00757469" w:rsidP="000C3961">
            <w:pPr>
              <w:jc w:val="center"/>
              <w:rPr>
                <w:b/>
                <w:bCs/>
              </w:rPr>
            </w:pPr>
            <w:r w:rsidRPr="00F32020">
              <w:rPr>
                <w:b/>
                <w:bCs/>
              </w:rPr>
              <w:t>Applications</w:t>
            </w:r>
          </w:p>
          <w:p w14:paraId="6A8F0F4E" w14:textId="76731409" w:rsidR="000C3961" w:rsidRPr="00F32020" w:rsidRDefault="000C3961" w:rsidP="000C3961">
            <w:pPr>
              <w:jc w:val="center"/>
              <w:rPr>
                <w:b/>
                <w:bCs/>
              </w:rPr>
            </w:pPr>
            <w:r w:rsidRPr="00F32020">
              <w:rPr>
                <w:b/>
                <w:bCs/>
              </w:rPr>
              <w:t>Received</w:t>
            </w:r>
          </w:p>
        </w:tc>
        <w:tc>
          <w:tcPr>
            <w:tcW w:w="1443" w:type="dxa"/>
            <w:tcBorders>
              <w:top w:val="single" w:sz="4" w:space="0" w:color="auto"/>
              <w:bottom w:val="single" w:sz="4" w:space="0" w:color="auto"/>
            </w:tcBorders>
            <w:noWrap/>
            <w:vAlign w:val="bottom"/>
            <w:hideMark/>
          </w:tcPr>
          <w:p w14:paraId="4D02D2C8" w14:textId="77777777" w:rsidR="000C3961" w:rsidRPr="00F32020" w:rsidRDefault="000C3961" w:rsidP="000C3961">
            <w:pPr>
              <w:jc w:val="center"/>
              <w:rPr>
                <w:b/>
                <w:bCs/>
              </w:rPr>
            </w:pPr>
            <w:r w:rsidRPr="00F32020">
              <w:rPr>
                <w:b/>
                <w:bCs/>
              </w:rPr>
              <w:t>Applications</w:t>
            </w:r>
          </w:p>
          <w:p w14:paraId="0D4B1DB2" w14:textId="3A1B867A" w:rsidR="00757469" w:rsidRPr="00F32020" w:rsidRDefault="00757469" w:rsidP="000C3961">
            <w:pPr>
              <w:jc w:val="center"/>
              <w:rPr>
                <w:b/>
                <w:bCs/>
              </w:rPr>
            </w:pPr>
            <w:r w:rsidRPr="00F32020">
              <w:rPr>
                <w:b/>
                <w:bCs/>
              </w:rPr>
              <w:t>Selected</w:t>
            </w:r>
          </w:p>
        </w:tc>
        <w:tc>
          <w:tcPr>
            <w:tcW w:w="1569" w:type="dxa"/>
            <w:tcBorders>
              <w:top w:val="single" w:sz="4" w:space="0" w:color="auto"/>
              <w:bottom w:val="single" w:sz="4" w:space="0" w:color="auto"/>
            </w:tcBorders>
            <w:noWrap/>
            <w:vAlign w:val="bottom"/>
            <w:hideMark/>
          </w:tcPr>
          <w:p w14:paraId="00A17005" w14:textId="77777777" w:rsidR="000C3961" w:rsidRPr="00F32020" w:rsidRDefault="000C3961" w:rsidP="000C3961">
            <w:pPr>
              <w:jc w:val="center"/>
              <w:rPr>
                <w:b/>
                <w:bCs/>
              </w:rPr>
            </w:pPr>
            <w:r w:rsidRPr="00F32020">
              <w:rPr>
                <w:b/>
                <w:bCs/>
              </w:rPr>
              <w:t>Applications</w:t>
            </w:r>
          </w:p>
          <w:p w14:paraId="15BF00E5" w14:textId="3305CD4A" w:rsidR="00757469" w:rsidRPr="00F32020" w:rsidRDefault="00757469" w:rsidP="000C3961">
            <w:pPr>
              <w:jc w:val="center"/>
              <w:rPr>
                <w:b/>
                <w:bCs/>
              </w:rPr>
            </w:pPr>
            <w:r w:rsidRPr="00F32020">
              <w:rPr>
                <w:b/>
                <w:bCs/>
              </w:rPr>
              <w:t>Selected (%)</w:t>
            </w:r>
          </w:p>
        </w:tc>
      </w:tr>
      <w:tr w:rsidR="00757469" w:rsidRPr="00F32020" w14:paraId="214AFDCD" w14:textId="77777777" w:rsidTr="00544B0A">
        <w:trPr>
          <w:trHeight w:val="320"/>
        </w:trPr>
        <w:tc>
          <w:tcPr>
            <w:tcW w:w="3022" w:type="dxa"/>
            <w:tcBorders>
              <w:top w:val="single" w:sz="4" w:space="0" w:color="auto"/>
            </w:tcBorders>
            <w:noWrap/>
            <w:vAlign w:val="bottom"/>
            <w:hideMark/>
          </w:tcPr>
          <w:p w14:paraId="0DE64D7C" w14:textId="77777777" w:rsidR="00757469" w:rsidRPr="00F32020" w:rsidRDefault="00757469" w:rsidP="00EC7CDF">
            <w:r w:rsidRPr="00F32020">
              <w:t>Latin America &amp; Caribbean</w:t>
            </w:r>
          </w:p>
        </w:tc>
        <w:tc>
          <w:tcPr>
            <w:tcW w:w="1443" w:type="dxa"/>
            <w:tcBorders>
              <w:top w:val="single" w:sz="4" w:space="0" w:color="auto"/>
            </w:tcBorders>
            <w:noWrap/>
            <w:vAlign w:val="bottom"/>
            <w:hideMark/>
          </w:tcPr>
          <w:p w14:paraId="57373994" w14:textId="77777777" w:rsidR="00757469" w:rsidRPr="00F32020" w:rsidRDefault="00757469" w:rsidP="000C3961">
            <w:pPr>
              <w:jc w:val="center"/>
            </w:pPr>
            <w:r w:rsidRPr="00F32020">
              <w:t>3,158</w:t>
            </w:r>
          </w:p>
        </w:tc>
        <w:tc>
          <w:tcPr>
            <w:tcW w:w="1443" w:type="dxa"/>
            <w:tcBorders>
              <w:top w:val="single" w:sz="4" w:space="0" w:color="auto"/>
            </w:tcBorders>
            <w:noWrap/>
            <w:vAlign w:val="bottom"/>
            <w:hideMark/>
          </w:tcPr>
          <w:p w14:paraId="7CA8D10F" w14:textId="77777777" w:rsidR="00757469" w:rsidRPr="00F32020" w:rsidRDefault="00757469" w:rsidP="000C3961">
            <w:pPr>
              <w:jc w:val="center"/>
            </w:pPr>
            <w:r w:rsidRPr="00F32020">
              <w:t>826</w:t>
            </w:r>
          </w:p>
        </w:tc>
        <w:tc>
          <w:tcPr>
            <w:tcW w:w="1569" w:type="dxa"/>
            <w:tcBorders>
              <w:top w:val="single" w:sz="4" w:space="0" w:color="auto"/>
            </w:tcBorders>
            <w:noWrap/>
            <w:vAlign w:val="bottom"/>
            <w:hideMark/>
          </w:tcPr>
          <w:p w14:paraId="736914AC" w14:textId="77777777" w:rsidR="00757469" w:rsidRPr="00F32020" w:rsidRDefault="00757469" w:rsidP="000C3961">
            <w:pPr>
              <w:jc w:val="center"/>
            </w:pPr>
            <w:r w:rsidRPr="00F32020">
              <w:t>26.16</w:t>
            </w:r>
          </w:p>
        </w:tc>
      </w:tr>
      <w:tr w:rsidR="00757469" w:rsidRPr="00F32020" w14:paraId="2139FD68" w14:textId="77777777" w:rsidTr="00544B0A">
        <w:trPr>
          <w:trHeight w:val="320"/>
        </w:trPr>
        <w:tc>
          <w:tcPr>
            <w:tcW w:w="3022" w:type="dxa"/>
            <w:noWrap/>
            <w:vAlign w:val="bottom"/>
            <w:hideMark/>
          </w:tcPr>
          <w:p w14:paraId="54F769ED" w14:textId="77777777" w:rsidR="00757469" w:rsidRPr="00F32020" w:rsidRDefault="00757469" w:rsidP="00EC7CDF">
            <w:r w:rsidRPr="00F32020">
              <w:t>North America</w:t>
            </w:r>
          </w:p>
        </w:tc>
        <w:tc>
          <w:tcPr>
            <w:tcW w:w="1443" w:type="dxa"/>
            <w:noWrap/>
            <w:vAlign w:val="bottom"/>
            <w:hideMark/>
          </w:tcPr>
          <w:p w14:paraId="32A79BBD" w14:textId="77777777" w:rsidR="00757469" w:rsidRPr="00F32020" w:rsidRDefault="00757469" w:rsidP="000C3961">
            <w:pPr>
              <w:jc w:val="center"/>
            </w:pPr>
            <w:r w:rsidRPr="00F32020">
              <w:t>1,998</w:t>
            </w:r>
          </w:p>
        </w:tc>
        <w:tc>
          <w:tcPr>
            <w:tcW w:w="1443" w:type="dxa"/>
            <w:noWrap/>
            <w:vAlign w:val="bottom"/>
            <w:hideMark/>
          </w:tcPr>
          <w:p w14:paraId="630E780D" w14:textId="77777777" w:rsidR="00757469" w:rsidRPr="00F32020" w:rsidRDefault="00757469" w:rsidP="000C3961">
            <w:pPr>
              <w:jc w:val="center"/>
            </w:pPr>
            <w:r w:rsidRPr="00F32020">
              <w:t>361</w:t>
            </w:r>
          </w:p>
        </w:tc>
        <w:tc>
          <w:tcPr>
            <w:tcW w:w="1569" w:type="dxa"/>
            <w:noWrap/>
            <w:vAlign w:val="bottom"/>
            <w:hideMark/>
          </w:tcPr>
          <w:p w14:paraId="3D20751F" w14:textId="77777777" w:rsidR="00757469" w:rsidRPr="00F32020" w:rsidRDefault="00757469" w:rsidP="000C3961">
            <w:pPr>
              <w:jc w:val="center"/>
            </w:pPr>
            <w:r w:rsidRPr="00F32020">
              <w:t>18.07</w:t>
            </w:r>
          </w:p>
        </w:tc>
      </w:tr>
      <w:tr w:rsidR="00757469" w:rsidRPr="00F32020" w14:paraId="356BBC72" w14:textId="77777777" w:rsidTr="00544B0A">
        <w:trPr>
          <w:trHeight w:val="320"/>
        </w:trPr>
        <w:tc>
          <w:tcPr>
            <w:tcW w:w="3022" w:type="dxa"/>
            <w:noWrap/>
            <w:vAlign w:val="bottom"/>
            <w:hideMark/>
          </w:tcPr>
          <w:p w14:paraId="48BB3BC6" w14:textId="77777777" w:rsidR="00757469" w:rsidRPr="00F32020" w:rsidRDefault="00757469" w:rsidP="00EC7CDF">
            <w:r w:rsidRPr="00F32020">
              <w:t>Other</w:t>
            </w:r>
          </w:p>
        </w:tc>
        <w:tc>
          <w:tcPr>
            <w:tcW w:w="1443" w:type="dxa"/>
            <w:noWrap/>
            <w:vAlign w:val="bottom"/>
            <w:hideMark/>
          </w:tcPr>
          <w:p w14:paraId="51F0EF39" w14:textId="77777777" w:rsidR="00757469" w:rsidRPr="00F32020" w:rsidRDefault="00757469" w:rsidP="000C3961">
            <w:pPr>
              <w:jc w:val="center"/>
            </w:pPr>
            <w:r w:rsidRPr="00F32020">
              <w:t>328</w:t>
            </w:r>
          </w:p>
        </w:tc>
        <w:tc>
          <w:tcPr>
            <w:tcW w:w="1443" w:type="dxa"/>
            <w:noWrap/>
            <w:vAlign w:val="bottom"/>
            <w:hideMark/>
          </w:tcPr>
          <w:p w14:paraId="231644CF" w14:textId="77777777" w:rsidR="00757469" w:rsidRPr="00F32020" w:rsidRDefault="00757469" w:rsidP="000C3961">
            <w:pPr>
              <w:jc w:val="center"/>
            </w:pPr>
            <w:r w:rsidRPr="00F32020">
              <w:t>69</w:t>
            </w:r>
          </w:p>
        </w:tc>
        <w:tc>
          <w:tcPr>
            <w:tcW w:w="1569" w:type="dxa"/>
            <w:noWrap/>
            <w:vAlign w:val="bottom"/>
            <w:hideMark/>
          </w:tcPr>
          <w:p w14:paraId="285A90A4" w14:textId="77777777" w:rsidR="00757469" w:rsidRPr="00F32020" w:rsidRDefault="00757469" w:rsidP="000C3961">
            <w:pPr>
              <w:jc w:val="center"/>
            </w:pPr>
            <w:r w:rsidRPr="00F32020">
              <w:t>21.04</w:t>
            </w:r>
          </w:p>
        </w:tc>
      </w:tr>
      <w:tr w:rsidR="00757469" w:rsidRPr="00F32020" w14:paraId="2F76BB6E" w14:textId="77777777" w:rsidTr="00544B0A">
        <w:trPr>
          <w:trHeight w:val="320"/>
        </w:trPr>
        <w:tc>
          <w:tcPr>
            <w:tcW w:w="3022" w:type="dxa"/>
            <w:noWrap/>
            <w:vAlign w:val="bottom"/>
            <w:hideMark/>
          </w:tcPr>
          <w:p w14:paraId="0129253A" w14:textId="77777777" w:rsidR="00757469" w:rsidRPr="00F32020" w:rsidRDefault="00757469" w:rsidP="00EC7CDF">
            <w:r w:rsidRPr="00F32020">
              <w:t>South Asia</w:t>
            </w:r>
          </w:p>
        </w:tc>
        <w:tc>
          <w:tcPr>
            <w:tcW w:w="1443" w:type="dxa"/>
            <w:noWrap/>
            <w:vAlign w:val="bottom"/>
            <w:hideMark/>
          </w:tcPr>
          <w:p w14:paraId="2285E44F" w14:textId="77777777" w:rsidR="00757469" w:rsidRPr="00F32020" w:rsidRDefault="00757469" w:rsidP="000C3961">
            <w:pPr>
              <w:jc w:val="center"/>
            </w:pPr>
            <w:r w:rsidRPr="00F32020">
              <w:t>727</w:t>
            </w:r>
          </w:p>
        </w:tc>
        <w:tc>
          <w:tcPr>
            <w:tcW w:w="1443" w:type="dxa"/>
            <w:noWrap/>
            <w:vAlign w:val="bottom"/>
            <w:hideMark/>
          </w:tcPr>
          <w:p w14:paraId="0594740F" w14:textId="77777777" w:rsidR="00757469" w:rsidRPr="00F32020" w:rsidRDefault="00757469" w:rsidP="000C3961">
            <w:pPr>
              <w:jc w:val="center"/>
            </w:pPr>
            <w:r w:rsidRPr="00F32020">
              <w:t>99</w:t>
            </w:r>
          </w:p>
        </w:tc>
        <w:tc>
          <w:tcPr>
            <w:tcW w:w="1569" w:type="dxa"/>
            <w:noWrap/>
            <w:vAlign w:val="bottom"/>
            <w:hideMark/>
          </w:tcPr>
          <w:p w14:paraId="2B351BC2" w14:textId="77777777" w:rsidR="00757469" w:rsidRPr="00F32020" w:rsidRDefault="00757469" w:rsidP="000C3961">
            <w:pPr>
              <w:jc w:val="center"/>
            </w:pPr>
            <w:r w:rsidRPr="00F32020">
              <w:t>13.62</w:t>
            </w:r>
          </w:p>
        </w:tc>
      </w:tr>
      <w:tr w:rsidR="00757469" w:rsidRPr="00F32020" w14:paraId="73E7DE30" w14:textId="77777777" w:rsidTr="00544B0A">
        <w:trPr>
          <w:trHeight w:val="320"/>
        </w:trPr>
        <w:tc>
          <w:tcPr>
            <w:tcW w:w="3022" w:type="dxa"/>
            <w:tcBorders>
              <w:bottom w:val="single" w:sz="4" w:space="0" w:color="auto"/>
            </w:tcBorders>
            <w:noWrap/>
            <w:vAlign w:val="bottom"/>
            <w:hideMark/>
          </w:tcPr>
          <w:p w14:paraId="790133E7" w14:textId="77777777" w:rsidR="00757469" w:rsidRPr="00F32020" w:rsidRDefault="00757469" w:rsidP="00EC7CDF">
            <w:r w:rsidRPr="00F32020">
              <w:t>Sub-Saharan Africa</w:t>
            </w:r>
          </w:p>
        </w:tc>
        <w:tc>
          <w:tcPr>
            <w:tcW w:w="1443" w:type="dxa"/>
            <w:tcBorders>
              <w:bottom w:val="single" w:sz="4" w:space="0" w:color="auto"/>
            </w:tcBorders>
            <w:noWrap/>
            <w:vAlign w:val="bottom"/>
            <w:hideMark/>
          </w:tcPr>
          <w:p w14:paraId="3E310B4F" w14:textId="77777777" w:rsidR="00757469" w:rsidRPr="00F32020" w:rsidRDefault="00757469" w:rsidP="000C3961">
            <w:pPr>
              <w:jc w:val="center"/>
            </w:pPr>
            <w:r w:rsidRPr="00F32020">
              <w:t>1,438</w:t>
            </w:r>
          </w:p>
        </w:tc>
        <w:tc>
          <w:tcPr>
            <w:tcW w:w="1443" w:type="dxa"/>
            <w:tcBorders>
              <w:bottom w:val="single" w:sz="4" w:space="0" w:color="auto"/>
            </w:tcBorders>
            <w:noWrap/>
            <w:vAlign w:val="bottom"/>
            <w:hideMark/>
          </w:tcPr>
          <w:p w14:paraId="7A8BA498" w14:textId="77777777" w:rsidR="00757469" w:rsidRPr="00F32020" w:rsidRDefault="00757469" w:rsidP="000C3961">
            <w:pPr>
              <w:jc w:val="center"/>
            </w:pPr>
            <w:r w:rsidRPr="00F32020">
              <w:t>220</w:t>
            </w:r>
          </w:p>
        </w:tc>
        <w:tc>
          <w:tcPr>
            <w:tcW w:w="1569" w:type="dxa"/>
            <w:tcBorders>
              <w:bottom w:val="single" w:sz="4" w:space="0" w:color="auto"/>
            </w:tcBorders>
            <w:noWrap/>
            <w:vAlign w:val="bottom"/>
            <w:hideMark/>
          </w:tcPr>
          <w:p w14:paraId="5A3665AF" w14:textId="4C532504" w:rsidR="00757469" w:rsidRPr="00F32020" w:rsidRDefault="00757469" w:rsidP="000C3961">
            <w:pPr>
              <w:jc w:val="center"/>
            </w:pPr>
            <w:r w:rsidRPr="00F32020">
              <w:t>15.3</w:t>
            </w:r>
            <w:r w:rsidR="000C3961" w:rsidRPr="00F32020">
              <w:t>0</w:t>
            </w:r>
          </w:p>
        </w:tc>
      </w:tr>
    </w:tbl>
    <w:p w14:paraId="2BC3A4B1" w14:textId="77777777" w:rsidR="0021592F" w:rsidRPr="00F32020" w:rsidRDefault="0021592F" w:rsidP="00152AEF">
      <w:pPr>
        <w:rPr>
          <w:b/>
          <w:bCs/>
          <w:shd w:val="clear" w:color="auto" w:fill="FFFFFF"/>
        </w:rPr>
      </w:pPr>
    </w:p>
    <w:p w14:paraId="7963F9D7" w14:textId="77777777" w:rsidR="0021592F" w:rsidRPr="00F32020" w:rsidRDefault="0021592F">
      <w:pPr>
        <w:rPr>
          <w:b/>
          <w:bCs/>
          <w:shd w:val="clear" w:color="auto" w:fill="FFFFFF"/>
        </w:rPr>
      </w:pPr>
      <w:r w:rsidRPr="00F32020">
        <w:rPr>
          <w:b/>
          <w:bCs/>
          <w:shd w:val="clear" w:color="auto" w:fill="FFFFFF"/>
        </w:rPr>
        <w:br w:type="page"/>
      </w:r>
    </w:p>
    <w:p w14:paraId="710692EB" w14:textId="0B91F4AB" w:rsidR="00152AEF" w:rsidRPr="00F32020" w:rsidRDefault="00152AEF" w:rsidP="00152AEF">
      <w:pPr>
        <w:rPr>
          <w:shd w:val="clear" w:color="auto" w:fill="FFFFFF"/>
        </w:rPr>
      </w:pPr>
      <w:r w:rsidRPr="00F32020">
        <w:rPr>
          <w:b/>
          <w:bCs/>
          <w:shd w:val="clear" w:color="auto" w:fill="FFFFFF"/>
        </w:rPr>
        <w:lastRenderedPageBreak/>
        <w:t>Table A.</w:t>
      </w:r>
      <w:r w:rsidR="000D48CE" w:rsidRPr="00F32020">
        <w:rPr>
          <w:b/>
          <w:bCs/>
          <w:shd w:val="clear" w:color="auto" w:fill="FFFFFF"/>
        </w:rPr>
        <w:t>2</w:t>
      </w:r>
      <w:r w:rsidRPr="00F32020">
        <w:rPr>
          <w:b/>
          <w:bCs/>
          <w:shd w:val="clear" w:color="auto" w:fill="FFFFFF"/>
        </w:rPr>
        <w:t>.</w:t>
      </w:r>
      <w:r w:rsidRPr="00F32020">
        <w:rPr>
          <w:shd w:val="clear" w:color="auto" w:fill="FFFFFF"/>
        </w:rPr>
        <w:t xml:space="preserve"> </w:t>
      </w:r>
      <w:r w:rsidRPr="00D93C66">
        <w:rPr>
          <w:b/>
          <w:bCs/>
          <w:shd w:val="clear" w:color="auto" w:fill="FFFFFF"/>
        </w:rPr>
        <w:t>Variable description</w:t>
      </w:r>
    </w:p>
    <w:p w14:paraId="243F39DC" w14:textId="77777777" w:rsidR="00152AEF" w:rsidRPr="00F32020" w:rsidRDefault="00152AEF" w:rsidP="00152AEF">
      <w:pPr>
        <w:ind w:left="720" w:hanging="720"/>
        <w:rPr>
          <w:shd w:val="clear" w:color="auto" w:fill="FFFFFF"/>
        </w:rPr>
      </w:pPr>
    </w:p>
    <w:tbl>
      <w:tblPr>
        <w:tblW w:w="9923" w:type="dxa"/>
        <w:jc w:val="center"/>
        <w:tblLook w:val="04A0" w:firstRow="1" w:lastRow="0" w:firstColumn="1" w:lastColumn="0" w:noHBand="0" w:noVBand="1"/>
      </w:tblPr>
      <w:tblGrid>
        <w:gridCol w:w="3400"/>
        <w:gridCol w:w="4538"/>
        <w:gridCol w:w="1985"/>
      </w:tblGrid>
      <w:tr w:rsidR="00152AEF" w:rsidRPr="00F32020" w14:paraId="448455C7" w14:textId="77777777" w:rsidTr="00D314EE">
        <w:trPr>
          <w:trHeight w:val="260"/>
          <w:jc w:val="center"/>
        </w:trPr>
        <w:tc>
          <w:tcPr>
            <w:tcW w:w="3400" w:type="dxa"/>
            <w:tcBorders>
              <w:top w:val="single" w:sz="4" w:space="0" w:color="auto"/>
              <w:left w:val="nil"/>
              <w:bottom w:val="single" w:sz="4" w:space="0" w:color="auto"/>
              <w:right w:val="nil"/>
            </w:tcBorders>
            <w:noWrap/>
            <w:vAlign w:val="center"/>
            <w:hideMark/>
          </w:tcPr>
          <w:p w14:paraId="289B6366" w14:textId="77777777" w:rsidR="00152AEF" w:rsidRPr="00F32020" w:rsidRDefault="00152AEF" w:rsidP="00D314EE">
            <w:pPr>
              <w:rPr>
                <w:b/>
                <w:bCs/>
                <w:sz w:val="20"/>
                <w:szCs w:val="20"/>
              </w:rPr>
            </w:pPr>
            <w:r w:rsidRPr="00F32020">
              <w:rPr>
                <w:b/>
                <w:bCs/>
                <w:sz w:val="20"/>
                <w:szCs w:val="20"/>
              </w:rPr>
              <w:t>Variable</w:t>
            </w:r>
          </w:p>
        </w:tc>
        <w:tc>
          <w:tcPr>
            <w:tcW w:w="4538" w:type="dxa"/>
            <w:tcBorders>
              <w:top w:val="single" w:sz="4" w:space="0" w:color="auto"/>
              <w:left w:val="nil"/>
              <w:bottom w:val="single" w:sz="4" w:space="0" w:color="auto"/>
              <w:right w:val="nil"/>
            </w:tcBorders>
            <w:noWrap/>
            <w:vAlign w:val="bottom"/>
            <w:hideMark/>
          </w:tcPr>
          <w:p w14:paraId="6C40F58D" w14:textId="77777777" w:rsidR="00152AEF" w:rsidRPr="00F32020" w:rsidRDefault="00152AEF" w:rsidP="00D314EE">
            <w:pPr>
              <w:jc w:val="center"/>
              <w:rPr>
                <w:b/>
                <w:bCs/>
                <w:sz w:val="20"/>
                <w:szCs w:val="20"/>
              </w:rPr>
            </w:pPr>
            <w:r w:rsidRPr="00F32020">
              <w:rPr>
                <w:b/>
                <w:bCs/>
                <w:sz w:val="20"/>
                <w:szCs w:val="20"/>
              </w:rPr>
              <w:t>Description</w:t>
            </w:r>
          </w:p>
        </w:tc>
        <w:tc>
          <w:tcPr>
            <w:tcW w:w="1985" w:type="dxa"/>
            <w:tcBorders>
              <w:top w:val="single" w:sz="4" w:space="0" w:color="auto"/>
              <w:left w:val="nil"/>
              <w:bottom w:val="single" w:sz="4" w:space="0" w:color="auto"/>
              <w:right w:val="nil"/>
            </w:tcBorders>
            <w:noWrap/>
            <w:vAlign w:val="bottom"/>
            <w:hideMark/>
          </w:tcPr>
          <w:p w14:paraId="13191697" w14:textId="77777777" w:rsidR="00152AEF" w:rsidRPr="00F32020" w:rsidRDefault="00152AEF" w:rsidP="00D314EE">
            <w:pPr>
              <w:jc w:val="center"/>
              <w:rPr>
                <w:b/>
                <w:bCs/>
                <w:sz w:val="20"/>
                <w:szCs w:val="20"/>
              </w:rPr>
            </w:pPr>
            <w:r w:rsidRPr="00F32020">
              <w:rPr>
                <w:b/>
                <w:bCs/>
                <w:sz w:val="20"/>
                <w:szCs w:val="20"/>
              </w:rPr>
              <w:t>Source</w:t>
            </w:r>
          </w:p>
        </w:tc>
      </w:tr>
      <w:tr w:rsidR="00152AEF" w:rsidRPr="00F32020" w14:paraId="6B826C10" w14:textId="77777777" w:rsidTr="00D314EE">
        <w:trPr>
          <w:trHeight w:val="560"/>
          <w:jc w:val="center"/>
        </w:trPr>
        <w:tc>
          <w:tcPr>
            <w:tcW w:w="3400" w:type="dxa"/>
            <w:tcBorders>
              <w:top w:val="single" w:sz="4" w:space="0" w:color="auto"/>
              <w:left w:val="nil"/>
              <w:bottom w:val="nil"/>
              <w:right w:val="nil"/>
            </w:tcBorders>
            <w:noWrap/>
            <w:vAlign w:val="center"/>
            <w:hideMark/>
          </w:tcPr>
          <w:p w14:paraId="23DB929B" w14:textId="77777777" w:rsidR="00152AEF" w:rsidRPr="00F32020" w:rsidRDefault="00152AEF" w:rsidP="00D314EE">
            <w:pPr>
              <w:rPr>
                <w:sz w:val="20"/>
                <w:szCs w:val="20"/>
              </w:rPr>
            </w:pPr>
            <w:r w:rsidRPr="00F32020">
              <w:rPr>
                <w:sz w:val="20"/>
                <w:szCs w:val="20"/>
              </w:rPr>
              <w:t>Selected</w:t>
            </w:r>
          </w:p>
        </w:tc>
        <w:tc>
          <w:tcPr>
            <w:tcW w:w="4538" w:type="dxa"/>
            <w:tcBorders>
              <w:top w:val="single" w:sz="4" w:space="0" w:color="auto"/>
              <w:left w:val="nil"/>
              <w:bottom w:val="nil"/>
              <w:right w:val="nil"/>
            </w:tcBorders>
            <w:vAlign w:val="center"/>
            <w:hideMark/>
          </w:tcPr>
          <w:p w14:paraId="3993F995" w14:textId="77777777" w:rsidR="00152AEF" w:rsidRPr="00F32020" w:rsidRDefault="00152AEF" w:rsidP="00D314EE">
            <w:pPr>
              <w:rPr>
                <w:sz w:val="20"/>
                <w:szCs w:val="20"/>
              </w:rPr>
            </w:pPr>
            <w:r w:rsidRPr="00F32020">
              <w:rPr>
                <w:sz w:val="20"/>
                <w:szCs w:val="20"/>
              </w:rPr>
              <w:t>Dummy variable, takes '1' if a venture was selected for the accelerator programme, and '0' otherwise.</w:t>
            </w:r>
          </w:p>
        </w:tc>
        <w:tc>
          <w:tcPr>
            <w:tcW w:w="1985" w:type="dxa"/>
            <w:tcBorders>
              <w:top w:val="single" w:sz="4" w:space="0" w:color="auto"/>
              <w:left w:val="nil"/>
              <w:bottom w:val="nil"/>
              <w:right w:val="nil"/>
            </w:tcBorders>
            <w:noWrap/>
            <w:vAlign w:val="center"/>
            <w:hideMark/>
          </w:tcPr>
          <w:p w14:paraId="7CDAA896" w14:textId="77777777" w:rsidR="00152AEF" w:rsidRPr="00F32020" w:rsidRDefault="00152AEF" w:rsidP="00D314EE">
            <w:pPr>
              <w:jc w:val="center"/>
              <w:rPr>
                <w:sz w:val="20"/>
                <w:szCs w:val="20"/>
              </w:rPr>
            </w:pPr>
            <w:r w:rsidRPr="00F32020">
              <w:rPr>
                <w:sz w:val="20"/>
                <w:szCs w:val="20"/>
              </w:rPr>
              <w:t>EDP</w:t>
            </w:r>
          </w:p>
        </w:tc>
      </w:tr>
      <w:tr w:rsidR="00152AEF" w:rsidRPr="00F32020" w14:paraId="678B48AC" w14:textId="77777777" w:rsidTr="00D314EE">
        <w:trPr>
          <w:trHeight w:val="560"/>
          <w:jc w:val="center"/>
        </w:trPr>
        <w:tc>
          <w:tcPr>
            <w:tcW w:w="3400" w:type="dxa"/>
            <w:tcBorders>
              <w:top w:val="nil"/>
              <w:left w:val="nil"/>
              <w:bottom w:val="nil"/>
              <w:right w:val="nil"/>
            </w:tcBorders>
            <w:noWrap/>
            <w:vAlign w:val="center"/>
            <w:hideMark/>
          </w:tcPr>
          <w:p w14:paraId="05789F79" w14:textId="77777777" w:rsidR="00152AEF" w:rsidRPr="00F32020" w:rsidRDefault="00152AEF" w:rsidP="00D314EE">
            <w:pPr>
              <w:rPr>
                <w:sz w:val="20"/>
                <w:szCs w:val="20"/>
              </w:rPr>
            </w:pPr>
            <w:r w:rsidRPr="00F32020">
              <w:rPr>
                <w:sz w:val="20"/>
                <w:szCs w:val="20"/>
              </w:rPr>
              <w:t>Cultural Diversity</w:t>
            </w:r>
          </w:p>
        </w:tc>
        <w:tc>
          <w:tcPr>
            <w:tcW w:w="4538" w:type="dxa"/>
            <w:tcBorders>
              <w:top w:val="nil"/>
              <w:left w:val="nil"/>
              <w:bottom w:val="nil"/>
              <w:right w:val="nil"/>
            </w:tcBorders>
            <w:vAlign w:val="center"/>
            <w:hideMark/>
          </w:tcPr>
          <w:p w14:paraId="7F8A8998" w14:textId="77777777" w:rsidR="00152AEF" w:rsidRPr="00F32020" w:rsidRDefault="00152AEF" w:rsidP="00D314EE">
            <w:pPr>
              <w:jc w:val="both"/>
              <w:rPr>
                <w:sz w:val="20"/>
                <w:szCs w:val="20"/>
              </w:rPr>
            </w:pPr>
            <w:r w:rsidRPr="00F32020">
              <w:rPr>
                <w:sz w:val="20"/>
                <w:szCs w:val="20"/>
              </w:rPr>
              <w:t xml:space="preserve">Cultural diversity index computed as in Frijns et al. (2016). See Section 3.2.2 for more details. This takes into account the four cultural dimensions of the Hofstede framework, i.e. uncertainty avoidance, power distance index, individualism and masculinity. </w:t>
            </w:r>
          </w:p>
        </w:tc>
        <w:tc>
          <w:tcPr>
            <w:tcW w:w="1985" w:type="dxa"/>
            <w:tcBorders>
              <w:top w:val="nil"/>
              <w:left w:val="nil"/>
              <w:bottom w:val="nil"/>
              <w:right w:val="nil"/>
            </w:tcBorders>
            <w:noWrap/>
            <w:vAlign w:val="center"/>
            <w:hideMark/>
          </w:tcPr>
          <w:p w14:paraId="00CD859B" w14:textId="77777777" w:rsidR="00152AEF" w:rsidRPr="00F32020" w:rsidRDefault="00152AEF" w:rsidP="00D314EE">
            <w:pPr>
              <w:jc w:val="center"/>
              <w:rPr>
                <w:sz w:val="20"/>
                <w:szCs w:val="20"/>
              </w:rPr>
            </w:pPr>
            <w:r w:rsidRPr="00F32020">
              <w:rPr>
                <w:sz w:val="20"/>
                <w:szCs w:val="20"/>
              </w:rPr>
              <w:t>Authors’ elaboration on EDP data in conjuction with Hofstede Insights / GLOBE</w:t>
            </w:r>
          </w:p>
        </w:tc>
      </w:tr>
      <w:tr w:rsidR="00152AEF" w:rsidRPr="00F32020" w14:paraId="17E9C5C7" w14:textId="77777777" w:rsidTr="00D314EE">
        <w:trPr>
          <w:trHeight w:val="260"/>
          <w:jc w:val="center"/>
        </w:trPr>
        <w:tc>
          <w:tcPr>
            <w:tcW w:w="3400" w:type="dxa"/>
            <w:tcBorders>
              <w:top w:val="nil"/>
              <w:left w:val="nil"/>
              <w:bottom w:val="nil"/>
              <w:right w:val="nil"/>
            </w:tcBorders>
            <w:noWrap/>
            <w:vAlign w:val="center"/>
          </w:tcPr>
          <w:p w14:paraId="656FE59F" w14:textId="77777777" w:rsidR="00152AEF" w:rsidRPr="00F32020" w:rsidRDefault="00152AEF" w:rsidP="00D314EE">
            <w:pPr>
              <w:rPr>
                <w:sz w:val="20"/>
                <w:szCs w:val="20"/>
              </w:rPr>
            </w:pPr>
            <w:r w:rsidRPr="00F32020">
              <w:rPr>
                <w:sz w:val="20"/>
                <w:szCs w:val="20"/>
              </w:rPr>
              <w:t>Founders’ founding experience</w:t>
            </w:r>
          </w:p>
        </w:tc>
        <w:tc>
          <w:tcPr>
            <w:tcW w:w="4538" w:type="dxa"/>
            <w:tcBorders>
              <w:top w:val="nil"/>
              <w:left w:val="nil"/>
              <w:bottom w:val="nil"/>
              <w:right w:val="nil"/>
            </w:tcBorders>
            <w:noWrap/>
            <w:vAlign w:val="center"/>
          </w:tcPr>
          <w:p w14:paraId="10C8E2BA" w14:textId="77777777" w:rsidR="00152AEF" w:rsidRPr="00F32020" w:rsidRDefault="00152AEF" w:rsidP="00D314EE">
            <w:pPr>
              <w:rPr>
                <w:sz w:val="20"/>
                <w:szCs w:val="20"/>
              </w:rPr>
            </w:pPr>
            <w:r w:rsidRPr="00F32020">
              <w:rPr>
                <w:sz w:val="20"/>
                <w:szCs w:val="20"/>
              </w:rPr>
              <w:t>Natural logarithm of the average number of ventures each venture’s founders founded prior to this venture.</w:t>
            </w:r>
          </w:p>
        </w:tc>
        <w:tc>
          <w:tcPr>
            <w:tcW w:w="1985" w:type="dxa"/>
            <w:tcBorders>
              <w:top w:val="nil"/>
              <w:left w:val="nil"/>
              <w:bottom w:val="nil"/>
              <w:right w:val="nil"/>
            </w:tcBorders>
            <w:noWrap/>
            <w:vAlign w:val="center"/>
          </w:tcPr>
          <w:p w14:paraId="05AEA482" w14:textId="77777777" w:rsidR="00152AEF" w:rsidRPr="00F32020" w:rsidRDefault="00152AEF" w:rsidP="00D314EE">
            <w:pPr>
              <w:jc w:val="center"/>
              <w:rPr>
                <w:sz w:val="20"/>
                <w:szCs w:val="20"/>
              </w:rPr>
            </w:pPr>
            <w:r w:rsidRPr="00F32020">
              <w:rPr>
                <w:sz w:val="20"/>
                <w:szCs w:val="20"/>
              </w:rPr>
              <w:t>Authors’ elaboration on EDP data</w:t>
            </w:r>
          </w:p>
        </w:tc>
      </w:tr>
      <w:tr w:rsidR="00152AEF" w:rsidRPr="00F32020" w14:paraId="53CAED85" w14:textId="77777777" w:rsidTr="00D314EE">
        <w:trPr>
          <w:trHeight w:val="260"/>
          <w:jc w:val="center"/>
        </w:trPr>
        <w:tc>
          <w:tcPr>
            <w:tcW w:w="3400" w:type="dxa"/>
            <w:tcBorders>
              <w:top w:val="nil"/>
              <w:left w:val="nil"/>
              <w:bottom w:val="nil"/>
              <w:right w:val="nil"/>
            </w:tcBorders>
            <w:noWrap/>
            <w:vAlign w:val="center"/>
          </w:tcPr>
          <w:p w14:paraId="7E551FC2" w14:textId="77777777" w:rsidR="00152AEF" w:rsidRPr="00F32020" w:rsidRDefault="00152AEF" w:rsidP="00D314EE">
            <w:pPr>
              <w:rPr>
                <w:sz w:val="20"/>
                <w:szCs w:val="20"/>
              </w:rPr>
            </w:pPr>
            <w:r w:rsidRPr="00F32020">
              <w:rPr>
                <w:sz w:val="20"/>
                <w:szCs w:val="20"/>
              </w:rPr>
              <w:t>Founders’ education</w:t>
            </w:r>
          </w:p>
        </w:tc>
        <w:tc>
          <w:tcPr>
            <w:tcW w:w="4538" w:type="dxa"/>
            <w:tcBorders>
              <w:top w:val="nil"/>
              <w:left w:val="nil"/>
              <w:bottom w:val="nil"/>
              <w:right w:val="nil"/>
            </w:tcBorders>
            <w:noWrap/>
            <w:vAlign w:val="center"/>
          </w:tcPr>
          <w:p w14:paraId="22B045B9" w14:textId="77777777" w:rsidR="00152AEF" w:rsidRPr="00F32020" w:rsidRDefault="00152AEF" w:rsidP="00D314EE">
            <w:pPr>
              <w:rPr>
                <w:sz w:val="20"/>
                <w:szCs w:val="20"/>
              </w:rPr>
            </w:pPr>
            <w:r w:rsidRPr="00F32020">
              <w:rPr>
                <w:sz w:val="20"/>
                <w:szCs w:val="20"/>
              </w:rPr>
              <w:t>The average of venture founders’ educational score, which is comprised of an aggregation of points, 1 for an Undergraduate, 2 for a Postgraduate and 3 for a Doctoral degree. See Papadimitri et al. (2020) for more information.</w:t>
            </w:r>
          </w:p>
        </w:tc>
        <w:tc>
          <w:tcPr>
            <w:tcW w:w="1985" w:type="dxa"/>
            <w:tcBorders>
              <w:top w:val="nil"/>
              <w:left w:val="nil"/>
              <w:bottom w:val="nil"/>
              <w:right w:val="nil"/>
            </w:tcBorders>
            <w:noWrap/>
            <w:vAlign w:val="center"/>
          </w:tcPr>
          <w:p w14:paraId="5F6F8194" w14:textId="77777777" w:rsidR="00152AEF" w:rsidRPr="00F32020" w:rsidRDefault="00152AEF" w:rsidP="00D314EE">
            <w:pPr>
              <w:jc w:val="center"/>
              <w:rPr>
                <w:sz w:val="20"/>
                <w:szCs w:val="20"/>
              </w:rPr>
            </w:pPr>
            <w:r w:rsidRPr="00F32020">
              <w:rPr>
                <w:sz w:val="20"/>
                <w:szCs w:val="20"/>
              </w:rPr>
              <w:t>Authors’ elaboration on EDP data</w:t>
            </w:r>
          </w:p>
        </w:tc>
      </w:tr>
      <w:tr w:rsidR="00152AEF" w:rsidRPr="00F32020" w14:paraId="28976B27" w14:textId="77777777" w:rsidTr="00D314EE">
        <w:trPr>
          <w:trHeight w:val="260"/>
          <w:jc w:val="center"/>
        </w:trPr>
        <w:tc>
          <w:tcPr>
            <w:tcW w:w="3400" w:type="dxa"/>
            <w:tcBorders>
              <w:top w:val="nil"/>
              <w:left w:val="nil"/>
              <w:bottom w:val="nil"/>
              <w:right w:val="nil"/>
            </w:tcBorders>
            <w:noWrap/>
            <w:vAlign w:val="center"/>
          </w:tcPr>
          <w:p w14:paraId="2B06F098" w14:textId="77777777" w:rsidR="00152AEF" w:rsidRPr="00F32020" w:rsidRDefault="00152AEF" w:rsidP="00D314EE">
            <w:pPr>
              <w:rPr>
                <w:sz w:val="20"/>
                <w:szCs w:val="20"/>
              </w:rPr>
            </w:pPr>
            <w:r w:rsidRPr="00F32020">
              <w:rPr>
                <w:sz w:val="20"/>
                <w:szCs w:val="20"/>
              </w:rPr>
              <w:t>Founders’ age</w:t>
            </w:r>
          </w:p>
        </w:tc>
        <w:tc>
          <w:tcPr>
            <w:tcW w:w="4538" w:type="dxa"/>
            <w:tcBorders>
              <w:top w:val="nil"/>
              <w:left w:val="nil"/>
              <w:bottom w:val="nil"/>
              <w:right w:val="nil"/>
            </w:tcBorders>
            <w:noWrap/>
            <w:vAlign w:val="center"/>
          </w:tcPr>
          <w:p w14:paraId="4448B290" w14:textId="77777777" w:rsidR="00152AEF" w:rsidRPr="00F32020" w:rsidRDefault="00152AEF" w:rsidP="00D314EE">
            <w:pPr>
              <w:rPr>
                <w:sz w:val="20"/>
                <w:szCs w:val="20"/>
              </w:rPr>
            </w:pPr>
            <w:r w:rsidRPr="00F32020">
              <w:rPr>
                <w:sz w:val="20"/>
                <w:szCs w:val="20"/>
              </w:rPr>
              <w:t>The average age across a venture’s founders.</w:t>
            </w:r>
          </w:p>
        </w:tc>
        <w:tc>
          <w:tcPr>
            <w:tcW w:w="1985" w:type="dxa"/>
            <w:tcBorders>
              <w:top w:val="nil"/>
              <w:left w:val="nil"/>
              <w:bottom w:val="nil"/>
              <w:right w:val="nil"/>
            </w:tcBorders>
            <w:noWrap/>
            <w:vAlign w:val="center"/>
          </w:tcPr>
          <w:p w14:paraId="33F712C2" w14:textId="77777777" w:rsidR="00152AEF" w:rsidRPr="00F32020" w:rsidRDefault="00152AEF" w:rsidP="00D314EE">
            <w:pPr>
              <w:jc w:val="center"/>
              <w:rPr>
                <w:sz w:val="20"/>
                <w:szCs w:val="20"/>
              </w:rPr>
            </w:pPr>
            <w:r w:rsidRPr="00F32020">
              <w:rPr>
                <w:sz w:val="20"/>
                <w:szCs w:val="20"/>
              </w:rPr>
              <w:t>Authors’ elaboration on EDP data</w:t>
            </w:r>
          </w:p>
        </w:tc>
      </w:tr>
      <w:tr w:rsidR="00152AEF" w:rsidRPr="00F32020" w14:paraId="639923D8" w14:textId="77777777" w:rsidTr="00D314EE">
        <w:trPr>
          <w:trHeight w:val="260"/>
          <w:jc w:val="center"/>
        </w:trPr>
        <w:tc>
          <w:tcPr>
            <w:tcW w:w="3400" w:type="dxa"/>
            <w:tcBorders>
              <w:top w:val="nil"/>
              <w:left w:val="nil"/>
              <w:bottom w:val="nil"/>
              <w:right w:val="nil"/>
            </w:tcBorders>
            <w:noWrap/>
            <w:vAlign w:val="center"/>
          </w:tcPr>
          <w:p w14:paraId="53F6865E" w14:textId="77777777" w:rsidR="00152AEF" w:rsidRPr="00F32020" w:rsidRDefault="00152AEF" w:rsidP="00D314EE">
            <w:pPr>
              <w:rPr>
                <w:sz w:val="20"/>
                <w:szCs w:val="20"/>
              </w:rPr>
            </w:pPr>
            <w:r w:rsidRPr="00F32020">
              <w:rPr>
                <w:sz w:val="20"/>
                <w:szCs w:val="20"/>
              </w:rPr>
              <w:t>% of Females in founding team</w:t>
            </w:r>
          </w:p>
        </w:tc>
        <w:tc>
          <w:tcPr>
            <w:tcW w:w="4538" w:type="dxa"/>
            <w:tcBorders>
              <w:top w:val="nil"/>
              <w:left w:val="nil"/>
              <w:bottom w:val="nil"/>
              <w:right w:val="nil"/>
            </w:tcBorders>
            <w:noWrap/>
            <w:vAlign w:val="center"/>
          </w:tcPr>
          <w:p w14:paraId="338D9DC4" w14:textId="77777777" w:rsidR="00152AEF" w:rsidRPr="00F32020" w:rsidRDefault="00152AEF" w:rsidP="00D314EE">
            <w:pPr>
              <w:rPr>
                <w:sz w:val="20"/>
                <w:szCs w:val="20"/>
              </w:rPr>
            </w:pPr>
            <w:r w:rsidRPr="00F32020">
              <w:rPr>
                <w:sz w:val="20"/>
                <w:szCs w:val="20"/>
              </w:rPr>
              <w:t>The percentage of females amongst a venture’ founders.</w:t>
            </w:r>
          </w:p>
        </w:tc>
        <w:tc>
          <w:tcPr>
            <w:tcW w:w="1985" w:type="dxa"/>
            <w:tcBorders>
              <w:top w:val="nil"/>
              <w:left w:val="nil"/>
              <w:bottom w:val="nil"/>
              <w:right w:val="nil"/>
            </w:tcBorders>
            <w:noWrap/>
            <w:vAlign w:val="center"/>
          </w:tcPr>
          <w:p w14:paraId="5AEA24F8" w14:textId="77777777" w:rsidR="00152AEF" w:rsidRPr="00F32020" w:rsidRDefault="00152AEF" w:rsidP="00D314EE">
            <w:pPr>
              <w:jc w:val="center"/>
              <w:rPr>
                <w:sz w:val="20"/>
                <w:szCs w:val="20"/>
              </w:rPr>
            </w:pPr>
            <w:r w:rsidRPr="00F32020">
              <w:rPr>
                <w:sz w:val="20"/>
                <w:szCs w:val="20"/>
              </w:rPr>
              <w:t>Authors’ elaboration on EDP data</w:t>
            </w:r>
          </w:p>
        </w:tc>
      </w:tr>
      <w:tr w:rsidR="00152AEF" w:rsidRPr="00F32020" w14:paraId="0437C57E" w14:textId="77777777" w:rsidTr="00D314EE">
        <w:trPr>
          <w:trHeight w:val="260"/>
          <w:jc w:val="center"/>
        </w:trPr>
        <w:tc>
          <w:tcPr>
            <w:tcW w:w="3400" w:type="dxa"/>
            <w:tcBorders>
              <w:top w:val="nil"/>
              <w:left w:val="nil"/>
              <w:bottom w:val="nil"/>
              <w:right w:val="nil"/>
            </w:tcBorders>
            <w:noWrap/>
            <w:vAlign w:val="center"/>
            <w:hideMark/>
          </w:tcPr>
          <w:p w14:paraId="050108F0" w14:textId="77777777" w:rsidR="00152AEF" w:rsidRPr="00F32020" w:rsidRDefault="00152AEF" w:rsidP="00D314EE">
            <w:pPr>
              <w:rPr>
                <w:sz w:val="20"/>
                <w:szCs w:val="20"/>
              </w:rPr>
            </w:pPr>
            <w:r w:rsidRPr="00F32020">
              <w:rPr>
                <w:sz w:val="20"/>
                <w:szCs w:val="20"/>
              </w:rPr>
              <w:t>Years firm is active</w:t>
            </w:r>
          </w:p>
        </w:tc>
        <w:tc>
          <w:tcPr>
            <w:tcW w:w="4538" w:type="dxa"/>
            <w:tcBorders>
              <w:top w:val="nil"/>
              <w:left w:val="nil"/>
              <w:bottom w:val="nil"/>
              <w:right w:val="nil"/>
            </w:tcBorders>
            <w:noWrap/>
            <w:vAlign w:val="center"/>
            <w:hideMark/>
          </w:tcPr>
          <w:p w14:paraId="13C08F25" w14:textId="77777777" w:rsidR="00152AEF" w:rsidRPr="00F32020" w:rsidRDefault="00152AEF" w:rsidP="00D314EE">
            <w:pPr>
              <w:rPr>
                <w:sz w:val="20"/>
                <w:szCs w:val="20"/>
              </w:rPr>
            </w:pPr>
            <w:r w:rsidRPr="00F32020">
              <w:rPr>
                <w:sz w:val="20"/>
                <w:szCs w:val="20"/>
              </w:rPr>
              <w:t>Number of years since the venture was founded.</w:t>
            </w:r>
          </w:p>
        </w:tc>
        <w:tc>
          <w:tcPr>
            <w:tcW w:w="1985" w:type="dxa"/>
            <w:tcBorders>
              <w:top w:val="nil"/>
              <w:left w:val="nil"/>
              <w:bottom w:val="nil"/>
              <w:right w:val="nil"/>
            </w:tcBorders>
            <w:noWrap/>
            <w:vAlign w:val="center"/>
            <w:hideMark/>
          </w:tcPr>
          <w:p w14:paraId="5D403B82" w14:textId="77777777" w:rsidR="00152AEF" w:rsidRPr="00F32020" w:rsidRDefault="00152AEF" w:rsidP="00D314EE">
            <w:pPr>
              <w:jc w:val="center"/>
              <w:rPr>
                <w:sz w:val="20"/>
                <w:szCs w:val="20"/>
              </w:rPr>
            </w:pPr>
            <w:r w:rsidRPr="00F32020">
              <w:rPr>
                <w:sz w:val="20"/>
                <w:szCs w:val="20"/>
              </w:rPr>
              <w:t>Authors’ elaboration on EDP data</w:t>
            </w:r>
          </w:p>
        </w:tc>
      </w:tr>
      <w:tr w:rsidR="00152AEF" w:rsidRPr="00F32020" w14:paraId="224E3397" w14:textId="77777777" w:rsidTr="00D314EE">
        <w:trPr>
          <w:trHeight w:val="260"/>
          <w:jc w:val="center"/>
        </w:trPr>
        <w:tc>
          <w:tcPr>
            <w:tcW w:w="3400" w:type="dxa"/>
            <w:tcBorders>
              <w:top w:val="nil"/>
              <w:left w:val="nil"/>
              <w:bottom w:val="nil"/>
              <w:right w:val="nil"/>
            </w:tcBorders>
            <w:noWrap/>
            <w:vAlign w:val="center"/>
            <w:hideMark/>
          </w:tcPr>
          <w:p w14:paraId="6AA02F63" w14:textId="77777777" w:rsidR="00152AEF" w:rsidRPr="00F32020" w:rsidRDefault="00152AEF" w:rsidP="00D314EE">
            <w:pPr>
              <w:rPr>
                <w:sz w:val="20"/>
                <w:szCs w:val="20"/>
              </w:rPr>
            </w:pPr>
            <w:r w:rsidRPr="00F32020">
              <w:rPr>
                <w:sz w:val="20"/>
                <w:szCs w:val="20"/>
              </w:rPr>
              <w:t>Revenues</w:t>
            </w:r>
          </w:p>
        </w:tc>
        <w:tc>
          <w:tcPr>
            <w:tcW w:w="4538" w:type="dxa"/>
            <w:tcBorders>
              <w:top w:val="nil"/>
              <w:left w:val="nil"/>
              <w:bottom w:val="nil"/>
              <w:right w:val="nil"/>
            </w:tcBorders>
            <w:noWrap/>
            <w:vAlign w:val="center"/>
            <w:hideMark/>
          </w:tcPr>
          <w:p w14:paraId="1E46E725" w14:textId="77777777" w:rsidR="00152AEF" w:rsidRPr="00F32020" w:rsidRDefault="00152AEF" w:rsidP="00D314EE">
            <w:pPr>
              <w:rPr>
                <w:sz w:val="20"/>
                <w:szCs w:val="20"/>
              </w:rPr>
            </w:pPr>
            <w:r w:rsidRPr="00F32020">
              <w:rPr>
                <w:sz w:val="20"/>
                <w:szCs w:val="20"/>
              </w:rPr>
              <w:t>Venture's revenues in the last fiscal year prior to its application. Figures in USD.</w:t>
            </w:r>
          </w:p>
        </w:tc>
        <w:tc>
          <w:tcPr>
            <w:tcW w:w="1985" w:type="dxa"/>
            <w:tcBorders>
              <w:top w:val="nil"/>
              <w:left w:val="nil"/>
              <w:bottom w:val="nil"/>
              <w:right w:val="nil"/>
            </w:tcBorders>
            <w:noWrap/>
            <w:vAlign w:val="center"/>
            <w:hideMark/>
          </w:tcPr>
          <w:p w14:paraId="211E4BC9" w14:textId="77777777" w:rsidR="00152AEF" w:rsidRPr="00F32020" w:rsidRDefault="00152AEF" w:rsidP="00D314EE">
            <w:pPr>
              <w:jc w:val="center"/>
              <w:rPr>
                <w:sz w:val="20"/>
                <w:szCs w:val="20"/>
              </w:rPr>
            </w:pPr>
            <w:r w:rsidRPr="00F32020">
              <w:rPr>
                <w:sz w:val="20"/>
                <w:szCs w:val="20"/>
              </w:rPr>
              <w:t>EDP</w:t>
            </w:r>
          </w:p>
        </w:tc>
      </w:tr>
      <w:tr w:rsidR="00152AEF" w:rsidRPr="00F32020" w14:paraId="2A59795A" w14:textId="77777777" w:rsidTr="00D314EE">
        <w:trPr>
          <w:trHeight w:val="260"/>
          <w:jc w:val="center"/>
        </w:trPr>
        <w:tc>
          <w:tcPr>
            <w:tcW w:w="3400" w:type="dxa"/>
            <w:tcBorders>
              <w:top w:val="nil"/>
              <w:left w:val="nil"/>
              <w:bottom w:val="nil"/>
              <w:right w:val="nil"/>
            </w:tcBorders>
            <w:noWrap/>
            <w:vAlign w:val="center"/>
          </w:tcPr>
          <w:p w14:paraId="2D1DEBF7" w14:textId="77777777" w:rsidR="00152AEF" w:rsidRPr="00F32020" w:rsidRDefault="00152AEF" w:rsidP="00D314EE">
            <w:pPr>
              <w:rPr>
                <w:sz w:val="20"/>
                <w:szCs w:val="20"/>
              </w:rPr>
            </w:pPr>
            <w:r w:rsidRPr="00F32020">
              <w:rPr>
                <w:sz w:val="20"/>
                <w:szCs w:val="20"/>
              </w:rPr>
              <w:t>Equity since founded</w:t>
            </w:r>
          </w:p>
        </w:tc>
        <w:tc>
          <w:tcPr>
            <w:tcW w:w="4538" w:type="dxa"/>
            <w:tcBorders>
              <w:top w:val="nil"/>
              <w:left w:val="nil"/>
              <w:bottom w:val="nil"/>
              <w:right w:val="nil"/>
            </w:tcBorders>
            <w:noWrap/>
            <w:vAlign w:val="center"/>
          </w:tcPr>
          <w:p w14:paraId="6FF240D6" w14:textId="77777777" w:rsidR="00152AEF" w:rsidRPr="00F32020" w:rsidRDefault="00152AEF" w:rsidP="00D314EE">
            <w:pPr>
              <w:rPr>
                <w:sz w:val="20"/>
                <w:szCs w:val="20"/>
              </w:rPr>
            </w:pPr>
            <w:r w:rsidRPr="00F32020">
              <w:rPr>
                <w:sz w:val="20"/>
                <w:szCs w:val="20"/>
              </w:rPr>
              <w:t>The amount of equity financing a venture obtained from all potential sources since founded.</w:t>
            </w:r>
          </w:p>
        </w:tc>
        <w:tc>
          <w:tcPr>
            <w:tcW w:w="1985" w:type="dxa"/>
            <w:tcBorders>
              <w:top w:val="nil"/>
              <w:left w:val="nil"/>
              <w:bottom w:val="nil"/>
              <w:right w:val="nil"/>
            </w:tcBorders>
            <w:noWrap/>
            <w:vAlign w:val="center"/>
          </w:tcPr>
          <w:p w14:paraId="3BAE5757" w14:textId="77777777" w:rsidR="00152AEF" w:rsidRPr="00F32020" w:rsidRDefault="00152AEF" w:rsidP="00D314EE">
            <w:pPr>
              <w:jc w:val="center"/>
              <w:rPr>
                <w:sz w:val="20"/>
                <w:szCs w:val="20"/>
              </w:rPr>
            </w:pPr>
          </w:p>
        </w:tc>
      </w:tr>
      <w:tr w:rsidR="00152AEF" w:rsidRPr="00F32020" w14:paraId="29CB32AE" w14:textId="77777777" w:rsidTr="00D314EE">
        <w:trPr>
          <w:trHeight w:val="260"/>
          <w:jc w:val="center"/>
        </w:trPr>
        <w:tc>
          <w:tcPr>
            <w:tcW w:w="3400" w:type="dxa"/>
            <w:tcBorders>
              <w:top w:val="nil"/>
              <w:left w:val="nil"/>
              <w:bottom w:val="nil"/>
              <w:right w:val="nil"/>
            </w:tcBorders>
            <w:noWrap/>
            <w:vAlign w:val="center"/>
            <w:hideMark/>
          </w:tcPr>
          <w:p w14:paraId="459135E1" w14:textId="77777777" w:rsidR="00152AEF" w:rsidRPr="00F32020" w:rsidRDefault="00152AEF" w:rsidP="00D314EE">
            <w:pPr>
              <w:rPr>
                <w:sz w:val="20"/>
                <w:szCs w:val="20"/>
              </w:rPr>
            </w:pPr>
            <w:r w:rsidRPr="00F32020">
              <w:rPr>
                <w:sz w:val="20"/>
                <w:szCs w:val="20"/>
              </w:rPr>
              <w:t>Non-for-Profit type</w:t>
            </w:r>
          </w:p>
        </w:tc>
        <w:tc>
          <w:tcPr>
            <w:tcW w:w="4538" w:type="dxa"/>
            <w:tcBorders>
              <w:top w:val="nil"/>
              <w:left w:val="nil"/>
              <w:bottom w:val="nil"/>
              <w:right w:val="nil"/>
            </w:tcBorders>
            <w:noWrap/>
            <w:vAlign w:val="center"/>
            <w:hideMark/>
          </w:tcPr>
          <w:p w14:paraId="6ECCDDD0" w14:textId="77777777" w:rsidR="00152AEF" w:rsidRPr="00F32020" w:rsidRDefault="00152AEF" w:rsidP="00D314EE">
            <w:pPr>
              <w:rPr>
                <w:sz w:val="20"/>
                <w:szCs w:val="20"/>
              </w:rPr>
            </w:pPr>
            <w:r w:rsidRPr="00F32020">
              <w:rPr>
                <w:sz w:val="20"/>
                <w:szCs w:val="20"/>
              </w:rPr>
              <w:t>Dummy variable, takes '1' if a venture is of non-for-profit type, and '0' otherwise.</w:t>
            </w:r>
          </w:p>
        </w:tc>
        <w:tc>
          <w:tcPr>
            <w:tcW w:w="1985" w:type="dxa"/>
            <w:tcBorders>
              <w:top w:val="nil"/>
              <w:left w:val="nil"/>
              <w:bottom w:val="nil"/>
              <w:right w:val="nil"/>
            </w:tcBorders>
            <w:noWrap/>
            <w:vAlign w:val="center"/>
            <w:hideMark/>
          </w:tcPr>
          <w:p w14:paraId="4466760A" w14:textId="77777777" w:rsidR="00152AEF" w:rsidRPr="00F32020" w:rsidRDefault="00152AEF" w:rsidP="00D314EE">
            <w:pPr>
              <w:jc w:val="center"/>
              <w:rPr>
                <w:sz w:val="20"/>
                <w:szCs w:val="20"/>
              </w:rPr>
            </w:pPr>
            <w:r w:rsidRPr="00F32020">
              <w:rPr>
                <w:sz w:val="20"/>
                <w:szCs w:val="20"/>
              </w:rPr>
              <w:t>EDP</w:t>
            </w:r>
          </w:p>
        </w:tc>
      </w:tr>
      <w:tr w:rsidR="00152AEF" w:rsidRPr="00F32020" w14:paraId="5DFB4FBD" w14:textId="77777777" w:rsidTr="00D314EE">
        <w:trPr>
          <w:trHeight w:val="260"/>
          <w:jc w:val="center"/>
        </w:trPr>
        <w:tc>
          <w:tcPr>
            <w:tcW w:w="3400" w:type="dxa"/>
            <w:tcBorders>
              <w:top w:val="nil"/>
              <w:left w:val="nil"/>
              <w:bottom w:val="nil"/>
              <w:right w:val="nil"/>
            </w:tcBorders>
            <w:noWrap/>
            <w:vAlign w:val="center"/>
            <w:hideMark/>
          </w:tcPr>
          <w:p w14:paraId="7363F6E7" w14:textId="77777777" w:rsidR="00152AEF" w:rsidRPr="00F32020" w:rsidRDefault="00152AEF" w:rsidP="00D314EE">
            <w:pPr>
              <w:rPr>
                <w:sz w:val="20"/>
                <w:szCs w:val="20"/>
              </w:rPr>
            </w:pPr>
            <w:r w:rsidRPr="00F32020">
              <w:rPr>
                <w:sz w:val="20"/>
                <w:szCs w:val="20"/>
              </w:rPr>
              <w:t>Social Motives</w:t>
            </w:r>
          </w:p>
        </w:tc>
        <w:tc>
          <w:tcPr>
            <w:tcW w:w="4538" w:type="dxa"/>
            <w:tcBorders>
              <w:top w:val="nil"/>
              <w:left w:val="nil"/>
              <w:bottom w:val="nil"/>
              <w:right w:val="nil"/>
            </w:tcBorders>
            <w:noWrap/>
            <w:vAlign w:val="center"/>
            <w:hideMark/>
          </w:tcPr>
          <w:p w14:paraId="5D03F6E0" w14:textId="77777777" w:rsidR="00152AEF" w:rsidRPr="00F32020" w:rsidRDefault="00152AEF" w:rsidP="00D314EE">
            <w:pPr>
              <w:rPr>
                <w:sz w:val="20"/>
                <w:szCs w:val="20"/>
              </w:rPr>
            </w:pPr>
            <w:r w:rsidRPr="00F32020">
              <w:rPr>
                <w:sz w:val="20"/>
                <w:szCs w:val="20"/>
              </w:rPr>
              <w:t>Dummy variable, takes '1' if a venture has social motives, and '0' otherwise.</w:t>
            </w:r>
          </w:p>
        </w:tc>
        <w:tc>
          <w:tcPr>
            <w:tcW w:w="1985" w:type="dxa"/>
            <w:tcBorders>
              <w:top w:val="nil"/>
              <w:left w:val="nil"/>
              <w:bottom w:val="nil"/>
              <w:right w:val="nil"/>
            </w:tcBorders>
            <w:noWrap/>
            <w:vAlign w:val="center"/>
            <w:hideMark/>
          </w:tcPr>
          <w:p w14:paraId="7C22CC0F" w14:textId="77777777" w:rsidR="00152AEF" w:rsidRPr="00F32020" w:rsidRDefault="00152AEF" w:rsidP="00D314EE">
            <w:pPr>
              <w:jc w:val="center"/>
              <w:rPr>
                <w:sz w:val="20"/>
                <w:szCs w:val="20"/>
              </w:rPr>
            </w:pPr>
            <w:r w:rsidRPr="00F32020">
              <w:rPr>
                <w:sz w:val="20"/>
                <w:szCs w:val="20"/>
              </w:rPr>
              <w:t>EDP</w:t>
            </w:r>
          </w:p>
        </w:tc>
      </w:tr>
      <w:tr w:rsidR="00152AEF" w:rsidRPr="00F32020" w14:paraId="4EE48F5E" w14:textId="77777777" w:rsidTr="00D314EE">
        <w:trPr>
          <w:trHeight w:val="560"/>
          <w:jc w:val="center"/>
        </w:trPr>
        <w:tc>
          <w:tcPr>
            <w:tcW w:w="3400" w:type="dxa"/>
            <w:tcBorders>
              <w:top w:val="nil"/>
              <w:left w:val="nil"/>
              <w:bottom w:val="nil"/>
              <w:right w:val="nil"/>
            </w:tcBorders>
            <w:noWrap/>
            <w:vAlign w:val="center"/>
            <w:hideMark/>
          </w:tcPr>
          <w:p w14:paraId="0D2EDBE8" w14:textId="77777777" w:rsidR="00152AEF" w:rsidRPr="00F32020" w:rsidRDefault="00152AEF" w:rsidP="00D314EE">
            <w:pPr>
              <w:rPr>
                <w:sz w:val="20"/>
                <w:szCs w:val="20"/>
              </w:rPr>
            </w:pPr>
            <w:r w:rsidRPr="00F32020">
              <w:rPr>
                <w:sz w:val="20"/>
                <w:szCs w:val="20"/>
              </w:rPr>
              <w:t>Invention-based</w:t>
            </w:r>
          </w:p>
        </w:tc>
        <w:tc>
          <w:tcPr>
            <w:tcW w:w="4538" w:type="dxa"/>
            <w:tcBorders>
              <w:top w:val="nil"/>
              <w:left w:val="nil"/>
              <w:bottom w:val="nil"/>
              <w:right w:val="nil"/>
            </w:tcBorders>
            <w:vAlign w:val="center"/>
            <w:hideMark/>
          </w:tcPr>
          <w:p w14:paraId="59B70961" w14:textId="77777777" w:rsidR="00152AEF" w:rsidRPr="00F32020" w:rsidRDefault="00152AEF" w:rsidP="00D314EE">
            <w:pPr>
              <w:jc w:val="both"/>
              <w:rPr>
                <w:sz w:val="20"/>
                <w:szCs w:val="20"/>
              </w:rPr>
            </w:pPr>
            <w:bookmarkStart w:id="25" w:name="_Hlk54632647"/>
            <w:r w:rsidRPr="00F32020">
              <w:rPr>
                <w:sz w:val="20"/>
                <w:szCs w:val="20"/>
              </w:rPr>
              <w:t xml:space="preserve">Dummy variable, takes '1' if a </w:t>
            </w:r>
            <w:bookmarkStart w:id="26" w:name="_Hlk212144866"/>
            <w:r w:rsidRPr="00F32020">
              <w:rPr>
                <w:sz w:val="20"/>
                <w:szCs w:val="20"/>
              </w:rPr>
              <w:t xml:space="preserve">venture's model is invention-based, and '0' otherwise. This is based on the answer to the question “Would you say that your venture is invention based (i.e. a company that builds upon newly-created technology owned by the venture and/or its founders?). </w:t>
            </w:r>
            <w:bookmarkEnd w:id="25"/>
            <w:bookmarkEnd w:id="26"/>
          </w:p>
        </w:tc>
        <w:tc>
          <w:tcPr>
            <w:tcW w:w="1985" w:type="dxa"/>
            <w:tcBorders>
              <w:top w:val="nil"/>
              <w:left w:val="nil"/>
              <w:bottom w:val="nil"/>
              <w:right w:val="nil"/>
            </w:tcBorders>
            <w:noWrap/>
            <w:vAlign w:val="center"/>
            <w:hideMark/>
          </w:tcPr>
          <w:p w14:paraId="5DEFAD9F" w14:textId="77777777" w:rsidR="00152AEF" w:rsidRPr="00F32020" w:rsidRDefault="00152AEF" w:rsidP="00D314EE">
            <w:pPr>
              <w:jc w:val="center"/>
              <w:rPr>
                <w:sz w:val="20"/>
                <w:szCs w:val="20"/>
              </w:rPr>
            </w:pPr>
            <w:r w:rsidRPr="00F32020">
              <w:rPr>
                <w:sz w:val="20"/>
                <w:szCs w:val="20"/>
              </w:rPr>
              <w:t>EDP</w:t>
            </w:r>
          </w:p>
        </w:tc>
      </w:tr>
      <w:tr w:rsidR="00152AEF" w:rsidRPr="00F32020" w14:paraId="12D0969A" w14:textId="77777777" w:rsidTr="00D314EE">
        <w:trPr>
          <w:trHeight w:val="260"/>
          <w:jc w:val="center"/>
        </w:trPr>
        <w:tc>
          <w:tcPr>
            <w:tcW w:w="3400" w:type="dxa"/>
            <w:tcBorders>
              <w:top w:val="nil"/>
              <w:left w:val="nil"/>
              <w:bottom w:val="nil"/>
              <w:right w:val="nil"/>
            </w:tcBorders>
            <w:noWrap/>
            <w:vAlign w:val="center"/>
            <w:hideMark/>
          </w:tcPr>
          <w:p w14:paraId="315CE47D" w14:textId="77777777" w:rsidR="00152AEF" w:rsidRPr="00F32020" w:rsidRDefault="00152AEF" w:rsidP="00D314EE">
            <w:pPr>
              <w:rPr>
                <w:sz w:val="20"/>
                <w:szCs w:val="20"/>
              </w:rPr>
            </w:pPr>
            <w:r w:rsidRPr="00F32020">
              <w:rPr>
                <w:sz w:val="20"/>
                <w:szCs w:val="20"/>
              </w:rPr>
              <w:t>Intellectual Property</w:t>
            </w:r>
          </w:p>
        </w:tc>
        <w:tc>
          <w:tcPr>
            <w:tcW w:w="4538" w:type="dxa"/>
            <w:tcBorders>
              <w:top w:val="nil"/>
              <w:left w:val="nil"/>
              <w:bottom w:val="nil"/>
              <w:right w:val="nil"/>
            </w:tcBorders>
            <w:noWrap/>
            <w:vAlign w:val="center"/>
            <w:hideMark/>
          </w:tcPr>
          <w:p w14:paraId="53B652FF" w14:textId="77777777" w:rsidR="00152AEF" w:rsidRPr="00F32020" w:rsidRDefault="00152AEF" w:rsidP="00D314EE">
            <w:pPr>
              <w:rPr>
                <w:sz w:val="20"/>
                <w:szCs w:val="20"/>
              </w:rPr>
            </w:pPr>
            <w:r w:rsidRPr="00F32020">
              <w:rPr>
                <w:sz w:val="20"/>
                <w:szCs w:val="20"/>
              </w:rPr>
              <w:t>Dummy variable, takes ‘1’ if a venture has any of the following: patents, trademarks or copyrights.</w:t>
            </w:r>
          </w:p>
        </w:tc>
        <w:tc>
          <w:tcPr>
            <w:tcW w:w="1985" w:type="dxa"/>
            <w:tcBorders>
              <w:top w:val="nil"/>
              <w:left w:val="nil"/>
              <w:bottom w:val="nil"/>
              <w:right w:val="nil"/>
            </w:tcBorders>
            <w:noWrap/>
            <w:vAlign w:val="center"/>
            <w:hideMark/>
          </w:tcPr>
          <w:p w14:paraId="149AD456" w14:textId="77777777" w:rsidR="00152AEF" w:rsidRPr="00F32020" w:rsidRDefault="00152AEF" w:rsidP="00D314EE">
            <w:pPr>
              <w:jc w:val="center"/>
              <w:rPr>
                <w:sz w:val="20"/>
                <w:szCs w:val="20"/>
              </w:rPr>
            </w:pPr>
            <w:r w:rsidRPr="00F32020">
              <w:rPr>
                <w:sz w:val="20"/>
                <w:szCs w:val="20"/>
              </w:rPr>
              <w:t>Authors’ elaboration on EDP</w:t>
            </w:r>
          </w:p>
        </w:tc>
      </w:tr>
      <w:tr w:rsidR="00152AEF" w:rsidRPr="00F32020" w14:paraId="715461B2" w14:textId="77777777" w:rsidTr="00D314EE">
        <w:trPr>
          <w:trHeight w:val="260"/>
          <w:jc w:val="center"/>
        </w:trPr>
        <w:tc>
          <w:tcPr>
            <w:tcW w:w="3400" w:type="dxa"/>
            <w:tcBorders>
              <w:top w:val="nil"/>
              <w:left w:val="nil"/>
              <w:bottom w:val="nil"/>
              <w:right w:val="nil"/>
            </w:tcBorders>
            <w:noWrap/>
            <w:vAlign w:val="center"/>
          </w:tcPr>
          <w:p w14:paraId="672E3DA0" w14:textId="77777777" w:rsidR="00152AEF" w:rsidRPr="00F32020" w:rsidRDefault="00152AEF" w:rsidP="00D314EE">
            <w:pPr>
              <w:rPr>
                <w:sz w:val="20"/>
                <w:szCs w:val="20"/>
              </w:rPr>
            </w:pPr>
            <w:r w:rsidRPr="00F32020">
              <w:rPr>
                <w:sz w:val="20"/>
                <w:szCs w:val="20"/>
              </w:rPr>
              <w:t>Reported prior accelerator</w:t>
            </w:r>
          </w:p>
        </w:tc>
        <w:tc>
          <w:tcPr>
            <w:tcW w:w="4538" w:type="dxa"/>
            <w:tcBorders>
              <w:top w:val="nil"/>
              <w:left w:val="nil"/>
              <w:bottom w:val="nil"/>
              <w:right w:val="nil"/>
            </w:tcBorders>
            <w:noWrap/>
            <w:vAlign w:val="center"/>
          </w:tcPr>
          <w:p w14:paraId="73FF1F5A" w14:textId="77777777" w:rsidR="00152AEF" w:rsidRPr="00F32020" w:rsidRDefault="00152AEF" w:rsidP="00D314EE">
            <w:pPr>
              <w:rPr>
                <w:sz w:val="20"/>
                <w:szCs w:val="20"/>
              </w:rPr>
            </w:pPr>
            <w:r w:rsidRPr="00F32020">
              <w:rPr>
                <w:sz w:val="20"/>
                <w:szCs w:val="20"/>
              </w:rPr>
              <w:t>Dummy variable, takes ‘1’ whether founders participated in any prior accelerator programmes.</w:t>
            </w:r>
          </w:p>
        </w:tc>
        <w:tc>
          <w:tcPr>
            <w:tcW w:w="1985" w:type="dxa"/>
            <w:tcBorders>
              <w:top w:val="nil"/>
              <w:left w:val="nil"/>
              <w:bottom w:val="nil"/>
              <w:right w:val="nil"/>
            </w:tcBorders>
            <w:noWrap/>
            <w:vAlign w:val="center"/>
          </w:tcPr>
          <w:p w14:paraId="1D62C60B" w14:textId="77777777" w:rsidR="00152AEF" w:rsidRPr="00F32020" w:rsidRDefault="00152AEF" w:rsidP="00D314EE">
            <w:pPr>
              <w:jc w:val="center"/>
              <w:rPr>
                <w:sz w:val="20"/>
                <w:szCs w:val="20"/>
              </w:rPr>
            </w:pPr>
          </w:p>
        </w:tc>
      </w:tr>
      <w:tr w:rsidR="00152AEF" w:rsidRPr="00F32020" w14:paraId="226ACAC9" w14:textId="77777777" w:rsidTr="00D314EE">
        <w:trPr>
          <w:trHeight w:val="260"/>
          <w:jc w:val="center"/>
        </w:trPr>
        <w:tc>
          <w:tcPr>
            <w:tcW w:w="3400" w:type="dxa"/>
            <w:tcBorders>
              <w:top w:val="nil"/>
              <w:left w:val="nil"/>
              <w:right w:val="nil"/>
            </w:tcBorders>
            <w:noWrap/>
            <w:vAlign w:val="center"/>
          </w:tcPr>
          <w:p w14:paraId="4D34D15D" w14:textId="77777777" w:rsidR="00152AEF" w:rsidRPr="00F32020" w:rsidRDefault="00152AEF" w:rsidP="00D314EE">
            <w:pPr>
              <w:rPr>
                <w:sz w:val="20"/>
                <w:szCs w:val="20"/>
              </w:rPr>
            </w:pPr>
            <w:r w:rsidRPr="00F32020">
              <w:rPr>
                <w:sz w:val="20"/>
                <w:szCs w:val="20"/>
              </w:rPr>
              <w:t>Institutional Index</w:t>
            </w:r>
          </w:p>
        </w:tc>
        <w:tc>
          <w:tcPr>
            <w:tcW w:w="4538" w:type="dxa"/>
            <w:tcBorders>
              <w:top w:val="nil"/>
              <w:left w:val="nil"/>
              <w:right w:val="nil"/>
            </w:tcBorders>
            <w:noWrap/>
            <w:vAlign w:val="center"/>
          </w:tcPr>
          <w:p w14:paraId="7E50C59B" w14:textId="77777777" w:rsidR="00152AEF" w:rsidRPr="00F32020" w:rsidRDefault="00152AEF" w:rsidP="00D314EE">
            <w:pPr>
              <w:rPr>
                <w:sz w:val="20"/>
                <w:szCs w:val="20"/>
              </w:rPr>
            </w:pPr>
            <w:r w:rsidRPr="00F32020">
              <w:rPr>
                <w:sz w:val="20"/>
                <w:szCs w:val="20"/>
              </w:rPr>
              <w:t>Non-weighted average of institutional quality indicators from the ‘Worldwide Governance Indicators’ database (Kaufmann et al., 2011).</w:t>
            </w:r>
          </w:p>
        </w:tc>
        <w:tc>
          <w:tcPr>
            <w:tcW w:w="1985" w:type="dxa"/>
            <w:tcBorders>
              <w:top w:val="nil"/>
              <w:left w:val="nil"/>
              <w:right w:val="nil"/>
            </w:tcBorders>
            <w:noWrap/>
            <w:vAlign w:val="center"/>
          </w:tcPr>
          <w:p w14:paraId="7BB9CFEE" w14:textId="77777777" w:rsidR="00152AEF" w:rsidRPr="00F32020" w:rsidRDefault="00152AEF" w:rsidP="00D314EE">
            <w:pPr>
              <w:jc w:val="center"/>
              <w:rPr>
                <w:sz w:val="20"/>
                <w:szCs w:val="20"/>
              </w:rPr>
            </w:pPr>
            <w:r w:rsidRPr="00F32020">
              <w:rPr>
                <w:sz w:val="20"/>
                <w:szCs w:val="20"/>
              </w:rPr>
              <w:t>Authors’ elaboration on World Bank data</w:t>
            </w:r>
          </w:p>
        </w:tc>
      </w:tr>
      <w:tr w:rsidR="00152AEF" w:rsidRPr="00F32020" w14:paraId="3000BB72" w14:textId="77777777" w:rsidTr="00D314EE">
        <w:trPr>
          <w:trHeight w:val="260"/>
          <w:jc w:val="center"/>
        </w:trPr>
        <w:tc>
          <w:tcPr>
            <w:tcW w:w="3400" w:type="dxa"/>
            <w:tcBorders>
              <w:top w:val="nil"/>
              <w:left w:val="nil"/>
              <w:right w:val="nil"/>
            </w:tcBorders>
            <w:noWrap/>
            <w:vAlign w:val="center"/>
            <w:hideMark/>
          </w:tcPr>
          <w:p w14:paraId="75F23517" w14:textId="77777777" w:rsidR="00152AEF" w:rsidRPr="00F32020" w:rsidRDefault="00152AEF" w:rsidP="00D314EE">
            <w:pPr>
              <w:rPr>
                <w:sz w:val="20"/>
                <w:szCs w:val="20"/>
              </w:rPr>
            </w:pPr>
            <w:r w:rsidRPr="00F32020">
              <w:rPr>
                <w:sz w:val="20"/>
                <w:szCs w:val="20"/>
              </w:rPr>
              <w:t>GDP Growth rate (%)</w:t>
            </w:r>
          </w:p>
        </w:tc>
        <w:tc>
          <w:tcPr>
            <w:tcW w:w="4538" w:type="dxa"/>
            <w:tcBorders>
              <w:top w:val="nil"/>
              <w:left w:val="nil"/>
              <w:right w:val="nil"/>
            </w:tcBorders>
            <w:noWrap/>
            <w:vAlign w:val="center"/>
            <w:hideMark/>
          </w:tcPr>
          <w:p w14:paraId="67EBBCC6" w14:textId="77777777" w:rsidR="00152AEF" w:rsidRPr="00F32020" w:rsidRDefault="00152AEF" w:rsidP="00D314EE">
            <w:pPr>
              <w:rPr>
                <w:sz w:val="20"/>
                <w:szCs w:val="20"/>
              </w:rPr>
            </w:pPr>
            <w:r w:rsidRPr="00F32020">
              <w:rPr>
                <w:sz w:val="20"/>
                <w:szCs w:val="20"/>
              </w:rPr>
              <w:t>GDP growth rate (in %), referring to the country in which the venture operates.</w:t>
            </w:r>
          </w:p>
        </w:tc>
        <w:tc>
          <w:tcPr>
            <w:tcW w:w="1985" w:type="dxa"/>
            <w:tcBorders>
              <w:top w:val="nil"/>
              <w:left w:val="nil"/>
              <w:right w:val="nil"/>
            </w:tcBorders>
            <w:noWrap/>
            <w:vAlign w:val="center"/>
            <w:hideMark/>
          </w:tcPr>
          <w:p w14:paraId="59B5D6DD" w14:textId="77777777" w:rsidR="00152AEF" w:rsidRPr="00F32020" w:rsidRDefault="00152AEF" w:rsidP="00D314EE">
            <w:pPr>
              <w:jc w:val="center"/>
              <w:rPr>
                <w:sz w:val="20"/>
                <w:szCs w:val="20"/>
              </w:rPr>
            </w:pPr>
            <w:r w:rsidRPr="00F32020">
              <w:rPr>
                <w:sz w:val="20"/>
                <w:szCs w:val="20"/>
              </w:rPr>
              <w:t>IMF</w:t>
            </w:r>
          </w:p>
        </w:tc>
      </w:tr>
      <w:tr w:rsidR="00152AEF" w:rsidRPr="00F32020" w14:paraId="44CB9A06" w14:textId="77777777" w:rsidTr="00D314EE">
        <w:trPr>
          <w:trHeight w:val="260"/>
          <w:jc w:val="center"/>
        </w:trPr>
        <w:tc>
          <w:tcPr>
            <w:tcW w:w="3400" w:type="dxa"/>
            <w:tcBorders>
              <w:top w:val="nil"/>
              <w:left w:val="nil"/>
              <w:bottom w:val="single" w:sz="4" w:space="0" w:color="auto"/>
              <w:right w:val="nil"/>
            </w:tcBorders>
            <w:noWrap/>
            <w:vAlign w:val="center"/>
            <w:hideMark/>
          </w:tcPr>
          <w:p w14:paraId="2723D21E" w14:textId="77777777" w:rsidR="00152AEF" w:rsidRPr="00F32020" w:rsidRDefault="00152AEF" w:rsidP="00D314EE">
            <w:pPr>
              <w:rPr>
                <w:sz w:val="20"/>
                <w:szCs w:val="20"/>
              </w:rPr>
            </w:pPr>
            <w:r w:rsidRPr="00F32020">
              <w:rPr>
                <w:sz w:val="20"/>
                <w:szCs w:val="20"/>
              </w:rPr>
              <w:t>Inflation rate (%)</w:t>
            </w:r>
          </w:p>
        </w:tc>
        <w:tc>
          <w:tcPr>
            <w:tcW w:w="4538" w:type="dxa"/>
            <w:tcBorders>
              <w:top w:val="nil"/>
              <w:left w:val="nil"/>
              <w:bottom w:val="single" w:sz="4" w:space="0" w:color="auto"/>
              <w:right w:val="nil"/>
            </w:tcBorders>
            <w:noWrap/>
            <w:vAlign w:val="center"/>
            <w:hideMark/>
          </w:tcPr>
          <w:p w14:paraId="24408A3D" w14:textId="77777777" w:rsidR="00152AEF" w:rsidRPr="00F32020" w:rsidRDefault="00152AEF" w:rsidP="00D314EE">
            <w:pPr>
              <w:rPr>
                <w:sz w:val="20"/>
                <w:szCs w:val="20"/>
              </w:rPr>
            </w:pPr>
            <w:r w:rsidRPr="00F32020">
              <w:rPr>
                <w:sz w:val="20"/>
                <w:szCs w:val="20"/>
              </w:rPr>
              <w:t>Inflation rate (in %), referring to the country in which the venture operates.</w:t>
            </w:r>
          </w:p>
        </w:tc>
        <w:tc>
          <w:tcPr>
            <w:tcW w:w="1985" w:type="dxa"/>
            <w:tcBorders>
              <w:top w:val="nil"/>
              <w:left w:val="nil"/>
              <w:bottom w:val="single" w:sz="4" w:space="0" w:color="auto"/>
              <w:right w:val="nil"/>
            </w:tcBorders>
            <w:noWrap/>
            <w:vAlign w:val="center"/>
            <w:hideMark/>
          </w:tcPr>
          <w:p w14:paraId="5B04089F" w14:textId="77777777" w:rsidR="00152AEF" w:rsidRPr="00F32020" w:rsidRDefault="00152AEF" w:rsidP="00D314EE">
            <w:pPr>
              <w:jc w:val="center"/>
              <w:rPr>
                <w:sz w:val="20"/>
                <w:szCs w:val="20"/>
              </w:rPr>
            </w:pPr>
            <w:r w:rsidRPr="00F32020">
              <w:rPr>
                <w:sz w:val="20"/>
                <w:szCs w:val="20"/>
              </w:rPr>
              <w:t>IMF</w:t>
            </w:r>
          </w:p>
        </w:tc>
      </w:tr>
    </w:tbl>
    <w:p w14:paraId="51E09EFC" w14:textId="77777777" w:rsidR="00152AEF" w:rsidRPr="00F32020" w:rsidRDefault="00152AEF" w:rsidP="00152AEF">
      <w:pPr>
        <w:ind w:left="720" w:hanging="720"/>
        <w:rPr>
          <w:shd w:val="clear" w:color="auto" w:fill="FFFFFF"/>
        </w:rPr>
      </w:pPr>
    </w:p>
    <w:p w14:paraId="31401C57" w14:textId="77777777" w:rsidR="00152AEF" w:rsidRPr="00F32020" w:rsidRDefault="00152AEF" w:rsidP="00152AEF">
      <w:pPr>
        <w:adjustRightInd w:val="0"/>
        <w:spacing w:line="360" w:lineRule="auto"/>
        <w:jc w:val="both"/>
        <w:rPr>
          <w:rFonts w:eastAsiaTheme="minorHAnsi"/>
          <w:lang w:eastAsia="en-US"/>
        </w:rPr>
        <w:sectPr w:rsidR="00152AEF" w:rsidRPr="00F32020" w:rsidSect="00152AEF">
          <w:footerReference w:type="default" r:id="rId109"/>
          <w:pgSz w:w="11900" w:h="16840"/>
          <w:pgMar w:top="1440" w:right="1440" w:bottom="1440" w:left="1440" w:header="708" w:footer="708" w:gutter="0"/>
          <w:cols w:space="708"/>
          <w:docGrid w:linePitch="360"/>
        </w:sectPr>
      </w:pPr>
    </w:p>
    <w:p w14:paraId="038BF393" w14:textId="005C7F1F" w:rsidR="00152AEF" w:rsidRPr="00F32020" w:rsidRDefault="00152AEF" w:rsidP="00152AEF">
      <w:pPr>
        <w:rPr>
          <w:b/>
          <w:bCs/>
        </w:rPr>
      </w:pPr>
      <w:r w:rsidRPr="00F32020">
        <w:rPr>
          <w:b/>
          <w:bCs/>
        </w:rPr>
        <w:lastRenderedPageBreak/>
        <w:t>Table A</w:t>
      </w:r>
      <w:r w:rsidR="000D48CE" w:rsidRPr="00F32020">
        <w:rPr>
          <w:b/>
          <w:bCs/>
        </w:rPr>
        <w:t>3</w:t>
      </w:r>
      <w:r w:rsidRPr="00F32020">
        <w:rPr>
          <w:b/>
          <w:bCs/>
        </w:rPr>
        <w:t xml:space="preserve"> – Correlation coefficients</w:t>
      </w:r>
    </w:p>
    <w:tbl>
      <w:tblPr>
        <w:tblpPr w:leftFromText="180" w:rightFromText="180" w:horzAnchor="margin" w:tblpY="820"/>
        <w:tblW w:w="5000" w:type="pct"/>
        <w:tblLook w:val="04A0" w:firstRow="1" w:lastRow="0" w:firstColumn="1" w:lastColumn="0" w:noHBand="0" w:noVBand="1"/>
      </w:tblPr>
      <w:tblGrid>
        <w:gridCol w:w="1034"/>
        <w:gridCol w:w="2733"/>
        <w:gridCol w:w="2015"/>
        <w:gridCol w:w="1133"/>
        <w:gridCol w:w="1232"/>
        <w:gridCol w:w="1133"/>
        <w:gridCol w:w="1235"/>
        <w:gridCol w:w="1133"/>
        <w:gridCol w:w="1179"/>
        <w:gridCol w:w="1133"/>
      </w:tblGrid>
      <w:tr w:rsidR="00477CD4" w:rsidRPr="00F32020" w14:paraId="5E343ACD" w14:textId="77777777" w:rsidTr="00D314EE">
        <w:trPr>
          <w:trHeight w:val="280"/>
        </w:trPr>
        <w:tc>
          <w:tcPr>
            <w:tcW w:w="394" w:type="pct"/>
            <w:tcBorders>
              <w:top w:val="single" w:sz="4" w:space="0" w:color="auto"/>
              <w:left w:val="nil"/>
              <w:bottom w:val="single" w:sz="4" w:space="0" w:color="auto"/>
              <w:right w:val="nil"/>
            </w:tcBorders>
            <w:shd w:val="clear" w:color="000000" w:fill="FFFFFF"/>
            <w:noWrap/>
            <w:vAlign w:val="center"/>
            <w:hideMark/>
          </w:tcPr>
          <w:p w14:paraId="2B0C0A32"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w:t>
            </w:r>
          </w:p>
        </w:tc>
        <w:tc>
          <w:tcPr>
            <w:tcW w:w="994" w:type="pct"/>
            <w:tcBorders>
              <w:top w:val="single" w:sz="4" w:space="0" w:color="auto"/>
              <w:left w:val="nil"/>
              <w:bottom w:val="single" w:sz="4" w:space="0" w:color="auto"/>
              <w:right w:val="nil"/>
            </w:tcBorders>
            <w:shd w:val="clear" w:color="000000" w:fill="FFFFFF"/>
            <w:noWrap/>
            <w:vAlign w:val="center"/>
            <w:hideMark/>
          </w:tcPr>
          <w:p w14:paraId="07EFF80F" w14:textId="77777777" w:rsidR="00152AEF" w:rsidRPr="00F32020" w:rsidRDefault="00152AEF" w:rsidP="00D314EE">
            <w:pPr>
              <w:jc w:val="center"/>
              <w:rPr>
                <w:rFonts w:ascii="Times" w:hAnsi="Times"/>
                <w:b/>
                <w:bCs/>
                <w:sz w:val="20"/>
                <w:szCs w:val="20"/>
              </w:rPr>
            </w:pPr>
            <w:r w:rsidRPr="00F32020">
              <w:rPr>
                <w:rFonts w:ascii="Times" w:hAnsi="Times"/>
                <w:b/>
                <w:bCs/>
                <w:sz w:val="20"/>
                <w:szCs w:val="20"/>
              </w:rPr>
              <w:t>Variable / #</w:t>
            </w:r>
          </w:p>
        </w:tc>
        <w:tc>
          <w:tcPr>
            <w:tcW w:w="754" w:type="pct"/>
            <w:tcBorders>
              <w:top w:val="single" w:sz="4" w:space="0" w:color="auto"/>
              <w:left w:val="nil"/>
              <w:bottom w:val="single" w:sz="4" w:space="0" w:color="auto"/>
              <w:right w:val="nil"/>
            </w:tcBorders>
            <w:shd w:val="clear" w:color="000000" w:fill="FFFFFF"/>
            <w:noWrap/>
            <w:vAlign w:val="center"/>
            <w:hideMark/>
          </w:tcPr>
          <w:p w14:paraId="1C0C0D66" w14:textId="77777777" w:rsidR="00152AEF" w:rsidRPr="00F32020" w:rsidRDefault="00152AEF" w:rsidP="00D314EE">
            <w:pPr>
              <w:jc w:val="center"/>
              <w:rPr>
                <w:rFonts w:ascii="Times" w:hAnsi="Times"/>
                <w:sz w:val="20"/>
                <w:szCs w:val="20"/>
              </w:rPr>
            </w:pPr>
            <w:r w:rsidRPr="00F32020">
              <w:rPr>
                <w:rFonts w:ascii="Times" w:hAnsi="Times"/>
                <w:sz w:val="20"/>
                <w:szCs w:val="20"/>
              </w:rPr>
              <w:t>1</w:t>
            </w:r>
          </w:p>
        </w:tc>
        <w:tc>
          <w:tcPr>
            <w:tcW w:w="350" w:type="pct"/>
            <w:tcBorders>
              <w:top w:val="single" w:sz="4" w:space="0" w:color="auto"/>
              <w:left w:val="nil"/>
              <w:bottom w:val="single" w:sz="4" w:space="0" w:color="auto"/>
              <w:right w:val="nil"/>
            </w:tcBorders>
            <w:shd w:val="clear" w:color="000000" w:fill="FFFFFF"/>
            <w:noWrap/>
            <w:vAlign w:val="center"/>
            <w:hideMark/>
          </w:tcPr>
          <w:p w14:paraId="156AD381" w14:textId="77777777" w:rsidR="00152AEF" w:rsidRPr="00F32020" w:rsidRDefault="00152AEF" w:rsidP="00D314EE">
            <w:pPr>
              <w:jc w:val="center"/>
              <w:rPr>
                <w:rFonts w:ascii="Times" w:hAnsi="Times"/>
                <w:sz w:val="20"/>
                <w:szCs w:val="20"/>
              </w:rPr>
            </w:pPr>
            <w:r w:rsidRPr="00F32020">
              <w:rPr>
                <w:rFonts w:ascii="Times" w:hAnsi="Times"/>
                <w:sz w:val="20"/>
                <w:szCs w:val="20"/>
              </w:rPr>
              <w:t>2</w:t>
            </w:r>
          </w:p>
        </w:tc>
        <w:tc>
          <w:tcPr>
            <w:tcW w:w="465" w:type="pct"/>
            <w:tcBorders>
              <w:top w:val="single" w:sz="4" w:space="0" w:color="auto"/>
              <w:left w:val="nil"/>
              <w:bottom w:val="single" w:sz="4" w:space="0" w:color="auto"/>
              <w:right w:val="nil"/>
            </w:tcBorders>
            <w:shd w:val="clear" w:color="000000" w:fill="FFFFFF"/>
            <w:noWrap/>
            <w:vAlign w:val="center"/>
            <w:hideMark/>
          </w:tcPr>
          <w:p w14:paraId="3E40C059" w14:textId="77777777" w:rsidR="00152AEF" w:rsidRPr="00F32020" w:rsidRDefault="00152AEF" w:rsidP="00D314EE">
            <w:pPr>
              <w:jc w:val="center"/>
              <w:rPr>
                <w:rFonts w:ascii="Times" w:hAnsi="Times"/>
                <w:sz w:val="20"/>
                <w:szCs w:val="20"/>
              </w:rPr>
            </w:pPr>
            <w:r w:rsidRPr="00F32020">
              <w:rPr>
                <w:rFonts w:ascii="Times" w:hAnsi="Times"/>
                <w:sz w:val="20"/>
                <w:szCs w:val="20"/>
              </w:rPr>
              <w:t>3</w:t>
            </w:r>
          </w:p>
        </w:tc>
        <w:tc>
          <w:tcPr>
            <w:tcW w:w="351" w:type="pct"/>
            <w:tcBorders>
              <w:top w:val="single" w:sz="4" w:space="0" w:color="auto"/>
              <w:left w:val="nil"/>
              <w:bottom w:val="single" w:sz="4" w:space="0" w:color="auto"/>
              <w:right w:val="nil"/>
            </w:tcBorders>
            <w:shd w:val="clear" w:color="000000" w:fill="FFFFFF"/>
            <w:noWrap/>
            <w:vAlign w:val="center"/>
            <w:hideMark/>
          </w:tcPr>
          <w:p w14:paraId="551FF0EB" w14:textId="77777777" w:rsidR="00152AEF" w:rsidRPr="00F32020" w:rsidRDefault="00152AEF" w:rsidP="00D314EE">
            <w:pPr>
              <w:jc w:val="center"/>
              <w:rPr>
                <w:rFonts w:ascii="Times" w:hAnsi="Times"/>
                <w:sz w:val="20"/>
                <w:szCs w:val="20"/>
              </w:rPr>
            </w:pPr>
            <w:r w:rsidRPr="00F32020">
              <w:rPr>
                <w:rFonts w:ascii="Times" w:hAnsi="Times"/>
                <w:sz w:val="20"/>
                <w:szCs w:val="20"/>
              </w:rPr>
              <w:t>4</w:t>
            </w:r>
          </w:p>
        </w:tc>
        <w:tc>
          <w:tcPr>
            <w:tcW w:w="466" w:type="pct"/>
            <w:tcBorders>
              <w:top w:val="single" w:sz="4" w:space="0" w:color="auto"/>
              <w:left w:val="nil"/>
              <w:bottom w:val="single" w:sz="4" w:space="0" w:color="auto"/>
              <w:right w:val="nil"/>
            </w:tcBorders>
            <w:shd w:val="clear" w:color="000000" w:fill="FFFFFF"/>
            <w:noWrap/>
            <w:vAlign w:val="center"/>
            <w:hideMark/>
          </w:tcPr>
          <w:p w14:paraId="456A585D" w14:textId="77777777" w:rsidR="00152AEF" w:rsidRPr="00F32020" w:rsidRDefault="00152AEF" w:rsidP="00D314EE">
            <w:pPr>
              <w:jc w:val="center"/>
              <w:rPr>
                <w:rFonts w:ascii="Times" w:hAnsi="Times"/>
                <w:sz w:val="20"/>
                <w:szCs w:val="20"/>
              </w:rPr>
            </w:pPr>
            <w:r w:rsidRPr="00F32020">
              <w:rPr>
                <w:rFonts w:ascii="Times" w:hAnsi="Times"/>
                <w:sz w:val="20"/>
                <w:szCs w:val="20"/>
              </w:rPr>
              <w:t>5</w:t>
            </w:r>
          </w:p>
        </w:tc>
        <w:tc>
          <w:tcPr>
            <w:tcW w:w="409" w:type="pct"/>
            <w:tcBorders>
              <w:top w:val="single" w:sz="4" w:space="0" w:color="auto"/>
              <w:left w:val="nil"/>
              <w:bottom w:val="single" w:sz="4" w:space="0" w:color="auto"/>
              <w:right w:val="nil"/>
            </w:tcBorders>
            <w:shd w:val="clear" w:color="000000" w:fill="FFFFFF"/>
            <w:noWrap/>
            <w:vAlign w:val="center"/>
            <w:hideMark/>
          </w:tcPr>
          <w:p w14:paraId="1BCCBE54" w14:textId="77777777" w:rsidR="00152AEF" w:rsidRPr="00F32020" w:rsidRDefault="00152AEF" w:rsidP="00D314EE">
            <w:pPr>
              <w:jc w:val="center"/>
              <w:rPr>
                <w:rFonts w:ascii="Times" w:hAnsi="Times"/>
                <w:sz w:val="20"/>
                <w:szCs w:val="20"/>
              </w:rPr>
            </w:pPr>
            <w:r w:rsidRPr="00F32020">
              <w:rPr>
                <w:rFonts w:ascii="Times" w:hAnsi="Times"/>
                <w:sz w:val="20"/>
                <w:szCs w:val="20"/>
              </w:rPr>
              <w:t>6</w:t>
            </w:r>
          </w:p>
        </w:tc>
        <w:tc>
          <w:tcPr>
            <w:tcW w:w="466" w:type="pct"/>
            <w:tcBorders>
              <w:top w:val="single" w:sz="4" w:space="0" w:color="auto"/>
              <w:left w:val="nil"/>
              <w:bottom w:val="single" w:sz="4" w:space="0" w:color="auto"/>
              <w:right w:val="nil"/>
            </w:tcBorders>
            <w:shd w:val="clear" w:color="000000" w:fill="FFFFFF"/>
            <w:noWrap/>
            <w:vAlign w:val="center"/>
            <w:hideMark/>
          </w:tcPr>
          <w:p w14:paraId="18AE6E7D" w14:textId="77777777" w:rsidR="00152AEF" w:rsidRPr="00F32020" w:rsidRDefault="00152AEF" w:rsidP="00D314EE">
            <w:pPr>
              <w:jc w:val="center"/>
              <w:rPr>
                <w:rFonts w:ascii="Times" w:hAnsi="Times"/>
                <w:sz w:val="20"/>
                <w:szCs w:val="20"/>
              </w:rPr>
            </w:pPr>
            <w:r w:rsidRPr="00F32020">
              <w:rPr>
                <w:rFonts w:ascii="Times" w:hAnsi="Times"/>
                <w:sz w:val="20"/>
                <w:szCs w:val="20"/>
              </w:rPr>
              <w:t>7</w:t>
            </w:r>
          </w:p>
        </w:tc>
        <w:tc>
          <w:tcPr>
            <w:tcW w:w="352" w:type="pct"/>
            <w:tcBorders>
              <w:top w:val="single" w:sz="4" w:space="0" w:color="auto"/>
              <w:left w:val="nil"/>
              <w:bottom w:val="single" w:sz="4" w:space="0" w:color="auto"/>
              <w:right w:val="nil"/>
            </w:tcBorders>
            <w:shd w:val="clear" w:color="000000" w:fill="FFFFFF"/>
            <w:noWrap/>
            <w:vAlign w:val="center"/>
            <w:hideMark/>
          </w:tcPr>
          <w:p w14:paraId="76D1804E" w14:textId="77777777" w:rsidR="00152AEF" w:rsidRPr="00F32020" w:rsidRDefault="00152AEF" w:rsidP="00D314EE">
            <w:pPr>
              <w:jc w:val="center"/>
              <w:rPr>
                <w:rFonts w:ascii="Times" w:hAnsi="Times"/>
                <w:sz w:val="20"/>
                <w:szCs w:val="20"/>
              </w:rPr>
            </w:pPr>
            <w:r w:rsidRPr="00F32020">
              <w:rPr>
                <w:rFonts w:ascii="Times" w:hAnsi="Times"/>
                <w:sz w:val="20"/>
                <w:szCs w:val="20"/>
              </w:rPr>
              <w:t>8</w:t>
            </w:r>
          </w:p>
        </w:tc>
      </w:tr>
      <w:tr w:rsidR="00477CD4" w:rsidRPr="00F32020" w14:paraId="281E39C3" w14:textId="77777777" w:rsidTr="00D314EE">
        <w:trPr>
          <w:trHeight w:val="280"/>
        </w:trPr>
        <w:tc>
          <w:tcPr>
            <w:tcW w:w="394" w:type="pct"/>
            <w:tcBorders>
              <w:top w:val="nil"/>
              <w:left w:val="nil"/>
              <w:bottom w:val="nil"/>
              <w:right w:val="nil"/>
            </w:tcBorders>
            <w:shd w:val="clear" w:color="000000" w:fill="FFFFFF"/>
            <w:noWrap/>
            <w:vAlign w:val="center"/>
            <w:hideMark/>
          </w:tcPr>
          <w:p w14:paraId="14C0BE17" w14:textId="77777777" w:rsidR="00152AEF" w:rsidRPr="00F32020" w:rsidRDefault="00152AEF" w:rsidP="00D314EE">
            <w:pPr>
              <w:jc w:val="center"/>
              <w:rPr>
                <w:rFonts w:ascii="Times" w:hAnsi="Times"/>
                <w:sz w:val="20"/>
                <w:szCs w:val="20"/>
              </w:rPr>
            </w:pPr>
            <w:r w:rsidRPr="00F32020">
              <w:rPr>
                <w:rFonts w:ascii="Times" w:hAnsi="Times"/>
                <w:sz w:val="20"/>
                <w:szCs w:val="20"/>
              </w:rPr>
              <w:t>1</w:t>
            </w:r>
          </w:p>
        </w:tc>
        <w:tc>
          <w:tcPr>
            <w:tcW w:w="994" w:type="pct"/>
            <w:tcBorders>
              <w:top w:val="nil"/>
              <w:left w:val="nil"/>
              <w:bottom w:val="nil"/>
              <w:right w:val="nil"/>
            </w:tcBorders>
            <w:shd w:val="clear" w:color="000000" w:fill="FFFFFF"/>
            <w:noWrap/>
            <w:vAlign w:val="center"/>
            <w:hideMark/>
          </w:tcPr>
          <w:p w14:paraId="4149363F" w14:textId="77777777" w:rsidR="00152AEF" w:rsidRPr="00F32020" w:rsidRDefault="00152AEF" w:rsidP="00D314EE">
            <w:pPr>
              <w:jc w:val="center"/>
              <w:rPr>
                <w:rFonts w:ascii="Times" w:hAnsi="Times"/>
                <w:sz w:val="20"/>
                <w:szCs w:val="20"/>
              </w:rPr>
            </w:pPr>
            <w:r w:rsidRPr="00F32020">
              <w:rPr>
                <w:rFonts w:ascii="Times" w:hAnsi="Times"/>
                <w:sz w:val="20"/>
                <w:szCs w:val="20"/>
              </w:rPr>
              <w:t>Cultural Diversity</w:t>
            </w:r>
          </w:p>
        </w:tc>
        <w:tc>
          <w:tcPr>
            <w:tcW w:w="754" w:type="pct"/>
            <w:tcBorders>
              <w:top w:val="nil"/>
              <w:left w:val="nil"/>
              <w:bottom w:val="nil"/>
              <w:right w:val="nil"/>
            </w:tcBorders>
            <w:shd w:val="clear" w:color="000000" w:fill="FFFFFF"/>
            <w:noWrap/>
            <w:vAlign w:val="center"/>
            <w:hideMark/>
          </w:tcPr>
          <w:p w14:paraId="30B2EA13"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c>
          <w:tcPr>
            <w:tcW w:w="350" w:type="pct"/>
            <w:tcBorders>
              <w:top w:val="nil"/>
              <w:left w:val="nil"/>
              <w:bottom w:val="nil"/>
              <w:right w:val="nil"/>
            </w:tcBorders>
            <w:shd w:val="clear" w:color="000000" w:fill="FFFFFF"/>
            <w:noWrap/>
            <w:vAlign w:val="center"/>
            <w:hideMark/>
          </w:tcPr>
          <w:p w14:paraId="5ACAB6E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5" w:type="pct"/>
            <w:tcBorders>
              <w:top w:val="nil"/>
              <w:left w:val="nil"/>
              <w:bottom w:val="nil"/>
              <w:right w:val="nil"/>
            </w:tcBorders>
            <w:shd w:val="clear" w:color="000000" w:fill="FFFFFF"/>
            <w:noWrap/>
            <w:vAlign w:val="center"/>
            <w:hideMark/>
          </w:tcPr>
          <w:p w14:paraId="2DD80AF2"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1" w:type="pct"/>
            <w:tcBorders>
              <w:top w:val="nil"/>
              <w:left w:val="nil"/>
              <w:bottom w:val="nil"/>
              <w:right w:val="nil"/>
            </w:tcBorders>
            <w:shd w:val="clear" w:color="000000" w:fill="FFFFFF"/>
            <w:noWrap/>
            <w:vAlign w:val="center"/>
            <w:hideMark/>
          </w:tcPr>
          <w:p w14:paraId="5428BAE2"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3996493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09" w:type="pct"/>
            <w:tcBorders>
              <w:top w:val="nil"/>
              <w:left w:val="nil"/>
              <w:bottom w:val="nil"/>
              <w:right w:val="nil"/>
            </w:tcBorders>
            <w:shd w:val="clear" w:color="000000" w:fill="FFFFFF"/>
            <w:noWrap/>
            <w:vAlign w:val="center"/>
            <w:hideMark/>
          </w:tcPr>
          <w:p w14:paraId="5582B58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127A653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2" w:type="pct"/>
            <w:tcBorders>
              <w:top w:val="nil"/>
              <w:left w:val="nil"/>
              <w:bottom w:val="nil"/>
              <w:right w:val="nil"/>
            </w:tcBorders>
            <w:shd w:val="clear" w:color="000000" w:fill="FFFFFF"/>
            <w:noWrap/>
            <w:vAlign w:val="center"/>
            <w:hideMark/>
          </w:tcPr>
          <w:p w14:paraId="7C88D34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r>
      <w:tr w:rsidR="00477CD4" w:rsidRPr="00F32020" w14:paraId="1E2D713E" w14:textId="77777777" w:rsidTr="00D314EE">
        <w:trPr>
          <w:trHeight w:val="280"/>
        </w:trPr>
        <w:tc>
          <w:tcPr>
            <w:tcW w:w="394" w:type="pct"/>
            <w:tcBorders>
              <w:top w:val="nil"/>
              <w:left w:val="nil"/>
              <w:bottom w:val="nil"/>
              <w:right w:val="nil"/>
            </w:tcBorders>
            <w:shd w:val="clear" w:color="000000" w:fill="FFFFFF"/>
            <w:noWrap/>
            <w:vAlign w:val="center"/>
            <w:hideMark/>
          </w:tcPr>
          <w:p w14:paraId="2A9AC821" w14:textId="77777777" w:rsidR="00152AEF" w:rsidRPr="00F32020" w:rsidRDefault="00152AEF" w:rsidP="00D314EE">
            <w:pPr>
              <w:jc w:val="center"/>
              <w:rPr>
                <w:rFonts w:ascii="Times" w:hAnsi="Times"/>
                <w:sz w:val="20"/>
                <w:szCs w:val="20"/>
              </w:rPr>
            </w:pPr>
            <w:r w:rsidRPr="00F32020">
              <w:rPr>
                <w:rFonts w:ascii="Times" w:hAnsi="Times"/>
                <w:sz w:val="20"/>
                <w:szCs w:val="20"/>
              </w:rPr>
              <w:t>2</w:t>
            </w:r>
          </w:p>
        </w:tc>
        <w:tc>
          <w:tcPr>
            <w:tcW w:w="994" w:type="pct"/>
            <w:tcBorders>
              <w:top w:val="nil"/>
              <w:left w:val="nil"/>
              <w:bottom w:val="nil"/>
              <w:right w:val="nil"/>
            </w:tcBorders>
            <w:shd w:val="clear" w:color="000000" w:fill="FFFFFF"/>
            <w:noWrap/>
            <w:vAlign w:val="center"/>
            <w:hideMark/>
          </w:tcPr>
          <w:p w14:paraId="0EFC6F1C" w14:textId="77777777" w:rsidR="00152AEF" w:rsidRPr="00F32020" w:rsidRDefault="00152AEF" w:rsidP="00D314EE">
            <w:pPr>
              <w:jc w:val="center"/>
              <w:rPr>
                <w:rFonts w:ascii="Times" w:hAnsi="Times"/>
                <w:sz w:val="20"/>
                <w:szCs w:val="20"/>
              </w:rPr>
            </w:pPr>
            <w:r w:rsidRPr="00F32020">
              <w:rPr>
                <w:rFonts w:ascii="Times" w:hAnsi="Times"/>
                <w:sz w:val="20"/>
                <w:szCs w:val="20"/>
              </w:rPr>
              <w:t>Log (Years firm is active)</w:t>
            </w:r>
          </w:p>
        </w:tc>
        <w:tc>
          <w:tcPr>
            <w:tcW w:w="754" w:type="pct"/>
            <w:tcBorders>
              <w:top w:val="nil"/>
              <w:left w:val="nil"/>
              <w:bottom w:val="nil"/>
              <w:right w:val="nil"/>
            </w:tcBorders>
            <w:shd w:val="clear" w:color="000000" w:fill="FFFFFF"/>
            <w:noWrap/>
            <w:vAlign w:val="center"/>
            <w:hideMark/>
          </w:tcPr>
          <w:p w14:paraId="053F45D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-0.0209**</w:t>
            </w:r>
          </w:p>
        </w:tc>
        <w:tc>
          <w:tcPr>
            <w:tcW w:w="350" w:type="pct"/>
            <w:tcBorders>
              <w:top w:val="nil"/>
              <w:left w:val="nil"/>
              <w:bottom w:val="nil"/>
              <w:right w:val="nil"/>
            </w:tcBorders>
            <w:shd w:val="clear" w:color="000000" w:fill="FFFFFF"/>
            <w:noWrap/>
            <w:vAlign w:val="center"/>
            <w:hideMark/>
          </w:tcPr>
          <w:p w14:paraId="6766F33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c>
          <w:tcPr>
            <w:tcW w:w="465" w:type="pct"/>
            <w:tcBorders>
              <w:top w:val="nil"/>
              <w:left w:val="nil"/>
              <w:bottom w:val="nil"/>
              <w:right w:val="nil"/>
            </w:tcBorders>
            <w:shd w:val="clear" w:color="000000" w:fill="FFFFFF"/>
            <w:noWrap/>
            <w:vAlign w:val="center"/>
            <w:hideMark/>
          </w:tcPr>
          <w:p w14:paraId="738D61F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1" w:type="pct"/>
            <w:tcBorders>
              <w:top w:val="nil"/>
              <w:left w:val="nil"/>
              <w:bottom w:val="nil"/>
              <w:right w:val="nil"/>
            </w:tcBorders>
            <w:shd w:val="clear" w:color="000000" w:fill="FFFFFF"/>
            <w:noWrap/>
            <w:vAlign w:val="center"/>
            <w:hideMark/>
          </w:tcPr>
          <w:p w14:paraId="11F42A88"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5F10692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09" w:type="pct"/>
            <w:tcBorders>
              <w:top w:val="nil"/>
              <w:left w:val="nil"/>
              <w:bottom w:val="nil"/>
              <w:right w:val="nil"/>
            </w:tcBorders>
            <w:shd w:val="clear" w:color="000000" w:fill="FFFFFF"/>
            <w:noWrap/>
            <w:vAlign w:val="center"/>
            <w:hideMark/>
          </w:tcPr>
          <w:p w14:paraId="139F4E39"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61888BA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2" w:type="pct"/>
            <w:tcBorders>
              <w:top w:val="nil"/>
              <w:left w:val="nil"/>
              <w:bottom w:val="nil"/>
              <w:right w:val="nil"/>
            </w:tcBorders>
            <w:shd w:val="clear" w:color="000000" w:fill="FFFFFF"/>
            <w:noWrap/>
            <w:vAlign w:val="center"/>
            <w:hideMark/>
          </w:tcPr>
          <w:p w14:paraId="4E61EF7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r>
      <w:tr w:rsidR="00477CD4" w:rsidRPr="00F32020" w14:paraId="689FC2AC" w14:textId="77777777" w:rsidTr="00D314EE">
        <w:trPr>
          <w:trHeight w:val="280"/>
        </w:trPr>
        <w:tc>
          <w:tcPr>
            <w:tcW w:w="394" w:type="pct"/>
            <w:tcBorders>
              <w:top w:val="nil"/>
              <w:left w:val="nil"/>
              <w:bottom w:val="nil"/>
              <w:right w:val="nil"/>
            </w:tcBorders>
            <w:shd w:val="clear" w:color="000000" w:fill="FFFFFF"/>
            <w:noWrap/>
            <w:vAlign w:val="center"/>
            <w:hideMark/>
          </w:tcPr>
          <w:p w14:paraId="505E2167" w14:textId="77777777" w:rsidR="00152AEF" w:rsidRPr="00F32020" w:rsidRDefault="00152AEF" w:rsidP="00D314EE">
            <w:pPr>
              <w:jc w:val="center"/>
              <w:rPr>
                <w:rFonts w:ascii="Times" w:hAnsi="Times"/>
                <w:sz w:val="20"/>
                <w:szCs w:val="20"/>
              </w:rPr>
            </w:pPr>
            <w:r w:rsidRPr="00F32020">
              <w:rPr>
                <w:rFonts w:ascii="Times" w:hAnsi="Times"/>
                <w:sz w:val="20"/>
                <w:szCs w:val="20"/>
              </w:rPr>
              <w:t>3</w:t>
            </w:r>
          </w:p>
        </w:tc>
        <w:tc>
          <w:tcPr>
            <w:tcW w:w="994" w:type="pct"/>
            <w:tcBorders>
              <w:top w:val="nil"/>
              <w:left w:val="nil"/>
              <w:bottom w:val="nil"/>
              <w:right w:val="nil"/>
            </w:tcBorders>
            <w:shd w:val="clear" w:color="000000" w:fill="FFFFFF"/>
            <w:noWrap/>
            <w:vAlign w:val="center"/>
            <w:hideMark/>
          </w:tcPr>
          <w:p w14:paraId="46344A01" w14:textId="77777777" w:rsidR="00152AEF" w:rsidRPr="00F32020" w:rsidRDefault="00152AEF" w:rsidP="00D314EE">
            <w:pPr>
              <w:jc w:val="center"/>
              <w:rPr>
                <w:rFonts w:ascii="Times" w:hAnsi="Times"/>
                <w:sz w:val="20"/>
                <w:szCs w:val="20"/>
              </w:rPr>
            </w:pPr>
            <w:r w:rsidRPr="00F32020">
              <w:rPr>
                <w:rFonts w:ascii="Times" w:hAnsi="Times"/>
                <w:sz w:val="20"/>
                <w:szCs w:val="20"/>
              </w:rPr>
              <w:t>Log (Revenues in t-1)</w:t>
            </w:r>
          </w:p>
        </w:tc>
        <w:tc>
          <w:tcPr>
            <w:tcW w:w="754" w:type="pct"/>
            <w:tcBorders>
              <w:top w:val="nil"/>
              <w:left w:val="nil"/>
              <w:bottom w:val="nil"/>
              <w:right w:val="nil"/>
            </w:tcBorders>
            <w:shd w:val="clear" w:color="000000" w:fill="FFFFFF"/>
            <w:noWrap/>
            <w:vAlign w:val="center"/>
            <w:hideMark/>
          </w:tcPr>
          <w:p w14:paraId="5F07DD2E"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-0.0164**</w:t>
            </w:r>
          </w:p>
        </w:tc>
        <w:tc>
          <w:tcPr>
            <w:tcW w:w="350" w:type="pct"/>
            <w:tcBorders>
              <w:top w:val="nil"/>
              <w:left w:val="nil"/>
              <w:bottom w:val="nil"/>
              <w:right w:val="nil"/>
            </w:tcBorders>
            <w:shd w:val="clear" w:color="000000" w:fill="FFFFFF"/>
            <w:noWrap/>
            <w:vAlign w:val="center"/>
            <w:hideMark/>
          </w:tcPr>
          <w:p w14:paraId="4BBD1F3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0.5438***</w:t>
            </w:r>
          </w:p>
        </w:tc>
        <w:tc>
          <w:tcPr>
            <w:tcW w:w="465" w:type="pct"/>
            <w:tcBorders>
              <w:top w:val="nil"/>
              <w:left w:val="nil"/>
              <w:bottom w:val="nil"/>
              <w:right w:val="nil"/>
            </w:tcBorders>
            <w:shd w:val="clear" w:color="000000" w:fill="FFFFFF"/>
            <w:noWrap/>
            <w:vAlign w:val="center"/>
            <w:hideMark/>
          </w:tcPr>
          <w:p w14:paraId="3163D50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c>
          <w:tcPr>
            <w:tcW w:w="351" w:type="pct"/>
            <w:tcBorders>
              <w:top w:val="nil"/>
              <w:left w:val="nil"/>
              <w:bottom w:val="nil"/>
              <w:right w:val="nil"/>
            </w:tcBorders>
            <w:shd w:val="clear" w:color="000000" w:fill="FFFFFF"/>
            <w:noWrap/>
            <w:vAlign w:val="center"/>
            <w:hideMark/>
          </w:tcPr>
          <w:p w14:paraId="5DF0490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662E896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09" w:type="pct"/>
            <w:tcBorders>
              <w:top w:val="nil"/>
              <w:left w:val="nil"/>
              <w:bottom w:val="nil"/>
              <w:right w:val="nil"/>
            </w:tcBorders>
            <w:shd w:val="clear" w:color="000000" w:fill="FFFFFF"/>
            <w:noWrap/>
            <w:vAlign w:val="center"/>
            <w:hideMark/>
          </w:tcPr>
          <w:p w14:paraId="225B0C6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19F814F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2" w:type="pct"/>
            <w:tcBorders>
              <w:top w:val="nil"/>
              <w:left w:val="nil"/>
              <w:bottom w:val="nil"/>
              <w:right w:val="nil"/>
            </w:tcBorders>
            <w:shd w:val="clear" w:color="000000" w:fill="FFFFFF"/>
            <w:noWrap/>
            <w:vAlign w:val="center"/>
            <w:hideMark/>
          </w:tcPr>
          <w:p w14:paraId="5D4985D2"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r>
      <w:tr w:rsidR="00477CD4" w:rsidRPr="00F32020" w14:paraId="48C8C4B1" w14:textId="77777777" w:rsidTr="00D314EE">
        <w:trPr>
          <w:trHeight w:val="280"/>
        </w:trPr>
        <w:tc>
          <w:tcPr>
            <w:tcW w:w="394" w:type="pct"/>
            <w:tcBorders>
              <w:top w:val="nil"/>
              <w:left w:val="nil"/>
              <w:bottom w:val="nil"/>
              <w:right w:val="nil"/>
            </w:tcBorders>
            <w:shd w:val="clear" w:color="000000" w:fill="FFFFFF"/>
            <w:noWrap/>
            <w:vAlign w:val="center"/>
            <w:hideMark/>
          </w:tcPr>
          <w:p w14:paraId="53FC2437" w14:textId="77777777" w:rsidR="00152AEF" w:rsidRPr="00F32020" w:rsidRDefault="00152AEF" w:rsidP="00D314EE">
            <w:pPr>
              <w:jc w:val="center"/>
              <w:rPr>
                <w:rFonts w:ascii="Times" w:hAnsi="Times"/>
                <w:sz w:val="20"/>
                <w:szCs w:val="20"/>
              </w:rPr>
            </w:pPr>
            <w:r w:rsidRPr="00F32020">
              <w:rPr>
                <w:rFonts w:ascii="Times" w:hAnsi="Times"/>
                <w:sz w:val="20"/>
                <w:szCs w:val="20"/>
              </w:rPr>
              <w:t>4</w:t>
            </w:r>
          </w:p>
        </w:tc>
        <w:tc>
          <w:tcPr>
            <w:tcW w:w="994" w:type="pct"/>
            <w:tcBorders>
              <w:top w:val="nil"/>
              <w:left w:val="nil"/>
              <w:bottom w:val="nil"/>
              <w:right w:val="nil"/>
            </w:tcBorders>
            <w:shd w:val="clear" w:color="000000" w:fill="FFFFFF"/>
            <w:noWrap/>
            <w:vAlign w:val="center"/>
            <w:hideMark/>
          </w:tcPr>
          <w:p w14:paraId="0B0622C2" w14:textId="77777777" w:rsidR="00152AEF" w:rsidRPr="00F32020" w:rsidRDefault="00152AEF" w:rsidP="00D314EE">
            <w:pPr>
              <w:jc w:val="center"/>
              <w:rPr>
                <w:rFonts w:ascii="Times" w:hAnsi="Times"/>
                <w:sz w:val="20"/>
                <w:szCs w:val="20"/>
              </w:rPr>
            </w:pPr>
            <w:r w:rsidRPr="00F32020">
              <w:rPr>
                <w:rFonts w:ascii="Times" w:hAnsi="Times"/>
                <w:sz w:val="20"/>
                <w:szCs w:val="20"/>
              </w:rPr>
              <w:t>Non-for-profit type</w:t>
            </w:r>
          </w:p>
        </w:tc>
        <w:tc>
          <w:tcPr>
            <w:tcW w:w="754" w:type="pct"/>
            <w:tcBorders>
              <w:top w:val="nil"/>
              <w:left w:val="nil"/>
              <w:bottom w:val="nil"/>
              <w:right w:val="nil"/>
            </w:tcBorders>
            <w:shd w:val="clear" w:color="000000" w:fill="FFFFFF"/>
            <w:noWrap/>
            <w:vAlign w:val="center"/>
            <w:hideMark/>
          </w:tcPr>
          <w:p w14:paraId="0570189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-0.0133**</w:t>
            </w:r>
          </w:p>
        </w:tc>
        <w:tc>
          <w:tcPr>
            <w:tcW w:w="350" w:type="pct"/>
            <w:tcBorders>
              <w:top w:val="nil"/>
              <w:left w:val="nil"/>
              <w:bottom w:val="nil"/>
              <w:right w:val="nil"/>
            </w:tcBorders>
            <w:shd w:val="clear" w:color="000000" w:fill="FFFFFF"/>
            <w:noWrap/>
            <w:vAlign w:val="center"/>
            <w:hideMark/>
          </w:tcPr>
          <w:p w14:paraId="386CF1F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0.1571***</w:t>
            </w:r>
          </w:p>
        </w:tc>
        <w:tc>
          <w:tcPr>
            <w:tcW w:w="465" w:type="pct"/>
            <w:tcBorders>
              <w:top w:val="nil"/>
              <w:left w:val="nil"/>
              <w:bottom w:val="nil"/>
              <w:right w:val="nil"/>
            </w:tcBorders>
            <w:shd w:val="clear" w:color="000000" w:fill="FFFFFF"/>
            <w:noWrap/>
            <w:vAlign w:val="center"/>
            <w:hideMark/>
          </w:tcPr>
          <w:p w14:paraId="468C3E2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0.0593***</w:t>
            </w:r>
          </w:p>
        </w:tc>
        <w:tc>
          <w:tcPr>
            <w:tcW w:w="351" w:type="pct"/>
            <w:tcBorders>
              <w:top w:val="nil"/>
              <w:left w:val="nil"/>
              <w:bottom w:val="nil"/>
              <w:right w:val="nil"/>
            </w:tcBorders>
            <w:shd w:val="clear" w:color="000000" w:fill="FFFFFF"/>
            <w:noWrap/>
            <w:vAlign w:val="center"/>
            <w:hideMark/>
          </w:tcPr>
          <w:p w14:paraId="0D39C780"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c>
          <w:tcPr>
            <w:tcW w:w="466" w:type="pct"/>
            <w:tcBorders>
              <w:top w:val="nil"/>
              <w:left w:val="nil"/>
              <w:bottom w:val="nil"/>
              <w:right w:val="nil"/>
            </w:tcBorders>
            <w:shd w:val="clear" w:color="000000" w:fill="FFFFFF"/>
            <w:noWrap/>
            <w:vAlign w:val="center"/>
            <w:hideMark/>
          </w:tcPr>
          <w:p w14:paraId="7CA71EBC"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09" w:type="pct"/>
            <w:tcBorders>
              <w:top w:val="nil"/>
              <w:left w:val="nil"/>
              <w:bottom w:val="nil"/>
              <w:right w:val="nil"/>
            </w:tcBorders>
            <w:shd w:val="clear" w:color="000000" w:fill="FFFFFF"/>
            <w:noWrap/>
            <w:vAlign w:val="center"/>
            <w:hideMark/>
          </w:tcPr>
          <w:p w14:paraId="32531D1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398ED7F0"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2" w:type="pct"/>
            <w:tcBorders>
              <w:top w:val="nil"/>
              <w:left w:val="nil"/>
              <w:bottom w:val="nil"/>
              <w:right w:val="nil"/>
            </w:tcBorders>
            <w:shd w:val="clear" w:color="000000" w:fill="FFFFFF"/>
            <w:noWrap/>
            <w:vAlign w:val="center"/>
            <w:hideMark/>
          </w:tcPr>
          <w:p w14:paraId="37FEE5F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r>
      <w:tr w:rsidR="00477CD4" w:rsidRPr="00F32020" w14:paraId="7E3901FB" w14:textId="77777777" w:rsidTr="00D314EE">
        <w:trPr>
          <w:trHeight w:val="280"/>
        </w:trPr>
        <w:tc>
          <w:tcPr>
            <w:tcW w:w="394" w:type="pct"/>
            <w:tcBorders>
              <w:top w:val="nil"/>
              <w:left w:val="nil"/>
              <w:bottom w:val="nil"/>
              <w:right w:val="nil"/>
            </w:tcBorders>
            <w:shd w:val="clear" w:color="000000" w:fill="FFFFFF"/>
            <w:noWrap/>
            <w:vAlign w:val="center"/>
            <w:hideMark/>
          </w:tcPr>
          <w:p w14:paraId="592E883A" w14:textId="77777777" w:rsidR="00152AEF" w:rsidRPr="00F32020" w:rsidRDefault="00152AEF" w:rsidP="00D314EE">
            <w:pPr>
              <w:jc w:val="center"/>
              <w:rPr>
                <w:rFonts w:ascii="Times" w:hAnsi="Times"/>
                <w:sz w:val="20"/>
                <w:szCs w:val="20"/>
              </w:rPr>
            </w:pPr>
            <w:r w:rsidRPr="00F32020">
              <w:rPr>
                <w:rFonts w:ascii="Times" w:hAnsi="Times"/>
                <w:sz w:val="20"/>
                <w:szCs w:val="20"/>
              </w:rPr>
              <w:t>5</w:t>
            </w:r>
          </w:p>
        </w:tc>
        <w:tc>
          <w:tcPr>
            <w:tcW w:w="994" w:type="pct"/>
            <w:tcBorders>
              <w:top w:val="nil"/>
              <w:left w:val="nil"/>
              <w:bottom w:val="nil"/>
              <w:right w:val="nil"/>
            </w:tcBorders>
            <w:shd w:val="clear" w:color="000000" w:fill="FFFFFF"/>
            <w:noWrap/>
            <w:vAlign w:val="center"/>
            <w:hideMark/>
          </w:tcPr>
          <w:p w14:paraId="692CEF50" w14:textId="77777777" w:rsidR="00152AEF" w:rsidRPr="00F32020" w:rsidRDefault="00152AEF" w:rsidP="00D314EE">
            <w:pPr>
              <w:jc w:val="center"/>
              <w:rPr>
                <w:rFonts w:ascii="Times" w:hAnsi="Times"/>
                <w:sz w:val="20"/>
                <w:szCs w:val="20"/>
              </w:rPr>
            </w:pPr>
            <w:r w:rsidRPr="00F32020">
              <w:rPr>
                <w:rFonts w:ascii="Times" w:hAnsi="Times"/>
                <w:sz w:val="20"/>
                <w:szCs w:val="20"/>
              </w:rPr>
              <w:t>Social Motives</w:t>
            </w:r>
          </w:p>
        </w:tc>
        <w:tc>
          <w:tcPr>
            <w:tcW w:w="754" w:type="pct"/>
            <w:tcBorders>
              <w:top w:val="nil"/>
              <w:left w:val="nil"/>
              <w:bottom w:val="nil"/>
              <w:right w:val="nil"/>
            </w:tcBorders>
            <w:shd w:val="clear" w:color="000000" w:fill="FFFFFF"/>
            <w:noWrap/>
            <w:vAlign w:val="center"/>
            <w:hideMark/>
          </w:tcPr>
          <w:p w14:paraId="7BE5AC8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-0.0026</w:t>
            </w:r>
          </w:p>
        </w:tc>
        <w:tc>
          <w:tcPr>
            <w:tcW w:w="350" w:type="pct"/>
            <w:tcBorders>
              <w:top w:val="nil"/>
              <w:left w:val="nil"/>
              <w:bottom w:val="nil"/>
              <w:right w:val="nil"/>
            </w:tcBorders>
            <w:shd w:val="clear" w:color="000000" w:fill="FFFFFF"/>
            <w:noWrap/>
            <w:vAlign w:val="center"/>
            <w:hideMark/>
          </w:tcPr>
          <w:p w14:paraId="35187010"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0.0627***</w:t>
            </w:r>
          </w:p>
        </w:tc>
        <w:tc>
          <w:tcPr>
            <w:tcW w:w="465" w:type="pct"/>
            <w:tcBorders>
              <w:top w:val="nil"/>
              <w:left w:val="nil"/>
              <w:bottom w:val="nil"/>
              <w:right w:val="nil"/>
            </w:tcBorders>
            <w:shd w:val="clear" w:color="000000" w:fill="FFFFFF"/>
            <w:noWrap/>
            <w:vAlign w:val="center"/>
            <w:hideMark/>
          </w:tcPr>
          <w:p w14:paraId="058FF87F"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0.0518***</w:t>
            </w:r>
          </w:p>
        </w:tc>
        <w:tc>
          <w:tcPr>
            <w:tcW w:w="351" w:type="pct"/>
            <w:tcBorders>
              <w:top w:val="nil"/>
              <w:left w:val="nil"/>
              <w:bottom w:val="nil"/>
              <w:right w:val="nil"/>
            </w:tcBorders>
            <w:shd w:val="clear" w:color="000000" w:fill="FFFFFF"/>
            <w:noWrap/>
            <w:vAlign w:val="center"/>
            <w:hideMark/>
          </w:tcPr>
          <w:p w14:paraId="7F3CDC13"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0.0738***</w:t>
            </w:r>
          </w:p>
        </w:tc>
        <w:tc>
          <w:tcPr>
            <w:tcW w:w="466" w:type="pct"/>
            <w:tcBorders>
              <w:top w:val="nil"/>
              <w:left w:val="nil"/>
              <w:bottom w:val="nil"/>
              <w:right w:val="nil"/>
            </w:tcBorders>
            <w:shd w:val="clear" w:color="000000" w:fill="FFFFFF"/>
            <w:noWrap/>
            <w:vAlign w:val="center"/>
            <w:hideMark/>
          </w:tcPr>
          <w:p w14:paraId="5CD3D11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c>
          <w:tcPr>
            <w:tcW w:w="409" w:type="pct"/>
            <w:tcBorders>
              <w:top w:val="nil"/>
              <w:left w:val="nil"/>
              <w:bottom w:val="nil"/>
              <w:right w:val="nil"/>
            </w:tcBorders>
            <w:shd w:val="clear" w:color="000000" w:fill="FFFFFF"/>
            <w:noWrap/>
            <w:vAlign w:val="center"/>
            <w:hideMark/>
          </w:tcPr>
          <w:p w14:paraId="450959D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466" w:type="pct"/>
            <w:tcBorders>
              <w:top w:val="nil"/>
              <w:left w:val="nil"/>
              <w:bottom w:val="nil"/>
              <w:right w:val="nil"/>
            </w:tcBorders>
            <w:shd w:val="clear" w:color="000000" w:fill="FFFFFF"/>
            <w:noWrap/>
            <w:vAlign w:val="center"/>
            <w:hideMark/>
          </w:tcPr>
          <w:p w14:paraId="12C94C7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2" w:type="pct"/>
            <w:tcBorders>
              <w:top w:val="nil"/>
              <w:left w:val="nil"/>
              <w:bottom w:val="nil"/>
              <w:right w:val="nil"/>
            </w:tcBorders>
            <w:shd w:val="clear" w:color="000000" w:fill="FFFFFF"/>
            <w:noWrap/>
            <w:vAlign w:val="center"/>
            <w:hideMark/>
          </w:tcPr>
          <w:p w14:paraId="4F86B776"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r>
      <w:tr w:rsidR="00477CD4" w:rsidRPr="00F32020" w14:paraId="4299BB6F" w14:textId="77777777" w:rsidTr="00D314EE">
        <w:trPr>
          <w:trHeight w:val="280"/>
        </w:trPr>
        <w:tc>
          <w:tcPr>
            <w:tcW w:w="394" w:type="pct"/>
            <w:tcBorders>
              <w:top w:val="nil"/>
              <w:left w:val="nil"/>
              <w:bottom w:val="nil"/>
              <w:right w:val="nil"/>
            </w:tcBorders>
            <w:shd w:val="clear" w:color="000000" w:fill="FFFFFF"/>
            <w:noWrap/>
            <w:vAlign w:val="center"/>
            <w:hideMark/>
          </w:tcPr>
          <w:p w14:paraId="6C0DEB66" w14:textId="77777777" w:rsidR="00152AEF" w:rsidRPr="00F32020" w:rsidRDefault="00152AEF" w:rsidP="00D314EE">
            <w:pPr>
              <w:jc w:val="center"/>
              <w:rPr>
                <w:rFonts w:ascii="Times" w:hAnsi="Times"/>
                <w:sz w:val="20"/>
                <w:szCs w:val="20"/>
              </w:rPr>
            </w:pPr>
            <w:r w:rsidRPr="00F32020">
              <w:rPr>
                <w:rFonts w:ascii="Times" w:hAnsi="Times"/>
                <w:sz w:val="20"/>
                <w:szCs w:val="20"/>
              </w:rPr>
              <w:t>6</w:t>
            </w:r>
          </w:p>
        </w:tc>
        <w:tc>
          <w:tcPr>
            <w:tcW w:w="994" w:type="pct"/>
            <w:tcBorders>
              <w:top w:val="nil"/>
              <w:left w:val="nil"/>
              <w:bottom w:val="nil"/>
              <w:right w:val="nil"/>
            </w:tcBorders>
            <w:shd w:val="clear" w:color="000000" w:fill="FFFFFF"/>
            <w:noWrap/>
            <w:vAlign w:val="center"/>
            <w:hideMark/>
          </w:tcPr>
          <w:p w14:paraId="6D0C9393" w14:textId="77777777" w:rsidR="00152AEF" w:rsidRPr="00F32020" w:rsidRDefault="00152AEF" w:rsidP="00D314EE">
            <w:pPr>
              <w:jc w:val="center"/>
              <w:rPr>
                <w:rFonts w:ascii="Times" w:hAnsi="Times"/>
                <w:sz w:val="20"/>
                <w:szCs w:val="20"/>
              </w:rPr>
            </w:pPr>
            <w:r w:rsidRPr="00F32020">
              <w:rPr>
                <w:rFonts w:ascii="Times" w:hAnsi="Times"/>
                <w:sz w:val="20"/>
                <w:szCs w:val="20"/>
              </w:rPr>
              <w:t>Model invention-based</w:t>
            </w:r>
          </w:p>
        </w:tc>
        <w:tc>
          <w:tcPr>
            <w:tcW w:w="754" w:type="pct"/>
            <w:tcBorders>
              <w:top w:val="nil"/>
              <w:left w:val="nil"/>
              <w:bottom w:val="nil"/>
              <w:right w:val="nil"/>
            </w:tcBorders>
            <w:shd w:val="clear" w:color="000000" w:fill="FFFFFF"/>
            <w:noWrap/>
            <w:vAlign w:val="center"/>
            <w:hideMark/>
          </w:tcPr>
          <w:p w14:paraId="1686616C"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0.0421***</w:t>
            </w:r>
          </w:p>
        </w:tc>
        <w:tc>
          <w:tcPr>
            <w:tcW w:w="350" w:type="pct"/>
            <w:tcBorders>
              <w:top w:val="nil"/>
              <w:left w:val="nil"/>
              <w:bottom w:val="nil"/>
              <w:right w:val="nil"/>
            </w:tcBorders>
            <w:shd w:val="clear" w:color="000000" w:fill="FFFFFF"/>
            <w:noWrap/>
            <w:vAlign w:val="center"/>
            <w:hideMark/>
          </w:tcPr>
          <w:p w14:paraId="3C5418D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0.0047</w:t>
            </w:r>
          </w:p>
        </w:tc>
        <w:tc>
          <w:tcPr>
            <w:tcW w:w="465" w:type="pct"/>
            <w:tcBorders>
              <w:top w:val="nil"/>
              <w:left w:val="nil"/>
              <w:bottom w:val="nil"/>
              <w:right w:val="nil"/>
            </w:tcBorders>
            <w:shd w:val="clear" w:color="000000" w:fill="FFFFFF"/>
            <w:noWrap/>
            <w:vAlign w:val="center"/>
            <w:hideMark/>
          </w:tcPr>
          <w:p w14:paraId="0148E6B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-0.0273***</w:t>
            </w:r>
          </w:p>
        </w:tc>
        <w:tc>
          <w:tcPr>
            <w:tcW w:w="351" w:type="pct"/>
            <w:tcBorders>
              <w:top w:val="nil"/>
              <w:left w:val="nil"/>
              <w:bottom w:val="nil"/>
              <w:right w:val="nil"/>
            </w:tcBorders>
            <w:shd w:val="clear" w:color="000000" w:fill="FFFFFF"/>
            <w:noWrap/>
            <w:vAlign w:val="center"/>
            <w:hideMark/>
          </w:tcPr>
          <w:p w14:paraId="64C6C2D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-0.1201***</w:t>
            </w:r>
          </w:p>
        </w:tc>
        <w:tc>
          <w:tcPr>
            <w:tcW w:w="466" w:type="pct"/>
            <w:tcBorders>
              <w:top w:val="nil"/>
              <w:left w:val="nil"/>
              <w:bottom w:val="nil"/>
              <w:right w:val="nil"/>
            </w:tcBorders>
            <w:shd w:val="clear" w:color="000000" w:fill="FFFFFF"/>
            <w:noWrap/>
            <w:vAlign w:val="center"/>
            <w:hideMark/>
          </w:tcPr>
          <w:p w14:paraId="382D378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0.0345***</w:t>
            </w:r>
          </w:p>
        </w:tc>
        <w:tc>
          <w:tcPr>
            <w:tcW w:w="409" w:type="pct"/>
            <w:tcBorders>
              <w:top w:val="nil"/>
              <w:left w:val="nil"/>
              <w:bottom w:val="nil"/>
              <w:right w:val="nil"/>
            </w:tcBorders>
            <w:shd w:val="clear" w:color="000000" w:fill="FFFFFF"/>
            <w:noWrap/>
            <w:vAlign w:val="center"/>
            <w:hideMark/>
          </w:tcPr>
          <w:p w14:paraId="39B711C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c>
          <w:tcPr>
            <w:tcW w:w="466" w:type="pct"/>
            <w:tcBorders>
              <w:top w:val="nil"/>
              <w:left w:val="nil"/>
              <w:bottom w:val="nil"/>
              <w:right w:val="nil"/>
            </w:tcBorders>
            <w:shd w:val="clear" w:color="000000" w:fill="FFFFFF"/>
            <w:noWrap/>
            <w:vAlign w:val="center"/>
            <w:hideMark/>
          </w:tcPr>
          <w:p w14:paraId="3F32B95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c>
          <w:tcPr>
            <w:tcW w:w="352" w:type="pct"/>
            <w:tcBorders>
              <w:top w:val="nil"/>
              <w:left w:val="nil"/>
              <w:bottom w:val="nil"/>
              <w:right w:val="nil"/>
            </w:tcBorders>
            <w:shd w:val="clear" w:color="000000" w:fill="FFFFFF"/>
            <w:noWrap/>
            <w:vAlign w:val="center"/>
            <w:hideMark/>
          </w:tcPr>
          <w:p w14:paraId="17FC3C1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r>
      <w:tr w:rsidR="00477CD4" w:rsidRPr="00F32020" w14:paraId="03997390" w14:textId="77777777" w:rsidTr="00D314EE">
        <w:trPr>
          <w:trHeight w:val="280"/>
        </w:trPr>
        <w:tc>
          <w:tcPr>
            <w:tcW w:w="394" w:type="pct"/>
            <w:tcBorders>
              <w:top w:val="nil"/>
              <w:left w:val="nil"/>
              <w:bottom w:val="nil"/>
              <w:right w:val="nil"/>
            </w:tcBorders>
            <w:shd w:val="clear" w:color="000000" w:fill="FFFFFF"/>
            <w:noWrap/>
            <w:vAlign w:val="center"/>
            <w:hideMark/>
          </w:tcPr>
          <w:p w14:paraId="1EB867F2" w14:textId="77777777" w:rsidR="00152AEF" w:rsidRPr="00F32020" w:rsidRDefault="00152AEF" w:rsidP="00D314EE">
            <w:pPr>
              <w:jc w:val="center"/>
              <w:rPr>
                <w:rFonts w:ascii="Times" w:hAnsi="Times"/>
                <w:sz w:val="20"/>
                <w:szCs w:val="20"/>
              </w:rPr>
            </w:pPr>
            <w:r w:rsidRPr="00F32020">
              <w:rPr>
                <w:rFonts w:ascii="Times" w:hAnsi="Times"/>
                <w:sz w:val="20"/>
                <w:szCs w:val="20"/>
              </w:rPr>
              <w:t>7</w:t>
            </w:r>
          </w:p>
        </w:tc>
        <w:tc>
          <w:tcPr>
            <w:tcW w:w="994" w:type="pct"/>
            <w:tcBorders>
              <w:top w:val="nil"/>
              <w:left w:val="nil"/>
              <w:bottom w:val="nil"/>
              <w:right w:val="nil"/>
            </w:tcBorders>
            <w:shd w:val="clear" w:color="000000" w:fill="FFFFFF"/>
            <w:noWrap/>
            <w:vAlign w:val="center"/>
            <w:hideMark/>
          </w:tcPr>
          <w:p w14:paraId="2378617E" w14:textId="77777777" w:rsidR="00152AEF" w:rsidRPr="00F32020" w:rsidRDefault="00152AEF" w:rsidP="00D314EE">
            <w:pPr>
              <w:jc w:val="center"/>
              <w:rPr>
                <w:rFonts w:ascii="Times" w:hAnsi="Times"/>
                <w:sz w:val="20"/>
                <w:szCs w:val="20"/>
              </w:rPr>
            </w:pPr>
            <w:r w:rsidRPr="00F32020">
              <w:rPr>
                <w:rFonts w:ascii="Times" w:hAnsi="Times"/>
                <w:sz w:val="20"/>
                <w:szCs w:val="20"/>
              </w:rPr>
              <w:t>Intellectual Property</w:t>
            </w:r>
          </w:p>
        </w:tc>
        <w:tc>
          <w:tcPr>
            <w:tcW w:w="754" w:type="pct"/>
            <w:tcBorders>
              <w:top w:val="nil"/>
              <w:left w:val="nil"/>
              <w:bottom w:val="nil"/>
              <w:right w:val="nil"/>
            </w:tcBorders>
            <w:shd w:val="clear" w:color="000000" w:fill="FFFFFF"/>
            <w:noWrap/>
            <w:vAlign w:val="center"/>
            <w:hideMark/>
          </w:tcPr>
          <w:p w14:paraId="5C40E98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0.0247***</w:t>
            </w:r>
          </w:p>
        </w:tc>
        <w:tc>
          <w:tcPr>
            <w:tcW w:w="350" w:type="pct"/>
            <w:tcBorders>
              <w:top w:val="nil"/>
              <w:left w:val="nil"/>
              <w:bottom w:val="nil"/>
              <w:right w:val="nil"/>
            </w:tcBorders>
            <w:shd w:val="clear" w:color="000000" w:fill="FFFFFF"/>
            <w:noWrap/>
            <w:vAlign w:val="center"/>
            <w:hideMark/>
          </w:tcPr>
          <w:p w14:paraId="414CAAB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0.1720***</w:t>
            </w:r>
          </w:p>
        </w:tc>
        <w:tc>
          <w:tcPr>
            <w:tcW w:w="465" w:type="pct"/>
            <w:tcBorders>
              <w:top w:val="nil"/>
              <w:left w:val="nil"/>
              <w:bottom w:val="nil"/>
              <w:right w:val="nil"/>
            </w:tcBorders>
            <w:shd w:val="clear" w:color="000000" w:fill="FFFFFF"/>
            <w:noWrap/>
            <w:vAlign w:val="center"/>
            <w:hideMark/>
          </w:tcPr>
          <w:p w14:paraId="353D851F"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0.1693***</w:t>
            </w:r>
          </w:p>
        </w:tc>
        <w:tc>
          <w:tcPr>
            <w:tcW w:w="351" w:type="pct"/>
            <w:tcBorders>
              <w:top w:val="nil"/>
              <w:left w:val="nil"/>
              <w:bottom w:val="nil"/>
              <w:right w:val="nil"/>
            </w:tcBorders>
            <w:shd w:val="clear" w:color="000000" w:fill="FFFFFF"/>
            <w:noWrap/>
            <w:vAlign w:val="center"/>
            <w:hideMark/>
          </w:tcPr>
          <w:p w14:paraId="1428C5E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-0.0665***</w:t>
            </w:r>
          </w:p>
        </w:tc>
        <w:tc>
          <w:tcPr>
            <w:tcW w:w="466" w:type="pct"/>
            <w:tcBorders>
              <w:top w:val="nil"/>
              <w:left w:val="nil"/>
              <w:bottom w:val="nil"/>
              <w:right w:val="nil"/>
            </w:tcBorders>
            <w:shd w:val="clear" w:color="000000" w:fill="FFFFFF"/>
            <w:noWrap/>
            <w:vAlign w:val="center"/>
            <w:hideMark/>
          </w:tcPr>
          <w:p w14:paraId="7B3D58B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0.0598***</w:t>
            </w:r>
          </w:p>
        </w:tc>
        <w:tc>
          <w:tcPr>
            <w:tcW w:w="409" w:type="pct"/>
            <w:tcBorders>
              <w:top w:val="nil"/>
              <w:left w:val="nil"/>
              <w:bottom w:val="nil"/>
              <w:right w:val="nil"/>
            </w:tcBorders>
            <w:shd w:val="clear" w:color="000000" w:fill="FFFFFF"/>
            <w:noWrap/>
            <w:vAlign w:val="center"/>
            <w:hideMark/>
          </w:tcPr>
          <w:p w14:paraId="7B80E228"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0.1973***</w:t>
            </w:r>
          </w:p>
        </w:tc>
        <w:tc>
          <w:tcPr>
            <w:tcW w:w="466" w:type="pct"/>
            <w:tcBorders>
              <w:top w:val="nil"/>
              <w:left w:val="nil"/>
              <w:bottom w:val="nil"/>
              <w:right w:val="nil"/>
            </w:tcBorders>
            <w:shd w:val="clear" w:color="000000" w:fill="FFFFFF"/>
            <w:noWrap/>
            <w:vAlign w:val="center"/>
            <w:hideMark/>
          </w:tcPr>
          <w:p w14:paraId="1A71009C"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c>
          <w:tcPr>
            <w:tcW w:w="352" w:type="pct"/>
            <w:tcBorders>
              <w:top w:val="nil"/>
              <w:left w:val="nil"/>
              <w:bottom w:val="nil"/>
              <w:right w:val="nil"/>
            </w:tcBorders>
            <w:shd w:val="clear" w:color="000000" w:fill="FFFFFF"/>
            <w:noWrap/>
            <w:vAlign w:val="center"/>
            <w:hideMark/>
          </w:tcPr>
          <w:p w14:paraId="7C311FAF"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 </w:t>
            </w:r>
          </w:p>
        </w:tc>
      </w:tr>
      <w:tr w:rsidR="00477CD4" w:rsidRPr="00F32020" w14:paraId="140BF354" w14:textId="77777777" w:rsidTr="00D314EE">
        <w:trPr>
          <w:trHeight w:val="280"/>
        </w:trPr>
        <w:tc>
          <w:tcPr>
            <w:tcW w:w="394" w:type="pct"/>
            <w:tcBorders>
              <w:top w:val="nil"/>
              <w:left w:val="nil"/>
              <w:bottom w:val="nil"/>
              <w:right w:val="nil"/>
            </w:tcBorders>
            <w:shd w:val="clear" w:color="000000" w:fill="FFFFFF"/>
            <w:noWrap/>
            <w:vAlign w:val="center"/>
            <w:hideMark/>
          </w:tcPr>
          <w:p w14:paraId="30F31FE0" w14:textId="77777777" w:rsidR="00152AEF" w:rsidRPr="00F32020" w:rsidRDefault="00152AEF" w:rsidP="00D314EE">
            <w:pPr>
              <w:jc w:val="center"/>
              <w:rPr>
                <w:rFonts w:ascii="Times" w:hAnsi="Times"/>
                <w:sz w:val="20"/>
                <w:szCs w:val="20"/>
              </w:rPr>
            </w:pPr>
            <w:r w:rsidRPr="00F32020">
              <w:rPr>
                <w:rFonts w:ascii="Times" w:hAnsi="Times"/>
                <w:sz w:val="20"/>
                <w:szCs w:val="20"/>
              </w:rPr>
              <w:t>8</w:t>
            </w:r>
          </w:p>
        </w:tc>
        <w:tc>
          <w:tcPr>
            <w:tcW w:w="994" w:type="pct"/>
            <w:tcBorders>
              <w:top w:val="nil"/>
              <w:left w:val="nil"/>
              <w:bottom w:val="nil"/>
              <w:right w:val="nil"/>
            </w:tcBorders>
            <w:shd w:val="clear" w:color="000000" w:fill="FFFFFF"/>
            <w:noWrap/>
            <w:vAlign w:val="center"/>
            <w:hideMark/>
          </w:tcPr>
          <w:p w14:paraId="7A1A8F91" w14:textId="77777777" w:rsidR="00152AEF" w:rsidRPr="00F32020" w:rsidRDefault="00152AEF" w:rsidP="00D314EE">
            <w:pPr>
              <w:jc w:val="center"/>
              <w:rPr>
                <w:rFonts w:ascii="Times" w:hAnsi="Times"/>
                <w:sz w:val="20"/>
                <w:szCs w:val="20"/>
              </w:rPr>
            </w:pPr>
            <w:r w:rsidRPr="00F32020">
              <w:rPr>
                <w:rFonts w:ascii="Times" w:hAnsi="Times"/>
                <w:sz w:val="20"/>
                <w:szCs w:val="20"/>
              </w:rPr>
              <w:t>Log (Equity since founded)</w:t>
            </w:r>
          </w:p>
        </w:tc>
        <w:tc>
          <w:tcPr>
            <w:tcW w:w="754" w:type="pct"/>
            <w:tcBorders>
              <w:top w:val="nil"/>
              <w:left w:val="nil"/>
              <w:bottom w:val="nil"/>
              <w:right w:val="nil"/>
            </w:tcBorders>
            <w:shd w:val="clear" w:color="000000" w:fill="FFFFFF"/>
            <w:noWrap/>
            <w:vAlign w:val="center"/>
            <w:hideMark/>
          </w:tcPr>
          <w:p w14:paraId="68029A8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0.0891***</w:t>
            </w:r>
          </w:p>
        </w:tc>
        <w:tc>
          <w:tcPr>
            <w:tcW w:w="350" w:type="pct"/>
            <w:tcBorders>
              <w:top w:val="nil"/>
              <w:left w:val="nil"/>
              <w:bottom w:val="nil"/>
              <w:right w:val="nil"/>
            </w:tcBorders>
            <w:shd w:val="clear" w:color="000000" w:fill="FFFFFF"/>
            <w:noWrap/>
            <w:vAlign w:val="center"/>
            <w:hideMark/>
          </w:tcPr>
          <w:p w14:paraId="46EFC3D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0.0845***</w:t>
            </w:r>
          </w:p>
        </w:tc>
        <w:tc>
          <w:tcPr>
            <w:tcW w:w="465" w:type="pct"/>
            <w:tcBorders>
              <w:top w:val="nil"/>
              <w:left w:val="nil"/>
              <w:bottom w:val="nil"/>
              <w:right w:val="nil"/>
            </w:tcBorders>
            <w:shd w:val="clear" w:color="000000" w:fill="FFFFFF"/>
            <w:noWrap/>
            <w:vAlign w:val="center"/>
            <w:hideMark/>
          </w:tcPr>
          <w:p w14:paraId="7739579C"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0.1479***</w:t>
            </w:r>
          </w:p>
        </w:tc>
        <w:tc>
          <w:tcPr>
            <w:tcW w:w="351" w:type="pct"/>
            <w:tcBorders>
              <w:top w:val="nil"/>
              <w:left w:val="nil"/>
              <w:bottom w:val="nil"/>
              <w:right w:val="nil"/>
            </w:tcBorders>
            <w:shd w:val="clear" w:color="000000" w:fill="FFFFFF"/>
            <w:noWrap/>
            <w:vAlign w:val="center"/>
            <w:hideMark/>
          </w:tcPr>
          <w:p w14:paraId="6DE2FE92"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-0.1089***</w:t>
            </w:r>
          </w:p>
        </w:tc>
        <w:tc>
          <w:tcPr>
            <w:tcW w:w="466" w:type="pct"/>
            <w:tcBorders>
              <w:top w:val="nil"/>
              <w:left w:val="nil"/>
              <w:bottom w:val="nil"/>
              <w:right w:val="nil"/>
            </w:tcBorders>
            <w:shd w:val="clear" w:color="000000" w:fill="FFFFFF"/>
            <w:noWrap/>
            <w:vAlign w:val="center"/>
            <w:hideMark/>
          </w:tcPr>
          <w:p w14:paraId="384D0D78"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0.004</w:t>
            </w:r>
          </w:p>
        </w:tc>
        <w:tc>
          <w:tcPr>
            <w:tcW w:w="409" w:type="pct"/>
            <w:tcBorders>
              <w:top w:val="nil"/>
              <w:left w:val="nil"/>
              <w:bottom w:val="nil"/>
              <w:right w:val="nil"/>
            </w:tcBorders>
            <w:shd w:val="clear" w:color="000000" w:fill="FFFFFF"/>
            <w:noWrap/>
            <w:vAlign w:val="center"/>
            <w:hideMark/>
          </w:tcPr>
          <w:p w14:paraId="7F0A73C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0.1247***</w:t>
            </w:r>
          </w:p>
        </w:tc>
        <w:tc>
          <w:tcPr>
            <w:tcW w:w="466" w:type="pct"/>
            <w:tcBorders>
              <w:top w:val="nil"/>
              <w:left w:val="nil"/>
              <w:bottom w:val="nil"/>
              <w:right w:val="nil"/>
            </w:tcBorders>
            <w:shd w:val="clear" w:color="000000" w:fill="FFFFFF"/>
            <w:noWrap/>
            <w:vAlign w:val="center"/>
            <w:hideMark/>
          </w:tcPr>
          <w:p w14:paraId="4F07B809"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0.1868***</w:t>
            </w:r>
          </w:p>
        </w:tc>
        <w:tc>
          <w:tcPr>
            <w:tcW w:w="352" w:type="pct"/>
            <w:tcBorders>
              <w:top w:val="nil"/>
              <w:left w:val="nil"/>
              <w:bottom w:val="nil"/>
              <w:right w:val="nil"/>
            </w:tcBorders>
            <w:shd w:val="clear" w:color="000000" w:fill="FFFFFF"/>
            <w:noWrap/>
            <w:vAlign w:val="center"/>
            <w:hideMark/>
          </w:tcPr>
          <w:p w14:paraId="762C1419"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1</w:t>
            </w:r>
          </w:p>
        </w:tc>
      </w:tr>
      <w:tr w:rsidR="00477CD4" w:rsidRPr="00F32020" w14:paraId="755C4189" w14:textId="77777777" w:rsidTr="00D314EE">
        <w:trPr>
          <w:trHeight w:val="280"/>
        </w:trPr>
        <w:tc>
          <w:tcPr>
            <w:tcW w:w="394" w:type="pct"/>
            <w:tcBorders>
              <w:top w:val="nil"/>
              <w:left w:val="nil"/>
              <w:bottom w:val="nil"/>
              <w:right w:val="nil"/>
            </w:tcBorders>
            <w:shd w:val="clear" w:color="000000" w:fill="FFFFFF"/>
            <w:noWrap/>
            <w:vAlign w:val="center"/>
            <w:hideMark/>
          </w:tcPr>
          <w:p w14:paraId="298294E4" w14:textId="77777777" w:rsidR="00152AEF" w:rsidRPr="00F32020" w:rsidRDefault="00152AEF" w:rsidP="00D314EE">
            <w:pPr>
              <w:jc w:val="center"/>
              <w:rPr>
                <w:rFonts w:ascii="Times" w:hAnsi="Times"/>
                <w:sz w:val="20"/>
                <w:szCs w:val="20"/>
              </w:rPr>
            </w:pPr>
            <w:r w:rsidRPr="00F32020">
              <w:rPr>
                <w:rFonts w:ascii="Times" w:hAnsi="Times"/>
                <w:sz w:val="20"/>
                <w:szCs w:val="20"/>
              </w:rPr>
              <w:t>9</w:t>
            </w:r>
          </w:p>
        </w:tc>
        <w:tc>
          <w:tcPr>
            <w:tcW w:w="994" w:type="pct"/>
            <w:tcBorders>
              <w:top w:val="nil"/>
              <w:left w:val="nil"/>
              <w:bottom w:val="nil"/>
              <w:right w:val="nil"/>
            </w:tcBorders>
            <w:shd w:val="clear" w:color="000000" w:fill="FFFFFF"/>
            <w:noWrap/>
            <w:vAlign w:val="center"/>
            <w:hideMark/>
          </w:tcPr>
          <w:p w14:paraId="1196AB39" w14:textId="77777777" w:rsidR="00152AEF" w:rsidRPr="00F32020" w:rsidRDefault="00152AEF" w:rsidP="00D314EE">
            <w:pPr>
              <w:jc w:val="center"/>
              <w:rPr>
                <w:rFonts w:ascii="Times" w:hAnsi="Times"/>
                <w:sz w:val="20"/>
                <w:szCs w:val="20"/>
              </w:rPr>
            </w:pPr>
            <w:r w:rsidRPr="00F32020">
              <w:rPr>
                <w:rFonts w:ascii="Times" w:hAnsi="Times"/>
                <w:sz w:val="20"/>
                <w:szCs w:val="20"/>
              </w:rPr>
              <w:t>% of Females in founding team</w:t>
            </w:r>
          </w:p>
        </w:tc>
        <w:tc>
          <w:tcPr>
            <w:tcW w:w="754" w:type="pct"/>
            <w:tcBorders>
              <w:top w:val="nil"/>
              <w:left w:val="nil"/>
              <w:bottom w:val="nil"/>
              <w:right w:val="nil"/>
            </w:tcBorders>
            <w:shd w:val="clear" w:color="000000" w:fill="FFFFFF"/>
            <w:noWrap/>
            <w:vAlign w:val="center"/>
            <w:hideMark/>
          </w:tcPr>
          <w:p w14:paraId="5C336C9E"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-0.0354***</w:t>
            </w:r>
          </w:p>
        </w:tc>
        <w:tc>
          <w:tcPr>
            <w:tcW w:w="350" w:type="pct"/>
            <w:tcBorders>
              <w:top w:val="nil"/>
              <w:left w:val="nil"/>
              <w:bottom w:val="nil"/>
              <w:right w:val="nil"/>
            </w:tcBorders>
            <w:shd w:val="clear" w:color="000000" w:fill="FFFFFF"/>
            <w:noWrap/>
            <w:vAlign w:val="center"/>
            <w:hideMark/>
          </w:tcPr>
          <w:p w14:paraId="3BDACB1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0.1023***</w:t>
            </w:r>
          </w:p>
        </w:tc>
        <w:tc>
          <w:tcPr>
            <w:tcW w:w="465" w:type="pct"/>
            <w:tcBorders>
              <w:top w:val="nil"/>
              <w:left w:val="nil"/>
              <w:bottom w:val="nil"/>
              <w:right w:val="nil"/>
            </w:tcBorders>
            <w:shd w:val="clear" w:color="000000" w:fill="FFFFFF"/>
            <w:noWrap/>
            <w:vAlign w:val="center"/>
            <w:hideMark/>
          </w:tcPr>
          <w:p w14:paraId="53AE9F40"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0.0735***</w:t>
            </w:r>
          </w:p>
        </w:tc>
        <w:tc>
          <w:tcPr>
            <w:tcW w:w="351" w:type="pct"/>
            <w:tcBorders>
              <w:top w:val="nil"/>
              <w:left w:val="nil"/>
              <w:bottom w:val="nil"/>
              <w:right w:val="nil"/>
            </w:tcBorders>
            <w:shd w:val="clear" w:color="000000" w:fill="FFFFFF"/>
            <w:noWrap/>
            <w:vAlign w:val="center"/>
            <w:hideMark/>
          </w:tcPr>
          <w:p w14:paraId="6D204F49"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0.1308***</w:t>
            </w:r>
          </w:p>
        </w:tc>
        <w:tc>
          <w:tcPr>
            <w:tcW w:w="466" w:type="pct"/>
            <w:tcBorders>
              <w:top w:val="nil"/>
              <w:left w:val="nil"/>
              <w:bottom w:val="nil"/>
              <w:right w:val="nil"/>
            </w:tcBorders>
            <w:shd w:val="clear" w:color="000000" w:fill="FFFFFF"/>
            <w:noWrap/>
            <w:vAlign w:val="center"/>
            <w:hideMark/>
          </w:tcPr>
          <w:p w14:paraId="0B8E9916"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0.0824***</w:t>
            </w:r>
          </w:p>
        </w:tc>
        <w:tc>
          <w:tcPr>
            <w:tcW w:w="409" w:type="pct"/>
            <w:tcBorders>
              <w:top w:val="nil"/>
              <w:left w:val="nil"/>
              <w:bottom w:val="nil"/>
              <w:right w:val="nil"/>
            </w:tcBorders>
            <w:shd w:val="clear" w:color="000000" w:fill="FFFFFF"/>
            <w:noWrap/>
            <w:vAlign w:val="center"/>
            <w:hideMark/>
          </w:tcPr>
          <w:p w14:paraId="7893945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-0.1140***</w:t>
            </w:r>
          </w:p>
        </w:tc>
        <w:tc>
          <w:tcPr>
            <w:tcW w:w="466" w:type="pct"/>
            <w:tcBorders>
              <w:top w:val="nil"/>
              <w:left w:val="nil"/>
              <w:bottom w:val="nil"/>
              <w:right w:val="nil"/>
            </w:tcBorders>
            <w:shd w:val="clear" w:color="000000" w:fill="FFFFFF"/>
            <w:noWrap/>
            <w:vAlign w:val="center"/>
            <w:hideMark/>
          </w:tcPr>
          <w:p w14:paraId="50ADD186"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-0.0498***</w:t>
            </w:r>
          </w:p>
        </w:tc>
        <w:tc>
          <w:tcPr>
            <w:tcW w:w="352" w:type="pct"/>
            <w:tcBorders>
              <w:top w:val="nil"/>
              <w:left w:val="nil"/>
              <w:bottom w:val="nil"/>
              <w:right w:val="nil"/>
            </w:tcBorders>
            <w:shd w:val="clear" w:color="000000" w:fill="FFFFFF"/>
            <w:noWrap/>
            <w:vAlign w:val="center"/>
            <w:hideMark/>
          </w:tcPr>
          <w:p w14:paraId="374BE350"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-0.1350***</w:t>
            </w:r>
          </w:p>
        </w:tc>
      </w:tr>
      <w:tr w:rsidR="00477CD4" w:rsidRPr="00F32020" w14:paraId="20C3D3AA" w14:textId="77777777" w:rsidTr="00D314EE">
        <w:trPr>
          <w:trHeight w:val="280"/>
        </w:trPr>
        <w:tc>
          <w:tcPr>
            <w:tcW w:w="394" w:type="pct"/>
            <w:tcBorders>
              <w:top w:val="nil"/>
              <w:left w:val="nil"/>
              <w:bottom w:val="nil"/>
              <w:right w:val="nil"/>
            </w:tcBorders>
            <w:shd w:val="clear" w:color="000000" w:fill="FFFFFF"/>
            <w:noWrap/>
            <w:vAlign w:val="center"/>
            <w:hideMark/>
          </w:tcPr>
          <w:p w14:paraId="6F4B1DED" w14:textId="77777777" w:rsidR="00152AEF" w:rsidRPr="00F32020" w:rsidRDefault="00152AEF" w:rsidP="00D314EE">
            <w:pPr>
              <w:jc w:val="center"/>
              <w:rPr>
                <w:rFonts w:ascii="Times" w:hAnsi="Times"/>
                <w:sz w:val="20"/>
                <w:szCs w:val="20"/>
              </w:rPr>
            </w:pPr>
            <w:r w:rsidRPr="00F32020">
              <w:rPr>
                <w:rFonts w:ascii="Times" w:hAnsi="Times"/>
                <w:sz w:val="20"/>
                <w:szCs w:val="20"/>
              </w:rPr>
              <w:t>10</w:t>
            </w:r>
          </w:p>
        </w:tc>
        <w:tc>
          <w:tcPr>
            <w:tcW w:w="994" w:type="pct"/>
            <w:tcBorders>
              <w:top w:val="nil"/>
              <w:left w:val="nil"/>
              <w:bottom w:val="nil"/>
              <w:right w:val="nil"/>
            </w:tcBorders>
            <w:shd w:val="clear" w:color="000000" w:fill="FFFFFF"/>
            <w:noWrap/>
            <w:vAlign w:val="center"/>
            <w:hideMark/>
          </w:tcPr>
          <w:p w14:paraId="2FC8025D" w14:textId="77777777" w:rsidR="00152AEF" w:rsidRPr="00F32020" w:rsidRDefault="00152AEF" w:rsidP="00D314EE">
            <w:pPr>
              <w:jc w:val="center"/>
              <w:rPr>
                <w:rFonts w:ascii="Times" w:hAnsi="Times"/>
                <w:sz w:val="20"/>
                <w:szCs w:val="20"/>
              </w:rPr>
            </w:pPr>
            <w:r w:rsidRPr="00F32020">
              <w:rPr>
                <w:rFonts w:ascii="Times" w:hAnsi="Times"/>
                <w:sz w:val="20"/>
                <w:szCs w:val="20"/>
              </w:rPr>
              <w:t>Founders’ age</w:t>
            </w:r>
          </w:p>
        </w:tc>
        <w:tc>
          <w:tcPr>
            <w:tcW w:w="754" w:type="pct"/>
            <w:tcBorders>
              <w:top w:val="nil"/>
              <w:left w:val="nil"/>
              <w:bottom w:val="nil"/>
              <w:right w:val="nil"/>
            </w:tcBorders>
            <w:shd w:val="clear" w:color="000000" w:fill="FFFFFF"/>
            <w:noWrap/>
            <w:vAlign w:val="center"/>
            <w:hideMark/>
          </w:tcPr>
          <w:p w14:paraId="270F679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0.0162**</w:t>
            </w:r>
          </w:p>
        </w:tc>
        <w:tc>
          <w:tcPr>
            <w:tcW w:w="350" w:type="pct"/>
            <w:tcBorders>
              <w:top w:val="nil"/>
              <w:left w:val="nil"/>
              <w:bottom w:val="nil"/>
              <w:right w:val="nil"/>
            </w:tcBorders>
            <w:shd w:val="clear" w:color="000000" w:fill="FFFFFF"/>
            <w:noWrap/>
            <w:vAlign w:val="center"/>
            <w:hideMark/>
          </w:tcPr>
          <w:p w14:paraId="1506532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0.3630***</w:t>
            </w:r>
          </w:p>
        </w:tc>
        <w:tc>
          <w:tcPr>
            <w:tcW w:w="465" w:type="pct"/>
            <w:tcBorders>
              <w:top w:val="nil"/>
              <w:left w:val="nil"/>
              <w:bottom w:val="nil"/>
              <w:right w:val="nil"/>
            </w:tcBorders>
            <w:shd w:val="clear" w:color="000000" w:fill="FFFFFF"/>
            <w:noWrap/>
            <w:vAlign w:val="center"/>
            <w:hideMark/>
          </w:tcPr>
          <w:p w14:paraId="2EB1526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0.1873***</w:t>
            </w:r>
          </w:p>
        </w:tc>
        <w:tc>
          <w:tcPr>
            <w:tcW w:w="351" w:type="pct"/>
            <w:tcBorders>
              <w:top w:val="nil"/>
              <w:left w:val="nil"/>
              <w:bottom w:val="nil"/>
              <w:right w:val="nil"/>
            </w:tcBorders>
            <w:shd w:val="clear" w:color="000000" w:fill="FFFFFF"/>
            <w:noWrap/>
            <w:vAlign w:val="center"/>
            <w:hideMark/>
          </w:tcPr>
          <w:p w14:paraId="63B2A1E3"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0.0541***</w:t>
            </w:r>
          </w:p>
        </w:tc>
        <w:tc>
          <w:tcPr>
            <w:tcW w:w="466" w:type="pct"/>
            <w:tcBorders>
              <w:top w:val="nil"/>
              <w:left w:val="nil"/>
              <w:bottom w:val="nil"/>
              <w:right w:val="nil"/>
            </w:tcBorders>
            <w:shd w:val="clear" w:color="000000" w:fill="FFFFFF"/>
            <w:noWrap/>
            <w:vAlign w:val="center"/>
            <w:hideMark/>
          </w:tcPr>
          <w:p w14:paraId="56F9805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0.0308***</w:t>
            </w:r>
          </w:p>
        </w:tc>
        <w:tc>
          <w:tcPr>
            <w:tcW w:w="409" w:type="pct"/>
            <w:tcBorders>
              <w:top w:val="nil"/>
              <w:left w:val="nil"/>
              <w:bottom w:val="nil"/>
              <w:right w:val="nil"/>
            </w:tcBorders>
            <w:shd w:val="clear" w:color="000000" w:fill="FFFFFF"/>
            <w:noWrap/>
            <w:vAlign w:val="center"/>
            <w:hideMark/>
          </w:tcPr>
          <w:p w14:paraId="3CBC911F"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0.0177</w:t>
            </w:r>
          </w:p>
        </w:tc>
        <w:tc>
          <w:tcPr>
            <w:tcW w:w="466" w:type="pct"/>
            <w:tcBorders>
              <w:top w:val="nil"/>
              <w:left w:val="nil"/>
              <w:bottom w:val="nil"/>
              <w:right w:val="nil"/>
            </w:tcBorders>
            <w:shd w:val="clear" w:color="000000" w:fill="FFFFFF"/>
            <w:noWrap/>
            <w:vAlign w:val="center"/>
            <w:hideMark/>
          </w:tcPr>
          <w:p w14:paraId="2918291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0.1350***</w:t>
            </w:r>
          </w:p>
        </w:tc>
        <w:tc>
          <w:tcPr>
            <w:tcW w:w="352" w:type="pct"/>
            <w:tcBorders>
              <w:top w:val="nil"/>
              <w:left w:val="nil"/>
              <w:bottom w:val="nil"/>
              <w:right w:val="nil"/>
            </w:tcBorders>
            <w:shd w:val="clear" w:color="000000" w:fill="FFFFFF"/>
            <w:noWrap/>
            <w:vAlign w:val="center"/>
            <w:hideMark/>
          </w:tcPr>
          <w:p w14:paraId="1EEDB84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0.0477***</w:t>
            </w:r>
          </w:p>
        </w:tc>
      </w:tr>
      <w:tr w:rsidR="00477CD4" w:rsidRPr="00F32020" w14:paraId="3F34A191" w14:textId="77777777" w:rsidTr="00D314EE">
        <w:trPr>
          <w:trHeight w:val="280"/>
        </w:trPr>
        <w:tc>
          <w:tcPr>
            <w:tcW w:w="394" w:type="pct"/>
            <w:tcBorders>
              <w:top w:val="nil"/>
              <w:left w:val="nil"/>
              <w:bottom w:val="nil"/>
              <w:right w:val="nil"/>
            </w:tcBorders>
            <w:shd w:val="clear" w:color="000000" w:fill="FFFFFF"/>
            <w:noWrap/>
            <w:vAlign w:val="center"/>
            <w:hideMark/>
          </w:tcPr>
          <w:p w14:paraId="139BE000" w14:textId="77777777" w:rsidR="00152AEF" w:rsidRPr="00F32020" w:rsidRDefault="00152AEF" w:rsidP="00D314EE">
            <w:pPr>
              <w:jc w:val="center"/>
              <w:rPr>
                <w:rFonts w:ascii="Times" w:hAnsi="Times"/>
                <w:sz w:val="20"/>
                <w:szCs w:val="20"/>
              </w:rPr>
            </w:pPr>
            <w:r w:rsidRPr="00F32020">
              <w:rPr>
                <w:rFonts w:ascii="Times" w:hAnsi="Times"/>
                <w:sz w:val="20"/>
                <w:szCs w:val="20"/>
              </w:rPr>
              <w:t>11</w:t>
            </w:r>
          </w:p>
        </w:tc>
        <w:tc>
          <w:tcPr>
            <w:tcW w:w="994" w:type="pct"/>
            <w:tcBorders>
              <w:top w:val="nil"/>
              <w:left w:val="nil"/>
              <w:bottom w:val="nil"/>
              <w:right w:val="nil"/>
            </w:tcBorders>
            <w:shd w:val="clear" w:color="000000" w:fill="FFFFFF"/>
            <w:noWrap/>
            <w:vAlign w:val="bottom"/>
            <w:hideMark/>
          </w:tcPr>
          <w:p w14:paraId="5DED1F2A" w14:textId="77777777" w:rsidR="00152AEF" w:rsidRPr="00F32020" w:rsidRDefault="00152AEF" w:rsidP="00D314EE">
            <w:pPr>
              <w:jc w:val="center"/>
              <w:rPr>
                <w:rFonts w:ascii="Times" w:hAnsi="Times"/>
                <w:sz w:val="20"/>
                <w:szCs w:val="20"/>
              </w:rPr>
            </w:pPr>
            <w:r w:rsidRPr="00F32020">
              <w:rPr>
                <w:rFonts w:ascii="Times" w:hAnsi="Times"/>
                <w:sz w:val="20"/>
                <w:szCs w:val="20"/>
              </w:rPr>
              <w:t>Founders founding experience</w:t>
            </w:r>
          </w:p>
        </w:tc>
        <w:tc>
          <w:tcPr>
            <w:tcW w:w="754" w:type="pct"/>
            <w:tcBorders>
              <w:top w:val="nil"/>
              <w:left w:val="nil"/>
              <w:bottom w:val="nil"/>
              <w:right w:val="nil"/>
            </w:tcBorders>
            <w:shd w:val="clear" w:color="000000" w:fill="FFFFFF"/>
            <w:noWrap/>
            <w:vAlign w:val="center"/>
            <w:hideMark/>
          </w:tcPr>
          <w:p w14:paraId="6CD16CD1" w14:textId="77777777" w:rsidR="00152AEF" w:rsidRPr="00F32020" w:rsidRDefault="00152AEF" w:rsidP="00D314EE">
            <w:pPr>
              <w:jc w:val="center"/>
              <w:rPr>
                <w:rFonts w:ascii="Times" w:hAnsi="Times"/>
                <w:sz w:val="20"/>
                <w:szCs w:val="20"/>
              </w:rPr>
            </w:pPr>
            <w:r w:rsidRPr="00F32020">
              <w:rPr>
                <w:rFonts w:ascii="Times" w:hAnsi="Times"/>
                <w:sz w:val="20"/>
                <w:szCs w:val="20"/>
              </w:rPr>
              <w:t>0.0418***</w:t>
            </w:r>
          </w:p>
        </w:tc>
        <w:tc>
          <w:tcPr>
            <w:tcW w:w="350" w:type="pct"/>
            <w:tcBorders>
              <w:top w:val="nil"/>
              <w:left w:val="nil"/>
              <w:bottom w:val="nil"/>
              <w:right w:val="nil"/>
            </w:tcBorders>
            <w:shd w:val="clear" w:color="000000" w:fill="FFFFFF"/>
            <w:noWrap/>
            <w:vAlign w:val="center"/>
            <w:hideMark/>
          </w:tcPr>
          <w:p w14:paraId="3948709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0.0299***</w:t>
            </w:r>
          </w:p>
        </w:tc>
        <w:tc>
          <w:tcPr>
            <w:tcW w:w="465" w:type="pct"/>
            <w:tcBorders>
              <w:top w:val="nil"/>
              <w:left w:val="nil"/>
              <w:bottom w:val="nil"/>
              <w:right w:val="nil"/>
            </w:tcBorders>
            <w:shd w:val="clear" w:color="000000" w:fill="FFFFFF"/>
            <w:noWrap/>
            <w:vAlign w:val="center"/>
            <w:hideMark/>
          </w:tcPr>
          <w:p w14:paraId="2B14CCB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0.0658***</w:t>
            </w:r>
          </w:p>
        </w:tc>
        <w:tc>
          <w:tcPr>
            <w:tcW w:w="351" w:type="pct"/>
            <w:tcBorders>
              <w:top w:val="nil"/>
              <w:left w:val="nil"/>
              <w:bottom w:val="nil"/>
              <w:right w:val="nil"/>
            </w:tcBorders>
            <w:shd w:val="clear" w:color="000000" w:fill="FFFFFF"/>
            <w:noWrap/>
            <w:vAlign w:val="center"/>
            <w:hideMark/>
          </w:tcPr>
          <w:p w14:paraId="57FD68B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-0.0837***</w:t>
            </w:r>
          </w:p>
        </w:tc>
        <w:tc>
          <w:tcPr>
            <w:tcW w:w="466" w:type="pct"/>
            <w:tcBorders>
              <w:top w:val="nil"/>
              <w:left w:val="nil"/>
              <w:bottom w:val="nil"/>
              <w:right w:val="nil"/>
            </w:tcBorders>
            <w:shd w:val="clear" w:color="000000" w:fill="FFFFFF"/>
            <w:noWrap/>
            <w:vAlign w:val="center"/>
            <w:hideMark/>
          </w:tcPr>
          <w:p w14:paraId="2FA7C43F"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0.0358***</w:t>
            </w:r>
          </w:p>
        </w:tc>
        <w:tc>
          <w:tcPr>
            <w:tcW w:w="409" w:type="pct"/>
            <w:tcBorders>
              <w:top w:val="nil"/>
              <w:left w:val="nil"/>
              <w:bottom w:val="nil"/>
              <w:right w:val="nil"/>
            </w:tcBorders>
            <w:shd w:val="clear" w:color="000000" w:fill="FFFFFF"/>
            <w:noWrap/>
            <w:vAlign w:val="center"/>
            <w:hideMark/>
          </w:tcPr>
          <w:p w14:paraId="5220777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0.0728***</w:t>
            </w:r>
          </w:p>
        </w:tc>
        <w:tc>
          <w:tcPr>
            <w:tcW w:w="466" w:type="pct"/>
            <w:tcBorders>
              <w:top w:val="nil"/>
              <w:left w:val="nil"/>
              <w:bottom w:val="nil"/>
              <w:right w:val="nil"/>
            </w:tcBorders>
            <w:shd w:val="clear" w:color="000000" w:fill="FFFFFF"/>
            <w:noWrap/>
            <w:vAlign w:val="center"/>
            <w:hideMark/>
          </w:tcPr>
          <w:p w14:paraId="4293A3C9"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0.123***</w:t>
            </w:r>
          </w:p>
        </w:tc>
        <w:tc>
          <w:tcPr>
            <w:tcW w:w="352" w:type="pct"/>
            <w:tcBorders>
              <w:top w:val="nil"/>
              <w:left w:val="nil"/>
              <w:bottom w:val="nil"/>
              <w:right w:val="nil"/>
            </w:tcBorders>
            <w:shd w:val="clear" w:color="000000" w:fill="FFFFFF"/>
            <w:noWrap/>
            <w:vAlign w:val="center"/>
            <w:hideMark/>
          </w:tcPr>
          <w:p w14:paraId="34FF3F8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0.1047***</w:t>
            </w:r>
          </w:p>
        </w:tc>
      </w:tr>
      <w:tr w:rsidR="00477CD4" w:rsidRPr="00F32020" w14:paraId="43205F86" w14:textId="77777777" w:rsidTr="00D314EE">
        <w:trPr>
          <w:trHeight w:val="280"/>
        </w:trPr>
        <w:tc>
          <w:tcPr>
            <w:tcW w:w="394" w:type="pct"/>
            <w:tcBorders>
              <w:top w:val="nil"/>
              <w:left w:val="nil"/>
              <w:bottom w:val="nil"/>
              <w:right w:val="nil"/>
            </w:tcBorders>
            <w:shd w:val="clear" w:color="000000" w:fill="FFFFFF"/>
            <w:noWrap/>
            <w:vAlign w:val="center"/>
            <w:hideMark/>
          </w:tcPr>
          <w:p w14:paraId="6126FFC1" w14:textId="77777777" w:rsidR="00152AEF" w:rsidRPr="00F32020" w:rsidRDefault="00152AEF" w:rsidP="00D314EE">
            <w:pPr>
              <w:jc w:val="center"/>
              <w:rPr>
                <w:rFonts w:ascii="Times" w:hAnsi="Times"/>
                <w:sz w:val="20"/>
                <w:szCs w:val="20"/>
              </w:rPr>
            </w:pPr>
            <w:r w:rsidRPr="00F32020">
              <w:rPr>
                <w:rFonts w:ascii="Times" w:hAnsi="Times"/>
                <w:sz w:val="20"/>
                <w:szCs w:val="20"/>
              </w:rPr>
              <w:t>12</w:t>
            </w:r>
          </w:p>
        </w:tc>
        <w:tc>
          <w:tcPr>
            <w:tcW w:w="994" w:type="pct"/>
            <w:tcBorders>
              <w:top w:val="nil"/>
              <w:left w:val="nil"/>
              <w:bottom w:val="nil"/>
              <w:right w:val="nil"/>
            </w:tcBorders>
            <w:shd w:val="clear" w:color="000000" w:fill="FFFFFF"/>
            <w:noWrap/>
            <w:vAlign w:val="center"/>
            <w:hideMark/>
          </w:tcPr>
          <w:p w14:paraId="302E8547" w14:textId="77777777" w:rsidR="00152AEF" w:rsidRPr="00F32020" w:rsidRDefault="00152AEF" w:rsidP="00D314EE">
            <w:pPr>
              <w:jc w:val="center"/>
              <w:rPr>
                <w:rFonts w:ascii="Times" w:hAnsi="Times"/>
                <w:sz w:val="20"/>
                <w:szCs w:val="20"/>
              </w:rPr>
            </w:pPr>
            <w:r w:rsidRPr="00F32020">
              <w:rPr>
                <w:rFonts w:ascii="Times" w:hAnsi="Times"/>
                <w:sz w:val="20"/>
                <w:szCs w:val="20"/>
              </w:rPr>
              <w:t>Founders’ education</w:t>
            </w:r>
          </w:p>
        </w:tc>
        <w:tc>
          <w:tcPr>
            <w:tcW w:w="754" w:type="pct"/>
            <w:tcBorders>
              <w:top w:val="nil"/>
              <w:left w:val="nil"/>
              <w:bottom w:val="nil"/>
              <w:right w:val="nil"/>
            </w:tcBorders>
            <w:shd w:val="clear" w:color="000000" w:fill="FFFFFF"/>
            <w:noWrap/>
            <w:vAlign w:val="center"/>
            <w:hideMark/>
          </w:tcPr>
          <w:p w14:paraId="03BBB96E"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0.1514***</w:t>
            </w:r>
          </w:p>
        </w:tc>
        <w:tc>
          <w:tcPr>
            <w:tcW w:w="350" w:type="pct"/>
            <w:tcBorders>
              <w:top w:val="nil"/>
              <w:left w:val="nil"/>
              <w:bottom w:val="nil"/>
              <w:right w:val="nil"/>
            </w:tcBorders>
            <w:shd w:val="clear" w:color="000000" w:fill="FFFFFF"/>
            <w:noWrap/>
            <w:vAlign w:val="center"/>
            <w:hideMark/>
          </w:tcPr>
          <w:p w14:paraId="53C5731F"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0.0534***</w:t>
            </w:r>
          </w:p>
        </w:tc>
        <w:tc>
          <w:tcPr>
            <w:tcW w:w="465" w:type="pct"/>
            <w:tcBorders>
              <w:top w:val="nil"/>
              <w:left w:val="nil"/>
              <w:bottom w:val="nil"/>
              <w:right w:val="nil"/>
            </w:tcBorders>
            <w:shd w:val="clear" w:color="000000" w:fill="FFFFFF"/>
            <w:noWrap/>
            <w:vAlign w:val="center"/>
            <w:hideMark/>
          </w:tcPr>
          <w:p w14:paraId="58DE5503"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0.0719***</w:t>
            </w:r>
          </w:p>
        </w:tc>
        <w:tc>
          <w:tcPr>
            <w:tcW w:w="351" w:type="pct"/>
            <w:tcBorders>
              <w:top w:val="nil"/>
              <w:left w:val="nil"/>
              <w:bottom w:val="nil"/>
              <w:right w:val="nil"/>
            </w:tcBorders>
            <w:shd w:val="clear" w:color="000000" w:fill="FFFFFF"/>
            <w:noWrap/>
            <w:vAlign w:val="center"/>
            <w:hideMark/>
          </w:tcPr>
          <w:p w14:paraId="64702B6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0.0316***</w:t>
            </w:r>
          </w:p>
        </w:tc>
        <w:tc>
          <w:tcPr>
            <w:tcW w:w="466" w:type="pct"/>
            <w:tcBorders>
              <w:top w:val="nil"/>
              <w:left w:val="nil"/>
              <w:bottom w:val="nil"/>
              <w:right w:val="nil"/>
            </w:tcBorders>
            <w:shd w:val="clear" w:color="000000" w:fill="FFFFFF"/>
            <w:noWrap/>
            <w:vAlign w:val="center"/>
            <w:hideMark/>
          </w:tcPr>
          <w:p w14:paraId="3E3D1988"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0.0908***</w:t>
            </w:r>
          </w:p>
        </w:tc>
        <w:tc>
          <w:tcPr>
            <w:tcW w:w="409" w:type="pct"/>
            <w:tcBorders>
              <w:top w:val="nil"/>
              <w:left w:val="nil"/>
              <w:bottom w:val="nil"/>
              <w:right w:val="nil"/>
            </w:tcBorders>
            <w:shd w:val="clear" w:color="000000" w:fill="FFFFFF"/>
            <w:noWrap/>
            <w:vAlign w:val="center"/>
            <w:hideMark/>
          </w:tcPr>
          <w:p w14:paraId="4909427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0.0844***</w:t>
            </w:r>
          </w:p>
        </w:tc>
        <w:tc>
          <w:tcPr>
            <w:tcW w:w="466" w:type="pct"/>
            <w:tcBorders>
              <w:top w:val="nil"/>
              <w:left w:val="nil"/>
              <w:bottom w:val="nil"/>
              <w:right w:val="nil"/>
            </w:tcBorders>
            <w:shd w:val="clear" w:color="000000" w:fill="FFFFFF"/>
            <w:noWrap/>
            <w:vAlign w:val="center"/>
            <w:hideMark/>
          </w:tcPr>
          <w:p w14:paraId="03476A5C"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0.1116***</w:t>
            </w:r>
          </w:p>
        </w:tc>
        <w:tc>
          <w:tcPr>
            <w:tcW w:w="352" w:type="pct"/>
            <w:tcBorders>
              <w:top w:val="nil"/>
              <w:left w:val="nil"/>
              <w:bottom w:val="nil"/>
              <w:right w:val="nil"/>
            </w:tcBorders>
            <w:shd w:val="clear" w:color="000000" w:fill="FFFFFF"/>
            <w:noWrap/>
            <w:vAlign w:val="center"/>
            <w:hideMark/>
          </w:tcPr>
          <w:p w14:paraId="65C7F57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0.1498***</w:t>
            </w:r>
          </w:p>
        </w:tc>
      </w:tr>
      <w:tr w:rsidR="00477CD4" w:rsidRPr="00F32020" w14:paraId="4ABF8696" w14:textId="77777777" w:rsidTr="00D314EE">
        <w:trPr>
          <w:trHeight w:val="280"/>
        </w:trPr>
        <w:tc>
          <w:tcPr>
            <w:tcW w:w="394" w:type="pct"/>
            <w:tcBorders>
              <w:top w:val="nil"/>
              <w:left w:val="nil"/>
              <w:bottom w:val="nil"/>
              <w:right w:val="nil"/>
            </w:tcBorders>
            <w:shd w:val="clear" w:color="000000" w:fill="FFFFFF"/>
            <w:noWrap/>
            <w:vAlign w:val="center"/>
            <w:hideMark/>
          </w:tcPr>
          <w:p w14:paraId="4BFD763D" w14:textId="77777777" w:rsidR="00152AEF" w:rsidRPr="00F32020" w:rsidRDefault="00152AEF" w:rsidP="00D314EE">
            <w:pPr>
              <w:jc w:val="center"/>
              <w:rPr>
                <w:rFonts w:ascii="Times" w:hAnsi="Times"/>
                <w:sz w:val="20"/>
                <w:szCs w:val="20"/>
              </w:rPr>
            </w:pPr>
            <w:r w:rsidRPr="00F32020">
              <w:rPr>
                <w:rFonts w:ascii="Times" w:hAnsi="Times"/>
                <w:sz w:val="20"/>
                <w:szCs w:val="20"/>
              </w:rPr>
              <w:t>13</w:t>
            </w:r>
          </w:p>
        </w:tc>
        <w:tc>
          <w:tcPr>
            <w:tcW w:w="994" w:type="pct"/>
            <w:tcBorders>
              <w:top w:val="nil"/>
              <w:left w:val="nil"/>
              <w:bottom w:val="nil"/>
              <w:right w:val="nil"/>
            </w:tcBorders>
            <w:shd w:val="clear" w:color="000000" w:fill="FFFFFF"/>
            <w:noWrap/>
            <w:vAlign w:val="center"/>
            <w:hideMark/>
          </w:tcPr>
          <w:p w14:paraId="55ADE4D7" w14:textId="77777777" w:rsidR="00152AEF" w:rsidRPr="00F32020" w:rsidRDefault="00152AEF" w:rsidP="00D314EE">
            <w:pPr>
              <w:jc w:val="center"/>
              <w:rPr>
                <w:rFonts w:ascii="Times" w:hAnsi="Times"/>
                <w:sz w:val="20"/>
                <w:szCs w:val="20"/>
              </w:rPr>
            </w:pPr>
            <w:r w:rsidRPr="00F32020">
              <w:rPr>
                <w:rFonts w:ascii="Times" w:hAnsi="Times"/>
                <w:sz w:val="20"/>
                <w:szCs w:val="20"/>
              </w:rPr>
              <w:t>Reported prior accelerator</w:t>
            </w:r>
          </w:p>
        </w:tc>
        <w:tc>
          <w:tcPr>
            <w:tcW w:w="754" w:type="pct"/>
            <w:tcBorders>
              <w:top w:val="nil"/>
              <w:left w:val="nil"/>
              <w:bottom w:val="nil"/>
              <w:right w:val="nil"/>
            </w:tcBorders>
            <w:shd w:val="clear" w:color="000000" w:fill="FFFFFF"/>
            <w:noWrap/>
            <w:vAlign w:val="center"/>
            <w:hideMark/>
          </w:tcPr>
          <w:p w14:paraId="0B30EE6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0.0569***</w:t>
            </w:r>
          </w:p>
        </w:tc>
        <w:tc>
          <w:tcPr>
            <w:tcW w:w="350" w:type="pct"/>
            <w:tcBorders>
              <w:top w:val="nil"/>
              <w:left w:val="nil"/>
              <w:bottom w:val="nil"/>
              <w:right w:val="nil"/>
            </w:tcBorders>
            <w:shd w:val="clear" w:color="000000" w:fill="FFFFFF"/>
            <w:noWrap/>
            <w:vAlign w:val="center"/>
            <w:hideMark/>
          </w:tcPr>
          <w:p w14:paraId="6F3717F8"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0.0745***</w:t>
            </w:r>
          </w:p>
        </w:tc>
        <w:tc>
          <w:tcPr>
            <w:tcW w:w="465" w:type="pct"/>
            <w:tcBorders>
              <w:top w:val="nil"/>
              <w:left w:val="nil"/>
              <w:bottom w:val="nil"/>
              <w:right w:val="nil"/>
            </w:tcBorders>
            <w:shd w:val="clear" w:color="000000" w:fill="FFFFFF"/>
            <w:noWrap/>
            <w:vAlign w:val="center"/>
            <w:hideMark/>
          </w:tcPr>
          <w:p w14:paraId="2F9F7F8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0.1006***</w:t>
            </w:r>
          </w:p>
        </w:tc>
        <w:tc>
          <w:tcPr>
            <w:tcW w:w="351" w:type="pct"/>
            <w:tcBorders>
              <w:top w:val="nil"/>
              <w:left w:val="nil"/>
              <w:bottom w:val="nil"/>
              <w:right w:val="nil"/>
            </w:tcBorders>
            <w:shd w:val="clear" w:color="000000" w:fill="FFFFFF"/>
            <w:noWrap/>
            <w:vAlign w:val="center"/>
            <w:hideMark/>
          </w:tcPr>
          <w:p w14:paraId="14EC306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-0.0072</w:t>
            </w:r>
          </w:p>
        </w:tc>
        <w:tc>
          <w:tcPr>
            <w:tcW w:w="466" w:type="pct"/>
            <w:tcBorders>
              <w:top w:val="nil"/>
              <w:left w:val="nil"/>
              <w:bottom w:val="nil"/>
              <w:right w:val="nil"/>
            </w:tcBorders>
            <w:shd w:val="clear" w:color="000000" w:fill="FFFFFF"/>
            <w:noWrap/>
            <w:vAlign w:val="center"/>
            <w:hideMark/>
          </w:tcPr>
          <w:p w14:paraId="440937B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0.0367***</w:t>
            </w:r>
          </w:p>
        </w:tc>
        <w:tc>
          <w:tcPr>
            <w:tcW w:w="409" w:type="pct"/>
            <w:tcBorders>
              <w:top w:val="nil"/>
              <w:left w:val="nil"/>
              <w:bottom w:val="nil"/>
              <w:right w:val="nil"/>
            </w:tcBorders>
            <w:shd w:val="clear" w:color="000000" w:fill="FFFFFF"/>
            <w:noWrap/>
            <w:vAlign w:val="center"/>
            <w:hideMark/>
          </w:tcPr>
          <w:p w14:paraId="30AAEA41"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0.1073***</w:t>
            </w:r>
          </w:p>
        </w:tc>
        <w:tc>
          <w:tcPr>
            <w:tcW w:w="466" w:type="pct"/>
            <w:tcBorders>
              <w:top w:val="nil"/>
              <w:left w:val="nil"/>
              <w:bottom w:val="nil"/>
              <w:right w:val="nil"/>
            </w:tcBorders>
            <w:shd w:val="clear" w:color="000000" w:fill="FFFFFF"/>
            <w:noWrap/>
            <w:vAlign w:val="center"/>
            <w:hideMark/>
          </w:tcPr>
          <w:p w14:paraId="27E98EB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0.1325***</w:t>
            </w:r>
          </w:p>
        </w:tc>
        <w:tc>
          <w:tcPr>
            <w:tcW w:w="352" w:type="pct"/>
            <w:tcBorders>
              <w:top w:val="nil"/>
              <w:left w:val="nil"/>
              <w:bottom w:val="nil"/>
              <w:right w:val="nil"/>
            </w:tcBorders>
            <w:shd w:val="clear" w:color="000000" w:fill="FFFFFF"/>
            <w:noWrap/>
            <w:vAlign w:val="center"/>
            <w:hideMark/>
          </w:tcPr>
          <w:p w14:paraId="4615BB4E"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0.1490***</w:t>
            </w:r>
          </w:p>
        </w:tc>
      </w:tr>
      <w:tr w:rsidR="00477CD4" w:rsidRPr="00F32020" w14:paraId="2D15C9DA" w14:textId="77777777" w:rsidTr="00D314EE">
        <w:trPr>
          <w:trHeight w:val="280"/>
        </w:trPr>
        <w:tc>
          <w:tcPr>
            <w:tcW w:w="394" w:type="pct"/>
            <w:tcBorders>
              <w:top w:val="nil"/>
              <w:left w:val="nil"/>
              <w:bottom w:val="nil"/>
              <w:right w:val="nil"/>
            </w:tcBorders>
            <w:shd w:val="clear" w:color="000000" w:fill="FFFFFF"/>
            <w:noWrap/>
            <w:vAlign w:val="center"/>
            <w:hideMark/>
          </w:tcPr>
          <w:p w14:paraId="309B0DDF" w14:textId="77777777" w:rsidR="00152AEF" w:rsidRPr="00F32020" w:rsidRDefault="00152AEF" w:rsidP="00D314EE">
            <w:pPr>
              <w:jc w:val="center"/>
              <w:rPr>
                <w:rFonts w:ascii="Times" w:hAnsi="Times"/>
                <w:sz w:val="20"/>
                <w:szCs w:val="20"/>
              </w:rPr>
            </w:pPr>
            <w:r w:rsidRPr="00F32020">
              <w:rPr>
                <w:rFonts w:ascii="Times" w:hAnsi="Times"/>
                <w:sz w:val="20"/>
                <w:szCs w:val="20"/>
              </w:rPr>
              <w:t>14</w:t>
            </w:r>
          </w:p>
        </w:tc>
        <w:tc>
          <w:tcPr>
            <w:tcW w:w="994" w:type="pct"/>
            <w:tcBorders>
              <w:top w:val="nil"/>
              <w:left w:val="nil"/>
              <w:bottom w:val="nil"/>
              <w:right w:val="nil"/>
            </w:tcBorders>
            <w:shd w:val="clear" w:color="000000" w:fill="FFFFFF"/>
            <w:noWrap/>
            <w:vAlign w:val="center"/>
            <w:hideMark/>
          </w:tcPr>
          <w:p w14:paraId="476FF4A2" w14:textId="77777777" w:rsidR="00152AEF" w:rsidRPr="00F32020" w:rsidRDefault="00152AEF" w:rsidP="00D314EE">
            <w:pPr>
              <w:jc w:val="center"/>
              <w:rPr>
                <w:rFonts w:ascii="Times" w:hAnsi="Times"/>
                <w:sz w:val="20"/>
                <w:szCs w:val="20"/>
              </w:rPr>
            </w:pPr>
            <w:r w:rsidRPr="00F32020">
              <w:rPr>
                <w:rFonts w:ascii="Times" w:hAnsi="Times"/>
                <w:sz w:val="20"/>
                <w:szCs w:val="20"/>
              </w:rPr>
              <w:t>GDP Growth</w:t>
            </w:r>
          </w:p>
        </w:tc>
        <w:tc>
          <w:tcPr>
            <w:tcW w:w="754" w:type="pct"/>
            <w:tcBorders>
              <w:top w:val="nil"/>
              <w:left w:val="nil"/>
              <w:bottom w:val="nil"/>
              <w:right w:val="nil"/>
            </w:tcBorders>
            <w:shd w:val="clear" w:color="000000" w:fill="FFFFFF"/>
            <w:noWrap/>
            <w:vAlign w:val="center"/>
            <w:hideMark/>
          </w:tcPr>
          <w:p w14:paraId="2D08D5C7"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-0.0548***</w:t>
            </w:r>
          </w:p>
        </w:tc>
        <w:tc>
          <w:tcPr>
            <w:tcW w:w="350" w:type="pct"/>
            <w:tcBorders>
              <w:top w:val="nil"/>
              <w:left w:val="nil"/>
              <w:bottom w:val="nil"/>
              <w:right w:val="nil"/>
            </w:tcBorders>
            <w:shd w:val="clear" w:color="000000" w:fill="FFFFFF"/>
            <w:noWrap/>
            <w:vAlign w:val="center"/>
            <w:hideMark/>
          </w:tcPr>
          <w:p w14:paraId="46FDEE7C"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0.0467***</w:t>
            </w:r>
          </w:p>
        </w:tc>
        <w:tc>
          <w:tcPr>
            <w:tcW w:w="465" w:type="pct"/>
            <w:tcBorders>
              <w:top w:val="nil"/>
              <w:left w:val="nil"/>
              <w:bottom w:val="nil"/>
              <w:right w:val="nil"/>
            </w:tcBorders>
            <w:shd w:val="clear" w:color="000000" w:fill="FFFFFF"/>
            <w:noWrap/>
            <w:vAlign w:val="center"/>
            <w:hideMark/>
          </w:tcPr>
          <w:p w14:paraId="16B2F7EC"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0.0618***</w:t>
            </w:r>
          </w:p>
        </w:tc>
        <w:tc>
          <w:tcPr>
            <w:tcW w:w="351" w:type="pct"/>
            <w:tcBorders>
              <w:top w:val="nil"/>
              <w:left w:val="nil"/>
              <w:bottom w:val="nil"/>
              <w:right w:val="nil"/>
            </w:tcBorders>
            <w:shd w:val="clear" w:color="000000" w:fill="FFFFFF"/>
            <w:noWrap/>
            <w:vAlign w:val="center"/>
            <w:hideMark/>
          </w:tcPr>
          <w:p w14:paraId="6ADDC949"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0.0215***</w:t>
            </w:r>
          </w:p>
        </w:tc>
        <w:tc>
          <w:tcPr>
            <w:tcW w:w="466" w:type="pct"/>
            <w:tcBorders>
              <w:top w:val="nil"/>
              <w:left w:val="nil"/>
              <w:bottom w:val="nil"/>
              <w:right w:val="nil"/>
            </w:tcBorders>
            <w:shd w:val="clear" w:color="000000" w:fill="FFFFFF"/>
            <w:noWrap/>
            <w:vAlign w:val="center"/>
            <w:hideMark/>
          </w:tcPr>
          <w:p w14:paraId="597FEA55"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0.0379***</w:t>
            </w:r>
          </w:p>
        </w:tc>
        <w:tc>
          <w:tcPr>
            <w:tcW w:w="409" w:type="pct"/>
            <w:tcBorders>
              <w:top w:val="nil"/>
              <w:left w:val="nil"/>
              <w:bottom w:val="nil"/>
              <w:right w:val="nil"/>
            </w:tcBorders>
            <w:shd w:val="clear" w:color="000000" w:fill="FFFFFF"/>
            <w:noWrap/>
            <w:vAlign w:val="center"/>
            <w:hideMark/>
          </w:tcPr>
          <w:p w14:paraId="1B4D9F9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0.0215***</w:t>
            </w:r>
          </w:p>
        </w:tc>
        <w:tc>
          <w:tcPr>
            <w:tcW w:w="466" w:type="pct"/>
            <w:tcBorders>
              <w:top w:val="nil"/>
              <w:left w:val="nil"/>
              <w:bottom w:val="nil"/>
              <w:right w:val="nil"/>
            </w:tcBorders>
            <w:shd w:val="clear" w:color="000000" w:fill="FFFFFF"/>
            <w:noWrap/>
            <w:vAlign w:val="center"/>
            <w:hideMark/>
          </w:tcPr>
          <w:p w14:paraId="0BF1109F"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-0.0011</w:t>
            </w:r>
          </w:p>
        </w:tc>
        <w:tc>
          <w:tcPr>
            <w:tcW w:w="352" w:type="pct"/>
            <w:tcBorders>
              <w:top w:val="nil"/>
              <w:left w:val="nil"/>
              <w:bottom w:val="nil"/>
              <w:right w:val="nil"/>
            </w:tcBorders>
            <w:shd w:val="clear" w:color="000000" w:fill="FFFFFF"/>
            <w:noWrap/>
            <w:vAlign w:val="center"/>
            <w:hideMark/>
          </w:tcPr>
          <w:p w14:paraId="3A175B49"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-0.0173</w:t>
            </w:r>
          </w:p>
        </w:tc>
      </w:tr>
      <w:tr w:rsidR="00477CD4" w:rsidRPr="00F32020" w14:paraId="7B714944" w14:textId="77777777" w:rsidTr="00D314EE">
        <w:trPr>
          <w:trHeight w:val="280"/>
        </w:trPr>
        <w:tc>
          <w:tcPr>
            <w:tcW w:w="394" w:type="pct"/>
            <w:tcBorders>
              <w:top w:val="nil"/>
              <w:left w:val="nil"/>
              <w:bottom w:val="nil"/>
              <w:right w:val="nil"/>
            </w:tcBorders>
            <w:shd w:val="clear" w:color="000000" w:fill="FFFFFF"/>
            <w:noWrap/>
            <w:vAlign w:val="center"/>
            <w:hideMark/>
          </w:tcPr>
          <w:p w14:paraId="37ED6ADD" w14:textId="77777777" w:rsidR="00152AEF" w:rsidRPr="00F32020" w:rsidRDefault="00152AEF" w:rsidP="00D314EE">
            <w:pPr>
              <w:jc w:val="center"/>
              <w:rPr>
                <w:rFonts w:ascii="Times" w:hAnsi="Times"/>
                <w:sz w:val="20"/>
                <w:szCs w:val="20"/>
              </w:rPr>
            </w:pPr>
            <w:r w:rsidRPr="00F32020">
              <w:rPr>
                <w:rFonts w:ascii="Times" w:hAnsi="Times"/>
                <w:sz w:val="20"/>
                <w:szCs w:val="20"/>
              </w:rPr>
              <w:t>15</w:t>
            </w:r>
          </w:p>
        </w:tc>
        <w:tc>
          <w:tcPr>
            <w:tcW w:w="994" w:type="pct"/>
            <w:tcBorders>
              <w:top w:val="nil"/>
              <w:left w:val="nil"/>
              <w:bottom w:val="nil"/>
              <w:right w:val="nil"/>
            </w:tcBorders>
            <w:shd w:val="clear" w:color="000000" w:fill="FFFFFF"/>
            <w:noWrap/>
            <w:vAlign w:val="center"/>
            <w:hideMark/>
          </w:tcPr>
          <w:p w14:paraId="2A2982BE" w14:textId="77777777" w:rsidR="00152AEF" w:rsidRPr="00F32020" w:rsidRDefault="00152AEF" w:rsidP="00D314EE">
            <w:pPr>
              <w:jc w:val="center"/>
              <w:rPr>
                <w:rFonts w:ascii="Times" w:hAnsi="Times"/>
                <w:sz w:val="20"/>
                <w:szCs w:val="20"/>
              </w:rPr>
            </w:pPr>
            <w:r w:rsidRPr="00F32020">
              <w:rPr>
                <w:rFonts w:ascii="Times" w:hAnsi="Times"/>
                <w:sz w:val="20"/>
                <w:szCs w:val="20"/>
              </w:rPr>
              <w:t>Inflation</w:t>
            </w:r>
          </w:p>
        </w:tc>
        <w:tc>
          <w:tcPr>
            <w:tcW w:w="754" w:type="pct"/>
            <w:tcBorders>
              <w:top w:val="nil"/>
              <w:left w:val="nil"/>
              <w:bottom w:val="nil"/>
              <w:right w:val="nil"/>
            </w:tcBorders>
            <w:shd w:val="clear" w:color="000000" w:fill="FFFFFF"/>
            <w:noWrap/>
            <w:vAlign w:val="center"/>
            <w:hideMark/>
          </w:tcPr>
          <w:p w14:paraId="1589806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-0.1095***</w:t>
            </w:r>
          </w:p>
        </w:tc>
        <w:tc>
          <w:tcPr>
            <w:tcW w:w="350" w:type="pct"/>
            <w:tcBorders>
              <w:top w:val="nil"/>
              <w:left w:val="nil"/>
              <w:bottom w:val="nil"/>
              <w:right w:val="nil"/>
            </w:tcBorders>
            <w:shd w:val="clear" w:color="000000" w:fill="FFFFFF"/>
            <w:noWrap/>
            <w:vAlign w:val="center"/>
            <w:hideMark/>
          </w:tcPr>
          <w:p w14:paraId="5710A16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0.0339***</w:t>
            </w:r>
          </w:p>
        </w:tc>
        <w:tc>
          <w:tcPr>
            <w:tcW w:w="465" w:type="pct"/>
            <w:tcBorders>
              <w:top w:val="nil"/>
              <w:left w:val="nil"/>
              <w:bottom w:val="nil"/>
              <w:right w:val="nil"/>
            </w:tcBorders>
            <w:shd w:val="clear" w:color="000000" w:fill="FFFFFF"/>
            <w:noWrap/>
            <w:vAlign w:val="center"/>
            <w:hideMark/>
          </w:tcPr>
          <w:p w14:paraId="340DA58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0.0481***</w:t>
            </w:r>
          </w:p>
        </w:tc>
        <w:tc>
          <w:tcPr>
            <w:tcW w:w="351" w:type="pct"/>
            <w:tcBorders>
              <w:top w:val="nil"/>
              <w:left w:val="nil"/>
              <w:bottom w:val="nil"/>
              <w:right w:val="nil"/>
            </w:tcBorders>
            <w:shd w:val="clear" w:color="000000" w:fill="FFFFFF"/>
            <w:noWrap/>
            <w:vAlign w:val="center"/>
            <w:hideMark/>
          </w:tcPr>
          <w:p w14:paraId="0A94A243"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-0.0135**</w:t>
            </w:r>
          </w:p>
        </w:tc>
        <w:tc>
          <w:tcPr>
            <w:tcW w:w="466" w:type="pct"/>
            <w:tcBorders>
              <w:top w:val="nil"/>
              <w:left w:val="nil"/>
              <w:bottom w:val="nil"/>
              <w:right w:val="nil"/>
            </w:tcBorders>
            <w:shd w:val="clear" w:color="000000" w:fill="FFFFFF"/>
            <w:noWrap/>
            <w:vAlign w:val="center"/>
            <w:hideMark/>
          </w:tcPr>
          <w:p w14:paraId="032192E0"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0.0457***</w:t>
            </w:r>
          </w:p>
        </w:tc>
        <w:tc>
          <w:tcPr>
            <w:tcW w:w="409" w:type="pct"/>
            <w:tcBorders>
              <w:top w:val="nil"/>
              <w:left w:val="nil"/>
              <w:bottom w:val="nil"/>
              <w:right w:val="nil"/>
            </w:tcBorders>
            <w:shd w:val="clear" w:color="000000" w:fill="FFFFFF"/>
            <w:noWrap/>
            <w:vAlign w:val="center"/>
            <w:hideMark/>
          </w:tcPr>
          <w:p w14:paraId="3A0C4722"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-0.0128**</w:t>
            </w:r>
          </w:p>
        </w:tc>
        <w:tc>
          <w:tcPr>
            <w:tcW w:w="466" w:type="pct"/>
            <w:tcBorders>
              <w:top w:val="nil"/>
              <w:left w:val="nil"/>
              <w:bottom w:val="nil"/>
              <w:right w:val="nil"/>
            </w:tcBorders>
            <w:shd w:val="clear" w:color="000000" w:fill="FFFFFF"/>
            <w:noWrap/>
            <w:vAlign w:val="center"/>
            <w:hideMark/>
          </w:tcPr>
          <w:p w14:paraId="0411C032"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-0.0169**</w:t>
            </w:r>
          </w:p>
        </w:tc>
        <w:tc>
          <w:tcPr>
            <w:tcW w:w="352" w:type="pct"/>
            <w:tcBorders>
              <w:top w:val="nil"/>
              <w:left w:val="nil"/>
              <w:bottom w:val="nil"/>
              <w:right w:val="nil"/>
            </w:tcBorders>
            <w:shd w:val="clear" w:color="000000" w:fill="FFFFFF"/>
            <w:noWrap/>
            <w:vAlign w:val="center"/>
            <w:hideMark/>
          </w:tcPr>
          <w:p w14:paraId="3806E44E"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-0.0775***</w:t>
            </w:r>
          </w:p>
        </w:tc>
      </w:tr>
      <w:tr w:rsidR="00477CD4" w:rsidRPr="00F32020" w14:paraId="3C2A2067" w14:textId="77777777" w:rsidTr="00D314EE">
        <w:trPr>
          <w:trHeight w:val="300"/>
        </w:trPr>
        <w:tc>
          <w:tcPr>
            <w:tcW w:w="394" w:type="pct"/>
            <w:tcBorders>
              <w:top w:val="nil"/>
              <w:left w:val="nil"/>
              <w:bottom w:val="double" w:sz="6" w:space="0" w:color="auto"/>
              <w:right w:val="nil"/>
            </w:tcBorders>
            <w:shd w:val="clear" w:color="000000" w:fill="FFFFFF"/>
            <w:noWrap/>
            <w:vAlign w:val="center"/>
            <w:hideMark/>
          </w:tcPr>
          <w:p w14:paraId="4414BA1A" w14:textId="77777777" w:rsidR="00152AEF" w:rsidRPr="00F32020" w:rsidRDefault="00152AEF" w:rsidP="00D314EE">
            <w:pPr>
              <w:jc w:val="center"/>
              <w:rPr>
                <w:rFonts w:ascii="Times" w:hAnsi="Times"/>
                <w:sz w:val="20"/>
                <w:szCs w:val="20"/>
              </w:rPr>
            </w:pPr>
            <w:r w:rsidRPr="00F32020">
              <w:rPr>
                <w:rFonts w:ascii="Times" w:hAnsi="Times"/>
                <w:sz w:val="20"/>
                <w:szCs w:val="20"/>
              </w:rPr>
              <w:t>16</w:t>
            </w:r>
          </w:p>
        </w:tc>
        <w:tc>
          <w:tcPr>
            <w:tcW w:w="994" w:type="pct"/>
            <w:tcBorders>
              <w:top w:val="nil"/>
              <w:left w:val="nil"/>
              <w:bottom w:val="double" w:sz="6" w:space="0" w:color="auto"/>
              <w:right w:val="nil"/>
            </w:tcBorders>
            <w:shd w:val="clear" w:color="000000" w:fill="FFFFFF"/>
            <w:noWrap/>
            <w:vAlign w:val="center"/>
            <w:hideMark/>
          </w:tcPr>
          <w:p w14:paraId="6A344FC9" w14:textId="77777777" w:rsidR="00152AEF" w:rsidRPr="00F32020" w:rsidRDefault="00152AEF" w:rsidP="00D314EE">
            <w:pPr>
              <w:jc w:val="center"/>
              <w:rPr>
                <w:rFonts w:ascii="Times" w:hAnsi="Times"/>
                <w:sz w:val="20"/>
                <w:szCs w:val="20"/>
              </w:rPr>
            </w:pPr>
            <w:r w:rsidRPr="00F32020">
              <w:rPr>
                <w:rFonts w:ascii="Times" w:hAnsi="Times"/>
                <w:sz w:val="20"/>
                <w:szCs w:val="20"/>
              </w:rPr>
              <w:t>Institutional Index (WGI)</w:t>
            </w:r>
          </w:p>
        </w:tc>
        <w:tc>
          <w:tcPr>
            <w:tcW w:w="754" w:type="pct"/>
            <w:tcBorders>
              <w:top w:val="nil"/>
              <w:left w:val="nil"/>
              <w:bottom w:val="double" w:sz="6" w:space="0" w:color="auto"/>
              <w:right w:val="nil"/>
            </w:tcBorders>
            <w:shd w:val="clear" w:color="000000" w:fill="FFFFFF"/>
            <w:noWrap/>
            <w:vAlign w:val="center"/>
            <w:hideMark/>
          </w:tcPr>
          <w:p w14:paraId="73E5B1C6"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0.1575***</w:t>
            </w:r>
          </w:p>
        </w:tc>
        <w:tc>
          <w:tcPr>
            <w:tcW w:w="350" w:type="pct"/>
            <w:tcBorders>
              <w:top w:val="nil"/>
              <w:left w:val="nil"/>
              <w:bottom w:val="double" w:sz="6" w:space="0" w:color="auto"/>
              <w:right w:val="nil"/>
            </w:tcBorders>
            <w:shd w:val="clear" w:color="000000" w:fill="FFFFFF"/>
            <w:noWrap/>
            <w:vAlign w:val="center"/>
            <w:hideMark/>
          </w:tcPr>
          <w:p w14:paraId="4DE1FE60"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-0.0730***</w:t>
            </w:r>
          </w:p>
        </w:tc>
        <w:tc>
          <w:tcPr>
            <w:tcW w:w="465" w:type="pct"/>
            <w:tcBorders>
              <w:top w:val="nil"/>
              <w:left w:val="nil"/>
              <w:bottom w:val="double" w:sz="6" w:space="0" w:color="auto"/>
              <w:right w:val="nil"/>
            </w:tcBorders>
            <w:shd w:val="clear" w:color="000000" w:fill="FFFFFF"/>
            <w:noWrap/>
            <w:vAlign w:val="center"/>
            <w:hideMark/>
          </w:tcPr>
          <w:p w14:paraId="71E8960B"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-0.1092***</w:t>
            </w:r>
          </w:p>
        </w:tc>
        <w:tc>
          <w:tcPr>
            <w:tcW w:w="351" w:type="pct"/>
            <w:tcBorders>
              <w:top w:val="nil"/>
              <w:left w:val="nil"/>
              <w:bottom w:val="double" w:sz="6" w:space="0" w:color="auto"/>
              <w:right w:val="nil"/>
            </w:tcBorders>
            <w:shd w:val="clear" w:color="000000" w:fill="FFFFFF"/>
            <w:noWrap/>
            <w:vAlign w:val="center"/>
            <w:hideMark/>
          </w:tcPr>
          <w:p w14:paraId="02D116C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0.0245***</w:t>
            </w:r>
          </w:p>
        </w:tc>
        <w:tc>
          <w:tcPr>
            <w:tcW w:w="466" w:type="pct"/>
            <w:tcBorders>
              <w:top w:val="nil"/>
              <w:left w:val="nil"/>
              <w:bottom w:val="double" w:sz="6" w:space="0" w:color="auto"/>
              <w:right w:val="nil"/>
            </w:tcBorders>
            <w:shd w:val="clear" w:color="000000" w:fill="FFFFFF"/>
            <w:noWrap/>
            <w:vAlign w:val="center"/>
            <w:hideMark/>
          </w:tcPr>
          <w:p w14:paraId="2A64015A"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-0.0639***</w:t>
            </w:r>
          </w:p>
        </w:tc>
        <w:tc>
          <w:tcPr>
            <w:tcW w:w="409" w:type="pct"/>
            <w:tcBorders>
              <w:top w:val="nil"/>
              <w:left w:val="nil"/>
              <w:bottom w:val="double" w:sz="6" w:space="0" w:color="auto"/>
              <w:right w:val="nil"/>
            </w:tcBorders>
            <w:shd w:val="clear" w:color="000000" w:fill="FFFFFF"/>
            <w:noWrap/>
            <w:vAlign w:val="center"/>
            <w:hideMark/>
          </w:tcPr>
          <w:p w14:paraId="5994957D"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0.0159**</w:t>
            </w:r>
          </w:p>
        </w:tc>
        <w:tc>
          <w:tcPr>
            <w:tcW w:w="466" w:type="pct"/>
            <w:tcBorders>
              <w:top w:val="nil"/>
              <w:left w:val="nil"/>
              <w:bottom w:val="double" w:sz="6" w:space="0" w:color="auto"/>
              <w:right w:val="nil"/>
            </w:tcBorders>
            <w:shd w:val="clear" w:color="000000" w:fill="FFFFFF"/>
            <w:noWrap/>
            <w:vAlign w:val="center"/>
            <w:hideMark/>
          </w:tcPr>
          <w:p w14:paraId="3437CB4E"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-0.0161**</w:t>
            </w:r>
          </w:p>
        </w:tc>
        <w:tc>
          <w:tcPr>
            <w:tcW w:w="352" w:type="pct"/>
            <w:tcBorders>
              <w:top w:val="nil"/>
              <w:left w:val="nil"/>
              <w:bottom w:val="double" w:sz="6" w:space="0" w:color="auto"/>
              <w:right w:val="nil"/>
            </w:tcBorders>
            <w:shd w:val="clear" w:color="000000" w:fill="FFFFFF"/>
            <w:noWrap/>
            <w:vAlign w:val="center"/>
            <w:hideMark/>
          </w:tcPr>
          <w:p w14:paraId="5B7F4294" w14:textId="77777777" w:rsidR="00152AEF" w:rsidRPr="00F32020" w:rsidRDefault="00152AEF" w:rsidP="00D314EE">
            <w:pPr>
              <w:jc w:val="center"/>
              <w:rPr>
                <w:rFonts w:ascii="Times" w:hAnsi="Times" w:cs="Calibri"/>
                <w:sz w:val="20"/>
                <w:szCs w:val="20"/>
              </w:rPr>
            </w:pPr>
            <w:r w:rsidRPr="00F32020">
              <w:rPr>
                <w:rFonts w:ascii="Times" w:hAnsi="Times" w:cs="Calibri"/>
                <w:sz w:val="20"/>
                <w:szCs w:val="20"/>
              </w:rPr>
              <w:t>0.1138***</w:t>
            </w:r>
          </w:p>
        </w:tc>
      </w:tr>
    </w:tbl>
    <w:p w14:paraId="3729D3D4" w14:textId="77777777" w:rsidR="00152AEF" w:rsidRPr="00F32020" w:rsidRDefault="00152AEF" w:rsidP="00152AEF">
      <w:pPr>
        <w:rPr>
          <w:b/>
          <w:bCs/>
        </w:rPr>
        <w:sectPr w:rsidR="00152AEF" w:rsidRPr="00F32020" w:rsidSect="00152AEF">
          <w:pgSz w:w="16840" w:h="11900" w:orient="landscape"/>
          <w:pgMar w:top="1440" w:right="1440" w:bottom="1440" w:left="1440" w:header="709" w:footer="709" w:gutter="0"/>
          <w:cols w:space="708"/>
          <w:docGrid w:linePitch="360"/>
        </w:sectPr>
      </w:pPr>
    </w:p>
    <w:tbl>
      <w:tblPr>
        <w:tblpPr w:leftFromText="180" w:rightFromText="180" w:horzAnchor="margin" w:tblpY="786"/>
        <w:tblW w:w="5000" w:type="pct"/>
        <w:tblLook w:val="04A0" w:firstRow="1" w:lastRow="0" w:firstColumn="1" w:lastColumn="0" w:noHBand="0" w:noVBand="1"/>
      </w:tblPr>
      <w:tblGrid>
        <w:gridCol w:w="1236"/>
        <w:gridCol w:w="4068"/>
        <w:gridCol w:w="1237"/>
        <w:gridCol w:w="1237"/>
        <w:gridCol w:w="1237"/>
        <w:gridCol w:w="1237"/>
        <w:gridCol w:w="1237"/>
        <w:gridCol w:w="1237"/>
        <w:gridCol w:w="1234"/>
      </w:tblGrid>
      <w:tr w:rsidR="00477CD4" w:rsidRPr="00F32020" w14:paraId="27102D27" w14:textId="77777777" w:rsidTr="00D314EE">
        <w:trPr>
          <w:trHeight w:val="280"/>
        </w:trPr>
        <w:tc>
          <w:tcPr>
            <w:tcW w:w="443" w:type="pct"/>
            <w:tcBorders>
              <w:top w:val="single" w:sz="4" w:space="0" w:color="auto"/>
              <w:left w:val="nil"/>
              <w:bottom w:val="single" w:sz="4" w:space="0" w:color="auto"/>
              <w:right w:val="nil"/>
            </w:tcBorders>
            <w:shd w:val="clear" w:color="000000" w:fill="FFFFFF"/>
            <w:noWrap/>
            <w:vAlign w:val="center"/>
            <w:hideMark/>
          </w:tcPr>
          <w:p w14:paraId="5AB03FA2" w14:textId="77777777" w:rsidR="00152AEF" w:rsidRPr="00F32020" w:rsidRDefault="00152AEF" w:rsidP="00D314EE">
            <w:pPr>
              <w:jc w:val="center"/>
              <w:rPr>
                <w:sz w:val="21"/>
                <w:szCs w:val="21"/>
              </w:rPr>
            </w:pPr>
            <w:r w:rsidRPr="00F32020">
              <w:rPr>
                <w:sz w:val="21"/>
                <w:szCs w:val="21"/>
              </w:rPr>
              <w:lastRenderedPageBreak/>
              <w:t>#</w:t>
            </w:r>
          </w:p>
        </w:tc>
        <w:tc>
          <w:tcPr>
            <w:tcW w:w="1457" w:type="pct"/>
            <w:tcBorders>
              <w:top w:val="single" w:sz="4" w:space="0" w:color="auto"/>
              <w:left w:val="nil"/>
              <w:bottom w:val="single" w:sz="4" w:space="0" w:color="auto"/>
              <w:right w:val="nil"/>
            </w:tcBorders>
            <w:shd w:val="clear" w:color="000000" w:fill="FFFFFF"/>
            <w:noWrap/>
            <w:vAlign w:val="center"/>
            <w:hideMark/>
          </w:tcPr>
          <w:p w14:paraId="36861EF7" w14:textId="77777777" w:rsidR="00152AEF" w:rsidRPr="00F32020" w:rsidRDefault="00152AEF" w:rsidP="00D314EE">
            <w:pPr>
              <w:jc w:val="center"/>
              <w:rPr>
                <w:b/>
                <w:bCs/>
                <w:sz w:val="21"/>
                <w:szCs w:val="21"/>
              </w:rPr>
            </w:pPr>
            <w:r w:rsidRPr="00F32020">
              <w:rPr>
                <w:b/>
                <w:bCs/>
                <w:sz w:val="21"/>
                <w:szCs w:val="21"/>
              </w:rPr>
              <w:t>Variable / #</w:t>
            </w:r>
          </w:p>
        </w:tc>
        <w:tc>
          <w:tcPr>
            <w:tcW w:w="443" w:type="pct"/>
            <w:tcBorders>
              <w:top w:val="single" w:sz="4" w:space="0" w:color="auto"/>
              <w:left w:val="nil"/>
              <w:bottom w:val="single" w:sz="4" w:space="0" w:color="auto"/>
              <w:right w:val="nil"/>
            </w:tcBorders>
            <w:shd w:val="clear" w:color="000000" w:fill="FFFFFF"/>
            <w:noWrap/>
            <w:vAlign w:val="center"/>
            <w:hideMark/>
          </w:tcPr>
          <w:p w14:paraId="525EBFE6" w14:textId="77777777" w:rsidR="00152AEF" w:rsidRPr="00F32020" w:rsidRDefault="00152AEF" w:rsidP="00D314EE">
            <w:pPr>
              <w:jc w:val="center"/>
              <w:rPr>
                <w:sz w:val="21"/>
                <w:szCs w:val="21"/>
              </w:rPr>
            </w:pPr>
            <w:r w:rsidRPr="00F32020">
              <w:rPr>
                <w:sz w:val="21"/>
                <w:szCs w:val="21"/>
              </w:rPr>
              <w:t>9</w:t>
            </w:r>
          </w:p>
        </w:tc>
        <w:tc>
          <w:tcPr>
            <w:tcW w:w="443" w:type="pct"/>
            <w:tcBorders>
              <w:top w:val="single" w:sz="4" w:space="0" w:color="auto"/>
              <w:left w:val="nil"/>
              <w:bottom w:val="single" w:sz="4" w:space="0" w:color="auto"/>
              <w:right w:val="nil"/>
            </w:tcBorders>
            <w:shd w:val="clear" w:color="000000" w:fill="FFFFFF"/>
            <w:noWrap/>
            <w:vAlign w:val="center"/>
            <w:hideMark/>
          </w:tcPr>
          <w:p w14:paraId="17F4B00D" w14:textId="77777777" w:rsidR="00152AEF" w:rsidRPr="00F32020" w:rsidRDefault="00152AEF" w:rsidP="00D314EE">
            <w:pPr>
              <w:jc w:val="center"/>
              <w:rPr>
                <w:sz w:val="21"/>
                <w:szCs w:val="21"/>
              </w:rPr>
            </w:pPr>
            <w:r w:rsidRPr="00F32020">
              <w:rPr>
                <w:sz w:val="21"/>
                <w:szCs w:val="21"/>
              </w:rPr>
              <w:t>10</w:t>
            </w:r>
          </w:p>
        </w:tc>
        <w:tc>
          <w:tcPr>
            <w:tcW w:w="443" w:type="pct"/>
            <w:tcBorders>
              <w:top w:val="single" w:sz="4" w:space="0" w:color="auto"/>
              <w:left w:val="nil"/>
              <w:bottom w:val="single" w:sz="4" w:space="0" w:color="auto"/>
              <w:right w:val="nil"/>
            </w:tcBorders>
            <w:shd w:val="clear" w:color="000000" w:fill="FFFFFF"/>
            <w:noWrap/>
            <w:vAlign w:val="center"/>
            <w:hideMark/>
          </w:tcPr>
          <w:p w14:paraId="21129FDE" w14:textId="77777777" w:rsidR="00152AEF" w:rsidRPr="00F32020" w:rsidRDefault="00152AEF" w:rsidP="00D314EE">
            <w:pPr>
              <w:jc w:val="center"/>
              <w:rPr>
                <w:sz w:val="21"/>
                <w:szCs w:val="21"/>
              </w:rPr>
            </w:pPr>
            <w:r w:rsidRPr="00F32020">
              <w:rPr>
                <w:sz w:val="21"/>
                <w:szCs w:val="21"/>
              </w:rPr>
              <w:t>11</w:t>
            </w:r>
          </w:p>
        </w:tc>
        <w:tc>
          <w:tcPr>
            <w:tcW w:w="443" w:type="pct"/>
            <w:tcBorders>
              <w:top w:val="single" w:sz="4" w:space="0" w:color="auto"/>
              <w:left w:val="nil"/>
              <w:bottom w:val="single" w:sz="4" w:space="0" w:color="auto"/>
              <w:right w:val="nil"/>
            </w:tcBorders>
            <w:shd w:val="clear" w:color="000000" w:fill="FFFFFF"/>
            <w:noWrap/>
            <w:vAlign w:val="center"/>
            <w:hideMark/>
          </w:tcPr>
          <w:p w14:paraId="628BC384" w14:textId="77777777" w:rsidR="00152AEF" w:rsidRPr="00F32020" w:rsidRDefault="00152AEF" w:rsidP="00D314EE">
            <w:pPr>
              <w:jc w:val="center"/>
              <w:rPr>
                <w:sz w:val="21"/>
                <w:szCs w:val="21"/>
              </w:rPr>
            </w:pPr>
            <w:r w:rsidRPr="00F32020">
              <w:rPr>
                <w:sz w:val="21"/>
                <w:szCs w:val="21"/>
              </w:rPr>
              <w:t>12</w:t>
            </w:r>
          </w:p>
        </w:tc>
        <w:tc>
          <w:tcPr>
            <w:tcW w:w="443" w:type="pct"/>
            <w:tcBorders>
              <w:top w:val="single" w:sz="4" w:space="0" w:color="auto"/>
              <w:left w:val="nil"/>
              <w:bottom w:val="single" w:sz="4" w:space="0" w:color="auto"/>
              <w:right w:val="nil"/>
            </w:tcBorders>
            <w:shd w:val="clear" w:color="000000" w:fill="FFFFFF"/>
            <w:noWrap/>
            <w:vAlign w:val="center"/>
            <w:hideMark/>
          </w:tcPr>
          <w:p w14:paraId="26D87DD0" w14:textId="77777777" w:rsidR="00152AEF" w:rsidRPr="00F32020" w:rsidRDefault="00152AEF" w:rsidP="00D314EE">
            <w:pPr>
              <w:jc w:val="center"/>
              <w:rPr>
                <w:sz w:val="21"/>
                <w:szCs w:val="21"/>
              </w:rPr>
            </w:pPr>
            <w:r w:rsidRPr="00F32020">
              <w:rPr>
                <w:sz w:val="21"/>
                <w:szCs w:val="21"/>
              </w:rPr>
              <w:t>13</w:t>
            </w:r>
          </w:p>
        </w:tc>
        <w:tc>
          <w:tcPr>
            <w:tcW w:w="443" w:type="pct"/>
            <w:tcBorders>
              <w:top w:val="single" w:sz="4" w:space="0" w:color="auto"/>
              <w:left w:val="nil"/>
              <w:bottom w:val="single" w:sz="4" w:space="0" w:color="auto"/>
              <w:right w:val="nil"/>
            </w:tcBorders>
            <w:shd w:val="clear" w:color="000000" w:fill="FFFFFF"/>
            <w:noWrap/>
            <w:vAlign w:val="center"/>
            <w:hideMark/>
          </w:tcPr>
          <w:p w14:paraId="5A5F6CC0" w14:textId="77777777" w:rsidR="00152AEF" w:rsidRPr="00F32020" w:rsidRDefault="00152AEF" w:rsidP="00D314EE">
            <w:pPr>
              <w:jc w:val="center"/>
              <w:rPr>
                <w:sz w:val="21"/>
                <w:szCs w:val="21"/>
              </w:rPr>
            </w:pPr>
            <w:r w:rsidRPr="00F32020">
              <w:rPr>
                <w:sz w:val="21"/>
                <w:szCs w:val="21"/>
              </w:rPr>
              <w:t>14</w:t>
            </w:r>
          </w:p>
        </w:tc>
        <w:tc>
          <w:tcPr>
            <w:tcW w:w="442" w:type="pct"/>
            <w:tcBorders>
              <w:top w:val="single" w:sz="4" w:space="0" w:color="auto"/>
              <w:left w:val="nil"/>
              <w:bottom w:val="single" w:sz="4" w:space="0" w:color="auto"/>
              <w:right w:val="nil"/>
            </w:tcBorders>
            <w:shd w:val="clear" w:color="000000" w:fill="FFFFFF"/>
            <w:noWrap/>
            <w:vAlign w:val="center"/>
            <w:hideMark/>
          </w:tcPr>
          <w:p w14:paraId="19DBF9F0" w14:textId="77777777" w:rsidR="00152AEF" w:rsidRPr="00F32020" w:rsidRDefault="00152AEF" w:rsidP="00D314EE">
            <w:pPr>
              <w:jc w:val="center"/>
              <w:rPr>
                <w:sz w:val="21"/>
                <w:szCs w:val="21"/>
              </w:rPr>
            </w:pPr>
            <w:r w:rsidRPr="00F32020">
              <w:rPr>
                <w:sz w:val="21"/>
                <w:szCs w:val="21"/>
              </w:rPr>
              <w:t>15</w:t>
            </w:r>
          </w:p>
        </w:tc>
      </w:tr>
      <w:tr w:rsidR="00477CD4" w:rsidRPr="00F32020" w14:paraId="16A58AE0" w14:textId="77777777" w:rsidTr="00D314EE">
        <w:trPr>
          <w:trHeight w:val="280"/>
        </w:trPr>
        <w:tc>
          <w:tcPr>
            <w:tcW w:w="443" w:type="pct"/>
            <w:tcBorders>
              <w:top w:val="nil"/>
              <w:left w:val="nil"/>
              <w:bottom w:val="nil"/>
              <w:right w:val="nil"/>
            </w:tcBorders>
            <w:shd w:val="clear" w:color="000000" w:fill="FFFFFF"/>
            <w:noWrap/>
            <w:vAlign w:val="center"/>
            <w:hideMark/>
          </w:tcPr>
          <w:p w14:paraId="32A0F727" w14:textId="77777777" w:rsidR="00152AEF" w:rsidRPr="00F32020" w:rsidRDefault="00152AEF" w:rsidP="00D314EE">
            <w:pPr>
              <w:jc w:val="center"/>
              <w:rPr>
                <w:sz w:val="21"/>
                <w:szCs w:val="21"/>
              </w:rPr>
            </w:pPr>
            <w:r w:rsidRPr="00F32020">
              <w:rPr>
                <w:sz w:val="21"/>
                <w:szCs w:val="21"/>
              </w:rPr>
              <w:t>9</w:t>
            </w:r>
          </w:p>
        </w:tc>
        <w:tc>
          <w:tcPr>
            <w:tcW w:w="1457" w:type="pct"/>
            <w:tcBorders>
              <w:top w:val="nil"/>
              <w:left w:val="nil"/>
              <w:bottom w:val="nil"/>
              <w:right w:val="nil"/>
            </w:tcBorders>
            <w:shd w:val="clear" w:color="000000" w:fill="FFFFFF"/>
            <w:noWrap/>
            <w:vAlign w:val="center"/>
            <w:hideMark/>
          </w:tcPr>
          <w:p w14:paraId="64365FAB" w14:textId="77777777" w:rsidR="00152AEF" w:rsidRPr="00F32020" w:rsidRDefault="00152AEF" w:rsidP="00D314EE">
            <w:pPr>
              <w:jc w:val="center"/>
              <w:rPr>
                <w:sz w:val="21"/>
                <w:szCs w:val="21"/>
              </w:rPr>
            </w:pPr>
            <w:r w:rsidRPr="00F32020">
              <w:rPr>
                <w:sz w:val="21"/>
                <w:szCs w:val="21"/>
              </w:rPr>
              <w:t>% of Females in founding team</w:t>
            </w:r>
          </w:p>
        </w:tc>
        <w:tc>
          <w:tcPr>
            <w:tcW w:w="443" w:type="pct"/>
            <w:tcBorders>
              <w:top w:val="nil"/>
              <w:left w:val="nil"/>
              <w:bottom w:val="nil"/>
              <w:right w:val="nil"/>
            </w:tcBorders>
            <w:shd w:val="clear" w:color="000000" w:fill="FFFFFF"/>
            <w:noWrap/>
            <w:vAlign w:val="center"/>
            <w:hideMark/>
          </w:tcPr>
          <w:p w14:paraId="15010E6C" w14:textId="77777777" w:rsidR="00152AEF" w:rsidRPr="00F32020" w:rsidRDefault="00152AEF" w:rsidP="00D314EE">
            <w:pPr>
              <w:jc w:val="center"/>
              <w:rPr>
                <w:sz w:val="21"/>
                <w:szCs w:val="21"/>
              </w:rPr>
            </w:pPr>
            <w:r w:rsidRPr="00F32020">
              <w:rPr>
                <w:sz w:val="21"/>
                <w:szCs w:val="21"/>
              </w:rPr>
              <w:t>1</w:t>
            </w:r>
          </w:p>
        </w:tc>
        <w:tc>
          <w:tcPr>
            <w:tcW w:w="443" w:type="pct"/>
            <w:tcBorders>
              <w:top w:val="nil"/>
              <w:left w:val="nil"/>
              <w:bottom w:val="nil"/>
              <w:right w:val="nil"/>
            </w:tcBorders>
            <w:shd w:val="clear" w:color="000000" w:fill="FFFFFF"/>
            <w:noWrap/>
            <w:vAlign w:val="center"/>
            <w:hideMark/>
          </w:tcPr>
          <w:p w14:paraId="6492FCE7"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75FD288B"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0C095BA7"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5E0DD295"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535491D1" w14:textId="77777777" w:rsidR="00152AEF" w:rsidRPr="00F32020" w:rsidRDefault="00152AEF" w:rsidP="00D314EE">
            <w:pPr>
              <w:jc w:val="center"/>
              <w:rPr>
                <w:sz w:val="21"/>
                <w:szCs w:val="21"/>
              </w:rPr>
            </w:pPr>
            <w:r w:rsidRPr="00F32020">
              <w:rPr>
                <w:sz w:val="21"/>
                <w:szCs w:val="21"/>
              </w:rPr>
              <w:t> </w:t>
            </w:r>
          </w:p>
        </w:tc>
        <w:tc>
          <w:tcPr>
            <w:tcW w:w="442" w:type="pct"/>
            <w:tcBorders>
              <w:top w:val="nil"/>
              <w:left w:val="nil"/>
              <w:bottom w:val="nil"/>
              <w:right w:val="nil"/>
            </w:tcBorders>
            <w:shd w:val="clear" w:color="000000" w:fill="FFFFFF"/>
            <w:noWrap/>
            <w:vAlign w:val="center"/>
            <w:hideMark/>
          </w:tcPr>
          <w:p w14:paraId="6E6AEA25" w14:textId="77777777" w:rsidR="00152AEF" w:rsidRPr="00F32020" w:rsidRDefault="00152AEF" w:rsidP="00D314EE">
            <w:pPr>
              <w:jc w:val="center"/>
              <w:rPr>
                <w:sz w:val="21"/>
                <w:szCs w:val="21"/>
              </w:rPr>
            </w:pPr>
            <w:r w:rsidRPr="00F32020">
              <w:rPr>
                <w:sz w:val="21"/>
                <w:szCs w:val="21"/>
              </w:rPr>
              <w:t> </w:t>
            </w:r>
          </w:p>
        </w:tc>
      </w:tr>
      <w:tr w:rsidR="00477CD4" w:rsidRPr="00F32020" w14:paraId="7641BE3C" w14:textId="77777777" w:rsidTr="00D314EE">
        <w:trPr>
          <w:trHeight w:val="280"/>
        </w:trPr>
        <w:tc>
          <w:tcPr>
            <w:tcW w:w="443" w:type="pct"/>
            <w:tcBorders>
              <w:top w:val="nil"/>
              <w:left w:val="nil"/>
              <w:bottom w:val="nil"/>
              <w:right w:val="nil"/>
            </w:tcBorders>
            <w:shd w:val="clear" w:color="000000" w:fill="FFFFFF"/>
            <w:noWrap/>
            <w:vAlign w:val="center"/>
            <w:hideMark/>
          </w:tcPr>
          <w:p w14:paraId="67CD698C" w14:textId="77777777" w:rsidR="00152AEF" w:rsidRPr="00F32020" w:rsidRDefault="00152AEF" w:rsidP="00D314EE">
            <w:pPr>
              <w:jc w:val="center"/>
              <w:rPr>
                <w:sz w:val="21"/>
                <w:szCs w:val="21"/>
              </w:rPr>
            </w:pPr>
            <w:r w:rsidRPr="00F32020">
              <w:rPr>
                <w:sz w:val="21"/>
                <w:szCs w:val="21"/>
              </w:rPr>
              <w:t>10</w:t>
            </w:r>
          </w:p>
        </w:tc>
        <w:tc>
          <w:tcPr>
            <w:tcW w:w="1457" w:type="pct"/>
            <w:tcBorders>
              <w:top w:val="nil"/>
              <w:left w:val="nil"/>
              <w:bottom w:val="nil"/>
              <w:right w:val="nil"/>
            </w:tcBorders>
            <w:shd w:val="clear" w:color="000000" w:fill="FFFFFF"/>
            <w:noWrap/>
            <w:vAlign w:val="center"/>
            <w:hideMark/>
          </w:tcPr>
          <w:p w14:paraId="4E570636" w14:textId="77777777" w:rsidR="00152AEF" w:rsidRPr="00F32020" w:rsidRDefault="00152AEF" w:rsidP="00D314EE">
            <w:pPr>
              <w:jc w:val="center"/>
              <w:rPr>
                <w:sz w:val="21"/>
                <w:szCs w:val="21"/>
              </w:rPr>
            </w:pPr>
            <w:r w:rsidRPr="00F32020">
              <w:rPr>
                <w:sz w:val="21"/>
                <w:szCs w:val="21"/>
              </w:rPr>
              <w:t>Founders’ age</w:t>
            </w:r>
          </w:p>
        </w:tc>
        <w:tc>
          <w:tcPr>
            <w:tcW w:w="443" w:type="pct"/>
            <w:tcBorders>
              <w:top w:val="nil"/>
              <w:left w:val="nil"/>
              <w:bottom w:val="nil"/>
              <w:right w:val="nil"/>
            </w:tcBorders>
            <w:shd w:val="clear" w:color="000000" w:fill="FFFFFF"/>
            <w:noWrap/>
            <w:vAlign w:val="center"/>
            <w:hideMark/>
          </w:tcPr>
          <w:p w14:paraId="7B962419" w14:textId="77777777" w:rsidR="00152AEF" w:rsidRPr="00F32020" w:rsidRDefault="00152AEF" w:rsidP="00D314EE">
            <w:pPr>
              <w:jc w:val="center"/>
              <w:rPr>
                <w:sz w:val="21"/>
                <w:szCs w:val="21"/>
              </w:rPr>
            </w:pPr>
            <w:r w:rsidRPr="00F32020">
              <w:rPr>
                <w:sz w:val="21"/>
                <w:szCs w:val="21"/>
              </w:rPr>
              <w:t>0.0472***</w:t>
            </w:r>
          </w:p>
        </w:tc>
        <w:tc>
          <w:tcPr>
            <w:tcW w:w="443" w:type="pct"/>
            <w:tcBorders>
              <w:top w:val="nil"/>
              <w:left w:val="nil"/>
              <w:bottom w:val="nil"/>
              <w:right w:val="nil"/>
            </w:tcBorders>
            <w:shd w:val="clear" w:color="000000" w:fill="FFFFFF"/>
            <w:noWrap/>
            <w:vAlign w:val="center"/>
            <w:hideMark/>
          </w:tcPr>
          <w:p w14:paraId="49F3D528" w14:textId="77777777" w:rsidR="00152AEF" w:rsidRPr="00F32020" w:rsidRDefault="00152AEF" w:rsidP="00D314EE">
            <w:pPr>
              <w:jc w:val="center"/>
              <w:rPr>
                <w:sz w:val="21"/>
                <w:szCs w:val="21"/>
              </w:rPr>
            </w:pPr>
            <w:r w:rsidRPr="00F32020">
              <w:rPr>
                <w:sz w:val="21"/>
                <w:szCs w:val="21"/>
              </w:rPr>
              <w:t>1</w:t>
            </w:r>
          </w:p>
        </w:tc>
        <w:tc>
          <w:tcPr>
            <w:tcW w:w="443" w:type="pct"/>
            <w:tcBorders>
              <w:top w:val="nil"/>
              <w:left w:val="nil"/>
              <w:bottom w:val="nil"/>
              <w:right w:val="nil"/>
            </w:tcBorders>
            <w:shd w:val="clear" w:color="000000" w:fill="FFFFFF"/>
            <w:noWrap/>
            <w:vAlign w:val="center"/>
            <w:hideMark/>
          </w:tcPr>
          <w:p w14:paraId="2A4545F6"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3E99AD75"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28A03919"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25BB3486" w14:textId="77777777" w:rsidR="00152AEF" w:rsidRPr="00F32020" w:rsidRDefault="00152AEF" w:rsidP="00D314EE">
            <w:pPr>
              <w:jc w:val="center"/>
              <w:rPr>
                <w:sz w:val="21"/>
                <w:szCs w:val="21"/>
              </w:rPr>
            </w:pPr>
            <w:r w:rsidRPr="00F32020">
              <w:rPr>
                <w:sz w:val="21"/>
                <w:szCs w:val="21"/>
              </w:rPr>
              <w:t> </w:t>
            </w:r>
          </w:p>
        </w:tc>
        <w:tc>
          <w:tcPr>
            <w:tcW w:w="442" w:type="pct"/>
            <w:tcBorders>
              <w:top w:val="nil"/>
              <w:left w:val="nil"/>
              <w:bottom w:val="nil"/>
              <w:right w:val="nil"/>
            </w:tcBorders>
            <w:shd w:val="clear" w:color="000000" w:fill="FFFFFF"/>
            <w:noWrap/>
            <w:vAlign w:val="center"/>
            <w:hideMark/>
          </w:tcPr>
          <w:p w14:paraId="19DAB440" w14:textId="77777777" w:rsidR="00152AEF" w:rsidRPr="00F32020" w:rsidRDefault="00152AEF" w:rsidP="00D314EE">
            <w:pPr>
              <w:jc w:val="center"/>
              <w:rPr>
                <w:sz w:val="21"/>
                <w:szCs w:val="21"/>
              </w:rPr>
            </w:pPr>
            <w:r w:rsidRPr="00F32020">
              <w:rPr>
                <w:sz w:val="21"/>
                <w:szCs w:val="21"/>
              </w:rPr>
              <w:t> </w:t>
            </w:r>
          </w:p>
        </w:tc>
      </w:tr>
      <w:tr w:rsidR="00477CD4" w:rsidRPr="00F32020" w14:paraId="35C34111" w14:textId="77777777" w:rsidTr="00D314EE">
        <w:trPr>
          <w:trHeight w:val="280"/>
        </w:trPr>
        <w:tc>
          <w:tcPr>
            <w:tcW w:w="443" w:type="pct"/>
            <w:tcBorders>
              <w:top w:val="nil"/>
              <w:left w:val="nil"/>
              <w:bottom w:val="nil"/>
              <w:right w:val="nil"/>
            </w:tcBorders>
            <w:shd w:val="clear" w:color="000000" w:fill="FFFFFF"/>
            <w:noWrap/>
            <w:vAlign w:val="center"/>
            <w:hideMark/>
          </w:tcPr>
          <w:p w14:paraId="532BEC79" w14:textId="77777777" w:rsidR="00152AEF" w:rsidRPr="00F32020" w:rsidRDefault="00152AEF" w:rsidP="00D314EE">
            <w:pPr>
              <w:jc w:val="center"/>
              <w:rPr>
                <w:sz w:val="21"/>
                <w:szCs w:val="21"/>
              </w:rPr>
            </w:pPr>
            <w:r w:rsidRPr="00F32020">
              <w:rPr>
                <w:sz w:val="21"/>
                <w:szCs w:val="21"/>
              </w:rPr>
              <w:t>11</w:t>
            </w:r>
          </w:p>
        </w:tc>
        <w:tc>
          <w:tcPr>
            <w:tcW w:w="1457" w:type="pct"/>
            <w:tcBorders>
              <w:top w:val="nil"/>
              <w:left w:val="nil"/>
              <w:bottom w:val="nil"/>
              <w:right w:val="nil"/>
            </w:tcBorders>
            <w:shd w:val="clear" w:color="000000" w:fill="FFFFFF"/>
            <w:noWrap/>
            <w:vAlign w:val="bottom"/>
            <w:hideMark/>
          </w:tcPr>
          <w:p w14:paraId="571BAE5B" w14:textId="77777777" w:rsidR="00152AEF" w:rsidRPr="00F32020" w:rsidRDefault="00152AEF" w:rsidP="00D314EE">
            <w:pPr>
              <w:jc w:val="center"/>
              <w:rPr>
                <w:sz w:val="21"/>
                <w:szCs w:val="21"/>
              </w:rPr>
            </w:pPr>
            <w:r w:rsidRPr="00F32020">
              <w:rPr>
                <w:sz w:val="21"/>
                <w:szCs w:val="21"/>
              </w:rPr>
              <w:t>Founders’ founding experience</w:t>
            </w:r>
          </w:p>
        </w:tc>
        <w:tc>
          <w:tcPr>
            <w:tcW w:w="443" w:type="pct"/>
            <w:tcBorders>
              <w:top w:val="nil"/>
              <w:left w:val="nil"/>
              <w:bottom w:val="nil"/>
              <w:right w:val="nil"/>
            </w:tcBorders>
            <w:shd w:val="clear" w:color="000000" w:fill="FFFFFF"/>
            <w:noWrap/>
            <w:vAlign w:val="center"/>
            <w:hideMark/>
          </w:tcPr>
          <w:p w14:paraId="5BFCAF13" w14:textId="77777777" w:rsidR="00152AEF" w:rsidRPr="00F32020" w:rsidRDefault="00152AEF" w:rsidP="00D314EE">
            <w:pPr>
              <w:jc w:val="center"/>
              <w:rPr>
                <w:sz w:val="21"/>
                <w:szCs w:val="21"/>
              </w:rPr>
            </w:pPr>
            <w:r w:rsidRPr="00F32020">
              <w:rPr>
                <w:sz w:val="21"/>
                <w:szCs w:val="21"/>
              </w:rPr>
              <w:t>-0.1435***</w:t>
            </w:r>
          </w:p>
        </w:tc>
        <w:tc>
          <w:tcPr>
            <w:tcW w:w="443" w:type="pct"/>
            <w:tcBorders>
              <w:top w:val="nil"/>
              <w:left w:val="nil"/>
              <w:bottom w:val="nil"/>
              <w:right w:val="nil"/>
            </w:tcBorders>
            <w:shd w:val="clear" w:color="000000" w:fill="FFFFFF"/>
            <w:noWrap/>
            <w:vAlign w:val="center"/>
            <w:hideMark/>
          </w:tcPr>
          <w:p w14:paraId="07D559D3" w14:textId="77777777" w:rsidR="00152AEF" w:rsidRPr="00F32020" w:rsidRDefault="00152AEF" w:rsidP="00D314EE">
            <w:pPr>
              <w:jc w:val="center"/>
              <w:rPr>
                <w:sz w:val="21"/>
                <w:szCs w:val="21"/>
              </w:rPr>
            </w:pPr>
            <w:r w:rsidRPr="00F32020">
              <w:rPr>
                <w:sz w:val="21"/>
                <w:szCs w:val="21"/>
              </w:rPr>
              <w:t>0.1814***</w:t>
            </w:r>
          </w:p>
        </w:tc>
        <w:tc>
          <w:tcPr>
            <w:tcW w:w="443" w:type="pct"/>
            <w:tcBorders>
              <w:top w:val="nil"/>
              <w:left w:val="nil"/>
              <w:bottom w:val="nil"/>
              <w:right w:val="nil"/>
            </w:tcBorders>
            <w:shd w:val="clear" w:color="000000" w:fill="FFFFFF"/>
            <w:noWrap/>
            <w:vAlign w:val="center"/>
            <w:hideMark/>
          </w:tcPr>
          <w:p w14:paraId="1EE3B90A" w14:textId="77777777" w:rsidR="00152AEF" w:rsidRPr="00F32020" w:rsidRDefault="00152AEF" w:rsidP="00D314EE">
            <w:pPr>
              <w:jc w:val="center"/>
              <w:rPr>
                <w:sz w:val="21"/>
                <w:szCs w:val="21"/>
              </w:rPr>
            </w:pPr>
            <w:r w:rsidRPr="00F32020">
              <w:rPr>
                <w:sz w:val="21"/>
                <w:szCs w:val="21"/>
              </w:rPr>
              <w:t>1</w:t>
            </w:r>
          </w:p>
        </w:tc>
        <w:tc>
          <w:tcPr>
            <w:tcW w:w="443" w:type="pct"/>
            <w:tcBorders>
              <w:top w:val="nil"/>
              <w:left w:val="nil"/>
              <w:bottom w:val="nil"/>
              <w:right w:val="nil"/>
            </w:tcBorders>
            <w:shd w:val="clear" w:color="000000" w:fill="FFFFFF"/>
            <w:noWrap/>
            <w:vAlign w:val="center"/>
            <w:hideMark/>
          </w:tcPr>
          <w:p w14:paraId="213E6FC1"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7351FEA6"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2BA327B5" w14:textId="77777777" w:rsidR="00152AEF" w:rsidRPr="00F32020" w:rsidRDefault="00152AEF" w:rsidP="00D314EE">
            <w:pPr>
              <w:jc w:val="center"/>
              <w:rPr>
                <w:sz w:val="21"/>
                <w:szCs w:val="21"/>
              </w:rPr>
            </w:pPr>
            <w:r w:rsidRPr="00F32020">
              <w:rPr>
                <w:sz w:val="21"/>
                <w:szCs w:val="21"/>
              </w:rPr>
              <w:t> </w:t>
            </w:r>
          </w:p>
        </w:tc>
        <w:tc>
          <w:tcPr>
            <w:tcW w:w="442" w:type="pct"/>
            <w:tcBorders>
              <w:top w:val="nil"/>
              <w:left w:val="nil"/>
              <w:bottom w:val="nil"/>
              <w:right w:val="nil"/>
            </w:tcBorders>
            <w:shd w:val="clear" w:color="000000" w:fill="FFFFFF"/>
            <w:noWrap/>
            <w:vAlign w:val="center"/>
            <w:hideMark/>
          </w:tcPr>
          <w:p w14:paraId="2D3718E8" w14:textId="77777777" w:rsidR="00152AEF" w:rsidRPr="00F32020" w:rsidRDefault="00152AEF" w:rsidP="00D314EE">
            <w:pPr>
              <w:jc w:val="center"/>
              <w:rPr>
                <w:sz w:val="21"/>
                <w:szCs w:val="21"/>
              </w:rPr>
            </w:pPr>
            <w:r w:rsidRPr="00F32020">
              <w:rPr>
                <w:sz w:val="21"/>
                <w:szCs w:val="21"/>
              </w:rPr>
              <w:t> </w:t>
            </w:r>
          </w:p>
        </w:tc>
      </w:tr>
      <w:tr w:rsidR="00477CD4" w:rsidRPr="00F32020" w14:paraId="06D2C1B9" w14:textId="77777777" w:rsidTr="00D314EE">
        <w:trPr>
          <w:trHeight w:val="280"/>
        </w:trPr>
        <w:tc>
          <w:tcPr>
            <w:tcW w:w="443" w:type="pct"/>
            <w:tcBorders>
              <w:top w:val="nil"/>
              <w:left w:val="nil"/>
              <w:bottom w:val="nil"/>
              <w:right w:val="nil"/>
            </w:tcBorders>
            <w:shd w:val="clear" w:color="000000" w:fill="FFFFFF"/>
            <w:noWrap/>
            <w:vAlign w:val="center"/>
            <w:hideMark/>
          </w:tcPr>
          <w:p w14:paraId="1EA3F947" w14:textId="77777777" w:rsidR="00152AEF" w:rsidRPr="00F32020" w:rsidRDefault="00152AEF" w:rsidP="00D314EE">
            <w:pPr>
              <w:jc w:val="center"/>
              <w:rPr>
                <w:sz w:val="21"/>
                <w:szCs w:val="21"/>
              </w:rPr>
            </w:pPr>
            <w:r w:rsidRPr="00F32020">
              <w:rPr>
                <w:sz w:val="21"/>
                <w:szCs w:val="21"/>
              </w:rPr>
              <w:t>12</w:t>
            </w:r>
          </w:p>
        </w:tc>
        <w:tc>
          <w:tcPr>
            <w:tcW w:w="1457" w:type="pct"/>
            <w:tcBorders>
              <w:top w:val="nil"/>
              <w:left w:val="nil"/>
              <w:bottom w:val="nil"/>
              <w:right w:val="nil"/>
            </w:tcBorders>
            <w:shd w:val="clear" w:color="000000" w:fill="FFFFFF"/>
            <w:noWrap/>
            <w:vAlign w:val="center"/>
            <w:hideMark/>
          </w:tcPr>
          <w:p w14:paraId="139ED2F1" w14:textId="77777777" w:rsidR="00152AEF" w:rsidRPr="00F32020" w:rsidRDefault="00152AEF" w:rsidP="00D314EE">
            <w:pPr>
              <w:jc w:val="center"/>
              <w:rPr>
                <w:sz w:val="21"/>
                <w:szCs w:val="21"/>
              </w:rPr>
            </w:pPr>
            <w:r w:rsidRPr="00F32020">
              <w:rPr>
                <w:sz w:val="21"/>
                <w:szCs w:val="21"/>
              </w:rPr>
              <w:t>Founders’ education</w:t>
            </w:r>
          </w:p>
        </w:tc>
        <w:tc>
          <w:tcPr>
            <w:tcW w:w="443" w:type="pct"/>
            <w:tcBorders>
              <w:top w:val="nil"/>
              <w:left w:val="nil"/>
              <w:bottom w:val="nil"/>
              <w:right w:val="nil"/>
            </w:tcBorders>
            <w:shd w:val="clear" w:color="000000" w:fill="FFFFFF"/>
            <w:noWrap/>
            <w:vAlign w:val="center"/>
            <w:hideMark/>
          </w:tcPr>
          <w:p w14:paraId="4F0F193A" w14:textId="77777777" w:rsidR="00152AEF" w:rsidRPr="00F32020" w:rsidRDefault="00152AEF" w:rsidP="00D314EE">
            <w:pPr>
              <w:jc w:val="center"/>
              <w:rPr>
                <w:sz w:val="21"/>
                <w:szCs w:val="21"/>
              </w:rPr>
            </w:pPr>
            <w:r w:rsidRPr="00F32020">
              <w:rPr>
                <w:sz w:val="21"/>
                <w:szCs w:val="21"/>
              </w:rPr>
              <w:t>-0.0651***</w:t>
            </w:r>
          </w:p>
        </w:tc>
        <w:tc>
          <w:tcPr>
            <w:tcW w:w="443" w:type="pct"/>
            <w:tcBorders>
              <w:top w:val="nil"/>
              <w:left w:val="nil"/>
              <w:bottom w:val="nil"/>
              <w:right w:val="nil"/>
            </w:tcBorders>
            <w:shd w:val="clear" w:color="000000" w:fill="FFFFFF"/>
            <w:noWrap/>
            <w:vAlign w:val="center"/>
            <w:hideMark/>
          </w:tcPr>
          <w:p w14:paraId="1147B052" w14:textId="77777777" w:rsidR="00152AEF" w:rsidRPr="00F32020" w:rsidRDefault="00152AEF" w:rsidP="00D314EE">
            <w:pPr>
              <w:jc w:val="center"/>
              <w:rPr>
                <w:sz w:val="21"/>
                <w:szCs w:val="21"/>
              </w:rPr>
            </w:pPr>
            <w:r w:rsidRPr="00F32020">
              <w:rPr>
                <w:sz w:val="21"/>
                <w:szCs w:val="21"/>
              </w:rPr>
              <w:t>0.1780***</w:t>
            </w:r>
          </w:p>
        </w:tc>
        <w:tc>
          <w:tcPr>
            <w:tcW w:w="443" w:type="pct"/>
            <w:tcBorders>
              <w:top w:val="nil"/>
              <w:left w:val="nil"/>
              <w:bottom w:val="nil"/>
              <w:right w:val="nil"/>
            </w:tcBorders>
            <w:shd w:val="clear" w:color="000000" w:fill="FFFFFF"/>
            <w:noWrap/>
            <w:vAlign w:val="center"/>
            <w:hideMark/>
          </w:tcPr>
          <w:p w14:paraId="064402FF" w14:textId="77777777" w:rsidR="00152AEF" w:rsidRPr="00F32020" w:rsidRDefault="00152AEF" w:rsidP="00D314EE">
            <w:pPr>
              <w:jc w:val="center"/>
              <w:rPr>
                <w:sz w:val="21"/>
                <w:szCs w:val="21"/>
              </w:rPr>
            </w:pPr>
            <w:r w:rsidRPr="00F32020">
              <w:rPr>
                <w:sz w:val="21"/>
                <w:szCs w:val="21"/>
              </w:rPr>
              <w:t>-0.0083</w:t>
            </w:r>
          </w:p>
        </w:tc>
        <w:tc>
          <w:tcPr>
            <w:tcW w:w="443" w:type="pct"/>
            <w:tcBorders>
              <w:top w:val="nil"/>
              <w:left w:val="nil"/>
              <w:bottom w:val="nil"/>
              <w:right w:val="nil"/>
            </w:tcBorders>
            <w:shd w:val="clear" w:color="000000" w:fill="FFFFFF"/>
            <w:noWrap/>
            <w:vAlign w:val="center"/>
            <w:hideMark/>
          </w:tcPr>
          <w:p w14:paraId="7A33B5DE" w14:textId="77777777" w:rsidR="00152AEF" w:rsidRPr="00F32020" w:rsidRDefault="00152AEF" w:rsidP="00D314EE">
            <w:pPr>
              <w:jc w:val="center"/>
              <w:rPr>
                <w:sz w:val="21"/>
                <w:szCs w:val="21"/>
              </w:rPr>
            </w:pPr>
            <w:r w:rsidRPr="00F32020">
              <w:rPr>
                <w:sz w:val="21"/>
                <w:szCs w:val="21"/>
              </w:rPr>
              <w:t>1</w:t>
            </w:r>
          </w:p>
        </w:tc>
        <w:tc>
          <w:tcPr>
            <w:tcW w:w="443" w:type="pct"/>
            <w:tcBorders>
              <w:top w:val="nil"/>
              <w:left w:val="nil"/>
              <w:bottom w:val="nil"/>
              <w:right w:val="nil"/>
            </w:tcBorders>
            <w:shd w:val="clear" w:color="000000" w:fill="FFFFFF"/>
            <w:noWrap/>
            <w:vAlign w:val="center"/>
            <w:hideMark/>
          </w:tcPr>
          <w:p w14:paraId="2CD4FF8F" w14:textId="77777777" w:rsidR="00152AEF" w:rsidRPr="00F32020" w:rsidRDefault="00152AEF" w:rsidP="00D314EE">
            <w:pPr>
              <w:jc w:val="center"/>
              <w:rPr>
                <w:sz w:val="21"/>
                <w:szCs w:val="21"/>
              </w:rPr>
            </w:pPr>
            <w:r w:rsidRPr="00F32020">
              <w:rPr>
                <w:sz w:val="21"/>
                <w:szCs w:val="21"/>
              </w:rPr>
              <w:t> </w:t>
            </w:r>
          </w:p>
        </w:tc>
        <w:tc>
          <w:tcPr>
            <w:tcW w:w="443" w:type="pct"/>
            <w:tcBorders>
              <w:top w:val="nil"/>
              <w:left w:val="nil"/>
              <w:bottom w:val="nil"/>
              <w:right w:val="nil"/>
            </w:tcBorders>
            <w:shd w:val="clear" w:color="000000" w:fill="FFFFFF"/>
            <w:noWrap/>
            <w:vAlign w:val="center"/>
            <w:hideMark/>
          </w:tcPr>
          <w:p w14:paraId="025CD8CF" w14:textId="77777777" w:rsidR="00152AEF" w:rsidRPr="00F32020" w:rsidRDefault="00152AEF" w:rsidP="00D314EE">
            <w:pPr>
              <w:jc w:val="center"/>
              <w:rPr>
                <w:sz w:val="21"/>
                <w:szCs w:val="21"/>
              </w:rPr>
            </w:pPr>
            <w:r w:rsidRPr="00F32020">
              <w:rPr>
                <w:sz w:val="21"/>
                <w:szCs w:val="21"/>
              </w:rPr>
              <w:t> </w:t>
            </w:r>
          </w:p>
        </w:tc>
        <w:tc>
          <w:tcPr>
            <w:tcW w:w="442" w:type="pct"/>
            <w:tcBorders>
              <w:top w:val="nil"/>
              <w:left w:val="nil"/>
              <w:bottom w:val="nil"/>
              <w:right w:val="nil"/>
            </w:tcBorders>
            <w:shd w:val="clear" w:color="000000" w:fill="FFFFFF"/>
            <w:noWrap/>
            <w:vAlign w:val="center"/>
            <w:hideMark/>
          </w:tcPr>
          <w:p w14:paraId="3EF63818" w14:textId="77777777" w:rsidR="00152AEF" w:rsidRPr="00F32020" w:rsidRDefault="00152AEF" w:rsidP="00D314EE">
            <w:pPr>
              <w:jc w:val="center"/>
              <w:rPr>
                <w:sz w:val="21"/>
                <w:szCs w:val="21"/>
              </w:rPr>
            </w:pPr>
            <w:r w:rsidRPr="00F32020">
              <w:rPr>
                <w:sz w:val="21"/>
                <w:szCs w:val="21"/>
              </w:rPr>
              <w:t> </w:t>
            </w:r>
          </w:p>
        </w:tc>
      </w:tr>
      <w:tr w:rsidR="00477CD4" w:rsidRPr="00F32020" w14:paraId="27460BDF" w14:textId="77777777" w:rsidTr="00D314EE">
        <w:trPr>
          <w:trHeight w:val="280"/>
        </w:trPr>
        <w:tc>
          <w:tcPr>
            <w:tcW w:w="443" w:type="pct"/>
            <w:tcBorders>
              <w:top w:val="nil"/>
              <w:left w:val="nil"/>
              <w:bottom w:val="nil"/>
              <w:right w:val="nil"/>
            </w:tcBorders>
            <w:shd w:val="clear" w:color="000000" w:fill="FFFFFF"/>
            <w:noWrap/>
            <w:vAlign w:val="center"/>
            <w:hideMark/>
          </w:tcPr>
          <w:p w14:paraId="5E5E87E2" w14:textId="77777777" w:rsidR="00152AEF" w:rsidRPr="00F32020" w:rsidRDefault="00152AEF" w:rsidP="00D314EE">
            <w:pPr>
              <w:jc w:val="center"/>
              <w:rPr>
                <w:sz w:val="21"/>
                <w:szCs w:val="21"/>
              </w:rPr>
            </w:pPr>
            <w:r w:rsidRPr="00F32020">
              <w:rPr>
                <w:sz w:val="21"/>
                <w:szCs w:val="21"/>
              </w:rPr>
              <w:t>13</w:t>
            </w:r>
          </w:p>
        </w:tc>
        <w:tc>
          <w:tcPr>
            <w:tcW w:w="1457" w:type="pct"/>
            <w:tcBorders>
              <w:top w:val="nil"/>
              <w:left w:val="nil"/>
              <w:bottom w:val="nil"/>
              <w:right w:val="nil"/>
            </w:tcBorders>
            <w:shd w:val="clear" w:color="000000" w:fill="FFFFFF"/>
            <w:noWrap/>
            <w:vAlign w:val="center"/>
            <w:hideMark/>
          </w:tcPr>
          <w:p w14:paraId="6B8FD359" w14:textId="77777777" w:rsidR="00152AEF" w:rsidRPr="00F32020" w:rsidRDefault="00152AEF" w:rsidP="00D314EE">
            <w:pPr>
              <w:jc w:val="center"/>
              <w:rPr>
                <w:sz w:val="21"/>
                <w:szCs w:val="21"/>
              </w:rPr>
            </w:pPr>
            <w:r w:rsidRPr="00F32020">
              <w:rPr>
                <w:sz w:val="21"/>
                <w:szCs w:val="21"/>
              </w:rPr>
              <w:t>Reported prior accelerator</w:t>
            </w:r>
          </w:p>
        </w:tc>
        <w:tc>
          <w:tcPr>
            <w:tcW w:w="443" w:type="pct"/>
            <w:tcBorders>
              <w:top w:val="nil"/>
              <w:left w:val="nil"/>
              <w:bottom w:val="nil"/>
              <w:right w:val="nil"/>
            </w:tcBorders>
            <w:shd w:val="clear" w:color="000000" w:fill="FFFFFF"/>
            <w:noWrap/>
            <w:vAlign w:val="center"/>
            <w:hideMark/>
          </w:tcPr>
          <w:p w14:paraId="07ABECE7" w14:textId="77777777" w:rsidR="00152AEF" w:rsidRPr="00F32020" w:rsidRDefault="00152AEF" w:rsidP="00D314EE">
            <w:pPr>
              <w:jc w:val="center"/>
              <w:rPr>
                <w:sz w:val="21"/>
                <w:szCs w:val="21"/>
              </w:rPr>
            </w:pPr>
            <w:r w:rsidRPr="00F32020">
              <w:rPr>
                <w:sz w:val="21"/>
                <w:szCs w:val="21"/>
              </w:rPr>
              <w:t>-0.0105</w:t>
            </w:r>
          </w:p>
        </w:tc>
        <w:tc>
          <w:tcPr>
            <w:tcW w:w="443" w:type="pct"/>
            <w:tcBorders>
              <w:top w:val="nil"/>
              <w:left w:val="nil"/>
              <w:bottom w:val="nil"/>
              <w:right w:val="nil"/>
            </w:tcBorders>
            <w:shd w:val="clear" w:color="000000" w:fill="FFFFFF"/>
            <w:noWrap/>
            <w:vAlign w:val="center"/>
            <w:hideMark/>
          </w:tcPr>
          <w:p w14:paraId="69AC1F39" w14:textId="77777777" w:rsidR="00152AEF" w:rsidRPr="00F32020" w:rsidRDefault="00152AEF" w:rsidP="00D314EE">
            <w:pPr>
              <w:jc w:val="center"/>
              <w:rPr>
                <w:sz w:val="21"/>
                <w:szCs w:val="21"/>
              </w:rPr>
            </w:pPr>
            <w:r w:rsidRPr="00F32020">
              <w:rPr>
                <w:sz w:val="21"/>
                <w:szCs w:val="21"/>
              </w:rPr>
              <w:t>-0.0214***</w:t>
            </w:r>
          </w:p>
        </w:tc>
        <w:tc>
          <w:tcPr>
            <w:tcW w:w="443" w:type="pct"/>
            <w:tcBorders>
              <w:top w:val="nil"/>
              <w:left w:val="nil"/>
              <w:bottom w:val="nil"/>
              <w:right w:val="nil"/>
            </w:tcBorders>
            <w:shd w:val="clear" w:color="000000" w:fill="FFFFFF"/>
            <w:noWrap/>
            <w:vAlign w:val="center"/>
            <w:hideMark/>
          </w:tcPr>
          <w:p w14:paraId="0B36CE96" w14:textId="77777777" w:rsidR="00152AEF" w:rsidRPr="00F32020" w:rsidRDefault="00152AEF" w:rsidP="00D314EE">
            <w:pPr>
              <w:jc w:val="center"/>
              <w:rPr>
                <w:sz w:val="21"/>
                <w:szCs w:val="21"/>
              </w:rPr>
            </w:pPr>
            <w:r w:rsidRPr="00F32020">
              <w:rPr>
                <w:sz w:val="21"/>
                <w:szCs w:val="21"/>
              </w:rPr>
              <w:t>0.0223***</w:t>
            </w:r>
          </w:p>
        </w:tc>
        <w:tc>
          <w:tcPr>
            <w:tcW w:w="443" w:type="pct"/>
            <w:tcBorders>
              <w:top w:val="nil"/>
              <w:left w:val="nil"/>
              <w:bottom w:val="nil"/>
              <w:right w:val="nil"/>
            </w:tcBorders>
            <w:shd w:val="clear" w:color="000000" w:fill="FFFFFF"/>
            <w:noWrap/>
            <w:vAlign w:val="center"/>
            <w:hideMark/>
          </w:tcPr>
          <w:p w14:paraId="50A01427" w14:textId="77777777" w:rsidR="00152AEF" w:rsidRPr="00F32020" w:rsidRDefault="00152AEF" w:rsidP="00D314EE">
            <w:pPr>
              <w:jc w:val="center"/>
              <w:rPr>
                <w:sz w:val="21"/>
                <w:szCs w:val="21"/>
              </w:rPr>
            </w:pPr>
            <w:r w:rsidRPr="00F32020">
              <w:rPr>
                <w:sz w:val="21"/>
                <w:szCs w:val="21"/>
              </w:rPr>
              <w:t>0.0911***</w:t>
            </w:r>
          </w:p>
        </w:tc>
        <w:tc>
          <w:tcPr>
            <w:tcW w:w="443" w:type="pct"/>
            <w:tcBorders>
              <w:top w:val="nil"/>
              <w:left w:val="nil"/>
              <w:bottom w:val="nil"/>
              <w:right w:val="nil"/>
            </w:tcBorders>
            <w:shd w:val="clear" w:color="000000" w:fill="FFFFFF"/>
            <w:noWrap/>
            <w:vAlign w:val="center"/>
            <w:hideMark/>
          </w:tcPr>
          <w:p w14:paraId="2831F6D5" w14:textId="77777777" w:rsidR="00152AEF" w:rsidRPr="00F32020" w:rsidRDefault="00152AEF" w:rsidP="00D314EE">
            <w:pPr>
              <w:jc w:val="center"/>
              <w:rPr>
                <w:sz w:val="21"/>
                <w:szCs w:val="21"/>
              </w:rPr>
            </w:pPr>
            <w:r w:rsidRPr="00F32020">
              <w:rPr>
                <w:sz w:val="21"/>
                <w:szCs w:val="21"/>
              </w:rPr>
              <w:t>1</w:t>
            </w:r>
          </w:p>
        </w:tc>
        <w:tc>
          <w:tcPr>
            <w:tcW w:w="443" w:type="pct"/>
            <w:tcBorders>
              <w:top w:val="nil"/>
              <w:left w:val="nil"/>
              <w:bottom w:val="nil"/>
              <w:right w:val="nil"/>
            </w:tcBorders>
            <w:shd w:val="clear" w:color="000000" w:fill="FFFFFF"/>
            <w:noWrap/>
            <w:vAlign w:val="center"/>
            <w:hideMark/>
          </w:tcPr>
          <w:p w14:paraId="1FD71AFA" w14:textId="77777777" w:rsidR="00152AEF" w:rsidRPr="00F32020" w:rsidRDefault="00152AEF" w:rsidP="00D314EE">
            <w:pPr>
              <w:jc w:val="center"/>
              <w:rPr>
                <w:sz w:val="21"/>
                <w:szCs w:val="21"/>
              </w:rPr>
            </w:pPr>
            <w:r w:rsidRPr="00F32020">
              <w:rPr>
                <w:sz w:val="21"/>
                <w:szCs w:val="21"/>
              </w:rPr>
              <w:t> </w:t>
            </w:r>
          </w:p>
        </w:tc>
        <w:tc>
          <w:tcPr>
            <w:tcW w:w="442" w:type="pct"/>
            <w:tcBorders>
              <w:top w:val="nil"/>
              <w:left w:val="nil"/>
              <w:bottom w:val="nil"/>
              <w:right w:val="nil"/>
            </w:tcBorders>
            <w:shd w:val="clear" w:color="000000" w:fill="FFFFFF"/>
            <w:noWrap/>
            <w:vAlign w:val="center"/>
            <w:hideMark/>
          </w:tcPr>
          <w:p w14:paraId="1A32BB3E" w14:textId="77777777" w:rsidR="00152AEF" w:rsidRPr="00F32020" w:rsidRDefault="00152AEF" w:rsidP="00D314EE">
            <w:pPr>
              <w:jc w:val="center"/>
              <w:rPr>
                <w:sz w:val="21"/>
                <w:szCs w:val="21"/>
              </w:rPr>
            </w:pPr>
            <w:r w:rsidRPr="00F32020">
              <w:rPr>
                <w:sz w:val="21"/>
                <w:szCs w:val="21"/>
              </w:rPr>
              <w:t> </w:t>
            </w:r>
          </w:p>
        </w:tc>
      </w:tr>
      <w:tr w:rsidR="00477CD4" w:rsidRPr="00F32020" w14:paraId="26EE9E3D" w14:textId="77777777" w:rsidTr="00D314EE">
        <w:trPr>
          <w:trHeight w:val="280"/>
        </w:trPr>
        <w:tc>
          <w:tcPr>
            <w:tcW w:w="443" w:type="pct"/>
            <w:tcBorders>
              <w:top w:val="nil"/>
              <w:left w:val="nil"/>
              <w:bottom w:val="nil"/>
              <w:right w:val="nil"/>
            </w:tcBorders>
            <w:shd w:val="clear" w:color="000000" w:fill="FFFFFF"/>
            <w:noWrap/>
            <w:vAlign w:val="center"/>
            <w:hideMark/>
          </w:tcPr>
          <w:p w14:paraId="45423564" w14:textId="77777777" w:rsidR="00152AEF" w:rsidRPr="00F32020" w:rsidRDefault="00152AEF" w:rsidP="00D314EE">
            <w:pPr>
              <w:jc w:val="center"/>
              <w:rPr>
                <w:sz w:val="21"/>
                <w:szCs w:val="21"/>
              </w:rPr>
            </w:pPr>
            <w:r w:rsidRPr="00F32020">
              <w:rPr>
                <w:sz w:val="21"/>
                <w:szCs w:val="21"/>
              </w:rPr>
              <w:t>14</w:t>
            </w:r>
          </w:p>
        </w:tc>
        <w:tc>
          <w:tcPr>
            <w:tcW w:w="1457" w:type="pct"/>
            <w:tcBorders>
              <w:top w:val="nil"/>
              <w:left w:val="nil"/>
              <w:bottom w:val="nil"/>
              <w:right w:val="nil"/>
            </w:tcBorders>
            <w:shd w:val="clear" w:color="000000" w:fill="FFFFFF"/>
            <w:noWrap/>
            <w:vAlign w:val="center"/>
            <w:hideMark/>
          </w:tcPr>
          <w:p w14:paraId="18070CD4" w14:textId="77777777" w:rsidR="00152AEF" w:rsidRPr="00F32020" w:rsidRDefault="00152AEF" w:rsidP="00D314EE">
            <w:pPr>
              <w:jc w:val="center"/>
              <w:rPr>
                <w:sz w:val="21"/>
                <w:szCs w:val="21"/>
              </w:rPr>
            </w:pPr>
            <w:r w:rsidRPr="00F32020">
              <w:rPr>
                <w:sz w:val="21"/>
                <w:szCs w:val="21"/>
              </w:rPr>
              <w:t>GDP Growth</w:t>
            </w:r>
          </w:p>
        </w:tc>
        <w:tc>
          <w:tcPr>
            <w:tcW w:w="443" w:type="pct"/>
            <w:tcBorders>
              <w:top w:val="nil"/>
              <w:left w:val="nil"/>
              <w:bottom w:val="nil"/>
              <w:right w:val="nil"/>
            </w:tcBorders>
            <w:shd w:val="clear" w:color="000000" w:fill="FFFFFF"/>
            <w:noWrap/>
            <w:vAlign w:val="center"/>
            <w:hideMark/>
          </w:tcPr>
          <w:p w14:paraId="6183F023" w14:textId="77777777" w:rsidR="00152AEF" w:rsidRPr="00F32020" w:rsidRDefault="00152AEF" w:rsidP="00D314EE">
            <w:pPr>
              <w:jc w:val="center"/>
              <w:rPr>
                <w:sz w:val="21"/>
                <w:szCs w:val="21"/>
              </w:rPr>
            </w:pPr>
            <w:r w:rsidRPr="00F32020">
              <w:rPr>
                <w:sz w:val="21"/>
                <w:szCs w:val="21"/>
              </w:rPr>
              <w:t>0.0526***</w:t>
            </w:r>
          </w:p>
        </w:tc>
        <w:tc>
          <w:tcPr>
            <w:tcW w:w="443" w:type="pct"/>
            <w:tcBorders>
              <w:top w:val="nil"/>
              <w:left w:val="nil"/>
              <w:bottom w:val="nil"/>
              <w:right w:val="nil"/>
            </w:tcBorders>
            <w:shd w:val="clear" w:color="000000" w:fill="FFFFFF"/>
            <w:noWrap/>
            <w:vAlign w:val="center"/>
            <w:hideMark/>
          </w:tcPr>
          <w:p w14:paraId="1DA067BA" w14:textId="77777777" w:rsidR="00152AEF" w:rsidRPr="00F32020" w:rsidRDefault="00152AEF" w:rsidP="00D314EE">
            <w:pPr>
              <w:jc w:val="center"/>
              <w:rPr>
                <w:sz w:val="21"/>
                <w:szCs w:val="21"/>
              </w:rPr>
            </w:pPr>
            <w:r w:rsidRPr="00F32020">
              <w:rPr>
                <w:sz w:val="21"/>
                <w:szCs w:val="21"/>
              </w:rPr>
              <w:t>0.0057</w:t>
            </w:r>
          </w:p>
        </w:tc>
        <w:tc>
          <w:tcPr>
            <w:tcW w:w="443" w:type="pct"/>
            <w:tcBorders>
              <w:top w:val="nil"/>
              <w:left w:val="nil"/>
              <w:bottom w:val="nil"/>
              <w:right w:val="nil"/>
            </w:tcBorders>
            <w:shd w:val="clear" w:color="000000" w:fill="FFFFFF"/>
            <w:noWrap/>
            <w:vAlign w:val="center"/>
            <w:hideMark/>
          </w:tcPr>
          <w:p w14:paraId="2DB80B76" w14:textId="77777777" w:rsidR="00152AEF" w:rsidRPr="00F32020" w:rsidRDefault="00152AEF" w:rsidP="00D314EE">
            <w:pPr>
              <w:jc w:val="center"/>
              <w:rPr>
                <w:sz w:val="21"/>
                <w:szCs w:val="21"/>
              </w:rPr>
            </w:pPr>
            <w:r w:rsidRPr="00F32020">
              <w:rPr>
                <w:sz w:val="21"/>
                <w:szCs w:val="21"/>
              </w:rPr>
              <w:t>0.0015</w:t>
            </w:r>
          </w:p>
        </w:tc>
        <w:tc>
          <w:tcPr>
            <w:tcW w:w="443" w:type="pct"/>
            <w:tcBorders>
              <w:top w:val="nil"/>
              <w:left w:val="nil"/>
              <w:bottom w:val="nil"/>
              <w:right w:val="nil"/>
            </w:tcBorders>
            <w:shd w:val="clear" w:color="000000" w:fill="FFFFFF"/>
            <w:noWrap/>
            <w:vAlign w:val="center"/>
            <w:hideMark/>
          </w:tcPr>
          <w:p w14:paraId="089C6CE3" w14:textId="77777777" w:rsidR="00152AEF" w:rsidRPr="00F32020" w:rsidRDefault="00152AEF" w:rsidP="00D314EE">
            <w:pPr>
              <w:jc w:val="center"/>
              <w:rPr>
                <w:sz w:val="21"/>
                <w:szCs w:val="21"/>
              </w:rPr>
            </w:pPr>
            <w:r w:rsidRPr="00F32020">
              <w:rPr>
                <w:sz w:val="21"/>
                <w:szCs w:val="21"/>
              </w:rPr>
              <w:t>0.1127***</w:t>
            </w:r>
          </w:p>
        </w:tc>
        <w:tc>
          <w:tcPr>
            <w:tcW w:w="443" w:type="pct"/>
            <w:tcBorders>
              <w:top w:val="nil"/>
              <w:left w:val="nil"/>
              <w:bottom w:val="nil"/>
              <w:right w:val="nil"/>
            </w:tcBorders>
            <w:shd w:val="clear" w:color="000000" w:fill="FFFFFF"/>
            <w:noWrap/>
            <w:vAlign w:val="center"/>
            <w:hideMark/>
          </w:tcPr>
          <w:p w14:paraId="7409EAB9" w14:textId="77777777" w:rsidR="00152AEF" w:rsidRPr="00F32020" w:rsidRDefault="00152AEF" w:rsidP="00D314EE">
            <w:pPr>
              <w:jc w:val="center"/>
              <w:rPr>
                <w:sz w:val="21"/>
                <w:szCs w:val="21"/>
              </w:rPr>
            </w:pPr>
            <w:r w:rsidRPr="00F32020">
              <w:rPr>
                <w:sz w:val="21"/>
                <w:szCs w:val="21"/>
              </w:rPr>
              <w:t>-0.0069</w:t>
            </w:r>
          </w:p>
        </w:tc>
        <w:tc>
          <w:tcPr>
            <w:tcW w:w="443" w:type="pct"/>
            <w:tcBorders>
              <w:top w:val="nil"/>
              <w:left w:val="nil"/>
              <w:bottom w:val="nil"/>
              <w:right w:val="nil"/>
            </w:tcBorders>
            <w:shd w:val="clear" w:color="000000" w:fill="FFFFFF"/>
            <w:noWrap/>
            <w:vAlign w:val="center"/>
            <w:hideMark/>
          </w:tcPr>
          <w:p w14:paraId="3B7EA621" w14:textId="77777777" w:rsidR="00152AEF" w:rsidRPr="00F32020" w:rsidRDefault="00152AEF" w:rsidP="00D314EE">
            <w:pPr>
              <w:jc w:val="center"/>
              <w:rPr>
                <w:sz w:val="21"/>
                <w:szCs w:val="21"/>
              </w:rPr>
            </w:pPr>
            <w:r w:rsidRPr="00F32020">
              <w:rPr>
                <w:sz w:val="21"/>
                <w:szCs w:val="21"/>
              </w:rPr>
              <w:t>1</w:t>
            </w:r>
          </w:p>
        </w:tc>
        <w:tc>
          <w:tcPr>
            <w:tcW w:w="442" w:type="pct"/>
            <w:tcBorders>
              <w:top w:val="nil"/>
              <w:left w:val="nil"/>
              <w:bottom w:val="nil"/>
              <w:right w:val="nil"/>
            </w:tcBorders>
            <w:shd w:val="clear" w:color="000000" w:fill="FFFFFF"/>
            <w:noWrap/>
            <w:vAlign w:val="center"/>
            <w:hideMark/>
          </w:tcPr>
          <w:p w14:paraId="04B821A0" w14:textId="77777777" w:rsidR="00152AEF" w:rsidRPr="00F32020" w:rsidRDefault="00152AEF" w:rsidP="00D314EE">
            <w:pPr>
              <w:jc w:val="center"/>
              <w:rPr>
                <w:sz w:val="21"/>
                <w:szCs w:val="21"/>
              </w:rPr>
            </w:pPr>
            <w:r w:rsidRPr="00F32020">
              <w:rPr>
                <w:sz w:val="21"/>
                <w:szCs w:val="21"/>
              </w:rPr>
              <w:t> </w:t>
            </w:r>
          </w:p>
        </w:tc>
      </w:tr>
      <w:tr w:rsidR="00477CD4" w:rsidRPr="00F32020" w14:paraId="7DCF13FC" w14:textId="77777777" w:rsidTr="00D314EE">
        <w:trPr>
          <w:trHeight w:val="280"/>
        </w:trPr>
        <w:tc>
          <w:tcPr>
            <w:tcW w:w="443" w:type="pct"/>
            <w:tcBorders>
              <w:top w:val="nil"/>
              <w:left w:val="nil"/>
              <w:bottom w:val="nil"/>
              <w:right w:val="nil"/>
            </w:tcBorders>
            <w:shd w:val="clear" w:color="000000" w:fill="FFFFFF"/>
            <w:noWrap/>
            <w:vAlign w:val="center"/>
            <w:hideMark/>
          </w:tcPr>
          <w:p w14:paraId="2B395CF5" w14:textId="77777777" w:rsidR="00152AEF" w:rsidRPr="00F32020" w:rsidRDefault="00152AEF" w:rsidP="00D314EE">
            <w:pPr>
              <w:jc w:val="center"/>
              <w:rPr>
                <w:sz w:val="21"/>
                <w:szCs w:val="21"/>
              </w:rPr>
            </w:pPr>
            <w:r w:rsidRPr="00F32020">
              <w:rPr>
                <w:sz w:val="21"/>
                <w:szCs w:val="21"/>
              </w:rPr>
              <w:t>15</w:t>
            </w:r>
          </w:p>
        </w:tc>
        <w:tc>
          <w:tcPr>
            <w:tcW w:w="1457" w:type="pct"/>
            <w:tcBorders>
              <w:top w:val="nil"/>
              <w:left w:val="nil"/>
              <w:bottom w:val="nil"/>
              <w:right w:val="nil"/>
            </w:tcBorders>
            <w:shd w:val="clear" w:color="000000" w:fill="FFFFFF"/>
            <w:noWrap/>
            <w:vAlign w:val="center"/>
            <w:hideMark/>
          </w:tcPr>
          <w:p w14:paraId="52AFF1D4" w14:textId="77777777" w:rsidR="00152AEF" w:rsidRPr="00F32020" w:rsidRDefault="00152AEF" w:rsidP="00D314EE">
            <w:pPr>
              <w:jc w:val="center"/>
              <w:rPr>
                <w:sz w:val="21"/>
                <w:szCs w:val="21"/>
              </w:rPr>
            </w:pPr>
            <w:r w:rsidRPr="00F32020">
              <w:rPr>
                <w:sz w:val="21"/>
                <w:szCs w:val="21"/>
              </w:rPr>
              <w:t>Inflation</w:t>
            </w:r>
          </w:p>
        </w:tc>
        <w:tc>
          <w:tcPr>
            <w:tcW w:w="443" w:type="pct"/>
            <w:tcBorders>
              <w:top w:val="nil"/>
              <w:left w:val="nil"/>
              <w:bottom w:val="nil"/>
              <w:right w:val="nil"/>
            </w:tcBorders>
            <w:shd w:val="clear" w:color="000000" w:fill="FFFFFF"/>
            <w:noWrap/>
            <w:vAlign w:val="center"/>
            <w:hideMark/>
          </w:tcPr>
          <w:p w14:paraId="42DD2F27" w14:textId="77777777" w:rsidR="00152AEF" w:rsidRPr="00F32020" w:rsidRDefault="00152AEF" w:rsidP="00D314EE">
            <w:pPr>
              <w:jc w:val="center"/>
              <w:rPr>
                <w:sz w:val="21"/>
                <w:szCs w:val="21"/>
              </w:rPr>
            </w:pPr>
            <w:r w:rsidRPr="00F32020">
              <w:rPr>
                <w:sz w:val="21"/>
                <w:szCs w:val="21"/>
              </w:rPr>
              <w:t>0.0013**</w:t>
            </w:r>
          </w:p>
        </w:tc>
        <w:tc>
          <w:tcPr>
            <w:tcW w:w="443" w:type="pct"/>
            <w:tcBorders>
              <w:top w:val="nil"/>
              <w:left w:val="nil"/>
              <w:bottom w:val="nil"/>
              <w:right w:val="nil"/>
            </w:tcBorders>
            <w:shd w:val="clear" w:color="000000" w:fill="FFFFFF"/>
            <w:noWrap/>
            <w:vAlign w:val="center"/>
            <w:hideMark/>
          </w:tcPr>
          <w:p w14:paraId="3A66BC8A" w14:textId="77777777" w:rsidR="00152AEF" w:rsidRPr="00F32020" w:rsidRDefault="00152AEF" w:rsidP="00D314EE">
            <w:pPr>
              <w:jc w:val="center"/>
              <w:rPr>
                <w:sz w:val="21"/>
                <w:szCs w:val="21"/>
              </w:rPr>
            </w:pPr>
            <w:r w:rsidRPr="00F32020">
              <w:rPr>
                <w:sz w:val="21"/>
                <w:szCs w:val="21"/>
              </w:rPr>
              <w:t>-0.0897***</w:t>
            </w:r>
          </w:p>
        </w:tc>
        <w:tc>
          <w:tcPr>
            <w:tcW w:w="443" w:type="pct"/>
            <w:tcBorders>
              <w:top w:val="nil"/>
              <w:left w:val="nil"/>
              <w:bottom w:val="nil"/>
              <w:right w:val="nil"/>
            </w:tcBorders>
            <w:shd w:val="clear" w:color="000000" w:fill="FFFFFF"/>
            <w:noWrap/>
            <w:vAlign w:val="center"/>
            <w:hideMark/>
          </w:tcPr>
          <w:p w14:paraId="125BDE04" w14:textId="77777777" w:rsidR="00152AEF" w:rsidRPr="00F32020" w:rsidRDefault="00152AEF" w:rsidP="00D314EE">
            <w:pPr>
              <w:jc w:val="center"/>
              <w:rPr>
                <w:sz w:val="21"/>
                <w:szCs w:val="21"/>
              </w:rPr>
            </w:pPr>
            <w:r w:rsidRPr="00F32020">
              <w:rPr>
                <w:sz w:val="21"/>
                <w:szCs w:val="21"/>
              </w:rPr>
              <w:t>0.007**</w:t>
            </w:r>
          </w:p>
        </w:tc>
        <w:tc>
          <w:tcPr>
            <w:tcW w:w="443" w:type="pct"/>
            <w:tcBorders>
              <w:top w:val="nil"/>
              <w:left w:val="nil"/>
              <w:bottom w:val="nil"/>
              <w:right w:val="nil"/>
            </w:tcBorders>
            <w:shd w:val="clear" w:color="000000" w:fill="FFFFFF"/>
            <w:noWrap/>
            <w:vAlign w:val="center"/>
            <w:hideMark/>
          </w:tcPr>
          <w:p w14:paraId="6960F7CC" w14:textId="77777777" w:rsidR="00152AEF" w:rsidRPr="00F32020" w:rsidRDefault="00152AEF" w:rsidP="00D314EE">
            <w:pPr>
              <w:jc w:val="center"/>
              <w:rPr>
                <w:sz w:val="21"/>
                <w:szCs w:val="21"/>
              </w:rPr>
            </w:pPr>
            <w:r w:rsidRPr="00F32020">
              <w:rPr>
                <w:sz w:val="21"/>
                <w:szCs w:val="21"/>
              </w:rPr>
              <w:t>-0.0401***</w:t>
            </w:r>
          </w:p>
        </w:tc>
        <w:tc>
          <w:tcPr>
            <w:tcW w:w="443" w:type="pct"/>
            <w:tcBorders>
              <w:top w:val="nil"/>
              <w:left w:val="nil"/>
              <w:bottom w:val="nil"/>
              <w:right w:val="nil"/>
            </w:tcBorders>
            <w:shd w:val="clear" w:color="000000" w:fill="FFFFFF"/>
            <w:noWrap/>
            <w:vAlign w:val="center"/>
            <w:hideMark/>
          </w:tcPr>
          <w:p w14:paraId="480F3DBA" w14:textId="77777777" w:rsidR="00152AEF" w:rsidRPr="00F32020" w:rsidRDefault="00152AEF" w:rsidP="00D314EE">
            <w:pPr>
              <w:jc w:val="center"/>
              <w:rPr>
                <w:sz w:val="21"/>
                <w:szCs w:val="21"/>
              </w:rPr>
            </w:pPr>
            <w:r w:rsidRPr="00F32020">
              <w:rPr>
                <w:sz w:val="21"/>
                <w:szCs w:val="21"/>
              </w:rPr>
              <w:t>0.0313***</w:t>
            </w:r>
          </w:p>
        </w:tc>
        <w:tc>
          <w:tcPr>
            <w:tcW w:w="443" w:type="pct"/>
            <w:tcBorders>
              <w:top w:val="nil"/>
              <w:left w:val="nil"/>
              <w:bottom w:val="nil"/>
              <w:right w:val="nil"/>
            </w:tcBorders>
            <w:shd w:val="clear" w:color="000000" w:fill="FFFFFF"/>
            <w:noWrap/>
            <w:vAlign w:val="center"/>
            <w:hideMark/>
          </w:tcPr>
          <w:p w14:paraId="0BBFE2A3" w14:textId="77777777" w:rsidR="00152AEF" w:rsidRPr="00F32020" w:rsidRDefault="00152AEF" w:rsidP="00D314EE">
            <w:pPr>
              <w:jc w:val="center"/>
              <w:rPr>
                <w:sz w:val="21"/>
                <w:szCs w:val="21"/>
              </w:rPr>
            </w:pPr>
            <w:r w:rsidRPr="00F32020">
              <w:rPr>
                <w:sz w:val="21"/>
                <w:szCs w:val="21"/>
              </w:rPr>
              <w:t>0.0734***</w:t>
            </w:r>
          </w:p>
        </w:tc>
        <w:tc>
          <w:tcPr>
            <w:tcW w:w="442" w:type="pct"/>
            <w:tcBorders>
              <w:top w:val="nil"/>
              <w:left w:val="nil"/>
              <w:bottom w:val="nil"/>
              <w:right w:val="nil"/>
            </w:tcBorders>
            <w:shd w:val="clear" w:color="000000" w:fill="FFFFFF"/>
            <w:noWrap/>
            <w:vAlign w:val="center"/>
            <w:hideMark/>
          </w:tcPr>
          <w:p w14:paraId="5B66476D" w14:textId="77777777" w:rsidR="00152AEF" w:rsidRPr="00F32020" w:rsidRDefault="00152AEF" w:rsidP="00D314EE">
            <w:pPr>
              <w:jc w:val="center"/>
              <w:rPr>
                <w:sz w:val="21"/>
                <w:szCs w:val="21"/>
              </w:rPr>
            </w:pPr>
            <w:r w:rsidRPr="00F32020">
              <w:rPr>
                <w:sz w:val="21"/>
                <w:szCs w:val="21"/>
              </w:rPr>
              <w:t>1</w:t>
            </w:r>
          </w:p>
        </w:tc>
      </w:tr>
      <w:tr w:rsidR="00477CD4" w:rsidRPr="00F32020" w14:paraId="721861A1" w14:textId="77777777" w:rsidTr="00D314EE">
        <w:trPr>
          <w:trHeight w:val="300"/>
        </w:trPr>
        <w:tc>
          <w:tcPr>
            <w:tcW w:w="443" w:type="pct"/>
            <w:tcBorders>
              <w:top w:val="nil"/>
              <w:left w:val="nil"/>
              <w:bottom w:val="double" w:sz="6" w:space="0" w:color="auto"/>
              <w:right w:val="nil"/>
            </w:tcBorders>
            <w:shd w:val="clear" w:color="000000" w:fill="FFFFFF"/>
            <w:noWrap/>
            <w:vAlign w:val="center"/>
            <w:hideMark/>
          </w:tcPr>
          <w:p w14:paraId="0C3EA043" w14:textId="77777777" w:rsidR="00152AEF" w:rsidRPr="00F32020" w:rsidRDefault="00152AEF" w:rsidP="00D314EE">
            <w:pPr>
              <w:jc w:val="center"/>
              <w:rPr>
                <w:sz w:val="21"/>
                <w:szCs w:val="21"/>
              </w:rPr>
            </w:pPr>
            <w:r w:rsidRPr="00F32020">
              <w:rPr>
                <w:sz w:val="21"/>
                <w:szCs w:val="21"/>
              </w:rPr>
              <w:t>16</w:t>
            </w:r>
          </w:p>
        </w:tc>
        <w:tc>
          <w:tcPr>
            <w:tcW w:w="1457" w:type="pct"/>
            <w:tcBorders>
              <w:top w:val="nil"/>
              <w:left w:val="nil"/>
              <w:bottom w:val="double" w:sz="6" w:space="0" w:color="auto"/>
              <w:right w:val="nil"/>
            </w:tcBorders>
            <w:shd w:val="clear" w:color="000000" w:fill="FFFFFF"/>
            <w:noWrap/>
            <w:vAlign w:val="center"/>
            <w:hideMark/>
          </w:tcPr>
          <w:p w14:paraId="5996EB9A" w14:textId="77777777" w:rsidR="00152AEF" w:rsidRPr="00F32020" w:rsidRDefault="00152AEF" w:rsidP="00D314EE">
            <w:pPr>
              <w:jc w:val="center"/>
              <w:rPr>
                <w:sz w:val="21"/>
                <w:szCs w:val="21"/>
              </w:rPr>
            </w:pPr>
            <w:r w:rsidRPr="00F32020">
              <w:rPr>
                <w:sz w:val="21"/>
                <w:szCs w:val="21"/>
              </w:rPr>
              <w:t>Institutional Index (WGI)</w:t>
            </w:r>
          </w:p>
        </w:tc>
        <w:tc>
          <w:tcPr>
            <w:tcW w:w="443" w:type="pct"/>
            <w:tcBorders>
              <w:top w:val="nil"/>
              <w:left w:val="nil"/>
              <w:bottom w:val="double" w:sz="6" w:space="0" w:color="auto"/>
              <w:right w:val="nil"/>
            </w:tcBorders>
            <w:shd w:val="clear" w:color="000000" w:fill="FFFFFF"/>
            <w:noWrap/>
            <w:vAlign w:val="center"/>
            <w:hideMark/>
          </w:tcPr>
          <w:p w14:paraId="0DD954CE" w14:textId="77777777" w:rsidR="00152AEF" w:rsidRPr="00F32020" w:rsidRDefault="00152AEF" w:rsidP="00D314EE">
            <w:pPr>
              <w:jc w:val="center"/>
              <w:rPr>
                <w:sz w:val="21"/>
                <w:szCs w:val="21"/>
              </w:rPr>
            </w:pPr>
            <w:r w:rsidRPr="00F32020">
              <w:rPr>
                <w:sz w:val="21"/>
                <w:szCs w:val="21"/>
              </w:rPr>
              <w:t>-0.0941***</w:t>
            </w:r>
          </w:p>
        </w:tc>
        <w:tc>
          <w:tcPr>
            <w:tcW w:w="443" w:type="pct"/>
            <w:tcBorders>
              <w:top w:val="nil"/>
              <w:left w:val="nil"/>
              <w:bottom w:val="double" w:sz="6" w:space="0" w:color="auto"/>
              <w:right w:val="nil"/>
            </w:tcBorders>
            <w:shd w:val="clear" w:color="000000" w:fill="FFFFFF"/>
            <w:noWrap/>
            <w:vAlign w:val="center"/>
            <w:hideMark/>
          </w:tcPr>
          <w:p w14:paraId="65971EDA" w14:textId="77777777" w:rsidR="00152AEF" w:rsidRPr="00F32020" w:rsidRDefault="00152AEF" w:rsidP="00D314EE">
            <w:pPr>
              <w:jc w:val="center"/>
              <w:rPr>
                <w:sz w:val="21"/>
                <w:szCs w:val="21"/>
              </w:rPr>
            </w:pPr>
            <w:r w:rsidRPr="00F32020">
              <w:rPr>
                <w:sz w:val="21"/>
                <w:szCs w:val="21"/>
              </w:rPr>
              <w:t>0.0817***</w:t>
            </w:r>
          </w:p>
        </w:tc>
        <w:tc>
          <w:tcPr>
            <w:tcW w:w="443" w:type="pct"/>
            <w:tcBorders>
              <w:top w:val="nil"/>
              <w:left w:val="nil"/>
              <w:bottom w:val="double" w:sz="6" w:space="0" w:color="auto"/>
              <w:right w:val="nil"/>
            </w:tcBorders>
            <w:shd w:val="clear" w:color="000000" w:fill="FFFFFF"/>
            <w:noWrap/>
            <w:vAlign w:val="center"/>
            <w:hideMark/>
          </w:tcPr>
          <w:p w14:paraId="71877DFD" w14:textId="77777777" w:rsidR="00152AEF" w:rsidRPr="00F32020" w:rsidRDefault="00152AEF" w:rsidP="00D314EE">
            <w:pPr>
              <w:jc w:val="center"/>
              <w:rPr>
                <w:sz w:val="21"/>
                <w:szCs w:val="21"/>
              </w:rPr>
            </w:pPr>
            <w:r w:rsidRPr="00F32020">
              <w:rPr>
                <w:sz w:val="21"/>
                <w:szCs w:val="21"/>
              </w:rPr>
              <w:t>-0.0146**</w:t>
            </w:r>
          </w:p>
        </w:tc>
        <w:tc>
          <w:tcPr>
            <w:tcW w:w="443" w:type="pct"/>
            <w:tcBorders>
              <w:top w:val="nil"/>
              <w:left w:val="nil"/>
              <w:bottom w:val="double" w:sz="6" w:space="0" w:color="auto"/>
              <w:right w:val="nil"/>
            </w:tcBorders>
            <w:shd w:val="clear" w:color="000000" w:fill="FFFFFF"/>
            <w:noWrap/>
            <w:vAlign w:val="center"/>
            <w:hideMark/>
          </w:tcPr>
          <w:p w14:paraId="75F94938" w14:textId="77777777" w:rsidR="00152AEF" w:rsidRPr="00F32020" w:rsidRDefault="00152AEF" w:rsidP="00D314EE">
            <w:pPr>
              <w:jc w:val="center"/>
              <w:rPr>
                <w:sz w:val="21"/>
                <w:szCs w:val="21"/>
              </w:rPr>
            </w:pPr>
            <w:r w:rsidRPr="00F32020">
              <w:rPr>
                <w:sz w:val="21"/>
                <w:szCs w:val="21"/>
              </w:rPr>
              <w:t>0.0203**</w:t>
            </w:r>
          </w:p>
        </w:tc>
        <w:tc>
          <w:tcPr>
            <w:tcW w:w="443" w:type="pct"/>
            <w:tcBorders>
              <w:top w:val="nil"/>
              <w:left w:val="nil"/>
              <w:bottom w:val="double" w:sz="6" w:space="0" w:color="auto"/>
              <w:right w:val="nil"/>
            </w:tcBorders>
            <w:shd w:val="clear" w:color="000000" w:fill="FFFFFF"/>
            <w:noWrap/>
            <w:vAlign w:val="center"/>
            <w:hideMark/>
          </w:tcPr>
          <w:p w14:paraId="777AE25A" w14:textId="77777777" w:rsidR="00152AEF" w:rsidRPr="00F32020" w:rsidRDefault="00152AEF" w:rsidP="00D314EE">
            <w:pPr>
              <w:jc w:val="center"/>
              <w:rPr>
                <w:sz w:val="21"/>
                <w:szCs w:val="21"/>
              </w:rPr>
            </w:pPr>
            <w:r w:rsidRPr="00F32020">
              <w:rPr>
                <w:sz w:val="21"/>
                <w:szCs w:val="21"/>
              </w:rPr>
              <w:t>-0.0017</w:t>
            </w:r>
          </w:p>
        </w:tc>
        <w:tc>
          <w:tcPr>
            <w:tcW w:w="443" w:type="pct"/>
            <w:tcBorders>
              <w:top w:val="nil"/>
              <w:left w:val="nil"/>
              <w:bottom w:val="double" w:sz="6" w:space="0" w:color="auto"/>
              <w:right w:val="nil"/>
            </w:tcBorders>
            <w:shd w:val="clear" w:color="000000" w:fill="FFFFFF"/>
            <w:noWrap/>
            <w:vAlign w:val="center"/>
            <w:hideMark/>
          </w:tcPr>
          <w:p w14:paraId="404A7E06" w14:textId="77777777" w:rsidR="00152AEF" w:rsidRPr="00F32020" w:rsidRDefault="00152AEF" w:rsidP="00D314EE">
            <w:pPr>
              <w:jc w:val="center"/>
              <w:rPr>
                <w:sz w:val="21"/>
                <w:szCs w:val="21"/>
              </w:rPr>
            </w:pPr>
            <w:r w:rsidRPr="00F32020">
              <w:rPr>
                <w:sz w:val="21"/>
                <w:szCs w:val="21"/>
              </w:rPr>
              <w:t>-0.3364***</w:t>
            </w:r>
          </w:p>
        </w:tc>
        <w:tc>
          <w:tcPr>
            <w:tcW w:w="442" w:type="pct"/>
            <w:tcBorders>
              <w:top w:val="nil"/>
              <w:left w:val="nil"/>
              <w:bottom w:val="double" w:sz="6" w:space="0" w:color="auto"/>
              <w:right w:val="nil"/>
            </w:tcBorders>
            <w:shd w:val="clear" w:color="000000" w:fill="FFFFFF"/>
            <w:noWrap/>
            <w:vAlign w:val="center"/>
            <w:hideMark/>
          </w:tcPr>
          <w:p w14:paraId="04D1723E" w14:textId="77777777" w:rsidR="00152AEF" w:rsidRPr="00F32020" w:rsidRDefault="00152AEF" w:rsidP="00D314EE">
            <w:pPr>
              <w:jc w:val="center"/>
              <w:rPr>
                <w:sz w:val="21"/>
                <w:szCs w:val="21"/>
              </w:rPr>
            </w:pPr>
            <w:r w:rsidRPr="00F32020">
              <w:rPr>
                <w:sz w:val="21"/>
                <w:szCs w:val="21"/>
              </w:rPr>
              <w:t>-0.5987***</w:t>
            </w:r>
          </w:p>
        </w:tc>
      </w:tr>
    </w:tbl>
    <w:p w14:paraId="2C6644AB" w14:textId="77777777" w:rsidR="00152AEF" w:rsidRPr="00F32020" w:rsidRDefault="00152AEF" w:rsidP="00152AEF">
      <w:pPr>
        <w:rPr>
          <w:sz w:val="21"/>
          <w:szCs w:val="21"/>
        </w:rPr>
      </w:pPr>
    </w:p>
    <w:p w14:paraId="6A650C3D" w14:textId="1488BBF3" w:rsidR="00152AEF" w:rsidRPr="00F32020" w:rsidRDefault="00152AEF" w:rsidP="00152AEF">
      <w:pPr>
        <w:rPr>
          <w:b/>
          <w:bCs/>
          <w:lang w:val="fr-FR"/>
        </w:rPr>
      </w:pPr>
      <w:r w:rsidRPr="00F32020">
        <w:rPr>
          <w:b/>
          <w:bCs/>
          <w:lang w:val="fr-FR"/>
        </w:rPr>
        <w:t>Table A</w:t>
      </w:r>
      <w:r w:rsidR="000D48CE" w:rsidRPr="00F32020">
        <w:rPr>
          <w:b/>
          <w:bCs/>
          <w:lang w:val="fr-FR"/>
        </w:rPr>
        <w:t>3</w:t>
      </w:r>
      <w:r w:rsidRPr="00F32020">
        <w:rPr>
          <w:b/>
          <w:bCs/>
          <w:lang w:val="fr-FR"/>
        </w:rPr>
        <w:t xml:space="preserve"> – Correlation coefficients (cont.)</w:t>
      </w:r>
    </w:p>
    <w:p w14:paraId="4193823C" w14:textId="77777777" w:rsidR="00152AEF" w:rsidRPr="00F32020" w:rsidRDefault="00152AEF" w:rsidP="00152AEF">
      <w:pPr>
        <w:rPr>
          <w:sz w:val="21"/>
          <w:szCs w:val="21"/>
          <w:lang w:val="fr-FR"/>
        </w:rPr>
      </w:pPr>
    </w:p>
    <w:p w14:paraId="52F81E39" w14:textId="77777777" w:rsidR="00152AEF" w:rsidRPr="00F32020" w:rsidRDefault="00152AEF" w:rsidP="00152AEF">
      <w:pPr>
        <w:rPr>
          <w:sz w:val="21"/>
          <w:szCs w:val="21"/>
          <w:lang w:val="fr-FR"/>
        </w:rPr>
      </w:pPr>
    </w:p>
    <w:p w14:paraId="13AC562A" w14:textId="77777777" w:rsidR="00152AEF" w:rsidRPr="00F32020" w:rsidRDefault="00152AEF" w:rsidP="00152AEF">
      <w:pPr>
        <w:ind w:left="720" w:hanging="720"/>
        <w:rPr>
          <w:sz w:val="21"/>
          <w:szCs w:val="21"/>
          <w:shd w:val="clear" w:color="auto" w:fill="FFFFFF"/>
        </w:rPr>
      </w:pPr>
      <w:r w:rsidRPr="00F32020">
        <w:rPr>
          <w:sz w:val="21"/>
          <w:szCs w:val="21"/>
          <w:shd w:val="clear" w:color="auto" w:fill="FFFFFF"/>
        </w:rPr>
        <w:t>Notes: All variables’ pairwise correlations are calculated and reported on the basis of the conditional sample of the baseline model, i.e. either Column 3 or 4 of Table 2.</w:t>
      </w:r>
    </w:p>
    <w:p w14:paraId="55723A7C" w14:textId="77777777" w:rsidR="00152AEF" w:rsidRPr="00F32020" w:rsidRDefault="00152AEF" w:rsidP="00152AEF">
      <w:pPr>
        <w:rPr>
          <w:sz w:val="21"/>
          <w:szCs w:val="21"/>
        </w:rPr>
      </w:pPr>
    </w:p>
    <w:p w14:paraId="1A3A8DDA" w14:textId="77777777" w:rsidR="00152AEF" w:rsidRPr="00F32020" w:rsidRDefault="00152AEF" w:rsidP="00152AEF">
      <w:pPr>
        <w:spacing w:line="360" w:lineRule="auto"/>
        <w:ind w:firstLine="720"/>
        <w:jc w:val="both"/>
      </w:pPr>
    </w:p>
    <w:p w14:paraId="53609FC3" w14:textId="77777777" w:rsidR="00152AEF" w:rsidRPr="00F32020" w:rsidRDefault="00152AEF" w:rsidP="00152AEF">
      <w:pPr>
        <w:spacing w:line="480" w:lineRule="auto"/>
        <w:jc w:val="both"/>
        <w:rPr>
          <w:b/>
          <w:bCs/>
        </w:rPr>
      </w:pPr>
    </w:p>
    <w:p w14:paraId="3CDDE531" w14:textId="77777777" w:rsidR="00152AEF" w:rsidRPr="00F32020" w:rsidRDefault="00152AEF" w:rsidP="00152AEF">
      <w:pPr>
        <w:rPr>
          <w:b/>
          <w:bCs/>
        </w:rPr>
        <w:sectPr w:rsidR="00152AEF" w:rsidRPr="00F32020" w:rsidSect="00152AEF">
          <w:pgSz w:w="16840" w:h="11900" w:orient="landscape"/>
          <w:pgMar w:top="1440" w:right="1440" w:bottom="1440" w:left="1440" w:header="709" w:footer="709" w:gutter="0"/>
          <w:cols w:space="708"/>
          <w:docGrid w:linePitch="360"/>
        </w:sectPr>
      </w:pPr>
      <w:r w:rsidRPr="00F32020">
        <w:rPr>
          <w:b/>
          <w:bCs/>
        </w:rPr>
        <w:br w:type="page"/>
      </w:r>
    </w:p>
    <w:p w14:paraId="27AE4B1D" w14:textId="77777777" w:rsidR="00152AEF" w:rsidRPr="00F32020" w:rsidRDefault="00152AEF" w:rsidP="00152AEF">
      <w:pPr>
        <w:spacing w:line="360" w:lineRule="auto"/>
        <w:jc w:val="both"/>
        <w:rPr>
          <w:b/>
          <w:bCs/>
          <w:iCs/>
        </w:rPr>
        <w:sectPr w:rsidR="00152AEF" w:rsidRPr="00F32020" w:rsidSect="00152AEF">
          <w:pgSz w:w="11900" w:h="16840"/>
          <w:pgMar w:top="720" w:right="720" w:bottom="720" w:left="720" w:header="708" w:footer="708" w:gutter="0"/>
          <w:cols w:space="708"/>
          <w:docGrid w:linePitch="360"/>
        </w:sectPr>
      </w:pPr>
    </w:p>
    <w:p w14:paraId="648467DB" w14:textId="77777777" w:rsidR="00152AEF" w:rsidRPr="00F32020" w:rsidRDefault="00152AEF" w:rsidP="00152AEF">
      <w:pPr>
        <w:spacing w:line="360" w:lineRule="auto"/>
        <w:jc w:val="both"/>
        <w:rPr>
          <w:b/>
          <w:bCs/>
          <w:iCs/>
        </w:rPr>
      </w:pPr>
      <w:r w:rsidRPr="00F32020">
        <w:rPr>
          <w:b/>
          <w:bCs/>
          <w:iCs/>
        </w:rPr>
        <w:t>III. Discussion of venture-level control variables</w:t>
      </w:r>
    </w:p>
    <w:p w14:paraId="469131F9" w14:textId="77777777" w:rsidR="00152AEF" w:rsidRPr="00F32020" w:rsidRDefault="00152AEF" w:rsidP="00FF4AFE">
      <w:pPr>
        <w:autoSpaceDE w:val="0"/>
        <w:autoSpaceDN w:val="0"/>
        <w:adjustRightInd w:val="0"/>
        <w:spacing w:line="360" w:lineRule="auto"/>
        <w:jc w:val="both"/>
        <w:rPr>
          <w:rFonts w:ascii="RqlpcnGhbrxjCddjnwAGaramondPro-" w:eastAsiaTheme="minorHAnsi" w:hAnsi="RqlpcnGhbrxjCddjnwAGaramondPro-" w:cs="RqlpcnGhbrxjCddjnwAGaramondPro-"/>
          <w:sz w:val="23"/>
          <w:szCs w:val="23"/>
          <w:lang w:eastAsia="en-US"/>
        </w:rPr>
      </w:pPr>
      <w:r w:rsidRPr="00F32020">
        <w:rPr>
          <w:rFonts w:eastAsiaTheme="minorEastAsia"/>
          <w:iCs/>
        </w:rPr>
        <w:t xml:space="preserve">The first variable that we use is the natural logarithm of the years for which the venture is active. As Goldenstein et al. (2019) mention, this is a frequently analysed topic in entrepreneurial research due to its intrinsic link to failure risk (see, among others, Wiklund et al., 2010; de Jong and Marsili, 2015). Additionally, as discussed in Roberts and Lall (2019), age gives a rough idea of the venture’s stage of development, </w:t>
      </w:r>
      <w:r w:rsidRPr="00F32020">
        <w:rPr>
          <w:rFonts w:eastAsiaTheme="minorHAnsi"/>
          <w:lang w:eastAsia="en-US"/>
        </w:rPr>
        <w:t>and older ventures may have more</w:t>
      </w:r>
      <w:r w:rsidRPr="00F32020">
        <w:rPr>
          <w:b/>
          <w:bCs/>
        </w:rPr>
        <w:t xml:space="preserve"> </w:t>
      </w:r>
      <w:r w:rsidRPr="00F32020">
        <w:rPr>
          <w:rFonts w:eastAsiaTheme="minorHAnsi"/>
          <w:lang w:eastAsia="en-US"/>
        </w:rPr>
        <w:t>time to establish the observable characteristics that are attractive to</w:t>
      </w:r>
      <w:r w:rsidRPr="00F32020">
        <w:rPr>
          <w:b/>
          <w:bCs/>
        </w:rPr>
        <w:t xml:space="preserve"> </w:t>
      </w:r>
      <w:r w:rsidRPr="00F32020">
        <w:rPr>
          <w:rFonts w:eastAsiaTheme="minorHAnsi"/>
          <w:lang w:eastAsia="en-US"/>
        </w:rPr>
        <w:t>investors.</w:t>
      </w:r>
      <w:r w:rsidRPr="00F32020">
        <w:rPr>
          <w:rFonts w:ascii="RqlpcnGhbrxjCddjnwAGaramondPro-" w:eastAsiaTheme="minorHAnsi" w:hAnsi="RqlpcnGhbrxjCddjnwAGaramondPro-" w:cs="RqlpcnGhbrxjCddjnwAGaramondPro-"/>
          <w:sz w:val="23"/>
          <w:szCs w:val="23"/>
          <w:lang w:eastAsia="en-US"/>
        </w:rPr>
        <w:t xml:space="preserve"> </w:t>
      </w:r>
    </w:p>
    <w:p w14:paraId="4B36E922" w14:textId="77777777" w:rsidR="00152AEF" w:rsidRPr="00F32020" w:rsidRDefault="00152AEF" w:rsidP="00152AEF">
      <w:pPr>
        <w:autoSpaceDE w:val="0"/>
        <w:autoSpaceDN w:val="0"/>
        <w:adjustRightInd w:val="0"/>
        <w:spacing w:line="360" w:lineRule="auto"/>
        <w:ind w:firstLine="720"/>
        <w:jc w:val="both"/>
        <w:rPr>
          <w:rFonts w:eastAsiaTheme="minorEastAsia"/>
          <w:iCs/>
        </w:rPr>
      </w:pPr>
      <w:r w:rsidRPr="00F32020">
        <w:rPr>
          <w:rFonts w:ascii="RqlpcnGhbrxjCddjnwAGaramondPro-" w:eastAsiaTheme="minorHAnsi" w:hAnsi="RqlpcnGhbrxjCddjnwAGaramondPro-" w:cs="RqlpcnGhbrxjCddjnwAGaramondPro-"/>
          <w:sz w:val="23"/>
          <w:szCs w:val="23"/>
          <w:lang w:eastAsia="en-US"/>
        </w:rPr>
        <w:t xml:space="preserve">Furthermore, </w:t>
      </w:r>
      <w:r w:rsidRPr="00F32020">
        <w:rPr>
          <w:rFonts w:eastAsiaTheme="minorEastAsia"/>
          <w:iCs/>
        </w:rPr>
        <w:t>we include the natural logarithm of the venture’s revenues in the previous year. This controls for the venture’s commercial performance (Roberts and Lall, 2019) and demonstrates that the start-up has a viable product offering (Assenova, 2021), hence enhancing the likelihood of being selected by accelerators (Lall et al., 2020).</w:t>
      </w:r>
      <w:r w:rsidRPr="00F32020">
        <w:rPr>
          <w:rStyle w:val="FootnoteReference"/>
          <w:rFonts w:eastAsiaTheme="minorEastAsia"/>
          <w:iCs/>
        </w:rPr>
        <w:footnoteReference w:id="4"/>
      </w:r>
      <w:r w:rsidRPr="00F32020">
        <w:rPr>
          <w:rFonts w:eastAsiaTheme="minorEastAsia"/>
          <w:iCs/>
        </w:rPr>
        <w:t xml:space="preserve">  </w:t>
      </w:r>
    </w:p>
    <w:p w14:paraId="149AA8BA" w14:textId="77777777" w:rsidR="00152AEF" w:rsidRPr="00F32020" w:rsidRDefault="00152AEF" w:rsidP="00152AEF">
      <w:pPr>
        <w:autoSpaceDE w:val="0"/>
        <w:autoSpaceDN w:val="0"/>
        <w:adjustRightInd w:val="0"/>
        <w:spacing w:line="360" w:lineRule="auto"/>
        <w:ind w:firstLine="720"/>
        <w:jc w:val="both"/>
        <w:rPr>
          <w:rFonts w:eastAsiaTheme="minorEastAsia"/>
          <w:iCs/>
        </w:rPr>
      </w:pPr>
      <w:r w:rsidRPr="00F32020">
        <w:rPr>
          <w:rFonts w:eastAsiaTheme="minorEastAsia"/>
          <w:iCs/>
        </w:rPr>
        <w:t xml:space="preserve">Following Yang et al. (2020) we include a dummy for the ventures that are non-for-profit to account for differences in structures, policies and strategies. Similarly, as in Yang et al (2020) and Lall et al. (2020) we control for </w:t>
      </w:r>
      <w:r w:rsidRPr="00F32020">
        <w:rPr>
          <w:rFonts w:eastAsia="CharisSIL"/>
          <w:lang w:eastAsia="en-US"/>
        </w:rPr>
        <w:t xml:space="preserve">the startups’ social motives with a dummy variable that takes the </w:t>
      </w:r>
      <w:r w:rsidRPr="00F32020">
        <w:rPr>
          <w:rFonts w:eastAsiaTheme="minorEastAsia"/>
          <w:iCs/>
        </w:rPr>
        <w:t xml:space="preserve">value of ‘1’ </w:t>
      </w:r>
      <w:r w:rsidRPr="00F32020">
        <w:rPr>
          <w:rFonts w:eastAsia="CharisSIL"/>
          <w:lang w:eastAsia="en-US"/>
        </w:rPr>
        <w:t>in cases where the applicant explicitly stated that the start-up has social motives. Yang et al. (2020) mention that by making their social visions explicit, the ventures are more motivated to achieve them, which could make them more attractive to impact-oriented accelerators.</w:t>
      </w:r>
      <w:r w:rsidRPr="00F32020">
        <w:rPr>
          <w:rFonts w:eastAsiaTheme="minorEastAsia"/>
          <w:iCs/>
        </w:rPr>
        <w:t xml:space="preserve"> </w:t>
      </w:r>
    </w:p>
    <w:p w14:paraId="0C47A637" w14:textId="77777777" w:rsidR="00152AEF" w:rsidRPr="00F32020" w:rsidRDefault="00152AEF" w:rsidP="00152AEF">
      <w:pPr>
        <w:autoSpaceDE w:val="0"/>
        <w:autoSpaceDN w:val="0"/>
        <w:adjustRightInd w:val="0"/>
        <w:spacing w:line="360" w:lineRule="auto"/>
        <w:ind w:firstLine="720"/>
        <w:jc w:val="both"/>
      </w:pPr>
      <w:r w:rsidRPr="00F32020">
        <w:rPr>
          <w:rFonts w:eastAsiaTheme="minorEastAsia"/>
          <w:iCs/>
        </w:rPr>
        <w:t xml:space="preserve">Moreover, we include a dummy denoting whether the venture’s model is invention-based or not. </w:t>
      </w:r>
      <w:r w:rsidRPr="00F32020">
        <w:t xml:space="preserve">This is based on the answer to the following question in the EDP database: “Would you say that your venture is invention-based (i.e. a company that builds upon newly created technology owned by the venture and/or its founders)?” As discussed earlier, </w:t>
      </w:r>
      <w:r w:rsidRPr="00F32020">
        <w:rPr>
          <w:rFonts w:eastAsiaTheme="minorHAnsi"/>
          <w:lang w:eastAsia="en-US"/>
        </w:rPr>
        <w:t>applicants to impact-oriented accelerators try, among other things, to develop innovative, market-based solutions to address major social challenges</w:t>
      </w:r>
      <w:r w:rsidRPr="00F32020">
        <w:t xml:space="preserve">. Hence, invention-based ventures could be more attractive to accelerators. </w:t>
      </w:r>
    </w:p>
    <w:p w14:paraId="33C039C3" w14:textId="77777777" w:rsidR="00152AEF" w:rsidRPr="00F32020" w:rsidRDefault="00152AEF" w:rsidP="00152AEF">
      <w:pPr>
        <w:autoSpaceDE w:val="0"/>
        <w:autoSpaceDN w:val="0"/>
        <w:adjustRightInd w:val="0"/>
        <w:spacing w:line="360" w:lineRule="auto"/>
        <w:ind w:firstLine="720"/>
        <w:jc w:val="both"/>
        <w:rPr>
          <w:rFonts w:eastAsiaTheme="minorHAnsi"/>
          <w:lang w:eastAsia="en-US"/>
        </w:rPr>
      </w:pPr>
      <w:r w:rsidRPr="00F32020">
        <w:t xml:space="preserve">Further to this, Roberts and Lall (2019) outline that </w:t>
      </w:r>
      <w:r w:rsidRPr="00F32020">
        <w:rPr>
          <w:rFonts w:eastAsiaTheme="minorHAnsi"/>
          <w:lang w:eastAsia="en-US"/>
        </w:rPr>
        <w:t>many of the individuals and organisations that seek to identify and support scalable impact-oriented ventures believe that the most promising candidates develop and hold proprietary intellectual property that is protected by patents, copyrights, or trademarks.</w:t>
      </w:r>
      <w:r w:rsidRPr="00F32020">
        <w:rPr>
          <w:rFonts w:ascii="ClxqyxGnbhrjCrvxxxAGaramondPro-" w:eastAsiaTheme="minorHAnsi" w:hAnsi="ClxqyxGnbhrjCrvxxxAGaramondPro-" w:cs="ClxqyxGnbhrjCrvxxxAGaramondPro-"/>
          <w:sz w:val="23"/>
          <w:szCs w:val="23"/>
          <w:lang w:eastAsia="en-US"/>
        </w:rPr>
        <w:t xml:space="preserve"> </w:t>
      </w:r>
      <w:r w:rsidRPr="00F32020">
        <w:rPr>
          <w:rFonts w:eastAsiaTheme="minorEastAsia"/>
          <w:iCs/>
        </w:rPr>
        <w:t xml:space="preserve">This appears to be in line with studies showing the significance of some types of patents in accessing debt financing (Fischer and Ringler, 2014) or the signalling mechanism and the general importance of trademarks in startup valuation (Ramello and Silva, 2006; Block et al., 2014, 2015). Therefore, we include an ‘intellectual property’ dummy variable that takes the value of ‘1’ when a venture has </w:t>
      </w:r>
      <w:r w:rsidRPr="00F32020">
        <w:rPr>
          <w:rFonts w:eastAsiaTheme="minorHAnsi"/>
          <w:lang w:eastAsia="en-US"/>
        </w:rPr>
        <w:t xml:space="preserve">patents, copyrights, or trademarks, and the value of ‘0’ otherwise. </w:t>
      </w:r>
    </w:p>
    <w:p w14:paraId="7074C700" w14:textId="77777777" w:rsidR="00152AEF" w:rsidRPr="00F32020" w:rsidRDefault="00152AEF" w:rsidP="00152AEF">
      <w:pPr>
        <w:autoSpaceDE w:val="0"/>
        <w:autoSpaceDN w:val="0"/>
        <w:adjustRightInd w:val="0"/>
        <w:spacing w:line="360" w:lineRule="auto"/>
        <w:ind w:firstLine="720"/>
        <w:jc w:val="both"/>
        <w:rPr>
          <w:rFonts w:eastAsia="CharisSIL"/>
          <w:lang w:eastAsia="en-US"/>
        </w:rPr>
      </w:pPr>
      <w:r w:rsidRPr="00F32020">
        <w:rPr>
          <w:rFonts w:eastAsiaTheme="minorHAnsi"/>
          <w:lang w:eastAsia="en-US"/>
        </w:rPr>
        <w:lastRenderedPageBreak/>
        <w:t xml:space="preserve">Additionally, we include the logarithm of the equity investments received from outside sources between the founding date and the time of the application. Yang et al. (2020) discuss at least two reasons for which past </w:t>
      </w:r>
      <w:r w:rsidRPr="00F32020">
        <w:rPr>
          <w:rFonts w:eastAsia="CharisSIL"/>
          <w:lang w:eastAsia="en-US"/>
        </w:rPr>
        <w:t>equity investment could enhance the likelihood to be admitted into an accelerator programme.</w:t>
      </w:r>
      <w:r w:rsidRPr="00F32020">
        <w:rPr>
          <w:rFonts w:eastAsia="CharisSIL"/>
          <w:i/>
          <w:iCs/>
          <w:lang w:eastAsia="en-US"/>
        </w:rPr>
        <w:t xml:space="preserve">  </w:t>
      </w:r>
      <w:r w:rsidRPr="00F32020">
        <w:rPr>
          <w:rFonts w:eastAsia="CharisSIL"/>
          <w:lang w:eastAsia="en-US"/>
        </w:rPr>
        <w:t xml:space="preserve">First, having received equity investment shows that the venture has already passed a rigorous analysis validating the viability and sustainability of its business model. Second, an equity investment shows that the venture will have access to the equity investor's superior resources, capabilities, and networks, all of which should enhance its prospects for scale and survival. </w:t>
      </w:r>
    </w:p>
    <w:p w14:paraId="4B03510C" w14:textId="77777777" w:rsidR="00152AEF" w:rsidRPr="00F32020" w:rsidRDefault="00152AEF" w:rsidP="00152AEF">
      <w:pPr>
        <w:autoSpaceDE w:val="0"/>
        <w:autoSpaceDN w:val="0"/>
        <w:adjustRightInd w:val="0"/>
        <w:spacing w:line="360" w:lineRule="auto"/>
        <w:ind w:firstLine="720"/>
        <w:jc w:val="both"/>
        <w:rPr>
          <w:rFonts w:eastAsiaTheme="minorHAnsi"/>
          <w:lang w:eastAsia="en-US"/>
        </w:rPr>
      </w:pPr>
      <w:r w:rsidRPr="00F32020">
        <w:rPr>
          <w:rFonts w:eastAsia="CharisSIL"/>
          <w:lang w:eastAsia="en-US"/>
        </w:rPr>
        <w:t>Finally, we control for prior experience with accelerator programmes, by considering the answer to the following question: “</w:t>
      </w:r>
      <w:r w:rsidRPr="00F32020">
        <w:rPr>
          <w:rFonts w:eastAsiaTheme="minorHAnsi"/>
          <w:lang w:eastAsia="en-US"/>
        </w:rPr>
        <w:t xml:space="preserve">In 20XX, did anyone on your founding team participate in any accelerator programs?” On the one hand, this reflects the ability to receive support from the ecosystem (Roberts and Lall, 2019) that could be well perceived by the admission decision-makers in the prospective accelerator programme. One the other hand, accelerators may opt not to select applicants that have already benefited from such programmes in the past. </w:t>
      </w:r>
    </w:p>
    <w:p w14:paraId="5949118C" w14:textId="77777777" w:rsidR="00152AEF" w:rsidRPr="00F32020" w:rsidRDefault="00152AEF" w:rsidP="00152AEF">
      <w:pPr>
        <w:spacing w:line="360" w:lineRule="auto"/>
        <w:jc w:val="both"/>
        <w:rPr>
          <w:b/>
          <w:bCs/>
          <w:iCs/>
        </w:rPr>
      </w:pPr>
    </w:p>
    <w:p w14:paraId="6333200B" w14:textId="77777777" w:rsidR="00152AEF" w:rsidRPr="00F32020" w:rsidRDefault="00152AEF" w:rsidP="00152AEF">
      <w:pPr>
        <w:spacing w:line="360" w:lineRule="auto"/>
        <w:jc w:val="both"/>
        <w:rPr>
          <w:b/>
          <w:bCs/>
          <w:iCs/>
        </w:rPr>
      </w:pPr>
      <w:bookmarkStart w:id="27" w:name="_Hlk212143504"/>
      <w:r w:rsidRPr="00F32020">
        <w:rPr>
          <w:b/>
          <w:bCs/>
          <w:iCs/>
        </w:rPr>
        <w:t>IV. Robustness and additional analyses</w:t>
      </w:r>
    </w:p>
    <w:bookmarkEnd w:id="27"/>
    <w:p w14:paraId="3B612D53" w14:textId="77777777" w:rsidR="00152AEF" w:rsidRPr="00F32020" w:rsidRDefault="00152AEF" w:rsidP="00152AEF">
      <w:pPr>
        <w:spacing w:line="360" w:lineRule="auto"/>
        <w:jc w:val="both"/>
        <w:rPr>
          <w:rFonts w:eastAsiaTheme="minorEastAsia"/>
          <w:iCs/>
        </w:rPr>
      </w:pPr>
      <w:r w:rsidRPr="00F32020">
        <w:rPr>
          <w:rFonts w:eastAsiaTheme="minorEastAsia"/>
          <w:iCs/>
        </w:rPr>
        <w:t>This section is dedicated to a more in-depth discussion of the robustness results and additional analyses outlined in section 4.1 of the manuscript. To conserve space, we do not report all these results in Table A3; however, they are all available from the authors upon request.</w:t>
      </w:r>
    </w:p>
    <w:p w14:paraId="1A148F23" w14:textId="77777777" w:rsidR="00152AEF" w:rsidRPr="00F32020" w:rsidRDefault="00152AEF" w:rsidP="00152AEF">
      <w:pPr>
        <w:spacing w:line="360" w:lineRule="auto"/>
        <w:jc w:val="both"/>
        <w:rPr>
          <w:rFonts w:eastAsiaTheme="minorEastAsia"/>
          <w:iCs/>
        </w:rPr>
      </w:pPr>
    </w:p>
    <w:p w14:paraId="21C3FE38" w14:textId="77777777" w:rsidR="00152AEF" w:rsidRPr="00F32020" w:rsidRDefault="00152AEF" w:rsidP="00152AEF">
      <w:pPr>
        <w:spacing w:line="360" w:lineRule="auto"/>
        <w:jc w:val="both"/>
        <w:rPr>
          <w:rFonts w:eastAsiaTheme="minorEastAsia"/>
          <w:i/>
        </w:rPr>
      </w:pPr>
      <w:r w:rsidRPr="00F32020">
        <w:rPr>
          <w:rFonts w:eastAsiaTheme="minorEastAsia"/>
          <w:b/>
          <w:bCs/>
          <w:i/>
        </w:rPr>
        <w:t>Alternative methodological approaches</w:t>
      </w:r>
      <w:r w:rsidRPr="00F32020">
        <w:rPr>
          <w:rFonts w:eastAsiaTheme="minorEastAsia"/>
          <w:i/>
        </w:rPr>
        <w:t xml:space="preserve"> </w:t>
      </w:r>
    </w:p>
    <w:p w14:paraId="76FC6F46" w14:textId="77777777" w:rsidR="00152AEF" w:rsidRPr="00F32020" w:rsidRDefault="00152AEF" w:rsidP="00152AEF">
      <w:pPr>
        <w:spacing w:line="360" w:lineRule="auto"/>
        <w:jc w:val="both"/>
        <w:rPr>
          <w:rFonts w:eastAsiaTheme="minorEastAsia"/>
          <w:iCs/>
        </w:rPr>
      </w:pPr>
      <w:r w:rsidRPr="00F32020">
        <w:rPr>
          <w:rFonts w:eastAsiaTheme="minorEastAsia"/>
          <w:iCs/>
        </w:rPr>
        <w:t>First, in terms of the methodology, we treat the model as having no hierarchy. Thus, we estimate eq. (3.3.1) through a simple logistic regression. Additionally, we estimate it as a linear probability model with the use of OLS (but also as a fractional response model to further constrain it into the [0,1] space) to treat the fixed effects included in the specification in a linear fashion. Moreover, considering that the assumptions one must make on how and whether errors should be clustered (Abadie et al., 2017) makes error clustering more of an art (being a design problem) rather than science, we cluster errors according to the: (i) accelerator programme, (ii) application year, (iii) venture. In all the cases mentioned above, the results remain the same.</w:t>
      </w:r>
    </w:p>
    <w:p w14:paraId="4D45D4D4" w14:textId="77777777" w:rsidR="00152AEF" w:rsidRPr="00F32020" w:rsidRDefault="00152AEF" w:rsidP="00152AEF">
      <w:pPr>
        <w:spacing w:line="360" w:lineRule="auto"/>
        <w:ind w:firstLine="720"/>
        <w:jc w:val="both"/>
        <w:rPr>
          <w:rFonts w:eastAsiaTheme="minorEastAsia"/>
          <w:iCs/>
        </w:rPr>
      </w:pPr>
      <w:r w:rsidRPr="00F32020">
        <w:rPr>
          <w:rFonts w:eastAsiaTheme="minorEastAsia"/>
          <w:iCs/>
        </w:rPr>
        <w:t>Additionally, the baseline set of results relies on classic macro and institutional controls along with regional fixed effects to capture heterogeneity in patterns across countries. To lessen concerns about different time-constant attributes across countries potentially affecting the selection outcomes, we fit again the model using country fixed effects.</w:t>
      </w:r>
      <w:r w:rsidRPr="00F32020">
        <w:rPr>
          <w:rStyle w:val="FootnoteReference"/>
          <w:rFonts w:eastAsiaTheme="minorEastAsia"/>
          <w:iCs/>
        </w:rPr>
        <w:footnoteReference w:id="5"/>
      </w:r>
      <w:r w:rsidRPr="00F32020">
        <w:rPr>
          <w:rFonts w:eastAsiaTheme="minorEastAsia"/>
          <w:iCs/>
        </w:rPr>
        <w:t>Again, we find no difference in qualitative terms.</w:t>
      </w:r>
    </w:p>
    <w:p w14:paraId="0B02A15C" w14:textId="77777777" w:rsidR="00152AEF" w:rsidRPr="00F32020" w:rsidRDefault="00152AEF" w:rsidP="00152AEF">
      <w:pPr>
        <w:spacing w:line="360" w:lineRule="auto"/>
        <w:ind w:firstLine="720"/>
        <w:jc w:val="both"/>
        <w:rPr>
          <w:rFonts w:eastAsiaTheme="minorEastAsia"/>
          <w:iCs/>
        </w:rPr>
      </w:pPr>
      <w:r w:rsidRPr="00F32020">
        <w:rPr>
          <w:rFonts w:eastAsiaTheme="minorEastAsia"/>
          <w:iCs/>
        </w:rPr>
        <w:t xml:space="preserve">Whilst the use of country fixed effects may alleviate, up to some extent, concerns about potential endogeneity behind the cultural diversity variable and reasons related to potential variance across different </w:t>
      </w:r>
      <w:r w:rsidRPr="00F32020">
        <w:rPr>
          <w:rFonts w:eastAsiaTheme="minorEastAsia"/>
          <w:iCs/>
        </w:rPr>
        <w:lastRenderedPageBreak/>
        <w:t xml:space="preserve">countries; we further adopt a two-stage setting that is better fit to deal with issues of endogeneity. Considering cultural diversity as the endogenous variable of interest, and given the binary nature of our dependent variable, we fit three variations of two-stage models. As we explain below, these are similar in principle, but different in their application. </w:t>
      </w:r>
    </w:p>
    <w:p w14:paraId="7EF4FFD0" w14:textId="77777777" w:rsidR="00152AEF" w:rsidRPr="00F32020" w:rsidRDefault="00152AEF" w:rsidP="00152AEF">
      <w:pPr>
        <w:spacing w:line="360" w:lineRule="auto"/>
        <w:ind w:firstLine="720"/>
        <w:jc w:val="both"/>
        <w:rPr>
          <w:rFonts w:eastAsiaTheme="minorEastAsia"/>
          <w:iCs/>
        </w:rPr>
      </w:pPr>
      <w:r w:rsidRPr="00F32020">
        <w:rPr>
          <w:rFonts w:eastAsiaTheme="minorEastAsia"/>
          <w:iCs/>
        </w:rPr>
        <w:t xml:space="preserve">All the two-stage variations of the models that we employ require the use of an instrument set. </w:t>
      </w:r>
      <w:r w:rsidRPr="00F32020">
        <w:t xml:space="preserve">Based on theory, past studies on culture, and data availability, we carefully select two instruments that are: </w:t>
      </w:r>
      <w:r w:rsidRPr="00F32020">
        <w:rPr>
          <w:rFonts w:eastAsiaTheme="minorHAnsi"/>
          <w:lang w:eastAsia="en-US"/>
        </w:rPr>
        <w:t>(i) unlikely to have a direct influence on the selection decision of accelerator programmes, therefore satisfying</w:t>
      </w:r>
      <w:r w:rsidRPr="00F32020">
        <w:t xml:space="preserve"> </w:t>
      </w:r>
      <w:r w:rsidRPr="00F32020">
        <w:rPr>
          <w:rFonts w:eastAsiaTheme="minorHAnsi"/>
          <w:lang w:eastAsia="en-US"/>
        </w:rPr>
        <w:t>the exogeneity requirement of an instrument; (ii) correlated with the cultural dimensions,</w:t>
      </w:r>
      <w:r w:rsidRPr="00F32020">
        <w:t xml:space="preserve"> </w:t>
      </w:r>
      <w:r w:rsidRPr="00F32020">
        <w:rPr>
          <w:rFonts w:eastAsiaTheme="minorHAnsi"/>
          <w:lang w:eastAsia="en-US"/>
        </w:rPr>
        <w:t>therefore satisfying the relevance requirement of</w:t>
      </w:r>
      <w:r w:rsidRPr="00F32020">
        <w:t xml:space="preserve"> </w:t>
      </w:r>
      <w:r w:rsidRPr="00F32020">
        <w:rPr>
          <w:rFonts w:eastAsiaTheme="minorHAnsi"/>
          <w:lang w:eastAsia="en-US"/>
        </w:rPr>
        <w:t>an instrument.</w:t>
      </w:r>
      <w:r w:rsidRPr="00F32020">
        <w:rPr>
          <w:rStyle w:val="FootnoteReference"/>
          <w:rFonts w:eastAsiaTheme="minorEastAsia"/>
          <w:iCs/>
        </w:rPr>
        <w:t xml:space="preserve"> </w:t>
      </w:r>
      <w:r w:rsidRPr="00F32020">
        <w:rPr>
          <w:rStyle w:val="FootnoteReference"/>
          <w:rFonts w:eastAsiaTheme="minorEastAsia"/>
          <w:iCs/>
        </w:rPr>
        <w:footnoteReference w:id="6"/>
      </w:r>
      <w:r w:rsidRPr="00F32020">
        <w:rPr>
          <w:rFonts w:eastAsiaTheme="minorHAnsi"/>
          <w:lang w:eastAsia="en-US"/>
        </w:rPr>
        <w:t xml:space="preserve"> </w:t>
      </w:r>
    </w:p>
    <w:p w14:paraId="1806D403" w14:textId="77777777" w:rsidR="00152AEF" w:rsidRPr="00F32020" w:rsidRDefault="00152AEF" w:rsidP="00152AEF">
      <w:pPr>
        <w:spacing w:line="360" w:lineRule="auto"/>
        <w:ind w:firstLine="720"/>
        <w:jc w:val="both"/>
        <w:rPr>
          <w:lang w:eastAsia="ja-JP"/>
        </w:rPr>
      </w:pPr>
      <w:r w:rsidRPr="00F32020">
        <w:rPr>
          <w:lang w:eastAsia="ja-JP"/>
        </w:rPr>
        <w:t xml:space="preserve">The first instrument that we use is agricultural potential. Food supply in general, and agriculture in particular, has been associated to culture on several occasions (Diamond, 1987; Hofstede et al., 2010; Yook, 2013; </w:t>
      </w:r>
      <w:r w:rsidRPr="00F32020">
        <w:rPr>
          <w:lang w:eastAsia="el-GR"/>
        </w:rPr>
        <w:t>Hansen et al., 2015</w:t>
      </w:r>
      <w:r w:rsidRPr="00F32020">
        <w:rPr>
          <w:lang w:eastAsia="ja-JP"/>
        </w:rPr>
        <w:t xml:space="preserve">). In general, these studies discuss that </w:t>
      </w:r>
      <w:r w:rsidRPr="00F32020">
        <w:t xml:space="preserve">agriculture brought up changes in the size, cooperation, and hierarchical organisation of societies, which along with the emerge of possessions, resulted in societies characterised by with higher power distance, higher collectivism, higher uncertainty avoidance, and higher masculinity (Hofstede et al., 2008, 2010; Yook, 2013; </w:t>
      </w:r>
      <w:r w:rsidRPr="00F32020">
        <w:rPr>
          <w:rStyle w:val="addmd"/>
        </w:rPr>
        <w:t>Witzel, 2019</w:t>
      </w:r>
      <w:r w:rsidRPr="00F32020">
        <w:t>).</w:t>
      </w:r>
      <w:r w:rsidRPr="00F32020">
        <w:rPr>
          <w:rStyle w:val="FootnoteReference"/>
          <w:rFonts w:eastAsiaTheme="minorHAnsi"/>
          <w:lang w:eastAsia="en-US"/>
        </w:rPr>
        <w:footnoteReference w:id="7"/>
      </w:r>
      <w:r w:rsidRPr="00F32020">
        <w:rPr>
          <w:rFonts w:eastAsiaTheme="minorHAnsi"/>
          <w:lang w:eastAsia="en-US"/>
        </w:rPr>
        <w:t xml:space="preserve"> </w:t>
      </w:r>
      <w:bookmarkStart w:id="28" w:name="_Hlk181988466"/>
      <w:r w:rsidRPr="00F32020">
        <w:t xml:space="preserve">Agricultural legacies continue to affect people in the modern world (Talhelm et al., 2014) with several studies providing empirical proof of this relationship. For example, Litina (2016) shows that historical agricultural land suitability affected cooperation in the agricultural sectors and its effects have persisted to affect contemporary levels of social capital. Galor and Özak (2016) document that caloric yield influences Hofstede’s cultural dimension of long-term orientation. Similarly, Ang (2019) shows that agricultural legacies have a persistent effect on the prevalence of modern-day individualistic traits. </w:t>
      </w:r>
      <w:bookmarkEnd w:id="28"/>
      <w:r w:rsidRPr="00F32020">
        <w:rPr>
          <w:rFonts w:eastAsiaTheme="minorHAnsi"/>
          <w:lang w:eastAsia="en-US"/>
        </w:rPr>
        <w:t xml:space="preserve">Following Gaganis et al. (2020) </w:t>
      </w:r>
      <w:r w:rsidRPr="00F32020">
        <w:t>we proxy for agricultural potential</w:t>
      </w:r>
      <w:r w:rsidRPr="00F32020">
        <w:rPr>
          <w:lang w:eastAsia="ja-JP"/>
        </w:rPr>
        <w:t xml:space="preserve"> with </w:t>
      </w:r>
      <w:r w:rsidRPr="00F32020">
        <w:rPr>
          <w:rFonts w:eastAsiaTheme="minorHAnsi"/>
          <w:lang w:eastAsia="en-US"/>
        </w:rPr>
        <w:t xml:space="preserve">the </w:t>
      </w:r>
      <w:r w:rsidRPr="00F32020">
        <w:t xml:space="preserve">maximum potential caloric yield attainable given the set of crops that were suitable for cultivation in the pre-1500 period (Galor and Ozak, 2016). </w:t>
      </w:r>
      <w:r w:rsidRPr="00F32020">
        <w:rPr>
          <w:lang w:eastAsia="ja-JP"/>
        </w:rPr>
        <w:t xml:space="preserve"> </w:t>
      </w:r>
    </w:p>
    <w:p w14:paraId="59003DE5" w14:textId="77777777" w:rsidR="00152AEF" w:rsidRPr="00F32020" w:rsidRDefault="00152AEF" w:rsidP="00152AEF">
      <w:pPr>
        <w:spacing w:line="360" w:lineRule="auto"/>
        <w:ind w:firstLine="720"/>
        <w:jc w:val="both"/>
      </w:pPr>
      <w:r w:rsidRPr="00F32020">
        <w:rPr>
          <w:rFonts w:eastAsiaTheme="minorHAnsi"/>
          <w:lang w:eastAsia="en-US"/>
        </w:rPr>
        <w:t xml:space="preserve">The second </w:t>
      </w:r>
      <w:bookmarkStart w:id="29" w:name="_Hlk181988589"/>
      <w:r w:rsidRPr="00F32020">
        <w:rPr>
          <w:rFonts w:eastAsiaTheme="minorHAnsi"/>
          <w:lang w:eastAsia="en-US"/>
        </w:rPr>
        <w:t xml:space="preserve">instrument that we use is the migratory distance from East Africa. </w:t>
      </w:r>
      <w:bookmarkStart w:id="30" w:name="_Hlk181988625"/>
      <w:bookmarkEnd w:id="29"/>
      <w:r w:rsidRPr="00F32020">
        <w:t xml:space="preserve">The out of Africa hypothesis has been associated with the evolution of human behaviour, which can be explained based on either sociodemographic or genetic reasons (Klein, 2008). </w:t>
      </w:r>
      <w:bookmarkEnd w:id="30"/>
      <w:r w:rsidRPr="00F32020">
        <w:rPr>
          <w:rFonts w:eastAsiaTheme="minorHAnsi"/>
          <w:lang w:eastAsia="en-US"/>
        </w:rPr>
        <w:t xml:space="preserve">The underlying idea is that modern humans have descended from migrations out of Africa to various settlements across the globe, in a journey that started around seventy thousand years ago and intensified about forty thousand years ago (Hofstede et al., 2010), and as discussed by several scholars, migration has implications for culture (Romaniszyn, 2004; </w:t>
      </w:r>
      <w:r w:rsidRPr="00F32020">
        <w:t>Esses, 2018</w:t>
      </w:r>
      <w:r w:rsidRPr="00F32020">
        <w:rPr>
          <w:rFonts w:eastAsiaTheme="minorHAnsi"/>
          <w:lang w:eastAsia="en-US"/>
        </w:rPr>
        <w:t xml:space="preserve">). Furthermore, the migration from East Africa had implications for genetic diversity (Ashraf and Galor, 2013), </w:t>
      </w:r>
      <w:r w:rsidRPr="00F32020">
        <w:rPr>
          <w:rFonts w:eastAsiaTheme="minorHAnsi"/>
          <w:lang w:eastAsia="en-US"/>
        </w:rPr>
        <w:lastRenderedPageBreak/>
        <w:t xml:space="preserve">that has been associated with cultural distances (Desmet et al., 2011). </w:t>
      </w:r>
      <w:bookmarkStart w:id="31" w:name="_Hlk181988656"/>
      <w:r w:rsidRPr="00F32020">
        <w:rPr>
          <w:rFonts w:eastAsiaTheme="minorHAnsi"/>
          <w:lang w:eastAsia="en-US"/>
        </w:rPr>
        <w:t xml:space="preserve">In their study, </w:t>
      </w:r>
      <w:r w:rsidRPr="00F32020">
        <w:t>Galor et al. (2023) provide evidence on the impact of the prehistoric out of Africa migration on cultural diversity.</w:t>
      </w:r>
      <w:bookmarkEnd w:id="31"/>
    </w:p>
    <w:p w14:paraId="79536CFA" w14:textId="7962FD02" w:rsidR="00152AEF" w:rsidRPr="00F32020" w:rsidRDefault="00152AEF" w:rsidP="00152AEF">
      <w:pPr>
        <w:spacing w:line="360" w:lineRule="auto"/>
        <w:ind w:firstLine="720"/>
        <w:jc w:val="both"/>
        <w:rPr>
          <w:rFonts w:eastAsiaTheme="minorEastAsia"/>
          <w:iCs/>
        </w:rPr>
      </w:pPr>
      <w:r w:rsidRPr="00F32020">
        <w:rPr>
          <w:rFonts w:eastAsiaTheme="minorEastAsia"/>
          <w:iCs/>
        </w:rPr>
        <w:t>Based on the above-mentioned instrument set, we first estimate eq. (3.3.1) via a Two-Stage Residual Inclusion model (2SRI) (Terza et al., 2008), where the endogenous variable in question (Diversity) is instrumented in a first stage setting using the two exogenous instruments and the rest of the exogenous variables from the baseline model. Then, the residuals obtained from that model simply enter the second stage as another control variable that saturates the logit model and lessens endogeneity concerns</w:t>
      </w:r>
      <w:r w:rsidRPr="00F32020">
        <w:rPr>
          <w:rStyle w:val="FootnoteReference"/>
          <w:rFonts w:eastAsiaTheme="minorEastAsia"/>
          <w:iCs/>
        </w:rPr>
        <w:footnoteReference w:id="8"/>
      </w:r>
      <w:r w:rsidRPr="00F32020">
        <w:rPr>
          <w:rFonts w:eastAsiaTheme="minorEastAsia"/>
          <w:iCs/>
        </w:rPr>
        <w:t xml:space="preserve">. The second two-stage model variation employed in this study is called ‘IVPROBIT’ and essentially changes the function </w:t>
      </w:r>
      <w:r w:rsidRPr="00F32020">
        <w:rPr>
          <w:rFonts w:eastAsiaTheme="minorEastAsia"/>
          <w:i/>
        </w:rPr>
        <w:t>F(x)</w:t>
      </w:r>
      <w:r w:rsidRPr="00F32020">
        <w:rPr>
          <w:rFonts w:eastAsiaTheme="minorEastAsia"/>
          <w:iCs/>
        </w:rPr>
        <w:t xml:space="preserve"> of the baseline model to that of a probit nature (instead of the logit one used in our baseline results). Contrary to the 2SRI setting, the IVPROBIT does not employ the residuals, but substitutes the endogenous variable with the estimated (now allegedly exogenous) values calculated in this two-stage model through a maximum likelihood estimator. Diagnostics include a Wald test for exogeneity, rejection of which is indeed successful in our results, confirming what has been also found through the 2SRI model. That is, indeed, there is evidence of endogeneity in the variable of interest, which is mitigated through the employed model. The third variant is a simple ‘Two-Stage Least Square’ (2SLS) that treats the baseline model in a linear fashion (much like any standard endogeneity alleviation procedure for continuous variables) yet is convenient regarding reporting diagnostics for under, over and weak instrumentation, all of which confirm the validity of the instrumentation in question in our case. Overall, all three two-stage specifications confirm that the results remain qualitatively similar to the ones reported up to this point. To avoid cluttered tables with many different variants and columns, we only report the 2SRI results in Table A3 (column 1) as it is the most closely specified model to our baseline setting</w:t>
      </w:r>
      <w:r w:rsidR="00B07614" w:rsidRPr="00B07614">
        <w:rPr>
          <w:rFonts w:eastAsiaTheme="minorEastAsia"/>
          <w:iCs/>
          <w:lang w:val="en-US"/>
        </w:rPr>
        <w:t>.</w:t>
      </w:r>
      <w:r w:rsidRPr="00F32020">
        <w:rPr>
          <w:rFonts w:eastAsiaTheme="minorEastAsia"/>
          <w:iCs/>
        </w:rPr>
        <w:t xml:space="preserve"> </w:t>
      </w:r>
      <w:r w:rsidR="00B07614">
        <w:rPr>
          <w:rFonts w:eastAsiaTheme="minorEastAsia"/>
          <w:iCs/>
        </w:rPr>
        <w:t xml:space="preserve">Additionally, it is </w:t>
      </w:r>
      <w:r w:rsidRPr="00F32020">
        <w:rPr>
          <w:rFonts w:eastAsiaTheme="minorEastAsia"/>
          <w:iCs/>
        </w:rPr>
        <w:t>the only one out of the three variants described above that can still accommodate the multi-level modelling discussed in Section 3.3 of the manuscript.</w:t>
      </w:r>
    </w:p>
    <w:p w14:paraId="1088BD84" w14:textId="77777777" w:rsidR="00152AEF" w:rsidRPr="00F32020" w:rsidRDefault="00152AEF" w:rsidP="00152AEF">
      <w:pPr>
        <w:spacing w:line="360" w:lineRule="auto"/>
        <w:ind w:firstLine="720"/>
        <w:jc w:val="both"/>
        <w:rPr>
          <w:rFonts w:eastAsiaTheme="minorEastAsia"/>
          <w:iCs/>
        </w:rPr>
      </w:pPr>
    </w:p>
    <w:p w14:paraId="68DB2CD2" w14:textId="77777777" w:rsidR="00152AEF" w:rsidRPr="00F32020" w:rsidRDefault="00152AEF" w:rsidP="00152AEF">
      <w:pPr>
        <w:spacing w:line="360" w:lineRule="auto"/>
        <w:rPr>
          <w:rFonts w:eastAsiaTheme="minorEastAsia"/>
          <w:b/>
          <w:bCs/>
          <w:i/>
        </w:rPr>
      </w:pPr>
      <w:r w:rsidRPr="00F32020">
        <w:rPr>
          <w:rFonts w:eastAsiaTheme="minorEastAsia"/>
          <w:b/>
          <w:bCs/>
          <w:i/>
        </w:rPr>
        <w:t>Altering the cultural diversity index</w:t>
      </w:r>
    </w:p>
    <w:p w14:paraId="3B535326" w14:textId="77777777" w:rsidR="00152AEF" w:rsidRPr="00F32020" w:rsidRDefault="00152AEF" w:rsidP="00152AEF">
      <w:pPr>
        <w:autoSpaceDE w:val="0"/>
        <w:autoSpaceDN w:val="0"/>
        <w:adjustRightInd w:val="0"/>
        <w:spacing w:line="360" w:lineRule="auto"/>
        <w:jc w:val="both"/>
        <w:rPr>
          <w:rFonts w:eastAsiaTheme="minorHAnsi"/>
          <w:lang w:eastAsia="en-US"/>
        </w:rPr>
      </w:pPr>
      <w:r w:rsidRPr="00F32020">
        <w:rPr>
          <w:rFonts w:eastAsiaTheme="minorHAnsi"/>
          <w:lang w:eastAsia="en-US"/>
        </w:rPr>
        <w:t xml:space="preserve">In this section, we discuss two more robustness tests. First, we consider the additional two indicators of Hofstede (i.e. ‘long-term orientation’, and ‘indulgence’) and estimate an “extended” version of the cultural diversity index presented up to this point. Due to missing observations for these two dimensions, this approach reduces our sample by approximately 25%. However, our main findings remain qualitatively similar, the only difference being that the statistical significance drops to a 5% level (p=0.016). </w:t>
      </w:r>
    </w:p>
    <w:p w14:paraId="06A9B100" w14:textId="77777777" w:rsidR="00152AEF" w:rsidRPr="00F32020" w:rsidRDefault="00152AEF" w:rsidP="00152AEF">
      <w:pPr>
        <w:autoSpaceDE w:val="0"/>
        <w:autoSpaceDN w:val="0"/>
        <w:adjustRightInd w:val="0"/>
        <w:spacing w:line="360" w:lineRule="auto"/>
        <w:ind w:firstLine="720"/>
        <w:jc w:val="both"/>
        <w:rPr>
          <w:rFonts w:eastAsiaTheme="minorHAnsi"/>
          <w:lang w:eastAsia="en-US"/>
        </w:rPr>
      </w:pPr>
      <w:r w:rsidRPr="00F32020">
        <w:rPr>
          <w:rFonts w:eastAsiaTheme="minorHAnsi"/>
          <w:lang w:eastAsia="en-US"/>
        </w:rPr>
        <w:t xml:space="preserve">Second, while being the most widely used indicators of national culture in research across various disciplines, the indicators of Hofstede are not without their criticisms. Therefore, as a robustness test, we use the cultural dimensions that were made available by a more recent and large-scale survey, known as the </w:t>
      </w:r>
      <w:r w:rsidRPr="00F32020">
        <w:t xml:space="preserve">Global </w:t>
      </w:r>
      <w:r w:rsidRPr="00F32020">
        <w:lastRenderedPageBreak/>
        <w:t>Leadership and Organisational Behaviour Effectiveness</w:t>
      </w:r>
      <w:r w:rsidRPr="00F32020">
        <w:rPr>
          <w:rFonts w:eastAsiaTheme="minorHAnsi"/>
          <w:lang w:eastAsia="en-US"/>
        </w:rPr>
        <w:t xml:space="preserve"> (GLOBE) project (House et., 2004). This study proposed the following nine cultural dimensions: (i) uncertainty avoidance, (ii) power distance, (iii) collectivism I (institutional collectivism), (iv) collectivism II (in-group collectivism), (v) gender egalitarianism, (vi) assertiveness, (vii) future orientation, (viii) performance orientation, and (ix) humane orientation. As discussed in House et al. (2004), the first six culture dimensions have their origins in the dimensions of culture identified by Hofstede (1980), the other three having their origins on the work of Kluckhohn and Strodtbeck (1961), McClelland (1961, 1985), and Putnam (1993). As in the case of the Hofstede’s dimensions, the GLOBE scores for different countries allow an analysis of the cultural differences that exist between these countries. Yet, despite similarities, there are also some differences between the two studies in the way the concept of national culture is represented (Venaik and Brewer, 2010). A welcoming aspect of the GLOBE study is that for each one of the nine dimensions it measures two distinct aspects of national culture, the first being cultural practices as they now exist (i.e. “as is”), and the second being cultural values defined as what societies desire in the future (i.e. “should be”). Replacing the Hofstede based founders’ cultural diversity score by the one using the GLOBE data (either the cultural practices or the cultural values scores) does not alter the so far reported results (the p-value equals 0.022 and 0.028, respectively). </w:t>
      </w:r>
    </w:p>
    <w:p w14:paraId="3C7EBC5D" w14:textId="77777777" w:rsidR="00152AEF" w:rsidRPr="002F5F79" w:rsidRDefault="00152AEF" w:rsidP="00152AEF">
      <w:pPr>
        <w:spacing w:line="360" w:lineRule="auto"/>
        <w:jc w:val="both"/>
        <w:rPr>
          <w:rFonts w:eastAsiaTheme="minorEastAsia"/>
          <w:b/>
          <w:bCs/>
          <w:i/>
        </w:rPr>
      </w:pPr>
    </w:p>
    <w:p w14:paraId="650D0849" w14:textId="77777777" w:rsidR="00152AEF" w:rsidRPr="00F32020" w:rsidRDefault="00152AEF" w:rsidP="00152AEF">
      <w:pPr>
        <w:spacing w:line="360" w:lineRule="auto"/>
        <w:jc w:val="both"/>
        <w:rPr>
          <w:rFonts w:eastAsiaTheme="minorEastAsia"/>
          <w:i/>
        </w:rPr>
      </w:pPr>
      <w:r w:rsidRPr="00F32020">
        <w:rPr>
          <w:rFonts w:eastAsiaTheme="minorEastAsia"/>
          <w:b/>
          <w:bCs/>
          <w:i/>
        </w:rPr>
        <w:t>Other robustness tests</w:t>
      </w:r>
      <w:r w:rsidRPr="00F32020">
        <w:rPr>
          <w:rFonts w:eastAsiaTheme="minorEastAsia"/>
          <w:i/>
        </w:rPr>
        <w:t xml:space="preserve"> </w:t>
      </w:r>
    </w:p>
    <w:p w14:paraId="4003C3D1" w14:textId="77777777" w:rsidR="00152AEF" w:rsidRPr="00F32020" w:rsidRDefault="00152AEF" w:rsidP="00152AEF">
      <w:pPr>
        <w:spacing w:line="360" w:lineRule="auto"/>
        <w:jc w:val="both"/>
        <w:rPr>
          <w:rFonts w:eastAsiaTheme="minorEastAsia"/>
          <w:iCs/>
        </w:rPr>
      </w:pPr>
      <w:r w:rsidRPr="00F32020">
        <w:rPr>
          <w:rFonts w:eastAsiaTheme="minorEastAsia"/>
          <w:iCs/>
        </w:rPr>
        <w:t xml:space="preserve">In our baseline specification, there exist about a quarter (~24%) of ventures having a single founder. By construction, this would render the diversity index equal to 0 and positively skew the distribution of the variable in question. So far, we accounted for this with the use of dummy variables for the number of founders as explained in Section 3.3. of the manuscript. As a further test we drop from the analysis all the ventures that have a single founder. We present the estimations in column 2 of Table A3. Our main findings hold.  </w:t>
      </w:r>
    </w:p>
    <w:p w14:paraId="6B7C06F5" w14:textId="77777777" w:rsidR="00152AEF" w:rsidRPr="00F32020" w:rsidRDefault="00152AEF" w:rsidP="00152AEF">
      <w:pPr>
        <w:spacing w:line="360" w:lineRule="auto"/>
        <w:jc w:val="both"/>
      </w:pPr>
      <w:r w:rsidRPr="00F32020">
        <w:rPr>
          <w:rFonts w:eastAsiaTheme="minorEastAsia"/>
          <w:iCs/>
        </w:rPr>
        <w:tab/>
        <w:t xml:space="preserve">As mentioned earlier, the </w:t>
      </w:r>
      <w:r w:rsidRPr="00F32020">
        <w:t xml:space="preserve">EDP application survey asks applicants to identify the top three members of their founding teams and provide their demographic information. However, a follow up question by the EDP asks if there are additional founders, and some applicants respond positively to this question. Given the lack of information for the additional founders, in the analysis presented so far, we focused on the cultural diversity of the top three founders ignoring the additional team members. To address potential concerns, to the extent that it is possible, we re-estimated all the specifications presented in Table 2, whilst dropping from the analysis those ventures reporting that they had at least one more founder (i.e. 4 and above). Using this reduced sample of 6,418 observations, does not alter our main findings. We continue to find that cultural diversity has a positive and statistically significant association with the likelihood to be selected by accelerators. </w:t>
      </w:r>
    </w:p>
    <w:p w14:paraId="1023E3A3" w14:textId="77777777" w:rsidR="00152AEF" w:rsidRPr="00F32020" w:rsidRDefault="00152AEF" w:rsidP="00152AEF">
      <w:pPr>
        <w:spacing w:line="360" w:lineRule="auto"/>
        <w:ind w:firstLine="720"/>
        <w:jc w:val="both"/>
        <w:rPr>
          <w:rFonts w:eastAsiaTheme="minorEastAsia"/>
          <w:iCs/>
          <w:highlight w:val="yellow"/>
        </w:rPr>
      </w:pPr>
      <w:r w:rsidRPr="00F32020">
        <w:rPr>
          <w:rFonts w:eastAsiaTheme="minorEastAsia"/>
          <w:iCs/>
        </w:rPr>
        <w:t xml:space="preserve">Our sample consists of ventures operating in 106 countries around the globe. About 76% of those ventures operate in developing countries, whilst the remaining quarter operates in developed ones. Conditioning the sample to ventures operating in developed or developing countries only yields a similar set of results, reported in Columns 3 and 4 of Table A3. Interestingly, the odds ratio of the diversity index of </w:t>
      </w:r>
      <w:r w:rsidRPr="00F32020">
        <w:rPr>
          <w:rFonts w:eastAsiaTheme="minorEastAsia"/>
          <w:iCs/>
        </w:rPr>
        <w:lastRenderedPageBreak/>
        <w:t>ventures in developing countries is slightly higher compared to that in developed countries (1.123 vs 1.119 respectively). Roberts and Lall (2019) point out that the shortcomings of the local ecosystems are amplified in the emerging markets. This means that there would be a higher need for culturally diverse teams that will successfully respond to the challenges, explaining the slightly higher odds ratio. Additionally, Roberts and Lall (2019) highlight that the</w:t>
      </w:r>
      <w:r w:rsidRPr="00F32020">
        <w:rPr>
          <w:rFonts w:eastAsiaTheme="minorHAnsi"/>
          <w:lang w:eastAsia="en-US"/>
        </w:rPr>
        <w:t xml:space="preserve"> blueprints used to design the programmes in emerging countries often</w:t>
      </w:r>
      <w:r w:rsidRPr="00F32020">
        <w:rPr>
          <w:rFonts w:eastAsiaTheme="minorEastAsia"/>
          <w:iCs/>
        </w:rPr>
        <w:t xml:space="preserve"> </w:t>
      </w:r>
      <w:r w:rsidRPr="00F32020">
        <w:rPr>
          <w:rFonts w:eastAsiaTheme="minorHAnsi"/>
          <w:lang w:eastAsia="en-US"/>
        </w:rPr>
        <w:t>adopt elements from the more-famous programmes in the U.S. and</w:t>
      </w:r>
      <w:r w:rsidRPr="00F32020">
        <w:rPr>
          <w:rFonts w:eastAsiaTheme="minorEastAsia"/>
          <w:iCs/>
        </w:rPr>
        <w:t xml:space="preserve"> </w:t>
      </w:r>
      <w:r w:rsidRPr="00F32020">
        <w:rPr>
          <w:rFonts w:eastAsiaTheme="minorHAnsi"/>
          <w:lang w:eastAsia="en-US"/>
        </w:rPr>
        <w:t xml:space="preserve">Europe. Therefore, it </w:t>
      </w:r>
      <w:r w:rsidRPr="00F32020">
        <w:rPr>
          <w:rFonts w:cs="Adobe Garamond Pro"/>
        </w:rPr>
        <w:t>is possible</w:t>
      </w:r>
      <w:r w:rsidRPr="00F32020">
        <w:rPr>
          <w:rFonts w:eastAsiaTheme="minorHAnsi"/>
          <w:lang w:eastAsia="en-US"/>
        </w:rPr>
        <w:t xml:space="preserve"> that </w:t>
      </w:r>
      <w:r w:rsidRPr="00F32020">
        <w:t xml:space="preserve">accelerators that support ventures from developing countries prefer teams with a founder from the U.S., Europe and other Western countries. </w:t>
      </w:r>
      <w:r w:rsidRPr="00F32020">
        <w:rPr>
          <w:rFonts w:eastAsiaTheme="minorHAnsi"/>
          <w:lang w:eastAsia="en-US"/>
        </w:rPr>
        <w:t>This is because</w:t>
      </w:r>
      <w:r w:rsidRPr="00F32020">
        <w:rPr>
          <w:rFonts w:cs="Adobe Garamond Pro"/>
        </w:rPr>
        <w:t xml:space="preserve"> entrepreneurs from such developed countries are more likely to be familiar with cultural norms and unspoken rules (Lall et al., 2019), that</w:t>
      </w:r>
      <w:r w:rsidRPr="00F32020">
        <w:rPr>
          <w:rFonts w:eastAsiaTheme="minorHAnsi"/>
          <w:lang w:eastAsia="en-US"/>
        </w:rPr>
        <w:t xml:space="preserve"> would help in achieving better fit with these Western-like programmes.</w:t>
      </w:r>
      <w:r w:rsidRPr="00F32020">
        <w:t xml:space="preserve"> Earlier evidence also points towards this direction. Using data from </w:t>
      </w:r>
      <w:r w:rsidRPr="00F32020">
        <w:rPr>
          <w:rFonts w:eastAsiaTheme="minorHAnsi"/>
          <w:lang w:eastAsia="en-US"/>
        </w:rPr>
        <w:t>nascent ventures from 92 developing countries</w:t>
      </w:r>
      <w:r w:rsidRPr="00F32020">
        <w:t>, Lall et al. (2019) show that ventures with a founder born in a developed country are more likely to obtain external grant financing. If this is the case, then our results could be driven by the accelerators’ preference for western founders, rather than diverse teams. To control for this, we re-estimate the specification that is restricted to the developing countries with the addition of a dummy variable that indicates if there is a</w:t>
      </w:r>
      <w:r w:rsidRPr="00F32020">
        <w:rPr>
          <w:rFonts w:cs="Adobe Garamond Pro"/>
        </w:rPr>
        <w:t xml:space="preserve"> founder born in a Western country</w:t>
      </w:r>
      <w:r w:rsidRPr="00F32020">
        <w:t>.</w:t>
      </w:r>
      <w:r w:rsidRPr="00F32020">
        <w:rPr>
          <w:rStyle w:val="FootnoteReference"/>
        </w:rPr>
        <w:footnoteReference w:id="9"/>
      </w:r>
      <w:r w:rsidRPr="00F32020">
        <w:t xml:space="preserve"> This variable enters the regression with a positive and statistically significant coefficient (Column 5 of Table A3), providing further support to Lall et al. (2019). However, its inclusion in the regression does not influence our main results. Additionally, in unreported regressions, we examine whether the inclusion of a Western founder could play a moderating role in the relationship between cultural diversity and the admission likelihood. However, the moderation term of cultural diversity with the western founder dummy turns out to be insignificant.     </w:t>
      </w:r>
    </w:p>
    <w:p w14:paraId="4BE096CB" w14:textId="77777777" w:rsidR="00152AEF" w:rsidRPr="00F32020" w:rsidRDefault="00152AEF" w:rsidP="00152AEF">
      <w:pPr>
        <w:spacing w:line="360" w:lineRule="auto"/>
        <w:ind w:firstLine="720"/>
        <w:jc w:val="both"/>
      </w:pPr>
      <w:r w:rsidRPr="00F32020">
        <w:rPr>
          <w:rFonts w:eastAsiaTheme="minorEastAsia"/>
          <w:iCs/>
        </w:rPr>
        <w:t xml:space="preserve">In the estimations presented so far, we assumed that the founders carry with them the culture of the country of birth. However, one could argue that some founders living abroad immigrated when they were very young and hence, they are characterised by the culture of the host country.  Alternatively, one may argue that a founder that has worked abroad for a long time-period </w:t>
      </w:r>
      <w:r w:rsidRPr="00F32020">
        <w:t>has a different cultural perspective than someone who has only lived and worked in the same country.</w:t>
      </w:r>
    </w:p>
    <w:p w14:paraId="0205B487" w14:textId="55AC7197" w:rsidR="00152AEF" w:rsidRPr="00F32020" w:rsidRDefault="00152AEF" w:rsidP="00152AEF">
      <w:pPr>
        <w:spacing w:line="360" w:lineRule="auto"/>
        <w:jc w:val="both"/>
      </w:pPr>
      <w:r w:rsidRPr="00F32020">
        <w:rPr>
          <w:rFonts w:eastAsiaTheme="minorEastAsia"/>
          <w:iCs/>
        </w:rPr>
        <w:t xml:space="preserve"> </w:t>
      </w:r>
      <w:r w:rsidRPr="00F32020">
        <w:rPr>
          <w:rFonts w:eastAsiaTheme="minorEastAsia"/>
          <w:iCs/>
        </w:rPr>
        <w:tab/>
        <w:t xml:space="preserve">Nonetheless, it should be noted here that evidence by Nguyen et al. (2018) shows that the cultural preferences and beliefs of U.S.-born CEOs who are second-generation or third-generation immigrants, bear the cultural mark of the countries from which their parents or grandparents have emigrated, affecting their decision making and the firm policies. </w:t>
      </w:r>
      <w:r w:rsidRPr="00F32020">
        <w:t>These findings are in line with international research that suggests that first and possibly second generation migrants have a strong orientation towards the culture and attitudes in the country of origin</w:t>
      </w:r>
      <w:r w:rsidR="00B07614" w:rsidRPr="00B07614">
        <w:rPr>
          <w:lang w:val="en-US"/>
        </w:rPr>
        <w:t xml:space="preserve"> </w:t>
      </w:r>
      <w:r w:rsidR="00B07614" w:rsidRPr="00F32020">
        <w:t>(Ward, 2007</w:t>
      </w:r>
      <w:r w:rsidR="00B07614">
        <w:t xml:space="preserve">; </w:t>
      </w:r>
      <w:r w:rsidR="00B07614" w:rsidRPr="00F32020">
        <w:t>Giavazzi et al., 2019)</w:t>
      </w:r>
      <w:r w:rsidRPr="00F32020">
        <w:t xml:space="preserve">. Additionally, as discussed earlier, Hofstede et al. (2010) also argue that much of the cultural mental programming was acquired in early childhood, a view that appears to be shared by others. For example, </w:t>
      </w:r>
      <w:r w:rsidRPr="00F32020">
        <w:rPr>
          <w:rFonts w:eastAsiaTheme="minorEastAsia"/>
        </w:rPr>
        <w:t>Williams (2011) also argues that: “</w:t>
      </w:r>
      <w:r w:rsidRPr="00F32020">
        <w:rPr>
          <w:rFonts w:eastAsiaTheme="minorEastAsia"/>
          <w:i/>
          <w:iCs/>
        </w:rPr>
        <w:t xml:space="preserve">In essence, we are by nature the sum </w:t>
      </w:r>
      <w:r w:rsidRPr="00F32020">
        <w:rPr>
          <w:rFonts w:eastAsiaTheme="minorEastAsia"/>
          <w:i/>
          <w:iCs/>
        </w:rPr>
        <w:lastRenderedPageBreak/>
        <w:t>of childhood experiences which invariably are linked to the values and traditions of our families</w:t>
      </w:r>
      <w:r w:rsidRPr="00F32020">
        <w:rPr>
          <w:rFonts w:eastAsiaTheme="minorEastAsia"/>
        </w:rPr>
        <w:t xml:space="preserve">” (p. 451). </w:t>
      </w:r>
      <w:r w:rsidRPr="00F32020">
        <w:t xml:space="preserve">Consequently, as discussed in Frijns et al. (2016), when a person relocates to another country, this person does not immediately adopt the cultural values of the new country of residence, with acculturation being a gradual, complex, and lengthy process. </w:t>
      </w:r>
    </w:p>
    <w:p w14:paraId="2FEB5D29" w14:textId="77777777" w:rsidR="00152AEF" w:rsidRPr="00F32020" w:rsidRDefault="00152AEF" w:rsidP="00152AEF">
      <w:pPr>
        <w:spacing w:line="360" w:lineRule="auto"/>
        <w:ind w:firstLine="720"/>
        <w:jc w:val="both"/>
        <w:rPr>
          <w:rFonts w:eastAsiaTheme="minorEastAsia"/>
          <w:iCs/>
        </w:rPr>
      </w:pPr>
      <w:r w:rsidRPr="00F32020">
        <w:t>Based on the above discussion, as it concerns the first argument, we believe that</w:t>
      </w:r>
      <w:r w:rsidRPr="00F32020">
        <w:rPr>
          <w:rFonts w:eastAsiaTheme="minorEastAsia"/>
          <w:iCs/>
        </w:rPr>
        <w:t xml:space="preserve"> in our context where the can be only cases of founders that are first-generation immigrants (i.e. born in one country and immigrated to another, even at a young age) the expected changes in culture would be minimal (if any).</w:t>
      </w:r>
      <w:r w:rsidRPr="00F32020">
        <w:t xml:space="preserve"> As it concerns the second argument about the accumulation of work experience abroad, with the </w:t>
      </w:r>
      <w:r w:rsidRPr="00F32020">
        <w:rPr>
          <w:rFonts w:eastAsiaTheme="minorHAnsi"/>
          <w:lang w:eastAsia="en-US"/>
        </w:rPr>
        <w:t>average founding team age for the entire EDP sample being roughly 35 years</w:t>
      </w:r>
      <w:r w:rsidRPr="00F32020">
        <w:rPr>
          <w:lang w:eastAsia="en-US"/>
        </w:rPr>
        <w:t xml:space="preserve"> (Roberts and Lall, 2019),</w:t>
      </w:r>
      <w:r w:rsidRPr="00F32020">
        <w:rPr>
          <w:rFonts w:eastAsiaTheme="minorEastAsia"/>
          <w:iCs/>
        </w:rPr>
        <w:t xml:space="preserve"> </w:t>
      </w:r>
      <w:r w:rsidRPr="00F32020">
        <w:t>we believe that it is possibly even more unlikely</w:t>
      </w:r>
      <w:r w:rsidRPr="00F32020">
        <w:rPr>
          <w:sz w:val="20"/>
          <w:szCs w:val="20"/>
        </w:rPr>
        <w:t>.</w:t>
      </w:r>
    </w:p>
    <w:p w14:paraId="7361B7A0" w14:textId="77777777" w:rsidR="00152AEF" w:rsidRPr="00F32020" w:rsidRDefault="00152AEF" w:rsidP="00152AEF">
      <w:pPr>
        <w:spacing w:line="360" w:lineRule="auto"/>
        <w:ind w:firstLine="720"/>
        <w:jc w:val="both"/>
        <w:rPr>
          <w:rFonts w:eastAsiaTheme="minorEastAsia"/>
          <w:iCs/>
        </w:rPr>
      </w:pPr>
      <w:r w:rsidRPr="00F32020">
        <w:rPr>
          <w:rFonts w:eastAsiaTheme="minorEastAsia"/>
          <w:iCs/>
        </w:rPr>
        <w:t>However, to lessen concerns, to the extent that it is possible with the data in hand, we conduct two tests.</w:t>
      </w:r>
      <w:r w:rsidRPr="00F32020">
        <w:rPr>
          <w:rStyle w:val="FootnoteReference"/>
          <w:rFonts w:eastAsiaTheme="minorEastAsia"/>
          <w:iCs/>
        </w:rPr>
        <w:footnoteReference w:id="10"/>
      </w:r>
      <w:r w:rsidRPr="00F32020">
        <w:rPr>
          <w:rFonts w:eastAsiaTheme="minorEastAsia"/>
          <w:iCs/>
        </w:rPr>
        <w:t xml:space="preserve"> First, we exclude from the regressions ventures that have one or more founders that reside in a country different than the one of birth. Second, we restrict the sample to ventures whose founders - at the time of the application - reside in the country of birth and at the same they have not worked abroad in their last two jobs. In both cases, our main results hold. </w:t>
      </w:r>
    </w:p>
    <w:p w14:paraId="26F0A3DB" w14:textId="77777777" w:rsidR="00152AEF" w:rsidRPr="00F32020" w:rsidRDefault="00152AEF" w:rsidP="00152AEF">
      <w:pPr>
        <w:rPr>
          <w:b/>
          <w:bCs/>
          <w:shd w:val="clear" w:color="auto" w:fill="FFFFFF"/>
        </w:rPr>
      </w:pPr>
      <w:r w:rsidRPr="00F32020">
        <w:rPr>
          <w:b/>
          <w:bCs/>
          <w:shd w:val="clear" w:color="auto" w:fill="FFFFFF"/>
        </w:rPr>
        <w:br w:type="page"/>
      </w:r>
    </w:p>
    <w:p w14:paraId="78CAD369" w14:textId="77777777" w:rsidR="00152AEF" w:rsidRPr="00F32020" w:rsidRDefault="00152AEF" w:rsidP="00152AEF">
      <w:pPr>
        <w:ind w:left="720" w:hanging="720"/>
        <w:jc w:val="center"/>
        <w:rPr>
          <w:b/>
          <w:bCs/>
          <w:shd w:val="clear" w:color="auto" w:fill="FFFFFF"/>
        </w:rPr>
      </w:pPr>
      <w:r w:rsidRPr="00F32020">
        <w:rPr>
          <w:b/>
          <w:bCs/>
          <w:shd w:val="clear" w:color="auto" w:fill="FFFFFF"/>
        </w:rPr>
        <w:lastRenderedPageBreak/>
        <w:t>Table Α3. Selected robustness tests</w:t>
      </w:r>
    </w:p>
    <w:tbl>
      <w:tblPr>
        <w:tblW w:w="9803" w:type="dxa"/>
        <w:jc w:val="center"/>
        <w:tblLook w:val="04A0" w:firstRow="1" w:lastRow="0" w:firstColumn="1" w:lastColumn="0" w:noHBand="0" w:noVBand="1"/>
      </w:tblPr>
      <w:tblGrid>
        <w:gridCol w:w="2660"/>
        <w:gridCol w:w="3218"/>
        <w:gridCol w:w="910"/>
        <w:gridCol w:w="963"/>
        <w:gridCol w:w="2052"/>
      </w:tblGrid>
      <w:tr w:rsidR="00477CD4" w:rsidRPr="00F32020" w14:paraId="55B8E33A" w14:textId="77777777" w:rsidTr="00F43152">
        <w:trPr>
          <w:trHeight w:val="260"/>
          <w:jc w:val="center"/>
        </w:trPr>
        <w:tc>
          <w:tcPr>
            <w:tcW w:w="2660" w:type="dxa"/>
            <w:tcBorders>
              <w:top w:val="single" w:sz="4" w:space="0" w:color="auto"/>
            </w:tcBorders>
            <w:shd w:val="clear" w:color="000000" w:fill="FFFFFF"/>
            <w:noWrap/>
            <w:vAlign w:val="bottom"/>
            <w:hideMark/>
          </w:tcPr>
          <w:p w14:paraId="181D4E98" w14:textId="77777777" w:rsidR="00600B08" w:rsidRPr="00F32020" w:rsidRDefault="00600B08" w:rsidP="00D314EE">
            <w:pPr>
              <w:rPr>
                <w:sz w:val="16"/>
                <w:szCs w:val="16"/>
              </w:rPr>
            </w:pPr>
            <w:r w:rsidRPr="00F32020">
              <w:rPr>
                <w:sz w:val="16"/>
                <w:szCs w:val="16"/>
              </w:rPr>
              <w:t> </w:t>
            </w:r>
          </w:p>
        </w:tc>
        <w:tc>
          <w:tcPr>
            <w:tcW w:w="3218" w:type="dxa"/>
            <w:tcBorders>
              <w:top w:val="single" w:sz="4" w:space="0" w:color="auto"/>
            </w:tcBorders>
            <w:shd w:val="clear" w:color="000000" w:fill="FFFFFF"/>
            <w:noWrap/>
            <w:vAlign w:val="bottom"/>
            <w:hideMark/>
          </w:tcPr>
          <w:p w14:paraId="017C6EC9" w14:textId="4F0B5CA2" w:rsidR="00600B08" w:rsidRPr="00F32020" w:rsidRDefault="00600B08" w:rsidP="00D314EE">
            <w:pPr>
              <w:jc w:val="center"/>
              <w:rPr>
                <w:sz w:val="16"/>
                <w:szCs w:val="16"/>
              </w:rPr>
            </w:pPr>
            <w:r w:rsidRPr="00F32020">
              <w:rPr>
                <w:sz w:val="16"/>
                <w:szCs w:val="16"/>
              </w:rPr>
              <w:t>(1)</w:t>
            </w:r>
          </w:p>
        </w:tc>
        <w:tc>
          <w:tcPr>
            <w:tcW w:w="0" w:type="auto"/>
            <w:tcBorders>
              <w:top w:val="single" w:sz="4" w:space="0" w:color="auto"/>
            </w:tcBorders>
            <w:shd w:val="clear" w:color="000000" w:fill="FFFFFF"/>
            <w:noWrap/>
            <w:vAlign w:val="bottom"/>
            <w:hideMark/>
          </w:tcPr>
          <w:p w14:paraId="1DB2BFF5" w14:textId="01ED9A8E" w:rsidR="00600B08" w:rsidRPr="00F32020" w:rsidRDefault="00600B08" w:rsidP="00D314EE">
            <w:pPr>
              <w:jc w:val="center"/>
              <w:rPr>
                <w:sz w:val="16"/>
                <w:szCs w:val="16"/>
              </w:rPr>
            </w:pPr>
            <w:r w:rsidRPr="00F32020">
              <w:rPr>
                <w:sz w:val="16"/>
                <w:szCs w:val="16"/>
              </w:rPr>
              <w:t>(2)</w:t>
            </w:r>
          </w:p>
        </w:tc>
        <w:tc>
          <w:tcPr>
            <w:tcW w:w="0" w:type="auto"/>
            <w:tcBorders>
              <w:top w:val="single" w:sz="4" w:space="0" w:color="auto"/>
            </w:tcBorders>
            <w:shd w:val="clear" w:color="000000" w:fill="FFFFFF"/>
            <w:noWrap/>
            <w:vAlign w:val="bottom"/>
            <w:hideMark/>
          </w:tcPr>
          <w:p w14:paraId="6D7AD08D" w14:textId="134EFC0D" w:rsidR="00600B08" w:rsidRPr="00F32020" w:rsidRDefault="00600B08" w:rsidP="00D314EE">
            <w:pPr>
              <w:jc w:val="center"/>
              <w:rPr>
                <w:sz w:val="16"/>
                <w:szCs w:val="16"/>
              </w:rPr>
            </w:pPr>
            <w:r w:rsidRPr="00F32020">
              <w:rPr>
                <w:sz w:val="16"/>
                <w:szCs w:val="16"/>
              </w:rPr>
              <w:t>(3)</w:t>
            </w:r>
          </w:p>
        </w:tc>
        <w:tc>
          <w:tcPr>
            <w:tcW w:w="2052" w:type="dxa"/>
            <w:tcBorders>
              <w:top w:val="single" w:sz="4" w:space="0" w:color="auto"/>
            </w:tcBorders>
            <w:shd w:val="clear" w:color="000000" w:fill="FFFFFF"/>
            <w:noWrap/>
            <w:vAlign w:val="bottom"/>
            <w:hideMark/>
          </w:tcPr>
          <w:p w14:paraId="1B9F9F8F" w14:textId="5828369F" w:rsidR="00600B08" w:rsidRPr="00F32020" w:rsidRDefault="00600B08" w:rsidP="00D314EE">
            <w:pPr>
              <w:jc w:val="center"/>
              <w:rPr>
                <w:sz w:val="16"/>
                <w:szCs w:val="16"/>
              </w:rPr>
            </w:pPr>
            <w:r w:rsidRPr="00F32020">
              <w:rPr>
                <w:sz w:val="16"/>
                <w:szCs w:val="16"/>
              </w:rPr>
              <w:t>(4)</w:t>
            </w:r>
          </w:p>
        </w:tc>
      </w:tr>
      <w:tr w:rsidR="00477CD4" w:rsidRPr="00F32020" w14:paraId="6B1DBE93" w14:textId="77777777" w:rsidTr="00F43152">
        <w:trPr>
          <w:trHeight w:val="316"/>
          <w:jc w:val="center"/>
        </w:trPr>
        <w:tc>
          <w:tcPr>
            <w:tcW w:w="2660" w:type="dxa"/>
            <w:tcBorders>
              <w:bottom w:val="single" w:sz="4" w:space="0" w:color="auto"/>
            </w:tcBorders>
            <w:shd w:val="clear" w:color="000000" w:fill="FFFFFF"/>
            <w:noWrap/>
            <w:vAlign w:val="center"/>
            <w:hideMark/>
          </w:tcPr>
          <w:p w14:paraId="30F1FD57" w14:textId="77777777" w:rsidR="00600B08" w:rsidRPr="00F32020" w:rsidRDefault="00600B08" w:rsidP="00D314EE">
            <w:pPr>
              <w:jc w:val="center"/>
              <w:rPr>
                <w:sz w:val="16"/>
                <w:szCs w:val="16"/>
              </w:rPr>
            </w:pPr>
            <w:r w:rsidRPr="00F32020">
              <w:rPr>
                <w:sz w:val="16"/>
                <w:szCs w:val="16"/>
              </w:rPr>
              <w:t>VARIABLES</w:t>
            </w:r>
          </w:p>
        </w:tc>
        <w:tc>
          <w:tcPr>
            <w:tcW w:w="0" w:type="auto"/>
            <w:tcBorders>
              <w:bottom w:val="single" w:sz="4" w:space="0" w:color="auto"/>
            </w:tcBorders>
            <w:shd w:val="clear" w:color="000000" w:fill="FFFFFF"/>
            <w:noWrap/>
            <w:vAlign w:val="center"/>
            <w:hideMark/>
          </w:tcPr>
          <w:p w14:paraId="2250D67D" w14:textId="77777777" w:rsidR="00600B08" w:rsidRPr="00F32020" w:rsidRDefault="00600B08" w:rsidP="00D314EE">
            <w:pPr>
              <w:jc w:val="center"/>
              <w:rPr>
                <w:sz w:val="16"/>
                <w:szCs w:val="16"/>
              </w:rPr>
            </w:pPr>
            <w:r w:rsidRPr="00F32020">
              <w:rPr>
                <w:sz w:val="16"/>
                <w:szCs w:val="16"/>
              </w:rPr>
              <w:t>Excl. Single Founders</w:t>
            </w:r>
          </w:p>
        </w:tc>
        <w:tc>
          <w:tcPr>
            <w:tcW w:w="0" w:type="auto"/>
            <w:tcBorders>
              <w:bottom w:val="single" w:sz="4" w:space="0" w:color="auto"/>
            </w:tcBorders>
            <w:shd w:val="clear" w:color="000000" w:fill="FFFFFF"/>
            <w:noWrap/>
            <w:vAlign w:val="center"/>
            <w:hideMark/>
          </w:tcPr>
          <w:p w14:paraId="124130C9" w14:textId="77777777" w:rsidR="00600B08" w:rsidRPr="00F32020" w:rsidRDefault="00600B08" w:rsidP="00D314EE">
            <w:pPr>
              <w:jc w:val="center"/>
              <w:rPr>
                <w:sz w:val="16"/>
                <w:szCs w:val="16"/>
              </w:rPr>
            </w:pPr>
            <w:r w:rsidRPr="00F32020">
              <w:rPr>
                <w:sz w:val="16"/>
                <w:szCs w:val="16"/>
              </w:rPr>
              <w:t>Developed</w:t>
            </w:r>
          </w:p>
        </w:tc>
        <w:tc>
          <w:tcPr>
            <w:tcW w:w="0" w:type="auto"/>
            <w:tcBorders>
              <w:bottom w:val="single" w:sz="4" w:space="0" w:color="auto"/>
            </w:tcBorders>
            <w:shd w:val="clear" w:color="000000" w:fill="FFFFFF"/>
            <w:noWrap/>
            <w:vAlign w:val="center"/>
            <w:hideMark/>
          </w:tcPr>
          <w:p w14:paraId="69F94B69" w14:textId="77777777" w:rsidR="00600B08" w:rsidRPr="00F32020" w:rsidRDefault="00600B08" w:rsidP="00D314EE">
            <w:pPr>
              <w:jc w:val="center"/>
              <w:rPr>
                <w:sz w:val="16"/>
                <w:szCs w:val="16"/>
              </w:rPr>
            </w:pPr>
            <w:r w:rsidRPr="00F32020">
              <w:rPr>
                <w:sz w:val="16"/>
                <w:szCs w:val="16"/>
              </w:rPr>
              <w:t>Developing</w:t>
            </w:r>
          </w:p>
        </w:tc>
        <w:tc>
          <w:tcPr>
            <w:tcW w:w="2052" w:type="dxa"/>
            <w:tcBorders>
              <w:bottom w:val="single" w:sz="4" w:space="0" w:color="auto"/>
            </w:tcBorders>
            <w:shd w:val="clear" w:color="000000" w:fill="FFFFFF"/>
            <w:vAlign w:val="center"/>
            <w:hideMark/>
          </w:tcPr>
          <w:p w14:paraId="1BCEE46C" w14:textId="77777777" w:rsidR="00600B08" w:rsidRPr="00F32020" w:rsidRDefault="00600B08" w:rsidP="00D314EE">
            <w:pPr>
              <w:jc w:val="center"/>
              <w:rPr>
                <w:sz w:val="16"/>
                <w:szCs w:val="16"/>
              </w:rPr>
            </w:pPr>
            <w:r w:rsidRPr="00F32020">
              <w:rPr>
                <w:sz w:val="16"/>
                <w:szCs w:val="16"/>
              </w:rPr>
              <w:t xml:space="preserve">Developing &amp; </w:t>
            </w:r>
            <w:r w:rsidRPr="00F32020">
              <w:rPr>
                <w:sz w:val="16"/>
                <w:szCs w:val="16"/>
              </w:rPr>
              <w:br/>
              <w:t>Western founder in the team</w:t>
            </w:r>
          </w:p>
        </w:tc>
      </w:tr>
      <w:tr w:rsidR="00477CD4" w:rsidRPr="00F32020" w14:paraId="6B896B7B" w14:textId="77777777" w:rsidTr="00F43152">
        <w:trPr>
          <w:trHeight w:val="260"/>
          <w:jc w:val="center"/>
        </w:trPr>
        <w:tc>
          <w:tcPr>
            <w:tcW w:w="2660" w:type="dxa"/>
            <w:shd w:val="clear" w:color="000000" w:fill="FFFFFF"/>
            <w:noWrap/>
            <w:vAlign w:val="bottom"/>
            <w:hideMark/>
          </w:tcPr>
          <w:p w14:paraId="6F250835" w14:textId="77777777" w:rsidR="00600B08" w:rsidRPr="00F32020" w:rsidRDefault="00600B08" w:rsidP="00D314EE">
            <w:pPr>
              <w:rPr>
                <w:sz w:val="16"/>
                <w:szCs w:val="16"/>
              </w:rPr>
            </w:pPr>
            <w:r w:rsidRPr="00F32020">
              <w:rPr>
                <w:sz w:val="16"/>
                <w:szCs w:val="16"/>
              </w:rPr>
              <w:t>Cultural Diversity</w:t>
            </w:r>
          </w:p>
        </w:tc>
        <w:tc>
          <w:tcPr>
            <w:tcW w:w="0" w:type="auto"/>
            <w:shd w:val="clear" w:color="000000" w:fill="FFFFFF"/>
            <w:noWrap/>
            <w:vAlign w:val="bottom"/>
            <w:hideMark/>
          </w:tcPr>
          <w:p w14:paraId="1ED1C265" w14:textId="77777777" w:rsidR="00600B08" w:rsidRPr="00F32020" w:rsidRDefault="00600B08" w:rsidP="00D314EE">
            <w:pPr>
              <w:jc w:val="center"/>
              <w:rPr>
                <w:sz w:val="16"/>
                <w:szCs w:val="16"/>
              </w:rPr>
            </w:pPr>
            <w:r w:rsidRPr="00F32020">
              <w:rPr>
                <w:sz w:val="16"/>
                <w:szCs w:val="16"/>
              </w:rPr>
              <w:t>1.105***</w:t>
            </w:r>
          </w:p>
        </w:tc>
        <w:tc>
          <w:tcPr>
            <w:tcW w:w="0" w:type="auto"/>
            <w:shd w:val="clear" w:color="000000" w:fill="FFFFFF"/>
            <w:noWrap/>
            <w:vAlign w:val="bottom"/>
            <w:hideMark/>
          </w:tcPr>
          <w:p w14:paraId="701B52DD" w14:textId="77777777" w:rsidR="00600B08" w:rsidRPr="00F32020" w:rsidRDefault="00600B08" w:rsidP="00D314EE">
            <w:pPr>
              <w:jc w:val="center"/>
              <w:rPr>
                <w:sz w:val="16"/>
                <w:szCs w:val="16"/>
              </w:rPr>
            </w:pPr>
            <w:r w:rsidRPr="00F32020">
              <w:rPr>
                <w:sz w:val="16"/>
                <w:szCs w:val="16"/>
              </w:rPr>
              <w:t>1.119***</w:t>
            </w:r>
          </w:p>
        </w:tc>
        <w:tc>
          <w:tcPr>
            <w:tcW w:w="0" w:type="auto"/>
            <w:shd w:val="clear" w:color="000000" w:fill="FFFFFF"/>
            <w:noWrap/>
            <w:vAlign w:val="bottom"/>
            <w:hideMark/>
          </w:tcPr>
          <w:p w14:paraId="6346CEA3" w14:textId="77777777" w:rsidR="00600B08" w:rsidRPr="00F32020" w:rsidRDefault="00600B08" w:rsidP="00D314EE">
            <w:pPr>
              <w:jc w:val="center"/>
              <w:rPr>
                <w:sz w:val="16"/>
                <w:szCs w:val="16"/>
              </w:rPr>
            </w:pPr>
            <w:r w:rsidRPr="00F32020">
              <w:rPr>
                <w:sz w:val="16"/>
                <w:szCs w:val="16"/>
              </w:rPr>
              <w:t>1.123**</w:t>
            </w:r>
          </w:p>
        </w:tc>
        <w:tc>
          <w:tcPr>
            <w:tcW w:w="2052" w:type="dxa"/>
            <w:shd w:val="clear" w:color="000000" w:fill="FFFFFF"/>
            <w:noWrap/>
            <w:vAlign w:val="bottom"/>
            <w:hideMark/>
          </w:tcPr>
          <w:p w14:paraId="2E7221DA" w14:textId="77777777" w:rsidR="00600B08" w:rsidRPr="00F32020" w:rsidRDefault="00600B08" w:rsidP="00D314EE">
            <w:pPr>
              <w:jc w:val="center"/>
              <w:rPr>
                <w:sz w:val="16"/>
                <w:szCs w:val="16"/>
              </w:rPr>
            </w:pPr>
            <w:r w:rsidRPr="00F32020">
              <w:rPr>
                <w:sz w:val="16"/>
                <w:szCs w:val="16"/>
              </w:rPr>
              <w:t>1.117***</w:t>
            </w:r>
          </w:p>
        </w:tc>
      </w:tr>
      <w:tr w:rsidR="00477CD4" w:rsidRPr="00F32020" w14:paraId="17D65004" w14:textId="77777777" w:rsidTr="00F43152">
        <w:trPr>
          <w:trHeight w:val="260"/>
          <w:jc w:val="center"/>
        </w:trPr>
        <w:tc>
          <w:tcPr>
            <w:tcW w:w="2660" w:type="dxa"/>
            <w:shd w:val="clear" w:color="000000" w:fill="FFFFFF"/>
            <w:noWrap/>
            <w:vAlign w:val="bottom"/>
            <w:hideMark/>
          </w:tcPr>
          <w:p w14:paraId="11ED2BDF"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1627609E" w14:textId="77777777" w:rsidR="00600B08" w:rsidRPr="00F32020" w:rsidRDefault="00600B08" w:rsidP="00D314EE">
            <w:pPr>
              <w:jc w:val="center"/>
              <w:rPr>
                <w:sz w:val="16"/>
                <w:szCs w:val="16"/>
              </w:rPr>
            </w:pPr>
            <w:r w:rsidRPr="00F32020">
              <w:rPr>
                <w:sz w:val="16"/>
                <w:szCs w:val="16"/>
              </w:rPr>
              <w:t>(0.0396)</w:t>
            </w:r>
          </w:p>
        </w:tc>
        <w:tc>
          <w:tcPr>
            <w:tcW w:w="0" w:type="auto"/>
            <w:shd w:val="clear" w:color="000000" w:fill="FFFFFF"/>
            <w:noWrap/>
            <w:vAlign w:val="bottom"/>
            <w:hideMark/>
          </w:tcPr>
          <w:p w14:paraId="7FB246DD" w14:textId="77777777" w:rsidR="00600B08" w:rsidRPr="00F32020" w:rsidRDefault="00600B08" w:rsidP="00D314EE">
            <w:pPr>
              <w:jc w:val="center"/>
              <w:rPr>
                <w:sz w:val="16"/>
                <w:szCs w:val="16"/>
              </w:rPr>
            </w:pPr>
            <w:r w:rsidRPr="00F32020">
              <w:rPr>
                <w:sz w:val="16"/>
                <w:szCs w:val="16"/>
              </w:rPr>
              <w:t>(0.0407)</w:t>
            </w:r>
          </w:p>
        </w:tc>
        <w:tc>
          <w:tcPr>
            <w:tcW w:w="0" w:type="auto"/>
            <w:shd w:val="clear" w:color="000000" w:fill="FFFFFF"/>
            <w:noWrap/>
            <w:vAlign w:val="bottom"/>
            <w:hideMark/>
          </w:tcPr>
          <w:p w14:paraId="755598B3" w14:textId="77777777" w:rsidR="00600B08" w:rsidRPr="00F32020" w:rsidRDefault="00600B08" w:rsidP="00D314EE">
            <w:pPr>
              <w:jc w:val="center"/>
              <w:rPr>
                <w:sz w:val="16"/>
                <w:szCs w:val="16"/>
              </w:rPr>
            </w:pPr>
            <w:r w:rsidRPr="00F32020">
              <w:rPr>
                <w:sz w:val="16"/>
                <w:szCs w:val="16"/>
              </w:rPr>
              <w:t>(0.0534)</w:t>
            </w:r>
          </w:p>
        </w:tc>
        <w:tc>
          <w:tcPr>
            <w:tcW w:w="2052" w:type="dxa"/>
            <w:shd w:val="clear" w:color="000000" w:fill="FFFFFF"/>
            <w:noWrap/>
            <w:vAlign w:val="bottom"/>
            <w:hideMark/>
          </w:tcPr>
          <w:p w14:paraId="6FCFF426" w14:textId="77777777" w:rsidR="00600B08" w:rsidRPr="00F32020" w:rsidRDefault="00600B08" w:rsidP="00D314EE">
            <w:pPr>
              <w:jc w:val="center"/>
              <w:rPr>
                <w:sz w:val="16"/>
                <w:szCs w:val="16"/>
              </w:rPr>
            </w:pPr>
            <w:r w:rsidRPr="00F32020">
              <w:rPr>
                <w:sz w:val="16"/>
                <w:szCs w:val="16"/>
              </w:rPr>
              <w:t>(0.0486)</w:t>
            </w:r>
          </w:p>
        </w:tc>
      </w:tr>
      <w:tr w:rsidR="00477CD4" w:rsidRPr="00F32020" w14:paraId="20365E6F" w14:textId="77777777" w:rsidTr="00F43152">
        <w:trPr>
          <w:trHeight w:val="260"/>
          <w:jc w:val="center"/>
        </w:trPr>
        <w:tc>
          <w:tcPr>
            <w:tcW w:w="2660" w:type="dxa"/>
            <w:shd w:val="clear" w:color="000000" w:fill="FFFFFF"/>
            <w:noWrap/>
            <w:vAlign w:val="bottom"/>
          </w:tcPr>
          <w:p w14:paraId="20436F48" w14:textId="77777777" w:rsidR="00600B08" w:rsidRPr="00F32020" w:rsidRDefault="00600B08" w:rsidP="00D314EE">
            <w:pPr>
              <w:rPr>
                <w:sz w:val="16"/>
                <w:szCs w:val="16"/>
              </w:rPr>
            </w:pPr>
            <w:r w:rsidRPr="00F32020">
              <w:rPr>
                <w:sz w:val="16"/>
                <w:szCs w:val="16"/>
              </w:rPr>
              <w:t>Western founder among team</w:t>
            </w:r>
          </w:p>
        </w:tc>
        <w:tc>
          <w:tcPr>
            <w:tcW w:w="0" w:type="auto"/>
            <w:shd w:val="clear" w:color="000000" w:fill="FFFFFF"/>
            <w:noWrap/>
            <w:vAlign w:val="bottom"/>
          </w:tcPr>
          <w:p w14:paraId="5EE9DF78" w14:textId="77777777" w:rsidR="00600B08" w:rsidRPr="00F32020" w:rsidRDefault="00600B08" w:rsidP="00D314EE">
            <w:pPr>
              <w:jc w:val="center"/>
              <w:rPr>
                <w:sz w:val="16"/>
                <w:szCs w:val="16"/>
              </w:rPr>
            </w:pPr>
          </w:p>
        </w:tc>
        <w:tc>
          <w:tcPr>
            <w:tcW w:w="0" w:type="auto"/>
            <w:shd w:val="clear" w:color="000000" w:fill="FFFFFF"/>
            <w:noWrap/>
            <w:vAlign w:val="bottom"/>
          </w:tcPr>
          <w:p w14:paraId="4D2EEA6A" w14:textId="77777777" w:rsidR="00600B08" w:rsidRPr="00F32020" w:rsidRDefault="00600B08" w:rsidP="00D314EE">
            <w:pPr>
              <w:jc w:val="center"/>
              <w:rPr>
                <w:sz w:val="16"/>
                <w:szCs w:val="16"/>
              </w:rPr>
            </w:pPr>
          </w:p>
        </w:tc>
        <w:tc>
          <w:tcPr>
            <w:tcW w:w="0" w:type="auto"/>
            <w:shd w:val="clear" w:color="000000" w:fill="FFFFFF"/>
            <w:noWrap/>
            <w:vAlign w:val="bottom"/>
          </w:tcPr>
          <w:p w14:paraId="1BE3CCF6" w14:textId="77777777" w:rsidR="00600B08" w:rsidRPr="00F32020" w:rsidRDefault="00600B08" w:rsidP="00D314EE">
            <w:pPr>
              <w:jc w:val="center"/>
              <w:rPr>
                <w:sz w:val="16"/>
                <w:szCs w:val="16"/>
              </w:rPr>
            </w:pPr>
          </w:p>
        </w:tc>
        <w:tc>
          <w:tcPr>
            <w:tcW w:w="2052" w:type="dxa"/>
            <w:shd w:val="clear" w:color="000000" w:fill="FFFFFF"/>
            <w:noWrap/>
            <w:vAlign w:val="bottom"/>
          </w:tcPr>
          <w:p w14:paraId="0D3AB4CA" w14:textId="77777777" w:rsidR="00600B08" w:rsidRPr="00F32020" w:rsidRDefault="00600B08" w:rsidP="00D314EE">
            <w:pPr>
              <w:jc w:val="center"/>
              <w:rPr>
                <w:sz w:val="16"/>
                <w:szCs w:val="16"/>
              </w:rPr>
            </w:pPr>
            <w:r w:rsidRPr="00F32020">
              <w:rPr>
                <w:sz w:val="16"/>
                <w:szCs w:val="16"/>
              </w:rPr>
              <w:t>3.046***</w:t>
            </w:r>
          </w:p>
        </w:tc>
      </w:tr>
      <w:tr w:rsidR="00477CD4" w:rsidRPr="00F32020" w14:paraId="1756EA56" w14:textId="77777777" w:rsidTr="00F43152">
        <w:trPr>
          <w:trHeight w:val="260"/>
          <w:jc w:val="center"/>
        </w:trPr>
        <w:tc>
          <w:tcPr>
            <w:tcW w:w="2660" w:type="dxa"/>
            <w:shd w:val="clear" w:color="000000" w:fill="FFFFFF"/>
            <w:noWrap/>
            <w:vAlign w:val="bottom"/>
            <w:hideMark/>
          </w:tcPr>
          <w:p w14:paraId="60D192E0"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0E5F8029" w14:textId="77777777" w:rsidR="00600B08" w:rsidRPr="00F32020" w:rsidRDefault="00600B08" w:rsidP="00D314EE">
            <w:pPr>
              <w:jc w:val="center"/>
              <w:rPr>
                <w:sz w:val="16"/>
                <w:szCs w:val="16"/>
              </w:rPr>
            </w:pPr>
            <w:r w:rsidRPr="00F32020">
              <w:rPr>
                <w:sz w:val="16"/>
                <w:szCs w:val="16"/>
              </w:rPr>
              <w:t> </w:t>
            </w:r>
          </w:p>
        </w:tc>
        <w:tc>
          <w:tcPr>
            <w:tcW w:w="0" w:type="auto"/>
            <w:shd w:val="clear" w:color="000000" w:fill="FFFFFF"/>
            <w:noWrap/>
            <w:vAlign w:val="bottom"/>
            <w:hideMark/>
          </w:tcPr>
          <w:p w14:paraId="00C44D0F" w14:textId="77777777" w:rsidR="00600B08" w:rsidRPr="00F32020" w:rsidRDefault="00600B08" w:rsidP="00D314EE">
            <w:pPr>
              <w:jc w:val="center"/>
              <w:rPr>
                <w:sz w:val="16"/>
                <w:szCs w:val="16"/>
              </w:rPr>
            </w:pPr>
            <w:r w:rsidRPr="00F32020">
              <w:rPr>
                <w:sz w:val="16"/>
                <w:szCs w:val="16"/>
              </w:rPr>
              <w:t> </w:t>
            </w:r>
          </w:p>
        </w:tc>
        <w:tc>
          <w:tcPr>
            <w:tcW w:w="0" w:type="auto"/>
            <w:shd w:val="clear" w:color="000000" w:fill="FFFFFF"/>
            <w:noWrap/>
            <w:vAlign w:val="bottom"/>
            <w:hideMark/>
          </w:tcPr>
          <w:p w14:paraId="05CCF9B7" w14:textId="77777777" w:rsidR="00600B08" w:rsidRPr="00F32020" w:rsidRDefault="00600B08" w:rsidP="00D314EE">
            <w:pPr>
              <w:jc w:val="center"/>
              <w:rPr>
                <w:sz w:val="16"/>
                <w:szCs w:val="16"/>
              </w:rPr>
            </w:pPr>
            <w:r w:rsidRPr="00F32020">
              <w:rPr>
                <w:sz w:val="16"/>
                <w:szCs w:val="16"/>
              </w:rPr>
              <w:t> </w:t>
            </w:r>
          </w:p>
        </w:tc>
        <w:tc>
          <w:tcPr>
            <w:tcW w:w="2052" w:type="dxa"/>
            <w:shd w:val="clear" w:color="000000" w:fill="FFFFFF"/>
            <w:noWrap/>
            <w:vAlign w:val="bottom"/>
            <w:hideMark/>
          </w:tcPr>
          <w:p w14:paraId="23949CFA" w14:textId="77777777" w:rsidR="00600B08" w:rsidRPr="00F32020" w:rsidRDefault="00600B08" w:rsidP="00D314EE">
            <w:pPr>
              <w:jc w:val="center"/>
              <w:rPr>
                <w:sz w:val="16"/>
                <w:szCs w:val="16"/>
              </w:rPr>
            </w:pPr>
            <w:r w:rsidRPr="00F32020">
              <w:rPr>
                <w:sz w:val="16"/>
                <w:szCs w:val="16"/>
              </w:rPr>
              <w:t>(0.537)</w:t>
            </w:r>
          </w:p>
        </w:tc>
      </w:tr>
      <w:tr w:rsidR="00477CD4" w:rsidRPr="00F32020" w14:paraId="673ECAC9" w14:textId="77777777" w:rsidTr="00F43152">
        <w:trPr>
          <w:trHeight w:val="260"/>
          <w:jc w:val="center"/>
        </w:trPr>
        <w:tc>
          <w:tcPr>
            <w:tcW w:w="2660" w:type="dxa"/>
            <w:shd w:val="clear" w:color="000000" w:fill="FFFFFF"/>
            <w:noWrap/>
            <w:vAlign w:val="bottom"/>
            <w:hideMark/>
          </w:tcPr>
          <w:p w14:paraId="7C68B2AD" w14:textId="77777777" w:rsidR="00600B08" w:rsidRPr="00F32020" w:rsidRDefault="00600B08" w:rsidP="00D314EE">
            <w:pPr>
              <w:rPr>
                <w:sz w:val="16"/>
                <w:szCs w:val="16"/>
              </w:rPr>
            </w:pPr>
            <w:r w:rsidRPr="00F32020">
              <w:rPr>
                <w:sz w:val="16"/>
                <w:szCs w:val="16"/>
              </w:rPr>
              <w:t>Log (Years firm is active)</w:t>
            </w:r>
          </w:p>
        </w:tc>
        <w:tc>
          <w:tcPr>
            <w:tcW w:w="0" w:type="auto"/>
            <w:shd w:val="clear" w:color="000000" w:fill="FFFFFF"/>
            <w:noWrap/>
            <w:vAlign w:val="bottom"/>
            <w:hideMark/>
          </w:tcPr>
          <w:p w14:paraId="084AA093" w14:textId="77777777" w:rsidR="00600B08" w:rsidRPr="00F32020" w:rsidRDefault="00600B08" w:rsidP="00D314EE">
            <w:pPr>
              <w:jc w:val="center"/>
              <w:rPr>
                <w:sz w:val="16"/>
                <w:szCs w:val="16"/>
              </w:rPr>
            </w:pPr>
            <w:r w:rsidRPr="00F32020">
              <w:rPr>
                <w:sz w:val="16"/>
                <w:szCs w:val="16"/>
              </w:rPr>
              <w:t>1.091</w:t>
            </w:r>
          </w:p>
        </w:tc>
        <w:tc>
          <w:tcPr>
            <w:tcW w:w="0" w:type="auto"/>
            <w:shd w:val="clear" w:color="000000" w:fill="FFFFFF"/>
            <w:noWrap/>
            <w:vAlign w:val="bottom"/>
            <w:hideMark/>
          </w:tcPr>
          <w:p w14:paraId="31FED542" w14:textId="77777777" w:rsidR="00600B08" w:rsidRPr="00F32020" w:rsidRDefault="00600B08" w:rsidP="00D314EE">
            <w:pPr>
              <w:jc w:val="center"/>
              <w:rPr>
                <w:sz w:val="16"/>
                <w:szCs w:val="16"/>
              </w:rPr>
            </w:pPr>
            <w:r w:rsidRPr="00F32020">
              <w:rPr>
                <w:sz w:val="16"/>
                <w:szCs w:val="16"/>
              </w:rPr>
              <w:t>1.150</w:t>
            </w:r>
          </w:p>
        </w:tc>
        <w:tc>
          <w:tcPr>
            <w:tcW w:w="0" w:type="auto"/>
            <w:shd w:val="clear" w:color="000000" w:fill="FFFFFF"/>
            <w:noWrap/>
            <w:vAlign w:val="bottom"/>
            <w:hideMark/>
          </w:tcPr>
          <w:p w14:paraId="1848251D" w14:textId="77777777" w:rsidR="00600B08" w:rsidRPr="00F32020" w:rsidRDefault="00600B08" w:rsidP="00D314EE">
            <w:pPr>
              <w:jc w:val="center"/>
              <w:rPr>
                <w:sz w:val="16"/>
                <w:szCs w:val="16"/>
              </w:rPr>
            </w:pPr>
            <w:r w:rsidRPr="00F32020">
              <w:rPr>
                <w:sz w:val="16"/>
                <w:szCs w:val="16"/>
              </w:rPr>
              <w:t>1.048</w:t>
            </w:r>
          </w:p>
        </w:tc>
        <w:tc>
          <w:tcPr>
            <w:tcW w:w="2052" w:type="dxa"/>
            <w:shd w:val="clear" w:color="000000" w:fill="FFFFFF"/>
            <w:noWrap/>
            <w:vAlign w:val="bottom"/>
            <w:hideMark/>
          </w:tcPr>
          <w:p w14:paraId="22C47EBD" w14:textId="77777777" w:rsidR="00600B08" w:rsidRPr="00F32020" w:rsidRDefault="00600B08" w:rsidP="00D314EE">
            <w:pPr>
              <w:jc w:val="center"/>
              <w:rPr>
                <w:sz w:val="16"/>
                <w:szCs w:val="16"/>
              </w:rPr>
            </w:pPr>
            <w:r w:rsidRPr="00F32020">
              <w:rPr>
                <w:sz w:val="16"/>
                <w:szCs w:val="16"/>
              </w:rPr>
              <w:t>1.042</w:t>
            </w:r>
          </w:p>
        </w:tc>
      </w:tr>
      <w:tr w:rsidR="00477CD4" w:rsidRPr="00F32020" w14:paraId="2268B83C" w14:textId="77777777" w:rsidTr="00F43152">
        <w:trPr>
          <w:trHeight w:val="260"/>
          <w:jc w:val="center"/>
        </w:trPr>
        <w:tc>
          <w:tcPr>
            <w:tcW w:w="2660" w:type="dxa"/>
            <w:shd w:val="clear" w:color="000000" w:fill="FFFFFF"/>
            <w:noWrap/>
            <w:vAlign w:val="bottom"/>
            <w:hideMark/>
          </w:tcPr>
          <w:p w14:paraId="6EF66EB6"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135DECB6" w14:textId="77777777" w:rsidR="00600B08" w:rsidRPr="00F32020" w:rsidRDefault="00600B08" w:rsidP="00D314EE">
            <w:pPr>
              <w:jc w:val="center"/>
              <w:rPr>
                <w:sz w:val="16"/>
                <w:szCs w:val="16"/>
              </w:rPr>
            </w:pPr>
            <w:r w:rsidRPr="00F32020">
              <w:rPr>
                <w:sz w:val="16"/>
                <w:szCs w:val="16"/>
              </w:rPr>
              <w:t>(0.0726)</w:t>
            </w:r>
          </w:p>
        </w:tc>
        <w:tc>
          <w:tcPr>
            <w:tcW w:w="0" w:type="auto"/>
            <w:shd w:val="clear" w:color="000000" w:fill="FFFFFF"/>
            <w:noWrap/>
            <w:vAlign w:val="bottom"/>
            <w:hideMark/>
          </w:tcPr>
          <w:p w14:paraId="154EC794" w14:textId="77777777" w:rsidR="00600B08" w:rsidRPr="00F32020" w:rsidRDefault="00600B08" w:rsidP="00D314EE">
            <w:pPr>
              <w:jc w:val="center"/>
              <w:rPr>
                <w:sz w:val="16"/>
                <w:szCs w:val="16"/>
              </w:rPr>
            </w:pPr>
            <w:r w:rsidRPr="00F32020">
              <w:rPr>
                <w:sz w:val="16"/>
                <w:szCs w:val="16"/>
              </w:rPr>
              <w:t>(0.1360)</w:t>
            </w:r>
          </w:p>
        </w:tc>
        <w:tc>
          <w:tcPr>
            <w:tcW w:w="0" w:type="auto"/>
            <w:shd w:val="clear" w:color="000000" w:fill="FFFFFF"/>
            <w:noWrap/>
            <w:vAlign w:val="bottom"/>
            <w:hideMark/>
          </w:tcPr>
          <w:p w14:paraId="0A4B3ADB" w14:textId="77777777" w:rsidR="00600B08" w:rsidRPr="00F32020" w:rsidRDefault="00600B08" w:rsidP="00D314EE">
            <w:pPr>
              <w:jc w:val="center"/>
              <w:rPr>
                <w:sz w:val="16"/>
                <w:szCs w:val="16"/>
              </w:rPr>
            </w:pPr>
            <w:r w:rsidRPr="00F32020">
              <w:rPr>
                <w:sz w:val="16"/>
                <w:szCs w:val="16"/>
              </w:rPr>
              <w:t>(0.0705)</w:t>
            </w:r>
          </w:p>
        </w:tc>
        <w:tc>
          <w:tcPr>
            <w:tcW w:w="2052" w:type="dxa"/>
            <w:shd w:val="clear" w:color="000000" w:fill="FFFFFF"/>
            <w:noWrap/>
            <w:vAlign w:val="bottom"/>
            <w:hideMark/>
          </w:tcPr>
          <w:p w14:paraId="031D9EFB" w14:textId="77777777" w:rsidR="00600B08" w:rsidRPr="00F32020" w:rsidRDefault="00600B08" w:rsidP="00D314EE">
            <w:pPr>
              <w:jc w:val="center"/>
              <w:rPr>
                <w:sz w:val="16"/>
                <w:szCs w:val="16"/>
              </w:rPr>
            </w:pPr>
            <w:r w:rsidRPr="00F32020">
              <w:rPr>
                <w:sz w:val="16"/>
                <w:szCs w:val="16"/>
              </w:rPr>
              <w:t>(0.0700)</w:t>
            </w:r>
          </w:p>
        </w:tc>
      </w:tr>
      <w:tr w:rsidR="00477CD4" w:rsidRPr="00F32020" w14:paraId="5D50BBEE" w14:textId="77777777" w:rsidTr="00F43152">
        <w:trPr>
          <w:trHeight w:val="260"/>
          <w:jc w:val="center"/>
        </w:trPr>
        <w:tc>
          <w:tcPr>
            <w:tcW w:w="2660" w:type="dxa"/>
            <w:shd w:val="clear" w:color="000000" w:fill="FFFFFF"/>
            <w:noWrap/>
            <w:vAlign w:val="bottom"/>
            <w:hideMark/>
          </w:tcPr>
          <w:p w14:paraId="2670A05B" w14:textId="77777777" w:rsidR="00600B08" w:rsidRPr="00F32020" w:rsidRDefault="00600B08" w:rsidP="00D314EE">
            <w:pPr>
              <w:rPr>
                <w:sz w:val="16"/>
                <w:szCs w:val="16"/>
              </w:rPr>
            </w:pPr>
            <w:r w:rsidRPr="00F32020">
              <w:rPr>
                <w:sz w:val="16"/>
                <w:szCs w:val="16"/>
              </w:rPr>
              <w:t>Log (Revenues in t-1)</w:t>
            </w:r>
          </w:p>
        </w:tc>
        <w:tc>
          <w:tcPr>
            <w:tcW w:w="0" w:type="auto"/>
            <w:shd w:val="clear" w:color="000000" w:fill="FFFFFF"/>
            <w:noWrap/>
            <w:vAlign w:val="bottom"/>
            <w:hideMark/>
          </w:tcPr>
          <w:p w14:paraId="12ECE176" w14:textId="77777777" w:rsidR="00600B08" w:rsidRPr="00F32020" w:rsidRDefault="00600B08" w:rsidP="00D314EE">
            <w:pPr>
              <w:jc w:val="center"/>
              <w:rPr>
                <w:sz w:val="16"/>
                <w:szCs w:val="16"/>
              </w:rPr>
            </w:pPr>
            <w:r w:rsidRPr="00F32020">
              <w:rPr>
                <w:sz w:val="16"/>
                <w:szCs w:val="16"/>
              </w:rPr>
              <w:t>1.069***</w:t>
            </w:r>
          </w:p>
        </w:tc>
        <w:tc>
          <w:tcPr>
            <w:tcW w:w="0" w:type="auto"/>
            <w:shd w:val="clear" w:color="000000" w:fill="FFFFFF"/>
            <w:noWrap/>
            <w:vAlign w:val="bottom"/>
            <w:hideMark/>
          </w:tcPr>
          <w:p w14:paraId="249214DB" w14:textId="77777777" w:rsidR="00600B08" w:rsidRPr="00F32020" w:rsidRDefault="00600B08" w:rsidP="00D314EE">
            <w:pPr>
              <w:jc w:val="center"/>
              <w:rPr>
                <w:sz w:val="16"/>
                <w:szCs w:val="16"/>
              </w:rPr>
            </w:pPr>
            <w:r w:rsidRPr="00F32020">
              <w:rPr>
                <w:sz w:val="16"/>
                <w:szCs w:val="16"/>
              </w:rPr>
              <w:t>1.075***</w:t>
            </w:r>
          </w:p>
        </w:tc>
        <w:tc>
          <w:tcPr>
            <w:tcW w:w="0" w:type="auto"/>
            <w:shd w:val="clear" w:color="000000" w:fill="FFFFFF"/>
            <w:noWrap/>
            <w:vAlign w:val="bottom"/>
            <w:hideMark/>
          </w:tcPr>
          <w:p w14:paraId="1336D6C0" w14:textId="77777777" w:rsidR="00600B08" w:rsidRPr="00F32020" w:rsidRDefault="00600B08" w:rsidP="00D314EE">
            <w:pPr>
              <w:jc w:val="center"/>
              <w:rPr>
                <w:sz w:val="16"/>
                <w:szCs w:val="16"/>
              </w:rPr>
            </w:pPr>
            <w:r w:rsidRPr="00F32020">
              <w:rPr>
                <w:sz w:val="16"/>
                <w:szCs w:val="16"/>
              </w:rPr>
              <w:t>1.058***</w:t>
            </w:r>
          </w:p>
        </w:tc>
        <w:tc>
          <w:tcPr>
            <w:tcW w:w="2052" w:type="dxa"/>
            <w:shd w:val="clear" w:color="000000" w:fill="FFFFFF"/>
            <w:noWrap/>
            <w:vAlign w:val="bottom"/>
            <w:hideMark/>
          </w:tcPr>
          <w:p w14:paraId="39D93847" w14:textId="77777777" w:rsidR="00600B08" w:rsidRPr="00F32020" w:rsidRDefault="00600B08" w:rsidP="00D314EE">
            <w:pPr>
              <w:jc w:val="center"/>
              <w:rPr>
                <w:sz w:val="16"/>
                <w:szCs w:val="16"/>
              </w:rPr>
            </w:pPr>
            <w:r w:rsidRPr="00F32020">
              <w:rPr>
                <w:sz w:val="16"/>
                <w:szCs w:val="16"/>
              </w:rPr>
              <w:t>1.058***</w:t>
            </w:r>
          </w:p>
        </w:tc>
      </w:tr>
      <w:tr w:rsidR="00477CD4" w:rsidRPr="00F32020" w14:paraId="31BFAFCF" w14:textId="77777777" w:rsidTr="00F43152">
        <w:trPr>
          <w:trHeight w:val="260"/>
          <w:jc w:val="center"/>
        </w:trPr>
        <w:tc>
          <w:tcPr>
            <w:tcW w:w="2660" w:type="dxa"/>
            <w:shd w:val="clear" w:color="000000" w:fill="FFFFFF"/>
            <w:noWrap/>
            <w:vAlign w:val="bottom"/>
            <w:hideMark/>
          </w:tcPr>
          <w:p w14:paraId="7D4685E1"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10EE825E" w14:textId="77777777" w:rsidR="00600B08" w:rsidRPr="00F32020" w:rsidRDefault="00600B08" w:rsidP="00D314EE">
            <w:pPr>
              <w:jc w:val="center"/>
              <w:rPr>
                <w:sz w:val="16"/>
                <w:szCs w:val="16"/>
              </w:rPr>
            </w:pPr>
            <w:r w:rsidRPr="00F32020">
              <w:rPr>
                <w:sz w:val="16"/>
                <w:szCs w:val="16"/>
              </w:rPr>
              <w:t>(0.0092)</w:t>
            </w:r>
          </w:p>
        </w:tc>
        <w:tc>
          <w:tcPr>
            <w:tcW w:w="0" w:type="auto"/>
            <w:shd w:val="clear" w:color="000000" w:fill="FFFFFF"/>
            <w:noWrap/>
            <w:vAlign w:val="bottom"/>
            <w:hideMark/>
          </w:tcPr>
          <w:p w14:paraId="290C1622" w14:textId="77777777" w:rsidR="00600B08" w:rsidRPr="00F32020" w:rsidRDefault="00600B08" w:rsidP="00D314EE">
            <w:pPr>
              <w:jc w:val="center"/>
              <w:rPr>
                <w:sz w:val="16"/>
                <w:szCs w:val="16"/>
              </w:rPr>
            </w:pPr>
            <w:r w:rsidRPr="00F32020">
              <w:rPr>
                <w:sz w:val="16"/>
                <w:szCs w:val="16"/>
              </w:rPr>
              <w:t>(0.0152)</w:t>
            </w:r>
          </w:p>
        </w:tc>
        <w:tc>
          <w:tcPr>
            <w:tcW w:w="0" w:type="auto"/>
            <w:shd w:val="clear" w:color="000000" w:fill="FFFFFF"/>
            <w:noWrap/>
            <w:vAlign w:val="bottom"/>
            <w:hideMark/>
          </w:tcPr>
          <w:p w14:paraId="4FB9E2DA" w14:textId="77777777" w:rsidR="00600B08" w:rsidRPr="00F32020" w:rsidRDefault="00600B08" w:rsidP="00D314EE">
            <w:pPr>
              <w:jc w:val="center"/>
              <w:rPr>
                <w:sz w:val="16"/>
                <w:szCs w:val="16"/>
              </w:rPr>
            </w:pPr>
            <w:r w:rsidRPr="00F32020">
              <w:rPr>
                <w:sz w:val="16"/>
                <w:szCs w:val="16"/>
              </w:rPr>
              <w:t>(0.0098)</w:t>
            </w:r>
          </w:p>
        </w:tc>
        <w:tc>
          <w:tcPr>
            <w:tcW w:w="2052" w:type="dxa"/>
            <w:shd w:val="clear" w:color="000000" w:fill="FFFFFF"/>
            <w:noWrap/>
            <w:vAlign w:val="bottom"/>
            <w:hideMark/>
          </w:tcPr>
          <w:p w14:paraId="2940B07F" w14:textId="77777777" w:rsidR="00600B08" w:rsidRPr="00F32020" w:rsidRDefault="00600B08" w:rsidP="00D314EE">
            <w:pPr>
              <w:jc w:val="center"/>
              <w:rPr>
                <w:sz w:val="16"/>
                <w:szCs w:val="16"/>
              </w:rPr>
            </w:pPr>
            <w:r w:rsidRPr="00F32020">
              <w:rPr>
                <w:sz w:val="16"/>
                <w:szCs w:val="16"/>
              </w:rPr>
              <w:t>(0.0098)</w:t>
            </w:r>
          </w:p>
        </w:tc>
      </w:tr>
      <w:tr w:rsidR="00477CD4" w:rsidRPr="00F32020" w14:paraId="738C87FA" w14:textId="77777777" w:rsidTr="00F43152">
        <w:trPr>
          <w:trHeight w:val="260"/>
          <w:jc w:val="center"/>
        </w:trPr>
        <w:tc>
          <w:tcPr>
            <w:tcW w:w="2660" w:type="dxa"/>
            <w:shd w:val="clear" w:color="000000" w:fill="FFFFFF"/>
            <w:noWrap/>
            <w:vAlign w:val="bottom"/>
            <w:hideMark/>
          </w:tcPr>
          <w:p w14:paraId="21C87078" w14:textId="77777777" w:rsidR="00600B08" w:rsidRPr="00F32020" w:rsidRDefault="00600B08" w:rsidP="00D314EE">
            <w:pPr>
              <w:rPr>
                <w:sz w:val="16"/>
                <w:szCs w:val="16"/>
              </w:rPr>
            </w:pPr>
            <w:r w:rsidRPr="00F32020">
              <w:rPr>
                <w:sz w:val="16"/>
                <w:szCs w:val="16"/>
              </w:rPr>
              <w:t>Non-for-profit type</w:t>
            </w:r>
          </w:p>
        </w:tc>
        <w:tc>
          <w:tcPr>
            <w:tcW w:w="0" w:type="auto"/>
            <w:shd w:val="clear" w:color="000000" w:fill="FFFFFF"/>
            <w:noWrap/>
            <w:vAlign w:val="bottom"/>
            <w:hideMark/>
          </w:tcPr>
          <w:p w14:paraId="1416C906" w14:textId="77777777" w:rsidR="00600B08" w:rsidRPr="00F32020" w:rsidRDefault="00600B08" w:rsidP="00D314EE">
            <w:pPr>
              <w:jc w:val="center"/>
              <w:rPr>
                <w:sz w:val="16"/>
                <w:szCs w:val="16"/>
              </w:rPr>
            </w:pPr>
            <w:r w:rsidRPr="00F32020">
              <w:rPr>
                <w:sz w:val="16"/>
                <w:szCs w:val="16"/>
              </w:rPr>
              <w:t>0.775*</w:t>
            </w:r>
          </w:p>
        </w:tc>
        <w:tc>
          <w:tcPr>
            <w:tcW w:w="0" w:type="auto"/>
            <w:shd w:val="clear" w:color="000000" w:fill="FFFFFF"/>
            <w:noWrap/>
            <w:vAlign w:val="bottom"/>
            <w:hideMark/>
          </w:tcPr>
          <w:p w14:paraId="492AB18A" w14:textId="77777777" w:rsidR="00600B08" w:rsidRPr="00F32020" w:rsidRDefault="00600B08" w:rsidP="00D314EE">
            <w:pPr>
              <w:jc w:val="center"/>
              <w:rPr>
                <w:sz w:val="16"/>
                <w:szCs w:val="16"/>
              </w:rPr>
            </w:pPr>
            <w:r w:rsidRPr="00F32020">
              <w:rPr>
                <w:sz w:val="16"/>
                <w:szCs w:val="16"/>
              </w:rPr>
              <w:t>1.480**</w:t>
            </w:r>
          </w:p>
        </w:tc>
        <w:tc>
          <w:tcPr>
            <w:tcW w:w="0" w:type="auto"/>
            <w:shd w:val="clear" w:color="000000" w:fill="FFFFFF"/>
            <w:noWrap/>
            <w:vAlign w:val="bottom"/>
            <w:hideMark/>
          </w:tcPr>
          <w:p w14:paraId="05E9C41E" w14:textId="77777777" w:rsidR="00600B08" w:rsidRPr="00F32020" w:rsidRDefault="00600B08" w:rsidP="00D314EE">
            <w:pPr>
              <w:jc w:val="center"/>
              <w:rPr>
                <w:sz w:val="16"/>
                <w:szCs w:val="16"/>
              </w:rPr>
            </w:pPr>
            <w:r w:rsidRPr="00F32020">
              <w:rPr>
                <w:sz w:val="16"/>
                <w:szCs w:val="16"/>
              </w:rPr>
              <w:t>0.557***</w:t>
            </w:r>
          </w:p>
        </w:tc>
        <w:tc>
          <w:tcPr>
            <w:tcW w:w="2052" w:type="dxa"/>
            <w:shd w:val="clear" w:color="000000" w:fill="FFFFFF"/>
            <w:noWrap/>
            <w:vAlign w:val="bottom"/>
            <w:hideMark/>
          </w:tcPr>
          <w:p w14:paraId="74156339" w14:textId="77777777" w:rsidR="00600B08" w:rsidRPr="00F32020" w:rsidRDefault="00600B08" w:rsidP="00D314EE">
            <w:pPr>
              <w:jc w:val="center"/>
              <w:rPr>
                <w:sz w:val="16"/>
                <w:szCs w:val="16"/>
              </w:rPr>
            </w:pPr>
            <w:r w:rsidRPr="00F32020">
              <w:rPr>
                <w:sz w:val="16"/>
                <w:szCs w:val="16"/>
              </w:rPr>
              <w:t>0.554***</w:t>
            </w:r>
          </w:p>
        </w:tc>
      </w:tr>
      <w:tr w:rsidR="00477CD4" w:rsidRPr="00F32020" w14:paraId="050A8D92" w14:textId="77777777" w:rsidTr="00F43152">
        <w:trPr>
          <w:trHeight w:val="260"/>
          <w:jc w:val="center"/>
        </w:trPr>
        <w:tc>
          <w:tcPr>
            <w:tcW w:w="2660" w:type="dxa"/>
            <w:shd w:val="clear" w:color="000000" w:fill="FFFFFF"/>
            <w:noWrap/>
            <w:vAlign w:val="bottom"/>
            <w:hideMark/>
          </w:tcPr>
          <w:p w14:paraId="71496ED7"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679D0D85" w14:textId="77777777" w:rsidR="00600B08" w:rsidRPr="00F32020" w:rsidRDefault="00600B08" w:rsidP="00D314EE">
            <w:pPr>
              <w:jc w:val="center"/>
              <w:rPr>
                <w:sz w:val="16"/>
                <w:szCs w:val="16"/>
              </w:rPr>
            </w:pPr>
            <w:r w:rsidRPr="00F32020">
              <w:rPr>
                <w:sz w:val="16"/>
                <w:szCs w:val="16"/>
              </w:rPr>
              <w:t>(0.1110)</w:t>
            </w:r>
          </w:p>
        </w:tc>
        <w:tc>
          <w:tcPr>
            <w:tcW w:w="0" w:type="auto"/>
            <w:shd w:val="clear" w:color="000000" w:fill="FFFFFF"/>
            <w:noWrap/>
            <w:vAlign w:val="bottom"/>
            <w:hideMark/>
          </w:tcPr>
          <w:p w14:paraId="0F1C8B93" w14:textId="77777777" w:rsidR="00600B08" w:rsidRPr="00F32020" w:rsidRDefault="00600B08" w:rsidP="00D314EE">
            <w:pPr>
              <w:jc w:val="center"/>
              <w:rPr>
                <w:sz w:val="16"/>
                <w:szCs w:val="16"/>
              </w:rPr>
            </w:pPr>
            <w:r w:rsidRPr="00F32020">
              <w:rPr>
                <w:sz w:val="16"/>
                <w:szCs w:val="16"/>
              </w:rPr>
              <w:t>(0.2950)</w:t>
            </w:r>
          </w:p>
        </w:tc>
        <w:tc>
          <w:tcPr>
            <w:tcW w:w="0" w:type="auto"/>
            <w:shd w:val="clear" w:color="000000" w:fill="FFFFFF"/>
            <w:noWrap/>
            <w:vAlign w:val="bottom"/>
            <w:hideMark/>
          </w:tcPr>
          <w:p w14:paraId="55233B3A" w14:textId="77777777" w:rsidR="00600B08" w:rsidRPr="00F32020" w:rsidRDefault="00600B08" w:rsidP="00D314EE">
            <w:pPr>
              <w:jc w:val="center"/>
              <w:rPr>
                <w:sz w:val="16"/>
                <w:szCs w:val="16"/>
              </w:rPr>
            </w:pPr>
            <w:r w:rsidRPr="00F32020">
              <w:rPr>
                <w:sz w:val="16"/>
                <w:szCs w:val="16"/>
              </w:rPr>
              <w:t>(0.0951)</w:t>
            </w:r>
          </w:p>
        </w:tc>
        <w:tc>
          <w:tcPr>
            <w:tcW w:w="2052" w:type="dxa"/>
            <w:shd w:val="clear" w:color="000000" w:fill="FFFFFF"/>
            <w:noWrap/>
            <w:vAlign w:val="bottom"/>
            <w:hideMark/>
          </w:tcPr>
          <w:p w14:paraId="43A3FC15" w14:textId="77777777" w:rsidR="00600B08" w:rsidRPr="00F32020" w:rsidRDefault="00600B08" w:rsidP="00D314EE">
            <w:pPr>
              <w:jc w:val="center"/>
              <w:rPr>
                <w:sz w:val="16"/>
                <w:szCs w:val="16"/>
              </w:rPr>
            </w:pPr>
            <w:r w:rsidRPr="00F32020">
              <w:rPr>
                <w:sz w:val="16"/>
                <w:szCs w:val="16"/>
              </w:rPr>
              <w:t>(0.0945)</w:t>
            </w:r>
          </w:p>
        </w:tc>
      </w:tr>
      <w:tr w:rsidR="00477CD4" w:rsidRPr="00F32020" w14:paraId="68D0A755" w14:textId="77777777" w:rsidTr="00F43152">
        <w:trPr>
          <w:trHeight w:val="260"/>
          <w:jc w:val="center"/>
        </w:trPr>
        <w:tc>
          <w:tcPr>
            <w:tcW w:w="2660" w:type="dxa"/>
            <w:shd w:val="clear" w:color="000000" w:fill="FFFFFF"/>
            <w:noWrap/>
            <w:vAlign w:val="bottom"/>
            <w:hideMark/>
          </w:tcPr>
          <w:p w14:paraId="00E5C8A6" w14:textId="77777777" w:rsidR="00600B08" w:rsidRPr="00F32020" w:rsidRDefault="00600B08" w:rsidP="00D314EE">
            <w:pPr>
              <w:rPr>
                <w:sz w:val="16"/>
                <w:szCs w:val="16"/>
              </w:rPr>
            </w:pPr>
            <w:r w:rsidRPr="00F32020">
              <w:rPr>
                <w:sz w:val="16"/>
                <w:szCs w:val="16"/>
              </w:rPr>
              <w:t>Social Motives</w:t>
            </w:r>
          </w:p>
        </w:tc>
        <w:tc>
          <w:tcPr>
            <w:tcW w:w="0" w:type="auto"/>
            <w:shd w:val="clear" w:color="000000" w:fill="FFFFFF"/>
            <w:noWrap/>
            <w:vAlign w:val="bottom"/>
            <w:hideMark/>
          </w:tcPr>
          <w:p w14:paraId="1C987AA0" w14:textId="77777777" w:rsidR="00600B08" w:rsidRPr="00F32020" w:rsidRDefault="00600B08" w:rsidP="00D314EE">
            <w:pPr>
              <w:jc w:val="center"/>
              <w:rPr>
                <w:sz w:val="16"/>
                <w:szCs w:val="16"/>
              </w:rPr>
            </w:pPr>
            <w:r w:rsidRPr="00F32020">
              <w:rPr>
                <w:sz w:val="16"/>
                <w:szCs w:val="16"/>
              </w:rPr>
              <w:t>0.943</w:t>
            </w:r>
          </w:p>
        </w:tc>
        <w:tc>
          <w:tcPr>
            <w:tcW w:w="0" w:type="auto"/>
            <w:shd w:val="clear" w:color="000000" w:fill="FFFFFF"/>
            <w:noWrap/>
            <w:vAlign w:val="bottom"/>
            <w:hideMark/>
          </w:tcPr>
          <w:p w14:paraId="20A50D81" w14:textId="77777777" w:rsidR="00600B08" w:rsidRPr="00F32020" w:rsidRDefault="00600B08" w:rsidP="00D314EE">
            <w:pPr>
              <w:jc w:val="center"/>
              <w:rPr>
                <w:sz w:val="16"/>
                <w:szCs w:val="16"/>
              </w:rPr>
            </w:pPr>
            <w:r w:rsidRPr="00F32020">
              <w:rPr>
                <w:sz w:val="16"/>
                <w:szCs w:val="16"/>
              </w:rPr>
              <w:t>0.939</w:t>
            </w:r>
          </w:p>
        </w:tc>
        <w:tc>
          <w:tcPr>
            <w:tcW w:w="0" w:type="auto"/>
            <w:shd w:val="clear" w:color="000000" w:fill="FFFFFF"/>
            <w:noWrap/>
            <w:vAlign w:val="bottom"/>
            <w:hideMark/>
          </w:tcPr>
          <w:p w14:paraId="7703C0A0" w14:textId="77777777" w:rsidR="00600B08" w:rsidRPr="00F32020" w:rsidRDefault="00600B08" w:rsidP="00D314EE">
            <w:pPr>
              <w:jc w:val="center"/>
              <w:rPr>
                <w:sz w:val="16"/>
                <w:szCs w:val="16"/>
              </w:rPr>
            </w:pPr>
            <w:r w:rsidRPr="00F32020">
              <w:rPr>
                <w:sz w:val="16"/>
                <w:szCs w:val="16"/>
              </w:rPr>
              <w:t>0.902</w:t>
            </w:r>
          </w:p>
        </w:tc>
        <w:tc>
          <w:tcPr>
            <w:tcW w:w="2052" w:type="dxa"/>
            <w:shd w:val="clear" w:color="000000" w:fill="FFFFFF"/>
            <w:noWrap/>
            <w:vAlign w:val="bottom"/>
            <w:hideMark/>
          </w:tcPr>
          <w:p w14:paraId="6601A981" w14:textId="77777777" w:rsidR="00600B08" w:rsidRPr="00F32020" w:rsidRDefault="00600B08" w:rsidP="00D314EE">
            <w:pPr>
              <w:jc w:val="center"/>
              <w:rPr>
                <w:sz w:val="16"/>
                <w:szCs w:val="16"/>
              </w:rPr>
            </w:pPr>
            <w:r w:rsidRPr="00F32020">
              <w:rPr>
                <w:sz w:val="16"/>
                <w:szCs w:val="16"/>
              </w:rPr>
              <w:t>0.908</w:t>
            </w:r>
          </w:p>
        </w:tc>
      </w:tr>
      <w:tr w:rsidR="00477CD4" w:rsidRPr="00F32020" w14:paraId="50ABD106" w14:textId="77777777" w:rsidTr="00F43152">
        <w:trPr>
          <w:trHeight w:val="260"/>
          <w:jc w:val="center"/>
        </w:trPr>
        <w:tc>
          <w:tcPr>
            <w:tcW w:w="2660" w:type="dxa"/>
            <w:shd w:val="clear" w:color="000000" w:fill="FFFFFF"/>
            <w:noWrap/>
            <w:vAlign w:val="bottom"/>
            <w:hideMark/>
          </w:tcPr>
          <w:p w14:paraId="27B0502E"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631AD33D" w14:textId="77777777" w:rsidR="00600B08" w:rsidRPr="00F32020" w:rsidRDefault="00600B08" w:rsidP="00D314EE">
            <w:pPr>
              <w:jc w:val="center"/>
              <w:rPr>
                <w:sz w:val="16"/>
                <w:szCs w:val="16"/>
              </w:rPr>
            </w:pPr>
            <w:r w:rsidRPr="00F32020">
              <w:rPr>
                <w:sz w:val="16"/>
                <w:szCs w:val="16"/>
              </w:rPr>
              <w:t>(0.1140)</w:t>
            </w:r>
          </w:p>
        </w:tc>
        <w:tc>
          <w:tcPr>
            <w:tcW w:w="0" w:type="auto"/>
            <w:shd w:val="clear" w:color="000000" w:fill="FFFFFF"/>
            <w:noWrap/>
            <w:vAlign w:val="bottom"/>
            <w:hideMark/>
          </w:tcPr>
          <w:p w14:paraId="1726BB55" w14:textId="77777777" w:rsidR="00600B08" w:rsidRPr="00F32020" w:rsidRDefault="00600B08" w:rsidP="00D314EE">
            <w:pPr>
              <w:jc w:val="center"/>
              <w:rPr>
                <w:sz w:val="16"/>
                <w:szCs w:val="16"/>
              </w:rPr>
            </w:pPr>
            <w:r w:rsidRPr="00F32020">
              <w:rPr>
                <w:sz w:val="16"/>
                <w:szCs w:val="16"/>
              </w:rPr>
              <w:t>(0.2030)</w:t>
            </w:r>
          </w:p>
        </w:tc>
        <w:tc>
          <w:tcPr>
            <w:tcW w:w="0" w:type="auto"/>
            <w:shd w:val="clear" w:color="000000" w:fill="FFFFFF"/>
            <w:noWrap/>
            <w:vAlign w:val="bottom"/>
            <w:hideMark/>
          </w:tcPr>
          <w:p w14:paraId="43ED5C22" w14:textId="77777777" w:rsidR="00600B08" w:rsidRPr="00F32020" w:rsidRDefault="00600B08" w:rsidP="00D314EE">
            <w:pPr>
              <w:jc w:val="center"/>
              <w:rPr>
                <w:sz w:val="16"/>
                <w:szCs w:val="16"/>
              </w:rPr>
            </w:pPr>
            <w:r w:rsidRPr="00F32020">
              <w:rPr>
                <w:sz w:val="16"/>
                <w:szCs w:val="16"/>
              </w:rPr>
              <w:t>(0.1110)</w:t>
            </w:r>
          </w:p>
        </w:tc>
        <w:tc>
          <w:tcPr>
            <w:tcW w:w="2052" w:type="dxa"/>
            <w:shd w:val="clear" w:color="000000" w:fill="FFFFFF"/>
            <w:noWrap/>
            <w:vAlign w:val="bottom"/>
            <w:hideMark/>
          </w:tcPr>
          <w:p w14:paraId="03F45D4C" w14:textId="77777777" w:rsidR="00600B08" w:rsidRPr="00F32020" w:rsidRDefault="00600B08" w:rsidP="00D314EE">
            <w:pPr>
              <w:jc w:val="center"/>
              <w:rPr>
                <w:sz w:val="16"/>
                <w:szCs w:val="16"/>
              </w:rPr>
            </w:pPr>
            <w:r w:rsidRPr="00F32020">
              <w:rPr>
                <w:sz w:val="16"/>
                <w:szCs w:val="16"/>
              </w:rPr>
              <w:t>(0.1120)</w:t>
            </w:r>
          </w:p>
        </w:tc>
      </w:tr>
      <w:tr w:rsidR="00477CD4" w:rsidRPr="00F32020" w14:paraId="23E193AB" w14:textId="77777777" w:rsidTr="00F43152">
        <w:trPr>
          <w:trHeight w:val="260"/>
          <w:jc w:val="center"/>
        </w:trPr>
        <w:tc>
          <w:tcPr>
            <w:tcW w:w="2660" w:type="dxa"/>
            <w:shd w:val="clear" w:color="000000" w:fill="FFFFFF"/>
            <w:noWrap/>
            <w:vAlign w:val="bottom"/>
            <w:hideMark/>
          </w:tcPr>
          <w:p w14:paraId="6A7EB7A8" w14:textId="77777777" w:rsidR="00600B08" w:rsidRPr="00F32020" w:rsidRDefault="00600B08" w:rsidP="00D314EE">
            <w:pPr>
              <w:rPr>
                <w:sz w:val="16"/>
                <w:szCs w:val="16"/>
              </w:rPr>
            </w:pPr>
            <w:r w:rsidRPr="00F32020">
              <w:rPr>
                <w:sz w:val="16"/>
                <w:szCs w:val="16"/>
              </w:rPr>
              <w:t>Model invention-based</w:t>
            </w:r>
          </w:p>
        </w:tc>
        <w:tc>
          <w:tcPr>
            <w:tcW w:w="0" w:type="auto"/>
            <w:shd w:val="clear" w:color="000000" w:fill="FFFFFF"/>
            <w:noWrap/>
            <w:vAlign w:val="bottom"/>
            <w:hideMark/>
          </w:tcPr>
          <w:p w14:paraId="53D0D346" w14:textId="77777777" w:rsidR="00600B08" w:rsidRPr="00F32020" w:rsidRDefault="00600B08" w:rsidP="00D314EE">
            <w:pPr>
              <w:jc w:val="center"/>
              <w:rPr>
                <w:sz w:val="16"/>
                <w:szCs w:val="16"/>
              </w:rPr>
            </w:pPr>
            <w:r w:rsidRPr="00F32020">
              <w:rPr>
                <w:sz w:val="16"/>
                <w:szCs w:val="16"/>
              </w:rPr>
              <w:t>1.085</w:t>
            </w:r>
          </w:p>
        </w:tc>
        <w:tc>
          <w:tcPr>
            <w:tcW w:w="0" w:type="auto"/>
            <w:shd w:val="clear" w:color="000000" w:fill="FFFFFF"/>
            <w:noWrap/>
            <w:vAlign w:val="bottom"/>
            <w:hideMark/>
          </w:tcPr>
          <w:p w14:paraId="0D46017E" w14:textId="77777777" w:rsidR="00600B08" w:rsidRPr="00F32020" w:rsidRDefault="00600B08" w:rsidP="00D314EE">
            <w:pPr>
              <w:jc w:val="center"/>
              <w:rPr>
                <w:sz w:val="16"/>
                <w:szCs w:val="16"/>
              </w:rPr>
            </w:pPr>
            <w:r w:rsidRPr="00F32020">
              <w:rPr>
                <w:sz w:val="16"/>
                <w:szCs w:val="16"/>
              </w:rPr>
              <w:t>1.329**</w:t>
            </w:r>
          </w:p>
        </w:tc>
        <w:tc>
          <w:tcPr>
            <w:tcW w:w="0" w:type="auto"/>
            <w:shd w:val="clear" w:color="000000" w:fill="FFFFFF"/>
            <w:noWrap/>
            <w:vAlign w:val="bottom"/>
            <w:hideMark/>
          </w:tcPr>
          <w:p w14:paraId="51B4092D" w14:textId="77777777" w:rsidR="00600B08" w:rsidRPr="00F32020" w:rsidRDefault="00600B08" w:rsidP="00D314EE">
            <w:pPr>
              <w:jc w:val="center"/>
              <w:rPr>
                <w:sz w:val="16"/>
                <w:szCs w:val="16"/>
              </w:rPr>
            </w:pPr>
            <w:r w:rsidRPr="00F32020">
              <w:rPr>
                <w:sz w:val="16"/>
                <w:szCs w:val="16"/>
              </w:rPr>
              <w:t>1.075</w:t>
            </w:r>
          </w:p>
        </w:tc>
        <w:tc>
          <w:tcPr>
            <w:tcW w:w="2052" w:type="dxa"/>
            <w:shd w:val="clear" w:color="000000" w:fill="FFFFFF"/>
            <w:noWrap/>
            <w:vAlign w:val="bottom"/>
            <w:hideMark/>
          </w:tcPr>
          <w:p w14:paraId="02D0EB5A" w14:textId="77777777" w:rsidR="00600B08" w:rsidRPr="00F32020" w:rsidRDefault="00600B08" w:rsidP="00D314EE">
            <w:pPr>
              <w:jc w:val="center"/>
              <w:rPr>
                <w:sz w:val="16"/>
                <w:szCs w:val="16"/>
              </w:rPr>
            </w:pPr>
            <w:r w:rsidRPr="00F32020">
              <w:rPr>
                <w:sz w:val="16"/>
                <w:szCs w:val="16"/>
              </w:rPr>
              <w:t>1.083</w:t>
            </w:r>
          </w:p>
        </w:tc>
      </w:tr>
      <w:tr w:rsidR="00477CD4" w:rsidRPr="00F32020" w14:paraId="72EE43AD" w14:textId="77777777" w:rsidTr="00F43152">
        <w:trPr>
          <w:trHeight w:val="260"/>
          <w:jc w:val="center"/>
        </w:trPr>
        <w:tc>
          <w:tcPr>
            <w:tcW w:w="2660" w:type="dxa"/>
            <w:shd w:val="clear" w:color="000000" w:fill="FFFFFF"/>
            <w:noWrap/>
            <w:vAlign w:val="bottom"/>
            <w:hideMark/>
          </w:tcPr>
          <w:p w14:paraId="1FEAD4E7"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1C08ABED" w14:textId="77777777" w:rsidR="00600B08" w:rsidRPr="00F32020" w:rsidRDefault="00600B08" w:rsidP="00D314EE">
            <w:pPr>
              <w:jc w:val="center"/>
              <w:rPr>
                <w:sz w:val="16"/>
                <w:szCs w:val="16"/>
              </w:rPr>
            </w:pPr>
            <w:r w:rsidRPr="00F32020">
              <w:rPr>
                <w:sz w:val="16"/>
                <w:szCs w:val="16"/>
              </w:rPr>
              <w:t>(0.0821)</w:t>
            </w:r>
          </w:p>
        </w:tc>
        <w:tc>
          <w:tcPr>
            <w:tcW w:w="0" w:type="auto"/>
            <w:shd w:val="clear" w:color="000000" w:fill="FFFFFF"/>
            <w:noWrap/>
            <w:vAlign w:val="bottom"/>
            <w:hideMark/>
          </w:tcPr>
          <w:p w14:paraId="13B85C32" w14:textId="77777777" w:rsidR="00600B08" w:rsidRPr="00F32020" w:rsidRDefault="00600B08" w:rsidP="00D314EE">
            <w:pPr>
              <w:jc w:val="center"/>
              <w:rPr>
                <w:sz w:val="16"/>
                <w:szCs w:val="16"/>
              </w:rPr>
            </w:pPr>
            <w:r w:rsidRPr="00F32020">
              <w:rPr>
                <w:sz w:val="16"/>
                <w:szCs w:val="16"/>
              </w:rPr>
              <w:t>(0.1890)</w:t>
            </w:r>
          </w:p>
        </w:tc>
        <w:tc>
          <w:tcPr>
            <w:tcW w:w="0" w:type="auto"/>
            <w:shd w:val="clear" w:color="000000" w:fill="FFFFFF"/>
            <w:noWrap/>
            <w:vAlign w:val="bottom"/>
            <w:hideMark/>
          </w:tcPr>
          <w:p w14:paraId="22B5AD60" w14:textId="77777777" w:rsidR="00600B08" w:rsidRPr="00F32020" w:rsidRDefault="00600B08" w:rsidP="00D314EE">
            <w:pPr>
              <w:jc w:val="center"/>
              <w:rPr>
                <w:sz w:val="16"/>
                <w:szCs w:val="16"/>
              </w:rPr>
            </w:pPr>
            <w:r w:rsidRPr="00F32020">
              <w:rPr>
                <w:sz w:val="16"/>
                <w:szCs w:val="16"/>
              </w:rPr>
              <w:t>(0.0827)</w:t>
            </w:r>
          </w:p>
        </w:tc>
        <w:tc>
          <w:tcPr>
            <w:tcW w:w="2052" w:type="dxa"/>
            <w:shd w:val="clear" w:color="000000" w:fill="FFFFFF"/>
            <w:noWrap/>
            <w:vAlign w:val="bottom"/>
            <w:hideMark/>
          </w:tcPr>
          <w:p w14:paraId="2EC91318" w14:textId="77777777" w:rsidR="00600B08" w:rsidRPr="00F32020" w:rsidRDefault="00600B08" w:rsidP="00D314EE">
            <w:pPr>
              <w:jc w:val="center"/>
              <w:rPr>
                <w:sz w:val="16"/>
                <w:szCs w:val="16"/>
              </w:rPr>
            </w:pPr>
            <w:r w:rsidRPr="00F32020">
              <w:rPr>
                <w:sz w:val="16"/>
                <w:szCs w:val="16"/>
              </w:rPr>
              <w:t>(0.0836)</w:t>
            </w:r>
          </w:p>
        </w:tc>
      </w:tr>
      <w:tr w:rsidR="00477CD4" w:rsidRPr="00F32020" w14:paraId="768BEF7A" w14:textId="77777777" w:rsidTr="00F43152">
        <w:trPr>
          <w:trHeight w:val="260"/>
          <w:jc w:val="center"/>
        </w:trPr>
        <w:tc>
          <w:tcPr>
            <w:tcW w:w="2660" w:type="dxa"/>
            <w:shd w:val="clear" w:color="000000" w:fill="FFFFFF"/>
            <w:noWrap/>
            <w:vAlign w:val="bottom"/>
            <w:hideMark/>
          </w:tcPr>
          <w:p w14:paraId="39A73A63" w14:textId="77777777" w:rsidR="00600B08" w:rsidRPr="00F32020" w:rsidRDefault="00600B08" w:rsidP="00D314EE">
            <w:pPr>
              <w:rPr>
                <w:sz w:val="16"/>
                <w:szCs w:val="16"/>
              </w:rPr>
            </w:pPr>
            <w:r w:rsidRPr="00F32020">
              <w:rPr>
                <w:sz w:val="16"/>
                <w:szCs w:val="16"/>
              </w:rPr>
              <w:t>Intellectual Property</w:t>
            </w:r>
          </w:p>
        </w:tc>
        <w:tc>
          <w:tcPr>
            <w:tcW w:w="0" w:type="auto"/>
            <w:shd w:val="clear" w:color="000000" w:fill="FFFFFF"/>
            <w:noWrap/>
            <w:vAlign w:val="bottom"/>
            <w:hideMark/>
          </w:tcPr>
          <w:p w14:paraId="0CA3F7EE" w14:textId="77777777" w:rsidR="00600B08" w:rsidRPr="00F32020" w:rsidRDefault="00600B08" w:rsidP="00D314EE">
            <w:pPr>
              <w:jc w:val="center"/>
              <w:rPr>
                <w:sz w:val="16"/>
                <w:szCs w:val="16"/>
              </w:rPr>
            </w:pPr>
            <w:r w:rsidRPr="00F32020">
              <w:rPr>
                <w:sz w:val="16"/>
                <w:szCs w:val="16"/>
              </w:rPr>
              <w:t>0.987</w:t>
            </w:r>
          </w:p>
        </w:tc>
        <w:tc>
          <w:tcPr>
            <w:tcW w:w="0" w:type="auto"/>
            <w:shd w:val="clear" w:color="000000" w:fill="FFFFFF"/>
            <w:noWrap/>
            <w:vAlign w:val="bottom"/>
            <w:hideMark/>
          </w:tcPr>
          <w:p w14:paraId="096B217B" w14:textId="77777777" w:rsidR="00600B08" w:rsidRPr="00F32020" w:rsidRDefault="00600B08" w:rsidP="00D314EE">
            <w:pPr>
              <w:jc w:val="center"/>
              <w:rPr>
                <w:sz w:val="16"/>
                <w:szCs w:val="16"/>
              </w:rPr>
            </w:pPr>
            <w:r w:rsidRPr="00F32020">
              <w:rPr>
                <w:sz w:val="16"/>
                <w:szCs w:val="16"/>
              </w:rPr>
              <w:t>0.940</w:t>
            </w:r>
          </w:p>
        </w:tc>
        <w:tc>
          <w:tcPr>
            <w:tcW w:w="0" w:type="auto"/>
            <w:shd w:val="clear" w:color="000000" w:fill="FFFFFF"/>
            <w:noWrap/>
            <w:vAlign w:val="bottom"/>
            <w:hideMark/>
          </w:tcPr>
          <w:p w14:paraId="6DF0321D" w14:textId="77777777" w:rsidR="00600B08" w:rsidRPr="00F32020" w:rsidRDefault="00600B08" w:rsidP="00D314EE">
            <w:pPr>
              <w:jc w:val="center"/>
              <w:rPr>
                <w:sz w:val="16"/>
                <w:szCs w:val="16"/>
              </w:rPr>
            </w:pPr>
            <w:r w:rsidRPr="00F32020">
              <w:rPr>
                <w:sz w:val="16"/>
                <w:szCs w:val="16"/>
              </w:rPr>
              <w:t>1.022</w:t>
            </w:r>
          </w:p>
        </w:tc>
        <w:tc>
          <w:tcPr>
            <w:tcW w:w="2052" w:type="dxa"/>
            <w:shd w:val="clear" w:color="000000" w:fill="FFFFFF"/>
            <w:noWrap/>
            <w:vAlign w:val="bottom"/>
            <w:hideMark/>
          </w:tcPr>
          <w:p w14:paraId="32BF78D9" w14:textId="77777777" w:rsidR="00600B08" w:rsidRPr="00F32020" w:rsidRDefault="00600B08" w:rsidP="00D314EE">
            <w:pPr>
              <w:jc w:val="center"/>
              <w:rPr>
                <w:sz w:val="16"/>
                <w:szCs w:val="16"/>
              </w:rPr>
            </w:pPr>
            <w:r w:rsidRPr="00F32020">
              <w:rPr>
                <w:sz w:val="16"/>
                <w:szCs w:val="16"/>
              </w:rPr>
              <w:t>1.027</w:t>
            </w:r>
          </w:p>
        </w:tc>
      </w:tr>
      <w:tr w:rsidR="00477CD4" w:rsidRPr="00F32020" w14:paraId="18170215" w14:textId="77777777" w:rsidTr="00F43152">
        <w:trPr>
          <w:trHeight w:val="260"/>
          <w:jc w:val="center"/>
        </w:trPr>
        <w:tc>
          <w:tcPr>
            <w:tcW w:w="2660" w:type="dxa"/>
            <w:shd w:val="clear" w:color="000000" w:fill="FFFFFF"/>
            <w:noWrap/>
            <w:vAlign w:val="bottom"/>
            <w:hideMark/>
          </w:tcPr>
          <w:p w14:paraId="716F0292"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22CB1950" w14:textId="77777777" w:rsidR="00600B08" w:rsidRPr="00F32020" w:rsidRDefault="00600B08" w:rsidP="00D314EE">
            <w:pPr>
              <w:jc w:val="center"/>
              <w:rPr>
                <w:sz w:val="16"/>
                <w:szCs w:val="16"/>
              </w:rPr>
            </w:pPr>
            <w:r w:rsidRPr="00F32020">
              <w:rPr>
                <w:sz w:val="16"/>
                <w:szCs w:val="16"/>
              </w:rPr>
              <w:t>(0.0738)</w:t>
            </w:r>
          </w:p>
        </w:tc>
        <w:tc>
          <w:tcPr>
            <w:tcW w:w="0" w:type="auto"/>
            <w:shd w:val="clear" w:color="000000" w:fill="FFFFFF"/>
            <w:noWrap/>
            <w:vAlign w:val="bottom"/>
            <w:hideMark/>
          </w:tcPr>
          <w:p w14:paraId="6496D559" w14:textId="77777777" w:rsidR="00600B08" w:rsidRPr="00F32020" w:rsidRDefault="00600B08" w:rsidP="00D314EE">
            <w:pPr>
              <w:jc w:val="center"/>
              <w:rPr>
                <w:sz w:val="16"/>
                <w:szCs w:val="16"/>
              </w:rPr>
            </w:pPr>
            <w:r w:rsidRPr="00F32020">
              <w:rPr>
                <w:sz w:val="16"/>
                <w:szCs w:val="16"/>
              </w:rPr>
              <w:t>(0.1240)</w:t>
            </w:r>
          </w:p>
        </w:tc>
        <w:tc>
          <w:tcPr>
            <w:tcW w:w="0" w:type="auto"/>
            <w:shd w:val="clear" w:color="000000" w:fill="FFFFFF"/>
            <w:noWrap/>
            <w:vAlign w:val="bottom"/>
            <w:hideMark/>
          </w:tcPr>
          <w:p w14:paraId="09839585" w14:textId="77777777" w:rsidR="00600B08" w:rsidRPr="00F32020" w:rsidRDefault="00600B08" w:rsidP="00D314EE">
            <w:pPr>
              <w:jc w:val="center"/>
              <w:rPr>
                <w:sz w:val="16"/>
                <w:szCs w:val="16"/>
              </w:rPr>
            </w:pPr>
            <w:r w:rsidRPr="00F32020">
              <w:rPr>
                <w:sz w:val="16"/>
                <w:szCs w:val="16"/>
              </w:rPr>
              <w:t>(0.0789)</w:t>
            </w:r>
          </w:p>
        </w:tc>
        <w:tc>
          <w:tcPr>
            <w:tcW w:w="2052" w:type="dxa"/>
            <w:shd w:val="clear" w:color="000000" w:fill="FFFFFF"/>
            <w:noWrap/>
            <w:vAlign w:val="bottom"/>
            <w:hideMark/>
          </w:tcPr>
          <w:p w14:paraId="180BCF28" w14:textId="77777777" w:rsidR="00600B08" w:rsidRPr="00F32020" w:rsidRDefault="00600B08" w:rsidP="00D314EE">
            <w:pPr>
              <w:jc w:val="center"/>
              <w:rPr>
                <w:sz w:val="16"/>
                <w:szCs w:val="16"/>
              </w:rPr>
            </w:pPr>
            <w:r w:rsidRPr="00F32020">
              <w:rPr>
                <w:sz w:val="16"/>
                <w:szCs w:val="16"/>
              </w:rPr>
              <w:t>(0.0794)</w:t>
            </w:r>
          </w:p>
        </w:tc>
      </w:tr>
      <w:tr w:rsidR="00477CD4" w:rsidRPr="00F32020" w14:paraId="7B3EAABB" w14:textId="77777777" w:rsidTr="00F43152">
        <w:trPr>
          <w:trHeight w:val="260"/>
          <w:jc w:val="center"/>
        </w:trPr>
        <w:tc>
          <w:tcPr>
            <w:tcW w:w="2660" w:type="dxa"/>
            <w:shd w:val="clear" w:color="000000" w:fill="FFFFFF"/>
            <w:noWrap/>
            <w:vAlign w:val="bottom"/>
            <w:hideMark/>
          </w:tcPr>
          <w:p w14:paraId="45B79D38" w14:textId="77777777" w:rsidR="00600B08" w:rsidRPr="00F32020" w:rsidRDefault="00600B08" w:rsidP="00D314EE">
            <w:pPr>
              <w:rPr>
                <w:sz w:val="16"/>
                <w:szCs w:val="16"/>
              </w:rPr>
            </w:pPr>
            <w:r w:rsidRPr="00F32020">
              <w:rPr>
                <w:sz w:val="16"/>
                <w:szCs w:val="16"/>
              </w:rPr>
              <w:t>Reported prior accelerator</w:t>
            </w:r>
          </w:p>
        </w:tc>
        <w:tc>
          <w:tcPr>
            <w:tcW w:w="0" w:type="auto"/>
            <w:shd w:val="clear" w:color="000000" w:fill="FFFFFF"/>
            <w:noWrap/>
            <w:vAlign w:val="bottom"/>
            <w:hideMark/>
          </w:tcPr>
          <w:p w14:paraId="09D8D351" w14:textId="77777777" w:rsidR="00600B08" w:rsidRPr="00F32020" w:rsidRDefault="00600B08" w:rsidP="00D314EE">
            <w:pPr>
              <w:jc w:val="center"/>
              <w:rPr>
                <w:sz w:val="16"/>
                <w:szCs w:val="16"/>
              </w:rPr>
            </w:pPr>
            <w:r w:rsidRPr="00F32020">
              <w:rPr>
                <w:sz w:val="16"/>
                <w:szCs w:val="16"/>
              </w:rPr>
              <w:t>1.238***</w:t>
            </w:r>
          </w:p>
        </w:tc>
        <w:tc>
          <w:tcPr>
            <w:tcW w:w="0" w:type="auto"/>
            <w:shd w:val="clear" w:color="000000" w:fill="FFFFFF"/>
            <w:noWrap/>
            <w:vAlign w:val="bottom"/>
            <w:hideMark/>
          </w:tcPr>
          <w:p w14:paraId="5E2F7E80" w14:textId="77777777" w:rsidR="00600B08" w:rsidRPr="00F32020" w:rsidRDefault="00600B08" w:rsidP="00D314EE">
            <w:pPr>
              <w:jc w:val="center"/>
              <w:rPr>
                <w:sz w:val="16"/>
                <w:szCs w:val="16"/>
              </w:rPr>
            </w:pPr>
            <w:r w:rsidRPr="00F32020">
              <w:rPr>
                <w:sz w:val="16"/>
                <w:szCs w:val="16"/>
              </w:rPr>
              <w:t>1.267*</w:t>
            </w:r>
          </w:p>
        </w:tc>
        <w:tc>
          <w:tcPr>
            <w:tcW w:w="0" w:type="auto"/>
            <w:shd w:val="clear" w:color="000000" w:fill="FFFFFF"/>
            <w:noWrap/>
            <w:vAlign w:val="bottom"/>
            <w:hideMark/>
          </w:tcPr>
          <w:p w14:paraId="5F14D78E" w14:textId="77777777" w:rsidR="00600B08" w:rsidRPr="00F32020" w:rsidRDefault="00600B08" w:rsidP="00D314EE">
            <w:pPr>
              <w:jc w:val="center"/>
              <w:rPr>
                <w:sz w:val="16"/>
                <w:szCs w:val="16"/>
              </w:rPr>
            </w:pPr>
            <w:r w:rsidRPr="00F32020">
              <w:rPr>
                <w:sz w:val="16"/>
                <w:szCs w:val="16"/>
              </w:rPr>
              <w:t>1.253***</w:t>
            </w:r>
          </w:p>
        </w:tc>
        <w:tc>
          <w:tcPr>
            <w:tcW w:w="2052" w:type="dxa"/>
            <w:shd w:val="clear" w:color="000000" w:fill="FFFFFF"/>
            <w:noWrap/>
            <w:vAlign w:val="bottom"/>
            <w:hideMark/>
          </w:tcPr>
          <w:p w14:paraId="3D9E415F" w14:textId="77777777" w:rsidR="00600B08" w:rsidRPr="00F32020" w:rsidRDefault="00600B08" w:rsidP="00D314EE">
            <w:pPr>
              <w:jc w:val="center"/>
              <w:rPr>
                <w:sz w:val="16"/>
                <w:szCs w:val="16"/>
              </w:rPr>
            </w:pPr>
            <w:r w:rsidRPr="00F32020">
              <w:rPr>
                <w:sz w:val="16"/>
                <w:szCs w:val="16"/>
              </w:rPr>
              <w:t>1.259***</w:t>
            </w:r>
          </w:p>
        </w:tc>
      </w:tr>
      <w:tr w:rsidR="00477CD4" w:rsidRPr="00F32020" w14:paraId="7D679EAF" w14:textId="77777777" w:rsidTr="00F43152">
        <w:trPr>
          <w:trHeight w:val="260"/>
          <w:jc w:val="center"/>
        </w:trPr>
        <w:tc>
          <w:tcPr>
            <w:tcW w:w="2660" w:type="dxa"/>
            <w:shd w:val="clear" w:color="000000" w:fill="FFFFFF"/>
            <w:noWrap/>
            <w:vAlign w:val="bottom"/>
            <w:hideMark/>
          </w:tcPr>
          <w:p w14:paraId="2E28C43E"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4A6DE4E9" w14:textId="77777777" w:rsidR="00600B08" w:rsidRPr="00F32020" w:rsidRDefault="00600B08" w:rsidP="00D314EE">
            <w:pPr>
              <w:jc w:val="center"/>
              <w:rPr>
                <w:sz w:val="16"/>
                <w:szCs w:val="16"/>
              </w:rPr>
            </w:pPr>
            <w:r w:rsidRPr="00F32020">
              <w:rPr>
                <w:sz w:val="16"/>
                <w:szCs w:val="16"/>
              </w:rPr>
              <w:t>(0.0938)</w:t>
            </w:r>
          </w:p>
        </w:tc>
        <w:tc>
          <w:tcPr>
            <w:tcW w:w="0" w:type="auto"/>
            <w:shd w:val="clear" w:color="000000" w:fill="FFFFFF"/>
            <w:noWrap/>
            <w:vAlign w:val="bottom"/>
            <w:hideMark/>
          </w:tcPr>
          <w:p w14:paraId="74F39BC7" w14:textId="77777777" w:rsidR="00600B08" w:rsidRPr="00F32020" w:rsidRDefault="00600B08" w:rsidP="00D314EE">
            <w:pPr>
              <w:jc w:val="center"/>
              <w:rPr>
                <w:sz w:val="16"/>
                <w:szCs w:val="16"/>
              </w:rPr>
            </w:pPr>
            <w:r w:rsidRPr="00F32020">
              <w:rPr>
                <w:sz w:val="16"/>
                <w:szCs w:val="16"/>
              </w:rPr>
              <w:t>(0.1630)</w:t>
            </w:r>
          </w:p>
        </w:tc>
        <w:tc>
          <w:tcPr>
            <w:tcW w:w="0" w:type="auto"/>
            <w:shd w:val="clear" w:color="000000" w:fill="FFFFFF"/>
            <w:noWrap/>
            <w:vAlign w:val="bottom"/>
            <w:hideMark/>
          </w:tcPr>
          <w:p w14:paraId="40AC1907" w14:textId="77777777" w:rsidR="00600B08" w:rsidRPr="00F32020" w:rsidRDefault="00600B08" w:rsidP="00D314EE">
            <w:pPr>
              <w:jc w:val="center"/>
              <w:rPr>
                <w:sz w:val="16"/>
                <w:szCs w:val="16"/>
              </w:rPr>
            </w:pPr>
            <w:r w:rsidRPr="00F32020">
              <w:rPr>
                <w:sz w:val="16"/>
                <w:szCs w:val="16"/>
              </w:rPr>
              <w:t>(0.1010)</w:t>
            </w:r>
          </w:p>
        </w:tc>
        <w:tc>
          <w:tcPr>
            <w:tcW w:w="2052" w:type="dxa"/>
            <w:shd w:val="clear" w:color="000000" w:fill="FFFFFF"/>
            <w:noWrap/>
            <w:vAlign w:val="bottom"/>
            <w:hideMark/>
          </w:tcPr>
          <w:p w14:paraId="25490593" w14:textId="77777777" w:rsidR="00600B08" w:rsidRPr="00F32020" w:rsidRDefault="00600B08" w:rsidP="00D314EE">
            <w:pPr>
              <w:jc w:val="center"/>
              <w:rPr>
                <w:sz w:val="16"/>
                <w:szCs w:val="16"/>
              </w:rPr>
            </w:pPr>
            <w:r w:rsidRPr="00F32020">
              <w:rPr>
                <w:sz w:val="16"/>
                <w:szCs w:val="16"/>
              </w:rPr>
              <w:t>(0.1020)</w:t>
            </w:r>
          </w:p>
        </w:tc>
      </w:tr>
      <w:tr w:rsidR="00477CD4" w:rsidRPr="00F32020" w14:paraId="71DDE477" w14:textId="77777777" w:rsidTr="00F43152">
        <w:trPr>
          <w:trHeight w:val="260"/>
          <w:jc w:val="center"/>
        </w:trPr>
        <w:tc>
          <w:tcPr>
            <w:tcW w:w="2660" w:type="dxa"/>
            <w:shd w:val="clear" w:color="000000" w:fill="FFFFFF"/>
            <w:noWrap/>
            <w:vAlign w:val="bottom"/>
            <w:hideMark/>
          </w:tcPr>
          <w:p w14:paraId="0B3F87F4" w14:textId="77777777" w:rsidR="00600B08" w:rsidRPr="00F32020" w:rsidRDefault="00600B08" w:rsidP="00D314EE">
            <w:pPr>
              <w:rPr>
                <w:sz w:val="16"/>
                <w:szCs w:val="16"/>
              </w:rPr>
            </w:pPr>
            <w:r w:rsidRPr="00F32020">
              <w:rPr>
                <w:sz w:val="16"/>
                <w:szCs w:val="16"/>
              </w:rPr>
              <w:t>Log (Equity since founded)</w:t>
            </w:r>
          </w:p>
        </w:tc>
        <w:tc>
          <w:tcPr>
            <w:tcW w:w="0" w:type="auto"/>
            <w:shd w:val="clear" w:color="000000" w:fill="FFFFFF"/>
            <w:noWrap/>
            <w:vAlign w:val="bottom"/>
            <w:hideMark/>
          </w:tcPr>
          <w:p w14:paraId="40C341C3" w14:textId="77777777" w:rsidR="00600B08" w:rsidRPr="00F32020" w:rsidRDefault="00600B08" w:rsidP="00D314EE">
            <w:pPr>
              <w:jc w:val="center"/>
              <w:rPr>
                <w:sz w:val="16"/>
                <w:szCs w:val="16"/>
              </w:rPr>
            </w:pPr>
            <w:r w:rsidRPr="00F32020">
              <w:rPr>
                <w:sz w:val="16"/>
                <w:szCs w:val="16"/>
              </w:rPr>
              <w:t>1.059***</w:t>
            </w:r>
          </w:p>
        </w:tc>
        <w:tc>
          <w:tcPr>
            <w:tcW w:w="0" w:type="auto"/>
            <w:shd w:val="clear" w:color="000000" w:fill="FFFFFF"/>
            <w:noWrap/>
            <w:vAlign w:val="bottom"/>
            <w:hideMark/>
          </w:tcPr>
          <w:p w14:paraId="1DBE9BE6" w14:textId="77777777" w:rsidR="00600B08" w:rsidRPr="00F32020" w:rsidRDefault="00600B08" w:rsidP="00D314EE">
            <w:pPr>
              <w:jc w:val="center"/>
              <w:rPr>
                <w:sz w:val="16"/>
                <w:szCs w:val="16"/>
              </w:rPr>
            </w:pPr>
            <w:r w:rsidRPr="00F32020">
              <w:rPr>
                <w:sz w:val="16"/>
                <w:szCs w:val="16"/>
              </w:rPr>
              <w:t>1.052***</w:t>
            </w:r>
          </w:p>
        </w:tc>
        <w:tc>
          <w:tcPr>
            <w:tcW w:w="0" w:type="auto"/>
            <w:shd w:val="clear" w:color="000000" w:fill="FFFFFF"/>
            <w:noWrap/>
            <w:vAlign w:val="bottom"/>
            <w:hideMark/>
          </w:tcPr>
          <w:p w14:paraId="346F9A07" w14:textId="77777777" w:rsidR="00600B08" w:rsidRPr="00F32020" w:rsidRDefault="00600B08" w:rsidP="00D314EE">
            <w:pPr>
              <w:jc w:val="center"/>
              <w:rPr>
                <w:sz w:val="16"/>
                <w:szCs w:val="16"/>
              </w:rPr>
            </w:pPr>
            <w:r w:rsidRPr="00F32020">
              <w:rPr>
                <w:sz w:val="16"/>
                <w:szCs w:val="16"/>
              </w:rPr>
              <w:t>1.069***</w:t>
            </w:r>
          </w:p>
        </w:tc>
        <w:tc>
          <w:tcPr>
            <w:tcW w:w="2052" w:type="dxa"/>
            <w:shd w:val="clear" w:color="000000" w:fill="FFFFFF"/>
            <w:noWrap/>
            <w:vAlign w:val="bottom"/>
            <w:hideMark/>
          </w:tcPr>
          <w:p w14:paraId="3874BF5B" w14:textId="77777777" w:rsidR="00600B08" w:rsidRPr="00F32020" w:rsidRDefault="00600B08" w:rsidP="00D314EE">
            <w:pPr>
              <w:jc w:val="center"/>
              <w:rPr>
                <w:sz w:val="16"/>
                <w:szCs w:val="16"/>
              </w:rPr>
            </w:pPr>
            <w:r w:rsidRPr="00F32020">
              <w:rPr>
                <w:sz w:val="16"/>
                <w:szCs w:val="16"/>
              </w:rPr>
              <w:t>1.068***</w:t>
            </w:r>
          </w:p>
        </w:tc>
      </w:tr>
      <w:tr w:rsidR="00477CD4" w:rsidRPr="00F32020" w14:paraId="20D074CA" w14:textId="77777777" w:rsidTr="00F43152">
        <w:trPr>
          <w:trHeight w:val="260"/>
          <w:jc w:val="center"/>
        </w:trPr>
        <w:tc>
          <w:tcPr>
            <w:tcW w:w="2660" w:type="dxa"/>
            <w:shd w:val="clear" w:color="000000" w:fill="FFFFFF"/>
            <w:noWrap/>
            <w:vAlign w:val="bottom"/>
            <w:hideMark/>
          </w:tcPr>
          <w:p w14:paraId="6892A456"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02324756" w14:textId="77777777" w:rsidR="00600B08" w:rsidRPr="00F32020" w:rsidRDefault="00600B08" w:rsidP="00D314EE">
            <w:pPr>
              <w:jc w:val="center"/>
              <w:rPr>
                <w:sz w:val="16"/>
                <w:szCs w:val="16"/>
              </w:rPr>
            </w:pPr>
            <w:r w:rsidRPr="00F32020">
              <w:rPr>
                <w:sz w:val="16"/>
                <w:szCs w:val="16"/>
              </w:rPr>
              <w:t>(0.0087)</w:t>
            </w:r>
          </w:p>
        </w:tc>
        <w:tc>
          <w:tcPr>
            <w:tcW w:w="0" w:type="auto"/>
            <w:shd w:val="clear" w:color="000000" w:fill="FFFFFF"/>
            <w:noWrap/>
            <w:vAlign w:val="bottom"/>
            <w:hideMark/>
          </w:tcPr>
          <w:p w14:paraId="5DE75EDF" w14:textId="77777777" w:rsidR="00600B08" w:rsidRPr="00F32020" w:rsidRDefault="00600B08" w:rsidP="00D314EE">
            <w:pPr>
              <w:jc w:val="center"/>
              <w:rPr>
                <w:sz w:val="16"/>
                <w:szCs w:val="16"/>
              </w:rPr>
            </w:pPr>
            <w:r w:rsidRPr="00F32020">
              <w:rPr>
                <w:sz w:val="16"/>
                <w:szCs w:val="16"/>
              </w:rPr>
              <w:t>(0.0138)</w:t>
            </w:r>
          </w:p>
        </w:tc>
        <w:tc>
          <w:tcPr>
            <w:tcW w:w="0" w:type="auto"/>
            <w:shd w:val="clear" w:color="000000" w:fill="FFFFFF"/>
            <w:noWrap/>
            <w:vAlign w:val="bottom"/>
            <w:hideMark/>
          </w:tcPr>
          <w:p w14:paraId="102F6670" w14:textId="77777777" w:rsidR="00600B08" w:rsidRPr="00F32020" w:rsidRDefault="00600B08" w:rsidP="00D314EE">
            <w:pPr>
              <w:jc w:val="center"/>
              <w:rPr>
                <w:sz w:val="16"/>
                <w:szCs w:val="16"/>
              </w:rPr>
            </w:pPr>
            <w:r w:rsidRPr="00F32020">
              <w:rPr>
                <w:sz w:val="16"/>
                <w:szCs w:val="16"/>
              </w:rPr>
              <w:t>(0.0010)</w:t>
            </w:r>
          </w:p>
        </w:tc>
        <w:tc>
          <w:tcPr>
            <w:tcW w:w="2052" w:type="dxa"/>
            <w:shd w:val="clear" w:color="000000" w:fill="FFFFFF"/>
            <w:noWrap/>
            <w:vAlign w:val="bottom"/>
            <w:hideMark/>
          </w:tcPr>
          <w:p w14:paraId="05797D81" w14:textId="77777777" w:rsidR="00600B08" w:rsidRPr="00F32020" w:rsidRDefault="00600B08" w:rsidP="00D314EE">
            <w:pPr>
              <w:jc w:val="center"/>
              <w:rPr>
                <w:sz w:val="16"/>
                <w:szCs w:val="16"/>
              </w:rPr>
            </w:pPr>
            <w:r w:rsidRPr="00F32020">
              <w:rPr>
                <w:sz w:val="16"/>
                <w:szCs w:val="16"/>
              </w:rPr>
              <w:t>(0.0010)</w:t>
            </w:r>
          </w:p>
        </w:tc>
      </w:tr>
      <w:tr w:rsidR="00477CD4" w:rsidRPr="00F32020" w14:paraId="7BF81C3E" w14:textId="77777777" w:rsidTr="00F43152">
        <w:trPr>
          <w:trHeight w:val="260"/>
          <w:jc w:val="center"/>
        </w:trPr>
        <w:tc>
          <w:tcPr>
            <w:tcW w:w="2660" w:type="dxa"/>
            <w:shd w:val="clear" w:color="000000" w:fill="FFFFFF"/>
            <w:noWrap/>
            <w:vAlign w:val="bottom"/>
          </w:tcPr>
          <w:p w14:paraId="781D2253" w14:textId="77777777" w:rsidR="00600B08" w:rsidRPr="00F32020" w:rsidRDefault="00600B08" w:rsidP="00D314EE">
            <w:pPr>
              <w:rPr>
                <w:sz w:val="16"/>
                <w:szCs w:val="16"/>
              </w:rPr>
            </w:pPr>
            <w:r w:rsidRPr="00F32020">
              <w:rPr>
                <w:sz w:val="16"/>
                <w:szCs w:val="16"/>
              </w:rPr>
              <w:t>Founding experience</w:t>
            </w:r>
          </w:p>
        </w:tc>
        <w:tc>
          <w:tcPr>
            <w:tcW w:w="0" w:type="auto"/>
            <w:shd w:val="clear" w:color="000000" w:fill="FFFFFF"/>
            <w:noWrap/>
            <w:vAlign w:val="bottom"/>
          </w:tcPr>
          <w:p w14:paraId="6936D3B3" w14:textId="77777777" w:rsidR="00600B08" w:rsidRPr="00F32020" w:rsidRDefault="00600B08" w:rsidP="00D314EE">
            <w:pPr>
              <w:jc w:val="center"/>
              <w:rPr>
                <w:sz w:val="16"/>
                <w:szCs w:val="16"/>
              </w:rPr>
            </w:pPr>
            <w:r w:rsidRPr="00F32020">
              <w:rPr>
                <w:sz w:val="16"/>
                <w:szCs w:val="16"/>
              </w:rPr>
              <w:t>0.941</w:t>
            </w:r>
          </w:p>
        </w:tc>
        <w:tc>
          <w:tcPr>
            <w:tcW w:w="0" w:type="auto"/>
            <w:shd w:val="clear" w:color="000000" w:fill="FFFFFF"/>
            <w:noWrap/>
            <w:vAlign w:val="bottom"/>
          </w:tcPr>
          <w:p w14:paraId="77646A91" w14:textId="77777777" w:rsidR="00600B08" w:rsidRPr="00F32020" w:rsidRDefault="00600B08" w:rsidP="00D314EE">
            <w:pPr>
              <w:jc w:val="center"/>
              <w:rPr>
                <w:sz w:val="16"/>
                <w:szCs w:val="16"/>
              </w:rPr>
            </w:pPr>
            <w:r w:rsidRPr="00F32020">
              <w:rPr>
                <w:sz w:val="16"/>
                <w:szCs w:val="16"/>
              </w:rPr>
              <w:t>0.800</w:t>
            </w:r>
          </w:p>
        </w:tc>
        <w:tc>
          <w:tcPr>
            <w:tcW w:w="0" w:type="auto"/>
            <w:shd w:val="clear" w:color="000000" w:fill="FFFFFF"/>
            <w:noWrap/>
            <w:vAlign w:val="bottom"/>
          </w:tcPr>
          <w:p w14:paraId="62593622" w14:textId="77777777" w:rsidR="00600B08" w:rsidRPr="00F32020" w:rsidRDefault="00600B08" w:rsidP="00D314EE">
            <w:pPr>
              <w:jc w:val="center"/>
              <w:rPr>
                <w:sz w:val="16"/>
                <w:szCs w:val="16"/>
              </w:rPr>
            </w:pPr>
            <w:r w:rsidRPr="00F32020">
              <w:rPr>
                <w:sz w:val="16"/>
                <w:szCs w:val="16"/>
              </w:rPr>
              <w:t>0.986</w:t>
            </w:r>
          </w:p>
        </w:tc>
        <w:tc>
          <w:tcPr>
            <w:tcW w:w="2052" w:type="dxa"/>
            <w:shd w:val="clear" w:color="000000" w:fill="FFFFFF"/>
            <w:noWrap/>
            <w:vAlign w:val="bottom"/>
          </w:tcPr>
          <w:p w14:paraId="137EA121" w14:textId="77777777" w:rsidR="00600B08" w:rsidRPr="00F32020" w:rsidRDefault="00600B08" w:rsidP="00D314EE">
            <w:pPr>
              <w:jc w:val="center"/>
              <w:rPr>
                <w:sz w:val="16"/>
                <w:szCs w:val="16"/>
              </w:rPr>
            </w:pPr>
            <w:r w:rsidRPr="00F32020">
              <w:rPr>
                <w:sz w:val="16"/>
                <w:szCs w:val="16"/>
              </w:rPr>
              <w:t>1.000</w:t>
            </w:r>
          </w:p>
        </w:tc>
      </w:tr>
      <w:tr w:rsidR="00477CD4" w:rsidRPr="00F32020" w14:paraId="5B5FC3D3" w14:textId="77777777" w:rsidTr="00F43152">
        <w:trPr>
          <w:trHeight w:val="260"/>
          <w:jc w:val="center"/>
        </w:trPr>
        <w:tc>
          <w:tcPr>
            <w:tcW w:w="2660" w:type="dxa"/>
            <w:shd w:val="clear" w:color="000000" w:fill="FFFFFF"/>
            <w:noWrap/>
            <w:vAlign w:val="bottom"/>
          </w:tcPr>
          <w:p w14:paraId="78606BA2"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tcPr>
          <w:p w14:paraId="074CBF0B" w14:textId="77777777" w:rsidR="00600B08" w:rsidRPr="00F32020" w:rsidRDefault="00600B08" w:rsidP="00D314EE">
            <w:pPr>
              <w:jc w:val="center"/>
              <w:rPr>
                <w:sz w:val="16"/>
                <w:szCs w:val="16"/>
              </w:rPr>
            </w:pPr>
            <w:r w:rsidRPr="00F32020">
              <w:rPr>
                <w:sz w:val="16"/>
                <w:szCs w:val="16"/>
              </w:rPr>
              <w:t>(0.0764)</w:t>
            </w:r>
          </w:p>
        </w:tc>
        <w:tc>
          <w:tcPr>
            <w:tcW w:w="0" w:type="auto"/>
            <w:shd w:val="clear" w:color="000000" w:fill="FFFFFF"/>
            <w:noWrap/>
            <w:vAlign w:val="bottom"/>
          </w:tcPr>
          <w:p w14:paraId="2649C8FD" w14:textId="77777777" w:rsidR="00600B08" w:rsidRPr="00F32020" w:rsidRDefault="00600B08" w:rsidP="00D314EE">
            <w:pPr>
              <w:jc w:val="center"/>
              <w:rPr>
                <w:sz w:val="16"/>
                <w:szCs w:val="16"/>
              </w:rPr>
            </w:pPr>
            <w:r w:rsidRPr="00F32020">
              <w:rPr>
                <w:sz w:val="16"/>
                <w:szCs w:val="16"/>
              </w:rPr>
              <w:t>(0.1090)</w:t>
            </w:r>
          </w:p>
        </w:tc>
        <w:tc>
          <w:tcPr>
            <w:tcW w:w="0" w:type="auto"/>
            <w:shd w:val="clear" w:color="000000" w:fill="FFFFFF"/>
            <w:noWrap/>
            <w:vAlign w:val="bottom"/>
          </w:tcPr>
          <w:p w14:paraId="77B04A07" w14:textId="77777777" w:rsidR="00600B08" w:rsidRPr="00F32020" w:rsidRDefault="00600B08" w:rsidP="00D314EE">
            <w:pPr>
              <w:jc w:val="center"/>
              <w:rPr>
                <w:sz w:val="16"/>
                <w:szCs w:val="16"/>
              </w:rPr>
            </w:pPr>
            <w:r w:rsidRPr="00F32020">
              <w:rPr>
                <w:sz w:val="16"/>
                <w:szCs w:val="16"/>
              </w:rPr>
              <w:t>(0.0800)</w:t>
            </w:r>
          </w:p>
        </w:tc>
        <w:tc>
          <w:tcPr>
            <w:tcW w:w="2052" w:type="dxa"/>
            <w:shd w:val="clear" w:color="000000" w:fill="FFFFFF"/>
            <w:noWrap/>
            <w:vAlign w:val="bottom"/>
          </w:tcPr>
          <w:p w14:paraId="4114F09E" w14:textId="77777777" w:rsidR="00600B08" w:rsidRPr="00F32020" w:rsidRDefault="00600B08" w:rsidP="00D314EE">
            <w:pPr>
              <w:jc w:val="center"/>
              <w:rPr>
                <w:sz w:val="16"/>
                <w:szCs w:val="16"/>
              </w:rPr>
            </w:pPr>
            <w:r w:rsidRPr="00F32020">
              <w:rPr>
                <w:sz w:val="16"/>
                <w:szCs w:val="16"/>
              </w:rPr>
              <w:t>(0.0007)</w:t>
            </w:r>
          </w:p>
        </w:tc>
      </w:tr>
      <w:tr w:rsidR="00477CD4" w:rsidRPr="00F32020" w14:paraId="7665ED61" w14:textId="77777777" w:rsidTr="00F43152">
        <w:trPr>
          <w:trHeight w:val="260"/>
          <w:jc w:val="center"/>
        </w:trPr>
        <w:tc>
          <w:tcPr>
            <w:tcW w:w="2660" w:type="dxa"/>
            <w:shd w:val="clear" w:color="000000" w:fill="FFFFFF"/>
            <w:noWrap/>
            <w:vAlign w:val="bottom"/>
          </w:tcPr>
          <w:p w14:paraId="03E85B1C" w14:textId="77777777" w:rsidR="00600B08" w:rsidRPr="00F32020" w:rsidRDefault="00600B08" w:rsidP="00D314EE">
            <w:pPr>
              <w:rPr>
                <w:sz w:val="16"/>
                <w:szCs w:val="16"/>
              </w:rPr>
            </w:pPr>
            <w:r w:rsidRPr="00F32020">
              <w:rPr>
                <w:sz w:val="16"/>
                <w:szCs w:val="16"/>
              </w:rPr>
              <w:t>Founders’ Education</w:t>
            </w:r>
          </w:p>
        </w:tc>
        <w:tc>
          <w:tcPr>
            <w:tcW w:w="0" w:type="auto"/>
            <w:shd w:val="clear" w:color="000000" w:fill="FFFFFF"/>
            <w:noWrap/>
            <w:vAlign w:val="bottom"/>
          </w:tcPr>
          <w:p w14:paraId="738F19DA" w14:textId="77777777" w:rsidR="00600B08" w:rsidRPr="00F32020" w:rsidRDefault="00600B08" w:rsidP="00D314EE">
            <w:pPr>
              <w:jc w:val="center"/>
              <w:rPr>
                <w:sz w:val="16"/>
                <w:szCs w:val="16"/>
              </w:rPr>
            </w:pPr>
            <w:r w:rsidRPr="00F32020">
              <w:rPr>
                <w:sz w:val="16"/>
                <w:szCs w:val="16"/>
              </w:rPr>
              <w:t>1.164***</w:t>
            </w:r>
          </w:p>
        </w:tc>
        <w:tc>
          <w:tcPr>
            <w:tcW w:w="0" w:type="auto"/>
            <w:shd w:val="clear" w:color="000000" w:fill="FFFFFF"/>
            <w:noWrap/>
            <w:vAlign w:val="bottom"/>
          </w:tcPr>
          <w:p w14:paraId="53DFC87D" w14:textId="77777777" w:rsidR="00600B08" w:rsidRPr="00F32020" w:rsidRDefault="00600B08" w:rsidP="00D314EE">
            <w:pPr>
              <w:jc w:val="center"/>
              <w:rPr>
                <w:sz w:val="16"/>
                <w:szCs w:val="16"/>
              </w:rPr>
            </w:pPr>
            <w:r w:rsidRPr="00F32020">
              <w:rPr>
                <w:sz w:val="16"/>
                <w:szCs w:val="16"/>
              </w:rPr>
              <w:t>1.094</w:t>
            </w:r>
          </w:p>
        </w:tc>
        <w:tc>
          <w:tcPr>
            <w:tcW w:w="0" w:type="auto"/>
            <w:shd w:val="clear" w:color="000000" w:fill="FFFFFF"/>
            <w:noWrap/>
            <w:vAlign w:val="bottom"/>
          </w:tcPr>
          <w:p w14:paraId="4B1B4CD5" w14:textId="77777777" w:rsidR="00600B08" w:rsidRPr="00F32020" w:rsidRDefault="00600B08" w:rsidP="00D314EE">
            <w:pPr>
              <w:jc w:val="center"/>
              <w:rPr>
                <w:sz w:val="16"/>
                <w:szCs w:val="16"/>
              </w:rPr>
            </w:pPr>
            <w:r w:rsidRPr="00F32020">
              <w:rPr>
                <w:sz w:val="16"/>
                <w:szCs w:val="16"/>
              </w:rPr>
              <w:t>1.187***</w:t>
            </w:r>
          </w:p>
        </w:tc>
        <w:tc>
          <w:tcPr>
            <w:tcW w:w="2052" w:type="dxa"/>
            <w:shd w:val="clear" w:color="000000" w:fill="FFFFFF"/>
            <w:noWrap/>
            <w:vAlign w:val="bottom"/>
          </w:tcPr>
          <w:p w14:paraId="715F7705" w14:textId="77777777" w:rsidR="00600B08" w:rsidRPr="00F32020" w:rsidRDefault="00600B08" w:rsidP="00D314EE">
            <w:pPr>
              <w:jc w:val="center"/>
              <w:rPr>
                <w:sz w:val="16"/>
                <w:szCs w:val="16"/>
              </w:rPr>
            </w:pPr>
            <w:r w:rsidRPr="00F32020">
              <w:rPr>
                <w:sz w:val="16"/>
                <w:szCs w:val="16"/>
              </w:rPr>
              <w:t>1.166***</w:t>
            </w:r>
          </w:p>
        </w:tc>
      </w:tr>
      <w:tr w:rsidR="00477CD4" w:rsidRPr="00F32020" w14:paraId="3E9A62DF" w14:textId="77777777" w:rsidTr="00F43152">
        <w:trPr>
          <w:trHeight w:val="260"/>
          <w:jc w:val="center"/>
        </w:trPr>
        <w:tc>
          <w:tcPr>
            <w:tcW w:w="2660" w:type="dxa"/>
            <w:shd w:val="clear" w:color="000000" w:fill="FFFFFF"/>
            <w:noWrap/>
            <w:vAlign w:val="bottom"/>
          </w:tcPr>
          <w:p w14:paraId="3F50981A"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tcPr>
          <w:p w14:paraId="096E4F8F" w14:textId="77777777" w:rsidR="00600B08" w:rsidRPr="00F32020" w:rsidRDefault="00600B08" w:rsidP="00D314EE">
            <w:pPr>
              <w:jc w:val="center"/>
              <w:rPr>
                <w:sz w:val="16"/>
                <w:szCs w:val="16"/>
              </w:rPr>
            </w:pPr>
            <w:r w:rsidRPr="00F32020">
              <w:rPr>
                <w:sz w:val="16"/>
                <w:szCs w:val="16"/>
              </w:rPr>
              <w:t>(0.0512)</w:t>
            </w:r>
          </w:p>
        </w:tc>
        <w:tc>
          <w:tcPr>
            <w:tcW w:w="0" w:type="auto"/>
            <w:shd w:val="clear" w:color="000000" w:fill="FFFFFF"/>
            <w:noWrap/>
            <w:vAlign w:val="bottom"/>
          </w:tcPr>
          <w:p w14:paraId="67EEDDB7" w14:textId="77777777" w:rsidR="00600B08" w:rsidRPr="00F32020" w:rsidRDefault="00600B08" w:rsidP="00D314EE">
            <w:pPr>
              <w:jc w:val="center"/>
              <w:rPr>
                <w:sz w:val="16"/>
                <w:szCs w:val="16"/>
              </w:rPr>
            </w:pPr>
            <w:r w:rsidRPr="00F32020">
              <w:rPr>
                <w:sz w:val="16"/>
                <w:szCs w:val="16"/>
              </w:rPr>
              <w:t>(0.0841)</w:t>
            </w:r>
          </w:p>
        </w:tc>
        <w:tc>
          <w:tcPr>
            <w:tcW w:w="0" w:type="auto"/>
            <w:shd w:val="clear" w:color="000000" w:fill="FFFFFF"/>
            <w:noWrap/>
            <w:vAlign w:val="bottom"/>
          </w:tcPr>
          <w:p w14:paraId="51BC9B3B" w14:textId="77777777" w:rsidR="00600B08" w:rsidRPr="00F32020" w:rsidRDefault="00600B08" w:rsidP="00D314EE">
            <w:pPr>
              <w:jc w:val="center"/>
              <w:rPr>
                <w:sz w:val="16"/>
                <w:szCs w:val="16"/>
              </w:rPr>
            </w:pPr>
            <w:r w:rsidRPr="00F32020">
              <w:rPr>
                <w:sz w:val="16"/>
                <w:szCs w:val="16"/>
              </w:rPr>
              <w:t>(0.0595)</w:t>
            </w:r>
          </w:p>
        </w:tc>
        <w:tc>
          <w:tcPr>
            <w:tcW w:w="2052" w:type="dxa"/>
            <w:shd w:val="clear" w:color="000000" w:fill="FFFFFF"/>
            <w:noWrap/>
            <w:vAlign w:val="bottom"/>
          </w:tcPr>
          <w:p w14:paraId="4B9C19E6" w14:textId="77777777" w:rsidR="00600B08" w:rsidRPr="00F32020" w:rsidRDefault="00600B08" w:rsidP="00D314EE">
            <w:pPr>
              <w:jc w:val="center"/>
              <w:rPr>
                <w:sz w:val="16"/>
                <w:szCs w:val="16"/>
              </w:rPr>
            </w:pPr>
            <w:r w:rsidRPr="00F32020">
              <w:rPr>
                <w:sz w:val="16"/>
                <w:szCs w:val="16"/>
              </w:rPr>
              <w:t>(0.0589)</w:t>
            </w:r>
          </w:p>
        </w:tc>
      </w:tr>
      <w:tr w:rsidR="00477CD4" w:rsidRPr="00F32020" w14:paraId="39D2FF4E" w14:textId="77777777" w:rsidTr="00F43152">
        <w:trPr>
          <w:trHeight w:val="260"/>
          <w:jc w:val="center"/>
        </w:trPr>
        <w:tc>
          <w:tcPr>
            <w:tcW w:w="2660" w:type="dxa"/>
            <w:shd w:val="clear" w:color="000000" w:fill="FFFFFF"/>
            <w:noWrap/>
            <w:vAlign w:val="bottom"/>
          </w:tcPr>
          <w:p w14:paraId="43CFE871" w14:textId="77777777" w:rsidR="00600B08" w:rsidRPr="00F32020" w:rsidRDefault="00600B08" w:rsidP="00D314EE">
            <w:pPr>
              <w:rPr>
                <w:sz w:val="16"/>
                <w:szCs w:val="16"/>
              </w:rPr>
            </w:pPr>
            <w:r w:rsidRPr="00F32020">
              <w:rPr>
                <w:sz w:val="16"/>
                <w:szCs w:val="16"/>
              </w:rPr>
              <w:t>Founders’ age</w:t>
            </w:r>
          </w:p>
        </w:tc>
        <w:tc>
          <w:tcPr>
            <w:tcW w:w="0" w:type="auto"/>
            <w:shd w:val="clear" w:color="000000" w:fill="FFFFFF"/>
            <w:noWrap/>
            <w:vAlign w:val="bottom"/>
          </w:tcPr>
          <w:p w14:paraId="356C6A0B" w14:textId="77777777" w:rsidR="00600B08" w:rsidRPr="00F32020" w:rsidRDefault="00600B08" w:rsidP="00D314EE">
            <w:pPr>
              <w:jc w:val="center"/>
              <w:rPr>
                <w:sz w:val="16"/>
                <w:szCs w:val="16"/>
              </w:rPr>
            </w:pPr>
            <w:r w:rsidRPr="00F32020">
              <w:rPr>
                <w:sz w:val="16"/>
                <w:szCs w:val="16"/>
              </w:rPr>
              <w:t>0.989**</w:t>
            </w:r>
          </w:p>
        </w:tc>
        <w:tc>
          <w:tcPr>
            <w:tcW w:w="0" w:type="auto"/>
            <w:shd w:val="clear" w:color="000000" w:fill="FFFFFF"/>
            <w:noWrap/>
            <w:vAlign w:val="bottom"/>
          </w:tcPr>
          <w:p w14:paraId="1B2CFFD1" w14:textId="77777777" w:rsidR="00600B08" w:rsidRPr="00F32020" w:rsidRDefault="00600B08" w:rsidP="00D314EE">
            <w:pPr>
              <w:jc w:val="center"/>
              <w:rPr>
                <w:sz w:val="16"/>
                <w:szCs w:val="16"/>
              </w:rPr>
            </w:pPr>
            <w:r w:rsidRPr="00F32020">
              <w:rPr>
                <w:sz w:val="16"/>
                <w:szCs w:val="16"/>
              </w:rPr>
              <w:t>0.998</w:t>
            </w:r>
          </w:p>
        </w:tc>
        <w:tc>
          <w:tcPr>
            <w:tcW w:w="0" w:type="auto"/>
            <w:shd w:val="clear" w:color="000000" w:fill="FFFFFF"/>
            <w:noWrap/>
            <w:vAlign w:val="bottom"/>
          </w:tcPr>
          <w:p w14:paraId="285EA3E8" w14:textId="77777777" w:rsidR="00600B08" w:rsidRPr="00F32020" w:rsidRDefault="00600B08" w:rsidP="00D314EE">
            <w:pPr>
              <w:jc w:val="center"/>
              <w:rPr>
                <w:sz w:val="16"/>
                <w:szCs w:val="16"/>
              </w:rPr>
            </w:pPr>
            <w:r w:rsidRPr="00F32020">
              <w:rPr>
                <w:sz w:val="16"/>
                <w:szCs w:val="16"/>
              </w:rPr>
              <w:t>0.985***</w:t>
            </w:r>
          </w:p>
        </w:tc>
        <w:tc>
          <w:tcPr>
            <w:tcW w:w="2052" w:type="dxa"/>
            <w:shd w:val="clear" w:color="000000" w:fill="FFFFFF"/>
            <w:noWrap/>
            <w:vAlign w:val="bottom"/>
          </w:tcPr>
          <w:p w14:paraId="51C2D0D9" w14:textId="77777777" w:rsidR="00600B08" w:rsidRPr="00F32020" w:rsidRDefault="00600B08" w:rsidP="00D314EE">
            <w:pPr>
              <w:jc w:val="center"/>
              <w:rPr>
                <w:sz w:val="16"/>
                <w:szCs w:val="16"/>
              </w:rPr>
            </w:pPr>
            <w:r w:rsidRPr="00F32020">
              <w:rPr>
                <w:sz w:val="16"/>
                <w:szCs w:val="16"/>
              </w:rPr>
              <w:t>0.986***</w:t>
            </w:r>
          </w:p>
        </w:tc>
      </w:tr>
      <w:tr w:rsidR="00477CD4" w:rsidRPr="00F32020" w14:paraId="301DA1D0" w14:textId="77777777" w:rsidTr="00F43152">
        <w:trPr>
          <w:trHeight w:val="260"/>
          <w:jc w:val="center"/>
        </w:trPr>
        <w:tc>
          <w:tcPr>
            <w:tcW w:w="2660" w:type="dxa"/>
            <w:shd w:val="clear" w:color="000000" w:fill="FFFFFF"/>
            <w:noWrap/>
            <w:vAlign w:val="bottom"/>
          </w:tcPr>
          <w:p w14:paraId="6E993171"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tcPr>
          <w:p w14:paraId="65B3D20C" w14:textId="77777777" w:rsidR="00600B08" w:rsidRPr="00F32020" w:rsidRDefault="00600B08" w:rsidP="00D314EE">
            <w:pPr>
              <w:jc w:val="center"/>
              <w:rPr>
                <w:sz w:val="16"/>
                <w:szCs w:val="16"/>
              </w:rPr>
            </w:pPr>
            <w:r w:rsidRPr="00F32020">
              <w:rPr>
                <w:sz w:val="16"/>
                <w:szCs w:val="16"/>
              </w:rPr>
              <w:t>(0.0044)</w:t>
            </w:r>
          </w:p>
        </w:tc>
        <w:tc>
          <w:tcPr>
            <w:tcW w:w="0" w:type="auto"/>
            <w:shd w:val="clear" w:color="000000" w:fill="FFFFFF"/>
            <w:noWrap/>
            <w:vAlign w:val="bottom"/>
          </w:tcPr>
          <w:p w14:paraId="3E8E00E8" w14:textId="77777777" w:rsidR="00600B08" w:rsidRPr="00F32020" w:rsidRDefault="00600B08" w:rsidP="00D314EE">
            <w:pPr>
              <w:jc w:val="center"/>
              <w:rPr>
                <w:sz w:val="16"/>
                <w:szCs w:val="16"/>
              </w:rPr>
            </w:pPr>
            <w:r w:rsidRPr="00F32020">
              <w:rPr>
                <w:sz w:val="16"/>
                <w:szCs w:val="16"/>
              </w:rPr>
              <w:t>(0.0065)</w:t>
            </w:r>
          </w:p>
        </w:tc>
        <w:tc>
          <w:tcPr>
            <w:tcW w:w="0" w:type="auto"/>
            <w:shd w:val="clear" w:color="000000" w:fill="FFFFFF"/>
            <w:noWrap/>
            <w:vAlign w:val="bottom"/>
          </w:tcPr>
          <w:p w14:paraId="68C5A95B" w14:textId="77777777" w:rsidR="00600B08" w:rsidRPr="00F32020" w:rsidRDefault="00600B08" w:rsidP="00D314EE">
            <w:pPr>
              <w:jc w:val="center"/>
              <w:rPr>
                <w:sz w:val="16"/>
                <w:szCs w:val="16"/>
              </w:rPr>
            </w:pPr>
            <w:r w:rsidRPr="00F32020">
              <w:rPr>
                <w:sz w:val="16"/>
                <w:szCs w:val="16"/>
              </w:rPr>
              <w:t>(0.0046)</w:t>
            </w:r>
          </w:p>
        </w:tc>
        <w:tc>
          <w:tcPr>
            <w:tcW w:w="2052" w:type="dxa"/>
            <w:shd w:val="clear" w:color="000000" w:fill="FFFFFF"/>
            <w:noWrap/>
            <w:vAlign w:val="bottom"/>
          </w:tcPr>
          <w:p w14:paraId="01FF098A" w14:textId="77777777" w:rsidR="00600B08" w:rsidRPr="00F32020" w:rsidRDefault="00600B08" w:rsidP="00D314EE">
            <w:pPr>
              <w:jc w:val="center"/>
              <w:rPr>
                <w:sz w:val="16"/>
                <w:szCs w:val="16"/>
              </w:rPr>
            </w:pPr>
            <w:r w:rsidRPr="00F32020">
              <w:rPr>
                <w:sz w:val="16"/>
                <w:szCs w:val="16"/>
              </w:rPr>
              <w:t>(0.0046)</w:t>
            </w:r>
          </w:p>
        </w:tc>
      </w:tr>
      <w:tr w:rsidR="00477CD4" w:rsidRPr="00F32020" w14:paraId="4B7FFD67" w14:textId="77777777" w:rsidTr="00F43152">
        <w:trPr>
          <w:trHeight w:val="260"/>
          <w:jc w:val="center"/>
        </w:trPr>
        <w:tc>
          <w:tcPr>
            <w:tcW w:w="2660" w:type="dxa"/>
            <w:shd w:val="clear" w:color="000000" w:fill="FFFFFF"/>
            <w:noWrap/>
            <w:vAlign w:val="bottom"/>
            <w:hideMark/>
          </w:tcPr>
          <w:p w14:paraId="7BD5889F" w14:textId="77777777" w:rsidR="00600B08" w:rsidRPr="00F32020" w:rsidRDefault="00600B08" w:rsidP="00D314EE">
            <w:pPr>
              <w:rPr>
                <w:sz w:val="16"/>
                <w:szCs w:val="16"/>
              </w:rPr>
            </w:pPr>
            <w:r w:rsidRPr="00F32020">
              <w:rPr>
                <w:sz w:val="16"/>
                <w:szCs w:val="16"/>
              </w:rPr>
              <w:t>% of Females</w:t>
            </w:r>
          </w:p>
        </w:tc>
        <w:tc>
          <w:tcPr>
            <w:tcW w:w="0" w:type="auto"/>
            <w:shd w:val="clear" w:color="000000" w:fill="FFFFFF"/>
            <w:noWrap/>
            <w:vAlign w:val="bottom"/>
            <w:hideMark/>
          </w:tcPr>
          <w:p w14:paraId="43DDC7F8" w14:textId="77777777" w:rsidR="00600B08" w:rsidRPr="00F32020" w:rsidRDefault="00600B08" w:rsidP="00D314EE">
            <w:pPr>
              <w:jc w:val="center"/>
              <w:rPr>
                <w:sz w:val="16"/>
                <w:szCs w:val="16"/>
              </w:rPr>
            </w:pPr>
            <w:r w:rsidRPr="00F32020">
              <w:rPr>
                <w:sz w:val="16"/>
                <w:szCs w:val="16"/>
              </w:rPr>
              <w:t>1.052</w:t>
            </w:r>
          </w:p>
        </w:tc>
        <w:tc>
          <w:tcPr>
            <w:tcW w:w="0" w:type="auto"/>
            <w:shd w:val="clear" w:color="000000" w:fill="FFFFFF"/>
            <w:noWrap/>
            <w:vAlign w:val="bottom"/>
            <w:hideMark/>
          </w:tcPr>
          <w:p w14:paraId="2E4D3CE0" w14:textId="77777777" w:rsidR="00600B08" w:rsidRPr="00F32020" w:rsidRDefault="00600B08" w:rsidP="00D314EE">
            <w:pPr>
              <w:jc w:val="center"/>
              <w:rPr>
                <w:sz w:val="16"/>
                <w:szCs w:val="16"/>
              </w:rPr>
            </w:pPr>
            <w:r w:rsidRPr="00F32020">
              <w:rPr>
                <w:sz w:val="16"/>
                <w:szCs w:val="16"/>
              </w:rPr>
              <w:t>1.239</w:t>
            </w:r>
          </w:p>
        </w:tc>
        <w:tc>
          <w:tcPr>
            <w:tcW w:w="0" w:type="auto"/>
            <w:shd w:val="clear" w:color="000000" w:fill="FFFFFF"/>
            <w:noWrap/>
            <w:vAlign w:val="bottom"/>
            <w:hideMark/>
          </w:tcPr>
          <w:p w14:paraId="642537A9" w14:textId="77777777" w:rsidR="00600B08" w:rsidRPr="00F32020" w:rsidRDefault="00600B08" w:rsidP="00D314EE">
            <w:pPr>
              <w:jc w:val="center"/>
              <w:rPr>
                <w:sz w:val="16"/>
                <w:szCs w:val="16"/>
              </w:rPr>
            </w:pPr>
            <w:r w:rsidRPr="00F32020">
              <w:rPr>
                <w:sz w:val="16"/>
                <w:szCs w:val="16"/>
              </w:rPr>
              <w:t>1.301**</w:t>
            </w:r>
          </w:p>
        </w:tc>
        <w:tc>
          <w:tcPr>
            <w:tcW w:w="2052" w:type="dxa"/>
            <w:shd w:val="clear" w:color="000000" w:fill="FFFFFF"/>
            <w:noWrap/>
            <w:vAlign w:val="bottom"/>
            <w:hideMark/>
          </w:tcPr>
          <w:p w14:paraId="02D549E1" w14:textId="77777777" w:rsidR="00600B08" w:rsidRPr="00F32020" w:rsidRDefault="00600B08" w:rsidP="00D314EE">
            <w:pPr>
              <w:jc w:val="center"/>
              <w:rPr>
                <w:sz w:val="16"/>
                <w:szCs w:val="16"/>
              </w:rPr>
            </w:pPr>
            <w:r w:rsidRPr="00F32020">
              <w:rPr>
                <w:sz w:val="16"/>
                <w:szCs w:val="16"/>
              </w:rPr>
              <w:t>1.300**</w:t>
            </w:r>
          </w:p>
        </w:tc>
      </w:tr>
      <w:tr w:rsidR="00477CD4" w:rsidRPr="00F32020" w14:paraId="5E78F9A9" w14:textId="77777777" w:rsidTr="00F43152">
        <w:trPr>
          <w:trHeight w:val="260"/>
          <w:jc w:val="center"/>
        </w:trPr>
        <w:tc>
          <w:tcPr>
            <w:tcW w:w="2660" w:type="dxa"/>
            <w:shd w:val="clear" w:color="000000" w:fill="FFFFFF"/>
            <w:noWrap/>
            <w:vAlign w:val="bottom"/>
            <w:hideMark/>
          </w:tcPr>
          <w:p w14:paraId="082928E6"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1C9680A9" w14:textId="77777777" w:rsidR="00600B08" w:rsidRPr="00F32020" w:rsidRDefault="00600B08" w:rsidP="00D314EE">
            <w:pPr>
              <w:jc w:val="center"/>
              <w:rPr>
                <w:sz w:val="16"/>
                <w:szCs w:val="16"/>
              </w:rPr>
            </w:pPr>
            <w:r w:rsidRPr="00F32020">
              <w:rPr>
                <w:sz w:val="16"/>
                <w:szCs w:val="16"/>
              </w:rPr>
              <w:t>(0.1230)</w:t>
            </w:r>
          </w:p>
        </w:tc>
        <w:tc>
          <w:tcPr>
            <w:tcW w:w="0" w:type="auto"/>
            <w:shd w:val="clear" w:color="000000" w:fill="FFFFFF"/>
            <w:noWrap/>
            <w:vAlign w:val="bottom"/>
            <w:hideMark/>
          </w:tcPr>
          <w:p w14:paraId="54D299FA" w14:textId="77777777" w:rsidR="00600B08" w:rsidRPr="00F32020" w:rsidRDefault="00600B08" w:rsidP="00D314EE">
            <w:pPr>
              <w:jc w:val="center"/>
              <w:rPr>
                <w:sz w:val="16"/>
                <w:szCs w:val="16"/>
              </w:rPr>
            </w:pPr>
            <w:r w:rsidRPr="00F32020">
              <w:rPr>
                <w:sz w:val="16"/>
                <w:szCs w:val="16"/>
              </w:rPr>
              <w:t>(0.2020)</w:t>
            </w:r>
          </w:p>
        </w:tc>
        <w:tc>
          <w:tcPr>
            <w:tcW w:w="0" w:type="auto"/>
            <w:shd w:val="clear" w:color="000000" w:fill="FFFFFF"/>
            <w:noWrap/>
            <w:vAlign w:val="bottom"/>
            <w:hideMark/>
          </w:tcPr>
          <w:p w14:paraId="2E69E9B5" w14:textId="77777777" w:rsidR="00600B08" w:rsidRPr="00F32020" w:rsidRDefault="00600B08" w:rsidP="00D314EE">
            <w:pPr>
              <w:jc w:val="center"/>
              <w:rPr>
                <w:sz w:val="16"/>
                <w:szCs w:val="16"/>
              </w:rPr>
            </w:pPr>
            <w:r w:rsidRPr="00F32020">
              <w:rPr>
                <w:sz w:val="16"/>
                <w:szCs w:val="16"/>
              </w:rPr>
              <w:t>(0.1420)</w:t>
            </w:r>
          </w:p>
        </w:tc>
        <w:tc>
          <w:tcPr>
            <w:tcW w:w="2052" w:type="dxa"/>
            <w:shd w:val="clear" w:color="000000" w:fill="FFFFFF"/>
            <w:noWrap/>
            <w:vAlign w:val="bottom"/>
            <w:hideMark/>
          </w:tcPr>
          <w:p w14:paraId="30378F16" w14:textId="77777777" w:rsidR="00600B08" w:rsidRPr="00F32020" w:rsidRDefault="00600B08" w:rsidP="00D314EE">
            <w:pPr>
              <w:jc w:val="center"/>
              <w:rPr>
                <w:sz w:val="16"/>
                <w:szCs w:val="16"/>
              </w:rPr>
            </w:pPr>
            <w:r w:rsidRPr="00F32020">
              <w:rPr>
                <w:sz w:val="16"/>
                <w:szCs w:val="16"/>
              </w:rPr>
              <w:t>(0.1400)</w:t>
            </w:r>
          </w:p>
        </w:tc>
      </w:tr>
      <w:tr w:rsidR="00477CD4" w:rsidRPr="00F32020" w14:paraId="068FF1DF" w14:textId="77777777" w:rsidTr="00F43152">
        <w:trPr>
          <w:trHeight w:val="260"/>
          <w:jc w:val="center"/>
        </w:trPr>
        <w:tc>
          <w:tcPr>
            <w:tcW w:w="2660" w:type="dxa"/>
            <w:shd w:val="clear" w:color="000000" w:fill="FFFFFF"/>
            <w:noWrap/>
            <w:vAlign w:val="bottom"/>
            <w:hideMark/>
          </w:tcPr>
          <w:p w14:paraId="620EAAD9" w14:textId="77777777" w:rsidR="00600B08" w:rsidRPr="00F32020" w:rsidRDefault="00600B08" w:rsidP="00D314EE">
            <w:pPr>
              <w:rPr>
                <w:sz w:val="16"/>
                <w:szCs w:val="16"/>
              </w:rPr>
            </w:pPr>
            <w:r w:rsidRPr="00F32020">
              <w:rPr>
                <w:sz w:val="16"/>
                <w:szCs w:val="16"/>
              </w:rPr>
              <w:t>GDP Growth</w:t>
            </w:r>
          </w:p>
        </w:tc>
        <w:tc>
          <w:tcPr>
            <w:tcW w:w="0" w:type="auto"/>
            <w:shd w:val="clear" w:color="000000" w:fill="FFFFFF"/>
            <w:noWrap/>
            <w:vAlign w:val="bottom"/>
            <w:hideMark/>
          </w:tcPr>
          <w:p w14:paraId="617DCB68" w14:textId="77777777" w:rsidR="00600B08" w:rsidRPr="00F32020" w:rsidRDefault="00600B08" w:rsidP="00D314EE">
            <w:pPr>
              <w:jc w:val="center"/>
              <w:rPr>
                <w:sz w:val="16"/>
                <w:szCs w:val="16"/>
              </w:rPr>
            </w:pPr>
            <w:r w:rsidRPr="00F32020">
              <w:rPr>
                <w:sz w:val="16"/>
                <w:szCs w:val="16"/>
              </w:rPr>
              <w:t>1.017</w:t>
            </w:r>
          </w:p>
        </w:tc>
        <w:tc>
          <w:tcPr>
            <w:tcW w:w="0" w:type="auto"/>
            <w:shd w:val="clear" w:color="000000" w:fill="FFFFFF"/>
            <w:noWrap/>
            <w:vAlign w:val="bottom"/>
            <w:hideMark/>
          </w:tcPr>
          <w:p w14:paraId="31F14E17" w14:textId="77777777" w:rsidR="00600B08" w:rsidRPr="00F32020" w:rsidRDefault="00600B08" w:rsidP="00D314EE">
            <w:pPr>
              <w:jc w:val="center"/>
              <w:rPr>
                <w:sz w:val="16"/>
                <w:szCs w:val="16"/>
              </w:rPr>
            </w:pPr>
            <w:r w:rsidRPr="00F32020">
              <w:rPr>
                <w:sz w:val="16"/>
                <w:szCs w:val="16"/>
              </w:rPr>
              <w:t>0.819</w:t>
            </w:r>
          </w:p>
        </w:tc>
        <w:tc>
          <w:tcPr>
            <w:tcW w:w="0" w:type="auto"/>
            <w:shd w:val="clear" w:color="000000" w:fill="FFFFFF"/>
            <w:noWrap/>
            <w:vAlign w:val="bottom"/>
            <w:hideMark/>
          </w:tcPr>
          <w:p w14:paraId="114DA51F" w14:textId="77777777" w:rsidR="00600B08" w:rsidRPr="00F32020" w:rsidRDefault="00600B08" w:rsidP="00D314EE">
            <w:pPr>
              <w:jc w:val="center"/>
              <w:rPr>
                <w:sz w:val="16"/>
                <w:szCs w:val="16"/>
              </w:rPr>
            </w:pPr>
            <w:r w:rsidRPr="00F32020">
              <w:rPr>
                <w:sz w:val="16"/>
                <w:szCs w:val="16"/>
              </w:rPr>
              <w:t>1.048</w:t>
            </w:r>
          </w:p>
        </w:tc>
        <w:tc>
          <w:tcPr>
            <w:tcW w:w="2052" w:type="dxa"/>
            <w:shd w:val="clear" w:color="000000" w:fill="FFFFFF"/>
            <w:noWrap/>
            <w:vAlign w:val="bottom"/>
            <w:hideMark/>
          </w:tcPr>
          <w:p w14:paraId="6AC444CA" w14:textId="77777777" w:rsidR="00600B08" w:rsidRPr="00F32020" w:rsidRDefault="00600B08" w:rsidP="00D314EE">
            <w:pPr>
              <w:jc w:val="center"/>
              <w:rPr>
                <w:sz w:val="16"/>
                <w:szCs w:val="16"/>
              </w:rPr>
            </w:pPr>
            <w:r w:rsidRPr="00F32020">
              <w:rPr>
                <w:sz w:val="16"/>
                <w:szCs w:val="16"/>
              </w:rPr>
              <w:t>1.058</w:t>
            </w:r>
          </w:p>
        </w:tc>
      </w:tr>
      <w:tr w:rsidR="00477CD4" w:rsidRPr="00F32020" w14:paraId="6F765DA1" w14:textId="77777777" w:rsidTr="00F43152">
        <w:trPr>
          <w:trHeight w:val="260"/>
          <w:jc w:val="center"/>
        </w:trPr>
        <w:tc>
          <w:tcPr>
            <w:tcW w:w="2660" w:type="dxa"/>
            <w:shd w:val="clear" w:color="000000" w:fill="FFFFFF"/>
            <w:noWrap/>
            <w:vAlign w:val="bottom"/>
            <w:hideMark/>
          </w:tcPr>
          <w:p w14:paraId="5B3EAE7C"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5CE806A5" w14:textId="77777777" w:rsidR="00600B08" w:rsidRPr="00F32020" w:rsidRDefault="00600B08" w:rsidP="00D314EE">
            <w:pPr>
              <w:jc w:val="center"/>
              <w:rPr>
                <w:sz w:val="16"/>
                <w:szCs w:val="16"/>
              </w:rPr>
            </w:pPr>
            <w:r w:rsidRPr="00F32020">
              <w:rPr>
                <w:sz w:val="16"/>
                <w:szCs w:val="16"/>
              </w:rPr>
              <w:t>(0.0357)</w:t>
            </w:r>
          </w:p>
        </w:tc>
        <w:tc>
          <w:tcPr>
            <w:tcW w:w="0" w:type="auto"/>
            <w:shd w:val="clear" w:color="000000" w:fill="FFFFFF"/>
            <w:noWrap/>
            <w:vAlign w:val="bottom"/>
            <w:hideMark/>
          </w:tcPr>
          <w:p w14:paraId="4C53C527" w14:textId="77777777" w:rsidR="00600B08" w:rsidRPr="00F32020" w:rsidRDefault="00600B08" w:rsidP="00D314EE">
            <w:pPr>
              <w:jc w:val="center"/>
              <w:rPr>
                <w:sz w:val="16"/>
                <w:szCs w:val="16"/>
              </w:rPr>
            </w:pPr>
            <w:r w:rsidRPr="00F32020">
              <w:rPr>
                <w:sz w:val="16"/>
                <w:szCs w:val="16"/>
              </w:rPr>
              <w:t>(0.1740)</w:t>
            </w:r>
          </w:p>
        </w:tc>
        <w:tc>
          <w:tcPr>
            <w:tcW w:w="0" w:type="auto"/>
            <w:shd w:val="clear" w:color="000000" w:fill="FFFFFF"/>
            <w:noWrap/>
            <w:vAlign w:val="bottom"/>
            <w:hideMark/>
          </w:tcPr>
          <w:p w14:paraId="44BF4182" w14:textId="77777777" w:rsidR="00600B08" w:rsidRPr="00F32020" w:rsidRDefault="00600B08" w:rsidP="00D314EE">
            <w:pPr>
              <w:jc w:val="center"/>
              <w:rPr>
                <w:sz w:val="16"/>
                <w:szCs w:val="16"/>
              </w:rPr>
            </w:pPr>
            <w:r w:rsidRPr="00F32020">
              <w:rPr>
                <w:sz w:val="16"/>
                <w:szCs w:val="16"/>
              </w:rPr>
              <w:t>(0.0376)</w:t>
            </w:r>
          </w:p>
        </w:tc>
        <w:tc>
          <w:tcPr>
            <w:tcW w:w="2052" w:type="dxa"/>
            <w:shd w:val="clear" w:color="000000" w:fill="FFFFFF"/>
            <w:noWrap/>
            <w:vAlign w:val="bottom"/>
            <w:hideMark/>
          </w:tcPr>
          <w:p w14:paraId="7840F7FB" w14:textId="77777777" w:rsidR="00600B08" w:rsidRPr="00F32020" w:rsidRDefault="00600B08" w:rsidP="00D314EE">
            <w:pPr>
              <w:jc w:val="center"/>
              <w:rPr>
                <w:sz w:val="16"/>
                <w:szCs w:val="16"/>
              </w:rPr>
            </w:pPr>
            <w:r w:rsidRPr="00F32020">
              <w:rPr>
                <w:sz w:val="16"/>
                <w:szCs w:val="16"/>
              </w:rPr>
              <w:t>(0.0370)</w:t>
            </w:r>
          </w:p>
        </w:tc>
      </w:tr>
      <w:tr w:rsidR="00477CD4" w:rsidRPr="00F32020" w14:paraId="5A304635" w14:textId="77777777" w:rsidTr="00F43152">
        <w:trPr>
          <w:trHeight w:val="260"/>
          <w:jc w:val="center"/>
        </w:trPr>
        <w:tc>
          <w:tcPr>
            <w:tcW w:w="2660" w:type="dxa"/>
            <w:shd w:val="clear" w:color="000000" w:fill="FFFFFF"/>
            <w:noWrap/>
            <w:vAlign w:val="bottom"/>
            <w:hideMark/>
          </w:tcPr>
          <w:p w14:paraId="2AF2D6A9" w14:textId="77777777" w:rsidR="00600B08" w:rsidRPr="00F32020" w:rsidRDefault="00600B08" w:rsidP="00D314EE">
            <w:pPr>
              <w:rPr>
                <w:sz w:val="16"/>
                <w:szCs w:val="16"/>
              </w:rPr>
            </w:pPr>
            <w:r w:rsidRPr="00F32020">
              <w:rPr>
                <w:sz w:val="16"/>
                <w:szCs w:val="16"/>
              </w:rPr>
              <w:t>Inflation</w:t>
            </w:r>
          </w:p>
        </w:tc>
        <w:tc>
          <w:tcPr>
            <w:tcW w:w="0" w:type="auto"/>
            <w:shd w:val="clear" w:color="000000" w:fill="FFFFFF"/>
            <w:noWrap/>
            <w:vAlign w:val="bottom"/>
            <w:hideMark/>
          </w:tcPr>
          <w:p w14:paraId="4B4A857D" w14:textId="77777777" w:rsidR="00600B08" w:rsidRPr="00F32020" w:rsidRDefault="00600B08" w:rsidP="00D314EE">
            <w:pPr>
              <w:jc w:val="center"/>
              <w:rPr>
                <w:sz w:val="16"/>
                <w:szCs w:val="16"/>
              </w:rPr>
            </w:pPr>
            <w:r w:rsidRPr="00F32020">
              <w:rPr>
                <w:sz w:val="16"/>
                <w:szCs w:val="16"/>
              </w:rPr>
              <w:t>0.966</w:t>
            </w:r>
          </w:p>
        </w:tc>
        <w:tc>
          <w:tcPr>
            <w:tcW w:w="0" w:type="auto"/>
            <w:shd w:val="clear" w:color="000000" w:fill="FFFFFF"/>
            <w:noWrap/>
            <w:vAlign w:val="bottom"/>
            <w:hideMark/>
          </w:tcPr>
          <w:p w14:paraId="04EFEA73" w14:textId="77777777" w:rsidR="00600B08" w:rsidRPr="00F32020" w:rsidRDefault="00600B08" w:rsidP="00D314EE">
            <w:pPr>
              <w:jc w:val="center"/>
              <w:rPr>
                <w:sz w:val="16"/>
                <w:szCs w:val="16"/>
              </w:rPr>
            </w:pPr>
            <w:r w:rsidRPr="00F32020">
              <w:rPr>
                <w:sz w:val="16"/>
                <w:szCs w:val="16"/>
              </w:rPr>
              <w:t>0.945***</w:t>
            </w:r>
          </w:p>
        </w:tc>
        <w:tc>
          <w:tcPr>
            <w:tcW w:w="0" w:type="auto"/>
            <w:shd w:val="clear" w:color="000000" w:fill="FFFFFF"/>
            <w:noWrap/>
            <w:vAlign w:val="bottom"/>
            <w:hideMark/>
          </w:tcPr>
          <w:p w14:paraId="0301EFAF" w14:textId="77777777" w:rsidR="00600B08" w:rsidRPr="00F32020" w:rsidRDefault="00600B08" w:rsidP="00D314EE">
            <w:pPr>
              <w:jc w:val="center"/>
              <w:rPr>
                <w:sz w:val="16"/>
                <w:szCs w:val="16"/>
              </w:rPr>
            </w:pPr>
            <w:r w:rsidRPr="00F32020">
              <w:rPr>
                <w:sz w:val="16"/>
                <w:szCs w:val="16"/>
              </w:rPr>
              <w:t>0.968</w:t>
            </w:r>
          </w:p>
        </w:tc>
        <w:tc>
          <w:tcPr>
            <w:tcW w:w="2052" w:type="dxa"/>
            <w:shd w:val="clear" w:color="000000" w:fill="FFFFFF"/>
            <w:noWrap/>
            <w:vAlign w:val="bottom"/>
            <w:hideMark/>
          </w:tcPr>
          <w:p w14:paraId="7C54BEFF" w14:textId="77777777" w:rsidR="00600B08" w:rsidRPr="00F32020" w:rsidRDefault="00600B08" w:rsidP="00D314EE">
            <w:pPr>
              <w:jc w:val="center"/>
              <w:rPr>
                <w:sz w:val="16"/>
                <w:szCs w:val="16"/>
              </w:rPr>
            </w:pPr>
            <w:r w:rsidRPr="00F32020">
              <w:rPr>
                <w:sz w:val="16"/>
                <w:szCs w:val="16"/>
              </w:rPr>
              <w:t>0.975</w:t>
            </w:r>
          </w:p>
        </w:tc>
      </w:tr>
      <w:tr w:rsidR="00477CD4" w:rsidRPr="00F32020" w14:paraId="38CA2301" w14:textId="77777777" w:rsidTr="00F43152">
        <w:trPr>
          <w:trHeight w:val="260"/>
          <w:jc w:val="center"/>
        </w:trPr>
        <w:tc>
          <w:tcPr>
            <w:tcW w:w="2660" w:type="dxa"/>
            <w:shd w:val="clear" w:color="000000" w:fill="FFFFFF"/>
            <w:noWrap/>
            <w:vAlign w:val="bottom"/>
            <w:hideMark/>
          </w:tcPr>
          <w:p w14:paraId="09023CB1"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4AD5F378" w14:textId="77777777" w:rsidR="00600B08" w:rsidRPr="00F32020" w:rsidRDefault="00600B08" w:rsidP="00D314EE">
            <w:pPr>
              <w:jc w:val="center"/>
              <w:rPr>
                <w:sz w:val="16"/>
                <w:szCs w:val="16"/>
              </w:rPr>
            </w:pPr>
            <w:r w:rsidRPr="00F32020">
              <w:rPr>
                <w:sz w:val="16"/>
                <w:szCs w:val="16"/>
              </w:rPr>
              <w:t>(0.0232)</w:t>
            </w:r>
          </w:p>
        </w:tc>
        <w:tc>
          <w:tcPr>
            <w:tcW w:w="0" w:type="auto"/>
            <w:shd w:val="clear" w:color="000000" w:fill="FFFFFF"/>
            <w:noWrap/>
            <w:vAlign w:val="bottom"/>
            <w:hideMark/>
          </w:tcPr>
          <w:p w14:paraId="0CEA22CE" w14:textId="77777777" w:rsidR="00600B08" w:rsidRPr="00F32020" w:rsidRDefault="00600B08" w:rsidP="00D314EE">
            <w:pPr>
              <w:jc w:val="center"/>
              <w:rPr>
                <w:sz w:val="16"/>
                <w:szCs w:val="16"/>
              </w:rPr>
            </w:pPr>
            <w:r w:rsidRPr="00F32020">
              <w:rPr>
                <w:sz w:val="16"/>
                <w:szCs w:val="16"/>
              </w:rPr>
              <w:t>(0.0193)</w:t>
            </w:r>
          </w:p>
        </w:tc>
        <w:tc>
          <w:tcPr>
            <w:tcW w:w="0" w:type="auto"/>
            <w:shd w:val="clear" w:color="000000" w:fill="FFFFFF"/>
            <w:noWrap/>
            <w:vAlign w:val="bottom"/>
            <w:hideMark/>
          </w:tcPr>
          <w:p w14:paraId="0D45F502" w14:textId="77777777" w:rsidR="00600B08" w:rsidRPr="00F32020" w:rsidRDefault="00600B08" w:rsidP="00D314EE">
            <w:pPr>
              <w:jc w:val="center"/>
              <w:rPr>
                <w:sz w:val="16"/>
                <w:szCs w:val="16"/>
              </w:rPr>
            </w:pPr>
            <w:r w:rsidRPr="00F32020">
              <w:rPr>
                <w:sz w:val="16"/>
                <w:szCs w:val="16"/>
              </w:rPr>
              <w:t>(0.0217)</w:t>
            </w:r>
          </w:p>
        </w:tc>
        <w:tc>
          <w:tcPr>
            <w:tcW w:w="2052" w:type="dxa"/>
            <w:shd w:val="clear" w:color="000000" w:fill="FFFFFF"/>
            <w:noWrap/>
            <w:vAlign w:val="bottom"/>
            <w:hideMark/>
          </w:tcPr>
          <w:p w14:paraId="4FD4FBBB" w14:textId="77777777" w:rsidR="00600B08" w:rsidRPr="00F32020" w:rsidRDefault="00600B08" w:rsidP="00D314EE">
            <w:pPr>
              <w:jc w:val="center"/>
              <w:rPr>
                <w:sz w:val="16"/>
                <w:szCs w:val="16"/>
              </w:rPr>
            </w:pPr>
            <w:r w:rsidRPr="00F32020">
              <w:rPr>
                <w:sz w:val="16"/>
                <w:szCs w:val="16"/>
              </w:rPr>
              <w:t>(0.0220)</w:t>
            </w:r>
          </w:p>
        </w:tc>
      </w:tr>
      <w:tr w:rsidR="00477CD4" w:rsidRPr="00F32020" w14:paraId="209ADEF7" w14:textId="77777777" w:rsidTr="00F43152">
        <w:trPr>
          <w:trHeight w:val="260"/>
          <w:jc w:val="center"/>
        </w:trPr>
        <w:tc>
          <w:tcPr>
            <w:tcW w:w="2660" w:type="dxa"/>
            <w:shd w:val="clear" w:color="000000" w:fill="FFFFFF"/>
            <w:noWrap/>
            <w:vAlign w:val="bottom"/>
            <w:hideMark/>
          </w:tcPr>
          <w:p w14:paraId="3DADB0AF" w14:textId="77777777" w:rsidR="00600B08" w:rsidRPr="00F32020" w:rsidRDefault="00600B08" w:rsidP="00D314EE">
            <w:pPr>
              <w:rPr>
                <w:sz w:val="16"/>
                <w:szCs w:val="16"/>
              </w:rPr>
            </w:pPr>
            <w:r w:rsidRPr="00F32020">
              <w:rPr>
                <w:sz w:val="16"/>
                <w:szCs w:val="16"/>
              </w:rPr>
              <w:t>Institutional Index (WGI)</w:t>
            </w:r>
          </w:p>
        </w:tc>
        <w:tc>
          <w:tcPr>
            <w:tcW w:w="0" w:type="auto"/>
            <w:shd w:val="clear" w:color="000000" w:fill="FFFFFF"/>
            <w:noWrap/>
            <w:vAlign w:val="bottom"/>
            <w:hideMark/>
          </w:tcPr>
          <w:p w14:paraId="3D58CC37" w14:textId="77777777" w:rsidR="00600B08" w:rsidRPr="00F32020" w:rsidRDefault="00600B08" w:rsidP="00D314EE">
            <w:pPr>
              <w:jc w:val="center"/>
              <w:rPr>
                <w:sz w:val="16"/>
                <w:szCs w:val="16"/>
              </w:rPr>
            </w:pPr>
            <w:r w:rsidRPr="00F32020">
              <w:rPr>
                <w:sz w:val="16"/>
                <w:szCs w:val="16"/>
              </w:rPr>
              <w:t>0.949</w:t>
            </w:r>
          </w:p>
        </w:tc>
        <w:tc>
          <w:tcPr>
            <w:tcW w:w="0" w:type="auto"/>
            <w:shd w:val="clear" w:color="000000" w:fill="FFFFFF"/>
            <w:noWrap/>
            <w:vAlign w:val="bottom"/>
            <w:hideMark/>
          </w:tcPr>
          <w:p w14:paraId="129F2DFA" w14:textId="77777777" w:rsidR="00600B08" w:rsidRPr="00F32020" w:rsidRDefault="00600B08" w:rsidP="00D314EE">
            <w:pPr>
              <w:jc w:val="center"/>
              <w:rPr>
                <w:sz w:val="16"/>
                <w:szCs w:val="16"/>
              </w:rPr>
            </w:pPr>
            <w:r w:rsidRPr="00F32020">
              <w:rPr>
                <w:sz w:val="16"/>
                <w:szCs w:val="16"/>
              </w:rPr>
              <w:t>1.133</w:t>
            </w:r>
          </w:p>
        </w:tc>
        <w:tc>
          <w:tcPr>
            <w:tcW w:w="0" w:type="auto"/>
            <w:shd w:val="clear" w:color="000000" w:fill="FFFFFF"/>
            <w:noWrap/>
            <w:vAlign w:val="bottom"/>
            <w:hideMark/>
          </w:tcPr>
          <w:p w14:paraId="7FB39B0B" w14:textId="77777777" w:rsidR="00600B08" w:rsidRPr="00F32020" w:rsidRDefault="00600B08" w:rsidP="00D314EE">
            <w:pPr>
              <w:jc w:val="center"/>
              <w:rPr>
                <w:sz w:val="16"/>
                <w:szCs w:val="16"/>
              </w:rPr>
            </w:pPr>
            <w:r w:rsidRPr="00F32020">
              <w:rPr>
                <w:sz w:val="16"/>
                <w:szCs w:val="16"/>
              </w:rPr>
              <w:t>0.783</w:t>
            </w:r>
          </w:p>
        </w:tc>
        <w:tc>
          <w:tcPr>
            <w:tcW w:w="2052" w:type="dxa"/>
            <w:shd w:val="clear" w:color="000000" w:fill="FFFFFF"/>
            <w:noWrap/>
            <w:vAlign w:val="bottom"/>
            <w:hideMark/>
          </w:tcPr>
          <w:p w14:paraId="28500349" w14:textId="77777777" w:rsidR="00600B08" w:rsidRPr="00F32020" w:rsidRDefault="00600B08" w:rsidP="00D314EE">
            <w:pPr>
              <w:jc w:val="center"/>
              <w:rPr>
                <w:sz w:val="16"/>
                <w:szCs w:val="16"/>
              </w:rPr>
            </w:pPr>
            <w:r w:rsidRPr="00F32020">
              <w:rPr>
                <w:sz w:val="16"/>
                <w:szCs w:val="16"/>
              </w:rPr>
              <w:t>0.787*</w:t>
            </w:r>
          </w:p>
        </w:tc>
      </w:tr>
      <w:tr w:rsidR="00477CD4" w:rsidRPr="00F32020" w14:paraId="642797FC" w14:textId="77777777" w:rsidTr="00F43152">
        <w:trPr>
          <w:trHeight w:val="260"/>
          <w:jc w:val="center"/>
        </w:trPr>
        <w:tc>
          <w:tcPr>
            <w:tcW w:w="2660" w:type="dxa"/>
            <w:shd w:val="clear" w:color="000000" w:fill="FFFFFF"/>
            <w:noWrap/>
            <w:vAlign w:val="bottom"/>
            <w:hideMark/>
          </w:tcPr>
          <w:p w14:paraId="70685C3B"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1E8D7BFC" w14:textId="77777777" w:rsidR="00600B08" w:rsidRPr="00F32020" w:rsidRDefault="00600B08" w:rsidP="00D314EE">
            <w:pPr>
              <w:jc w:val="center"/>
              <w:rPr>
                <w:sz w:val="16"/>
                <w:szCs w:val="16"/>
              </w:rPr>
            </w:pPr>
            <w:r w:rsidRPr="00F32020">
              <w:rPr>
                <w:sz w:val="16"/>
                <w:szCs w:val="16"/>
              </w:rPr>
              <w:t>(0.1120)</w:t>
            </w:r>
          </w:p>
        </w:tc>
        <w:tc>
          <w:tcPr>
            <w:tcW w:w="0" w:type="auto"/>
            <w:shd w:val="clear" w:color="000000" w:fill="FFFFFF"/>
            <w:noWrap/>
            <w:vAlign w:val="bottom"/>
            <w:hideMark/>
          </w:tcPr>
          <w:p w14:paraId="34DA42F2" w14:textId="77777777" w:rsidR="00600B08" w:rsidRPr="00F32020" w:rsidRDefault="00600B08" w:rsidP="00D314EE">
            <w:pPr>
              <w:jc w:val="center"/>
              <w:rPr>
                <w:sz w:val="16"/>
                <w:szCs w:val="16"/>
              </w:rPr>
            </w:pPr>
            <w:r w:rsidRPr="00F32020">
              <w:rPr>
                <w:sz w:val="16"/>
                <w:szCs w:val="16"/>
              </w:rPr>
              <w:t>(0.5520)</w:t>
            </w:r>
          </w:p>
        </w:tc>
        <w:tc>
          <w:tcPr>
            <w:tcW w:w="0" w:type="auto"/>
            <w:shd w:val="clear" w:color="000000" w:fill="FFFFFF"/>
            <w:noWrap/>
            <w:vAlign w:val="bottom"/>
            <w:hideMark/>
          </w:tcPr>
          <w:p w14:paraId="344713EF" w14:textId="77777777" w:rsidR="00600B08" w:rsidRPr="00F32020" w:rsidRDefault="00600B08" w:rsidP="00D314EE">
            <w:pPr>
              <w:jc w:val="center"/>
              <w:rPr>
                <w:sz w:val="16"/>
                <w:szCs w:val="16"/>
              </w:rPr>
            </w:pPr>
            <w:r w:rsidRPr="00F32020">
              <w:rPr>
                <w:sz w:val="16"/>
                <w:szCs w:val="16"/>
              </w:rPr>
              <w:t>(0.1230)</w:t>
            </w:r>
          </w:p>
        </w:tc>
        <w:tc>
          <w:tcPr>
            <w:tcW w:w="2052" w:type="dxa"/>
            <w:shd w:val="clear" w:color="000000" w:fill="FFFFFF"/>
            <w:noWrap/>
            <w:vAlign w:val="bottom"/>
            <w:hideMark/>
          </w:tcPr>
          <w:p w14:paraId="25D47F62" w14:textId="77777777" w:rsidR="00600B08" w:rsidRPr="00F32020" w:rsidRDefault="00600B08" w:rsidP="00D314EE">
            <w:pPr>
              <w:jc w:val="center"/>
              <w:rPr>
                <w:sz w:val="16"/>
                <w:szCs w:val="16"/>
              </w:rPr>
            </w:pPr>
            <w:r w:rsidRPr="00F32020">
              <w:rPr>
                <w:sz w:val="16"/>
                <w:szCs w:val="16"/>
              </w:rPr>
              <w:t>(0.1040)</w:t>
            </w:r>
          </w:p>
        </w:tc>
      </w:tr>
      <w:tr w:rsidR="00477CD4" w:rsidRPr="00F32020" w14:paraId="1530C9AC" w14:textId="77777777" w:rsidTr="00F43152">
        <w:trPr>
          <w:trHeight w:val="260"/>
          <w:jc w:val="center"/>
        </w:trPr>
        <w:tc>
          <w:tcPr>
            <w:tcW w:w="2660" w:type="dxa"/>
            <w:shd w:val="clear" w:color="000000" w:fill="FFFFFF"/>
            <w:noWrap/>
            <w:vAlign w:val="bottom"/>
            <w:hideMark/>
          </w:tcPr>
          <w:p w14:paraId="5DFE8007" w14:textId="77777777" w:rsidR="00600B08" w:rsidRPr="00F32020" w:rsidRDefault="00600B08" w:rsidP="00D314EE">
            <w:pPr>
              <w:rPr>
                <w:sz w:val="16"/>
                <w:szCs w:val="16"/>
              </w:rPr>
            </w:pPr>
            <w:r w:rsidRPr="00F32020">
              <w:rPr>
                <w:sz w:val="16"/>
                <w:szCs w:val="16"/>
              </w:rPr>
              <w:t>Constant</w:t>
            </w:r>
          </w:p>
        </w:tc>
        <w:tc>
          <w:tcPr>
            <w:tcW w:w="0" w:type="auto"/>
            <w:shd w:val="clear" w:color="000000" w:fill="FFFFFF"/>
            <w:noWrap/>
            <w:vAlign w:val="bottom"/>
            <w:hideMark/>
          </w:tcPr>
          <w:p w14:paraId="326D5A74" w14:textId="77777777" w:rsidR="00600B08" w:rsidRPr="00F32020" w:rsidRDefault="00600B08" w:rsidP="00D314EE">
            <w:pPr>
              <w:jc w:val="center"/>
              <w:rPr>
                <w:sz w:val="16"/>
                <w:szCs w:val="16"/>
              </w:rPr>
            </w:pPr>
            <w:r w:rsidRPr="00F32020">
              <w:rPr>
                <w:sz w:val="16"/>
                <w:szCs w:val="16"/>
              </w:rPr>
              <w:t>0.201***</w:t>
            </w:r>
          </w:p>
        </w:tc>
        <w:tc>
          <w:tcPr>
            <w:tcW w:w="0" w:type="auto"/>
            <w:shd w:val="clear" w:color="000000" w:fill="FFFFFF"/>
            <w:noWrap/>
            <w:vAlign w:val="bottom"/>
            <w:hideMark/>
          </w:tcPr>
          <w:p w14:paraId="2833E238" w14:textId="77777777" w:rsidR="00600B08" w:rsidRPr="00F32020" w:rsidRDefault="00600B08" w:rsidP="00D314EE">
            <w:pPr>
              <w:jc w:val="center"/>
              <w:rPr>
                <w:sz w:val="16"/>
                <w:szCs w:val="16"/>
              </w:rPr>
            </w:pPr>
            <w:r w:rsidRPr="00F32020">
              <w:rPr>
                <w:sz w:val="16"/>
                <w:szCs w:val="16"/>
              </w:rPr>
              <w:t>0.0279***</w:t>
            </w:r>
          </w:p>
        </w:tc>
        <w:tc>
          <w:tcPr>
            <w:tcW w:w="0" w:type="auto"/>
            <w:shd w:val="clear" w:color="000000" w:fill="FFFFFF"/>
            <w:noWrap/>
            <w:vAlign w:val="bottom"/>
            <w:hideMark/>
          </w:tcPr>
          <w:p w14:paraId="697A3C28" w14:textId="77777777" w:rsidR="00600B08" w:rsidRPr="00F32020" w:rsidRDefault="00600B08" w:rsidP="00D314EE">
            <w:pPr>
              <w:jc w:val="center"/>
              <w:rPr>
                <w:sz w:val="16"/>
                <w:szCs w:val="16"/>
              </w:rPr>
            </w:pPr>
            <w:r w:rsidRPr="00F32020">
              <w:rPr>
                <w:sz w:val="16"/>
                <w:szCs w:val="16"/>
              </w:rPr>
              <w:t>0.136***</w:t>
            </w:r>
          </w:p>
        </w:tc>
        <w:tc>
          <w:tcPr>
            <w:tcW w:w="2052" w:type="dxa"/>
            <w:shd w:val="clear" w:color="000000" w:fill="FFFFFF"/>
            <w:noWrap/>
            <w:vAlign w:val="bottom"/>
            <w:hideMark/>
          </w:tcPr>
          <w:p w14:paraId="1162C51E" w14:textId="77777777" w:rsidR="00600B08" w:rsidRPr="00F32020" w:rsidRDefault="00600B08" w:rsidP="00D314EE">
            <w:pPr>
              <w:jc w:val="center"/>
              <w:rPr>
                <w:sz w:val="16"/>
                <w:szCs w:val="16"/>
              </w:rPr>
            </w:pPr>
            <w:r w:rsidRPr="00F32020">
              <w:rPr>
                <w:sz w:val="16"/>
                <w:szCs w:val="16"/>
              </w:rPr>
              <w:t>0.122***</w:t>
            </w:r>
          </w:p>
        </w:tc>
      </w:tr>
      <w:tr w:rsidR="00477CD4" w:rsidRPr="00F32020" w14:paraId="42A5FBB6" w14:textId="77777777" w:rsidTr="00F43152">
        <w:trPr>
          <w:trHeight w:val="260"/>
          <w:jc w:val="center"/>
        </w:trPr>
        <w:tc>
          <w:tcPr>
            <w:tcW w:w="2660" w:type="dxa"/>
            <w:shd w:val="clear" w:color="000000" w:fill="FFFFFF"/>
            <w:noWrap/>
            <w:vAlign w:val="bottom"/>
            <w:hideMark/>
          </w:tcPr>
          <w:p w14:paraId="0BB580B0" w14:textId="77777777" w:rsidR="00600B08" w:rsidRPr="00F32020" w:rsidRDefault="00600B08" w:rsidP="00D314EE">
            <w:pPr>
              <w:rPr>
                <w:sz w:val="16"/>
                <w:szCs w:val="16"/>
              </w:rPr>
            </w:pPr>
            <w:r w:rsidRPr="00F32020">
              <w:rPr>
                <w:sz w:val="16"/>
                <w:szCs w:val="16"/>
              </w:rPr>
              <w:t> </w:t>
            </w:r>
          </w:p>
        </w:tc>
        <w:tc>
          <w:tcPr>
            <w:tcW w:w="0" w:type="auto"/>
            <w:shd w:val="clear" w:color="000000" w:fill="FFFFFF"/>
            <w:noWrap/>
            <w:vAlign w:val="bottom"/>
            <w:hideMark/>
          </w:tcPr>
          <w:p w14:paraId="75EE5D81" w14:textId="77777777" w:rsidR="00600B08" w:rsidRPr="00F32020" w:rsidRDefault="00600B08" w:rsidP="00D314EE">
            <w:pPr>
              <w:jc w:val="center"/>
              <w:rPr>
                <w:sz w:val="16"/>
                <w:szCs w:val="16"/>
              </w:rPr>
            </w:pPr>
            <w:r w:rsidRPr="00F32020">
              <w:rPr>
                <w:sz w:val="16"/>
                <w:szCs w:val="16"/>
              </w:rPr>
              <w:t>(0.0900)</w:t>
            </w:r>
          </w:p>
        </w:tc>
        <w:tc>
          <w:tcPr>
            <w:tcW w:w="0" w:type="auto"/>
            <w:shd w:val="clear" w:color="000000" w:fill="FFFFFF"/>
            <w:noWrap/>
            <w:vAlign w:val="bottom"/>
            <w:hideMark/>
          </w:tcPr>
          <w:p w14:paraId="54861B11" w14:textId="77777777" w:rsidR="00600B08" w:rsidRPr="00F32020" w:rsidRDefault="00600B08" w:rsidP="00D314EE">
            <w:pPr>
              <w:jc w:val="center"/>
              <w:rPr>
                <w:sz w:val="16"/>
                <w:szCs w:val="16"/>
              </w:rPr>
            </w:pPr>
            <w:r w:rsidRPr="00F32020">
              <w:rPr>
                <w:sz w:val="16"/>
                <w:szCs w:val="16"/>
              </w:rPr>
              <w:t>(0.0349)</w:t>
            </w:r>
          </w:p>
        </w:tc>
        <w:tc>
          <w:tcPr>
            <w:tcW w:w="0" w:type="auto"/>
            <w:shd w:val="clear" w:color="000000" w:fill="FFFFFF"/>
            <w:noWrap/>
            <w:vAlign w:val="bottom"/>
            <w:hideMark/>
          </w:tcPr>
          <w:p w14:paraId="37C94919" w14:textId="77777777" w:rsidR="00600B08" w:rsidRPr="00F32020" w:rsidRDefault="00600B08" w:rsidP="00D314EE">
            <w:pPr>
              <w:jc w:val="center"/>
              <w:rPr>
                <w:sz w:val="16"/>
                <w:szCs w:val="16"/>
              </w:rPr>
            </w:pPr>
            <w:r w:rsidRPr="00F32020">
              <w:rPr>
                <w:sz w:val="16"/>
                <w:szCs w:val="16"/>
              </w:rPr>
              <w:t>(0.0618)</w:t>
            </w:r>
          </w:p>
        </w:tc>
        <w:tc>
          <w:tcPr>
            <w:tcW w:w="2052" w:type="dxa"/>
            <w:shd w:val="clear" w:color="000000" w:fill="FFFFFF"/>
            <w:noWrap/>
            <w:vAlign w:val="bottom"/>
            <w:hideMark/>
          </w:tcPr>
          <w:p w14:paraId="40060977" w14:textId="77777777" w:rsidR="00600B08" w:rsidRPr="00F32020" w:rsidRDefault="00600B08" w:rsidP="00D314EE">
            <w:pPr>
              <w:jc w:val="center"/>
              <w:rPr>
                <w:sz w:val="16"/>
                <w:szCs w:val="16"/>
              </w:rPr>
            </w:pPr>
            <w:r w:rsidRPr="00F32020">
              <w:rPr>
                <w:sz w:val="16"/>
                <w:szCs w:val="16"/>
              </w:rPr>
              <w:t>(0.0557)</w:t>
            </w:r>
          </w:p>
        </w:tc>
      </w:tr>
      <w:tr w:rsidR="00477CD4" w:rsidRPr="00F32020" w14:paraId="61BE7E68" w14:textId="77777777" w:rsidTr="00F43152">
        <w:trPr>
          <w:trHeight w:val="260"/>
          <w:jc w:val="center"/>
        </w:trPr>
        <w:tc>
          <w:tcPr>
            <w:tcW w:w="2660" w:type="dxa"/>
            <w:shd w:val="clear" w:color="000000" w:fill="FFFFFF"/>
            <w:noWrap/>
            <w:vAlign w:val="bottom"/>
            <w:hideMark/>
          </w:tcPr>
          <w:p w14:paraId="74B65B04" w14:textId="77777777" w:rsidR="00600B08" w:rsidRPr="00F32020" w:rsidRDefault="00600B08" w:rsidP="00D314EE">
            <w:pPr>
              <w:rPr>
                <w:sz w:val="16"/>
                <w:szCs w:val="16"/>
              </w:rPr>
            </w:pPr>
            <w:r w:rsidRPr="00F32020">
              <w:rPr>
                <w:sz w:val="16"/>
                <w:szCs w:val="16"/>
              </w:rPr>
              <w:t>Observations</w:t>
            </w:r>
          </w:p>
        </w:tc>
        <w:tc>
          <w:tcPr>
            <w:tcW w:w="0" w:type="auto"/>
            <w:shd w:val="clear" w:color="000000" w:fill="FFFFFF"/>
            <w:noWrap/>
            <w:vAlign w:val="bottom"/>
            <w:hideMark/>
          </w:tcPr>
          <w:p w14:paraId="1D5704B6" w14:textId="77777777" w:rsidR="00600B08" w:rsidRPr="00F32020" w:rsidRDefault="00600B08" w:rsidP="00D314EE">
            <w:pPr>
              <w:jc w:val="center"/>
              <w:rPr>
                <w:sz w:val="16"/>
                <w:szCs w:val="16"/>
              </w:rPr>
            </w:pPr>
            <w:r w:rsidRPr="00F32020">
              <w:rPr>
                <w:sz w:val="16"/>
                <w:szCs w:val="16"/>
              </w:rPr>
              <w:t>6,532</w:t>
            </w:r>
          </w:p>
        </w:tc>
        <w:tc>
          <w:tcPr>
            <w:tcW w:w="0" w:type="auto"/>
            <w:shd w:val="clear" w:color="000000" w:fill="FFFFFF"/>
            <w:noWrap/>
            <w:vAlign w:val="bottom"/>
            <w:hideMark/>
          </w:tcPr>
          <w:p w14:paraId="2E5C7EE7" w14:textId="77777777" w:rsidR="00600B08" w:rsidRPr="00F32020" w:rsidRDefault="00600B08" w:rsidP="00D314EE">
            <w:pPr>
              <w:jc w:val="center"/>
              <w:rPr>
                <w:sz w:val="16"/>
                <w:szCs w:val="16"/>
              </w:rPr>
            </w:pPr>
            <w:r w:rsidRPr="00F32020">
              <w:rPr>
                <w:sz w:val="16"/>
                <w:szCs w:val="16"/>
              </w:rPr>
              <w:t>2,014</w:t>
            </w:r>
          </w:p>
        </w:tc>
        <w:tc>
          <w:tcPr>
            <w:tcW w:w="0" w:type="auto"/>
            <w:shd w:val="clear" w:color="000000" w:fill="FFFFFF"/>
            <w:noWrap/>
            <w:vAlign w:val="bottom"/>
            <w:hideMark/>
          </w:tcPr>
          <w:p w14:paraId="2D7D3405" w14:textId="77777777" w:rsidR="00600B08" w:rsidRPr="00F32020" w:rsidRDefault="00600B08" w:rsidP="00D314EE">
            <w:pPr>
              <w:jc w:val="center"/>
              <w:rPr>
                <w:sz w:val="16"/>
                <w:szCs w:val="16"/>
              </w:rPr>
            </w:pPr>
            <w:r w:rsidRPr="00F32020">
              <w:rPr>
                <w:sz w:val="16"/>
                <w:szCs w:val="16"/>
              </w:rPr>
              <w:t>6,355</w:t>
            </w:r>
          </w:p>
        </w:tc>
        <w:tc>
          <w:tcPr>
            <w:tcW w:w="2052" w:type="dxa"/>
            <w:shd w:val="clear" w:color="000000" w:fill="FFFFFF"/>
            <w:noWrap/>
            <w:vAlign w:val="bottom"/>
            <w:hideMark/>
          </w:tcPr>
          <w:p w14:paraId="37415DF6" w14:textId="77777777" w:rsidR="00600B08" w:rsidRPr="00F32020" w:rsidRDefault="00600B08" w:rsidP="00D314EE">
            <w:pPr>
              <w:jc w:val="center"/>
              <w:rPr>
                <w:sz w:val="16"/>
                <w:szCs w:val="16"/>
              </w:rPr>
            </w:pPr>
            <w:r w:rsidRPr="00F32020">
              <w:rPr>
                <w:sz w:val="16"/>
                <w:szCs w:val="16"/>
              </w:rPr>
              <w:t>6,355</w:t>
            </w:r>
          </w:p>
        </w:tc>
      </w:tr>
      <w:tr w:rsidR="00477CD4" w:rsidRPr="00F32020" w14:paraId="246F407E" w14:textId="77777777" w:rsidTr="00F43152">
        <w:trPr>
          <w:trHeight w:val="260"/>
          <w:jc w:val="center"/>
        </w:trPr>
        <w:tc>
          <w:tcPr>
            <w:tcW w:w="2660" w:type="dxa"/>
            <w:shd w:val="clear" w:color="000000" w:fill="FFFFFF"/>
            <w:noWrap/>
            <w:vAlign w:val="bottom"/>
            <w:hideMark/>
          </w:tcPr>
          <w:p w14:paraId="64044607" w14:textId="77777777" w:rsidR="00600B08" w:rsidRPr="00F32020" w:rsidRDefault="00600B08" w:rsidP="00D314EE">
            <w:pPr>
              <w:rPr>
                <w:sz w:val="16"/>
                <w:szCs w:val="16"/>
              </w:rPr>
            </w:pPr>
            <w:r w:rsidRPr="00F32020">
              <w:rPr>
                <w:sz w:val="16"/>
                <w:szCs w:val="16"/>
              </w:rPr>
              <w:t># of Founders Dummies</w:t>
            </w:r>
          </w:p>
        </w:tc>
        <w:tc>
          <w:tcPr>
            <w:tcW w:w="0" w:type="auto"/>
            <w:shd w:val="clear" w:color="000000" w:fill="FFFFFF"/>
            <w:noWrap/>
            <w:vAlign w:val="bottom"/>
            <w:hideMark/>
          </w:tcPr>
          <w:p w14:paraId="6B969FC4"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0C7C1C1D"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104F4C65" w14:textId="77777777" w:rsidR="00600B08" w:rsidRPr="00F32020" w:rsidRDefault="00600B08" w:rsidP="00D314EE">
            <w:pPr>
              <w:jc w:val="center"/>
              <w:rPr>
                <w:sz w:val="16"/>
                <w:szCs w:val="16"/>
              </w:rPr>
            </w:pPr>
            <w:r w:rsidRPr="00F32020">
              <w:rPr>
                <w:sz w:val="16"/>
                <w:szCs w:val="16"/>
              </w:rPr>
              <w:t>YES</w:t>
            </w:r>
          </w:p>
        </w:tc>
        <w:tc>
          <w:tcPr>
            <w:tcW w:w="2052" w:type="dxa"/>
            <w:shd w:val="clear" w:color="000000" w:fill="FFFFFF"/>
            <w:noWrap/>
            <w:vAlign w:val="bottom"/>
            <w:hideMark/>
          </w:tcPr>
          <w:p w14:paraId="4D327996" w14:textId="77777777" w:rsidR="00600B08" w:rsidRPr="00F32020" w:rsidRDefault="00600B08" w:rsidP="00D314EE">
            <w:pPr>
              <w:jc w:val="center"/>
              <w:rPr>
                <w:sz w:val="16"/>
                <w:szCs w:val="16"/>
              </w:rPr>
            </w:pPr>
            <w:r w:rsidRPr="00F32020">
              <w:rPr>
                <w:sz w:val="16"/>
                <w:szCs w:val="16"/>
              </w:rPr>
              <w:t>YES</w:t>
            </w:r>
          </w:p>
        </w:tc>
      </w:tr>
      <w:tr w:rsidR="00477CD4" w:rsidRPr="00F32020" w14:paraId="5CF8B773" w14:textId="77777777" w:rsidTr="00F43152">
        <w:trPr>
          <w:trHeight w:val="260"/>
          <w:jc w:val="center"/>
        </w:trPr>
        <w:tc>
          <w:tcPr>
            <w:tcW w:w="2660" w:type="dxa"/>
            <w:shd w:val="clear" w:color="000000" w:fill="FFFFFF"/>
            <w:noWrap/>
            <w:vAlign w:val="bottom"/>
            <w:hideMark/>
          </w:tcPr>
          <w:p w14:paraId="5B09E2CF" w14:textId="77777777" w:rsidR="00600B08" w:rsidRPr="00F32020" w:rsidRDefault="00600B08" w:rsidP="00D314EE">
            <w:pPr>
              <w:rPr>
                <w:sz w:val="16"/>
                <w:szCs w:val="16"/>
              </w:rPr>
            </w:pPr>
            <w:r w:rsidRPr="00F32020">
              <w:rPr>
                <w:sz w:val="16"/>
                <w:szCs w:val="16"/>
              </w:rPr>
              <w:t>Programme Dummies</w:t>
            </w:r>
          </w:p>
        </w:tc>
        <w:tc>
          <w:tcPr>
            <w:tcW w:w="0" w:type="auto"/>
            <w:shd w:val="clear" w:color="000000" w:fill="FFFFFF"/>
            <w:noWrap/>
            <w:vAlign w:val="bottom"/>
            <w:hideMark/>
          </w:tcPr>
          <w:p w14:paraId="65861A55"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64AD1A8D"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5FE06DBC" w14:textId="77777777" w:rsidR="00600B08" w:rsidRPr="00F32020" w:rsidRDefault="00600B08" w:rsidP="00D314EE">
            <w:pPr>
              <w:jc w:val="center"/>
              <w:rPr>
                <w:sz w:val="16"/>
                <w:szCs w:val="16"/>
              </w:rPr>
            </w:pPr>
            <w:r w:rsidRPr="00F32020">
              <w:rPr>
                <w:sz w:val="16"/>
                <w:szCs w:val="16"/>
              </w:rPr>
              <w:t>YES</w:t>
            </w:r>
          </w:p>
        </w:tc>
        <w:tc>
          <w:tcPr>
            <w:tcW w:w="2052" w:type="dxa"/>
            <w:shd w:val="clear" w:color="000000" w:fill="FFFFFF"/>
            <w:noWrap/>
            <w:vAlign w:val="bottom"/>
            <w:hideMark/>
          </w:tcPr>
          <w:p w14:paraId="3FDEAF52" w14:textId="77777777" w:rsidR="00600B08" w:rsidRPr="00F32020" w:rsidRDefault="00600B08" w:rsidP="00D314EE">
            <w:pPr>
              <w:jc w:val="center"/>
              <w:rPr>
                <w:sz w:val="16"/>
                <w:szCs w:val="16"/>
              </w:rPr>
            </w:pPr>
            <w:r w:rsidRPr="00F32020">
              <w:rPr>
                <w:sz w:val="16"/>
                <w:szCs w:val="16"/>
              </w:rPr>
              <w:t>YES</w:t>
            </w:r>
          </w:p>
        </w:tc>
      </w:tr>
      <w:tr w:rsidR="00477CD4" w:rsidRPr="00F32020" w14:paraId="0DDF45C5" w14:textId="77777777" w:rsidTr="00F43152">
        <w:trPr>
          <w:trHeight w:val="260"/>
          <w:jc w:val="center"/>
        </w:trPr>
        <w:tc>
          <w:tcPr>
            <w:tcW w:w="2660" w:type="dxa"/>
            <w:shd w:val="clear" w:color="000000" w:fill="FFFFFF"/>
            <w:noWrap/>
            <w:vAlign w:val="bottom"/>
            <w:hideMark/>
          </w:tcPr>
          <w:p w14:paraId="4CA2AEBD" w14:textId="77777777" w:rsidR="00600B08" w:rsidRPr="00F32020" w:rsidRDefault="00600B08" w:rsidP="00D314EE">
            <w:pPr>
              <w:rPr>
                <w:sz w:val="16"/>
                <w:szCs w:val="16"/>
              </w:rPr>
            </w:pPr>
            <w:r w:rsidRPr="00F32020">
              <w:rPr>
                <w:sz w:val="16"/>
                <w:szCs w:val="16"/>
              </w:rPr>
              <w:t>Sector Dummies</w:t>
            </w:r>
          </w:p>
        </w:tc>
        <w:tc>
          <w:tcPr>
            <w:tcW w:w="0" w:type="auto"/>
            <w:shd w:val="clear" w:color="000000" w:fill="FFFFFF"/>
            <w:noWrap/>
            <w:vAlign w:val="bottom"/>
            <w:hideMark/>
          </w:tcPr>
          <w:p w14:paraId="2CB106FA"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1E657033"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348E2407" w14:textId="77777777" w:rsidR="00600B08" w:rsidRPr="00F32020" w:rsidRDefault="00600B08" w:rsidP="00D314EE">
            <w:pPr>
              <w:jc w:val="center"/>
              <w:rPr>
                <w:sz w:val="16"/>
                <w:szCs w:val="16"/>
              </w:rPr>
            </w:pPr>
            <w:r w:rsidRPr="00F32020">
              <w:rPr>
                <w:sz w:val="16"/>
                <w:szCs w:val="16"/>
              </w:rPr>
              <w:t>YES</w:t>
            </w:r>
          </w:p>
        </w:tc>
        <w:tc>
          <w:tcPr>
            <w:tcW w:w="2052" w:type="dxa"/>
            <w:shd w:val="clear" w:color="000000" w:fill="FFFFFF"/>
            <w:noWrap/>
            <w:vAlign w:val="bottom"/>
            <w:hideMark/>
          </w:tcPr>
          <w:p w14:paraId="4C08EFAB" w14:textId="77777777" w:rsidR="00600B08" w:rsidRPr="00F32020" w:rsidRDefault="00600B08" w:rsidP="00D314EE">
            <w:pPr>
              <w:jc w:val="center"/>
              <w:rPr>
                <w:sz w:val="16"/>
                <w:szCs w:val="16"/>
              </w:rPr>
            </w:pPr>
            <w:r w:rsidRPr="00F32020">
              <w:rPr>
                <w:sz w:val="16"/>
                <w:szCs w:val="16"/>
              </w:rPr>
              <w:t>YES</w:t>
            </w:r>
          </w:p>
        </w:tc>
      </w:tr>
      <w:tr w:rsidR="00477CD4" w:rsidRPr="00F32020" w14:paraId="21264EB6" w14:textId="77777777" w:rsidTr="00F43152">
        <w:trPr>
          <w:trHeight w:val="260"/>
          <w:jc w:val="center"/>
        </w:trPr>
        <w:tc>
          <w:tcPr>
            <w:tcW w:w="2660" w:type="dxa"/>
            <w:shd w:val="clear" w:color="000000" w:fill="FFFFFF"/>
            <w:noWrap/>
            <w:vAlign w:val="bottom"/>
            <w:hideMark/>
          </w:tcPr>
          <w:p w14:paraId="49845774" w14:textId="77777777" w:rsidR="00600B08" w:rsidRPr="00F32020" w:rsidRDefault="00600B08" w:rsidP="00D314EE">
            <w:pPr>
              <w:rPr>
                <w:sz w:val="16"/>
                <w:szCs w:val="16"/>
              </w:rPr>
            </w:pPr>
            <w:r w:rsidRPr="00F32020">
              <w:rPr>
                <w:sz w:val="16"/>
                <w:szCs w:val="16"/>
              </w:rPr>
              <w:t>Year Dummies</w:t>
            </w:r>
          </w:p>
        </w:tc>
        <w:tc>
          <w:tcPr>
            <w:tcW w:w="0" w:type="auto"/>
            <w:shd w:val="clear" w:color="000000" w:fill="FFFFFF"/>
            <w:noWrap/>
            <w:vAlign w:val="bottom"/>
            <w:hideMark/>
          </w:tcPr>
          <w:p w14:paraId="49CDD8F0"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79085A1B" w14:textId="77777777" w:rsidR="00600B08" w:rsidRPr="00F32020" w:rsidRDefault="00600B08" w:rsidP="00D314EE">
            <w:pPr>
              <w:jc w:val="center"/>
              <w:rPr>
                <w:sz w:val="16"/>
                <w:szCs w:val="16"/>
              </w:rPr>
            </w:pPr>
            <w:r w:rsidRPr="00F32020">
              <w:rPr>
                <w:sz w:val="16"/>
                <w:szCs w:val="16"/>
              </w:rPr>
              <w:t>YES</w:t>
            </w:r>
          </w:p>
        </w:tc>
        <w:tc>
          <w:tcPr>
            <w:tcW w:w="0" w:type="auto"/>
            <w:shd w:val="clear" w:color="000000" w:fill="FFFFFF"/>
            <w:noWrap/>
            <w:vAlign w:val="bottom"/>
            <w:hideMark/>
          </w:tcPr>
          <w:p w14:paraId="5075C5BA" w14:textId="77777777" w:rsidR="00600B08" w:rsidRPr="00F32020" w:rsidRDefault="00600B08" w:rsidP="00D314EE">
            <w:pPr>
              <w:jc w:val="center"/>
              <w:rPr>
                <w:sz w:val="16"/>
                <w:szCs w:val="16"/>
              </w:rPr>
            </w:pPr>
            <w:r w:rsidRPr="00F32020">
              <w:rPr>
                <w:sz w:val="16"/>
                <w:szCs w:val="16"/>
              </w:rPr>
              <w:t>YES</w:t>
            </w:r>
          </w:p>
        </w:tc>
        <w:tc>
          <w:tcPr>
            <w:tcW w:w="2052" w:type="dxa"/>
            <w:shd w:val="clear" w:color="000000" w:fill="FFFFFF"/>
            <w:noWrap/>
            <w:vAlign w:val="bottom"/>
            <w:hideMark/>
          </w:tcPr>
          <w:p w14:paraId="512F5D97" w14:textId="77777777" w:rsidR="00600B08" w:rsidRPr="00F32020" w:rsidRDefault="00600B08" w:rsidP="00D314EE">
            <w:pPr>
              <w:jc w:val="center"/>
              <w:rPr>
                <w:sz w:val="16"/>
                <w:szCs w:val="16"/>
              </w:rPr>
            </w:pPr>
            <w:r w:rsidRPr="00F32020">
              <w:rPr>
                <w:sz w:val="16"/>
                <w:szCs w:val="16"/>
              </w:rPr>
              <w:t>YES</w:t>
            </w:r>
          </w:p>
        </w:tc>
      </w:tr>
      <w:tr w:rsidR="00477CD4" w:rsidRPr="00F32020" w14:paraId="594444FB" w14:textId="77777777" w:rsidTr="00F43152">
        <w:trPr>
          <w:trHeight w:val="280"/>
          <w:jc w:val="center"/>
        </w:trPr>
        <w:tc>
          <w:tcPr>
            <w:tcW w:w="2660" w:type="dxa"/>
            <w:tcBorders>
              <w:bottom w:val="single" w:sz="4" w:space="0" w:color="auto"/>
            </w:tcBorders>
            <w:shd w:val="clear" w:color="000000" w:fill="FFFFFF"/>
            <w:noWrap/>
            <w:vAlign w:val="bottom"/>
            <w:hideMark/>
          </w:tcPr>
          <w:p w14:paraId="55A66253" w14:textId="77777777" w:rsidR="00600B08" w:rsidRPr="00F32020" w:rsidRDefault="00600B08" w:rsidP="00D314EE">
            <w:pPr>
              <w:rPr>
                <w:sz w:val="16"/>
                <w:szCs w:val="16"/>
              </w:rPr>
            </w:pPr>
            <w:r w:rsidRPr="00F32020">
              <w:rPr>
                <w:sz w:val="16"/>
                <w:szCs w:val="16"/>
              </w:rPr>
              <w:t>Regional Dummies</w:t>
            </w:r>
          </w:p>
        </w:tc>
        <w:tc>
          <w:tcPr>
            <w:tcW w:w="0" w:type="auto"/>
            <w:tcBorders>
              <w:bottom w:val="single" w:sz="4" w:space="0" w:color="auto"/>
            </w:tcBorders>
            <w:shd w:val="clear" w:color="000000" w:fill="FFFFFF"/>
            <w:noWrap/>
            <w:vAlign w:val="bottom"/>
            <w:hideMark/>
          </w:tcPr>
          <w:p w14:paraId="6957ABE2" w14:textId="77777777" w:rsidR="00600B08" w:rsidRPr="00F32020" w:rsidRDefault="00600B08" w:rsidP="00D314EE">
            <w:pPr>
              <w:jc w:val="center"/>
              <w:rPr>
                <w:sz w:val="16"/>
                <w:szCs w:val="16"/>
              </w:rPr>
            </w:pPr>
            <w:r w:rsidRPr="00F32020">
              <w:rPr>
                <w:sz w:val="16"/>
                <w:szCs w:val="16"/>
              </w:rPr>
              <w:t>YES</w:t>
            </w:r>
          </w:p>
        </w:tc>
        <w:tc>
          <w:tcPr>
            <w:tcW w:w="0" w:type="auto"/>
            <w:tcBorders>
              <w:bottom w:val="single" w:sz="4" w:space="0" w:color="auto"/>
            </w:tcBorders>
            <w:shd w:val="clear" w:color="000000" w:fill="FFFFFF"/>
            <w:noWrap/>
            <w:vAlign w:val="bottom"/>
            <w:hideMark/>
          </w:tcPr>
          <w:p w14:paraId="6369DC55" w14:textId="77777777" w:rsidR="00600B08" w:rsidRPr="00F32020" w:rsidRDefault="00600B08" w:rsidP="00D314EE">
            <w:pPr>
              <w:jc w:val="center"/>
              <w:rPr>
                <w:sz w:val="16"/>
                <w:szCs w:val="16"/>
              </w:rPr>
            </w:pPr>
            <w:r w:rsidRPr="00F32020">
              <w:rPr>
                <w:sz w:val="16"/>
                <w:szCs w:val="16"/>
              </w:rPr>
              <w:t>YES</w:t>
            </w:r>
          </w:p>
        </w:tc>
        <w:tc>
          <w:tcPr>
            <w:tcW w:w="0" w:type="auto"/>
            <w:tcBorders>
              <w:bottom w:val="single" w:sz="4" w:space="0" w:color="auto"/>
            </w:tcBorders>
            <w:shd w:val="clear" w:color="000000" w:fill="FFFFFF"/>
            <w:noWrap/>
            <w:vAlign w:val="bottom"/>
            <w:hideMark/>
          </w:tcPr>
          <w:p w14:paraId="6F36A3E9" w14:textId="77777777" w:rsidR="00600B08" w:rsidRPr="00F32020" w:rsidRDefault="00600B08" w:rsidP="00D314EE">
            <w:pPr>
              <w:jc w:val="center"/>
              <w:rPr>
                <w:sz w:val="16"/>
                <w:szCs w:val="16"/>
              </w:rPr>
            </w:pPr>
            <w:r w:rsidRPr="00F32020">
              <w:rPr>
                <w:sz w:val="16"/>
                <w:szCs w:val="16"/>
              </w:rPr>
              <w:t>YES</w:t>
            </w:r>
          </w:p>
        </w:tc>
        <w:tc>
          <w:tcPr>
            <w:tcW w:w="2052" w:type="dxa"/>
            <w:tcBorders>
              <w:bottom w:val="single" w:sz="4" w:space="0" w:color="auto"/>
            </w:tcBorders>
            <w:shd w:val="clear" w:color="000000" w:fill="FFFFFF"/>
            <w:noWrap/>
            <w:vAlign w:val="bottom"/>
            <w:hideMark/>
          </w:tcPr>
          <w:p w14:paraId="1E3B053A" w14:textId="77777777" w:rsidR="00600B08" w:rsidRPr="00F32020" w:rsidRDefault="00600B08" w:rsidP="00D314EE">
            <w:pPr>
              <w:jc w:val="center"/>
              <w:rPr>
                <w:sz w:val="16"/>
                <w:szCs w:val="16"/>
              </w:rPr>
            </w:pPr>
            <w:r w:rsidRPr="00F32020">
              <w:rPr>
                <w:sz w:val="16"/>
                <w:szCs w:val="16"/>
              </w:rPr>
              <w:t>YES</w:t>
            </w:r>
          </w:p>
        </w:tc>
      </w:tr>
      <w:tr w:rsidR="00600B08" w:rsidRPr="00F32020" w14:paraId="2478B0E9" w14:textId="77777777" w:rsidTr="00B10599">
        <w:trPr>
          <w:trHeight w:val="280"/>
          <w:jc w:val="center"/>
        </w:trPr>
        <w:tc>
          <w:tcPr>
            <w:tcW w:w="9803" w:type="dxa"/>
            <w:gridSpan w:val="5"/>
            <w:tcBorders>
              <w:bottom w:val="single" w:sz="4" w:space="0" w:color="auto"/>
            </w:tcBorders>
            <w:shd w:val="clear" w:color="000000" w:fill="FFFFFF"/>
            <w:noWrap/>
            <w:vAlign w:val="bottom"/>
          </w:tcPr>
          <w:p w14:paraId="1CB5681E" w14:textId="77777777" w:rsidR="00600B08" w:rsidRPr="00F32020" w:rsidRDefault="00600B08" w:rsidP="00600B08">
            <w:pPr>
              <w:jc w:val="both"/>
              <w:rPr>
                <w:sz w:val="16"/>
                <w:szCs w:val="16"/>
              </w:rPr>
            </w:pPr>
            <w:r w:rsidRPr="00F32020">
              <w:rPr>
                <w:sz w:val="16"/>
                <w:szCs w:val="16"/>
              </w:rPr>
              <w:t>Notes: Standard errors in parentheses. Multi-level logit model estimated via generalised linear mixed-effects model (GLMM), where ventures (level 1) are nested within accelerator programmes (level 2). Coefficients are reported as odds ratios (e</w:t>
            </w:r>
            <w:r w:rsidRPr="00F32020">
              <w:rPr>
                <w:sz w:val="16"/>
                <w:szCs w:val="16"/>
                <w:vertAlign w:val="superscript"/>
              </w:rPr>
              <w:t>β</w:t>
            </w:r>
            <w:r w:rsidRPr="00F32020">
              <w:rPr>
                <w:sz w:val="16"/>
                <w:szCs w:val="16"/>
              </w:rPr>
              <w:t>) and standard errors are reported using the delta method (e</w:t>
            </w:r>
            <w:r w:rsidRPr="00F32020">
              <w:rPr>
                <w:sz w:val="16"/>
                <w:szCs w:val="16"/>
                <w:vertAlign w:val="superscript"/>
              </w:rPr>
              <w:t>β</w:t>
            </w:r>
            <w:r w:rsidRPr="00F32020">
              <w:rPr>
                <w:sz w:val="16"/>
                <w:szCs w:val="16"/>
              </w:rPr>
              <w:t xml:space="preserve"> x std. errors). Variables defined in Table A2. *** p&lt;0.01, ** p&lt;0.05, * p&lt;0.1</w:t>
            </w:r>
          </w:p>
          <w:p w14:paraId="179E06D4" w14:textId="77777777" w:rsidR="00600B08" w:rsidRPr="00F32020" w:rsidRDefault="00600B08" w:rsidP="00D314EE">
            <w:pPr>
              <w:jc w:val="center"/>
              <w:rPr>
                <w:sz w:val="16"/>
                <w:szCs w:val="16"/>
              </w:rPr>
            </w:pPr>
          </w:p>
        </w:tc>
      </w:tr>
    </w:tbl>
    <w:p w14:paraId="58E9B5EE" w14:textId="77777777" w:rsidR="00152AEF" w:rsidRPr="00F32020" w:rsidRDefault="00152AEF" w:rsidP="00152AEF">
      <w:pPr>
        <w:rPr>
          <w:shd w:val="clear" w:color="auto" w:fill="FFFFFF"/>
        </w:rPr>
        <w:sectPr w:rsidR="00152AEF" w:rsidRPr="00F32020" w:rsidSect="00152AEF">
          <w:footnotePr>
            <w:numRestart w:val="eachSect"/>
          </w:footnotePr>
          <w:type w:val="continuous"/>
          <w:pgSz w:w="11900" w:h="16840"/>
          <w:pgMar w:top="720" w:right="720" w:bottom="720" w:left="720" w:header="708" w:footer="708" w:gutter="0"/>
          <w:cols w:space="708"/>
          <w:docGrid w:linePitch="360"/>
        </w:sectPr>
      </w:pPr>
    </w:p>
    <w:p w14:paraId="18F5594F" w14:textId="77777777" w:rsidR="00152AEF" w:rsidRPr="00F32020" w:rsidRDefault="00152AEF" w:rsidP="00152AEF">
      <w:pPr>
        <w:spacing w:line="360" w:lineRule="auto"/>
        <w:jc w:val="both"/>
        <w:rPr>
          <w:b/>
          <w:bCs/>
        </w:rPr>
      </w:pPr>
      <w:r w:rsidRPr="00F32020">
        <w:rPr>
          <w:b/>
          <w:bCs/>
        </w:rPr>
        <w:lastRenderedPageBreak/>
        <w:t>IV.</w:t>
      </w:r>
      <w:r w:rsidRPr="00F32020">
        <w:rPr>
          <w:b/>
          <w:bCs/>
          <w:i/>
          <w:iCs/>
        </w:rPr>
        <w:t xml:space="preserve"> </w:t>
      </w:r>
      <w:r w:rsidRPr="00F32020">
        <w:rPr>
          <w:b/>
          <w:bCs/>
        </w:rPr>
        <w:t>Agriculture and national culture</w:t>
      </w:r>
      <w:r w:rsidRPr="00F32020">
        <w:rPr>
          <w:b/>
          <w:bCs/>
          <w:i/>
          <w:iCs/>
        </w:rPr>
        <w:t xml:space="preserve"> </w:t>
      </w:r>
    </w:p>
    <w:p w14:paraId="176FEA1E" w14:textId="77777777" w:rsidR="00152AEF" w:rsidRPr="00F32020" w:rsidRDefault="00152AEF" w:rsidP="00152AEF">
      <w:pPr>
        <w:spacing w:line="360" w:lineRule="auto"/>
        <w:jc w:val="both"/>
        <w:rPr>
          <w:b/>
          <w:bCs/>
          <w:i/>
          <w:iCs/>
        </w:rPr>
      </w:pPr>
      <w:r w:rsidRPr="00F32020">
        <w:t xml:space="preserve">Hofstede et al. (2008) argue that </w:t>
      </w:r>
      <w:r w:rsidRPr="00F32020">
        <w:rPr>
          <w:rFonts w:eastAsiaTheme="minorHAnsi"/>
          <w:lang w:eastAsia="en-US"/>
        </w:rPr>
        <w:t>societies</w:t>
      </w:r>
      <w:r w:rsidRPr="00F32020">
        <w:t xml:space="preserve"> </w:t>
      </w:r>
      <w:r w:rsidRPr="00F32020">
        <w:rPr>
          <w:rFonts w:eastAsiaTheme="minorHAnsi"/>
          <w:lang w:eastAsia="en-US"/>
        </w:rPr>
        <w:t>with an old tradition of agriculture are, in general, uncertainty avoiding whereas those that concentrate on fishing or</w:t>
      </w:r>
      <w:r w:rsidRPr="00F32020">
        <w:rPr>
          <w:b/>
          <w:bCs/>
          <w:i/>
          <w:iCs/>
        </w:rPr>
        <w:t xml:space="preserve"> </w:t>
      </w:r>
      <w:r w:rsidRPr="00F32020">
        <w:rPr>
          <w:rFonts w:eastAsiaTheme="minorHAnsi"/>
          <w:lang w:eastAsia="en-US"/>
        </w:rPr>
        <w:t xml:space="preserve">trading are uncertainty tolerant. </w:t>
      </w:r>
      <w:r w:rsidRPr="00F32020">
        <w:t>Further to this,</w:t>
      </w:r>
      <w:r w:rsidRPr="00F32020">
        <w:rPr>
          <w:b/>
          <w:bCs/>
          <w:i/>
          <w:iCs/>
        </w:rPr>
        <w:t xml:space="preserve"> </w:t>
      </w:r>
      <w:r w:rsidRPr="00F32020">
        <w:rPr>
          <w:lang w:eastAsia="ja-JP"/>
        </w:rPr>
        <w:t xml:space="preserve">Meggers (1954) discusses that in places that are unsuitable for agriculture, populations will turn to subsistence derived from hunting, fishing and gathering that normally supports only small groups that must be constantly on the move. This results in a </w:t>
      </w:r>
      <w:r w:rsidRPr="00F32020">
        <w:rPr>
          <w:rFonts w:eastAsiaTheme="minorHAnsi"/>
          <w:lang w:eastAsia="en-US"/>
        </w:rPr>
        <w:t>social organisation that is formed around kinship lines, with the social unit being a single family, or at best an extended family or lineage</w:t>
      </w:r>
      <w:r w:rsidRPr="00F32020">
        <w:rPr>
          <w:lang w:eastAsia="ja-JP"/>
        </w:rPr>
        <w:t xml:space="preserve">. Therefore, one would expect that in places that are unsuitable for agriculture, a culture of individualism would prevail. On the other hand, as discussed in Hofstede et al. (2010), </w:t>
      </w:r>
      <w:r w:rsidRPr="00F32020">
        <w:rPr>
          <w:rFonts w:eastAsiaTheme="minorHAnsi"/>
          <w:lang w:eastAsia="en-US"/>
        </w:rPr>
        <w:t>farmers had to collaborate in monotonous, season-bound work, and they lived in much greater numbers than hunter-gatherers or herders. Hence, as they mention, this way of life requires a certain meekness that could be related to higher collectivism.</w:t>
      </w:r>
      <w:r w:rsidRPr="00F32020" w:rsidDel="00264078">
        <w:rPr>
          <w:lang w:eastAsia="ja-JP"/>
        </w:rPr>
        <w:t xml:space="preserve"> </w:t>
      </w:r>
      <w:r w:rsidRPr="00F32020">
        <w:rPr>
          <w:lang w:eastAsia="ja-JP"/>
        </w:rPr>
        <w:t xml:space="preserve">Along the same lines, </w:t>
      </w:r>
      <w:r w:rsidRPr="00F32020">
        <w:rPr>
          <w:rStyle w:val="addmd"/>
        </w:rPr>
        <w:t>Yook (2013) highlights that “</w:t>
      </w:r>
      <w:r w:rsidRPr="00F32020">
        <w:rPr>
          <w:rStyle w:val="addmd"/>
          <w:i/>
          <w:iCs/>
        </w:rPr>
        <w:t>To take an example of cultural programming, we look at agricultural societies’ collective patterns. Agrarian societies tend to be collective in nature. Irrigation as a necessity in agricultural settings has led to the need to work collectively for farmers to survive and to fulfil human goals. In urban areas, that collective action needed to irritate agricultural terrain is not as valued</w:t>
      </w:r>
      <w:r w:rsidRPr="00F32020">
        <w:rPr>
          <w:rStyle w:val="addmd"/>
        </w:rPr>
        <w:t xml:space="preserve">.” (p. 43). </w:t>
      </w:r>
      <w:r w:rsidRPr="00F32020">
        <w:rPr>
          <w:lang w:eastAsia="ja-JP"/>
        </w:rPr>
        <w:t xml:space="preserve">Indeed, Ang (2019) documents empirically that </w:t>
      </w:r>
      <w:r w:rsidRPr="00F32020">
        <w:t>agricultural legacies have structured the individualist traits among individuals, pre-industrial ethnic groups, and countries.</w:t>
      </w:r>
      <w:r w:rsidRPr="00F32020" w:rsidDel="00264078">
        <w:rPr>
          <w:lang w:eastAsia="ja-JP"/>
        </w:rPr>
        <w:t xml:space="preserve"> </w:t>
      </w:r>
    </w:p>
    <w:p w14:paraId="3B754023" w14:textId="77777777" w:rsidR="00152AEF" w:rsidRPr="00F32020" w:rsidRDefault="00152AEF" w:rsidP="00152AEF">
      <w:pPr>
        <w:spacing w:line="360" w:lineRule="auto"/>
        <w:ind w:firstLine="720"/>
        <w:jc w:val="both"/>
        <w:rPr>
          <w:b/>
          <w:bCs/>
          <w:i/>
          <w:iCs/>
        </w:rPr>
      </w:pPr>
      <w:r w:rsidRPr="00F32020">
        <w:t>Turning to power distance, Hofstede et al. (2010) provide at least two reasons for which it could be related to agricultural, with societies with a long-standing agricultural tradition being more hierarchical. First, possessions introduced an inherited hierarchy in agricultural society. Second, large power distance is one of the adaptations to life in a large, anonymous society that was made possible by agriculture.</w:t>
      </w:r>
      <w:r w:rsidRPr="00F32020">
        <w:rPr>
          <w:rStyle w:val="FootnoteReference"/>
        </w:rPr>
        <w:footnoteReference w:id="11"/>
      </w:r>
      <w:r w:rsidRPr="00F32020">
        <w:t xml:space="preserve"> Diamond (1987) also argues that the emerge of agriculture was associated by social inequality. As discussed further in </w:t>
      </w:r>
      <w:r w:rsidRPr="00F32020">
        <w:rPr>
          <w:rStyle w:val="addmd"/>
        </w:rPr>
        <w:t>Witzel (2019)</w:t>
      </w:r>
      <w:r w:rsidRPr="00F32020">
        <w:t xml:space="preserve">, this happened because those who produced the food lost power to those who lived off the surpluses generated by agricultural labourers, with these societies becoming hierarchical with a high degree of power distance. </w:t>
      </w:r>
    </w:p>
    <w:p w14:paraId="1C2A643F" w14:textId="2479774D" w:rsidR="006F053F" w:rsidRPr="00F32020" w:rsidRDefault="00152AEF" w:rsidP="00152AEF">
      <w:pPr>
        <w:spacing w:line="360" w:lineRule="auto"/>
        <w:ind w:firstLine="720"/>
        <w:jc w:val="both"/>
      </w:pPr>
      <w:r w:rsidRPr="00F32020">
        <w:rPr>
          <w:rFonts w:eastAsiaTheme="minorHAnsi"/>
          <w:lang w:eastAsia="en-US"/>
        </w:rPr>
        <w:t>The way in which a country deals with gender roles, has also been associated to agriculture (Diamond, 1987; Hansen et al., 2015). For example,</w:t>
      </w:r>
      <w:r w:rsidRPr="00F32020">
        <w:rPr>
          <w:lang w:eastAsia="el-GR"/>
        </w:rPr>
        <w:t xml:space="preserve"> Hansen et al. (2015) show that in </w:t>
      </w:r>
      <w:r w:rsidRPr="00F32020">
        <w:t xml:space="preserve">societies with long histories of agriculture, there is higher gender inequality, possibly </w:t>
      </w:r>
      <w:r w:rsidRPr="00F32020">
        <w:lastRenderedPageBreak/>
        <w:t>because of more patriarchal values and beliefs regarding the role of women in society. Additionally, Hansen et al. (2015) refer to studies which assert that agriculture enhanced gender inequality (Diamond, 1987) as well as that women were more independent in hunter-gatherer than in agricultural societies (Iversen and Rosenbluth, 2010). Finally, they refer to studies that associate the value attributed to women with the degree to which a society relies on hunting and gathering for the accumulation of the daily calorie intake. Based on this, Gaganis et al. (2020) suggest that as the societies moved to agriculture, the maximum potential caloric yield attainable became an important factor, in shaping beliefs about the two genders, subsequently influencing the masculinity versus femininity cultural dimension of a society.</w:t>
      </w:r>
    </w:p>
    <w:p w14:paraId="62E298D1" w14:textId="77777777" w:rsidR="006F053F" w:rsidRPr="00F32020" w:rsidRDefault="006F053F">
      <w:r w:rsidRPr="00F32020">
        <w:br w:type="page"/>
      </w:r>
    </w:p>
    <w:p w14:paraId="55F45CB5" w14:textId="77777777" w:rsidR="006F053F" w:rsidRPr="00F32020" w:rsidRDefault="006F053F" w:rsidP="00E74E8D">
      <w:pPr>
        <w:jc w:val="both"/>
        <w:rPr>
          <w:rFonts w:eastAsiaTheme="minorEastAsia"/>
          <w:b/>
          <w:bCs/>
          <w:iCs/>
        </w:rPr>
      </w:pPr>
      <w:r w:rsidRPr="00F32020">
        <w:rPr>
          <w:rFonts w:eastAsiaTheme="minorEastAsia"/>
          <w:b/>
          <w:bCs/>
          <w:iCs/>
        </w:rPr>
        <w:lastRenderedPageBreak/>
        <w:t>V. Addendum Tables to Interaction effects – Average Marginal Effects</w:t>
      </w:r>
    </w:p>
    <w:p w14:paraId="36EDCFB8" w14:textId="77777777" w:rsidR="00E74E8D" w:rsidRPr="00F32020" w:rsidRDefault="00E74E8D" w:rsidP="00E74E8D">
      <w:pPr>
        <w:jc w:val="both"/>
        <w:rPr>
          <w:b/>
          <w:bCs/>
        </w:rPr>
      </w:pPr>
    </w:p>
    <w:p w14:paraId="1A9568AB" w14:textId="27DA142D" w:rsidR="006F053F" w:rsidRPr="00F32020" w:rsidRDefault="006F053F" w:rsidP="00E74E8D">
      <w:pPr>
        <w:jc w:val="both"/>
        <w:rPr>
          <w:b/>
          <w:bCs/>
        </w:rPr>
      </w:pPr>
      <w:r w:rsidRPr="00F32020">
        <w:rPr>
          <w:rFonts w:eastAsiaTheme="minorEastAsia"/>
          <w:b/>
          <w:bCs/>
          <w:iCs/>
        </w:rPr>
        <w:t xml:space="preserve">Table A4. Interaction between cultural diversity and </w:t>
      </w:r>
      <w:r w:rsidR="00840FDC" w:rsidRPr="00F32020">
        <w:rPr>
          <w:b/>
          <w:bCs/>
        </w:rPr>
        <w:t>other human capital and demographic characteristics of the founding team</w:t>
      </w:r>
    </w:p>
    <w:p w14:paraId="69E3DC09" w14:textId="77777777" w:rsidR="005309EB" w:rsidRPr="00F32020" w:rsidRDefault="005309EB" w:rsidP="00E74E8D">
      <w:pPr>
        <w:jc w:val="both"/>
        <w:rPr>
          <w:rFonts w:eastAsiaTheme="minorEastAsia"/>
          <w:b/>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83"/>
        <w:gridCol w:w="1705"/>
        <w:gridCol w:w="783"/>
        <w:gridCol w:w="783"/>
        <w:gridCol w:w="1398"/>
        <w:gridCol w:w="1078"/>
        <w:gridCol w:w="15"/>
      </w:tblGrid>
      <w:tr w:rsidR="00477CD4" w:rsidRPr="00F32020" w14:paraId="118E4FCC" w14:textId="77777777" w:rsidTr="005309EB">
        <w:trPr>
          <w:gridAfter w:val="1"/>
          <w:wAfter w:w="15" w:type="dxa"/>
          <w:trHeight w:val="320"/>
        </w:trPr>
        <w:tc>
          <w:tcPr>
            <w:tcW w:w="5426" w:type="dxa"/>
            <w:gridSpan w:val="5"/>
            <w:tcBorders>
              <w:top w:val="single" w:sz="4" w:space="0" w:color="auto"/>
              <w:bottom w:val="single" w:sz="4" w:space="0" w:color="auto"/>
            </w:tcBorders>
            <w:noWrap/>
          </w:tcPr>
          <w:p w14:paraId="33D5F6C8" w14:textId="533A89F0" w:rsidR="0029223A" w:rsidRPr="00F32020" w:rsidRDefault="0029223A" w:rsidP="00E74E8D">
            <w:pPr>
              <w:jc w:val="both"/>
              <w:rPr>
                <w:rFonts w:eastAsiaTheme="minorEastAsia"/>
                <w:iCs/>
              </w:rPr>
            </w:pPr>
            <w:r w:rsidRPr="00F32020">
              <w:rPr>
                <w:rFonts w:eastAsiaTheme="minorEastAsia"/>
                <w:iCs/>
              </w:rPr>
              <w:t>Panel A:</w:t>
            </w:r>
            <w:r w:rsidRPr="00F32020">
              <w:rPr>
                <w:rFonts w:eastAsiaTheme="minorEastAsia"/>
                <w:b/>
                <w:bCs/>
                <w:iCs/>
              </w:rPr>
              <w:t xml:space="preserve"> </w:t>
            </w:r>
            <w:r w:rsidRPr="00F32020">
              <w:rPr>
                <w:rFonts w:eastAsiaTheme="minorEastAsia"/>
                <w:iCs/>
              </w:rPr>
              <w:t>% of females among founding group</w:t>
            </w:r>
          </w:p>
        </w:tc>
        <w:tc>
          <w:tcPr>
            <w:tcW w:w="1398" w:type="dxa"/>
            <w:tcBorders>
              <w:top w:val="single" w:sz="4" w:space="0" w:color="auto"/>
              <w:bottom w:val="single" w:sz="4" w:space="0" w:color="auto"/>
            </w:tcBorders>
            <w:noWrap/>
          </w:tcPr>
          <w:p w14:paraId="32693478" w14:textId="77777777" w:rsidR="0029223A" w:rsidRPr="00F32020" w:rsidRDefault="0029223A" w:rsidP="00E74E8D">
            <w:pPr>
              <w:jc w:val="both"/>
              <w:rPr>
                <w:rFonts w:eastAsiaTheme="minorEastAsia"/>
                <w:iCs/>
              </w:rPr>
            </w:pPr>
          </w:p>
        </w:tc>
        <w:tc>
          <w:tcPr>
            <w:tcW w:w="1078" w:type="dxa"/>
            <w:tcBorders>
              <w:top w:val="single" w:sz="4" w:space="0" w:color="auto"/>
              <w:bottom w:val="single" w:sz="4" w:space="0" w:color="auto"/>
            </w:tcBorders>
            <w:noWrap/>
          </w:tcPr>
          <w:p w14:paraId="090EA2F5" w14:textId="77777777" w:rsidR="0029223A" w:rsidRPr="00F32020" w:rsidRDefault="0029223A" w:rsidP="00E74E8D">
            <w:pPr>
              <w:jc w:val="both"/>
              <w:rPr>
                <w:rFonts w:eastAsiaTheme="minorEastAsia"/>
                <w:iCs/>
              </w:rPr>
            </w:pPr>
          </w:p>
        </w:tc>
      </w:tr>
      <w:tr w:rsidR="00477CD4" w:rsidRPr="00F32020" w14:paraId="2E6CDC6A" w14:textId="77777777" w:rsidTr="005309EB">
        <w:trPr>
          <w:gridAfter w:val="1"/>
          <w:wAfter w:w="15" w:type="dxa"/>
          <w:trHeight w:val="320"/>
        </w:trPr>
        <w:tc>
          <w:tcPr>
            <w:tcW w:w="1372" w:type="dxa"/>
            <w:tcBorders>
              <w:top w:val="single" w:sz="4" w:space="0" w:color="auto"/>
              <w:bottom w:val="single" w:sz="4" w:space="0" w:color="auto"/>
            </w:tcBorders>
            <w:noWrap/>
            <w:hideMark/>
          </w:tcPr>
          <w:p w14:paraId="75F7D007" w14:textId="77777777" w:rsidR="006F053F" w:rsidRPr="00F32020" w:rsidRDefault="006F053F" w:rsidP="00E74E8D">
            <w:pPr>
              <w:jc w:val="both"/>
              <w:rPr>
                <w:rFonts w:eastAsiaTheme="minorEastAsia"/>
                <w:iCs/>
              </w:rPr>
            </w:pPr>
            <w:r w:rsidRPr="00F32020">
              <w:rPr>
                <w:rFonts w:eastAsiaTheme="minorEastAsia"/>
                <w:iCs/>
              </w:rPr>
              <w:t>Females value</w:t>
            </w:r>
          </w:p>
        </w:tc>
        <w:tc>
          <w:tcPr>
            <w:tcW w:w="783" w:type="dxa"/>
            <w:tcBorders>
              <w:top w:val="single" w:sz="4" w:space="0" w:color="auto"/>
              <w:bottom w:val="single" w:sz="4" w:space="0" w:color="auto"/>
            </w:tcBorders>
            <w:noWrap/>
            <w:hideMark/>
          </w:tcPr>
          <w:p w14:paraId="3EF4A5BD" w14:textId="77777777" w:rsidR="006F053F" w:rsidRPr="00F32020" w:rsidRDefault="006F053F" w:rsidP="00E74E8D">
            <w:pPr>
              <w:jc w:val="both"/>
              <w:rPr>
                <w:rFonts w:eastAsiaTheme="minorEastAsia"/>
                <w:iCs/>
              </w:rPr>
            </w:pPr>
            <w:r w:rsidRPr="00F32020">
              <w:rPr>
                <w:rFonts w:eastAsiaTheme="minorEastAsia"/>
                <w:iCs/>
              </w:rPr>
              <w:t>dy/dx</w:t>
            </w:r>
          </w:p>
        </w:tc>
        <w:tc>
          <w:tcPr>
            <w:tcW w:w="1705" w:type="dxa"/>
            <w:tcBorders>
              <w:top w:val="single" w:sz="4" w:space="0" w:color="auto"/>
              <w:bottom w:val="single" w:sz="4" w:space="0" w:color="auto"/>
            </w:tcBorders>
            <w:noWrap/>
            <w:hideMark/>
          </w:tcPr>
          <w:p w14:paraId="72F2C491" w14:textId="77777777" w:rsidR="0029223A" w:rsidRPr="00F32020" w:rsidRDefault="006F053F" w:rsidP="00E74E8D">
            <w:pPr>
              <w:jc w:val="both"/>
              <w:rPr>
                <w:rFonts w:eastAsiaTheme="minorEastAsia"/>
                <w:iCs/>
              </w:rPr>
            </w:pPr>
            <w:r w:rsidRPr="00F32020">
              <w:rPr>
                <w:rFonts w:eastAsiaTheme="minorEastAsia"/>
                <w:iCs/>
              </w:rPr>
              <w:t xml:space="preserve">Delta-method </w:t>
            </w:r>
          </w:p>
          <w:p w14:paraId="4A870D9D" w14:textId="5E475E1F" w:rsidR="006F053F" w:rsidRPr="00F32020" w:rsidRDefault="006F053F" w:rsidP="00E74E8D">
            <w:pPr>
              <w:jc w:val="both"/>
              <w:rPr>
                <w:rFonts w:eastAsiaTheme="minorEastAsia"/>
                <w:iCs/>
              </w:rPr>
            </w:pPr>
            <w:r w:rsidRPr="00F32020">
              <w:rPr>
                <w:rFonts w:eastAsiaTheme="minorEastAsia"/>
                <w:iCs/>
              </w:rPr>
              <w:t>std. err.</w:t>
            </w:r>
          </w:p>
        </w:tc>
        <w:tc>
          <w:tcPr>
            <w:tcW w:w="783" w:type="dxa"/>
            <w:tcBorders>
              <w:top w:val="single" w:sz="4" w:space="0" w:color="auto"/>
              <w:bottom w:val="single" w:sz="4" w:space="0" w:color="auto"/>
            </w:tcBorders>
            <w:noWrap/>
            <w:hideMark/>
          </w:tcPr>
          <w:p w14:paraId="3A222497" w14:textId="77777777" w:rsidR="006F053F" w:rsidRPr="00F32020" w:rsidRDefault="006F053F" w:rsidP="00E74E8D">
            <w:pPr>
              <w:jc w:val="both"/>
              <w:rPr>
                <w:rFonts w:eastAsiaTheme="minorEastAsia"/>
                <w:iCs/>
              </w:rPr>
            </w:pPr>
            <w:r w:rsidRPr="00F32020">
              <w:rPr>
                <w:rFonts w:eastAsiaTheme="minorEastAsia"/>
                <w:iCs/>
              </w:rPr>
              <w:t>z</w:t>
            </w:r>
          </w:p>
        </w:tc>
        <w:tc>
          <w:tcPr>
            <w:tcW w:w="783" w:type="dxa"/>
            <w:tcBorders>
              <w:top w:val="single" w:sz="4" w:space="0" w:color="auto"/>
              <w:bottom w:val="single" w:sz="4" w:space="0" w:color="auto"/>
            </w:tcBorders>
            <w:noWrap/>
            <w:hideMark/>
          </w:tcPr>
          <w:p w14:paraId="4AE2858E" w14:textId="77777777" w:rsidR="006F053F" w:rsidRPr="00F32020" w:rsidRDefault="006F053F" w:rsidP="00E74E8D">
            <w:pPr>
              <w:jc w:val="both"/>
              <w:rPr>
                <w:rFonts w:eastAsiaTheme="minorEastAsia"/>
                <w:iCs/>
              </w:rPr>
            </w:pPr>
            <w:r w:rsidRPr="00F32020">
              <w:rPr>
                <w:rFonts w:eastAsiaTheme="minorEastAsia"/>
                <w:iCs/>
              </w:rPr>
              <w:t>P&gt;z</w:t>
            </w:r>
          </w:p>
        </w:tc>
        <w:tc>
          <w:tcPr>
            <w:tcW w:w="1398" w:type="dxa"/>
            <w:tcBorders>
              <w:top w:val="single" w:sz="4" w:space="0" w:color="auto"/>
              <w:bottom w:val="single" w:sz="4" w:space="0" w:color="auto"/>
            </w:tcBorders>
            <w:noWrap/>
            <w:hideMark/>
          </w:tcPr>
          <w:p w14:paraId="6F2A641C" w14:textId="77777777" w:rsidR="006F053F" w:rsidRPr="00F32020" w:rsidRDefault="006F053F" w:rsidP="00E74E8D">
            <w:pPr>
              <w:jc w:val="both"/>
              <w:rPr>
                <w:rFonts w:eastAsiaTheme="minorEastAsia"/>
                <w:iCs/>
              </w:rPr>
            </w:pPr>
            <w:r w:rsidRPr="00F32020">
              <w:rPr>
                <w:rFonts w:eastAsiaTheme="minorEastAsia"/>
                <w:iCs/>
              </w:rPr>
              <w:t>[95% conf.</w:t>
            </w:r>
          </w:p>
        </w:tc>
        <w:tc>
          <w:tcPr>
            <w:tcW w:w="1078" w:type="dxa"/>
            <w:tcBorders>
              <w:top w:val="single" w:sz="4" w:space="0" w:color="auto"/>
              <w:bottom w:val="single" w:sz="4" w:space="0" w:color="auto"/>
            </w:tcBorders>
            <w:noWrap/>
            <w:hideMark/>
          </w:tcPr>
          <w:p w14:paraId="484F89F8" w14:textId="77777777" w:rsidR="006F053F" w:rsidRPr="00F32020" w:rsidRDefault="006F053F" w:rsidP="00E74E8D">
            <w:pPr>
              <w:jc w:val="both"/>
              <w:rPr>
                <w:rFonts w:eastAsiaTheme="minorEastAsia"/>
                <w:iCs/>
              </w:rPr>
            </w:pPr>
            <w:r w:rsidRPr="00F32020">
              <w:rPr>
                <w:rFonts w:eastAsiaTheme="minorEastAsia"/>
                <w:iCs/>
              </w:rPr>
              <w:t>interval]</w:t>
            </w:r>
          </w:p>
        </w:tc>
      </w:tr>
      <w:tr w:rsidR="00477CD4" w:rsidRPr="00F32020" w14:paraId="746F2E2A" w14:textId="77777777" w:rsidTr="005309EB">
        <w:trPr>
          <w:gridAfter w:val="1"/>
          <w:wAfter w:w="15" w:type="dxa"/>
          <w:trHeight w:val="320"/>
        </w:trPr>
        <w:tc>
          <w:tcPr>
            <w:tcW w:w="1372" w:type="dxa"/>
            <w:tcBorders>
              <w:top w:val="single" w:sz="4" w:space="0" w:color="auto"/>
            </w:tcBorders>
            <w:noWrap/>
            <w:hideMark/>
          </w:tcPr>
          <w:p w14:paraId="2150A8E0" w14:textId="77777777" w:rsidR="006F053F" w:rsidRPr="00F32020" w:rsidRDefault="006F053F" w:rsidP="00E74E8D">
            <w:pPr>
              <w:jc w:val="both"/>
              <w:rPr>
                <w:rFonts w:eastAsiaTheme="minorEastAsia"/>
                <w:iCs/>
              </w:rPr>
            </w:pPr>
            <w:r w:rsidRPr="00F32020">
              <w:rPr>
                <w:rFonts w:eastAsiaTheme="minorEastAsia"/>
                <w:iCs/>
              </w:rPr>
              <w:t>0%</w:t>
            </w:r>
          </w:p>
        </w:tc>
        <w:tc>
          <w:tcPr>
            <w:tcW w:w="783" w:type="dxa"/>
            <w:tcBorders>
              <w:top w:val="single" w:sz="4" w:space="0" w:color="auto"/>
            </w:tcBorders>
            <w:noWrap/>
            <w:hideMark/>
          </w:tcPr>
          <w:p w14:paraId="2E6B4F1A" w14:textId="77777777" w:rsidR="006F053F" w:rsidRPr="00F32020" w:rsidRDefault="006F053F" w:rsidP="00E74E8D">
            <w:pPr>
              <w:jc w:val="both"/>
              <w:rPr>
                <w:rFonts w:eastAsiaTheme="minorEastAsia"/>
                <w:iCs/>
              </w:rPr>
            </w:pPr>
            <w:r w:rsidRPr="00F32020">
              <w:rPr>
                <w:rFonts w:eastAsiaTheme="minorEastAsia"/>
                <w:iCs/>
              </w:rPr>
              <w:t>0.017</w:t>
            </w:r>
          </w:p>
        </w:tc>
        <w:tc>
          <w:tcPr>
            <w:tcW w:w="1705" w:type="dxa"/>
            <w:tcBorders>
              <w:top w:val="single" w:sz="4" w:space="0" w:color="auto"/>
            </w:tcBorders>
            <w:noWrap/>
            <w:hideMark/>
          </w:tcPr>
          <w:p w14:paraId="65C654FC" w14:textId="77777777" w:rsidR="006F053F" w:rsidRPr="00F32020" w:rsidRDefault="006F053F" w:rsidP="0029223A">
            <w:pPr>
              <w:jc w:val="center"/>
              <w:rPr>
                <w:rFonts w:eastAsiaTheme="minorEastAsia"/>
                <w:iCs/>
              </w:rPr>
            </w:pPr>
            <w:r w:rsidRPr="00F32020">
              <w:rPr>
                <w:rFonts w:eastAsiaTheme="minorEastAsia"/>
                <w:iCs/>
              </w:rPr>
              <w:t>0.007</w:t>
            </w:r>
          </w:p>
        </w:tc>
        <w:tc>
          <w:tcPr>
            <w:tcW w:w="783" w:type="dxa"/>
            <w:tcBorders>
              <w:top w:val="single" w:sz="4" w:space="0" w:color="auto"/>
            </w:tcBorders>
            <w:noWrap/>
            <w:hideMark/>
          </w:tcPr>
          <w:p w14:paraId="04B73EC3" w14:textId="77777777" w:rsidR="006F053F" w:rsidRPr="00F32020" w:rsidRDefault="006F053F" w:rsidP="0029223A">
            <w:pPr>
              <w:jc w:val="center"/>
              <w:rPr>
                <w:rFonts w:eastAsiaTheme="minorEastAsia"/>
                <w:iCs/>
              </w:rPr>
            </w:pPr>
            <w:r w:rsidRPr="00F32020">
              <w:rPr>
                <w:rFonts w:eastAsiaTheme="minorEastAsia"/>
                <w:iCs/>
              </w:rPr>
              <w:t>2.530</w:t>
            </w:r>
          </w:p>
        </w:tc>
        <w:tc>
          <w:tcPr>
            <w:tcW w:w="783" w:type="dxa"/>
            <w:tcBorders>
              <w:top w:val="single" w:sz="4" w:space="0" w:color="auto"/>
            </w:tcBorders>
            <w:noWrap/>
            <w:hideMark/>
          </w:tcPr>
          <w:p w14:paraId="04EF71F2" w14:textId="77777777" w:rsidR="006F053F" w:rsidRPr="00F32020" w:rsidRDefault="006F053F" w:rsidP="0029223A">
            <w:pPr>
              <w:jc w:val="center"/>
              <w:rPr>
                <w:rFonts w:eastAsiaTheme="minorEastAsia"/>
                <w:iCs/>
              </w:rPr>
            </w:pPr>
            <w:r w:rsidRPr="00F32020">
              <w:rPr>
                <w:rFonts w:eastAsiaTheme="minorEastAsia"/>
                <w:iCs/>
              </w:rPr>
              <w:t>0.012</w:t>
            </w:r>
          </w:p>
        </w:tc>
        <w:tc>
          <w:tcPr>
            <w:tcW w:w="1398" w:type="dxa"/>
            <w:tcBorders>
              <w:top w:val="single" w:sz="4" w:space="0" w:color="auto"/>
            </w:tcBorders>
            <w:noWrap/>
            <w:hideMark/>
          </w:tcPr>
          <w:p w14:paraId="70F2FFBE" w14:textId="77777777" w:rsidR="006F053F" w:rsidRPr="00F32020" w:rsidRDefault="006F053F" w:rsidP="0029223A">
            <w:pPr>
              <w:jc w:val="center"/>
              <w:rPr>
                <w:rFonts w:eastAsiaTheme="minorEastAsia"/>
                <w:iCs/>
              </w:rPr>
            </w:pPr>
            <w:r w:rsidRPr="00F32020">
              <w:rPr>
                <w:rFonts w:eastAsiaTheme="minorEastAsia"/>
                <w:iCs/>
              </w:rPr>
              <w:t>0.004</w:t>
            </w:r>
          </w:p>
        </w:tc>
        <w:tc>
          <w:tcPr>
            <w:tcW w:w="1078" w:type="dxa"/>
            <w:tcBorders>
              <w:top w:val="single" w:sz="4" w:space="0" w:color="auto"/>
            </w:tcBorders>
            <w:noWrap/>
            <w:hideMark/>
          </w:tcPr>
          <w:p w14:paraId="354A0A05" w14:textId="77777777" w:rsidR="006F053F" w:rsidRPr="00F32020" w:rsidRDefault="006F053F" w:rsidP="0029223A">
            <w:pPr>
              <w:jc w:val="center"/>
              <w:rPr>
                <w:rFonts w:eastAsiaTheme="minorEastAsia"/>
                <w:iCs/>
              </w:rPr>
            </w:pPr>
            <w:r w:rsidRPr="00F32020">
              <w:rPr>
                <w:rFonts w:eastAsiaTheme="minorEastAsia"/>
                <w:iCs/>
              </w:rPr>
              <w:t>0.031</w:t>
            </w:r>
          </w:p>
        </w:tc>
      </w:tr>
      <w:tr w:rsidR="00477CD4" w:rsidRPr="00F32020" w14:paraId="6C94F5C7" w14:textId="77777777" w:rsidTr="005309EB">
        <w:trPr>
          <w:gridAfter w:val="1"/>
          <w:wAfter w:w="15" w:type="dxa"/>
          <w:trHeight w:val="320"/>
        </w:trPr>
        <w:tc>
          <w:tcPr>
            <w:tcW w:w="1372" w:type="dxa"/>
            <w:noWrap/>
            <w:hideMark/>
          </w:tcPr>
          <w:p w14:paraId="684B04FB" w14:textId="77777777" w:rsidR="006F053F" w:rsidRPr="00F32020" w:rsidRDefault="006F053F" w:rsidP="00E74E8D">
            <w:pPr>
              <w:jc w:val="both"/>
              <w:rPr>
                <w:rFonts w:eastAsiaTheme="minorEastAsia"/>
                <w:iCs/>
              </w:rPr>
            </w:pPr>
            <w:r w:rsidRPr="00F32020">
              <w:rPr>
                <w:rFonts w:eastAsiaTheme="minorEastAsia"/>
                <w:iCs/>
              </w:rPr>
              <w:t>20%</w:t>
            </w:r>
          </w:p>
        </w:tc>
        <w:tc>
          <w:tcPr>
            <w:tcW w:w="783" w:type="dxa"/>
            <w:noWrap/>
            <w:hideMark/>
          </w:tcPr>
          <w:p w14:paraId="210AF79D" w14:textId="77777777" w:rsidR="006F053F" w:rsidRPr="00F32020" w:rsidRDefault="006F053F" w:rsidP="00E74E8D">
            <w:pPr>
              <w:jc w:val="both"/>
              <w:rPr>
                <w:rFonts w:eastAsiaTheme="minorEastAsia"/>
                <w:iCs/>
              </w:rPr>
            </w:pPr>
            <w:r w:rsidRPr="00F32020">
              <w:rPr>
                <w:rFonts w:eastAsiaTheme="minorEastAsia"/>
                <w:iCs/>
              </w:rPr>
              <w:t>0.014</w:t>
            </w:r>
          </w:p>
        </w:tc>
        <w:tc>
          <w:tcPr>
            <w:tcW w:w="1705" w:type="dxa"/>
            <w:noWrap/>
            <w:hideMark/>
          </w:tcPr>
          <w:p w14:paraId="3CCA0120" w14:textId="77777777" w:rsidR="006F053F" w:rsidRPr="00F32020" w:rsidRDefault="006F053F" w:rsidP="0029223A">
            <w:pPr>
              <w:jc w:val="center"/>
              <w:rPr>
                <w:rFonts w:eastAsiaTheme="minorEastAsia"/>
                <w:iCs/>
              </w:rPr>
            </w:pPr>
            <w:r w:rsidRPr="00F32020">
              <w:rPr>
                <w:rFonts w:eastAsiaTheme="minorEastAsia"/>
                <w:iCs/>
              </w:rPr>
              <w:t>0.005</w:t>
            </w:r>
          </w:p>
        </w:tc>
        <w:tc>
          <w:tcPr>
            <w:tcW w:w="783" w:type="dxa"/>
            <w:noWrap/>
            <w:hideMark/>
          </w:tcPr>
          <w:p w14:paraId="2C9A0038" w14:textId="77777777" w:rsidR="006F053F" w:rsidRPr="00F32020" w:rsidRDefault="006F053F" w:rsidP="0029223A">
            <w:pPr>
              <w:jc w:val="center"/>
              <w:rPr>
                <w:rFonts w:eastAsiaTheme="minorEastAsia"/>
                <w:iCs/>
              </w:rPr>
            </w:pPr>
            <w:r w:rsidRPr="00F32020">
              <w:rPr>
                <w:rFonts w:eastAsiaTheme="minorEastAsia"/>
                <w:iCs/>
              </w:rPr>
              <w:t>2.640</w:t>
            </w:r>
          </w:p>
        </w:tc>
        <w:tc>
          <w:tcPr>
            <w:tcW w:w="783" w:type="dxa"/>
            <w:noWrap/>
            <w:hideMark/>
          </w:tcPr>
          <w:p w14:paraId="2B0724C9" w14:textId="77777777" w:rsidR="006F053F" w:rsidRPr="00F32020" w:rsidRDefault="006F053F" w:rsidP="0029223A">
            <w:pPr>
              <w:jc w:val="center"/>
              <w:rPr>
                <w:rFonts w:eastAsiaTheme="minorEastAsia"/>
                <w:iCs/>
              </w:rPr>
            </w:pPr>
            <w:r w:rsidRPr="00F32020">
              <w:rPr>
                <w:rFonts w:eastAsiaTheme="minorEastAsia"/>
                <w:iCs/>
              </w:rPr>
              <w:t>0.008</w:t>
            </w:r>
          </w:p>
        </w:tc>
        <w:tc>
          <w:tcPr>
            <w:tcW w:w="1398" w:type="dxa"/>
            <w:noWrap/>
            <w:hideMark/>
          </w:tcPr>
          <w:p w14:paraId="4C1AEE96" w14:textId="77777777" w:rsidR="006F053F" w:rsidRPr="00F32020" w:rsidRDefault="006F053F" w:rsidP="0029223A">
            <w:pPr>
              <w:jc w:val="center"/>
              <w:rPr>
                <w:rFonts w:eastAsiaTheme="minorEastAsia"/>
                <w:iCs/>
              </w:rPr>
            </w:pPr>
            <w:r w:rsidRPr="00F32020">
              <w:rPr>
                <w:rFonts w:eastAsiaTheme="minorEastAsia"/>
                <w:iCs/>
              </w:rPr>
              <w:t>0.004</w:t>
            </w:r>
          </w:p>
        </w:tc>
        <w:tc>
          <w:tcPr>
            <w:tcW w:w="1078" w:type="dxa"/>
            <w:noWrap/>
            <w:hideMark/>
          </w:tcPr>
          <w:p w14:paraId="403FD9D7" w14:textId="77777777" w:rsidR="006F053F" w:rsidRPr="00F32020" w:rsidRDefault="006F053F" w:rsidP="0029223A">
            <w:pPr>
              <w:jc w:val="center"/>
              <w:rPr>
                <w:rFonts w:eastAsiaTheme="minorEastAsia"/>
                <w:iCs/>
              </w:rPr>
            </w:pPr>
            <w:r w:rsidRPr="00F32020">
              <w:rPr>
                <w:rFonts w:eastAsiaTheme="minorEastAsia"/>
                <w:iCs/>
              </w:rPr>
              <w:t>0.025</w:t>
            </w:r>
          </w:p>
        </w:tc>
      </w:tr>
      <w:tr w:rsidR="00477CD4" w:rsidRPr="00F32020" w14:paraId="4A87EE97" w14:textId="77777777" w:rsidTr="005309EB">
        <w:trPr>
          <w:gridAfter w:val="1"/>
          <w:wAfter w:w="15" w:type="dxa"/>
          <w:trHeight w:val="320"/>
        </w:trPr>
        <w:tc>
          <w:tcPr>
            <w:tcW w:w="1372" w:type="dxa"/>
            <w:noWrap/>
            <w:hideMark/>
          </w:tcPr>
          <w:p w14:paraId="29A5C9FB" w14:textId="77777777" w:rsidR="006F053F" w:rsidRPr="00F32020" w:rsidRDefault="006F053F" w:rsidP="00E74E8D">
            <w:pPr>
              <w:jc w:val="both"/>
              <w:rPr>
                <w:rFonts w:eastAsiaTheme="minorEastAsia"/>
                <w:iCs/>
              </w:rPr>
            </w:pPr>
            <w:r w:rsidRPr="00F32020">
              <w:rPr>
                <w:rFonts w:eastAsiaTheme="minorEastAsia"/>
                <w:iCs/>
              </w:rPr>
              <w:t>40%</w:t>
            </w:r>
          </w:p>
        </w:tc>
        <w:tc>
          <w:tcPr>
            <w:tcW w:w="783" w:type="dxa"/>
            <w:noWrap/>
            <w:hideMark/>
          </w:tcPr>
          <w:p w14:paraId="5842713B" w14:textId="77777777" w:rsidR="006F053F" w:rsidRPr="00F32020" w:rsidRDefault="006F053F" w:rsidP="00E74E8D">
            <w:pPr>
              <w:jc w:val="both"/>
              <w:rPr>
                <w:rFonts w:eastAsiaTheme="minorEastAsia"/>
                <w:iCs/>
              </w:rPr>
            </w:pPr>
            <w:r w:rsidRPr="00F32020">
              <w:rPr>
                <w:rFonts w:eastAsiaTheme="minorEastAsia"/>
                <w:iCs/>
              </w:rPr>
              <w:t>0.012</w:t>
            </w:r>
          </w:p>
        </w:tc>
        <w:tc>
          <w:tcPr>
            <w:tcW w:w="1705" w:type="dxa"/>
            <w:noWrap/>
            <w:hideMark/>
          </w:tcPr>
          <w:p w14:paraId="07FED67A" w14:textId="77777777" w:rsidR="006F053F" w:rsidRPr="00F32020" w:rsidRDefault="006F053F" w:rsidP="0029223A">
            <w:pPr>
              <w:jc w:val="center"/>
              <w:rPr>
                <w:rFonts w:eastAsiaTheme="minorEastAsia"/>
                <w:iCs/>
              </w:rPr>
            </w:pPr>
            <w:r w:rsidRPr="00F32020">
              <w:rPr>
                <w:rFonts w:eastAsiaTheme="minorEastAsia"/>
                <w:iCs/>
              </w:rPr>
              <w:t>0.006</w:t>
            </w:r>
          </w:p>
        </w:tc>
        <w:tc>
          <w:tcPr>
            <w:tcW w:w="783" w:type="dxa"/>
            <w:noWrap/>
            <w:hideMark/>
          </w:tcPr>
          <w:p w14:paraId="5676CB54" w14:textId="77777777" w:rsidR="006F053F" w:rsidRPr="00F32020" w:rsidRDefault="006F053F" w:rsidP="0029223A">
            <w:pPr>
              <w:jc w:val="center"/>
              <w:rPr>
                <w:rFonts w:eastAsiaTheme="minorEastAsia"/>
                <w:iCs/>
              </w:rPr>
            </w:pPr>
            <w:r w:rsidRPr="00F32020">
              <w:rPr>
                <w:rFonts w:eastAsiaTheme="minorEastAsia"/>
                <w:iCs/>
              </w:rPr>
              <w:t>2.090</w:t>
            </w:r>
          </w:p>
        </w:tc>
        <w:tc>
          <w:tcPr>
            <w:tcW w:w="783" w:type="dxa"/>
            <w:noWrap/>
            <w:hideMark/>
          </w:tcPr>
          <w:p w14:paraId="26633A85" w14:textId="77777777" w:rsidR="006F053F" w:rsidRPr="00F32020" w:rsidRDefault="006F053F" w:rsidP="0029223A">
            <w:pPr>
              <w:jc w:val="center"/>
              <w:rPr>
                <w:rFonts w:eastAsiaTheme="minorEastAsia"/>
                <w:iCs/>
              </w:rPr>
            </w:pPr>
            <w:r w:rsidRPr="00F32020">
              <w:rPr>
                <w:rFonts w:eastAsiaTheme="minorEastAsia"/>
                <w:iCs/>
              </w:rPr>
              <w:t>0.037</w:t>
            </w:r>
          </w:p>
        </w:tc>
        <w:tc>
          <w:tcPr>
            <w:tcW w:w="1398" w:type="dxa"/>
            <w:noWrap/>
            <w:hideMark/>
          </w:tcPr>
          <w:p w14:paraId="47C8D476" w14:textId="77777777" w:rsidR="006F053F" w:rsidRPr="00F32020" w:rsidRDefault="006F053F" w:rsidP="0029223A">
            <w:pPr>
              <w:jc w:val="center"/>
              <w:rPr>
                <w:rFonts w:eastAsiaTheme="minorEastAsia"/>
                <w:iCs/>
              </w:rPr>
            </w:pPr>
            <w:r w:rsidRPr="00F32020">
              <w:rPr>
                <w:rFonts w:eastAsiaTheme="minorEastAsia"/>
                <w:iCs/>
              </w:rPr>
              <w:t>0.001</w:t>
            </w:r>
          </w:p>
        </w:tc>
        <w:tc>
          <w:tcPr>
            <w:tcW w:w="1078" w:type="dxa"/>
            <w:noWrap/>
            <w:hideMark/>
          </w:tcPr>
          <w:p w14:paraId="7E8B8C07" w14:textId="77777777" w:rsidR="006F053F" w:rsidRPr="00F32020" w:rsidRDefault="006F053F" w:rsidP="0029223A">
            <w:pPr>
              <w:jc w:val="center"/>
              <w:rPr>
                <w:rFonts w:eastAsiaTheme="minorEastAsia"/>
                <w:iCs/>
              </w:rPr>
            </w:pPr>
            <w:r w:rsidRPr="00F32020">
              <w:rPr>
                <w:rFonts w:eastAsiaTheme="minorEastAsia"/>
                <w:iCs/>
              </w:rPr>
              <w:t>0.022</w:t>
            </w:r>
          </w:p>
        </w:tc>
      </w:tr>
      <w:tr w:rsidR="00477CD4" w:rsidRPr="00F32020" w14:paraId="3CA9FDB3" w14:textId="77777777" w:rsidTr="005309EB">
        <w:trPr>
          <w:gridAfter w:val="1"/>
          <w:wAfter w:w="15" w:type="dxa"/>
          <w:trHeight w:val="320"/>
        </w:trPr>
        <w:tc>
          <w:tcPr>
            <w:tcW w:w="1372" w:type="dxa"/>
            <w:noWrap/>
            <w:hideMark/>
          </w:tcPr>
          <w:p w14:paraId="5BD8EF0B" w14:textId="77777777" w:rsidR="006F053F" w:rsidRPr="00F32020" w:rsidRDefault="006F053F" w:rsidP="00E74E8D">
            <w:pPr>
              <w:jc w:val="both"/>
              <w:rPr>
                <w:rFonts w:eastAsiaTheme="minorEastAsia"/>
                <w:iCs/>
              </w:rPr>
            </w:pPr>
            <w:r w:rsidRPr="00F32020">
              <w:rPr>
                <w:rFonts w:eastAsiaTheme="minorEastAsia"/>
                <w:iCs/>
              </w:rPr>
              <w:t>60%</w:t>
            </w:r>
          </w:p>
        </w:tc>
        <w:tc>
          <w:tcPr>
            <w:tcW w:w="783" w:type="dxa"/>
            <w:noWrap/>
            <w:hideMark/>
          </w:tcPr>
          <w:p w14:paraId="2C57712F" w14:textId="77777777" w:rsidR="006F053F" w:rsidRPr="00F32020" w:rsidRDefault="006F053F" w:rsidP="00E74E8D">
            <w:pPr>
              <w:jc w:val="both"/>
              <w:rPr>
                <w:rFonts w:eastAsiaTheme="minorEastAsia"/>
                <w:iCs/>
              </w:rPr>
            </w:pPr>
            <w:r w:rsidRPr="00F32020">
              <w:rPr>
                <w:rFonts w:eastAsiaTheme="minorEastAsia"/>
                <w:iCs/>
              </w:rPr>
              <w:t>0.009</w:t>
            </w:r>
          </w:p>
        </w:tc>
        <w:tc>
          <w:tcPr>
            <w:tcW w:w="1705" w:type="dxa"/>
            <w:noWrap/>
            <w:hideMark/>
          </w:tcPr>
          <w:p w14:paraId="319DD90A" w14:textId="77777777" w:rsidR="006F053F" w:rsidRPr="00F32020" w:rsidRDefault="006F053F" w:rsidP="0029223A">
            <w:pPr>
              <w:jc w:val="center"/>
              <w:rPr>
                <w:rFonts w:eastAsiaTheme="minorEastAsia"/>
                <w:iCs/>
              </w:rPr>
            </w:pPr>
            <w:r w:rsidRPr="00F32020">
              <w:rPr>
                <w:rFonts w:eastAsiaTheme="minorEastAsia"/>
                <w:iCs/>
              </w:rPr>
              <w:t>0.007</w:t>
            </w:r>
          </w:p>
        </w:tc>
        <w:tc>
          <w:tcPr>
            <w:tcW w:w="783" w:type="dxa"/>
            <w:noWrap/>
            <w:hideMark/>
          </w:tcPr>
          <w:p w14:paraId="0F9C1A9E" w14:textId="77777777" w:rsidR="006F053F" w:rsidRPr="00F32020" w:rsidRDefault="006F053F" w:rsidP="0029223A">
            <w:pPr>
              <w:jc w:val="center"/>
              <w:rPr>
                <w:rFonts w:eastAsiaTheme="minorEastAsia"/>
                <w:iCs/>
              </w:rPr>
            </w:pPr>
            <w:r w:rsidRPr="00F32020">
              <w:rPr>
                <w:rFonts w:eastAsiaTheme="minorEastAsia"/>
                <w:iCs/>
              </w:rPr>
              <w:t>1.210</w:t>
            </w:r>
          </w:p>
        </w:tc>
        <w:tc>
          <w:tcPr>
            <w:tcW w:w="783" w:type="dxa"/>
            <w:noWrap/>
            <w:hideMark/>
          </w:tcPr>
          <w:p w14:paraId="72B5EBE6" w14:textId="77777777" w:rsidR="006F053F" w:rsidRPr="00F32020" w:rsidRDefault="006F053F" w:rsidP="0029223A">
            <w:pPr>
              <w:jc w:val="center"/>
              <w:rPr>
                <w:rFonts w:eastAsiaTheme="minorEastAsia"/>
                <w:iCs/>
              </w:rPr>
            </w:pPr>
            <w:r w:rsidRPr="00F32020">
              <w:rPr>
                <w:rFonts w:eastAsiaTheme="minorEastAsia"/>
                <w:iCs/>
              </w:rPr>
              <w:t>0.226</w:t>
            </w:r>
          </w:p>
        </w:tc>
        <w:tc>
          <w:tcPr>
            <w:tcW w:w="1398" w:type="dxa"/>
            <w:noWrap/>
            <w:hideMark/>
          </w:tcPr>
          <w:p w14:paraId="4827C1DA" w14:textId="77777777" w:rsidR="006F053F" w:rsidRPr="00F32020" w:rsidRDefault="006F053F" w:rsidP="0029223A">
            <w:pPr>
              <w:jc w:val="center"/>
              <w:rPr>
                <w:rFonts w:eastAsiaTheme="minorEastAsia"/>
                <w:iCs/>
              </w:rPr>
            </w:pPr>
            <w:r w:rsidRPr="00F32020">
              <w:rPr>
                <w:rFonts w:eastAsiaTheme="minorEastAsia"/>
                <w:iCs/>
              </w:rPr>
              <w:t>-0.005</w:t>
            </w:r>
          </w:p>
        </w:tc>
        <w:tc>
          <w:tcPr>
            <w:tcW w:w="1078" w:type="dxa"/>
            <w:noWrap/>
            <w:hideMark/>
          </w:tcPr>
          <w:p w14:paraId="3844A63B" w14:textId="77777777" w:rsidR="006F053F" w:rsidRPr="00F32020" w:rsidRDefault="006F053F" w:rsidP="0029223A">
            <w:pPr>
              <w:jc w:val="center"/>
              <w:rPr>
                <w:rFonts w:eastAsiaTheme="minorEastAsia"/>
                <w:iCs/>
              </w:rPr>
            </w:pPr>
            <w:r w:rsidRPr="00F32020">
              <w:rPr>
                <w:rFonts w:eastAsiaTheme="minorEastAsia"/>
                <w:iCs/>
              </w:rPr>
              <w:t>0.022</w:t>
            </w:r>
          </w:p>
        </w:tc>
      </w:tr>
      <w:tr w:rsidR="00477CD4" w:rsidRPr="00F32020" w14:paraId="3E0E85B2" w14:textId="77777777" w:rsidTr="005309EB">
        <w:trPr>
          <w:gridAfter w:val="1"/>
          <w:wAfter w:w="15" w:type="dxa"/>
          <w:trHeight w:val="320"/>
        </w:trPr>
        <w:tc>
          <w:tcPr>
            <w:tcW w:w="1372" w:type="dxa"/>
            <w:noWrap/>
            <w:hideMark/>
          </w:tcPr>
          <w:p w14:paraId="607694D1" w14:textId="77777777" w:rsidR="006F053F" w:rsidRPr="00F32020" w:rsidRDefault="006F053F" w:rsidP="00E74E8D">
            <w:pPr>
              <w:jc w:val="both"/>
              <w:rPr>
                <w:rFonts w:eastAsiaTheme="minorEastAsia"/>
                <w:iCs/>
              </w:rPr>
            </w:pPr>
            <w:r w:rsidRPr="00F32020">
              <w:rPr>
                <w:rFonts w:eastAsiaTheme="minorEastAsia"/>
                <w:iCs/>
              </w:rPr>
              <w:t>80%</w:t>
            </w:r>
          </w:p>
        </w:tc>
        <w:tc>
          <w:tcPr>
            <w:tcW w:w="783" w:type="dxa"/>
            <w:noWrap/>
            <w:hideMark/>
          </w:tcPr>
          <w:p w14:paraId="4037F922" w14:textId="77777777" w:rsidR="006F053F" w:rsidRPr="00F32020" w:rsidRDefault="006F053F" w:rsidP="00E74E8D">
            <w:pPr>
              <w:jc w:val="both"/>
              <w:rPr>
                <w:rFonts w:eastAsiaTheme="minorEastAsia"/>
                <w:iCs/>
              </w:rPr>
            </w:pPr>
            <w:r w:rsidRPr="00F32020">
              <w:rPr>
                <w:rFonts w:eastAsiaTheme="minorEastAsia"/>
                <w:iCs/>
              </w:rPr>
              <w:t>0.006</w:t>
            </w:r>
          </w:p>
        </w:tc>
        <w:tc>
          <w:tcPr>
            <w:tcW w:w="1705" w:type="dxa"/>
            <w:noWrap/>
            <w:hideMark/>
          </w:tcPr>
          <w:p w14:paraId="3E5D53B6" w14:textId="77777777" w:rsidR="006F053F" w:rsidRPr="00F32020" w:rsidRDefault="006F053F" w:rsidP="0029223A">
            <w:pPr>
              <w:jc w:val="center"/>
              <w:rPr>
                <w:rFonts w:eastAsiaTheme="minorEastAsia"/>
                <w:iCs/>
              </w:rPr>
            </w:pPr>
            <w:r w:rsidRPr="00F32020">
              <w:rPr>
                <w:rFonts w:eastAsiaTheme="minorEastAsia"/>
                <w:iCs/>
              </w:rPr>
              <w:t>0.009</w:t>
            </w:r>
          </w:p>
        </w:tc>
        <w:tc>
          <w:tcPr>
            <w:tcW w:w="783" w:type="dxa"/>
            <w:noWrap/>
            <w:hideMark/>
          </w:tcPr>
          <w:p w14:paraId="1D61361A" w14:textId="77777777" w:rsidR="006F053F" w:rsidRPr="00F32020" w:rsidRDefault="006F053F" w:rsidP="0029223A">
            <w:pPr>
              <w:jc w:val="center"/>
              <w:rPr>
                <w:rFonts w:eastAsiaTheme="minorEastAsia"/>
                <w:iCs/>
              </w:rPr>
            </w:pPr>
            <w:r w:rsidRPr="00F32020">
              <w:rPr>
                <w:rFonts w:eastAsiaTheme="minorEastAsia"/>
                <w:iCs/>
              </w:rPr>
              <w:t>0.580</w:t>
            </w:r>
          </w:p>
        </w:tc>
        <w:tc>
          <w:tcPr>
            <w:tcW w:w="783" w:type="dxa"/>
            <w:noWrap/>
            <w:hideMark/>
          </w:tcPr>
          <w:p w14:paraId="356533C6" w14:textId="77777777" w:rsidR="006F053F" w:rsidRPr="00F32020" w:rsidRDefault="006F053F" w:rsidP="0029223A">
            <w:pPr>
              <w:jc w:val="center"/>
              <w:rPr>
                <w:rFonts w:eastAsiaTheme="minorEastAsia"/>
                <w:iCs/>
              </w:rPr>
            </w:pPr>
            <w:r w:rsidRPr="00F32020">
              <w:rPr>
                <w:rFonts w:eastAsiaTheme="minorEastAsia"/>
                <w:iCs/>
              </w:rPr>
              <w:t>0.560</w:t>
            </w:r>
          </w:p>
        </w:tc>
        <w:tc>
          <w:tcPr>
            <w:tcW w:w="1398" w:type="dxa"/>
            <w:noWrap/>
            <w:hideMark/>
          </w:tcPr>
          <w:p w14:paraId="068012D7" w14:textId="77777777" w:rsidR="006F053F" w:rsidRPr="00F32020" w:rsidRDefault="006F053F" w:rsidP="0029223A">
            <w:pPr>
              <w:jc w:val="center"/>
              <w:rPr>
                <w:rFonts w:eastAsiaTheme="minorEastAsia"/>
                <w:iCs/>
              </w:rPr>
            </w:pPr>
            <w:r w:rsidRPr="00F32020">
              <w:rPr>
                <w:rFonts w:eastAsiaTheme="minorEastAsia"/>
                <w:iCs/>
              </w:rPr>
              <w:t>-0.013</w:t>
            </w:r>
          </w:p>
        </w:tc>
        <w:tc>
          <w:tcPr>
            <w:tcW w:w="1078" w:type="dxa"/>
            <w:noWrap/>
            <w:hideMark/>
          </w:tcPr>
          <w:p w14:paraId="7A5F88C2" w14:textId="77777777" w:rsidR="006F053F" w:rsidRPr="00F32020" w:rsidRDefault="006F053F" w:rsidP="0029223A">
            <w:pPr>
              <w:jc w:val="center"/>
              <w:rPr>
                <w:rFonts w:eastAsiaTheme="minorEastAsia"/>
                <w:iCs/>
              </w:rPr>
            </w:pPr>
            <w:r w:rsidRPr="00F32020">
              <w:rPr>
                <w:rFonts w:eastAsiaTheme="minorEastAsia"/>
                <w:iCs/>
              </w:rPr>
              <w:t>0.024</w:t>
            </w:r>
          </w:p>
        </w:tc>
      </w:tr>
      <w:tr w:rsidR="00477CD4" w:rsidRPr="00F32020" w14:paraId="3F2578C7" w14:textId="77777777" w:rsidTr="005309EB">
        <w:trPr>
          <w:gridAfter w:val="1"/>
          <w:wAfter w:w="15" w:type="dxa"/>
          <w:trHeight w:val="320"/>
        </w:trPr>
        <w:tc>
          <w:tcPr>
            <w:tcW w:w="1372" w:type="dxa"/>
            <w:tcBorders>
              <w:bottom w:val="single" w:sz="4" w:space="0" w:color="auto"/>
            </w:tcBorders>
            <w:noWrap/>
            <w:hideMark/>
          </w:tcPr>
          <w:p w14:paraId="4E2BC405" w14:textId="77777777" w:rsidR="006F053F" w:rsidRPr="00F32020" w:rsidRDefault="006F053F" w:rsidP="00E74E8D">
            <w:pPr>
              <w:jc w:val="both"/>
              <w:rPr>
                <w:rFonts w:eastAsiaTheme="minorEastAsia"/>
                <w:iCs/>
              </w:rPr>
            </w:pPr>
            <w:r w:rsidRPr="00F32020">
              <w:rPr>
                <w:rFonts w:eastAsiaTheme="minorEastAsia"/>
                <w:iCs/>
              </w:rPr>
              <w:t>100%</w:t>
            </w:r>
          </w:p>
        </w:tc>
        <w:tc>
          <w:tcPr>
            <w:tcW w:w="783" w:type="dxa"/>
            <w:tcBorders>
              <w:bottom w:val="single" w:sz="4" w:space="0" w:color="auto"/>
            </w:tcBorders>
            <w:noWrap/>
            <w:hideMark/>
          </w:tcPr>
          <w:p w14:paraId="000BE32A" w14:textId="77777777" w:rsidR="006F053F" w:rsidRPr="00F32020" w:rsidRDefault="006F053F" w:rsidP="00E74E8D">
            <w:pPr>
              <w:jc w:val="both"/>
              <w:rPr>
                <w:rFonts w:eastAsiaTheme="minorEastAsia"/>
                <w:iCs/>
              </w:rPr>
            </w:pPr>
            <w:r w:rsidRPr="00F32020">
              <w:rPr>
                <w:rFonts w:eastAsiaTheme="minorEastAsia"/>
                <w:iCs/>
              </w:rPr>
              <w:t>0.002</w:t>
            </w:r>
          </w:p>
        </w:tc>
        <w:tc>
          <w:tcPr>
            <w:tcW w:w="1705" w:type="dxa"/>
            <w:tcBorders>
              <w:bottom w:val="single" w:sz="4" w:space="0" w:color="auto"/>
            </w:tcBorders>
            <w:noWrap/>
            <w:hideMark/>
          </w:tcPr>
          <w:p w14:paraId="63167296" w14:textId="77777777" w:rsidR="006F053F" w:rsidRPr="00F32020" w:rsidRDefault="006F053F" w:rsidP="0029223A">
            <w:pPr>
              <w:jc w:val="center"/>
              <w:rPr>
                <w:rFonts w:eastAsiaTheme="minorEastAsia"/>
                <w:iCs/>
              </w:rPr>
            </w:pPr>
            <w:r w:rsidRPr="00F32020">
              <w:rPr>
                <w:rFonts w:eastAsiaTheme="minorEastAsia"/>
                <w:iCs/>
              </w:rPr>
              <w:t>0.012</w:t>
            </w:r>
          </w:p>
        </w:tc>
        <w:tc>
          <w:tcPr>
            <w:tcW w:w="783" w:type="dxa"/>
            <w:tcBorders>
              <w:bottom w:val="single" w:sz="4" w:space="0" w:color="auto"/>
            </w:tcBorders>
            <w:noWrap/>
            <w:hideMark/>
          </w:tcPr>
          <w:p w14:paraId="6F36C466" w14:textId="77777777" w:rsidR="006F053F" w:rsidRPr="00F32020" w:rsidRDefault="006F053F" w:rsidP="0029223A">
            <w:pPr>
              <w:jc w:val="center"/>
              <w:rPr>
                <w:rFonts w:eastAsiaTheme="minorEastAsia"/>
                <w:iCs/>
              </w:rPr>
            </w:pPr>
            <w:r w:rsidRPr="00F32020">
              <w:rPr>
                <w:rFonts w:eastAsiaTheme="minorEastAsia"/>
                <w:iCs/>
              </w:rPr>
              <w:t>0.200</w:t>
            </w:r>
          </w:p>
        </w:tc>
        <w:tc>
          <w:tcPr>
            <w:tcW w:w="783" w:type="dxa"/>
            <w:tcBorders>
              <w:bottom w:val="single" w:sz="4" w:space="0" w:color="auto"/>
            </w:tcBorders>
            <w:noWrap/>
            <w:hideMark/>
          </w:tcPr>
          <w:p w14:paraId="231977B7" w14:textId="77777777" w:rsidR="006F053F" w:rsidRPr="00F32020" w:rsidRDefault="006F053F" w:rsidP="0029223A">
            <w:pPr>
              <w:jc w:val="center"/>
              <w:rPr>
                <w:rFonts w:eastAsiaTheme="minorEastAsia"/>
                <w:iCs/>
              </w:rPr>
            </w:pPr>
            <w:r w:rsidRPr="00F32020">
              <w:rPr>
                <w:rFonts w:eastAsiaTheme="minorEastAsia"/>
                <w:iCs/>
              </w:rPr>
              <w:t>0.845</w:t>
            </w:r>
          </w:p>
        </w:tc>
        <w:tc>
          <w:tcPr>
            <w:tcW w:w="1398" w:type="dxa"/>
            <w:tcBorders>
              <w:bottom w:val="single" w:sz="4" w:space="0" w:color="auto"/>
            </w:tcBorders>
            <w:noWrap/>
            <w:hideMark/>
          </w:tcPr>
          <w:p w14:paraId="2312684C" w14:textId="77777777" w:rsidR="006F053F" w:rsidRPr="00F32020" w:rsidRDefault="006F053F" w:rsidP="0029223A">
            <w:pPr>
              <w:jc w:val="center"/>
              <w:rPr>
                <w:rFonts w:eastAsiaTheme="minorEastAsia"/>
                <w:iCs/>
              </w:rPr>
            </w:pPr>
            <w:r w:rsidRPr="00F32020">
              <w:rPr>
                <w:rFonts w:eastAsiaTheme="minorEastAsia"/>
                <w:iCs/>
              </w:rPr>
              <w:t>-0.022</w:t>
            </w:r>
          </w:p>
        </w:tc>
        <w:tc>
          <w:tcPr>
            <w:tcW w:w="1078" w:type="dxa"/>
            <w:tcBorders>
              <w:bottom w:val="single" w:sz="4" w:space="0" w:color="auto"/>
            </w:tcBorders>
            <w:noWrap/>
            <w:hideMark/>
          </w:tcPr>
          <w:p w14:paraId="1437E3A9" w14:textId="77777777" w:rsidR="006F053F" w:rsidRPr="00F32020" w:rsidRDefault="006F053F" w:rsidP="0029223A">
            <w:pPr>
              <w:jc w:val="center"/>
              <w:rPr>
                <w:rFonts w:eastAsiaTheme="minorEastAsia"/>
                <w:iCs/>
              </w:rPr>
            </w:pPr>
            <w:r w:rsidRPr="00F32020">
              <w:rPr>
                <w:rFonts w:eastAsiaTheme="minorEastAsia"/>
                <w:iCs/>
              </w:rPr>
              <w:t>0.026</w:t>
            </w:r>
          </w:p>
        </w:tc>
      </w:tr>
      <w:tr w:rsidR="00477CD4" w:rsidRPr="00F32020" w14:paraId="0FC513B9" w14:textId="77777777" w:rsidTr="005309EB">
        <w:trPr>
          <w:gridAfter w:val="1"/>
          <w:wAfter w:w="15" w:type="dxa"/>
          <w:trHeight w:val="320"/>
        </w:trPr>
        <w:tc>
          <w:tcPr>
            <w:tcW w:w="3860" w:type="dxa"/>
            <w:gridSpan w:val="3"/>
            <w:tcBorders>
              <w:top w:val="single" w:sz="4" w:space="0" w:color="auto"/>
              <w:bottom w:val="single" w:sz="4" w:space="0" w:color="auto"/>
            </w:tcBorders>
            <w:noWrap/>
          </w:tcPr>
          <w:p w14:paraId="20666E43" w14:textId="23D6262B" w:rsidR="00CB7E05" w:rsidRPr="00F32020" w:rsidRDefault="00CB7E05" w:rsidP="00CB7E05">
            <w:pPr>
              <w:rPr>
                <w:rFonts w:eastAsiaTheme="minorEastAsia"/>
                <w:iCs/>
              </w:rPr>
            </w:pPr>
            <w:r w:rsidRPr="00F32020">
              <w:rPr>
                <w:rFonts w:eastAsiaTheme="minorEastAsia"/>
                <w:iCs/>
              </w:rPr>
              <w:t>Panel B:</w:t>
            </w:r>
            <w:r w:rsidRPr="00F32020">
              <w:rPr>
                <w:rFonts w:eastAsiaTheme="minorEastAsia"/>
                <w:b/>
                <w:bCs/>
                <w:iCs/>
              </w:rPr>
              <w:t xml:space="preserve"> </w:t>
            </w:r>
            <w:r w:rsidRPr="00F32020">
              <w:rPr>
                <w:rFonts w:eastAsiaTheme="minorEastAsia"/>
                <w:iCs/>
              </w:rPr>
              <w:t>Average age of founders</w:t>
            </w:r>
          </w:p>
        </w:tc>
        <w:tc>
          <w:tcPr>
            <w:tcW w:w="783" w:type="dxa"/>
            <w:tcBorders>
              <w:top w:val="single" w:sz="4" w:space="0" w:color="auto"/>
              <w:bottom w:val="single" w:sz="4" w:space="0" w:color="auto"/>
            </w:tcBorders>
            <w:noWrap/>
          </w:tcPr>
          <w:p w14:paraId="14A0B697" w14:textId="77777777" w:rsidR="00CB7E05" w:rsidRPr="00F32020" w:rsidRDefault="00CB7E05" w:rsidP="0029223A">
            <w:pPr>
              <w:jc w:val="center"/>
              <w:rPr>
                <w:rFonts w:eastAsiaTheme="minorEastAsia"/>
                <w:iCs/>
              </w:rPr>
            </w:pPr>
          </w:p>
        </w:tc>
        <w:tc>
          <w:tcPr>
            <w:tcW w:w="783" w:type="dxa"/>
            <w:tcBorders>
              <w:top w:val="single" w:sz="4" w:space="0" w:color="auto"/>
              <w:bottom w:val="single" w:sz="4" w:space="0" w:color="auto"/>
            </w:tcBorders>
            <w:noWrap/>
          </w:tcPr>
          <w:p w14:paraId="748985CF" w14:textId="77777777" w:rsidR="00CB7E05" w:rsidRPr="00F32020" w:rsidRDefault="00CB7E05" w:rsidP="0029223A">
            <w:pPr>
              <w:jc w:val="center"/>
              <w:rPr>
                <w:rFonts w:eastAsiaTheme="minorEastAsia"/>
                <w:iCs/>
              </w:rPr>
            </w:pPr>
          </w:p>
        </w:tc>
        <w:tc>
          <w:tcPr>
            <w:tcW w:w="1398" w:type="dxa"/>
            <w:tcBorders>
              <w:top w:val="single" w:sz="4" w:space="0" w:color="auto"/>
              <w:bottom w:val="single" w:sz="4" w:space="0" w:color="auto"/>
            </w:tcBorders>
            <w:noWrap/>
          </w:tcPr>
          <w:p w14:paraId="5ADF56ED" w14:textId="77777777" w:rsidR="00CB7E05" w:rsidRPr="00F32020" w:rsidRDefault="00CB7E05" w:rsidP="0029223A">
            <w:pPr>
              <w:jc w:val="center"/>
              <w:rPr>
                <w:rFonts w:eastAsiaTheme="minorEastAsia"/>
                <w:iCs/>
              </w:rPr>
            </w:pPr>
          </w:p>
        </w:tc>
        <w:tc>
          <w:tcPr>
            <w:tcW w:w="1078" w:type="dxa"/>
            <w:tcBorders>
              <w:top w:val="single" w:sz="4" w:space="0" w:color="auto"/>
              <w:bottom w:val="single" w:sz="4" w:space="0" w:color="auto"/>
            </w:tcBorders>
            <w:noWrap/>
          </w:tcPr>
          <w:p w14:paraId="45169E56" w14:textId="77777777" w:rsidR="00CB7E05" w:rsidRPr="00F32020" w:rsidRDefault="00CB7E05" w:rsidP="0029223A">
            <w:pPr>
              <w:jc w:val="center"/>
              <w:rPr>
                <w:rFonts w:eastAsiaTheme="minorEastAsia"/>
                <w:iCs/>
              </w:rPr>
            </w:pPr>
          </w:p>
        </w:tc>
      </w:tr>
      <w:tr w:rsidR="00477CD4" w:rsidRPr="00F32020" w14:paraId="50862119" w14:textId="77777777" w:rsidTr="005309EB">
        <w:trPr>
          <w:gridAfter w:val="1"/>
          <w:wAfter w:w="15" w:type="dxa"/>
          <w:trHeight w:val="320"/>
        </w:trPr>
        <w:tc>
          <w:tcPr>
            <w:tcW w:w="1372" w:type="dxa"/>
            <w:tcBorders>
              <w:top w:val="single" w:sz="4" w:space="0" w:color="auto"/>
              <w:bottom w:val="single" w:sz="4" w:space="0" w:color="auto"/>
            </w:tcBorders>
            <w:noWrap/>
          </w:tcPr>
          <w:p w14:paraId="766A4BC2" w14:textId="3AD8933A" w:rsidR="00840FDC" w:rsidRPr="00F32020" w:rsidRDefault="00840FDC" w:rsidP="00840FDC">
            <w:pPr>
              <w:jc w:val="both"/>
              <w:rPr>
                <w:rFonts w:eastAsiaTheme="minorEastAsia"/>
                <w:iCs/>
              </w:rPr>
            </w:pPr>
            <w:r w:rsidRPr="00F32020">
              <w:rPr>
                <w:rFonts w:eastAsiaTheme="minorEastAsia"/>
                <w:iCs/>
              </w:rPr>
              <w:t>Average age value</w:t>
            </w:r>
          </w:p>
        </w:tc>
        <w:tc>
          <w:tcPr>
            <w:tcW w:w="783" w:type="dxa"/>
            <w:tcBorders>
              <w:top w:val="single" w:sz="4" w:space="0" w:color="auto"/>
              <w:bottom w:val="single" w:sz="4" w:space="0" w:color="auto"/>
            </w:tcBorders>
            <w:noWrap/>
          </w:tcPr>
          <w:p w14:paraId="66E94E4E" w14:textId="2194F3EF" w:rsidR="00840FDC" w:rsidRPr="00F32020" w:rsidRDefault="00840FDC" w:rsidP="00840FDC">
            <w:pPr>
              <w:jc w:val="both"/>
              <w:rPr>
                <w:rFonts w:eastAsiaTheme="minorEastAsia"/>
                <w:iCs/>
              </w:rPr>
            </w:pPr>
            <w:r w:rsidRPr="00F32020">
              <w:rPr>
                <w:rFonts w:eastAsiaTheme="minorEastAsia"/>
                <w:iCs/>
              </w:rPr>
              <w:t>dy/dx</w:t>
            </w:r>
          </w:p>
        </w:tc>
        <w:tc>
          <w:tcPr>
            <w:tcW w:w="1705" w:type="dxa"/>
            <w:tcBorders>
              <w:top w:val="single" w:sz="4" w:space="0" w:color="auto"/>
              <w:bottom w:val="single" w:sz="4" w:space="0" w:color="auto"/>
            </w:tcBorders>
            <w:noWrap/>
          </w:tcPr>
          <w:p w14:paraId="6A5EE5D3" w14:textId="77777777" w:rsidR="00840FDC" w:rsidRPr="00F32020" w:rsidRDefault="00840FDC" w:rsidP="00840FDC">
            <w:pPr>
              <w:jc w:val="both"/>
              <w:rPr>
                <w:rFonts w:eastAsiaTheme="minorEastAsia"/>
                <w:iCs/>
              </w:rPr>
            </w:pPr>
            <w:r w:rsidRPr="00F32020">
              <w:rPr>
                <w:rFonts w:eastAsiaTheme="minorEastAsia"/>
                <w:iCs/>
              </w:rPr>
              <w:t xml:space="preserve">Delta-method </w:t>
            </w:r>
          </w:p>
          <w:p w14:paraId="1F6DF7DB" w14:textId="55A3ACDD" w:rsidR="00840FDC" w:rsidRPr="00F32020" w:rsidRDefault="00840FDC" w:rsidP="00840FDC">
            <w:pPr>
              <w:jc w:val="center"/>
              <w:rPr>
                <w:rFonts w:eastAsiaTheme="minorEastAsia"/>
                <w:iCs/>
              </w:rPr>
            </w:pPr>
            <w:r w:rsidRPr="00F32020">
              <w:rPr>
                <w:rFonts w:eastAsiaTheme="minorEastAsia"/>
                <w:iCs/>
              </w:rPr>
              <w:t>std. err.</w:t>
            </w:r>
          </w:p>
        </w:tc>
        <w:tc>
          <w:tcPr>
            <w:tcW w:w="783" w:type="dxa"/>
            <w:tcBorders>
              <w:top w:val="single" w:sz="4" w:space="0" w:color="auto"/>
              <w:bottom w:val="single" w:sz="4" w:space="0" w:color="auto"/>
            </w:tcBorders>
            <w:noWrap/>
          </w:tcPr>
          <w:p w14:paraId="58CA4727" w14:textId="032B72A1" w:rsidR="00840FDC" w:rsidRPr="00F32020" w:rsidRDefault="00840FDC" w:rsidP="00840FDC">
            <w:pPr>
              <w:jc w:val="center"/>
              <w:rPr>
                <w:rFonts w:eastAsiaTheme="minorEastAsia"/>
                <w:iCs/>
              </w:rPr>
            </w:pPr>
            <w:r w:rsidRPr="00F32020">
              <w:rPr>
                <w:rFonts w:eastAsiaTheme="minorEastAsia"/>
                <w:iCs/>
              </w:rPr>
              <w:t>z</w:t>
            </w:r>
          </w:p>
        </w:tc>
        <w:tc>
          <w:tcPr>
            <w:tcW w:w="783" w:type="dxa"/>
            <w:tcBorders>
              <w:top w:val="single" w:sz="4" w:space="0" w:color="auto"/>
              <w:bottom w:val="single" w:sz="4" w:space="0" w:color="auto"/>
            </w:tcBorders>
            <w:noWrap/>
          </w:tcPr>
          <w:p w14:paraId="63187EA7" w14:textId="34D943E2" w:rsidR="00840FDC" w:rsidRPr="00F32020" w:rsidRDefault="00840FDC" w:rsidP="00840FDC">
            <w:pPr>
              <w:jc w:val="center"/>
              <w:rPr>
                <w:rFonts w:eastAsiaTheme="minorEastAsia"/>
                <w:iCs/>
              </w:rPr>
            </w:pPr>
            <w:r w:rsidRPr="00F32020">
              <w:rPr>
                <w:rFonts w:eastAsiaTheme="minorEastAsia"/>
                <w:iCs/>
              </w:rPr>
              <w:t>P&gt;z</w:t>
            </w:r>
          </w:p>
        </w:tc>
        <w:tc>
          <w:tcPr>
            <w:tcW w:w="1398" w:type="dxa"/>
            <w:tcBorders>
              <w:top w:val="single" w:sz="4" w:space="0" w:color="auto"/>
              <w:bottom w:val="single" w:sz="4" w:space="0" w:color="auto"/>
            </w:tcBorders>
            <w:noWrap/>
          </w:tcPr>
          <w:p w14:paraId="3DBFC48E" w14:textId="0E0E1431" w:rsidR="00840FDC" w:rsidRPr="00F32020" w:rsidRDefault="00840FDC" w:rsidP="00840FDC">
            <w:pPr>
              <w:jc w:val="center"/>
              <w:rPr>
                <w:rFonts w:eastAsiaTheme="minorEastAsia"/>
                <w:iCs/>
              </w:rPr>
            </w:pPr>
            <w:r w:rsidRPr="00F32020">
              <w:rPr>
                <w:rFonts w:eastAsiaTheme="minorEastAsia"/>
                <w:iCs/>
              </w:rPr>
              <w:t>[95% conf.</w:t>
            </w:r>
          </w:p>
        </w:tc>
        <w:tc>
          <w:tcPr>
            <w:tcW w:w="1078" w:type="dxa"/>
            <w:tcBorders>
              <w:top w:val="single" w:sz="4" w:space="0" w:color="auto"/>
              <w:bottom w:val="single" w:sz="4" w:space="0" w:color="auto"/>
            </w:tcBorders>
            <w:noWrap/>
          </w:tcPr>
          <w:p w14:paraId="00E4470B" w14:textId="4D29532C" w:rsidR="00840FDC" w:rsidRPr="00F32020" w:rsidRDefault="00840FDC" w:rsidP="00840FDC">
            <w:pPr>
              <w:jc w:val="center"/>
              <w:rPr>
                <w:rFonts w:eastAsiaTheme="minorEastAsia"/>
                <w:iCs/>
              </w:rPr>
            </w:pPr>
            <w:r w:rsidRPr="00F32020">
              <w:rPr>
                <w:rFonts w:eastAsiaTheme="minorEastAsia"/>
                <w:iCs/>
              </w:rPr>
              <w:t>interval]</w:t>
            </w:r>
          </w:p>
        </w:tc>
      </w:tr>
      <w:tr w:rsidR="00477CD4" w:rsidRPr="00F32020" w14:paraId="551FB468" w14:textId="77777777" w:rsidTr="005309EB">
        <w:trPr>
          <w:gridAfter w:val="1"/>
          <w:wAfter w:w="15" w:type="dxa"/>
          <w:trHeight w:val="320"/>
        </w:trPr>
        <w:tc>
          <w:tcPr>
            <w:tcW w:w="1372" w:type="dxa"/>
            <w:tcBorders>
              <w:top w:val="single" w:sz="4" w:space="0" w:color="auto"/>
            </w:tcBorders>
            <w:noWrap/>
          </w:tcPr>
          <w:p w14:paraId="4CBEBE29" w14:textId="4568A1BD" w:rsidR="00840FDC" w:rsidRPr="00F32020" w:rsidRDefault="00840FDC" w:rsidP="00840FDC">
            <w:pPr>
              <w:jc w:val="both"/>
              <w:rPr>
                <w:rFonts w:eastAsiaTheme="minorEastAsia"/>
                <w:iCs/>
              </w:rPr>
            </w:pPr>
            <w:r w:rsidRPr="00F32020">
              <w:rPr>
                <w:rFonts w:eastAsiaTheme="minorEastAsia"/>
                <w:iCs/>
              </w:rPr>
              <w:t>23</w:t>
            </w:r>
          </w:p>
        </w:tc>
        <w:tc>
          <w:tcPr>
            <w:tcW w:w="783" w:type="dxa"/>
            <w:tcBorders>
              <w:top w:val="single" w:sz="4" w:space="0" w:color="auto"/>
            </w:tcBorders>
            <w:noWrap/>
          </w:tcPr>
          <w:p w14:paraId="4C920F5F" w14:textId="5A11B8EF" w:rsidR="00840FDC" w:rsidRPr="00F32020" w:rsidRDefault="00840FDC" w:rsidP="00840FDC">
            <w:pPr>
              <w:jc w:val="both"/>
              <w:rPr>
                <w:rFonts w:eastAsiaTheme="minorEastAsia"/>
                <w:iCs/>
              </w:rPr>
            </w:pPr>
            <w:r w:rsidRPr="00F32020">
              <w:rPr>
                <w:rFonts w:eastAsiaTheme="minorEastAsia"/>
                <w:iCs/>
              </w:rPr>
              <w:t>0.012</w:t>
            </w:r>
          </w:p>
        </w:tc>
        <w:tc>
          <w:tcPr>
            <w:tcW w:w="1705" w:type="dxa"/>
            <w:tcBorders>
              <w:top w:val="single" w:sz="4" w:space="0" w:color="auto"/>
            </w:tcBorders>
            <w:noWrap/>
          </w:tcPr>
          <w:p w14:paraId="1A649F9B" w14:textId="74F08A87" w:rsidR="00840FDC" w:rsidRPr="00F32020" w:rsidRDefault="00840FDC" w:rsidP="00840FDC">
            <w:pPr>
              <w:jc w:val="center"/>
              <w:rPr>
                <w:rFonts w:eastAsiaTheme="minorEastAsia"/>
                <w:iCs/>
              </w:rPr>
            </w:pPr>
            <w:r w:rsidRPr="00F32020">
              <w:rPr>
                <w:rFonts w:eastAsiaTheme="minorEastAsia"/>
                <w:iCs/>
              </w:rPr>
              <w:t>0.008</w:t>
            </w:r>
          </w:p>
        </w:tc>
        <w:tc>
          <w:tcPr>
            <w:tcW w:w="783" w:type="dxa"/>
            <w:tcBorders>
              <w:top w:val="single" w:sz="4" w:space="0" w:color="auto"/>
            </w:tcBorders>
            <w:noWrap/>
          </w:tcPr>
          <w:p w14:paraId="214BCCF6" w14:textId="4AFF57DA" w:rsidR="00840FDC" w:rsidRPr="00F32020" w:rsidRDefault="00840FDC" w:rsidP="00840FDC">
            <w:pPr>
              <w:jc w:val="center"/>
              <w:rPr>
                <w:rFonts w:eastAsiaTheme="minorEastAsia"/>
                <w:iCs/>
              </w:rPr>
            </w:pPr>
            <w:r w:rsidRPr="00F32020">
              <w:rPr>
                <w:rFonts w:eastAsiaTheme="minorEastAsia"/>
                <w:iCs/>
              </w:rPr>
              <w:t>1.450</w:t>
            </w:r>
          </w:p>
        </w:tc>
        <w:tc>
          <w:tcPr>
            <w:tcW w:w="783" w:type="dxa"/>
            <w:tcBorders>
              <w:top w:val="single" w:sz="4" w:space="0" w:color="auto"/>
            </w:tcBorders>
            <w:noWrap/>
          </w:tcPr>
          <w:p w14:paraId="7402B010" w14:textId="40DA14F2" w:rsidR="00840FDC" w:rsidRPr="00F32020" w:rsidRDefault="00840FDC" w:rsidP="00840FDC">
            <w:pPr>
              <w:jc w:val="center"/>
              <w:rPr>
                <w:rFonts w:eastAsiaTheme="minorEastAsia"/>
                <w:iCs/>
              </w:rPr>
            </w:pPr>
            <w:r w:rsidRPr="00F32020">
              <w:rPr>
                <w:rFonts w:eastAsiaTheme="minorEastAsia"/>
                <w:iCs/>
              </w:rPr>
              <w:t>0.148</w:t>
            </w:r>
          </w:p>
        </w:tc>
        <w:tc>
          <w:tcPr>
            <w:tcW w:w="1398" w:type="dxa"/>
            <w:tcBorders>
              <w:top w:val="single" w:sz="4" w:space="0" w:color="auto"/>
            </w:tcBorders>
            <w:noWrap/>
          </w:tcPr>
          <w:p w14:paraId="26294695" w14:textId="09625E16" w:rsidR="00840FDC" w:rsidRPr="00F32020" w:rsidRDefault="00840FDC" w:rsidP="00840FDC">
            <w:pPr>
              <w:jc w:val="center"/>
              <w:rPr>
                <w:rFonts w:eastAsiaTheme="minorEastAsia"/>
                <w:iCs/>
              </w:rPr>
            </w:pPr>
            <w:r w:rsidRPr="00F32020">
              <w:rPr>
                <w:rFonts w:eastAsiaTheme="minorEastAsia"/>
                <w:iCs/>
              </w:rPr>
              <w:t>-0.004</w:t>
            </w:r>
          </w:p>
        </w:tc>
        <w:tc>
          <w:tcPr>
            <w:tcW w:w="1078" w:type="dxa"/>
            <w:tcBorders>
              <w:top w:val="single" w:sz="4" w:space="0" w:color="auto"/>
            </w:tcBorders>
            <w:noWrap/>
          </w:tcPr>
          <w:p w14:paraId="188583D8" w14:textId="1DC02120" w:rsidR="00840FDC" w:rsidRPr="00F32020" w:rsidRDefault="00840FDC" w:rsidP="00840FDC">
            <w:pPr>
              <w:jc w:val="center"/>
              <w:rPr>
                <w:rFonts w:eastAsiaTheme="minorEastAsia"/>
                <w:iCs/>
              </w:rPr>
            </w:pPr>
            <w:r w:rsidRPr="00F32020">
              <w:rPr>
                <w:rFonts w:eastAsiaTheme="minorEastAsia"/>
                <w:iCs/>
              </w:rPr>
              <w:t>0.029</w:t>
            </w:r>
          </w:p>
        </w:tc>
      </w:tr>
      <w:tr w:rsidR="00477CD4" w:rsidRPr="00F32020" w14:paraId="472D4B6E" w14:textId="77777777" w:rsidTr="005309EB">
        <w:trPr>
          <w:gridAfter w:val="1"/>
          <w:wAfter w:w="15" w:type="dxa"/>
          <w:trHeight w:val="320"/>
        </w:trPr>
        <w:tc>
          <w:tcPr>
            <w:tcW w:w="1372" w:type="dxa"/>
            <w:noWrap/>
          </w:tcPr>
          <w:p w14:paraId="3C58E9CD" w14:textId="6EC385C4" w:rsidR="00840FDC" w:rsidRPr="00F32020" w:rsidRDefault="00840FDC" w:rsidP="00840FDC">
            <w:pPr>
              <w:jc w:val="both"/>
              <w:rPr>
                <w:rFonts w:eastAsiaTheme="minorEastAsia"/>
                <w:iCs/>
              </w:rPr>
            </w:pPr>
            <w:r w:rsidRPr="00F32020">
              <w:rPr>
                <w:rFonts w:eastAsiaTheme="minorEastAsia"/>
                <w:iCs/>
              </w:rPr>
              <w:t>28</w:t>
            </w:r>
          </w:p>
        </w:tc>
        <w:tc>
          <w:tcPr>
            <w:tcW w:w="783" w:type="dxa"/>
            <w:noWrap/>
          </w:tcPr>
          <w:p w14:paraId="3A0E2627" w14:textId="5DEF926F" w:rsidR="00840FDC" w:rsidRPr="00F32020" w:rsidRDefault="00840FDC" w:rsidP="00840FDC">
            <w:pPr>
              <w:jc w:val="both"/>
              <w:rPr>
                <w:rFonts w:eastAsiaTheme="minorEastAsia"/>
                <w:iCs/>
              </w:rPr>
            </w:pPr>
            <w:r w:rsidRPr="00F32020">
              <w:rPr>
                <w:rFonts w:eastAsiaTheme="minorEastAsia"/>
                <w:iCs/>
              </w:rPr>
              <w:t>0.013</w:t>
            </w:r>
          </w:p>
        </w:tc>
        <w:tc>
          <w:tcPr>
            <w:tcW w:w="1705" w:type="dxa"/>
            <w:noWrap/>
          </w:tcPr>
          <w:p w14:paraId="4BDA8759" w14:textId="4AD18B42" w:rsidR="00840FDC" w:rsidRPr="00F32020" w:rsidRDefault="00840FDC" w:rsidP="00840FDC">
            <w:pPr>
              <w:jc w:val="center"/>
              <w:rPr>
                <w:rFonts w:eastAsiaTheme="minorEastAsia"/>
                <w:iCs/>
              </w:rPr>
            </w:pPr>
            <w:r w:rsidRPr="00F32020">
              <w:rPr>
                <w:rFonts w:eastAsiaTheme="minorEastAsia"/>
                <w:iCs/>
              </w:rPr>
              <w:t>0.007</w:t>
            </w:r>
          </w:p>
        </w:tc>
        <w:tc>
          <w:tcPr>
            <w:tcW w:w="783" w:type="dxa"/>
            <w:noWrap/>
          </w:tcPr>
          <w:p w14:paraId="198751BA" w14:textId="63D84222" w:rsidR="00840FDC" w:rsidRPr="00F32020" w:rsidRDefault="00840FDC" w:rsidP="00840FDC">
            <w:pPr>
              <w:jc w:val="center"/>
              <w:rPr>
                <w:rFonts w:eastAsiaTheme="minorEastAsia"/>
                <w:iCs/>
              </w:rPr>
            </w:pPr>
            <w:r w:rsidRPr="00F32020">
              <w:rPr>
                <w:rFonts w:eastAsiaTheme="minorEastAsia"/>
                <w:iCs/>
              </w:rPr>
              <w:t>1.880</w:t>
            </w:r>
          </w:p>
        </w:tc>
        <w:tc>
          <w:tcPr>
            <w:tcW w:w="783" w:type="dxa"/>
            <w:noWrap/>
          </w:tcPr>
          <w:p w14:paraId="775711BA" w14:textId="7A6E066A" w:rsidR="00840FDC" w:rsidRPr="00F32020" w:rsidRDefault="00840FDC" w:rsidP="00840FDC">
            <w:pPr>
              <w:jc w:val="center"/>
              <w:rPr>
                <w:rFonts w:eastAsiaTheme="minorEastAsia"/>
                <w:iCs/>
              </w:rPr>
            </w:pPr>
            <w:r w:rsidRPr="00F32020">
              <w:rPr>
                <w:rFonts w:eastAsiaTheme="minorEastAsia"/>
                <w:iCs/>
              </w:rPr>
              <w:t>0.060</w:t>
            </w:r>
          </w:p>
        </w:tc>
        <w:tc>
          <w:tcPr>
            <w:tcW w:w="1398" w:type="dxa"/>
            <w:noWrap/>
          </w:tcPr>
          <w:p w14:paraId="624FFF82" w14:textId="69F8F835" w:rsidR="00840FDC" w:rsidRPr="00F32020" w:rsidRDefault="00840FDC" w:rsidP="00840FDC">
            <w:pPr>
              <w:jc w:val="center"/>
              <w:rPr>
                <w:rFonts w:eastAsiaTheme="minorEastAsia"/>
                <w:iCs/>
              </w:rPr>
            </w:pPr>
            <w:r w:rsidRPr="00F32020">
              <w:rPr>
                <w:rFonts w:eastAsiaTheme="minorEastAsia"/>
                <w:iCs/>
              </w:rPr>
              <w:t>-0.001</w:t>
            </w:r>
          </w:p>
        </w:tc>
        <w:tc>
          <w:tcPr>
            <w:tcW w:w="1078" w:type="dxa"/>
            <w:noWrap/>
          </w:tcPr>
          <w:p w14:paraId="320A10A5" w14:textId="0F56F215" w:rsidR="00840FDC" w:rsidRPr="00F32020" w:rsidRDefault="00840FDC" w:rsidP="00840FDC">
            <w:pPr>
              <w:jc w:val="center"/>
              <w:rPr>
                <w:rFonts w:eastAsiaTheme="minorEastAsia"/>
                <w:iCs/>
              </w:rPr>
            </w:pPr>
            <w:r w:rsidRPr="00F32020">
              <w:rPr>
                <w:rFonts w:eastAsiaTheme="minorEastAsia"/>
                <w:iCs/>
              </w:rPr>
              <w:t>0.026</w:t>
            </w:r>
          </w:p>
        </w:tc>
      </w:tr>
      <w:tr w:rsidR="00477CD4" w:rsidRPr="00F32020" w14:paraId="54C50A94" w14:textId="77777777" w:rsidTr="005309EB">
        <w:trPr>
          <w:gridAfter w:val="1"/>
          <w:wAfter w:w="15" w:type="dxa"/>
          <w:trHeight w:val="320"/>
        </w:trPr>
        <w:tc>
          <w:tcPr>
            <w:tcW w:w="1372" w:type="dxa"/>
            <w:noWrap/>
          </w:tcPr>
          <w:p w14:paraId="481FEB73" w14:textId="1591C787" w:rsidR="00840FDC" w:rsidRPr="00F32020" w:rsidRDefault="00840FDC" w:rsidP="00840FDC">
            <w:pPr>
              <w:jc w:val="both"/>
              <w:rPr>
                <w:rFonts w:eastAsiaTheme="minorEastAsia"/>
                <w:iCs/>
              </w:rPr>
            </w:pPr>
            <w:r w:rsidRPr="00F32020">
              <w:rPr>
                <w:rFonts w:eastAsiaTheme="minorEastAsia"/>
                <w:iCs/>
              </w:rPr>
              <w:t>33</w:t>
            </w:r>
          </w:p>
        </w:tc>
        <w:tc>
          <w:tcPr>
            <w:tcW w:w="783" w:type="dxa"/>
            <w:noWrap/>
          </w:tcPr>
          <w:p w14:paraId="0B986C3A" w14:textId="14A04CDA" w:rsidR="00840FDC" w:rsidRPr="00F32020" w:rsidRDefault="00840FDC" w:rsidP="00840FDC">
            <w:pPr>
              <w:jc w:val="both"/>
              <w:rPr>
                <w:rFonts w:eastAsiaTheme="minorEastAsia"/>
                <w:iCs/>
              </w:rPr>
            </w:pPr>
            <w:r w:rsidRPr="00F32020">
              <w:rPr>
                <w:rFonts w:eastAsiaTheme="minorEastAsia"/>
                <w:iCs/>
              </w:rPr>
              <w:t>0.013</w:t>
            </w:r>
          </w:p>
        </w:tc>
        <w:tc>
          <w:tcPr>
            <w:tcW w:w="1705" w:type="dxa"/>
            <w:noWrap/>
          </w:tcPr>
          <w:p w14:paraId="717CB18D" w14:textId="64B1139F" w:rsidR="00840FDC" w:rsidRPr="00F32020" w:rsidRDefault="00840FDC" w:rsidP="00840FDC">
            <w:pPr>
              <w:jc w:val="center"/>
              <w:rPr>
                <w:rFonts w:eastAsiaTheme="minorEastAsia"/>
                <w:iCs/>
              </w:rPr>
            </w:pPr>
            <w:r w:rsidRPr="00F32020">
              <w:rPr>
                <w:rFonts w:eastAsiaTheme="minorEastAsia"/>
                <w:iCs/>
              </w:rPr>
              <w:t>0.005</w:t>
            </w:r>
          </w:p>
        </w:tc>
        <w:tc>
          <w:tcPr>
            <w:tcW w:w="783" w:type="dxa"/>
            <w:noWrap/>
          </w:tcPr>
          <w:p w14:paraId="57B46F2C" w14:textId="784A9F16" w:rsidR="00840FDC" w:rsidRPr="00F32020" w:rsidRDefault="00840FDC" w:rsidP="00840FDC">
            <w:pPr>
              <w:jc w:val="center"/>
              <w:rPr>
                <w:rFonts w:eastAsiaTheme="minorEastAsia"/>
                <w:iCs/>
              </w:rPr>
            </w:pPr>
            <w:r w:rsidRPr="00F32020">
              <w:rPr>
                <w:rFonts w:eastAsiaTheme="minorEastAsia"/>
                <w:iCs/>
              </w:rPr>
              <w:t>2.330</w:t>
            </w:r>
          </w:p>
        </w:tc>
        <w:tc>
          <w:tcPr>
            <w:tcW w:w="783" w:type="dxa"/>
            <w:noWrap/>
          </w:tcPr>
          <w:p w14:paraId="4019DC0D" w14:textId="61C61783" w:rsidR="00840FDC" w:rsidRPr="00F32020" w:rsidRDefault="00840FDC" w:rsidP="00840FDC">
            <w:pPr>
              <w:jc w:val="center"/>
              <w:rPr>
                <w:rFonts w:eastAsiaTheme="minorEastAsia"/>
                <w:iCs/>
              </w:rPr>
            </w:pPr>
            <w:r w:rsidRPr="00F32020">
              <w:rPr>
                <w:rFonts w:eastAsiaTheme="minorEastAsia"/>
                <w:iCs/>
              </w:rPr>
              <w:t>0.020</w:t>
            </w:r>
          </w:p>
        </w:tc>
        <w:tc>
          <w:tcPr>
            <w:tcW w:w="1398" w:type="dxa"/>
            <w:noWrap/>
          </w:tcPr>
          <w:p w14:paraId="3B1BBC3C" w14:textId="0780D4A2" w:rsidR="00840FDC" w:rsidRPr="00F32020" w:rsidRDefault="00840FDC" w:rsidP="00840FDC">
            <w:pPr>
              <w:jc w:val="center"/>
              <w:rPr>
                <w:rFonts w:eastAsiaTheme="minorEastAsia"/>
                <w:iCs/>
              </w:rPr>
            </w:pPr>
            <w:r w:rsidRPr="00F32020">
              <w:rPr>
                <w:rFonts w:eastAsiaTheme="minorEastAsia"/>
                <w:iCs/>
              </w:rPr>
              <w:t>0.002</w:t>
            </w:r>
          </w:p>
        </w:tc>
        <w:tc>
          <w:tcPr>
            <w:tcW w:w="1078" w:type="dxa"/>
            <w:noWrap/>
          </w:tcPr>
          <w:p w14:paraId="321117A6" w14:textId="746A0EBC" w:rsidR="00840FDC" w:rsidRPr="00F32020" w:rsidRDefault="00840FDC" w:rsidP="00840FDC">
            <w:pPr>
              <w:jc w:val="center"/>
              <w:rPr>
                <w:rFonts w:eastAsiaTheme="minorEastAsia"/>
                <w:iCs/>
              </w:rPr>
            </w:pPr>
            <w:r w:rsidRPr="00F32020">
              <w:rPr>
                <w:rFonts w:eastAsiaTheme="minorEastAsia"/>
                <w:iCs/>
              </w:rPr>
              <w:t>0.023</w:t>
            </w:r>
          </w:p>
        </w:tc>
      </w:tr>
      <w:tr w:rsidR="00477CD4" w:rsidRPr="00F32020" w14:paraId="7186B733" w14:textId="77777777" w:rsidTr="005309EB">
        <w:trPr>
          <w:gridAfter w:val="1"/>
          <w:wAfter w:w="15" w:type="dxa"/>
          <w:trHeight w:val="320"/>
        </w:trPr>
        <w:tc>
          <w:tcPr>
            <w:tcW w:w="1372" w:type="dxa"/>
            <w:noWrap/>
          </w:tcPr>
          <w:p w14:paraId="2633B05A" w14:textId="23C431DE" w:rsidR="00840FDC" w:rsidRPr="00F32020" w:rsidRDefault="00840FDC" w:rsidP="00840FDC">
            <w:pPr>
              <w:jc w:val="both"/>
              <w:rPr>
                <w:rFonts w:eastAsiaTheme="minorEastAsia"/>
                <w:iCs/>
              </w:rPr>
            </w:pPr>
            <w:r w:rsidRPr="00F32020">
              <w:rPr>
                <w:rFonts w:eastAsiaTheme="minorEastAsia"/>
                <w:iCs/>
              </w:rPr>
              <w:t>38</w:t>
            </w:r>
          </w:p>
        </w:tc>
        <w:tc>
          <w:tcPr>
            <w:tcW w:w="783" w:type="dxa"/>
            <w:noWrap/>
          </w:tcPr>
          <w:p w14:paraId="28012558" w14:textId="38B9D6F5" w:rsidR="00840FDC" w:rsidRPr="00F32020" w:rsidRDefault="00840FDC" w:rsidP="00840FDC">
            <w:pPr>
              <w:jc w:val="both"/>
              <w:rPr>
                <w:rFonts w:eastAsiaTheme="minorEastAsia"/>
                <w:iCs/>
              </w:rPr>
            </w:pPr>
            <w:r w:rsidRPr="00F32020">
              <w:rPr>
                <w:rFonts w:eastAsiaTheme="minorEastAsia"/>
                <w:iCs/>
              </w:rPr>
              <w:t>0.013</w:t>
            </w:r>
          </w:p>
        </w:tc>
        <w:tc>
          <w:tcPr>
            <w:tcW w:w="1705" w:type="dxa"/>
            <w:noWrap/>
          </w:tcPr>
          <w:p w14:paraId="4F0260BB" w14:textId="4C784F84" w:rsidR="00840FDC" w:rsidRPr="00F32020" w:rsidRDefault="00840FDC" w:rsidP="00840FDC">
            <w:pPr>
              <w:jc w:val="center"/>
              <w:rPr>
                <w:rFonts w:eastAsiaTheme="minorEastAsia"/>
                <w:iCs/>
              </w:rPr>
            </w:pPr>
            <w:r w:rsidRPr="00F32020">
              <w:rPr>
                <w:rFonts w:eastAsiaTheme="minorEastAsia"/>
                <w:iCs/>
              </w:rPr>
              <w:t>0.005</w:t>
            </w:r>
          </w:p>
        </w:tc>
        <w:tc>
          <w:tcPr>
            <w:tcW w:w="783" w:type="dxa"/>
            <w:noWrap/>
          </w:tcPr>
          <w:p w14:paraId="2945D5E1" w14:textId="3E8F64FA" w:rsidR="00840FDC" w:rsidRPr="00F32020" w:rsidRDefault="00840FDC" w:rsidP="00840FDC">
            <w:pPr>
              <w:jc w:val="center"/>
              <w:rPr>
                <w:rFonts w:eastAsiaTheme="minorEastAsia"/>
                <w:iCs/>
              </w:rPr>
            </w:pPr>
            <w:r w:rsidRPr="00F32020">
              <w:rPr>
                <w:rFonts w:eastAsiaTheme="minorEastAsia"/>
                <w:iCs/>
              </w:rPr>
              <w:t>2.420</w:t>
            </w:r>
          </w:p>
        </w:tc>
        <w:tc>
          <w:tcPr>
            <w:tcW w:w="783" w:type="dxa"/>
            <w:noWrap/>
          </w:tcPr>
          <w:p w14:paraId="772ADA73" w14:textId="1E21A57C" w:rsidR="00840FDC" w:rsidRPr="00F32020" w:rsidRDefault="00840FDC" w:rsidP="00840FDC">
            <w:pPr>
              <w:jc w:val="center"/>
              <w:rPr>
                <w:rFonts w:eastAsiaTheme="minorEastAsia"/>
                <w:iCs/>
              </w:rPr>
            </w:pPr>
            <w:r w:rsidRPr="00F32020">
              <w:rPr>
                <w:rFonts w:eastAsiaTheme="minorEastAsia"/>
                <w:iCs/>
              </w:rPr>
              <w:t>0.016</w:t>
            </w:r>
          </w:p>
        </w:tc>
        <w:tc>
          <w:tcPr>
            <w:tcW w:w="1398" w:type="dxa"/>
            <w:noWrap/>
          </w:tcPr>
          <w:p w14:paraId="420B5315" w14:textId="0BD657A6" w:rsidR="00840FDC" w:rsidRPr="00F32020" w:rsidRDefault="00840FDC" w:rsidP="00840FDC">
            <w:pPr>
              <w:jc w:val="center"/>
              <w:rPr>
                <w:rFonts w:eastAsiaTheme="minorEastAsia"/>
                <w:iCs/>
              </w:rPr>
            </w:pPr>
            <w:r w:rsidRPr="00F32020">
              <w:rPr>
                <w:rFonts w:eastAsiaTheme="minorEastAsia"/>
                <w:iCs/>
              </w:rPr>
              <w:t>0.002</w:t>
            </w:r>
          </w:p>
        </w:tc>
        <w:tc>
          <w:tcPr>
            <w:tcW w:w="1078" w:type="dxa"/>
            <w:noWrap/>
          </w:tcPr>
          <w:p w14:paraId="477F1649" w14:textId="38ED275D" w:rsidR="00840FDC" w:rsidRPr="00F32020" w:rsidRDefault="00840FDC" w:rsidP="00840FDC">
            <w:pPr>
              <w:jc w:val="center"/>
              <w:rPr>
                <w:rFonts w:eastAsiaTheme="minorEastAsia"/>
                <w:iCs/>
              </w:rPr>
            </w:pPr>
            <w:r w:rsidRPr="00F32020">
              <w:rPr>
                <w:rFonts w:eastAsiaTheme="minorEastAsia"/>
                <w:iCs/>
              </w:rPr>
              <w:t>0.023</w:t>
            </w:r>
          </w:p>
        </w:tc>
      </w:tr>
      <w:tr w:rsidR="00477CD4" w:rsidRPr="00F32020" w14:paraId="08D396BD" w14:textId="77777777" w:rsidTr="005309EB">
        <w:trPr>
          <w:gridAfter w:val="1"/>
          <w:wAfter w:w="15" w:type="dxa"/>
          <w:trHeight w:val="320"/>
        </w:trPr>
        <w:tc>
          <w:tcPr>
            <w:tcW w:w="1372" w:type="dxa"/>
            <w:noWrap/>
          </w:tcPr>
          <w:p w14:paraId="582F00B5" w14:textId="7D0BED21" w:rsidR="00840FDC" w:rsidRPr="00F32020" w:rsidRDefault="00840FDC" w:rsidP="00840FDC">
            <w:pPr>
              <w:jc w:val="both"/>
              <w:rPr>
                <w:rFonts w:eastAsiaTheme="minorEastAsia"/>
                <w:iCs/>
              </w:rPr>
            </w:pPr>
            <w:r w:rsidRPr="00F32020">
              <w:rPr>
                <w:rFonts w:eastAsiaTheme="minorEastAsia"/>
                <w:iCs/>
              </w:rPr>
              <w:t>43</w:t>
            </w:r>
          </w:p>
        </w:tc>
        <w:tc>
          <w:tcPr>
            <w:tcW w:w="783" w:type="dxa"/>
            <w:noWrap/>
          </w:tcPr>
          <w:p w14:paraId="1E3B1039" w14:textId="4D94FCBB" w:rsidR="00840FDC" w:rsidRPr="00F32020" w:rsidRDefault="00840FDC" w:rsidP="00840FDC">
            <w:pPr>
              <w:jc w:val="both"/>
              <w:rPr>
                <w:rFonts w:eastAsiaTheme="minorEastAsia"/>
                <w:iCs/>
              </w:rPr>
            </w:pPr>
            <w:r w:rsidRPr="00F32020">
              <w:rPr>
                <w:rFonts w:eastAsiaTheme="minorEastAsia"/>
                <w:iCs/>
              </w:rPr>
              <w:t>0.013</w:t>
            </w:r>
          </w:p>
        </w:tc>
        <w:tc>
          <w:tcPr>
            <w:tcW w:w="1705" w:type="dxa"/>
            <w:noWrap/>
          </w:tcPr>
          <w:p w14:paraId="5AEA26D5" w14:textId="67B06195" w:rsidR="00840FDC" w:rsidRPr="00F32020" w:rsidRDefault="00840FDC" w:rsidP="00840FDC">
            <w:pPr>
              <w:jc w:val="center"/>
              <w:rPr>
                <w:rFonts w:eastAsiaTheme="minorEastAsia"/>
                <w:iCs/>
              </w:rPr>
            </w:pPr>
            <w:r w:rsidRPr="00F32020">
              <w:rPr>
                <w:rFonts w:eastAsiaTheme="minorEastAsia"/>
                <w:iCs/>
              </w:rPr>
              <w:t>0.006</w:t>
            </w:r>
          </w:p>
        </w:tc>
        <w:tc>
          <w:tcPr>
            <w:tcW w:w="783" w:type="dxa"/>
            <w:noWrap/>
          </w:tcPr>
          <w:p w14:paraId="63E0A832" w14:textId="749C6E30" w:rsidR="00840FDC" w:rsidRPr="00F32020" w:rsidRDefault="00840FDC" w:rsidP="00840FDC">
            <w:pPr>
              <w:jc w:val="center"/>
              <w:rPr>
                <w:rFonts w:eastAsiaTheme="minorEastAsia"/>
                <w:iCs/>
              </w:rPr>
            </w:pPr>
            <w:r w:rsidRPr="00F32020">
              <w:rPr>
                <w:rFonts w:eastAsiaTheme="minorEastAsia"/>
                <w:iCs/>
              </w:rPr>
              <w:t>2.100</w:t>
            </w:r>
          </w:p>
        </w:tc>
        <w:tc>
          <w:tcPr>
            <w:tcW w:w="783" w:type="dxa"/>
            <w:noWrap/>
          </w:tcPr>
          <w:p w14:paraId="3CA178CE" w14:textId="303C1835" w:rsidR="00840FDC" w:rsidRPr="00F32020" w:rsidRDefault="00840FDC" w:rsidP="00840FDC">
            <w:pPr>
              <w:jc w:val="center"/>
              <w:rPr>
                <w:rFonts w:eastAsiaTheme="minorEastAsia"/>
                <w:iCs/>
              </w:rPr>
            </w:pPr>
            <w:r w:rsidRPr="00F32020">
              <w:rPr>
                <w:rFonts w:eastAsiaTheme="minorEastAsia"/>
                <w:iCs/>
              </w:rPr>
              <w:t>0.036</w:t>
            </w:r>
          </w:p>
        </w:tc>
        <w:tc>
          <w:tcPr>
            <w:tcW w:w="1398" w:type="dxa"/>
            <w:noWrap/>
          </w:tcPr>
          <w:p w14:paraId="19A44D3B" w14:textId="0C796AF8" w:rsidR="00840FDC" w:rsidRPr="00F32020" w:rsidRDefault="00840FDC" w:rsidP="00840FDC">
            <w:pPr>
              <w:jc w:val="center"/>
              <w:rPr>
                <w:rFonts w:eastAsiaTheme="minorEastAsia"/>
                <w:iCs/>
              </w:rPr>
            </w:pPr>
            <w:r w:rsidRPr="00F32020">
              <w:rPr>
                <w:rFonts w:eastAsiaTheme="minorEastAsia"/>
                <w:iCs/>
              </w:rPr>
              <w:t>0.001</w:t>
            </w:r>
          </w:p>
        </w:tc>
        <w:tc>
          <w:tcPr>
            <w:tcW w:w="1078" w:type="dxa"/>
            <w:noWrap/>
          </w:tcPr>
          <w:p w14:paraId="4F339478" w14:textId="29096B09" w:rsidR="00840FDC" w:rsidRPr="00F32020" w:rsidRDefault="00840FDC" w:rsidP="00840FDC">
            <w:pPr>
              <w:jc w:val="center"/>
              <w:rPr>
                <w:rFonts w:eastAsiaTheme="minorEastAsia"/>
                <w:iCs/>
              </w:rPr>
            </w:pPr>
            <w:r w:rsidRPr="00F32020">
              <w:rPr>
                <w:rFonts w:eastAsiaTheme="minorEastAsia"/>
                <w:iCs/>
              </w:rPr>
              <w:t>0.025</w:t>
            </w:r>
          </w:p>
        </w:tc>
      </w:tr>
      <w:tr w:rsidR="00477CD4" w:rsidRPr="00F32020" w14:paraId="2C4434CC" w14:textId="77777777" w:rsidTr="005309EB">
        <w:trPr>
          <w:gridAfter w:val="1"/>
          <w:wAfter w:w="15" w:type="dxa"/>
          <w:trHeight w:val="320"/>
        </w:trPr>
        <w:tc>
          <w:tcPr>
            <w:tcW w:w="1372" w:type="dxa"/>
            <w:noWrap/>
          </w:tcPr>
          <w:p w14:paraId="1A6B0929" w14:textId="695C01EC" w:rsidR="00840FDC" w:rsidRPr="00F32020" w:rsidRDefault="00840FDC" w:rsidP="00840FDC">
            <w:pPr>
              <w:jc w:val="both"/>
              <w:rPr>
                <w:rFonts w:eastAsiaTheme="minorEastAsia"/>
                <w:iCs/>
              </w:rPr>
            </w:pPr>
            <w:r w:rsidRPr="00F32020">
              <w:rPr>
                <w:rFonts w:eastAsiaTheme="minorEastAsia"/>
                <w:iCs/>
              </w:rPr>
              <w:t>48</w:t>
            </w:r>
          </w:p>
        </w:tc>
        <w:tc>
          <w:tcPr>
            <w:tcW w:w="783" w:type="dxa"/>
            <w:noWrap/>
          </w:tcPr>
          <w:p w14:paraId="174B2C0F" w14:textId="09C2A9C8" w:rsidR="00840FDC" w:rsidRPr="00F32020" w:rsidRDefault="00840FDC" w:rsidP="00840FDC">
            <w:pPr>
              <w:jc w:val="both"/>
              <w:rPr>
                <w:rFonts w:eastAsiaTheme="minorEastAsia"/>
                <w:iCs/>
              </w:rPr>
            </w:pPr>
            <w:r w:rsidRPr="00F32020">
              <w:rPr>
                <w:rFonts w:eastAsiaTheme="minorEastAsia"/>
                <w:iCs/>
              </w:rPr>
              <w:t>0.013</w:t>
            </w:r>
          </w:p>
        </w:tc>
        <w:tc>
          <w:tcPr>
            <w:tcW w:w="1705" w:type="dxa"/>
            <w:noWrap/>
          </w:tcPr>
          <w:p w14:paraId="39E5FDD6" w14:textId="0BF8187A" w:rsidR="00840FDC" w:rsidRPr="00F32020" w:rsidRDefault="00840FDC" w:rsidP="00840FDC">
            <w:pPr>
              <w:jc w:val="center"/>
              <w:rPr>
                <w:rFonts w:eastAsiaTheme="minorEastAsia"/>
                <w:iCs/>
              </w:rPr>
            </w:pPr>
            <w:r w:rsidRPr="00F32020">
              <w:rPr>
                <w:rFonts w:eastAsiaTheme="minorEastAsia"/>
                <w:iCs/>
              </w:rPr>
              <w:t>0.008</w:t>
            </w:r>
          </w:p>
        </w:tc>
        <w:tc>
          <w:tcPr>
            <w:tcW w:w="783" w:type="dxa"/>
            <w:noWrap/>
          </w:tcPr>
          <w:p w14:paraId="4747D209" w14:textId="47CFCA59" w:rsidR="00840FDC" w:rsidRPr="00F32020" w:rsidRDefault="00840FDC" w:rsidP="00840FDC">
            <w:pPr>
              <w:jc w:val="center"/>
              <w:rPr>
                <w:rFonts w:eastAsiaTheme="minorEastAsia"/>
                <w:iCs/>
              </w:rPr>
            </w:pPr>
            <w:r w:rsidRPr="00F32020">
              <w:rPr>
                <w:rFonts w:eastAsiaTheme="minorEastAsia"/>
                <w:iCs/>
              </w:rPr>
              <w:t>1.710</w:t>
            </w:r>
          </w:p>
        </w:tc>
        <w:tc>
          <w:tcPr>
            <w:tcW w:w="783" w:type="dxa"/>
            <w:noWrap/>
          </w:tcPr>
          <w:p w14:paraId="29516E33" w14:textId="0992A3DC" w:rsidR="00840FDC" w:rsidRPr="00F32020" w:rsidRDefault="00840FDC" w:rsidP="00840FDC">
            <w:pPr>
              <w:jc w:val="center"/>
              <w:rPr>
                <w:rFonts w:eastAsiaTheme="minorEastAsia"/>
                <w:iCs/>
              </w:rPr>
            </w:pPr>
            <w:r w:rsidRPr="00F32020">
              <w:rPr>
                <w:rFonts w:eastAsiaTheme="minorEastAsia"/>
                <w:iCs/>
              </w:rPr>
              <w:t>0.087</w:t>
            </w:r>
          </w:p>
        </w:tc>
        <w:tc>
          <w:tcPr>
            <w:tcW w:w="1398" w:type="dxa"/>
            <w:noWrap/>
          </w:tcPr>
          <w:p w14:paraId="33FD6695" w14:textId="59A4D522" w:rsidR="00840FDC" w:rsidRPr="00F32020" w:rsidRDefault="00840FDC" w:rsidP="00840FDC">
            <w:pPr>
              <w:jc w:val="center"/>
              <w:rPr>
                <w:rFonts w:eastAsiaTheme="minorEastAsia"/>
                <w:iCs/>
              </w:rPr>
            </w:pPr>
            <w:r w:rsidRPr="00F32020">
              <w:rPr>
                <w:rFonts w:eastAsiaTheme="minorEastAsia"/>
                <w:iCs/>
              </w:rPr>
              <w:t>-0.002</w:t>
            </w:r>
          </w:p>
        </w:tc>
        <w:tc>
          <w:tcPr>
            <w:tcW w:w="1078" w:type="dxa"/>
            <w:noWrap/>
          </w:tcPr>
          <w:p w14:paraId="1B55239E" w14:textId="23916B9F" w:rsidR="00840FDC" w:rsidRPr="00F32020" w:rsidRDefault="00840FDC" w:rsidP="00840FDC">
            <w:pPr>
              <w:jc w:val="center"/>
              <w:rPr>
                <w:rFonts w:eastAsiaTheme="minorEastAsia"/>
                <w:iCs/>
              </w:rPr>
            </w:pPr>
            <w:r w:rsidRPr="00F32020">
              <w:rPr>
                <w:rFonts w:eastAsiaTheme="minorEastAsia"/>
                <w:iCs/>
              </w:rPr>
              <w:t>0.029</w:t>
            </w:r>
          </w:p>
        </w:tc>
      </w:tr>
      <w:tr w:rsidR="00477CD4" w:rsidRPr="00F32020" w14:paraId="61F54642" w14:textId="77777777" w:rsidTr="005309EB">
        <w:trPr>
          <w:gridAfter w:val="1"/>
          <w:wAfter w:w="15" w:type="dxa"/>
          <w:trHeight w:val="320"/>
        </w:trPr>
        <w:tc>
          <w:tcPr>
            <w:tcW w:w="1372" w:type="dxa"/>
            <w:noWrap/>
          </w:tcPr>
          <w:p w14:paraId="4FAA4C20" w14:textId="1CDA6651" w:rsidR="00840FDC" w:rsidRPr="00F32020" w:rsidRDefault="00840FDC" w:rsidP="00840FDC">
            <w:pPr>
              <w:jc w:val="both"/>
              <w:rPr>
                <w:rFonts w:eastAsiaTheme="minorEastAsia"/>
                <w:iCs/>
              </w:rPr>
            </w:pPr>
            <w:r w:rsidRPr="00F32020">
              <w:rPr>
                <w:rFonts w:eastAsiaTheme="minorEastAsia"/>
                <w:iCs/>
              </w:rPr>
              <w:t>53</w:t>
            </w:r>
          </w:p>
        </w:tc>
        <w:tc>
          <w:tcPr>
            <w:tcW w:w="783" w:type="dxa"/>
            <w:noWrap/>
          </w:tcPr>
          <w:p w14:paraId="5337558B" w14:textId="0193E3B5" w:rsidR="00840FDC" w:rsidRPr="00F32020" w:rsidRDefault="00840FDC" w:rsidP="00840FDC">
            <w:pPr>
              <w:jc w:val="both"/>
              <w:rPr>
                <w:rFonts w:eastAsiaTheme="minorEastAsia"/>
                <w:iCs/>
              </w:rPr>
            </w:pPr>
            <w:r w:rsidRPr="00F32020">
              <w:rPr>
                <w:rFonts w:eastAsiaTheme="minorEastAsia"/>
                <w:iCs/>
              </w:rPr>
              <w:t>0.014</w:t>
            </w:r>
          </w:p>
        </w:tc>
        <w:tc>
          <w:tcPr>
            <w:tcW w:w="1705" w:type="dxa"/>
            <w:noWrap/>
          </w:tcPr>
          <w:p w14:paraId="0CD9A13F" w14:textId="219345A9" w:rsidR="00840FDC" w:rsidRPr="00F32020" w:rsidRDefault="00840FDC" w:rsidP="00840FDC">
            <w:pPr>
              <w:jc w:val="center"/>
              <w:rPr>
                <w:rFonts w:eastAsiaTheme="minorEastAsia"/>
                <w:iCs/>
              </w:rPr>
            </w:pPr>
            <w:r w:rsidRPr="00F32020">
              <w:rPr>
                <w:rFonts w:eastAsiaTheme="minorEastAsia"/>
                <w:iCs/>
              </w:rPr>
              <w:t>0.010</w:t>
            </w:r>
          </w:p>
        </w:tc>
        <w:tc>
          <w:tcPr>
            <w:tcW w:w="783" w:type="dxa"/>
            <w:noWrap/>
          </w:tcPr>
          <w:p w14:paraId="140BA902" w14:textId="29E432FF" w:rsidR="00840FDC" w:rsidRPr="00F32020" w:rsidRDefault="00840FDC" w:rsidP="00840FDC">
            <w:pPr>
              <w:jc w:val="center"/>
              <w:rPr>
                <w:rFonts w:eastAsiaTheme="minorEastAsia"/>
                <w:iCs/>
              </w:rPr>
            </w:pPr>
            <w:r w:rsidRPr="00F32020">
              <w:rPr>
                <w:rFonts w:eastAsiaTheme="minorEastAsia"/>
                <w:iCs/>
              </w:rPr>
              <w:t>1.410</w:t>
            </w:r>
          </w:p>
        </w:tc>
        <w:tc>
          <w:tcPr>
            <w:tcW w:w="783" w:type="dxa"/>
            <w:noWrap/>
          </w:tcPr>
          <w:p w14:paraId="1E5F7145" w14:textId="3285345F" w:rsidR="00840FDC" w:rsidRPr="00F32020" w:rsidRDefault="00840FDC" w:rsidP="00840FDC">
            <w:pPr>
              <w:jc w:val="center"/>
              <w:rPr>
                <w:rFonts w:eastAsiaTheme="minorEastAsia"/>
                <w:iCs/>
              </w:rPr>
            </w:pPr>
            <w:r w:rsidRPr="00F32020">
              <w:rPr>
                <w:rFonts w:eastAsiaTheme="minorEastAsia"/>
                <w:iCs/>
              </w:rPr>
              <w:t>0.159</w:t>
            </w:r>
          </w:p>
        </w:tc>
        <w:tc>
          <w:tcPr>
            <w:tcW w:w="1398" w:type="dxa"/>
            <w:noWrap/>
          </w:tcPr>
          <w:p w14:paraId="4E8918BE" w14:textId="3B36E688" w:rsidR="00840FDC" w:rsidRPr="00F32020" w:rsidRDefault="00840FDC" w:rsidP="00840FDC">
            <w:pPr>
              <w:jc w:val="center"/>
              <w:rPr>
                <w:rFonts w:eastAsiaTheme="minorEastAsia"/>
                <w:iCs/>
              </w:rPr>
            </w:pPr>
            <w:r w:rsidRPr="00F32020">
              <w:rPr>
                <w:rFonts w:eastAsiaTheme="minorEastAsia"/>
                <w:iCs/>
              </w:rPr>
              <w:t>-0.005</w:t>
            </w:r>
          </w:p>
        </w:tc>
        <w:tc>
          <w:tcPr>
            <w:tcW w:w="1078" w:type="dxa"/>
            <w:noWrap/>
          </w:tcPr>
          <w:p w14:paraId="7C86FF18" w14:textId="4436D293" w:rsidR="00840FDC" w:rsidRPr="00F32020" w:rsidRDefault="00840FDC" w:rsidP="00840FDC">
            <w:pPr>
              <w:jc w:val="center"/>
              <w:rPr>
                <w:rFonts w:eastAsiaTheme="minorEastAsia"/>
                <w:iCs/>
              </w:rPr>
            </w:pPr>
            <w:r w:rsidRPr="00F32020">
              <w:rPr>
                <w:rFonts w:eastAsiaTheme="minorEastAsia"/>
                <w:iCs/>
              </w:rPr>
              <w:t>0.032</w:t>
            </w:r>
          </w:p>
        </w:tc>
      </w:tr>
      <w:tr w:rsidR="00477CD4" w:rsidRPr="00F32020" w14:paraId="3EE32B2B" w14:textId="77777777" w:rsidTr="005309EB">
        <w:trPr>
          <w:gridAfter w:val="1"/>
          <w:wAfter w:w="15" w:type="dxa"/>
          <w:trHeight w:val="320"/>
        </w:trPr>
        <w:tc>
          <w:tcPr>
            <w:tcW w:w="3860" w:type="dxa"/>
            <w:gridSpan w:val="3"/>
            <w:tcBorders>
              <w:top w:val="single" w:sz="4" w:space="0" w:color="auto"/>
              <w:bottom w:val="single" w:sz="4" w:space="0" w:color="auto"/>
            </w:tcBorders>
            <w:noWrap/>
          </w:tcPr>
          <w:p w14:paraId="7FB56D14" w14:textId="55B365D6" w:rsidR="007A7EC0" w:rsidRPr="00F32020" w:rsidRDefault="007A7EC0" w:rsidP="00C86F17">
            <w:pPr>
              <w:rPr>
                <w:rFonts w:eastAsiaTheme="minorEastAsia"/>
                <w:iCs/>
              </w:rPr>
            </w:pPr>
            <w:r w:rsidRPr="00F32020">
              <w:rPr>
                <w:rFonts w:eastAsiaTheme="minorEastAsia"/>
                <w:iCs/>
              </w:rPr>
              <w:t>Panel C:</w:t>
            </w:r>
            <w:r w:rsidRPr="00F32020">
              <w:rPr>
                <w:rFonts w:eastAsiaTheme="minorEastAsia"/>
                <w:b/>
                <w:bCs/>
                <w:iCs/>
              </w:rPr>
              <w:t xml:space="preserve"> </w:t>
            </w:r>
            <w:r w:rsidRPr="00F32020">
              <w:rPr>
                <w:rFonts w:eastAsiaTheme="minorEastAsia"/>
                <w:iCs/>
              </w:rPr>
              <w:t>Founders’ education</w:t>
            </w:r>
          </w:p>
        </w:tc>
        <w:tc>
          <w:tcPr>
            <w:tcW w:w="783" w:type="dxa"/>
            <w:tcBorders>
              <w:top w:val="single" w:sz="4" w:space="0" w:color="auto"/>
              <w:bottom w:val="single" w:sz="4" w:space="0" w:color="auto"/>
            </w:tcBorders>
            <w:noWrap/>
          </w:tcPr>
          <w:p w14:paraId="6E26977E" w14:textId="77777777" w:rsidR="007A7EC0" w:rsidRPr="00F32020" w:rsidRDefault="007A7EC0" w:rsidP="00840FDC">
            <w:pPr>
              <w:jc w:val="center"/>
              <w:rPr>
                <w:rFonts w:eastAsiaTheme="minorEastAsia"/>
                <w:iCs/>
              </w:rPr>
            </w:pPr>
          </w:p>
        </w:tc>
        <w:tc>
          <w:tcPr>
            <w:tcW w:w="783" w:type="dxa"/>
            <w:tcBorders>
              <w:top w:val="single" w:sz="4" w:space="0" w:color="auto"/>
              <w:bottom w:val="single" w:sz="4" w:space="0" w:color="auto"/>
            </w:tcBorders>
            <w:noWrap/>
          </w:tcPr>
          <w:p w14:paraId="598EA718" w14:textId="77777777" w:rsidR="007A7EC0" w:rsidRPr="00F32020" w:rsidRDefault="007A7EC0" w:rsidP="00840FDC">
            <w:pPr>
              <w:jc w:val="center"/>
              <w:rPr>
                <w:rFonts w:eastAsiaTheme="minorEastAsia"/>
                <w:iCs/>
              </w:rPr>
            </w:pPr>
          </w:p>
        </w:tc>
        <w:tc>
          <w:tcPr>
            <w:tcW w:w="1398" w:type="dxa"/>
            <w:tcBorders>
              <w:top w:val="single" w:sz="4" w:space="0" w:color="auto"/>
              <w:bottom w:val="single" w:sz="4" w:space="0" w:color="auto"/>
            </w:tcBorders>
            <w:noWrap/>
          </w:tcPr>
          <w:p w14:paraId="50AD3A54" w14:textId="77777777" w:rsidR="007A7EC0" w:rsidRPr="00F32020" w:rsidRDefault="007A7EC0" w:rsidP="00840FDC">
            <w:pPr>
              <w:jc w:val="center"/>
              <w:rPr>
                <w:rFonts w:eastAsiaTheme="minorEastAsia"/>
                <w:iCs/>
              </w:rPr>
            </w:pPr>
          </w:p>
        </w:tc>
        <w:tc>
          <w:tcPr>
            <w:tcW w:w="1078" w:type="dxa"/>
            <w:tcBorders>
              <w:top w:val="single" w:sz="4" w:space="0" w:color="auto"/>
              <w:bottom w:val="single" w:sz="4" w:space="0" w:color="auto"/>
            </w:tcBorders>
            <w:noWrap/>
          </w:tcPr>
          <w:p w14:paraId="20A396F6" w14:textId="77777777" w:rsidR="007A7EC0" w:rsidRPr="00F32020" w:rsidRDefault="007A7EC0" w:rsidP="00840FDC">
            <w:pPr>
              <w:jc w:val="center"/>
              <w:rPr>
                <w:rFonts w:eastAsiaTheme="minorEastAsia"/>
                <w:iCs/>
              </w:rPr>
            </w:pPr>
          </w:p>
        </w:tc>
      </w:tr>
      <w:tr w:rsidR="00477CD4" w:rsidRPr="00F32020" w14:paraId="66E25895" w14:textId="77777777" w:rsidTr="005309EB">
        <w:trPr>
          <w:gridAfter w:val="1"/>
          <w:wAfter w:w="15" w:type="dxa"/>
          <w:trHeight w:val="320"/>
        </w:trPr>
        <w:tc>
          <w:tcPr>
            <w:tcW w:w="1372" w:type="dxa"/>
            <w:tcBorders>
              <w:top w:val="single" w:sz="4" w:space="0" w:color="auto"/>
              <w:bottom w:val="single" w:sz="4" w:space="0" w:color="auto"/>
            </w:tcBorders>
            <w:noWrap/>
          </w:tcPr>
          <w:p w14:paraId="2BFBD542" w14:textId="5EDB1460" w:rsidR="00C86F17" w:rsidRPr="00F32020" w:rsidRDefault="00C86F17" w:rsidP="00C86F17">
            <w:pPr>
              <w:jc w:val="both"/>
              <w:rPr>
                <w:rFonts w:eastAsiaTheme="minorEastAsia"/>
                <w:iCs/>
              </w:rPr>
            </w:pPr>
            <w:r w:rsidRPr="00F32020">
              <w:rPr>
                <w:rFonts w:eastAsiaTheme="minorEastAsia"/>
                <w:iCs/>
              </w:rPr>
              <w:t>Education value</w:t>
            </w:r>
          </w:p>
        </w:tc>
        <w:tc>
          <w:tcPr>
            <w:tcW w:w="783" w:type="dxa"/>
            <w:tcBorders>
              <w:top w:val="single" w:sz="4" w:space="0" w:color="auto"/>
              <w:bottom w:val="single" w:sz="4" w:space="0" w:color="auto"/>
            </w:tcBorders>
            <w:noWrap/>
          </w:tcPr>
          <w:p w14:paraId="77310723" w14:textId="15A9952C" w:rsidR="00C86F17" w:rsidRPr="00F32020" w:rsidRDefault="00C86F17" w:rsidP="00C86F17">
            <w:pPr>
              <w:jc w:val="both"/>
              <w:rPr>
                <w:rFonts w:eastAsiaTheme="minorEastAsia"/>
                <w:iCs/>
              </w:rPr>
            </w:pPr>
            <w:r w:rsidRPr="00F32020">
              <w:rPr>
                <w:rFonts w:eastAsiaTheme="minorEastAsia"/>
                <w:iCs/>
              </w:rPr>
              <w:t>dy/dx</w:t>
            </w:r>
          </w:p>
        </w:tc>
        <w:tc>
          <w:tcPr>
            <w:tcW w:w="1705" w:type="dxa"/>
            <w:tcBorders>
              <w:top w:val="single" w:sz="4" w:space="0" w:color="auto"/>
              <w:bottom w:val="single" w:sz="4" w:space="0" w:color="auto"/>
            </w:tcBorders>
            <w:noWrap/>
          </w:tcPr>
          <w:p w14:paraId="25CC7AD9" w14:textId="77777777" w:rsidR="00C86F17" w:rsidRPr="00F32020" w:rsidRDefault="00C86F17" w:rsidP="00C86F17">
            <w:pPr>
              <w:jc w:val="center"/>
              <w:rPr>
                <w:rFonts w:eastAsiaTheme="minorEastAsia"/>
                <w:iCs/>
              </w:rPr>
            </w:pPr>
            <w:r w:rsidRPr="00F32020">
              <w:rPr>
                <w:rFonts w:eastAsiaTheme="minorEastAsia"/>
                <w:iCs/>
              </w:rPr>
              <w:t>Delta-method</w:t>
            </w:r>
          </w:p>
          <w:p w14:paraId="2EEBB277" w14:textId="3091A3B6" w:rsidR="00C86F17" w:rsidRPr="00F32020" w:rsidRDefault="00C86F17" w:rsidP="00C86F17">
            <w:pPr>
              <w:jc w:val="center"/>
              <w:rPr>
                <w:rFonts w:eastAsiaTheme="minorEastAsia"/>
                <w:iCs/>
              </w:rPr>
            </w:pPr>
            <w:r w:rsidRPr="00F32020">
              <w:rPr>
                <w:rFonts w:eastAsiaTheme="minorEastAsia"/>
                <w:iCs/>
              </w:rPr>
              <w:t>std. err.</w:t>
            </w:r>
          </w:p>
        </w:tc>
        <w:tc>
          <w:tcPr>
            <w:tcW w:w="783" w:type="dxa"/>
            <w:tcBorders>
              <w:top w:val="single" w:sz="4" w:space="0" w:color="auto"/>
              <w:bottom w:val="single" w:sz="4" w:space="0" w:color="auto"/>
            </w:tcBorders>
            <w:noWrap/>
          </w:tcPr>
          <w:p w14:paraId="232A56AD" w14:textId="5E423E87" w:rsidR="00C86F17" w:rsidRPr="00F32020" w:rsidRDefault="00C86F17" w:rsidP="00C86F17">
            <w:pPr>
              <w:jc w:val="center"/>
              <w:rPr>
                <w:rFonts w:eastAsiaTheme="minorEastAsia"/>
                <w:iCs/>
              </w:rPr>
            </w:pPr>
            <w:r w:rsidRPr="00F32020">
              <w:rPr>
                <w:rFonts w:eastAsiaTheme="minorEastAsia"/>
                <w:iCs/>
              </w:rPr>
              <w:t>z</w:t>
            </w:r>
          </w:p>
        </w:tc>
        <w:tc>
          <w:tcPr>
            <w:tcW w:w="783" w:type="dxa"/>
            <w:tcBorders>
              <w:top w:val="single" w:sz="4" w:space="0" w:color="auto"/>
              <w:bottom w:val="single" w:sz="4" w:space="0" w:color="auto"/>
            </w:tcBorders>
            <w:noWrap/>
          </w:tcPr>
          <w:p w14:paraId="2A4BDD5A" w14:textId="2E65B0D6" w:rsidR="00C86F17" w:rsidRPr="00F32020" w:rsidRDefault="00C86F17" w:rsidP="00C86F17">
            <w:pPr>
              <w:jc w:val="center"/>
              <w:rPr>
                <w:rFonts w:eastAsiaTheme="minorEastAsia"/>
                <w:iCs/>
              </w:rPr>
            </w:pPr>
            <w:r w:rsidRPr="00F32020">
              <w:rPr>
                <w:rFonts w:eastAsiaTheme="minorEastAsia"/>
                <w:iCs/>
              </w:rPr>
              <w:t>P&gt;z</w:t>
            </w:r>
          </w:p>
        </w:tc>
        <w:tc>
          <w:tcPr>
            <w:tcW w:w="1398" w:type="dxa"/>
            <w:tcBorders>
              <w:top w:val="single" w:sz="4" w:space="0" w:color="auto"/>
              <w:bottom w:val="single" w:sz="4" w:space="0" w:color="auto"/>
            </w:tcBorders>
            <w:noWrap/>
          </w:tcPr>
          <w:p w14:paraId="3B778982" w14:textId="0E3DDBE2" w:rsidR="00C86F17" w:rsidRPr="00F32020" w:rsidRDefault="00C86F17" w:rsidP="00C86F17">
            <w:pPr>
              <w:jc w:val="center"/>
              <w:rPr>
                <w:rFonts w:eastAsiaTheme="minorEastAsia"/>
                <w:iCs/>
              </w:rPr>
            </w:pPr>
            <w:r w:rsidRPr="00F32020">
              <w:rPr>
                <w:rFonts w:eastAsiaTheme="minorEastAsia"/>
                <w:iCs/>
              </w:rPr>
              <w:t>[95% conf.</w:t>
            </w:r>
          </w:p>
        </w:tc>
        <w:tc>
          <w:tcPr>
            <w:tcW w:w="1078" w:type="dxa"/>
            <w:tcBorders>
              <w:top w:val="single" w:sz="4" w:space="0" w:color="auto"/>
              <w:bottom w:val="single" w:sz="4" w:space="0" w:color="auto"/>
            </w:tcBorders>
            <w:noWrap/>
          </w:tcPr>
          <w:p w14:paraId="73E30276" w14:textId="76293448" w:rsidR="00C86F17" w:rsidRPr="00F32020" w:rsidRDefault="00C86F17" w:rsidP="00C86F17">
            <w:pPr>
              <w:jc w:val="center"/>
              <w:rPr>
                <w:rFonts w:eastAsiaTheme="minorEastAsia"/>
                <w:iCs/>
              </w:rPr>
            </w:pPr>
            <w:r w:rsidRPr="00F32020">
              <w:rPr>
                <w:rFonts w:eastAsiaTheme="minorEastAsia"/>
                <w:iCs/>
              </w:rPr>
              <w:t>interval]</w:t>
            </w:r>
          </w:p>
        </w:tc>
      </w:tr>
      <w:tr w:rsidR="00477CD4" w:rsidRPr="00F32020" w14:paraId="3B923A25" w14:textId="77777777" w:rsidTr="005309EB">
        <w:trPr>
          <w:gridAfter w:val="1"/>
          <w:wAfter w:w="15" w:type="dxa"/>
          <w:trHeight w:val="320"/>
        </w:trPr>
        <w:tc>
          <w:tcPr>
            <w:tcW w:w="1372" w:type="dxa"/>
            <w:tcBorders>
              <w:top w:val="single" w:sz="4" w:space="0" w:color="auto"/>
            </w:tcBorders>
            <w:noWrap/>
          </w:tcPr>
          <w:p w14:paraId="146D45BE" w14:textId="25C79D6D" w:rsidR="00C86F17" w:rsidRPr="00F32020" w:rsidRDefault="00C86F17" w:rsidP="00C86F17">
            <w:pPr>
              <w:jc w:val="both"/>
              <w:rPr>
                <w:rFonts w:eastAsiaTheme="minorEastAsia"/>
                <w:iCs/>
              </w:rPr>
            </w:pPr>
            <w:r w:rsidRPr="00F32020">
              <w:rPr>
                <w:rFonts w:eastAsiaTheme="minorEastAsia"/>
                <w:iCs/>
              </w:rPr>
              <w:t>0.0</w:t>
            </w:r>
          </w:p>
        </w:tc>
        <w:tc>
          <w:tcPr>
            <w:tcW w:w="783" w:type="dxa"/>
            <w:tcBorders>
              <w:top w:val="single" w:sz="4" w:space="0" w:color="auto"/>
            </w:tcBorders>
            <w:noWrap/>
          </w:tcPr>
          <w:p w14:paraId="3F1935EF" w14:textId="75EF2E65" w:rsidR="00C86F17" w:rsidRPr="00F32020" w:rsidRDefault="00C86F17" w:rsidP="00C86F17">
            <w:pPr>
              <w:jc w:val="both"/>
              <w:rPr>
                <w:rFonts w:eastAsiaTheme="minorEastAsia"/>
                <w:iCs/>
              </w:rPr>
            </w:pPr>
            <w:r w:rsidRPr="00F32020">
              <w:rPr>
                <w:rFonts w:eastAsiaTheme="minorEastAsia"/>
                <w:iCs/>
              </w:rPr>
              <w:t>0.020</w:t>
            </w:r>
          </w:p>
        </w:tc>
        <w:tc>
          <w:tcPr>
            <w:tcW w:w="1705" w:type="dxa"/>
            <w:tcBorders>
              <w:top w:val="single" w:sz="4" w:space="0" w:color="auto"/>
            </w:tcBorders>
            <w:noWrap/>
          </w:tcPr>
          <w:p w14:paraId="4536D63C" w14:textId="73D3C3B0" w:rsidR="00C86F17" w:rsidRPr="00F32020" w:rsidRDefault="00C86F17" w:rsidP="00C86F17">
            <w:pPr>
              <w:jc w:val="center"/>
              <w:rPr>
                <w:rFonts w:eastAsiaTheme="minorEastAsia"/>
                <w:iCs/>
              </w:rPr>
            </w:pPr>
            <w:r w:rsidRPr="00F32020">
              <w:rPr>
                <w:rFonts w:eastAsiaTheme="minorEastAsia"/>
                <w:iCs/>
              </w:rPr>
              <w:t>0.008</w:t>
            </w:r>
          </w:p>
        </w:tc>
        <w:tc>
          <w:tcPr>
            <w:tcW w:w="783" w:type="dxa"/>
            <w:tcBorders>
              <w:top w:val="single" w:sz="4" w:space="0" w:color="auto"/>
            </w:tcBorders>
            <w:noWrap/>
          </w:tcPr>
          <w:p w14:paraId="63C58F6A" w14:textId="1E071F77" w:rsidR="00C86F17" w:rsidRPr="00F32020" w:rsidRDefault="00C86F17" w:rsidP="00C86F17">
            <w:pPr>
              <w:jc w:val="center"/>
              <w:rPr>
                <w:rFonts w:eastAsiaTheme="minorEastAsia"/>
                <w:iCs/>
              </w:rPr>
            </w:pPr>
            <w:r w:rsidRPr="00F32020">
              <w:rPr>
                <w:rFonts w:eastAsiaTheme="minorEastAsia"/>
                <w:iCs/>
              </w:rPr>
              <w:t>2.390</w:t>
            </w:r>
          </w:p>
        </w:tc>
        <w:tc>
          <w:tcPr>
            <w:tcW w:w="783" w:type="dxa"/>
            <w:tcBorders>
              <w:top w:val="single" w:sz="4" w:space="0" w:color="auto"/>
            </w:tcBorders>
            <w:noWrap/>
          </w:tcPr>
          <w:p w14:paraId="2D1BCA9F" w14:textId="124EDAB2" w:rsidR="00C86F17" w:rsidRPr="00F32020" w:rsidRDefault="00C86F17" w:rsidP="00C86F17">
            <w:pPr>
              <w:jc w:val="center"/>
              <w:rPr>
                <w:rFonts w:eastAsiaTheme="minorEastAsia"/>
                <w:iCs/>
              </w:rPr>
            </w:pPr>
            <w:r w:rsidRPr="00F32020">
              <w:rPr>
                <w:rFonts w:eastAsiaTheme="minorEastAsia"/>
                <w:iCs/>
              </w:rPr>
              <w:t>0.017</w:t>
            </w:r>
          </w:p>
        </w:tc>
        <w:tc>
          <w:tcPr>
            <w:tcW w:w="1398" w:type="dxa"/>
            <w:tcBorders>
              <w:top w:val="single" w:sz="4" w:space="0" w:color="auto"/>
            </w:tcBorders>
            <w:noWrap/>
          </w:tcPr>
          <w:p w14:paraId="1E390BEF" w14:textId="7628968F" w:rsidR="00C86F17" w:rsidRPr="00F32020" w:rsidRDefault="00C86F17" w:rsidP="00C86F17">
            <w:pPr>
              <w:jc w:val="center"/>
              <w:rPr>
                <w:rFonts w:eastAsiaTheme="minorEastAsia"/>
                <w:iCs/>
              </w:rPr>
            </w:pPr>
            <w:r w:rsidRPr="00F32020">
              <w:rPr>
                <w:rFonts w:eastAsiaTheme="minorEastAsia"/>
                <w:iCs/>
              </w:rPr>
              <w:t>0.004</w:t>
            </w:r>
          </w:p>
        </w:tc>
        <w:tc>
          <w:tcPr>
            <w:tcW w:w="1078" w:type="dxa"/>
            <w:tcBorders>
              <w:top w:val="single" w:sz="4" w:space="0" w:color="auto"/>
            </w:tcBorders>
            <w:noWrap/>
          </w:tcPr>
          <w:p w14:paraId="0D8B7EF5" w14:textId="0E24D920" w:rsidR="00C86F17" w:rsidRPr="00F32020" w:rsidRDefault="00C86F17" w:rsidP="00C86F17">
            <w:pPr>
              <w:jc w:val="center"/>
              <w:rPr>
                <w:rFonts w:eastAsiaTheme="minorEastAsia"/>
                <w:iCs/>
              </w:rPr>
            </w:pPr>
            <w:r w:rsidRPr="00F32020">
              <w:rPr>
                <w:rFonts w:eastAsiaTheme="minorEastAsia"/>
                <w:iCs/>
              </w:rPr>
              <w:t>0.036</w:t>
            </w:r>
          </w:p>
        </w:tc>
      </w:tr>
      <w:tr w:rsidR="00477CD4" w:rsidRPr="00F32020" w14:paraId="55425B83" w14:textId="77777777" w:rsidTr="005309EB">
        <w:trPr>
          <w:gridAfter w:val="1"/>
          <w:wAfter w:w="15" w:type="dxa"/>
          <w:trHeight w:val="320"/>
        </w:trPr>
        <w:tc>
          <w:tcPr>
            <w:tcW w:w="1372" w:type="dxa"/>
            <w:noWrap/>
          </w:tcPr>
          <w:p w14:paraId="73CD7FAB" w14:textId="36AA46C4" w:rsidR="00C86F17" w:rsidRPr="00F32020" w:rsidRDefault="00C86F17" w:rsidP="00C86F17">
            <w:pPr>
              <w:jc w:val="both"/>
              <w:rPr>
                <w:rFonts w:eastAsiaTheme="minorEastAsia"/>
                <w:iCs/>
              </w:rPr>
            </w:pPr>
            <w:r w:rsidRPr="00F32020">
              <w:rPr>
                <w:rFonts w:eastAsiaTheme="minorEastAsia"/>
                <w:iCs/>
              </w:rPr>
              <w:t>0.5</w:t>
            </w:r>
          </w:p>
        </w:tc>
        <w:tc>
          <w:tcPr>
            <w:tcW w:w="783" w:type="dxa"/>
            <w:noWrap/>
          </w:tcPr>
          <w:p w14:paraId="2DA7C858" w14:textId="3D699223" w:rsidR="00C86F17" w:rsidRPr="00F32020" w:rsidRDefault="00C86F17" w:rsidP="00C86F17">
            <w:pPr>
              <w:jc w:val="both"/>
              <w:rPr>
                <w:rFonts w:eastAsiaTheme="minorEastAsia"/>
                <w:iCs/>
              </w:rPr>
            </w:pPr>
            <w:r w:rsidRPr="00F32020">
              <w:rPr>
                <w:rFonts w:eastAsiaTheme="minorEastAsia"/>
                <w:iCs/>
              </w:rPr>
              <w:t>0.018</w:t>
            </w:r>
          </w:p>
        </w:tc>
        <w:tc>
          <w:tcPr>
            <w:tcW w:w="1705" w:type="dxa"/>
            <w:noWrap/>
          </w:tcPr>
          <w:p w14:paraId="18BDB050" w14:textId="161826C1" w:rsidR="00C86F17" w:rsidRPr="00F32020" w:rsidRDefault="00C86F17" w:rsidP="00C86F17">
            <w:pPr>
              <w:jc w:val="center"/>
              <w:rPr>
                <w:rFonts w:eastAsiaTheme="minorEastAsia"/>
                <w:iCs/>
              </w:rPr>
            </w:pPr>
            <w:r w:rsidRPr="00F32020">
              <w:rPr>
                <w:rFonts w:eastAsiaTheme="minorEastAsia"/>
                <w:iCs/>
              </w:rPr>
              <w:t>0.007</w:t>
            </w:r>
          </w:p>
        </w:tc>
        <w:tc>
          <w:tcPr>
            <w:tcW w:w="783" w:type="dxa"/>
            <w:noWrap/>
          </w:tcPr>
          <w:p w14:paraId="4021A675" w14:textId="37936C04" w:rsidR="00C86F17" w:rsidRPr="00F32020" w:rsidRDefault="00C86F17" w:rsidP="00C86F17">
            <w:pPr>
              <w:jc w:val="center"/>
              <w:rPr>
                <w:rFonts w:eastAsiaTheme="minorEastAsia"/>
                <w:iCs/>
              </w:rPr>
            </w:pPr>
            <w:r w:rsidRPr="00F32020">
              <w:rPr>
                <w:rFonts w:eastAsiaTheme="minorEastAsia"/>
                <w:iCs/>
              </w:rPr>
              <w:t>2.610</w:t>
            </w:r>
          </w:p>
        </w:tc>
        <w:tc>
          <w:tcPr>
            <w:tcW w:w="783" w:type="dxa"/>
            <w:noWrap/>
          </w:tcPr>
          <w:p w14:paraId="65FBB596" w14:textId="2DA3AE3F" w:rsidR="00C86F17" w:rsidRPr="00F32020" w:rsidRDefault="00C86F17" w:rsidP="00C86F17">
            <w:pPr>
              <w:jc w:val="center"/>
              <w:rPr>
                <w:rFonts w:eastAsiaTheme="minorEastAsia"/>
                <w:iCs/>
              </w:rPr>
            </w:pPr>
            <w:r w:rsidRPr="00F32020">
              <w:rPr>
                <w:rFonts w:eastAsiaTheme="minorEastAsia"/>
                <w:iCs/>
              </w:rPr>
              <w:t>0.009</w:t>
            </w:r>
          </w:p>
        </w:tc>
        <w:tc>
          <w:tcPr>
            <w:tcW w:w="1398" w:type="dxa"/>
            <w:noWrap/>
          </w:tcPr>
          <w:p w14:paraId="04722897" w14:textId="7B6063BA" w:rsidR="00C86F17" w:rsidRPr="00F32020" w:rsidRDefault="00C86F17" w:rsidP="00C86F17">
            <w:pPr>
              <w:jc w:val="center"/>
              <w:rPr>
                <w:rFonts w:eastAsiaTheme="minorEastAsia"/>
                <w:iCs/>
              </w:rPr>
            </w:pPr>
            <w:r w:rsidRPr="00F32020">
              <w:rPr>
                <w:rFonts w:eastAsiaTheme="minorEastAsia"/>
                <w:iCs/>
              </w:rPr>
              <w:t>0.004</w:t>
            </w:r>
          </w:p>
        </w:tc>
        <w:tc>
          <w:tcPr>
            <w:tcW w:w="1078" w:type="dxa"/>
            <w:noWrap/>
          </w:tcPr>
          <w:p w14:paraId="2A8BEE51" w14:textId="3BDEC34B" w:rsidR="00C86F17" w:rsidRPr="00F32020" w:rsidRDefault="00C86F17" w:rsidP="00C86F17">
            <w:pPr>
              <w:jc w:val="center"/>
              <w:rPr>
                <w:rFonts w:eastAsiaTheme="minorEastAsia"/>
                <w:iCs/>
              </w:rPr>
            </w:pPr>
            <w:r w:rsidRPr="00F32020">
              <w:rPr>
                <w:rFonts w:eastAsiaTheme="minorEastAsia"/>
                <w:iCs/>
              </w:rPr>
              <w:t>0.031</w:t>
            </w:r>
          </w:p>
        </w:tc>
      </w:tr>
      <w:tr w:rsidR="00477CD4" w:rsidRPr="00F32020" w14:paraId="266B043A" w14:textId="77777777" w:rsidTr="005309EB">
        <w:trPr>
          <w:gridAfter w:val="1"/>
          <w:wAfter w:w="15" w:type="dxa"/>
          <w:trHeight w:val="320"/>
        </w:trPr>
        <w:tc>
          <w:tcPr>
            <w:tcW w:w="1372" w:type="dxa"/>
            <w:noWrap/>
          </w:tcPr>
          <w:p w14:paraId="02161283" w14:textId="6BF6DD4C" w:rsidR="00C86F17" w:rsidRPr="00F32020" w:rsidRDefault="00C86F17" w:rsidP="00C86F17">
            <w:pPr>
              <w:jc w:val="both"/>
              <w:rPr>
                <w:rFonts w:eastAsiaTheme="minorEastAsia"/>
                <w:iCs/>
              </w:rPr>
            </w:pPr>
            <w:r w:rsidRPr="00F32020">
              <w:rPr>
                <w:rFonts w:eastAsiaTheme="minorEastAsia"/>
                <w:iCs/>
              </w:rPr>
              <w:t>1.0</w:t>
            </w:r>
          </w:p>
        </w:tc>
        <w:tc>
          <w:tcPr>
            <w:tcW w:w="783" w:type="dxa"/>
            <w:noWrap/>
          </w:tcPr>
          <w:p w14:paraId="23D0ED27" w14:textId="7894B0A1" w:rsidR="00C86F17" w:rsidRPr="00F32020" w:rsidRDefault="00C86F17" w:rsidP="00C86F17">
            <w:pPr>
              <w:jc w:val="both"/>
              <w:rPr>
                <w:rFonts w:eastAsiaTheme="minorEastAsia"/>
                <w:iCs/>
              </w:rPr>
            </w:pPr>
            <w:r w:rsidRPr="00F32020">
              <w:rPr>
                <w:rFonts w:eastAsiaTheme="minorEastAsia"/>
                <w:iCs/>
              </w:rPr>
              <w:t>0.015</w:t>
            </w:r>
          </w:p>
        </w:tc>
        <w:tc>
          <w:tcPr>
            <w:tcW w:w="1705" w:type="dxa"/>
            <w:noWrap/>
          </w:tcPr>
          <w:p w14:paraId="2126C88A" w14:textId="7B4912C9" w:rsidR="00C86F17" w:rsidRPr="00F32020" w:rsidRDefault="00C86F17" w:rsidP="00C86F17">
            <w:pPr>
              <w:jc w:val="center"/>
              <w:rPr>
                <w:rFonts w:eastAsiaTheme="minorEastAsia"/>
                <w:iCs/>
              </w:rPr>
            </w:pPr>
            <w:r w:rsidRPr="00F32020">
              <w:rPr>
                <w:rFonts w:eastAsiaTheme="minorEastAsia"/>
                <w:iCs/>
              </w:rPr>
              <w:t>0.006</w:t>
            </w:r>
          </w:p>
        </w:tc>
        <w:tc>
          <w:tcPr>
            <w:tcW w:w="783" w:type="dxa"/>
            <w:noWrap/>
          </w:tcPr>
          <w:p w14:paraId="67E818AB" w14:textId="3D62A46D" w:rsidR="00C86F17" w:rsidRPr="00F32020" w:rsidRDefault="00C86F17" w:rsidP="00C86F17">
            <w:pPr>
              <w:jc w:val="center"/>
              <w:rPr>
                <w:rFonts w:eastAsiaTheme="minorEastAsia"/>
                <w:iCs/>
              </w:rPr>
            </w:pPr>
            <w:r w:rsidRPr="00F32020">
              <w:rPr>
                <w:rFonts w:eastAsiaTheme="minorEastAsia"/>
                <w:iCs/>
              </w:rPr>
              <w:t>2.700</w:t>
            </w:r>
          </w:p>
        </w:tc>
        <w:tc>
          <w:tcPr>
            <w:tcW w:w="783" w:type="dxa"/>
            <w:noWrap/>
          </w:tcPr>
          <w:p w14:paraId="4E073D59" w14:textId="0C4AC9BC" w:rsidR="00C86F17" w:rsidRPr="00F32020" w:rsidRDefault="00C86F17" w:rsidP="00C86F17">
            <w:pPr>
              <w:jc w:val="center"/>
              <w:rPr>
                <w:rFonts w:eastAsiaTheme="minorEastAsia"/>
                <w:iCs/>
              </w:rPr>
            </w:pPr>
            <w:r w:rsidRPr="00F32020">
              <w:rPr>
                <w:rFonts w:eastAsiaTheme="minorEastAsia"/>
                <w:iCs/>
              </w:rPr>
              <w:t>0.007</w:t>
            </w:r>
          </w:p>
        </w:tc>
        <w:tc>
          <w:tcPr>
            <w:tcW w:w="1398" w:type="dxa"/>
            <w:noWrap/>
          </w:tcPr>
          <w:p w14:paraId="06C96863" w14:textId="2C29E67F" w:rsidR="00C86F17" w:rsidRPr="00F32020" w:rsidRDefault="00C86F17" w:rsidP="00C86F17">
            <w:pPr>
              <w:jc w:val="center"/>
              <w:rPr>
                <w:rFonts w:eastAsiaTheme="minorEastAsia"/>
                <w:iCs/>
              </w:rPr>
            </w:pPr>
            <w:r w:rsidRPr="00F32020">
              <w:rPr>
                <w:rFonts w:eastAsiaTheme="minorEastAsia"/>
                <w:iCs/>
              </w:rPr>
              <w:t>0.004</w:t>
            </w:r>
          </w:p>
        </w:tc>
        <w:tc>
          <w:tcPr>
            <w:tcW w:w="1078" w:type="dxa"/>
            <w:noWrap/>
          </w:tcPr>
          <w:p w14:paraId="77B64466" w14:textId="5E7C6EA0" w:rsidR="00C86F17" w:rsidRPr="00F32020" w:rsidRDefault="00C86F17" w:rsidP="00C86F17">
            <w:pPr>
              <w:jc w:val="center"/>
              <w:rPr>
                <w:rFonts w:eastAsiaTheme="minorEastAsia"/>
                <w:iCs/>
              </w:rPr>
            </w:pPr>
            <w:r w:rsidRPr="00F32020">
              <w:rPr>
                <w:rFonts w:eastAsiaTheme="minorEastAsia"/>
                <w:iCs/>
              </w:rPr>
              <w:t>0.026</w:t>
            </w:r>
          </w:p>
        </w:tc>
      </w:tr>
      <w:tr w:rsidR="00477CD4" w:rsidRPr="00F32020" w14:paraId="3FC825D6" w14:textId="77777777" w:rsidTr="005309EB">
        <w:trPr>
          <w:gridAfter w:val="1"/>
          <w:wAfter w:w="15" w:type="dxa"/>
          <w:trHeight w:val="320"/>
        </w:trPr>
        <w:tc>
          <w:tcPr>
            <w:tcW w:w="1372" w:type="dxa"/>
            <w:noWrap/>
          </w:tcPr>
          <w:p w14:paraId="728DF29E" w14:textId="66ACDDD1" w:rsidR="00C86F17" w:rsidRPr="00F32020" w:rsidRDefault="00C86F17" w:rsidP="00C86F17">
            <w:pPr>
              <w:jc w:val="both"/>
              <w:rPr>
                <w:rFonts w:eastAsiaTheme="minorEastAsia"/>
                <w:iCs/>
              </w:rPr>
            </w:pPr>
            <w:r w:rsidRPr="00F32020">
              <w:rPr>
                <w:rFonts w:eastAsiaTheme="minorEastAsia"/>
                <w:iCs/>
              </w:rPr>
              <w:t>1.5</w:t>
            </w:r>
          </w:p>
        </w:tc>
        <w:tc>
          <w:tcPr>
            <w:tcW w:w="783" w:type="dxa"/>
            <w:noWrap/>
          </w:tcPr>
          <w:p w14:paraId="4AA19787" w14:textId="10C69822" w:rsidR="00C86F17" w:rsidRPr="00F32020" w:rsidRDefault="00C86F17" w:rsidP="00C86F17">
            <w:pPr>
              <w:jc w:val="both"/>
              <w:rPr>
                <w:rFonts w:eastAsiaTheme="minorEastAsia"/>
                <w:iCs/>
              </w:rPr>
            </w:pPr>
            <w:r w:rsidRPr="00F32020">
              <w:rPr>
                <w:rFonts w:eastAsiaTheme="minorEastAsia"/>
                <w:iCs/>
              </w:rPr>
              <w:t>0.013</w:t>
            </w:r>
          </w:p>
        </w:tc>
        <w:tc>
          <w:tcPr>
            <w:tcW w:w="1705" w:type="dxa"/>
            <w:noWrap/>
          </w:tcPr>
          <w:p w14:paraId="343EE0E6" w14:textId="2DC717D6" w:rsidR="00C86F17" w:rsidRPr="00F32020" w:rsidRDefault="00C86F17" w:rsidP="00C86F17">
            <w:pPr>
              <w:jc w:val="center"/>
              <w:rPr>
                <w:rFonts w:eastAsiaTheme="minorEastAsia"/>
                <w:iCs/>
              </w:rPr>
            </w:pPr>
            <w:r w:rsidRPr="00F32020">
              <w:rPr>
                <w:rFonts w:eastAsiaTheme="minorEastAsia"/>
                <w:iCs/>
              </w:rPr>
              <w:t>0.005</w:t>
            </w:r>
          </w:p>
        </w:tc>
        <w:tc>
          <w:tcPr>
            <w:tcW w:w="783" w:type="dxa"/>
            <w:noWrap/>
          </w:tcPr>
          <w:p w14:paraId="6B469CA3" w14:textId="49EA2B28" w:rsidR="00C86F17" w:rsidRPr="00F32020" w:rsidRDefault="00C86F17" w:rsidP="00C86F17">
            <w:pPr>
              <w:jc w:val="center"/>
              <w:rPr>
                <w:rFonts w:eastAsiaTheme="minorEastAsia"/>
                <w:iCs/>
              </w:rPr>
            </w:pPr>
            <w:r w:rsidRPr="00F32020">
              <w:rPr>
                <w:rFonts w:eastAsiaTheme="minorEastAsia"/>
                <w:iCs/>
              </w:rPr>
              <w:t>2.330</w:t>
            </w:r>
          </w:p>
        </w:tc>
        <w:tc>
          <w:tcPr>
            <w:tcW w:w="783" w:type="dxa"/>
            <w:noWrap/>
          </w:tcPr>
          <w:p w14:paraId="0EF40531" w14:textId="37868323" w:rsidR="00C86F17" w:rsidRPr="00F32020" w:rsidRDefault="00C86F17" w:rsidP="00C86F17">
            <w:pPr>
              <w:jc w:val="center"/>
              <w:rPr>
                <w:rFonts w:eastAsiaTheme="minorEastAsia"/>
                <w:iCs/>
              </w:rPr>
            </w:pPr>
            <w:r w:rsidRPr="00F32020">
              <w:rPr>
                <w:rFonts w:eastAsiaTheme="minorEastAsia"/>
                <w:iCs/>
              </w:rPr>
              <w:t>0.020</w:t>
            </w:r>
          </w:p>
        </w:tc>
        <w:tc>
          <w:tcPr>
            <w:tcW w:w="1398" w:type="dxa"/>
            <w:noWrap/>
          </w:tcPr>
          <w:p w14:paraId="4277D289" w14:textId="3E6194E1" w:rsidR="00C86F17" w:rsidRPr="00F32020" w:rsidRDefault="00C86F17" w:rsidP="00C86F17">
            <w:pPr>
              <w:jc w:val="center"/>
              <w:rPr>
                <w:rFonts w:eastAsiaTheme="minorEastAsia"/>
                <w:iCs/>
              </w:rPr>
            </w:pPr>
            <w:r w:rsidRPr="00F32020">
              <w:rPr>
                <w:rFonts w:eastAsiaTheme="minorEastAsia"/>
                <w:iCs/>
              </w:rPr>
              <w:t>0.002</w:t>
            </w:r>
          </w:p>
        </w:tc>
        <w:tc>
          <w:tcPr>
            <w:tcW w:w="1078" w:type="dxa"/>
            <w:noWrap/>
          </w:tcPr>
          <w:p w14:paraId="09D4B248" w14:textId="40995A4C" w:rsidR="00C86F17" w:rsidRPr="00F32020" w:rsidRDefault="00C86F17" w:rsidP="00C86F17">
            <w:pPr>
              <w:jc w:val="center"/>
              <w:rPr>
                <w:rFonts w:eastAsiaTheme="minorEastAsia"/>
                <w:iCs/>
              </w:rPr>
            </w:pPr>
            <w:r w:rsidRPr="00F32020">
              <w:rPr>
                <w:rFonts w:eastAsiaTheme="minorEastAsia"/>
                <w:iCs/>
              </w:rPr>
              <w:t>0.023</w:t>
            </w:r>
          </w:p>
        </w:tc>
      </w:tr>
      <w:tr w:rsidR="00477CD4" w:rsidRPr="00F32020" w14:paraId="515F1911" w14:textId="77777777" w:rsidTr="005309EB">
        <w:trPr>
          <w:gridAfter w:val="1"/>
          <w:wAfter w:w="15" w:type="dxa"/>
          <w:trHeight w:val="320"/>
        </w:trPr>
        <w:tc>
          <w:tcPr>
            <w:tcW w:w="1372" w:type="dxa"/>
            <w:noWrap/>
          </w:tcPr>
          <w:p w14:paraId="7C6046A0" w14:textId="5629F84A" w:rsidR="00C86F17" w:rsidRPr="00F32020" w:rsidRDefault="00C86F17" w:rsidP="00C86F17">
            <w:pPr>
              <w:jc w:val="both"/>
              <w:rPr>
                <w:rFonts w:eastAsiaTheme="minorEastAsia"/>
                <w:iCs/>
              </w:rPr>
            </w:pPr>
            <w:r w:rsidRPr="00F32020">
              <w:rPr>
                <w:rFonts w:eastAsiaTheme="minorEastAsia"/>
                <w:iCs/>
              </w:rPr>
              <w:t>2.0</w:t>
            </w:r>
          </w:p>
        </w:tc>
        <w:tc>
          <w:tcPr>
            <w:tcW w:w="783" w:type="dxa"/>
            <w:noWrap/>
          </w:tcPr>
          <w:p w14:paraId="148257B2" w14:textId="23271131" w:rsidR="00C86F17" w:rsidRPr="00F32020" w:rsidRDefault="00C86F17" w:rsidP="00C86F17">
            <w:pPr>
              <w:jc w:val="both"/>
              <w:rPr>
                <w:rFonts w:eastAsiaTheme="minorEastAsia"/>
                <w:iCs/>
              </w:rPr>
            </w:pPr>
            <w:r w:rsidRPr="00F32020">
              <w:rPr>
                <w:rFonts w:eastAsiaTheme="minorEastAsia"/>
                <w:iCs/>
              </w:rPr>
              <w:t>0.010</w:t>
            </w:r>
          </w:p>
        </w:tc>
        <w:tc>
          <w:tcPr>
            <w:tcW w:w="1705" w:type="dxa"/>
            <w:noWrap/>
          </w:tcPr>
          <w:p w14:paraId="676B0CF8" w14:textId="2CCB4444" w:rsidR="00C86F17" w:rsidRPr="00F32020" w:rsidRDefault="00C86F17" w:rsidP="00C86F17">
            <w:pPr>
              <w:jc w:val="center"/>
              <w:rPr>
                <w:rFonts w:eastAsiaTheme="minorEastAsia"/>
                <w:iCs/>
              </w:rPr>
            </w:pPr>
            <w:r w:rsidRPr="00F32020">
              <w:rPr>
                <w:rFonts w:eastAsiaTheme="minorEastAsia"/>
                <w:iCs/>
              </w:rPr>
              <w:t>0.006</w:t>
            </w:r>
          </w:p>
        </w:tc>
        <w:tc>
          <w:tcPr>
            <w:tcW w:w="783" w:type="dxa"/>
            <w:noWrap/>
          </w:tcPr>
          <w:p w14:paraId="10DD86F9" w14:textId="0D06B8C7" w:rsidR="00C86F17" w:rsidRPr="00F32020" w:rsidRDefault="00C86F17" w:rsidP="00C86F17">
            <w:pPr>
              <w:jc w:val="center"/>
              <w:rPr>
                <w:rFonts w:eastAsiaTheme="minorEastAsia"/>
                <w:iCs/>
              </w:rPr>
            </w:pPr>
            <w:r w:rsidRPr="00F32020">
              <w:rPr>
                <w:rFonts w:eastAsiaTheme="minorEastAsia"/>
                <w:iCs/>
              </w:rPr>
              <w:t>1.570</w:t>
            </w:r>
          </w:p>
        </w:tc>
        <w:tc>
          <w:tcPr>
            <w:tcW w:w="783" w:type="dxa"/>
            <w:noWrap/>
          </w:tcPr>
          <w:p w14:paraId="1D8FC21F" w14:textId="55EB5620" w:rsidR="00C86F17" w:rsidRPr="00F32020" w:rsidRDefault="00C86F17" w:rsidP="00C86F17">
            <w:pPr>
              <w:jc w:val="center"/>
              <w:rPr>
                <w:rFonts w:eastAsiaTheme="minorEastAsia"/>
                <w:iCs/>
              </w:rPr>
            </w:pPr>
            <w:r w:rsidRPr="00F32020">
              <w:rPr>
                <w:rFonts w:eastAsiaTheme="minorEastAsia"/>
                <w:iCs/>
              </w:rPr>
              <w:t>0.117</w:t>
            </w:r>
          </w:p>
        </w:tc>
        <w:tc>
          <w:tcPr>
            <w:tcW w:w="1398" w:type="dxa"/>
            <w:noWrap/>
          </w:tcPr>
          <w:p w14:paraId="2F16D390" w14:textId="4053ED6E" w:rsidR="00C86F17" w:rsidRPr="00F32020" w:rsidRDefault="00C86F17" w:rsidP="00C86F17">
            <w:pPr>
              <w:jc w:val="center"/>
              <w:rPr>
                <w:rFonts w:eastAsiaTheme="minorEastAsia"/>
                <w:iCs/>
              </w:rPr>
            </w:pPr>
            <w:r w:rsidRPr="00F32020">
              <w:rPr>
                <w:rFonts w:eastAsiaTheme="minorEastAsia"/>
                <w:iCs/>
              </w:rPr>
              <w:t>-0.003</w:t>
            </w:r>
          </w:p>
        </w:tc>
        <w:tc>
          <w:tcPr>
            <w:tcW w:w="1078" w:type="dxa"/>
            <w:noWrap/>
          </w:tcPr>
          <w:p w14:paraId="19BF0CE9" w14:textId="6EC86CB3" w:rsidR="00C86F17" w:rsidRPr="00F32020" w:rsidRDefault="00C86F17" w:rsidP="00C86F17">
            <w:pPr>
              <w:jc w:val="center"/>
              <w:rPr>
                <w:rFonts w:eastAsiaTheme="minorEastAsia"/>
                <w:iCs/>
              </w:rPr>
            </w:pPr>
            <w:r w:rsidRPr="00F32020">
              <w:rPr>
                <w:rFonts w:eastAsiaTheme="minorEastAsia"/>
                <w:iCs/>
              </w:rPr>
              <w:t>0.022</w:t>
            </w:r>
          </w:p>
        </w:tc>
      </w:tr>
      <w:tr w:rsidR="00477CD4" w:rsidRPr="00F32020" w14:paraId="4816CBF1" w14:textId="77777777" w:rsidTr="005309EB">
        <w:trPr>
          <w:gridAfter w:val="1"/>
          <w:wAfter w:w="15" w:type="dxa"/>
          <w:trHeight w:val="320"/>
        </w:trPr>
        <w:tc>
          <w:tcPr>
            <w:tcW w:w="1372" w:type="dxa"/>
            <w:noWrap/>
          </w:tcPr>
          <w:p w14:paraId="48517386" w14:textId="19FF03C5" w:rsidR="00C86F17" w:rsidRPr="00F32020" w:rsidRDefault="00C86F17" w:rsidP="00C86F17">
            <w:pPr>
              <w:jc w:val="both"/>
              <w:rPr>
                <w:rFonts w:eastAsiaTheme="minorEastAsia"/>
                <w:iCs/>
              </w:rPr>
            </w:pPr>
            <w:r w:rsidRPr="00F32020">
              <w:rPr>
                <w:rFonts w:eastAsiaTheme="minorEastAsia"/>
                <w:iCs/>
              </w:rPr>
              <w:t>2.5</w:t>
            </w:r>
          </w:p>
        </w:tc>
        <w:tc>
          <w:tcPr>
            <w:tcW w:w="783" w:type="dxa"/>
            <w:noWrap/>
          </w:tcPr>
          <w:p w14:paraId="77C9A70E" w14:textId="6740500A" w:rsidR="00C86F17" w:rsidRPr="00F32020" w:rsidRDefault="00C86F17" w:rsidP="00C86F17">
            <w:pPr>
              <w:jc w:val="both"/>
              <w:rPr>
                <w:rFonts w:eastAsiaTheme="minorEastAsia"/>
                <w:iCs/>
              </w:rPr>
            </w:pPr>
            <w:r w:rsidRPr="00F32020">
              <w:rPr>
                <w:rFonts w:eastAsiaTheme="minorEastAsia"/>
                <w:iCs/>
              </w:rPr>
              <w:t>0.007</w:t>
            </w:r>
          </w:p>
        </w:tc>
        <w:tc>
          <w:tcPr>
            <w:tcW w:w="1705" w:type="dxa"/>
            <w:noWrap/>
          </w:tcPr>
          <w:p w14:paraId="0E1AB9F4" w14:textId="294B87AB" w:rsidR="00C86F17" w:rsidRPr="00F32020" w:rsidRDefault="00C86F17" w:rsidP="00C86F17">
            <w:pPr>
              <w:jc w:val="center"/>
              <w:rPr>
                <w:rFonts w:eastAsiaTheme="minorEastAsia"/>
                <w:iCs/>
              </w:rPr>
            </w:pPr>
            <w:r w:rsidRPr="00F32020">
              <w:rPr>
                <w:rFonts w:eastAsiaTheme="minorEastAsia"/>
                <w:iCs/>
              </w:rPr>
              <w:t>0.008</w:t>
            </w:r>
          </w:p>
        </w:tc>
        <w:tc>
          <w:tcPr>
            <w:tcW w:w="783" w:type="dxa"/>
            <w:noWrap/>
          </w:tcPr>
          <w:p w14:paraId="325C6E7A" w14:textId="51A08483" w:rsidR="00C86F17" w:rsidRPr="00F32020" w:rsidRDefault="00C86F17" w:rsidP="00C86F17">
            <w:pPr>
              <w:jc w:val="center"/>
              <w:rPr>
                <w:rFonts w:eastAsiaTheme="minorEastAsia"/>
                <w:iCs/>
              </w:rPr>
            </w:pPr>
            <w:r w:rsidRPr="00F32020">
              <w:rPr>
                <w:rFonts w:eastAsiaTheme="minorEastAsia"/>
                <w:iCs/>
              </w:rPr>
              <w:t>0.880</w:t>
            </w:r>
          </w:p>
        </w:tc>
        <w:tc>
          <w:tcPr>
            <w:tcW w:w="783" w:type="dxa"/>
            <w:noWrap/>
          </w:tcPr>
          <w:p w14:paraId="1F0717F0" w14:textId="160863D1" w:rsidR="00C86F17" w:rsidRPr="00F32020" w:rsidRDefault="00C86F17" w:rsidP="00C86F17">
            <w:pPr>
              <w:jc w:val="center"/>
              <w:rPr>
                <w:rFonts w:eastAsiaTheme="minorEastAsia"/>
                <w:iCs/>
              </w:rPr>
            </w:pPr>
            <w:r w:rsidRPr="00F32020">
              <w:rPr>
                <w:rFonts w:eastAsiaTheme="minorEastAsia"/>
                <w:iCs/>
              </w:rPr>
              <w:t>0.379</w:t>
            </w:r>
          </w:p>
        </w:tc>
        <w:tc>
          <w:tcPr>
            <w:tcW w:w="1398" w:type="dxa"/>
            <w:noWrap/>
          </w:tcPr>
          <w:p w14:paraId="6E2E0EF4" w14:textId="5AEA14AD" w:rsidR="00C86F17" w:rsidRPr="00F32020" w:rsidRDefault="00C86F17" w:rsidP="00C86F17">
            <w:pPr>
              <w:jc w:val="center"/>
              <w:rPr>
                <w:rFonts w:eastAsiaTheme="minorEastAsia"/>
                <w:iCs/>
              </w:rPr>
            </w:pPr>
            <w:r w:rsidRPr="00F32020">
              <w:rPr>
                <w:rFonts w:eastAsiaTheme="minorEastAsia"/>
                <w:iCs/>
              </w:rPr>
              <w:t>-0.009</w:t>
            </w:r>
          </w:p>
        </w:tc>
        <w:tc>
          <w:tcPr>
            <w:tcW w:w="1078" w:type="dxa"/>
            <w:noWrap/>
          </w:tcPr>
          <w:p w14:paraId="78008C64" w14:textId="61282330" w:rsidR="00C86F17" w:rsidRPr="00F32020" w:rsidRDefault="00C86F17" w:rsidP="00C86F17">
            <w:pPr>
              <w:jc w:val="center"/>
              <w:rPr>
                <w:rFonts w:eastAsiaTheme="minorEastAsia"/>
                <w:iCs/>
              </w:rPr>
            </w:pPr>
            <w:r w:rsidRPr="00F32020">
              <w:rPr>
                <w:rFonts w:eastAsiaTheme="minorEastAsia"/>
                <w:iCs/>
              </w:rPr>
              <w:t>0.023</w:t>
            </w:r>
          </w:p>
        </w:tc>
      </w:tr>
      <w:tr w:rsidR="00477CD4" w:rsidRPr="00F32020" w14:paraId="6C9C2461" w14:textId="77777777" w:rsidTr="005309EB">
        <w:trPr>
          <w:gridAfter w:val="1"/>
          <w:wAfter w:w="15" w:type="dxa"/>
          <w:trHeight w:val="320"/>
        </w:trPr>
        <w:tc>
          <w:tcPr>
            <w:tcW w:w="1372" w:type="dxa"/>
            <w:tcBorders>
              <w:bottom w:val="single" w:sz="4" w:space="0" w:color="auto"/>
            </w:tcBorders>
            <w:noWrap/>
          </w:tcPr>
          <w:p w14:paraId="325F8481" w14:textId="5BDAC952" w:rsidR="00C86F17" w:rsidRPr="00F32020" w:rsidRDefault="00C86F17" w:rsidP="00C86F17">
            <w:pPr>
              <w:jc w:val="both"/>
              <w:rPr>
                <w:rFonts w:eastAsiaTheme="minorEastAsia"/>
                <w:iCs/>
              </w:rPr>
            </w:pPr>
            <w:r w:rsidRPr="00F32020">
              <w:rPr>
                <w:rFonts w:eastAsiaTheme="minorEastAsia"/>
                <w:iCs/>
              </w:rPr>
              <w:t>3.0</w:t>
            </w:r>
          </w:p>
        </w:tc>
        <w:tc>
          <w:tcPr>
            <w:tcW w:w="783" w:type="dxa"/>
            <w:tcBorders>
              <w:bottom w:val="single" w:sz="4" w:space="0" w:color="auto"/>
            </w:tcBorders>
            <w:noWrap/>
          </w:tcPr>
          <w:p w14:paraId="156B15BF" w14:textId="736A234E" w:rsidR="00C86F17" w:rsidRPr="00F32020" w:rsidRDefault="00C86F17" w:rsidP="00C86F17">
            <w:pPr>
              <w:jc w:val="both"/>
              <w:rPr>
                <w:rFonts w:eastAsiaTheme="minorEastAsia"/>
                <w:iCs/>
              </w:rPr>
            </w:pPr>
            <w:r w:rsidRPr="00F32020">
              <w:rPr>
                <w:rFonts w:eastAsiaTheme="minorEastAsia"/>
                <w:iCs/>
              </w:rPr>
              <w:t>0.004</w:t>
            </w:r>
          </w:p>
        </w:tc>
        <w:tc>
          <w:tcPr>
            <w:tcW w:w="1705" w:type="dxa"/>
            <w:tcBorders>
              <w:bottom w:val="single" w:sz="4" w:space="0" w:color="auto"/>
            </w:tcBorders>
            <w:noWrap/>
          </w:tcPr>
          <w:p w14:paraId="482DF270" w14:textId="49D96358" w:rsidR="00C86F17" w:rsidRPr="00F32020" w:rsidRDefault="00C86F17" w:rsidP="00C86F17">
            <w:pPr>
              <w:jc w:val="center"/>
              <w:rPr>
                <w:rFonts w:eastAsiaTheme="minorEastAsia"/>
                <w:iCs/>
              </w:rPr>
            </w:pPr>
            <w:r w:rsidRPr="00F32020">
              <w:rPr>
                <w:rFonts w:eastAsiaTheme="minorEastAsia"/>
                <w:iCs/>
              </w:rPr>
              <w:t>0.010</w:t>
            </w:r>
          </w:p>
        </w:tc>
        <w:tc>
          <w:tcPr>
            <w:tcW w:w="783" w:type="dxa"/>
            <w:tcBorders>
              <w:bottom w:val="single" w:sz="4" w:space="0" w:color="auto"/>
            </w:tcBorders>
            <w:noWrap/>
          </w:tcPr>
          <w:p w14:paraId="25BA996B" w14:textId="33C4F21F" w:rsidR="00C86F17" w:rsidRPr="00F32020" w:rsidRDefault="00C86F17" w:rsidP="00C86F17">
            <w:pPr>
              <w:jc w:val="center"/>
              <w:rPr>
                <w:rFonts w:eastAsiaTheme="minorEastAsia"/>
                <w:iCs/>
              </w:rPr>
            </w:pPr>
            <w:r w:rsidRPr="00F32020">
              <w:rPr>
                <w:rFonts w:eastAsiaTheme="minorEastAsia"/>
                <w:iCs/>
              </w:rPr>
              <w:t>0.410</w:t>
            </w:r>
          </w:p>
        </w:tc>
        <w:tc>
          <w:tcPr>
            <w:tcW w:w="783" w:type="dxa"/>
            <w:tcBorders>
              <w:bottom w:val="single" w:sz="4" w:space="0" w:color="auto"/>
            </w:tcBorders>
            <w:noWrap/>
          </w:tcPr>
          <w:p w14:paraId="029C527A" w14:textId="25897039" w:rsidR="00C86F17" w:rsidRPr="00F32020" w:rsidRDefault="00C86F17" w:rsidP="00C86F17">
            <w:pPr>
              <w:jc w:val="center"/>
              <w:rPr>
                <w:rFonts w:eastAsiaTheme="minorEastAsia"/>
                <w:iCs/>
              </w:rPr>
            </w:pPr>
            <w:r w:rsidRPr="00F32020">
              <w:rPr>
                <w:rFonts w:eastAsiaTheme="minorEastAsia"/>
                <w:iCs/>
              </w:rPr>
              <w:t>0.683</w:t>
            </w:r>
          </w:p>
        </w:tc>
        <w:tc>
          <w:tcPr>
            <w:tcW w:w="1398" w:type="dxa"/>
            <w:tcBorders>
              <w:bottom w:val="single" w:sz="4" w:space="0" w:color="auto"/>
            </w:tcBorders>
            <w:noWrap/>
          </w:tcPr>
          <w:p w14:paraId="4214B310" w14:textId="24A2EFD5" w:rsidR="00C86F17" w:rsidRPr="00F32020" w:rsidRDefault="00C86F17" w:rsidP="00C86F17">
            <w:pPr>
              <w:jc w:val="center"/>
              <w:rPr>
                <w:rFonts w:eastAsiaTheme="minorEastAsia"/>
                <w:iCs/>
              </w:rPr>
            </w:pPr>
            <w:r w:rsidRPr="00F32020">
              <w:rPr>
                <w:rFonts w:eastAsiaTheme="minorEastAsia"/>
                <w:iCs/>
              </w:rPr>
              <w:t>-0.016</w:t>
            </w:r>
          </w:p>
        </w:tc>
        <w:tc>
          <w:tcPr>
            <w:tcW w:w="1078" w:type="dxa"/>
            <w:noWrap/>
          </w:tcPr>
          <w:p w14:paraId="2F26551E" w14:textId="19D78FE7" w:rsidR="00C86F17" w:rsidRPr="00F32020" w:rsidRDefault="00C86F17" w:rsidP="00C86F17">
            <w:pPr>
              <w:jc w:val="center"/>
              <w:rPr>
                <w:rFonts w:eastAsiaTheme="minorEastAsia"/>
                <w:iCs/>
              </w:rPr>
            </w:pPr>
            <w:r w:rsidRPr="00F32020">
              <w:rPr>
                <w:rFonts w:eastAsiaTheme="minorEastAsia"/>
                <w:iCs/>
              </w:rPr>
              <w:t>0.025</w:t>
            </w:r>
          </w:p>
        </w:tc>
      </w:tr>
      <w:tr w:rsidR="00477CD4" w:rsidRPr="00F32020" w14:paraId="61D2F05B" w14:textId="77777777" w:rsidTr="005309EB">
        <w:trPr>
          <w:gridAfter w:val="1"/>
          <w:wAfter w:w="15" w:type="dxa"/>
          <w:trHeight w:val="320"/>
        </w:trPr>
        <w:tc>
          <w:tcPr>
            <w:tcW w:w="5426" w:type="dxa"/>
            <w:gridSpan w:val="5"/>
            <w:tcBorders>
              <w:top w:val="single" w:sz="4" w:space="0" w:color="auto"/>
              <w:bottom w:val="single" w:sz="4" w:space="0" w:color="auto"/>
            </w:tcBorders>
            <w:noWrap/>
          </w:tcPr>
          <w:p w14:paraId="494E08D8" w14:textId="7EFF6C21" w:rsidR="001D3B08" w:rsidRPr="00F32020" w:rsidRDefault="001D3B08" w:rsidP="001D3B08">
            <w:pPr>
              <w:rPr>
                <w:rFonts w:eastAsiaTheme="minorEastAsia"/>
                <w:iCs/>
              </w:rPr>
            </w:pPr>
            <w:bookmarkStart w:id="32" w:name="_Hlk212145480"/>
            <w:r w:rsidRPr="00F32020">
              <w:rPr>
                <w:rFonts w:eastAsiaTheme="minorEastAsia"/>
                <w:iCs/>
              </w:rPr>
              <w:t>Panel D:</w:t>
            </w:r>
            <w:r w:rsidRPr="00F32020">
              <w:rPr>
                <w:rFonts w:eastAsiaTheme="minorEastAsia"/>
                <w:b/>
                <w:bCs/>
                <w:iCs/>
              </w:rPr>
              <w:t xml:space="preserve"> </w:t>
            </w:r>
            <w:r w:rsidRPr="00F32020">
              <w:rPr>
                <w:rFonts w:eastAsiaTheme="minorEastAsia"/>
                <w:iCs/>
              </w:rPr>
              <w:t xml:space="preserve">Average </w:t>
            </w:r>
            <w:r w:rsidR="00400F4C" w:rsidRPr="00F32020">
              <w:rPr>
                <w:rFonts w:eastAsiaTheme="minorEastAsia"/>
                <w:iCs/>
              </w:rPr>
              <w:t xml:space="preserve">number of </w:t>
            </w:r>
            <w:r w:rsidRPr="00F32020">
              <w:rPr>
                <w:rFonts w:eastAsiaTheme="minorEastAsia"/>
                <w:iCs/>
              </w:rPr>
              <w:t>founders’ prior ventures</w:t>
            </w:r>
          </w:p>
        </w:tc>
        <w:tc>
          <w:tcPr>
            <w:tcW w:w="1398" w:type="dxa"/>
            <w:tcBorders>
              <w:top w:val="single" w:sz="4" w:space="0" w:color="auto"/>
              <w:bottom w:val="single" w:sz="4" w:space="0" w:color="auto"/>
            </w:tcBorders>
            <w:noWrap/>
          </w:tcPr>
          <w:p w14:paraId="51B6270E" w14:textId="77777777" w:rsidR="001D3B08" w:rsidRPr="00F32020" w:rsidRDefault="001D3B08" w:rsidP="00C86F17">
            <w:pPr>
              <w:jc w:val="center"/>
              <w:rPr>
                <w:rFonts w:eastAsiaTheme="minorEastAsia"/>
                <w:iCs/>
              </w:rPr>
            </w:pPr>
          </w:p>
        </w:tc>
        <w:tc>
          <w:tcPr>
            <w:tcW w:w="1078" w:type="dxa"/>
            <w:tcBorders>
              <w:top w:val="single" w:sz="4" w:space="0" w:color="auto"/>
              <w:bottom w:val="single" w:sz="4" w:space="0" w:color="auto"/>
            </w:tcBorders>
            <w:noWrap/>
          </w:tcPr>
          <w:p w14:paraId="540513BC" w14:textId="77777777" w:rsidR="001D3B08" w:rsidRPr="00F32020" w:rsidRDefault="001D3B08" w:rsidP="00C86F17">
            <w:pPr>
              <w:jc w:val="center"/>
              <w:rPr>
                <w:rFonts w:eastAsiaTheme="minorEastAsia"/>
                <w:iCs/>
              </w:rPr>
            </w:pPr>
          </w:p>
        </w:tc>
      </w:tr>
      <w:bookmarkEnd w:id="32"/>
      <w:tr w:rsidR="00477CD4" w:rsidRPr="00F32020" w14:paraId="14BAB3E5" w14:textId="77777777" w:rsidTr="005309EB">
        <w:trPr>
          <w:gridAfter w:val="1"/>
          <w:wAfter w:w="15" w:type="dxa"/>
          <w:trHeight w:val="320"/>
        </w:trPr>
        <w:tc>
          <w:tcPr>
            <w:tcW w:w="1372" w:type="dxa"/>
            <w:tcBorders>
              <w:top w:val="single" w:sz="4" w:space="0" w:color="auto"/>
              <w:bottom w:val="single" w:sz="4" w:space="0" w:color="auto"/>
            </w:tcBorders>
            <w:noWrap/>
          </w:tcPr>
          <w:p w14:paraId="745BC3D3" w14:textId="5F423507" w:rsidR="00C86F17" w:rsidRPr="00F32020" w:rsidRDefault="00C86F17" w:rsidP="00C86F17">
            <w:pPr>
              <w:jc w:val="both"/>
              <w:rPr>
                <w:rFonts w:eastAsiaTheme="minorEastAsia"/>
                <w:iCs/>
              </w:rPr>
            </w:pPr>
            <w:r w:rsidRPr="00F32020">
              <w:rPr>
                <w:rFonts w:eastAsiaTheme="minorEastAsia"/>
                <w:iCs/>
              </w:rPr>
              <w:t>No. of prior ventures (avg) value</w:t>
            </w:r>
          </w:p>
        </w:tc>
        <w:tc>
          <w:tcPr>
            <w:tcW w:w="783" w:type="dxa"/>
            <w:tcBorders>
              <w:top w:val="single" w:sz="4" w:space="0" w:color="auto"/>
              <w:bottom w:val="single" w:sz="4" w:space="0" w:color="auto"/>
            </w:tcBorders>
            <w:noWrap/>
          </w:tcPr>
          <w:p w14:paraId="7F745DA6" w14:textId="09F9480E" w:rsidR="00C86F17" w:rsidRPr="00F32020" w:rsidRDefault="00C86F17" w:rsidP="00C86F17">
            <w:pPr>
              <w:jc w:val="both"/>
              <w:rPr>
                <w:rFonts w:eastAsiaTheme="minorEastAsia"/>
                <w:iCs/>
              </w:rPr>
            </w:pPr>
            <w:r w:rsidRPr="00F32020">
              <w:rPr>
                <w:rFonts w:eastAsiaTheme="minorEastAsia"/>
                <w:iCs/>
              </w:rPr>
              <w:t>dy/dx</w:t>
            </w:r>
          </w:p>
        </w:tc>
        <w:tc>
          <w:tcPr>
            <w:tcW w:w="1705" w:type="dxa"/>
            <w:tcBorders>
              <w:top w:val="single" w:sz="4" w:space="0" w:color="auto"/>
              <w:bottom w:val="single" w:sz="4" w:space="0" w:color="auto"/>
            </w:tcBorders>
            <w:noWrap/>
          </w:tcPr>
          <w:p w14:paraId="2E39AE01" w14:textId="3B4DF3E3" w:rsidR="00C86F17" w:rsidRPr="00F32020" w:rsidRDefault="00C86F17" w:rsidP="00C86F17">
            <w:pPr>
              <w:jc w:val="center"/>
              <w:rPr>
                <w:rFonts w:eastAsiaTheme="minorEastAsia"/>
                <w:iCs/>
              </w:rPr>
            </w:pPr>
            <w:r w:rsidRPr="00F32020">
              <w:rPr>
                <w:rFonts w:eastAsiaTheme="minorEastAsia"/>
                <w:iCs/>
              </w:rPr>
              <w:t>Delta-method std. err.</w:t>
            </w:r>
          </w:p>
        </w:tc>
        <w:tc>
          <w:tcPr>
            <w:tcW w:w="783" w:type="dxa"/>
            <w:tcBorders>
              <w:top w:val="single" w:sz="4" w:space="0" w:color="auto"/>
              <w:bottom w:val="single" w:sz="4" w:space="0" w:color="auto"/>
            </w:tcBorders>
            <w:noWrap/>
          </w:tcPr>
          <w:p w14:paraId="75D52A36" w14:textId="38922B26" w:rsidR="00C86F17" w:rsidRPr="00F32020" w:rsidRDefault="00C86F17" w:rsidP="00C86F17">
            <w:pPr>
              <w:jc w:val="center"/>
              <w:rPr>
                <w:rFonts w:eastAsiaTheme="minorEastAsia"/>
                <w:iCs/>
              </w:rPr>
            </w:pPr>
            <w:r w:rsidRPr="00F32020">
              <w:rPr>
                <w:rFonts w:eastAsiaTheme="minorEastAsia"/>
                <w:iCs/>
              </w:rPr>
              <w:t>z</w:t>
            </w:r>
          </w:p>
        </w:tc>
        <w:tc>
          <w:tcPr>
            <w:tcW w:w="783" w:type="dxa"/>
            <w:tcBorders>
              <w:top w:val="single" w:sz="4" w:space="0" w:color="auto"/>
              <w:bottom w:val="single" w:sz="4" w:space="0" w:color="auto"/>
            </w:tcBorders>
            <w:noWrap/>
          </w:tcPr>
          <w:p w14:paraId="0DC14F42" w14:textId="5A8E28EB" w:rsidR="00C86F17" w:rsidRPr="00F32020" w:rsidRDefault="00C86F17" w:rsidP="00C86F17">
            <w:pPr>
              <w:jc w:val="center"/>
              <w:rPr>
                <w:rFonts w:eastAsiaTheme="minorEastAsia"/>
                <w:iCs/>
              </w:rPr>
            </w:pPr>
            <w:r w:rsidRPr="00F32020">
              <w:rPr>
                <w:rFonts w:eastAsiaTheme="minorEastAsia"/>
                <w:iCs/>
              </w:rPr>
              <w:t>P&gt;z</w:t>
            </w:r>
          </w:p>
        </w:tc>
        <w:tc>
          <w:tcPr>
            <w:tcW w:w="1398" w:type="dxa"/>
            <w:tcBorders>
              <w:top w:val="single" w:sz="4" w:space="0" w:color="auto"/>
              <w:bottom w:val="single" w:sz="4" w:space="0" w:color="auto"/>
            </w:tcBorders>
            <w:noWrap/>
          </w:tcPr>
          <w:p w14:paraId="4C0A5158" w14:textId="1AC4B097" w:rsidR="00C86F17" w:rsidRPr="00F32020" w:rsidRDefault="00C86F17" w:rsidP="00C86F17">
            <w:pPr>
              <w:jc w:val="center"/>
              <w:rPr>
                <w:rFonts w:eastAsiaTheme="minorEastAsia"/>
                <w:iCs/>
              </w:rPr>
            </w:pPr>
            <w:r w:rsidRPr="00F32020">
              <w:rPr>
                <w:rFonts w:eastAsiaTheme="minorEastAsia"/>
                <w:iCs/>
              </w:rPr>
              <w:t>[95% conf.</w:t>
            </w:r>
          </w:p>
        </w:tc>
        <w:tc>
          <w:tcPr>
            <w:tcW w:w="1078" w:type="dxa"/>
            <w:tcBorders>
              <w:top w:val="single" w:sz="4" w:space="0" w:color="auto"/>
              <w:bottom w:val="single" w:sz="4" w:space="0" w:color="auto"/>
            </w:tcBorders>
            <w:noWrap/>
          </w:tcPr>
          <w:p w14:paraId="42DF89EA" w14:textId="06B755F1" w:rsidR="00C86F17" w:rsidRPr="00F32020" w:rsidRDefault="00C86F17" w:rsidP="00C86F17">
            <w:pPr>
              <w:jc w:val="center"/>
              <w:rPr>
                <w:rFonts w:eastAsiaTheme="minorEastAsia"/>
                <w:iCs/>
              </w:rPr>
            </w:pPr>
            <w:r w:rsidRPr="00F32020">
              <w:rPr>
                <w:rFonts w:eastAsiaTheme="minorEastAsia"/>
                <w:iCs/>
              </w:rPr>
              <w:t>interval]</w:t>
            </w:r>
          </w:p>
        </w:tc>
      </w:tr>
      <w:tr w:rsidR="00477CD4" w:rsidRPr="00F32020" w14:paraId="08DBECFC" w14:textId="77777777" w:rsidTr="005309EB">
        <w:trPr>
          <w:gridAfter w:val="1"/>
          <w:wAfter w:w="15" w:type="dxa"/>
          <w:trHeight w:val="320"/>
        </w:trPr>
        <w:tc>
          <w:tcPr>
            <w:tcW w:w="1372" w:type="dxa"/>
            <w:tcBorders>
              <w:top w:val="single" w:sz="4" w:space="0" w:color="auto"/>
            </w:tcBorders>
            <w:noWrap/>
          </w:tcPr>
          <w:p w14:paraId="59942285" w14:textId="4268C429" w:rsidR="00C86F17" w:rsidRPr="00F32020" w:rsidRDefault="00C86F17" w:rsidP="00C86F17">
            <w:pPr>
              <w:jc w:val="both"/>
              <w:rPr>
                <w:rFonts w:eastAsiaTheme="minorEastAsia"/>
                <w:iCs/>
              </w:rPr>
            </w:pPr>
            <w:r w:rsidRPr="00F32020">
              <w:rPr>
                <w:rFonts w:eastAsiaTheme="minorEastAsia"/>
                <w:iCs/>
              </w:rPr>
              <w:t>0.0</w:t>
            </w:r>
          </w:p>
        </w:tc>
        <w:tc>
          <w:tcPr>
            <w:tcW w:w="783" w:type="dxa"/>
            <w:tcBorders>
              <w:top w:val="single" w:sz="4" w:space="0" w:color="auto"/>
            </w:tcBorders>
            <w:noWrap/>
          </w:tcPr>
          <w:p w14:paraId="22FD295A" w14:textId="483A28EB" w:rsidR="00C86F17" w:rsidRPr="00F32020" w:rsidRDefault="00C86F17" w:rsidP="00C86F17">
            <w:pPr>
              <w:jc w:val="both"/>
              <w:rPr>
                <w:rFonts w:eastAsiaTheme="minorEastAsia"/>
                <w:iCs/>
              </w:rPr>
            </w:pPr>
            <w:r w:rsidRPr="00F32020">
              <w:rPr>
                <w:rFonts w:eastAsiaTheme="minorEastAsia"/>
                <w:iCs/>
              </w:rPr>
              <w:t>0.013</w:t>
            </w:r>
          </w:p>
        </w:tc>
        <w:tc>
          <w:tcPr>
            <w:tcW w:w="1705" w:type="dxa"/>
            <w:tcBorders>
              <w:top w:val="single" w:sz="4" w:space="0" w:color="auto"/>
            </w:tcBorders>
            <w:noWrap/>
          </w:tcPr>
          <w:p w14:paraId="65281DC9" w14:textId="7A4098E8" w:rsidR="00C86F17" w:rsidRPr="00F32020" w:rsidRDefault="00C86F17" w:rsidP="00C86F17">
            <w:pPr>
              <w:jc w:val="center"/>
              <w:rPr>
                <w:rFonts w:eastAsiaTheme="minorEastAsia"/>
                <w:iCs/>
              </w:rPr>
            </w:pPr>
            <w:r w:rsidRPr="00F32020">
              <w:rPr>
                <w:rFonts w:eastAsiaTheme="minorEastAsia"/>
                <w:iCs/>
              </w:rPr>
              <w:t>0.007</w:t>
            </w:r>
          </w:p>
        </w:tc>
        <w:tc>
          <w:tcPr>
            <w:tcW w:w="783" w:type="dxa"/>
            <w:tcBorders>
              <w:top w:val="single" w:sz="4" w:space="0" w:color="auto"/>
            </w:tcBorders>
            <w:noWrap/>
          </w:tcPr>
          <w:p w14:paraId="4F0B9BC8" w14:textId="1B36FECF" w:rsidR="00C86F17" w:rsidRPr="00F32020" w:rsidRDefault="00C86F17" w:rsidP="00C86F17">
            <w:pPr>
              <w:jc w:val="center"/>
              <w:rPr>
                <w:rFonts w:eastAsiaTheme="minorEastAsia"/>
                <w:iCs/>
              </w:rPr>
            </w:pPr>
            <w:r w:rsidRPr="00F32020">
              <w:rPr>
                <w:rFonts w:eastAsiaTheme="minorEastAsia"/>
                <w:iCs/>
              </w:rPr>
              <w:t>1.770</w:t>
            </w:r>
          </w:p>
        </w:tc>
        <w:tc>
          <w:tcPr>
            <w:tcW w:w="783" w:type="dxa"/>
            <w:tcBorders>
              <w:top w:val="single" w:sz="4" w:space="0" w:color="auto"/>
            </w:tcBorders>
            <w:noWrap/>
          </w:tcPr>
          <w:p w14:paraId="0B6439DA" w14:textId="27DA0EDC" w:rsidR="00C86F17" w:rsidRPr="00F32020" w:rsidRDefault="00C86F17" w:rsidP="00C86F17">
            <w:pPr>
              <w:jc w:val="center"/>
              <w:rPr>
                <w:rFonts w:eastAsiaTheme="minorEastAsia"/>
                <w:iCs/>
              </w:rPr>
            </w:pPr>
            <w:r w:rsidRPr="00F32020">
              <w:rPr>
                <w:rFonts w:eastAsiaTheme="minorEastAsia"/>
                <w:iCs/>
              </w:rPr>
              <w:t>0.076</w:t>
            </w:r>
          </w:p>
        </w:tc>
        <w:tc>
          <w:tcPr>
            <w:tcW w:w="1398" w:type="dxa"/>
            <w:tcBorders>
              <w:top w:val="single" w:sz="4" w:space="0" w:color="auto"/>
            </w:tcBorders>
            <w:noWrap/>
          </w:tcPr>
          <w:p w14:paraId="1F0C0CC8" w14:textId="7378E895" w:rsidR="00C86F17" w:rsidRPr="00F32020" w:rsidRDefault="00C86F17" w:rsidP="00C86F17">
            <w:pPr>
              <w:jc w:val="center"/>
              <w:rPr>
                <w:rFonts w:eastAsiaTheme="minorEastAsia"/>
                <w:iCs/>
              </w:rPr>
            </w:pPr>
            <w:r w:rsidRPr="00F32020">
              <w:rPr>
                <w:rFonts w:eastAsiaTheme="minorEastAsia"/>
                <w:iCs/>
              </w:rPr>
              <w:t>-0.001</w:t>
            </w:r>
          </w:p>
        </w:tc>
        <w:tc>
          <w:tcPr>
            <w:tcW w:w="1078" w:type="dxa"/>
            <w:tcBorders>
              <w:top w:val="single" w:sz="4" w:space="0" w:color="auto"/>
            </w:tcBorders>
            <w:noWrap/>
          </w:tcPr>
          <w:p w14:paraId="2C530B0E" w14:textId="007F9418" w:rsidR="00C86F17" w:rsidRPr="00F32020" w:rsidRDefault="00C86F17" w:rsidP="00C86F17">
            <w:pPr>
              <w:jc w:val="center"/>
              <w:rPr>
                <w:rFonts w:eastAsiaTheme="minorEastAsia"/>
                <w:iCs/>
              </w:rPr>
            </w:pPr>
            <w:r w:rsidRPr="00F32020">
              <w:rPr>
                <w:rFonts w:eastAsiaTheme="minorEastAsia"/>
                <w:iCs/>
              </w:rPr>
              <w:t>0.028</w:t>
            </w:r>
          </w:p>
        </w:tc>
      </w:tr>
      <w:tr w:rsidR="00477CD4" w:rsidRPr="00F32020" w14:paraId="7C974F18" w14:textId="77777777" w:rsidTr="005309EB">
        <w:trPr>
          <w:gridAfter w:val="1"/>
          <w:wAfter w:w="15" w:type="dxa"/>
          <w:trHeight w:val="320"/>
        </w:trPr>
        <w:tc>
          <w:tcPr>
            <w:tcW w:w="1372" w:type="dxa"/>
            <w:noWrap/>
          </w:tcPr>
          <w:p w14:paraId="781F2B4D" w14:textId="396108DA" w:rsidR="00C86F17" w:rsidRPr="00F32020" w:rsidRDefault="00C86F17" w:rsidP="00C86F17">
            <w:pPr>
              <w:jc w:val="both"/>
              <w:rPr>
                <w:rFonts w:eastAsiaTheme="minorEastAsia"/>
                <w:iCs/>
              </w:rPr>
            </w:pPr>
            <w:r w:rsidRPr="00F32020">
              <w:rPr>
                <w:rFonts w:eastAsiaTheme="minorEastAsia"/>
                <w:iCs/>
              </w:rPr>
              <w:t>0.3</w:t>
            </w:r>
          </w:p>
        </w:tc>
        <w:tc>
          <w:tcPr>
            <w:tcW w:w="783" w:type="dxa"/>
            <w:noWrap/>
          </w:tcPr>
          <w:p w14:paraId="5ECD2C2C" w14:textId="5A9D6C82" w:rsidR="00C86F17" w:rsidRPr="00F32020" w:rsidRDefault="00C86F17" w:rsidP="00C86F17">
            <w:pPr>
              <w:jc w:val="both"/>
              <w:rPr>
                <w:rFonts w:eastAsiaTheme="minorEastAsia"/>
                <w:iCs/>
              </w:rPr>
            </w:pPr>
            <w:r w:rsidRPr="00F32020">
              <w:rPr>
                <w:rFonts w:eastAsiaTheme="minorEastAsia"/>
                <w:iCs/>
              </w:rPr>
              <w:t>0.013</w:t>
            </w:r>
          </w:p>
        </w:tc>
        <w:tc>
          <w:tcPr>
            <w:tcW w:w="1705" w:type="dxa"/>
            <w:noWrap/>
          </w:tcPr>
          <w:p w14:paraId="00246FED" w14:textId="6458B04F" w:rsidR="00C86F17" w:rsidRPr="00F32020" w:rsidRDefault="00C86F17" w:rsidP="00C86F17">
            <w:pPr>
              <w:jc w:val="center"/>
              <w:rPr>
                <w:rFonts w:eastAsiaTheme="minorEastAsia"/>
                <w:iCs/>
              </w:rPr>
            </w:pPr>
            <w:r w:rsidRPr="00F32020">
              <w:rPr>
                <w:rFonts w:eastAsiaTheme="minorEastAsia"/>
                <w:iCs/>
              </w:rPr>
              <w:t>0.006</w:t>
            </w:r>
          </w:p>
        </w:tc>
        <w:tc>
          <w:tcPr>
            <w:tcW w:w="783" w:type="dxa"/>
            <w:noWrap/>
          </w:tcPr>
          <w:p w14:paraId="10E685B5" w14:textId="3970B4EB" w:rsidR="00C86F17" w:rsidRPr="00F32020" w:rsidRDefault="00C86F17" w:rsidP="00C86F17">
            <w:pPr>
              <w:jc w:val="center"/>
              <w:rPr>
                <w:rFonts w:eastAsiaTheme="minorEastAsia"/>
                <w:iCs/>
              </w:rPr>
            </w:pPr>
            <w:r w:rsidRPr="00F32020">
              <w:rPr>
                <w:rFonts w:eastAsiaTheme="minorEastAsia"/>
                <w:iCs/>
              </w:rPr>
              <w:t>2.200</w:t>
            </w:r>
          </w:p>
        </w:tc>
        <w:tc>
          <w:tcPr>
            <w:tcW w:w="783" w:type="dxa"/>
            <w:noWrap/>
          </w:tcPr>
          <w:p w14:paraId="76A4237B" w14:textId="33D97CA1" w:rsidR="00C86F17" w:rsidRPr="00F32020" w:rsidRDefault="00C86F17" w:rsidP="00C86F17">
            <w:pPr>
              <w:jc w:val="center"/>
              <w:rPr>
                <w:rFonts w:eastAsiaTheme="minorEastAsia"/>
                <w:iCs/>
              </w:rPr>
            </w:pPr>
            <w:r w:rsidRPr="00F32020">
              <w:rPr>
                <w:rFonts w:eastAsiaTheme="minorEastAsia"/>
                <w:iCs/>
              </w:rPr>
              <w:t>0.028</w:t>
            </w:r>
          </w:p>
        </w:tc>
        <w:tc>
          <w:tcPr>
            <w:tcW w:w="1398" w:type="dxa"/>
            <w:noWrap/>
          </w:tcPr>
          <w:p w14:paraId="11F20CC5" w14:textId="398EFD7D" w:rsidR="00C86F17" w:rsidRPr="00F32020" w:rsidRDefault="00C86F17" w:rsidP="00C86F17">
            <w:pPr>
              <w:jc w:val="center"/>
              <w:rPr>
                <w:rFonts w:eastAsiaTheme="minorEastAsia"/>
                <w:iCs/>
              </w:rPr>
            </w:pPr>
            <w:r w:rsidRPr="00F32020">
              <w:rPr>
                <w:rFonts w:eastAsiaTheme="minorEastAsia"/>
                <w:iCs/>
              </w:rPr>
              <w:t>0.001</w:t>
            </w:r>
          </w:p>
        </w:tc>
        <w:tc>
          <w:tcPr>
            <w:tcW w:w="1078" w:type="dxa"/>
            <w:noWrap/>
          </w:tcPr>
          <w:p w14:paraId="0DE09A97" w14:textId="3D9F6573" w:rsidR="00C86F17" w:rsidRPr="00F32020" w:rsidRDefault="00C86F17" w:rsidP="00C86F17">
            <w:pPr>
              <w:jc w:val="center"/>
              <w:rPr>
                <w:rFonts w:eastAsiaTheme="minorEastAsia"/>
                <w:iCs/>
              </w:rPr>
            </w:pPr>
            <w:r w:rsidRPr="00F32020">
              <w:rPr>
                <w:rFonts w:eastAsiaTheme="minorEastAsia"/>
                <w:iCs/>
              </w:rPr>
              <w:t>0.025</w:t>
            </w:r>
          </w:p>
        </w:tc>
      </w:tr>
      <w:tr w:rsidR="00477CD4" w:rsidRPr="00F32020" w14:paraId="743E3AB8" w14:textId="77777777" w:rsidTr="005309EB">
        <w:trPr>
          <w:gridAfter w:val="1"/>
          <w:wAfter w:w="15" w:type="dxa"/>
          <w:trHeight w:val="320"/>
        </w:trPr>
        <w:tc>
          <w:tcPr>
            <w:tcW w:w="1372" w:type="dxa"/>
            <w:noWrap/>
          </w:tcPr>
          <w:p w14:paraId="1AB7F329" w14:textId="2703B9BB" w:rsidR="00C86F17" w:rsidRPr="00F32020" w:rsidRDefault="00C86F17" w:rsidP="00C86F17">
            <w:pPr>
              <w:jc w:val="both"/>
              <w:rPr>
                <w:rFonts w:eastAsiaTheme="minorEastAsia"/>
                <w:iCs/>
              </w:rPr>
            </w:pPr>
            <w:r w:rsidRPr="00F32020">
              <w:rPr>
                <w:rFonts w:eastAsiaTheme="minorEastAsia"/>
                <w:iCs/>
              </w:rPr>
              <w:t>0.5</w:t>
            </w:r>
          </w:p>
        </w:tc>
        <w:tc>
          <w:tcPr>
            <w:tcW w:w="783" w:type="dxa"/>
            <w:noWrap/>
          </w:tcPr>
          <w:p w14:paraId="1DF837B9" w14:textId="54F90350" w:rsidR="00C86F17" w:rsidRPr="00F32020" w:rsidRDefault="00C86F17" w:rsidP="00C86F17">
            <w:pPr>
              <w:jc w:val="both"/>
              <w:rPr>
                <w:rFonts w:eastAsiaTheme="minorEastAsia"/>
                <w:iCs/>
              </w:rPr>
            </w:pPr>
            <w:r w:rsidRPr="00F32020">
              <w:rPr>
                <w:rFonts w:eastAsiaTheme="minorEastAsia"/>
                <w:iCs/>
              </w:rPr>
              <w:t>0.013</w:t>
            </w:r>
          </w:p>
        </w:tc>
        <w:tc>
          <w:tcPr>
            <w:tcW w:w="1705" w:type="dxa"/>
            <w:noWrap/>
          </w:tcPr>
          <w:p w14:paraId="567E8727" w14:textId="7000FFBB" w:rsidR="00C86F17" w:rsidRPr="00F32020" w:rsidRDefault="00C86F17" w:rsidP="00C86F17">
            <w:pPr>
              <w:jc w:val="center"/>
              <w:rPr>
                <w:rFonts w:eastAsiaTheme="minorEastAsia"/>
                <w:iCs/>
              </w:rPr>
            </w:pPr>
            <w:r w:rsidRPr="00F32020">
              <w:rPr>
                <w:rFonts w:eastAsiaTheme="minorEastAsia"/>
                <w:iCs/>
              </w:rPr>
              <w:t>0.005</w:t>
            </w:r>
          </w:p>
        </w:tc>
        <w:tc>
          <w:tcPr>
            <w:tcW w:w="783" w:type="dxa"/>
            <w:noWrap/>
          </w:tcPr>
          <w:p w14:paraId="4F13BFEE" w14:textId="715FA9CF" w:rsidR="00C86F17" w:rsidRPr="00F32020" w:rsidRDefault="00C86F17" w:rsidP="00C86F17">
            <w:pPr>
              <w:jc w:val="center"/>
              <w:rPr>
                <w:rFonts w:eastAsiaTheme="minorEastAsia"/>
                <w:iCs/>
              </w:rPr>
            </w:pPr>
            <w:r w:rsidRPr="00F32020">
              <w:rPr>
                <w:rFonts w:eastAsiaTheme="minorEastAsia"/>
                <w:iCs/>
              </w:rPr>
              <w:t>2.440</w:t>
            </w:r>
          </w:p>
        </w:tc>
        <w:tc>
          <w:tcPr>
            <w:tcW w:w="783" w:type="dxa"/>
            <w:noWrap/>
          </w:tcPr>
          <w:p w14:paraId="43B6E25B" w14:textId="7E025438" w:rsidR="00C86F17" w:rsidRPr="00F32020" w:rsidRDefault="00C86F17" w:rsidP="00C86F17">
            <w:pPr>
              <w:jc w:val="center"/>
              <w:rPr>
                <w:rFonts w:eastAsiaTheme="minorEastAsia"/>
                <w:iCs/>
              </w:rPr>
            </w:pPr>
            <w:r w:rsidRPr="00F32020">
              <w:rPr>
                <w:rFonts w:eastAsiaTheme="minorEastAsia"/>
                <w:iCs/>
              </w:rPr>
              <w:t>0.015</w:t>
            </w:r>
          </w:p>
        </w:tc>
        <w:tc>
          <w:tcPr>
            <w:tcW w:w="1398" w:type="dxa"/>
            <w:noWrap/>
          </w:tcPr>
          <w:p w14:paraId="5A168F2E" w14:textId="3A65E972" w:rsidR="00C86F17" w:rsidRPr="00F32020" w:rsidRDefault="00C86F17" w:rsidP="00C86F17">
            <w:pPr>
              <w:jc w:val="center"/>
              <w:rPr>
                <w:rFonts w:eastAsiaTheme="minorEastAsia"/>
                <w:iCs/>
              </w:rPr>
            </w:pPr>
            <w:r w:rsidRPr="00F32020">
              <w:rPr>
                <w:rFonts w:eastAsiaTheme="minorEastAsia"/>
                <w:iCs/>
              </w:rPr>
              <w:t>0.003</w:t>
            </w:r>
          </w:p>
        </w:tc>
        <w:tc>
          <w:tcPr>
            <w:tcW w:w="1078" w:type="dxa"/>
            <w:noWrap/>
          </w:tcPr>
          <w:p w14:paraId="2E7FB48C" w14:textId="72B9930D" w:rsidR="00C86F17" w:rsidRPr="00F32020" w:rsidRDefault="00C86F17" w:rsidP="00C86F17">
            <w:pPr>
              <w:jc w:val="center"/>
              <w:rPr>
                <w:rFonts w:eastAsiaTheme="minorEastAsia"/>
                <w:iCs/>
              </w:rPr>
            </w:pPr>
            <w:r w:rsidRPr="00F32020">
              <w:rPr>
                <w:rFonts w:eastAsiaTheme="minorEastAsia"/>
                <w:iCs/>
              </w:rPr>
              <w:t>0.023</w:t>
            </w:r>
          </w:p>
        </w:tc>
      </w:tr>
      <w:tr w:rsidR="00477CD4" w:rsidRPr="00F32020" w14:paraId="791F71B1" w14:textId="77777777" w:rsidTr="005309EB">
        <w:trPr>
          <w:gridAfter w:val="1"/>
          <w:wAfter w:w="15" w:type="dxa"/>
          <w:trHeight w:val="320"/>
        </w:trPr>
        <w:tc>
          <w:tcPr>
            <w:tcW w:w="1372" w:type="dxa"/>
            <w:noWrap/>
          </w:tcPr>
          <w:p w14:paraId="125F9936" w14:textId="544B555A" w:rsidR="00C86F17" w:rsidRPr="00F32020" w:rsidRDefault="00C86F17" w:rsidP="00C86F17">
            <w:pPr>
              <w:jc w:val="both"/>
              <w:rPr>
                <w:rFonts w:eastAsiaTheme="minorEastAsia"/>
                <w:iCs/>
              </w:rPr>
            </w:pPr>
            <w:r w:rsidRPr="00F32020">
              <w:rPr>
                <w:rFonts w:eastAsiaTheme="minorEastAsia"/>
                <w:iCs/>
              </w:rPr>
              <w:t>0.8</w:t>
            </w:r>
          </w:p>
        </w:tc>
        <w:tc>
          <w:tcPr>
            <w:tcW w:w="783" w:type="dxa"/>
            <w:noWrap/>
          </w:tcPr>
          <w:p w14:paraId="78856389" w14:textId="691652CE" w:rsidR="00C86F17" w:rsidRPr="00F32020" w:rsidRDefault="00C86F17" w:rsidP="00C86F17">
            <w:pPr>
              <w:jc w:val="both"/>
              <w:rPr>
                <w:rFonts w:eastAsiaTheme="minorEastAsia"/>
                <w:iCs/>
              </w:rPr>
            </w:pPr>
            <w:r w:rsidRPr="00F32020">
              <w:rPr>
                <w:rFonts w:eastAsiaTheme="minorEastAsia"/>
                <w:iCs/>
              </w:rPr>
              <w:t>0.013</w:t>
            </w:r>
          </w:p>
        </w:tc>
        <w:tc>
          <w:tcPr>
            <w:tcW w:w="1705" w:type="dxa"/>
            <w:noWrap/>
          </w:tcPr>
          <w:p w14:paraId="30488471" w14:textId="1873A55F" w:rsidR="00C86F17" w:rsidRPr="00F32020" w:rsidRDefault="00C86F17" w:rsidP="00C86F17">
            <w:pPr>
              <w:jc w:val="center"/>
              <w:rPr>
                <w:rFonts w:eastAsiaTheme="minorEastAsia"/>
                <w:iCs/>
              </w:rPr>
            </w:pPr>
            <w:r w:rsidRPr="00F32020">
              <w:rPr>
                <w:rFonts w:eastAsiaTheme="minorEastAsia"/>
                <w:iCs/>
              </w:rPr>
              <w:t>0.006</w:t>
            </w:r>
          </w:p>
        </w:tc>
        <w:tc>
          <w:tcPr>
            <w:tcW w:w="783" w:type="dxa"/>
            <w:noWrap/>
          </w:tcPr>
          <w:p w14:paraId="690DBEB0" w14:textId="279BDCA5" w:rsidR="00C86F17" w:rsidRPr="00F32020" w:rsidRDefault="00C86F17" w:rsidP="00C86F17">
            <w:pPr>
              <w:jc w:val="center"/>
              <w:rPr>
                <w:rFonts w:eastAsiaTheme="minorEastAsia"/>
                <w:iCs/>
              </w:rPr>
            </w:pPr>
            <w:r w:rsidRPr="00F32020">
              <w:rPr>
                <w:rFonts w:eastAsiaTheme="minorEastAsia"/>
                <w:iCs/>
              </w:rPr>
              <w:t>2.190</w:t>
            </w:r>
          </w:p>
        </w:tc>
        <w:tc>
          <w:tcPr>
            <w:tcW w:w="783" w:type="dxa"/>
            <w:noWrap/>
          </w:tcPr>
          <w:p w14:paraId="4F594565" w14:textId="216C6316" w:rsidR="00C86F17" w:rsidRPr="00F32020" w:rsidRDefault="00C86F17" w:rsidP="00C86F17">
            <w:pPr>
              <w:jc w:val="center"/>
              <w:rPr>
                <w:rFonts w:eastAsiaTheme="minorEastAsia"/>
                <w:iCs/>
              </w:rPr>
            </w:pPr>
            <w:r w:rsidRPr="00F32020">
              <w:rPr>
                <w:rFonts w:eastAsiaTheme="minorEastAsia"/>
                <w:iCs/>
              </w:rPr>
              <w:t>0.028</w:t>
            </w:r>
          </w:p>
        </w:tc>
        <w:tc>
          <w:tcPr>
            <w:tcW w:w="1398" w:type="dxa"/>
            <w:noWrap/>
          </w:tcPr>
          <w:p w14:paraId="2EC81D44" w14:textId="5621FEDC" w:rsidR="00C86F17" w:rsidRPr="00F32020" w:rsidRDefault="00C86F17" w:rsidP="00C86F17">
            <w:pPr>
              <w:jc w:val="center"/>
              <w:rPr>
                <w:rFonts w:eastAsiaTheme="minorEastAsia"/>
                <w:iCs/>
              </w:rPr>
            </w:pPr>
            <w:r w:rsidRPr="00F32020">
              <w:rPr>
                <w:rFonts w:eastAsiaTheme="minorEastAsia"/>
                <w:iCs/>
              </w:rPr>
              <w:t>0.001</w:t>
            </w:r>
          </w:p>
        </w:tc>
        <w:tc>
          <w:tcPr>
            <w:tcW w:w="1078" w:type="dxa"/>
            <w:noWrap/>
          </w:tcPr>
          <w:p w14:paraId="4E1790EB" w14:textId="713B1CC7" w:rsidR="00C86F17" w:rsidRPr="00F32020" w:rsidRDefault="00C86F17" w:rsidP="00C86F17">
            <w:pPr>
              <w:jc w:val="center"/>
              <w:rPr>
                <w:rFonts w:eastAsiaTheme="minorEastAsia"/>
                <w:iCs/>
              </w:rPr>
            </w:pPr>
            <w:r w:rsidRPr="00F32020">
              <w:rPr>
                <w:rFonts w:eastAsiaTheme="minorEastAsia"/>
                <w:iCs/>
              </w:rPr>
              <w:t>0.024</w:t>
            </w:r>
          </w:p>
        </w:tc>
      </w:tr>
      <w:tr w:rsidR="00477CD4" w:rsidRPr="00F32020" w14:paraId="5DD321F4" w14:textId="77777777" w:rsidTr="005309EB">
        <w:trPr>
          <w:gridAfter w:val="1"/>
          <w:wAfter w:w="15" w:type="dxa"/>
          <w:trHeight w:val="320"/>
        </w:trPr>
        <w:tc>
          <w:tcPr>
            <w:tcW w:w="1372" w:type="dxa"/>
            <w:noWrap/>
          </w:tcPr>
          <w:p w14:paraId="465989D6" w14:textId="03CBFCDA" w:rsidR="00C86F17" w:rsidRPr="00F32020" w:rsidRDefault="00C86F17" w:rsidP="00C86F17">
            <w:pPr>
              <w:jc w:val="both"/>
              <w:rPr>
                <w:rFonts w:eastAsiaTheme="minorEastAsia"/>
                <w:iCs/>
              </w:rPr>
            </w:pPr>
            <w:r w:rsidRPr="00F32020">
              <w:rPr>
                <w:rFonts w:eastAsiaTheme="minorEastAsia"/>
                <w:iCs/>
              </w:rPr>
              <w:t>1.0</w:t>
            </w:r>
          </w:p>
        </w:tc>
        <w:tc>
          <w:tcPr>
            <w:tcW w:w="783" w:type="dxa"/>
            <w:noWrap/>
          </w:tcPr>
          <w:p w14:paraId="7409BE5D" w14:textId="43AFE2BB" w:rsidR="00C86F17" w:rsidRPr="00F32020" w:rsidRDefault="00C86F17" w:rsidP="00C86F17">
            <w:pPr>
              <w:jc w:val="both"/>
              <w:rPr>
                <w:rFonts w:eastAsiaTheme="minorEastAsia"/>
                <w:iCs/>
              </w:rPr>
            </w:pPr>
            <w:r w:rsidRPr="00F32020">
              <w:rPr>
                <w:rFonts w:eastAsiaTheme="minorEastAsia"/>
                <w:iCs/>
              </w:rPr>
              <w:t>0.013</w:t>
            </w:r>
          </w:p>
        </w:tc>
        <w:tc>
          <w:tcPr>
            <w:tcW w:w="1705" w:type="dxa"/>
            <w:noWrap/>
          </w:tcPr>
          <w:p w14:paraId="34D8FE01" w14:textId="4D99E7DD" w:rsidR="00C86F17" w:rsidRPr="00F32020" w:rsidRDefault="00C86F17" w:rsidP="00C86F17">
            <w:pPr>
              <w:jc w:val="center"/>
              <w:rPr>
                <w:rFonts w:eastAsiaTheme="minorEastAsia"/>
                <w:iCs/>
              </w:rPr>
            </w:pPr>
            <w:r w:rsidRPr="00F32020">
              <w:rPr>
                <w:rFonts w:eastAsiaTheme="minorEastAsia"/>
                <w:iCs/>
              </w:rPr>
              <w:t>0.007</w:t>
            </w:r>
          </w:p>
        </w:tc>
        <w:tc>
          <w:tcPr>
            <w:tcW w:w="783" w:type="dxa"/>
            <w:noWrap/>
          </w:tcPr>
          <w:p w14:paraId="03954EE6" w14:textId="2460F183" w:rsidR="00C86F17" w:rsidRPr="00F32020" w:rsidRDefault="00C86F17" w:rsidP="00C86F17">
            <w:pPr>
              <w:jc w:val="center"/>
              <w:rPr>
                <w:rFonts w:eastAsiaTheme="minorEastAsia"/>
                <w:iCs/>
              </w:rPr>
            </w:pPr>
            <w:r w:rsidRPr="00F32020">
              <w:rPr>
                <w:rFonts w:eastAsiaTheme="minorEastAsia"/>
                <w:iCs/>
              </w:rPr>
              <w:t>1.740</w:t>
            </w:r>
          </w:p>
        </w:tc>
        <w:tc>
          <w:tcPr>
            <w:tcW w:w="783" w:type="dxa"/>
            <w:noWrap/>
          </w:tcPr>
          <w:p w14:paraId="12007B90" w14:textId="361DFB78" w:rsidR="00C86F17" w:rsidRPr="00F32020" w:rsidRDefault="00C86F17" w:rsidP="00C86F17">
            <w:pPr>
              <w:jc w:val="center"/>
              <w:rPr>
                <w:rFonts w:eastAsiaTheme="minorEastAsia"/>
                <w:iCs/>
              </w:rPr>
            </w:pPr>
            <w:r w:rsidRPr="00F32020">
              <w:rPr>
                <w:rFonts w:eastAsiaTheme="minorEastAsia"/>
                <w:iCs/>
              </w:rPr>
              <w:t>0.082</w:t>
            </w:r>
          </w:p>
        </w:tc>
        <w:tc>
          <w:tcPr>
            <w:tcW w:w="1398" w:type="dxa"/>
            <w:noWrap/>
          </w:tcPr>
          <w:p w14:paraId="37910B05" w14:textId="3744EC02" w:rsidR="00C86F17" w:rsidRPr="00F32020" w:rsidRDefault="00C86F17" w:rsidP="00C86F17">
            <w:pPr>
              <w:jc w:val="center"/>
              <w:rPr>
                <w:rFonts w:eastAsiaTheme="minorEastAsia"/>
                <w:iCs/>
              </w:rPr>
            </w:pPr>
            <w:r w:rsidRPr="00F32020">
              <w:rPr>
                <w:rFonts w:eastAsiaTheme="minorEastAsia"/>
                <w:iCs/>
              </w:rPr>
              <w:t>-0.002</w:t>
            </w:r>
          </w:p>
        </w:tc>
        <w:tc>
          <w:tcPr>
            <w:tcW w:w="1078" w:type="dxa"/>
            <w:noWrap/>
          </w:tcPr>
          <w:p w14:paraId="52609223" w14:textId="6A1ED227" w:rsidR="00C86F17" w:rsidRPr="00F32020" w:rsidRDefault="00C86F17" w:rsidP="00C86F17">
            <w:pPr>
              <w:jc w:val="center"/>
              <w:rPr>
                <w:rFonts w:eastAsiaTheme="minorEastAsia"/>
                <w:iCs/>
              </w:rPr>
            </w:pPr>
            <w:r w:rsidRPr="00F32020">
              <w:rPr>
                <w:rFonts w:eastAsiaTheme="minorEastAsia"/>
                <w:iCs/>
              </w:rPr>
              <w:t>0.027</w:t>
            </w:r>
          </w:p>
        </w:tc>
      </w:tr>
      <w:tr w:rsidR="00477CD4" w:rsidRPr="00F32020" w14:paraId="489C7E62" w14:textId="77777777" w:rsidTr="005309EB">
        <w:trPr>
          <w:gridAfter w:val="1"/>
          <w:wAfter w:w="15" w:type="dxa"/>
          <w:trHeight w:val="320"/>
        </w:trPr>
        <w:tc>
          <w:tcPr>
            <w:tcW w:w="1372" w:type="dxa"/>
            <w:noWrap/>
          </w:tcPr>
          <w:p w14:paraId="53C24D6B" w14:textId="3B7122AC" w:rsidR="00C86F17" w:rsidRPr="00F32020" w:rsidRDefault="00C86F17" w:rsidP="00C86F17">
            <w:pPr>
              <w:jc w:val="both"/>
              <w:rPr>
                <w:rFonts w:eastAsiaTheme="minorEastAsia"/>
                <w:iCs/>
              </w:rPr>
            </w:pPr>
            <w:r w:rsidRPr="00F32020">
              <w:rPr>
                <w:rFonts w:eastAsiaTheme="minorEastAsia"/>
                <w:iCs/>
              </w:rPr>
              <w:t>1.3</w:t>
            </w:r>
          </w:p>
        </w:tc>
        <w:tc>
          <w:tcPr>
            <w:tcW w:w="783" w:type="dxa"/>
            <w:noWrap/>
          </w:tcPr>
          <w:p w14:paraId="6020EBE5" w14:textId="7E4BE7AA" w:rsidR="00C86F17" w:rsidRPr="00F32020" w:rsidRDefault="00C86F17" w:rsidP="00C86F17">
            <w:pPr>
              <w:jc w:val="both"/>
              <w:rPr>
                <w:rFonts w:eastAsiaTheme="minorEastAsia"/>
                <w:iCs/>
              </w:rPr>
            </w:pPr>
            <w:r w:rsidRPr="00F32020">
              <w:rPr>
                <w:rFonts w:eastAsiaTheme="minorEastAsia"/>
                <w:iCs/>
              </w:rPr>
              <w:t>0.012</w:t>
            </w:r>
          </w:p>
        </w:tc>
        <w:tc>
          <w:tcPr>
            <w:tcW w:w="1705" w:type="dxa"/>
            <w:noWrap/>
          </w:tcPr>
          <w:p w14:paraId="6A068ADA" w14:textId="41035407" w:rsidR="00C86F17" w:rsidRPr="00F32020" w:rsidRDefault="00C86F17" w:rsidP="00C86F17">
            <w:pPr>
              <w:jc w:val="center"/>
              <w:rPr>
                <w:rFonts w:eastAsiaTheme="minorEastAsia"/>
                <w:iCs/>
              </w:rPr>
            </w:pPr>
            <w:r w:rsidRPr="00F32020">
              <w:rPr>
                <w:rFonts w:eastAsiaTheme="minorEastAsia"/>
                <w:iCs/>
              </w:rPr>
              <w:t>0.009</w:t>
            </w:r>
          </w:p>
        </w:tc>
        <w:tc>
          <w:tcPr>
            <w:tcW w:w="783" w:type="dxa"/>
            <w:noWrap/>
          </w:tcPr>
          <w:p w14:paraId="1809C529" w14:textId="37BB6058" w:rsidR="00C86F17" w:rsidRPr="00F32020" w:rsidRDefault="00C86F17" w:rsidP="00C86F17">
            <w:pPr>
              <w:jc w:val="center"/>
              <w:rPr>
                <w:rFonts w:eastAsiaTheme="minorEastAsia"/>
                <w:iCs/>
              </w:rPr>
            </w:pPr>
            <w:r w:rsidRPr="00F32020">
              <w:rPr>
                <w:rFonts w:eastAsiaTheme="minorEastAsia"/>
                <w:iCs/>
              </w:rPr>
              <w:t>1.360</w:t>
            </w:r>
          </w:p>
        </w:tc>
        <w:tc>
          <w:tcPr>
            <w:tcW w:w="783" w:type="dxa"/>
            <w:noWrap/>
          </w:tcPr>
          <w:p w14:paraId="49DD61F4" w14:textId="2A6BD49B" w:rsidR="00C86F17" w:rsidRPr="00F32020" w:rsidRDefault="00C86F17" w:rsidP="00C86F17">
            <w:pPr>
              <w:jc w:val="center"/>
              <w:rPr>
                <w:rFonts w:eastAsiaTheme="minorEastAsia"/>
                <w:iCs/>
              </w:rPr>
            </w:pPr>
            <w:r w:rsidRPr="00F32020">
              <w:rPr>
                <w:rFonts w:eastAsiaTheme="minorEastAsia"/>
                <w:iCs/>
              </w:rPr>
              <w:t>0.175</w:t>
            </w:r>
          </w:p>
        </w:tc>
        <w:tc>
          <w:tcPr>
            <w:tcW w:w="1398" w:type="dxa"/>
            <w:noWrap/>
          </w:tcPr>
          <w:p w14:paraId="4D039FFD" w14:textId="05C80079" w:rsidR="00C86F17" w:rsidRPr="00F32020" w:rsidRDefault="00C86F17" w:rsidP="00C86F17">
            <w:pPr>
              <w:jc w:val="center"/>
              <w:rPr>
                <w:rFonts w:eastAsiaTheme="minorEastAsia"/>
                <w:iCs/>
              </w:rPr>
            </w:pPr>
            <w:r w:rsidRPr="00F32020">
              <w:rPr>
                <w:rFonts w:eastAsiaTheme="minorEastAsia"/>
                <w:iCs/>
              </w:rPr>
              <w:t>-0.006</w:t>
            </w:r>
          </w:p>
        </w:tc>
        <w:tc>
          <w:tcPr>
            <w:tcW w:w="1078" w:type="dxa"/>
            <w:noWrap/>
          </w:tcPr>
          <w:p w14:paraId="1F1D784A" w14:textId="64C6E457" w:rsidR="00C86F17" w:rsidRPr="00F32020" w:rsidRDefault="00C86F17" w:rsidP="00C86F17">
            <w:pPr>
              <w:jc w:val="center"/>
              <w:rPr>
                <w:rFonts w:eastAsiaTheme="minorEastAsia"/>
                <w:iCs/>
              </w:rPr>
            </w:pPr>
            <w:r w:rsidRPr="00F32020">
              <w:rPr>
                <w:rFonts w:eastAsiaTheme="minorEastAsia"/>
                <w:iCs/>
              </w:rPr>
              <w:t>0.030</w:t>
            </w:r>
          </w:p>
        </w:tc>
      </w:tr>
      <w:tr w:rsidR="00C86F17" w:rsidRPr="00F32020" w14:paraId="11DEE367" w14:textId="77777777" w:rsidTr="008A571F">
        <w:trPr>
          <w:trHeight w:val="983"/>
        </w:trPr>
        <w:tc>
          <w:tcPr>
            <w:tcW w:w="7917" w:type="dxa"/>
            <w:gridSpan w:val="8"/>
            <w:tcBorders>
              <w:top w:val="single" w:sz="4" w:space="0" w:color="auto"/>
            </w:tcBorders>
            <w:noWrap/>
          </w:tcPr>
          <w:p w14:paraId="1B972E7B" w14:textId="5D9D1E60" w:rsidR="00C86F17" w:rsidRPr="00F32020" w:rsidRDefault="00C86F17" w:rsidP="00C86F17">
            <w:pPr>
              <w:jc w:val="both"/>
              <w:rPr>
                <w:rFonts w:eastAsiaTheme="minorEastAsia"/>
                <w:iCs/>
                <w:sz w:val="20"/>
                <w:szCs w:val="20"/>
              </w:rPr>
            </w:pPr>
            <w:bookmarkStart w:id="33" w:name="_Hlk212144798"/>
            <w:r w:rsidRPr="00F32020">
              <w:rPr>
                <w:rFonts w:eastAsiaTheme="minorEastAsia"/>
                <w:iCs/>
                <w:sz w:val="20"/>
                <w:szCs w:val="20"/>
              </w:rPr>
              <w:lastRenderedPageBreak/>
              <w:t>Reported values are average marginal effects of Hofstede’s cultural index on the probability that a venture is selected, obtained from a mixed-effects logit model with programme-level random intercepts. Marginal effects are computed at specified values of: (i) the percentage of female participants (5</w:t>
            </w:r>
            <w:r w:rsidRPr="00F32020">
              <w:rPr>
                <w:rFonts w:eastAsiaTheme="minorEastAsia"/>
                <w:iCs/>
                <w:sz w:val="20"/>
                <w:szCs w:val="20"/>
                <w:vertAlign w:val="superscript"/>
              </w:rPr>
              <w:t>th</w:t>
            </w:r>
            <w:r w:rsidRPr="00F32020">
              <w:rPr>
                <w:rFonts w:eastAsiaTheme="minorEastAsia"/>
                <w:iCs/>
                <w:sz w:val="20"/>
                <w:szCs w:val="20"/>
              </w:rPr>
              <w:t xml:space="preserve"> to 95</w:t>
            </w:r>
            <w:r w:rsidRPr="00F32020">
              <w:rPr>
                <w:rFonts w:eastAsiaTheme="minorEastAsia"/>
                <w:iCs/>
                <w:sz w:val="20"/>
                <w:szCs w:val="20"/>
                <w:vertAlign w:val="superscript"/>
              </w:rPr>
              <w:t>th</w:t>
            </w:r>
            <w:r w:rsidRPr="00F32020">
              <w:rPr>
                <w:rFonts w:eastAsiaTheme="minorEastAsia"/>
                <w:iCs/>
                <w:sz w:val="20"/>
                <w:szCs w:val="20"/>
              </w:rPr>
              <w:t xml:space="preserve"> percentiles) in Panel A, (ii) the average age of founders (5</w:t>
            </w:r>
            <w:r w:rsidRPr="00F32020">
              <w:rPr>
                <w:rFonts w:eastAsiaTheme="minorEastAsia"/>
                <w:iCs/>
                <w:sz w:val="20"/>
                <w:szCs w:val="20"/>
                <w:vertAlign w:val="superscript"/>
              </w:rPr>
              <w:t>th</w:t>
            </w:r>
            <w:r w:rsidRPr="00F32020">
              <w:rPr>
                <w:rFonts w:eastAsiaTheme="minorEastAsia"/>
                <w:iCs/>
                <w:sz w:val="20"/>
                <w:szCs w:val="20"/>
              </w:rPr>
              <w:t xml:space="preserve"> to 95</w:t>
            </w:r>
            <w:r w:rsidRPr="00F32020">
              <w:rPr>
                <w:rFonts w:eastAsiaTheme="minorEastAsia"/>
                <w:iCs/>
                <w:sz w:val="20"/>
                <w:szCs w:val="20"/>
                <w:vertAlign w:val="superscript"/>
              </w:rPr>
              <w:t>th</w:t>
            </w:r>
            <w:r w:rsidRPr="00F32020">
              <w:rPr>
                <w:rFonts w:eastAsiaTheme="minorEastAsia"/>
                <w:iCs/>
                <w:sz w:val="20"/>
                <w:szCs w:val="20"/>
              </w:rPr>
              <w:t xml:space="preserve"> percentiles) in Panel B,  (iii) the average education of founders (5</w:t>
            </w:r>
            <w:r w:rsidRPr="00F32020">
              <w:rPr>
                <w:rFonts w:eastAsiaTheme="minorEastAsia"/>
                <w:iCs/>
                <w:sz w:val="20"/>
                <w:szCs w:val="20"/>
                <w:vertAlign w:val="superscript"/>
              </w:rPr>
              <w:t>th</w:t>
            </w:r>
            <w:r w:rsidRPr="00F32020">
              <w:rPr>
                <w:rFonts w:eastAsiaTheme="minorEastAsia"/>
                <w:iCs/>
                <w:sz w:val="20"/>
                <w:szCs w:val="20"/>
              </w:rPr>
              <w:t xml:space="preserve"> to 95</w:t>
            </w:r>
            <w:r w:rsidRPr="00F32020">
              <w:rPr>
                <w:rFonts w:eastAsiaTheme="minorEastAsia"/>
                <w:iCs/>
                <w:sz w:val="20"/>
                <w:szCs w:val="20"/>
                <w:vertAlign w:val="superscript"/>
              </w:rPr>
              <w:t>th</w:t>
            </w:r>
            <w:r w:rsidRPr="00F32020">
              <w:rPr>
                <w:rFonts w:eastAsiaTheme="minorEastAsia"/>
                <w:iCs/>
                <w:sz w:val="20"/>
                <w:szCs w:val="20"/>
              </w:rPr>
              <w:t xml:space="preserve"> percentiles) in Panel C, and (iv) the average n</w:t>
            </w:r>
            <w:r w:rsidR="00400F4C" w:rsidRPr="00F32020">
              <w:rPr>
                <w:rFonts w:eastAsiaTheme="minorEastAsia"/>
                <w:iCs/>
                <w:sz w:val="20"/>
                <w:szCs w:val="20"/>
              </w:rPr>
              <w:t xml:space="preserve">umber </w:t>
            </w:r>
            <w:r w:rsidRPr="00F32020">
              <w:rPr>
                <w:rFonts w:eastAsiaTheme="minorEastAsia"/>
                <w:iCs/>
                <w:sz w:val="20"/>
                <w:szCs w:val="20"/>
              </w:rPr>
              <w:t xml:space="preserve">of </w:t>
            </w:r>
            <w:r w:rsidR="00400F4C" w:rsidRPr="00F32020">
              <w:rPr>
                <w:rFonts w:eastAsiaTheme="minorEastAsia"/>
                <w:iCs/>
                <w:sz w:val="20"/>
                <w:szCs w:val="20"/>
              </w:rPr>
              <w:t xml:space="preserve">the </w:t>
            </w:r>
            <w:r w:rsidRPr="00F32020">
              <w:rPr>
                <w:rFonts w:eastAsiaTheme="minorEastAsia"/>
                <w:iCs/>
                <w:sz w:val="20"/>
                <w:szCs w:val="20"/>
              </w:rPr>
              <w:t>founders’ prior venture establishment (5</w:t>
            </w:r>
            <w:r w:rsidRPr="00F32020">
              <w:rPr>
                <w:rFonts w:eastAsiaTheme="minorEastAsia"/>
                <w:iCs/>
                <w:sz w:val="20"/>
                <w:szCs w:val="20"/>
                <w:vertAlign w:val="superscript"/>
              </w:rPr>
              <w:t>th</w:t>
            </w:r>
            <w:r w:rsidRPr="00F32020">
              <w:rPr>
                <w:rFonts w:eastAsiaTheme="minorEastAsia"/>
                <w:iCs/>
                <w:sz w:val="20"/>
                <w:szCs w:val="20"/>
              </w:rPr>
              <w:t xml:space="preserve"> to 95</w:t>
            </w:r>
            <w:r w:rsidRPr="00F32020">
              <w:rPr>
                <w:rFonts w:eastAsiaTheme="minorEastAsia"/>
                <w:iCs/>
                <w:sz w:val="20"/>
                <w:szCs w:val="20"/>
                <w:vertAlign w:val="superscript"/>
              </w:rPr>
              <w:t>th</w:t>
            </w:r>
            <w:r w:rsidRPr="00F32020">
              <w:rPr>
                <w:rFonts w:eastAsiaTheme="minorEastAsia"/>
                <w:iCs/>
                <w:sz w:val="20"/>
                <w:szCs w:val="20"/>
              </w:rPr>
              <w:t xml:space="preserve"> percentiles) in Panel D. In all the cases, other covariates held at their observed values.</w:t>
            </w:r>
            <w:bookmarkEnd w:id="33"/>
          </w:p>
        </w:tc>
      </w:tr>
    </w:tbl>
    <w:p w14:paraId="5B7A4703" w14:textId="77777777" w:rsidR="006F053F" w:rsidRPr="00F32020" w:rsidRDefault="006F053F" w:rsidP="00E74E8D">
      <w:pPr>
        <w:jc w:val="both"/>
        <w:rPr>
          <w:rFonts w:eastAsiaTheme="minorEastAsia"/>
          <w:iCs/>
        </w:rPr>
      </w:pPr>
    </w:p>
    <w:p w14:paraId="6B57DB00" w14:textId="77777777" w:rsidR="00152AEF" w:rsidRPr="00F32020" w:rsidRDefault="00152AEF" w:rsidP="00152AEF">
      <w:pPr>
        <w:spacing w:line="360" w:lineRule="auto"/>
        <w:ind w:firstLine="720"/>
        <w:jc w:val="both"/>
        <w:rPr>
          <w:b/>
          <w:bCs/>
          <w:shd w:val="clear" w:color="auto" w:fill="FFFFFF"/>
        </w:rPr>
      </w:pPr>
    </w:p>
    <w:p w14:paraId="21547D16" w14:textId="77777777" w:rsidR="00152AEF" w:rsidRPr="00F32020" w:rsidRDefault="00152AEF" w:rsidP="00152AEF">
      <w:pPr>
        <w:spacing w:line="360" w:lineRule="auto"/>
        <w:ind w:firstLine="720"/>
        <w:jc w:val="both"/>
        <w:rPr>
          <w:b/>
          <w:bCs/>
          <w:shd w:val="clear" w:color="auto" w:fill="FFFFFF"/>
        </w:rPr>
      </w:pPr>
    </w:p>
    <w:p w14:paraId="414F714F" w14:textId="77777777" w:rsidR="00152AEF" w:rsidRPr="00F32020" w:rsidRDefault="00152AEF" w:rsidP="00152AEF">
      <w:pPr>
        <w:adjustRightInd w:val="0"/>
        <w:jc w:val="both"/>
        <w:rPr>
          <w:shd w:val="clear" w:color="auto" w:fill="FFFFFF"/>
        </w:rPr>
      </w:pPr>
      <w:r w:rsidRPr="00F32020">
        <w:rPr>
          <w:b/>
          <w:bCs/>
          <w:shd w:val="clear" w:color="auto" w:fill="FFFFFF"/>
        </w:rPr>
        <w:t>References of Online Appendix</w:t>
      </w:r>
      <w:r w:rsidRPr="00F32020">
        <w:rPr>
          <w:shd w:val="clear" w:color="auto" w:fill="FFFFFF"/>
        </w:rPr>
        <w:t xml:space="preserve"> (the list includes only references that do not appear in the text of the main manuscript)</w:t>
      </w:r>
    </w:p>
    <w:p w14:paraId="1FBAC602" w14:textId="77777777" w:rsidR="00152AEF" w:rsidRPr="00F32020" w:rsidRDefault="00152AEF" w:rsidP="00152AEF">
      <w:pPr>
        <w:adjustRightInd w:val="0"/>
        <w:ind w:left="567" w:hanging="567"/>
        <w:jc w:val="both"/>
        <w:rPr>
          <w:shd w:val="clear" w:color="auto" w:fill="FFFFFF"/>
        </w:rPr>
      </w:pPr>
    </w:p>
    <w:p w14:paraId="5B4AFA31" w14:textId="1E2CA89B" w:rsidR="00152AEF" w:rsidRPr="00F32020" w:rsidRDefault="00152AEF" w:rsidP="00152AEF">
      <w:pPr>
        <w:adjustRightInd w:val="0"/>
        <w:ind w:left="567" w:hanging="567"/>
        <w:jc w:val="both"/>
        <w:rPr>
          <w:shd w:val="clear" w:color="auto" w:fill="FFFFFF"/>
        </w:rPr>
      </w:pPr>
      <w:r w:rsidRPr="00F32020">
        <w:rPr>
          <w:shd w:val="clear" w:color="auto" w:fill="FFFFFF"/>
        </w:rPr>
        <w:t>Abadie</w:t>
      </w:r>
      <w:r w:rsidR="0071073C">
        <w:rPr>
          <w:shd w:val="clear" w:color="auto" w:fill="FFFFFF"/>
        </w:rPr>
        <w:t>,</w:t>
      </w:r>
      <w:r w:rsidRPr="00F32020">
        <w:rPr>
          <w:shd w:val="clear" w:color="auto" w:fill="FFFFFF"/>
        </w:rPr>
        <w:t xml:space="preserve"> A</w:t>
      </w:r>
      <w:r w:rsidR="0071073C">
        <w:rPr>
          <w:shd w:val="clear" w:color="auto" w:fill="FFFFFF"/>
        </w:rPr>
        <w:t>.</w:t>
      </w:r>
      <w:r w:rsidRPr="00F32020">
        <w:rPr>
          <w:shd w:val="clear" w:color="auto" w:fill="FFFFFF"/>
        </w:rPr>
        <w:t>, Athey</w:t>
      </w:r>
      <w:r w:rsidR="0071073C">
        <w:rPr>
          <w:shd w:val="clear" w:color="auto" w:fill="FFFFFF"/>
        </w:rPr>
        <w:t>,</w:t>
      </w:r>
      <w:r w:rsidRPr="00F32020">
        <w:rPr>
          <w:shd w:val="clear" w:color="auto" w:fill="FFFFFF"/>
        </w:rPr>
        <w:t xml:space="preserve"> S</w:t>
      </w:r>
      <w:r w:rsidR="0071073C">
        <w:rPr>
          <w:shd w:val="clear" w:color="auto" w:fill="FFFFFF"/>
        </w:rPr>
        <w:t>.</w:t>
      </w:r>
      <w:r w:rsidRPr="00F32020">
        <w:rPr>
          <w:shd w:val="clear" w:color="auto" w:fill="FFFFFF"/>
        </w:rPr>
        <w:t>, Imbens</w:t>
      </w:r>
      <w:r w:rsidR="0071073C">
        <w:rPr>
          <w:shd w:val="clear" w:color="auto" w:fill="FFFFFF"/>
        </w:rPr>
        <w:t>,</w:t>
      </w:r>
      <w:r w:rsidRPr="00F32020">
        <w:rPr>
          <w:shd w:val="clear" w:color="auto" w:fill="FFFFFF"/>
        </w:rPr>
        <w:t xml:space="preserve"> G</w:t>
      </w:r>
      <w:r w:rsidR="0071073C">
        <w:rPr>
          <w:shd w:val="clear" w:color="auto" w:fill="FFFFFF"/>
        </w:rPr>
        <w:t xml:space="preserve">. </w:t>
      </w:r>
      <w:r w:rsidRPr="00F32020">
        <w:rPr>
          <w:shd w:val="clear" w:color="auto" w:fill="FFFFFF"/>
        </w:rPr>
        <w:t>W</w:t>
      </w:r>
      <w:r w:rsidR="0071073C">
        <w:rPr>
          <w:shd w:val="clear" w:color="auto" w:fill="FFFFFF"/>
        </w:rPr>
        <w:t>.</w:t>
      </w:r>
      <w:r w:rsidRPr="00F32020">
        <w:rPr>
          <w:shd w:val="clear" w:color="auto" w:fill="FFFFFF"/>
        </w:rPr>
        <w:t xml:space="preserve">, </w:t>
      </w:r>
      <w:r w:rsidR="0071073C">
        <w:rPr>
          <w:shd w:val="clear" w:color="auto" w:fill="FFFFFF"/>
        </w:rPr>
        <w:t xml:space="preserve">&amp; </w:t>
      </w:r>
      <w:r w:rsidRPr="00F32020">
        <w:rPr>
          <w:shd w:val="clear" w:color="auto" w:fill="FFFFFF"/>
        </w:rPr>
        <w:t>Wooldridge</w:t>
      </w:r>
      <w:r w:rsidR="0071073C">
        <w:rPr>
          <w:shd w:val="clear" w:color="auto" w:fill="FFFFFF"/>
        </w:rPr>
        <w:t>,</w:t>
      </w:r>
      <w:r w:rsidRPr="00F32020">
        <w:rPr>
          <w:shd w:val="clear" w:color="auto" w:fill="FFFFFF"/>
        </w:rPr>
        <w:t xml:space="preserve"> J</w:t>
      </w:r>
      <w:r w:rsidR="0071073C">
        <w:rPr>
          <w:shd w:val="clear" w:color="auto" w:fill="FFFFFF"/>
        </w:rPr>
        <w:t>.</w:t>
      </w:r>
      <w:r w:rsidRPr="00F32020">
        <w:rPr>
          <w:shd w:val="clear" w:color="auto" w:fill="FFFFFF"/>
        </w:rPr>
        <w:t xml:space="preserve"> (2017)</w:t>
      </w:r>
      <w:r w:rsidR="0071073C">
        <w:rPr>
          <w:shd w:val="clear" w:color="auto" w:fill="FFFFFF"/>
        </w:rPr>
        <w:t>.</w:t>
      </w:r>
      <w:r w:rsidRPr="00F32020">
        <w:rPr>
          <w:shd w:val="clear" w:color="auto" w:fill="FFFFFF"/>
        </w:rPr>
        <w:t xml:space="preserve"> When should you adjust standard errors for clustering? National Bureau of Economic Research, Working Paper No. 24003.</w:t>
      </w:r>
    </w:p>
    <w:p w14:paraId="666CFDDE" w14:textId="33773638" w:rsidR="00152AEF" w:rsidRPr="00F32020" w:rsidRDefault="00152AEF" w:rsidP="00152AEF">
      <w:pPr>
        <w:adjustRightInd w:val="0"/>
        <w:ind w:left="567" w:hanging="567"/>
        <w:jc w:val="both"/>
        <w:rPr>
          <w:lang w:val="en-US"/>
        </w:rPr>
      </w:pPr>
      <w:r w:rsidRPr="00F32020">
        <w:t>Ang</w:t>
      </w:r>
      <w:r w:rsidR="0071073C">
        <w:t>,</w:t>
      </w:r>
      <w:r w:rsidRPr="00F32020">
        <w:t xml:space="preserve"> J</w:t>
      </w:r>
      <w:r w:rsidR="0071073C">
        <w:t xml:space="preserve">. </w:t>
      </w:r>
      <w:r w:rsidRPr="00F32020">
        <w:t>B</w:t>
      </w:r>
      <w:r w:rsidR="0071073C">
        <w:t>.</w:t>
      </w:r>
      <w:r w:rsidRPr="00F32020">
        <w:t xml:space="preserve"> (2019)</w:t>
      </w:r>
      <w:r w:rsidR="0071073C">
        <w:t>.</w:t>
      </w:r>
      <w:r w:rsidRPr="00F32020">
        <w:t xml:space="preserve"> Agricultural legacy and individualistic culture. </w:t>
      </w:r>
      <w:r w:rsidRPr="00F32020">
        <w:rPr>
          <w:i/>
          <w:iCs/>
        </w:rPr>
        <w:t>Journal of Economic Growth</w:t>
      </w:r>
      <w:r w:rsidR="0071073C">
        <w:rPr>
          <w:i/>
          <w:iCs/>
        </w:rPr>
        <w:t>,</w:t>
      </w:r>
      <w:r w:rsidRPr="00F32020">
        <w:t> </w:t>
      </w:r>
      <w:r w:rsidRPr="0071073C">
        <w:rPr>
          <w:i/>
          <w:iCs/>
        </w:rPr>
        <w:t>24</w:t>
      </w:r>
      <w:r w:rsidR="0071073C">
        <w:t>(4),</w:t>
      </w:r>
      <w:r w:rsidRPr="00F32020">
        <w:t xml:space="preserve"> 397-425.</w:t>
      </w:r>
      <w:r w:rsidR="0071073C" w:rsidRPr="0071073C">
        <w:rPr>
          <w:rFonts w:ascii="Merriweather Sans" w:hAnsi="Merriweather Sans"/>
          <w:color w:val="222222"/>
          <w:shd w:val="clear" w:color="auto" w:fill="FFFFFF"/>
        </w:rPr>
        <w:t xml:space="preserve"> </w:t>
      </w:r>
      <w:hyperlink r:id="rId110" w:history="1">
        <w:r w:rsidR="0071073C" w:rsidRPr="002969F1">
          <w:rPr>
            <w:rStyle w:val="Hyperlink"/>
          </w:rPr>
          <w:t>https://doi.org/10.1007/s10887-019-09171-5</w:t>
        </w:r>
      </w:hyperlink>
      <w:r w:rsidR="0071073C">
        <w:t xml:space="preserve"> </w:t>
      </w:r>
    </w:p>
    <w:p w14:paraId="7E542634" w14:textId="6C654E15" w:rsidR="00152AEF" w:rsidRPr="00F32020" w:rsidRDefault="00152AEF" w:rsidP="00152AEF">
      <w:pPr>
        <w:adjustRightInd w:val="0"/>
        <w:ind w:left="567" w:hanging="567"/>
        <w:jc w:val="both"/>
        <w:rPr>
          <w:shd w:val="clear" w:color="auto" w:fill="FFFFFF"/>
        </w:rPr>
      </w:pPr>
      <w:r w:rsidRPr="00F32020">
        <w:t>Ashraf</w:t>
      </w:r>
      <w:r w:rsidR="007100F0">
        <w:t>,</w:t>
      </w:r>
      <w:r w:rsidRPr="00F32020">
        <w:t xml:space="preserve"> Q</w:t>
      </w:r>
      <w:r w:rsidR="007100F0">
        <w:t>.</w:t>
      </w:r>
      <w:r w:rsidRPr="00F32020">
        <w:t xml:space="preserve">, </w:t>
      </w:r>
      <w:r w:rsidR="007100F0">
        <w:t xml:space="preserve">&amp; </w:t>
      </w:r>
      <w:r w:rsidRPr="00F32020">
        <w:t>Galor</w:t>
      </w:r>
      <w:r w:rsidR="007100F0">
        <w:t>,</w:t>
      </w:r>
      <w:r w:rsidRPr="00F32020">
        <w:t xml:space="preserve"> O</w:t>
      </w:r>
      <w:r w:rsidR="007100F0">
        <w:t>.</w:t>
      </w:r>
      <w:r w:rsidRPr="00F32020">
        <w:t xml:space="preserve"> (2013)</w:t>
      </w:r>
      <w:r w:rsidR="007100F0">
        <w:t>.</w:t>
      </w:r>
      <w:r w:rsidRPr="00F32020">
        <w:t xml:space="preserve"> The “Out of Africa” Hypothesis, Human Genetic Diversity</w:t>
      </w:r>
      <w:r w:rsidRPr="00F32020">
        <w:rPr>
          <w:rFonts w:eastAsia="TimesLTStd-Roman"/>
        </w:rPr>
        <w:t xml:space="preserve">, </w:t>
      </w:r>
      <w:r w:rsidRPr="00F32020">
        <w:t>and Comparative Economic Development</w:t>
      </w:r>
      <w:r w:rsidRPr="00F32020">
        <w:rPr>
          <w:rFonts w:eastAsia="TimesLTStd-Roman"/>
        </w:rPr>
        <w:t xml:space="preserve">. </w:t>
      </w:r>
      <w:r w:rsidRPr="00F32020">
        <w:rPr>
          <w:rFonts w:eastAsia="TimesLTStd-Roman"/>
          <w:i/>
          <w:iCs/>
        </w:rPr>
        <w:t>American Economic Review</w:t>
      </w:r>
      <w:r w:rsidR="007100F0">
        <w:rPr>
          <w:rFonts w:eastAsia="TimesLTStd-Roman"/>
          <w:i/>
          <w:iCs/>
        </w:rPr>
        <w:t>,</w:t>
      </w:r>
      <w:r w:rsidRPr="00F32020">
        <w:rPr>
          <w:rFonts w:eastAsia="TimesLTStd-Roman"/>
        </w:rPr>
        <w:t xml:space="preserve"> </w:t>
      </w:r>
      <w:r w:rsidRPr="007100F0">
        <w:rPr>
          <w:rFonts w:eastAsia="TimesLTStd-Roman"/>
          <w:i/>
          <w:iCs/>
        </w:rPr>
        <w:t>103</w:t>
      </w:r>
      <w:r w:rsidR="007100F0">
        <w:rPr>
          <w:rFonts w:eastAsia="TimesLTStd-Roman"/>
        </w:rPr>
        <w:t>(1),</w:t>
      </w:r>
      <w:r w:rsidRPr="00F32020">
        <w:rPr>
          <w:rFonts w:eastAsia="TimesLTStd-Roman"/>
        </w:rPr>
        <w:t xml:space="preserve"> 1-46.</w:t>
      </w:r>
      <w:r w:rsidR="007100F0" w:rsidRPr="007100F0">
        <w:rPr>
          <w:rFonts w:ascii="Georgia" w:hAnsi="Georgia"/>
          <w:color w:val="353C3F"/>
          <w:sz w:val="27"/>
          <w:szCs w:val="27"/>
          <w:shd w:val="clear" w:color="auto" w:fill="FFFFFF"/>
        </w:rPr>
        <w:t xml:space="preserve"> </w:t>
      </w:r>
      <w:hyperlink r:id="rId111" w:history="1">
        <w:r w:rsidR="007100F0" w:rsidRPr="002969F1">
          <w:rPr>
            <w:rStyle w:val="Hyperlink"/>
            <w:rFonts w:eastAsia="TimesLTStd-Roman"/>
          </w:rPr>
          <w:t>https://doi.org/10.1257/aer.103.1.1</w:t>
        </w:r>
      </w:hyperlink>
      <w:r w:rsidR="007100F0">
        <w:rPr>
          <w:rFonts w:eastAsia="TimesLTStd-Roman"/>
        </w:rPr>
        <w:t xml:space="preserve">   </w:t>
      </w:r>
    </w:p>
    <w:p w14:paraId="7D4AA30E" w14:textId="35EDCAC9" w:rsidR="00152AEF" w:rsidRPr="00C53EB4" w:rsidRDefault="00152AEF" w:rsidP="00152AEF">
      <w:pPr>
        <w:adjustRightInd w:val="0"/>
        <w:ind w:left="567" w:hanging="567"/>
        <w:jc w:val="both"/>
        <w:rPr>
          <w:shd w:val="clear" w:color="auto" w:fill="FFFFFF"/>
          <w:lang w:val="en-US"/>
        </w:rPr>
      </w:pPr>
      <w:r w:rsidRPr="00F32020">
        <w:rPr>
          <w:shd w:val="clear" w:color="auto" w:fill="FFFFFF"/>
        </w:rPr>
        <w:t>Block</w:t>
      </w:r>
      <w:r w:rsidR="00C53EB4">
        <w:rPr>
          <w:shd w:val="clear" w:color="auto" w:fill="FFFFFF"/>
        </w:rPr>
        <w:t>,</w:t>
      </w:r>
      <w:r w:rsidRPr="00F32020">
        <w:rPr>
          <w:shd w:val="clear" w:color="auto" w:fill="FFFFFF"/>
        </w:rPr>
        <w:t xml:space="preserve"> J</w:t>
      </w:r>
      <w:r w:rsidR="00C53EB4">
        <w:rPr>
          <w:shd w:val="clear" w:color="auto" w:fill="FFFFFF"/>
        </w:rPr>
        <w:t xml:space="preserve">. </w:t>
      </w:r>
      <w:r w:rsidRPr="00F32020">
        <w:rPr>
          <w:shd w:val="clear" w:color="auto" w:fill="FFFFFF"/>
        </w:rPr>
        <w:t>H</w:t>
      </w:r>
      <w:r w:rsidR="00C53EB4">
        <w:rPr>
          <w:shd w:val="clear" w:color="auto" w:fill="FFFFFF"/>
        </w:rPr>
        <w:t>.</w:t>
      </w:r>
      <w:r w:rsidRPr="00F32020">
        <w:rPr>
          <w:shd w:val="clear" w:color="auto" w:fill="FFFFFF"/>
        </w:rPr>
        <w:t>, De Vries</w:t>
      </w:r>
      <w:r w:rsidR="00C53EB4">
        <w:rPr>
          <w:shd w:val="clear" w:color="auto" w:fill="FFFFFF"/>
        </w:rPr>
        <w:t>,</w:t>
      </w:r>
      <w:r w:rsidRPr="00F32020">
        <w:rPr>
          <w:shd w:val="clear" w:color="auto" w:fill="FFFFFF"/>
        </w:rPr>
        <w:t xml:space="preserve"> G</w:t>
      </w:r>
      <w:r w:rsidR="00C53EB4">
        <w:rPr>
          <w:shd w:val="clear" w:color="auto" w:fill="FFFFFF"/>
        </w:rPr>
        <w:t>.</w:t>
      </w:r>
      <w:r w:rsidRPr="00F32020">
        <w:rPr>
          <w:shd w:val="clear" w:color="auto" w:fill="FFFFFF"/>
        </w:rPr>
        <w:t>, Schumann</w:t>
      </w:r>
      <w:r w:rsidR="00C53EB4">
        <w:rPr>
          <w:shd w:val="clear" w:color="auto" w:fill="FFFFFF"/>
        </w:rPr>
        <w:t>,</w:t>
      </w:r>
      <w:r w:rsidRPr="00F32020">
        <w:rPr>
          <w:shd w:val="clear" w:color="auto" w:fill="FFFFFF"/>
        </w:rPr>
        <w:t xml:space="preserve"> J</w:t>
      </w:r>
      <w:r w:rsidR="00C53EB4">
        <w:rPr>
          <w:shd w:val="clear" w:color="auto" w:fill="FFFFFF"/>
        </w:rPr>
        <w:t xml:space="preserve">. </w:t>
      </w:r>
      <w:r w:rsidRPr="00F32020">
        <w:rPr>
          <w:shd w:val="clear" w:color="auto" w:fill="FFFFFF"/>
        </w:rPr>
        <w:t>H</w:t>
      </w:r>
      <w:r w:rsidR="00C53EB4">
        <w:rPr>
          <w:shd w:val="clear" w:color="auto" w:fill="FFFFFF"/>
        </w:rPr>
        <w:t>.</w:t>
      </w:r>
      <w:r w:rsidRPr="00F32020">
        <w:rPr>
          <w:shd w:val="clear" w:color="auto" w:fill="FFFFFF"/>
        </w:rPr>
        <w:t xml:space="preserve">, </w:t>
      </w:r>
      <w:r w:rsidR="00C53EB4">
        <w:rPr>
          <w:shd w:val="clear" w:color="auto" w:fill="FFFFFF"/>
        </w:rPr>
        <w:t xml:space="preserve">&amp; </w:t>
      </w:r>
      <w:r w:rsidRPr="00F32020">
        <w:rPr>
          <w:shd w:val="clear" w:color="auto" w:fill="FFFFFF"/>
        </w:rPr>
        <w:t>Sandner</w:t>
      </w:r>
      <w:r w:rsidR="00C53EB4">
        <w:rPr>
          <w:shd w:val="clear" w:color="auto" w:fill="FFFFFF"/>
        </w:rPr>
        <w:t>,</w:t>
      </w:r>
      <w:r w:rsidRPr="00F32020">
        <w:rPr>
          <w:shd w:val="clear" w:color="auto" w:fill="FFFFFF"/>
        </w:rPr>
        <w:t xml:space="preserve"> P</w:t>
      </w:r>
      <w:r w:rsidR="00C53EB4">
        <w:rPr>
          <w:shd w:val="clear" w:color="auto" w:fill="FFFFFF"/>
        </w:rPr>
        <w:t>.</w:t>
      </w:r>
      <w:r w:rsidRPr="00F32020">
        <w:rPr>
          <w:shd w:val="clear" w:color="auto" w:fill="FFFFFF"/>
        </w:rPr>
        <w:t xml:space="preserve"> (2014). Trademarks and venture capital valuation. </w:t>
      </w:r>
      <w:r w:rsidRPr="00F32020">
        <w:rPr>
          <w:i/>
          <w:iCs/>
        </w:rPr>
        <w:t>Journal of Business Venturing</w:t>
      </w:r>
      <w:r w:rsidR="00C53EB4">
        <w:rPr>
          <w:i/>
          <w:iCs/>
        </w:rPr>
        <w:t>,</w:t>
      </w:r>
      <w:r w:rsidRPr="00F32020">
        <w:rPr>
          <w:shd w:val="clear" w:color="auto" w:fill="FFFFFF"/>
        </w:rPr>
        <w:t> </w:t>
      </w:r>
      <w:r w:rsidRPr="00C53EB4">
        <w:rPr>
          <w:i/>
          <w:iCs/>
        </w:rPr>
        <w:t>29</w:t>
      </w:r>
      <w:r w:rsidR="00C53EB4">
        <w:rPr>
          <w:shd w:val="clear" w:color="auto" w:fill="FFFFFF"/>
        </w:rPr>
        <w:t>(4),</w:t>
      </w:r>
      <w:r w:rsidRPr="00F32020">
        <w:rPr>
          <w:shd w:val="clear" w:color="auto" w:fill="FFFFFF"/>
        </w:rPr>
        <w:t xml:space="preserve"> 525-542.</w:t>
      </w:r>
      <w:r w:rsidR="00C53EB4" w:rsidRPr="00C53EB4">
        <w:t xml:space="preserve"> </w:t>
      </w:r>
      <w:hyperlink r:id="rId112" w:tgtFrame="_blank" w:tooltip="Persistent link using digital object identifier" w:history="1">
        <w:r w:rsidR="00C53EB4" w:rsidRPr="00C53EB4">
          <w:rPr>
            <w:rStyle w:val="Hyperlink"/>
            <w:shd w:val="clear" w:color="auto" w:fill="FFFFFF"/>
          </w:rPr>
          <w:t>https://doi.org/10.1016/j.jbusvent.2013.07.006</w:t>
        </w:r>
      </w:hyperlink>
    </w:p>
    <w:p w14:paraId="335E4E31" w14:textId="079F39CB" w:rsidR="00152AEF" w:rsidRPr="00C26497" w:rsidRDefault="00152AEF" w:rsidP="00152AEF">
      <w:pPr>
        <w:adjustRightInd w:val="0"/>
        <w:ind w:left="567" w:hanging="567"/>
        <w:jc w:val="both"/>
        <w:rPr>
          <w:lang w:val="en-US"/>
        </w:rPr>
      </w:pPr>
      <w:r w:rsidRPr="00F32020">
        <w:t>Block</w:t>
      </w:r>
      <w:r w:rsidR="00C53EB4" w:rsidRPr="00C53EB4">
        <w:rPr>
          <w:lang w:val="en-US"/>
        </w:rPr>
        <w:t>,</w:t>
      </w:r>
      <w:r w:rsidRPr="00F32020">
        <w:t xml:space="preserve"> J</w:t>
      </w:r>
      <w:r w:rsidR="00C53EB4" w:rsidRPr="00C53EB4">
        <w:rPr>
          <w:lang w:val="en-US"/>
        </w:rPr>
        <w:t xml:space="preserve">. </w:t>
      </w:r>
      <w:r w:rsidRPr="00F32020">
        <w:t>H</w:t>
      </w:r>
      <w:r w:rsidR="00C53EB4" w:rsidRPr="00C53EB4">
        <w:rPr>
          <w:lang w:val="en-US"/>
        </w:rPr>
        <w:t>.</w:t>
      </w:r>
      <w:r w:rsidRPr="00F32020">
        <w:t>, Fisch</w:t>
      </w:r>
      <w:r w:rsidR="00C53EB4" w:rsidRPr="00C53EB4">
        <w:rPr>
          <w:lang w:val="en-US"/>
        </w:rPr>
        <w:t>,</w:t>
      </w:r>
      <w:r w:rsidRPr="00F32020">
        <w:t xml:space="preserve"> C</w:t>
      </w:r>
      <w:r w:rsidR="00C53EB4" w:rsidRPr="00C53EB4">
        <w:rPr>
          <w:lang w:val="en-US"/>
        </w:rPr>
        <w:t xml:space="preserve">. </w:t>
      </w:r>
      <w:r w:rsidRPr="00F32020">
        <w:t>O</w:t>
      </w:r>
      <w:r w:rsidR="00C53EB4" w:rsidRPr="00C53EB4">
        <w:rPr>
          <w:lang w:val="en-US"/>
        </w:rPr>
        <w:t>.</w:t>
      </w:r>
      <w:r w:rsidRPr="00F32020">
        <w:t>, Hahn</w:t>
      </w:r>
      <w:r w:rsidR="00C53EB4" w:rsidRPr="00C53EB4">
        <w:rPr>
          <w:lang w:val="en-US"/>
        </w:rPr>
        <w:t>,</w:t>
      </w:r>
      <w:r w:rsidRPr="00F32020">
        <w:t xml:space="preserve"> A</w:t>
      </w:r>
      <w:r w:rsidR="00C53EB4" w:rsidRPr="00C53EB4">
        <w:rPr>
          <w:lang w:val="en-US"/>
        </w:rPr>
        <w:t>.</w:t>
      </w:r>
      <w:r w:rsidRPr="00F32020">
        <w:t xml:space="preserve">, </w:t>
      </w:r>
      <w:r w:rsidR="00C53EB4" w:rsidRPr="00C53EB4">
        <w:rPr>
          <w:lang w:val="en-US"/>
        </w:rPr>
        <w:t xml:space="preserve">&amp; </w:t>
      </w:r>
      <w:r w:rsidRPr="00F32020">
        <w:t>Sandner</w:t>
      </w:r>
      <w:r w:rsidR="00C53EB4" w:rsidRPr="00C53EB4">
        <w:rPr>
          <w:lang w:val="en-US"/>
        </w:rPr>
        <w:t>,</w:t>
      </w:r>
      <w:r w:rsidRPr="00F32020">
        <w:t xml:space="preserve"> P</w:t>
      </w:r>
      <w:r w:rsidR="00C53EB4" w:rsidRPr="00C53EB4">
        <w:rPr>
          <w:lang w:val="en-US"/>
        </w:rPr>
        <w:t xml:space="preserve">. </w:t>
      </w:r>
      <w:r w:rsidRPr="00F32020">
        <w:t>G</w:t>
      </w:r>
      <w:r w:rsidR="00C53EB4" w:rsidRPr="00C53EB4">
        <w:rPr>
          <w:lang w:val="en-US"/>
        </w:rPr>
        <w:t>.</w:t>
      </w:r>
      <w:r w:rsidRPr="00F32020">
        <w:t xml:space="preserve"> (2015)</w:t>
      </w:r>
      <w:r w:rsidR="00C53EB4" w:rsidRPr="00C53EB4">
        <w:rPr>
          <w:lang w:val="en-US"/>
        </w:rPr>
        <w:t>.</w:t>
      </w:r>
      <w:r w:rsidRPr="00F32020">
        <w:t xml:space="preserve"> Why do SMEs file trademarks? Insights from firms in innovative industries. </w:t>
      </w:r>
      <w:r w:rsidRPr="00F32020">
        <w:rPr>
          <w:i/>
          <w:iCs/>
        </w:rPr>
        <w:t>Research Policy</w:t>
      </w:r>
      <w:r w:rsidR="00C53EB4" w:rsidRPr="00C26497">
        <w:rPr>
          <w:i/>
          <w:iCs/>
          <w:lang w:val="en-US"/>
        </w:rPr>
        <w:t>,</w:t>
      </w:r>
      <w:r w:rsidRPr="00F32020">
        <w:t xml:space="preserve"> </w:t>
      </w:r>
      <w:r w:rsidRPr="00C53EB4">
        <w:rPr>
          <w:i/>
          <w:iCs/>
        </w:rPr>
        <w:t>44</w:t>
      </w:r>
      <w:r w:rsidR="00C53EB4" w:rsidRPr="00C26497">
        <w:rPr>
          <w:lang w:val="en-US"/>
        </w:rPr>
        <w:t>(10),</w:t>
      </w:r>
      <w:r w:rsidRPr="00F32020">
        <w:t xml:space="preserve"> 1915-1930.</w:t>
      </w:r>
      <w:r w:rsidR="00C53EB4" w:rsidRPr="00C53EB4">
        <w:t xml:space="preserve"> </w:t>
      </w:r>
      <w:hyperlink r:id="rId113" w:tgtFrame="_blank" w:tooltip="Persistent link using digital object identifier" w:history="1">
        <w:r w:rsidR="00C53EB4" w:rsidRPr="00C53EB4">
          <w:rPr>
            <w:rStyle w:val="Hyperlink"/>
          </w:rPr>
          <w:t>https://doi.org/10.1016/j.respol.2015.06.007</w:t>
        </w:r>
      </w:hyperlink>
      <w:r w:rsidR="00C53EB4" w:rsidRPr="00C26497">
        <w:rPr>
          <w:lang w:val="en-US"/>
        </w:rPr>
        <w:t xml:space="preserve"> </w:t>
      </w:r>
    </w:p>
    <w:p w14:paraId="43EA7C40" w14:textId="7A21E663" w:rsidR="00152AEF" w:rsidRPr="00F32020" w:rsidRDefault="00152AEF" w:rsidP="00152AEF">
      <w:pPr>
        <w:adjustRightInd w:val="0"/>
        <w:ind w:left="567" w:hanging="567"/>
        <w:jc w:val="both"/>
        <w:rPr>
          <w:lang w:val="en-US"/>
        </w:rPr>
      </w:pPr>
      <w:r w:rsidRPr="00F32020">
        <w:t>Blomkvist</w:t>
      </w:r>
      <w:r w:rsidR="00C26497" w:rsidRPr="00C26497">
        <w:rPr>
          <w:lang w:val="en-US"/>
        </w:rPr>
        <w:t>,</w:t>
      </w:r>
      <w:r w:rsidRPr="00F32020">
        <w:t xml:space="preserve"> M</w:t>
      </w:r>
      <w:r w:rsidR="00C26497" w:rsidRPr="00C26497">
        <w:rPr>
          <w:lang w:val="en-US"/>
        </w:rPr>
        <w:t>.</w:t>
      </w:r>
      <w:r w:rsidRPr="00F32020">
        <w:t>, Felixson</w:t>
      </w:r>
      <w:r w:rsidR="00C26497" w:rsidRPr="00C26497">
        <w:rPr>
          <w:lang w:val="en-US"/>
        </w:rPr>
        <w:t>,</w:t>
      </w:r>
      <w:r w:rsidRPr="00F32020">
        <w:t xml:space="preserve"> K</w:t>
      </w:r>
      <w:r w:rsidR="00C26497" w:rsidRPr="00C26497">
        <w:rPr>
          <w:lang w:val="en-US"/>
        </w:rPr>
        <w:t>.</w:t>
      </w:r>
      <w:r w:rsidRPr="00F32020">
        <w:t xml:space="preserve">, </w:t>
      </w:r>
      <w:r w:rsidR="00C26497" w:rsidRPr="00C26497">
        <w:rPr>
          <w:lang w:val="en-US"/>
        </w:rPr>
        <w:t xml:space="preserve">&amp; </w:t>
      </w:r>
      <w:r w:rsidRPr="00F32020">
        <w:t>Korkeamäki</w:t>
      </w:r>
      <w:r w:rsidR="00C26497" w:rsidRPr="00C26497">
        <w:rPr>
          <w:lang w:val="en-US"/>
        </w:rPr>
        <w:t>,</w:t>
      </w:r>
      <w:r w:rsidRPr="00F32020">
        <w:t xml:space="preserve"> T</w:t>
      </w:r>
      <w:r w:rsidR="00C26497" w:rsidRPr="00C26497">
        <w:rPr>
          <w:lang w:val="en-US"/>
        </w:rPr>
        <w:t>.</w:t>
      </w:r>
      <w:r w:rsidRPr="00F32020">
        <w:t xml:space="preserve"> (2018)</w:t>
      </w:r>
      <w:r w:rsidR="00C26497" w:rsidRPr="00C26497">
        <w:rPr>
          <w:lang w:val="en-US"/>
        </w:rPr>
        <w:t>.</w:t>
      </w:r>
      <w:r w:rsidRPr="00F32020">
        <w:t xml:space="preserve"> National culture and takeover contest outcomes. </w:t>
      </w:r>
      <w:r w:rsidRPr="00F32020">
        <w:rPr>
          <w:i/>
          <w:iCs/>
        </w:rPr>
        <w:t>Financial Review</w:t>
      </w:r>
      <w:r w:rsidR="00C26497" w:rsidRPr="00AD7DB5">
        <w:rPr>
          <w:lang w:val="en-US"/>
        </w:rPr>
        <w:t xml:space="preserve">, </w:t>
      </w:r>
      <w:r w:rsidRPr="005235B9">
        <w:rPr>
          <w:i/>
          <w:iCs/>
        </w:rPr>
        <w:t>53</w:t>
      </w:r>
      <w:r w:rsidR="00C26497" w:rsidRPr="00AD7DB5">
        <w:rPr>
          <w:lang w:val="en-US"/>
        </w:rPr>
        <w:t>(</w:t>
      </w:r>
      <w:r w:rsidR="005235B9" w:rsidRPr="00AD7DB5">
        <w:rPr>
          <w:lang w:val="en-US"/>
        </w:rPr>
        <w:t>3</w:t>
      </w:r>
      <w:r w:rsidR="00C26497" w:rsidRPr="00AD7DB5">
        <w:rPr>
          <w:lang w:val="en-US"/>
        </w:rPr>
        <w:t>),</w:t>
      </w:r>
      <w:r w:rsidRPr="00F32020">
        <w:t xml:space="preserve"> 605-625.</w:t>
      </w:r>
      <w:r w:rsidR="005235B9" w:rsidRPr="005235B9">
        <w:t xml:space="preserve"> </w:t>
      </w:r>
      <w:hyperlink r:id="rId114" w:history="1">
        <w:r w:rsidR="005235B9" w:rsidRPr="005235B9">
          <w:rPr>
            <w:rStyle w:val="Hyperlink"/>
          </w:rPr>
          <w:t>https://doi.org/10.1111/fire.12158</w:t>
        </w:r>
      </w:hyperlink>
    </w:p>
    <w:p w14:paraId="15AD83E9" w14:textId="26391AD8" w:rsidR="00152AEF" w:rsidRPr="00F32020" w:rsidRDefault="00152AEF" w:rsidP="00152AEF">
      <w:pPr>
        <w:adjustRightInd w:val="0"/>
        <w:ind w:left="567" w:hanging="567"/>
        <w:jc w:val="both"/>
      </w:pPr>
      <w:r w:rsidRPr="00F32020">
        <w:t>Bogatyreva</w:t>
      </w:r>
      <w:r w:rsidR="005235B9" w:rsidRPr="005235B9">
        <w:rPr>
          <w:lang w:val="en-US"/>
        </w:rPr>
        <w:t>,</w:t>
      </w:r>
      <w:r w:rsidRPr="00F32020">
        <w:rPr>
          <w:i/>
          <w:iCs/>
        </w:rPr>
        <w:t xml:space="preserve"> </w:t>
      </w:r>
      <w:r w:rsidRPr="00F32020">
        <w:t>K</w:t>
      </w:r>
      <w:r w:rsidR="005235B9" w:rsidRPr="005235B9">
        <w:rPr>
          <w:lang w:val="en-US"/>
        </w:rPr>
        <w:t>.</w:t>
      </w:r>
      <w:r w:rsidRPr="00F32020">
        <w:t>, Edelman</w:t>
      </w:r>
      <w:r w:rsidR="005235B9" w:rsidRPr="005235B9">
        <w:rPr>
          <w:lang w:val="en-US"/>
        </w:rPr>
        <w:t>,</w:t>
      </w:r>
      <w:r w:rsidRPr="00F32020">
        <w:t xml:space="preserve"> L</w:t>
      </w:r>
      <w:r w:rsidR="005235B9" w:rsidRPr="005235B9">
        <w:rPr>
          <w:lang w:val="en-US"/>
        </w:rPr>
        <w:t xml:space="preserve">. </w:t>
      </w:r>
      <w:r w:rsidRPr="00F32020">
        <w:t>F</w:t>
      </w:r>
      <w:r w:rsidR="005235B9" w:rsidRPr="005235B9">
        <w:rPr>
          <w:lang w:val="en-US"/>
        </w:rPr>
        <w:t>.</w:t>
      </w:r>
      <w:r w:rsidRPr="00F32020">
        <w:t>, Manolova</w:t>
      </w:r>
      <w:r w:rsidR="005235B9" w:rsidRPr="005235B9">
        <w:rPr>
          <w:lang w:val="en-US"/>
        </w:rPr>
        <w:t>,</w:t>
      </w:r>
      <w:r w:rsidRPr="00F32020">
        <w:t xml:space="preserve"> T</w:t>
      </w:r>
      <w:r w:rsidR="005235B9" w:rsidRPr="005235B9">
        <w:rPr>
          <w:lang w:val="en-US"/>
        </w:rPr>
        <w:t xml:space="preserve">. </w:t>
      </w:r>
      <w:r w:rsidRPr="00F32020">
        <w:t>S</w:t>
      </w:r>
      <w:r w:rsidR="005235B9" w:rsidRPr="005235B9">
        <w:rPr>
          <w:lang w:val="en-US"/>
        </w:rPr>
        <w:t>.</w:t>
      </w:r>
      <w:r w:rsidRPr="00F32020">
        <w:t>, Osiyevskyy</w:t>
      </w:r>
      <w:r w:rsidR="005235B9" w:rsidRPr="005235B9">
        <w:rPr>
          <w:lang w:val="en-US"/>
        </w:rPr>
        <w:t>,</w:t>
      </w:r>
      <w:r w:rsidRPr="00F32020">
        <w:t xml:space="preserve"> O</w:t>
      </w:r>
      <w:r w:rsidR="005235B9" w:rsidRPr="005235B9">
        <w:rPr>
          <w:lang w:val="en-US"/>
        </w:rPr>
        <w:t>.</w:t>
      </w:r>
      <w:r w:rsidRPr="00F32020">
        <w:t xml:space="preserve">, </w:t>
      </w:r>
      <w:r w:rsidR="005235B9" w:rsidRPr="005235B9">
        <w:rPr>
          <w:lang w:val="en-US"/>
        </w:rPr>
        <w:t xml:space="preserve">&amp; </w:t>
      </w:r>
      <w:r w:rsidRPr="00F32020">
        <w:t>Shirokova</w:t>
      </w:r>
      <w:r w:rsidR="005235B9" w:rsidRPr="005235B9">
        <w:rPr>
          <w:lang w:val="en-US"/>
        </w:rPr>
        <w:t>,</w:t>
      </w:r>
      <w:r w:rsidRPr="00F32020">
        <w:t xml:space="preserve"> G</w:t>
      </w:r>
      <w:r w:rsidR="005235B9" w:rsidRPr="005235B9">
        <w:rPr>
          <w:lang w:val="en-US"/>
        </w:rPr>
        <w:t>.</w:t>
      </w:r>
      <w:r w:rsidRPr="00F32020">
        <w:t xml:space="preserve"> (2019)</w:t>
      </w:r>
      <w:r w:rsidR="005235B9" w:rsidRPr="005235B9">
        <w:rPr>
          <w:lang w:val="en-US"/>
        </w:rPr>
        <w:t>.</w:t>
      </w:r>
      <w:r w:rsidRPr="00F32020">
        <w:t xml:space="preserve"> When do entrepreneurial intentions lead to actions? The role of national culture? </w:t>
      </w:r>
      <w:r w:rsidRPr="00F32020">
        <w:rPr>
          <w:i/>
          <w:iCs/>
        </w:rPr>
        <w:t>Journal of Business Research</w:t>
      </w:r>
      <w:r w:rsidR="005235B9" w:rsidRPr="004017D8">
        <w:rPr>
          <w:i/>
          <w:iCs/>
          <w:lang w:val="en-US"/>
        </w:rPr>
        <w:t>,</w:t>
      </w:r>
      <w:r w:rsidRPr="005235B9">
        <w:rPr>
          <w:i/>
          <w:iCs/>
        </w:rPr>
        <w:t xml:space="preserve"> 96</w:t>
      </w:r>
      <w:r w:rsidR="005235B9" w:rsidRPr="004017D8">
        <w:rPr>
          <w:lang w:val="en-US"/>
        </w:rPr>
        <w:t>(),</w:t>
      </w:r>
      <w:r w:rsidRPr="00F32020">
        <w:t xml:space="preserve"> 309-321.</w:t>
      </w:r>
      <w:r w:rsidR="005235B9" w:rsidRPr="005235B9">
        <w:t xml:space="preserve"> </w:t>
      </w:r>
      <w:hyperlink r:id="rId115" w:tgtFrame="_blank" w:tooltip="Persistent link using digital object identifier" w:history="1">
        <w:r w:rsidR="005235B9" w:rsidRPr="005235B9">
          <w:rPr>
            <w:rStyle w:val="Hyperlink"/>
          </w:rPr>
          <w:t>https://doi.org/10.1016/j.jbusres.2018.11.034</w:t>
        </w:r>
      </w:hyperlink>
    </w:p>
    <w:p w14:paraId="3CAA4142" w14:textId="41401D62" w:rsidR="00152AEF" w:rsidRPr="004017D8" w:rsidRDefault="00152AEF" w:rsidP="004017D8">
      <w:pPr>
        <w:adjustRightInd w:val="0"/>
        <w:ind w:left="567" w:hanging="567"/>
        <w:jc w:val="both"/>
        <w:rPr>
          <w:lang w:val="en-US"/>
        </w:rPr>
      </w:pPr>
      <w:r w:rsidRPr="00F32020">
        <w:t xml:space="preserve">Boubakri, N., </w:t>
      </w:r>
      <w:r w:rsidR="004017D8" w:rsidRPr="004017D8">
        <w:rPr>
          <w:lang w:val="en-US"/>
        </w:rPr>
        <w:t xml:space="preserve">&amp; </w:t>
      </w:r>
      <w:r w:rsidRPr="00F32020">
        <w:t>Saffar, W. (2016).</w:t>
      </w:r>
      <w:r w:rsidRPr="00F32020">
        <w:rPr>
          <w:shd w:val="clear" w:color="auto" w:fill="FFFFFF"/>
        </w:rPr>
        <w:t xml:space="preserve"> </w:t>
      </w:r>
      <w:r w:rsidRPr="00F32020">
        <w:t xml:space="preserve">Culture and externally financed firm growth. </w:t>
      </w:r>
      <w:r w:rsidRPr="00F32020">
        <w:rPr>
          <w:i/>
          <w:iCs/>
        </w:rPr>
        <w:t>Journal of Corporate Finance</w:t>
      </w:r>
      <w:r w:rsidRPr="00F32020">
        <w:t xml:space="preserve">, </w:t>
      </w:r>
      <w:r w:rsidRPr="004017D8">
        <w:rPr>
          <w:i/>
          <w:iCs/>
        </w:rPr>
        <w:t>4</w:t>
      </w:r>
      <w:r w:rsidR="004017D8" w:rsidRPr="004017D8">
        <w:rPr>
          <w:i/>
          <w:iCs/>
          <w:lang w:val="en-US"/>
        </w:rPr>
        <w:t>1</w:t>
      </w:r>
      <w:r w:rsidRPr="00F32020">
        <w:t xml:space="preserve">, 502-520.  </w:t>
      </w:r>
      <w:hyperlink r:id="rId116" w:tgtFrame="_blank" w:tooltip="Persistent link using digital object identifier" w:history="1">
        <w:r w:rsidR="004017D8" w:rsidRPr="004017D8">
          <w:rPr>
            <w:rStyle w:val="Hyperlink"/>
          </w:rPr>
          <w:t>https://doi.org/10.1016/j.jcorpfin.2016.04.003</w:t>
        </w:r>
      </w:hyperlink>
    </w:p>
    <w:p w14:paraId="6A9662FB" w14:textId="0BAD3468" w:rsidR="00152AEF" w:rsidRPr="00F32020" w:rsidRDefault="00152AEF" w:rsidP="00152AEF">
      <w:pPr>
        <w:adjustRightInd w:val="0"/>
        <w:ind w:left="567" w:hanging="567"/>
        <w:jc w:val="both"/>
      </w:pPr>
      <w:r w:rsidRPr="00F32020">
        <w:rPr>
          <w:rFonts w:eastAsia="Calibri"/>
        </w:rPr>
        <w:t>Chang</w:t>
      </w:r>
      <w:r w:rsidR="004017D8" w:rsidRPr="004017D8">
        <w:rPr>
          <w:rFonts w:eastAsia="Calibri"/>
          <w:lang w:val="en-US"/>
        </w:rPr>
        <w:t>,</w:t>
      </w:r>
      <w:r w:rsidRPr="00F32020">
        <w:rPr>
          <w:rFonts w:eastAsia="Calibri"/>
        </w:rPr>
        <w:t xml:space="preserve"> K</w:t>
      </w:r>
      <w:r w:rsidR="004017D8" w:rsidRPr="004017D8">
        <w:rPr>
          <w:rFonts w:eastAsia="Calibri"/>
          <w:lang w:val="en-US"/>
        </w:rPr>
        <w:t>.</w:t>
      </w:r>
      <w:r w:rsidRPr="00F32020">
        <w:rPr>
          <w:rFonts w:eastAsia="Calibri"/>
        </w:rPr>
        <w:t xml:space="preserve">, </w:t>
      </w:r>
      <w:r w:rsidR="004017D8" w:rsidRPr="004017D8">
        <w:rPr>
          <w:rFonts w:eastAsia="Calibri"/>
          <w:lang w:val="en-US"/>
        </w:rPr>
        <w:t xml:space="preserve">&amp; </w:t>
      </w:r>
      <w:r w:rsidRPr="00F32020">
        <w:rPr>
          <w:rFonts w:eastAsia="Calibri"/>
        </w:rPr>
        <w:t>Noorbakhsh</w:t>
      </w:r>
      <w:r w:rsidR="004017D8" w:rsidRPr="004017D8">
        <w:rPr>
          <w:rFonts w:eastAsia="Calibri"/>
          <w:lang w:val="en-US"/>
        </w:rPr>
        <w:t>,</w:t>
      </w:r>
      <w:r w:rsidRPr="00F32020">
        <w:rPr>
          <w:rFonts w:eastAsia="Calibri"/>
        </w:rPr>
        <w:t xml:space="preserve"> A</w:t>
      </w:r>
      <w:r w:rsidR="004017D8" w:rsidRPr="004017D8">
        <w:rPr>
          <w:rFonts w:eastAsia="Calibri"/>
          <w:lang w:val="en-US"/>
        </w:rPr>
        <w:t>.</w:t>
      </w:r>
      <w:r w:rsidRPr="00F32020">
        <w:rPr>
          <w:rFonts w:eastAsia="Calibri"/>
        </w:rPr>
        <w:t xml:space="preserve"> (2009)</w:t>
      </w:r>
      <w:r w:rsidR="004017D8" w:rsidRPr="00AD7DB5">
        <w:rPr>
          <w:rFonts w:eastAsia="Calibri"/>
          <w:lang w:val="en-US"/>
        </w:rPr>
        <w:t>.</w:t>
      </w:r>
      <w:r w:rsidRPr="00F32020">
        <w:rPr>
          <w:rFonts w:eastAsia="Calibri"/>
        </w:rPr>
        <w:t xml:space="preserve"> Does national culture affect international corporate cash holdings? </w:t>
      </w:r>
      <w:r w:rsidRPr="00F32020">
        <w:rPr>
          <w:rFonts w:eastAsia="Calibri"/>
          <w:i/>
          <w:iCs/>
        </w:rPr>
        <w:t>Journal of Multinational Financial Management</w:t>
      </w:r>
      <w:r w:rsidR="004017D8" w:rsidRPr="004017D8">
        <w:rPr>
          <w:rFonts w:eastAsia="Calibri"/>
          <w:i/>
          <w:iCs/>
        </w:rPr>
        <w:t>,</w:t>
      </w:r>
      <w:r w:rsidRPr="00F32020">
        <w:rPr>
          <w:rFonts w:eastAsia="Calibri"/>
        </w:rPr>
        <w:t xml:space="preserve"> </w:t>
      </w:r>
      <w:r w:rsidRPr="004017D8">
        <w:rPr>
          <w:rFonts w:eastAsia="Calibri"/>
          <w:i/>
          <w:iCs/>
        </w:rPr>
        <w:t>19</w:t>
      </w:r>
      <w:r w:rsidR="004017D8" w:rsidRPr="004017D8">
        <w:rPr>
          <w:rFonts w:eastAsia="Calibri"/>
        </w:rPr>
        <w:t>(5),</w:t>
      </w:r>
      <w:r w:rsidRPr="00F32020">
        <w:rPr>
          <w:rFonts w:eastAsia="Calibri"/>
        </w:rPr>
        <w:t xml:space="preserve"> 323-342.</w:t>
      </w:r>
      <w:r w:rsidR="004017D8" w:rsidRPr="004017D8">
        <w:t xml:space="preserve"> </w:t>
      </w:r>
      <w:hyperlink r:id="rId117" w:tgtFrame="_blank" w:tooltip="Persistent link using digital object identifier" w:history="1">
        <w:r w:rsidR="004017D8" w:rsidRPr="004017D8">
          <w:rPr>
            <w:rStyle w:val="Hyperlink"/>
            <w:rFonts w:eastAsia="Calibri"/>
          </w:rPr>
          <w:t>https://doi.org/10.1016/j.mulfin.2009.07.001</w:t>
        </w:r>
      </w:hyperlink>
    </w:p>
    <w:p w14:paraId="26602781" w14:textId="3C86EFDC" w:rsidR="00152AEF" w:rsidRPr="00F32020" w:rsidRDefault="00152AEF" w:rsidP="00152AEF">
      <w:pPr>
        <w:adjustRightInd w:val="0"/>
        <w:ind w:left="567" w:hanging="567"/>
        <w:jc w:val="both"/>
        <w:rPr>
          <w:rFonts w:eastAsia="Calibri"/>
        </w:rPr>
      </w:pPr>
      <w:r w:rsidRPr="00F32020">
        <w:rPr>
          <w:rFonts w:eastAsia="Calibri"/>
        </w:rPr>
        <w:t>Chen</w:t>
      </w:r>
      <w:r w:rsidR="004017D8" w:rsidRPr="004017D8">
        <w:rPr>
          <w:rFonts w:eastAsia="Calibri"/>
        </w:rPr>
        <w:t>,</w:t>
      </w:r>
      <w:r w:rsidRPr="00F32020">
        <w:rPr>
          <w:rFonts w:eastAsia="Calibri"/>
        </w:rPr>
        <w:t xml:space="preserve"> Y</w:t>
      </w:r>
      <w:r w:rsidR="004017D8" w:rsidRPr="004017D8">
        <w:rPr>
          <w:rFonts w:eastAsia="Calibri"/>
        </w:rPr>
        <w:t>.</w:t>
      </w:r>
      <w:r w:rsidRPr="00F32020">
        <w:rPr>
          <w:rFonts w:eastAsia="Calibri"/>
        </w:rPr>
        <w:t>, Podolski</w:t>
      </w:r>
      <w:r w:rsidR="004017D8" w:rsidRPr="004017D8">
        <w:rPr>
          <w:rFonts w:eastAsia="Calibri"/>
          <w:lang w:val="en-US"/>
        </w:rPr>
        <w:t>,</w:t>
      </w:r>
      <w:r w:rsidRPr="00F32020">
        <w:rPr>
          <w:rFonts w:eastAsia="Calibri"/>
        </w:rPr>
        <w:t xml:space="preserve"> E</w:t>
      </w:r>
      <w:r w:rsidR="004017D8" w:rsidRPr="004017D8">
        <w:rPr>
          <w:rFonts w:eastAsia="Calibri"/>
          <w:lang w:val="en-US"/>
        </w:rPr>
        <w:t xml:space="preserve">. </w:t>
      </w:r>
      <w:r w:rsidRPr="00F32020">
        <w:rPr>
          <w:rFonts w:eastAsia="Calibri"/>
        </w:rPr>
        <w:t>J</w:t>
      </w:r>
      <w:r w:rsidR="004017D8" w:rsidRPr="004017D8">
        <w:rPr>
          <w:rFonts w:eastAsia="Calibri"/>
          <w:lang w:val="en-US"/>
        </w:rPr>
        <w:t>.</w:t>
      </w:r>
      <w:r w:rsidRPr="00F32020">
        <w:rPr>
          <w:rFonts w:eastAsia="Calibri"/>
        </w:rPr>
        <w:t xml:space="preserve">, </w:t>
      </w:r>
      <w:r w:rsidR="004017D8" w:rsidRPr="00AD7DB5">
        <w:rPr>
          <w:rFonts w:eastAsia="Calibri"/>
        </w:rPr>
        <w:t xml:space="preserve">&amp; </w:t>
      </w:r>
      <w:r w:rsidRPr="00F32020">
        <w:rPr>
          <w:rFonts w:eastAsia="Calibri"/>
        </w:rPr>
        <w:t>Veeraraghavan</w:t>
      </w:r>
      <w:r w:rsidR="004017D8" w:rsidRPr="004017D8">
        <w:rPr>
          <w:rFonts w:eastAsia="Calibri"/>
          <w:lang w:val="en-US"/>
        </w:rPr>
        <w:t>,</w:t>
      </w:r>
      <w:r w:rsidRPr="00F32020">
        <w:rPr>
          <w:rFonts w:eastAsia="Calibri"/>
        </w:rPr>
        <w:t xml:space="preserve"> M</w:t>
      </w:r>
      <w:r w:rsidR="004017D8" w:rsidRPr="004017D8">
        <w:rPr>
          <w:rFonts w:eastAsia="Calibri"/>
          <w:lang w:val="en-US"/>
        </w:rPr>
        <w:t>.</w:t>
      </w:r>
      <w:r w:rsidRPr="00F32020">
        <w:rPr>
          <w:rFonts w:eastAsia="Calibri"/>
        </w:rPr>
        <w:t xml:space="preserve"> (2017)</w:t>
      </w:r>
      <w:r w:rsidR="004017D8" w:rsidRPr="00AD7DB5">
        <w:rPr>
          <w:rFonts w:eastAsia="Calibri"/>
        </w:rPr>
        <w:t>.</w:t>
      </w:r>
      <w:r w:rsidRPr="00F32020">
        <w:rPr>
          <w:rFonts w:eastAsia="Calibri"/>
        </w:rPr>
        <w:t xml:space="preserve"> National culture and corporate innovation. </w:t>
      </w:r>
      <w:r w:rsidRPr="00F32020">
        <w:rPr>
          <w:rFonts w:eastAsia="Calibri"/>
          <w:i/>
          <w:iCs/>
        </w:rPr>
        <w:t>Pacific-Basin Finance Journal</w:t>
      </w:r>
      <w:r w:rsidR="004017D8" w:rsidRPr="00AD7DB5">
        <w:rPr>
          <w:rFonts w:eastAsia="Calibri"/>
          <w:i/>
          <w:iCs/>
          <w:lang w:val="en-US"/>
        </w:rPr>
        <w:t>,</w:t>
      </w:r>
      <w:r w:rsidRPr="00F32020">
        <w:rPr>
          <w:rFonts w:eastAsia="Calibri"/>
        </w:rPr>
        <w:t xml:space="preserve"> </w:t>
      </w:r>
      <w:r w:rsidRPr="004017D8">
        <w:rPr>
          <w:rFonts w:eastAsia="Calibri"/>
          <w:i/>
          <w:iCs/>
        </w:rPr>
        <w:t>43</w:t>
      </w:r>
      <w:r w:rsidR="004017D8" w:rsidRPr="00AD7DB5">
        <w:rPr>
          <w:rFonts w:eastAsia="Calibri"/>
          <w:lang w:val="en-US"/>
        </w:rPr>
        <w:t>,</w:t>
      </w:r>
      <w:r w:rsidRPr="00F32020">
        <w:rPr>
          <w:rFonts w:eastAsia="Calibri"/>
        </w:rPr>
        <w:t xml:space="preserve"> 173-187.</w:t>
      </w:r>
      <w:r w:rsidR="004017D8" w:rsidRPr="004017D8">
        <w:t xml:space="preserve"> </w:t>
      </w:r>
      <w:hyperlink r:id="rId118" w:tgtFrame="_blank" w:tooltip="Persistent link using digital object identifier" w:history="1">
        <w:r w:rsidR="004017D8" w:rsidRPr="004017D8">
          <w:rPr>
            <w:rStyle w:val="Hyperlink"/>
            <w:rFonts w:eastAsia="Calibri"/>
          </w:rPr>
          <w:t>https://doi.org/10.1016/j.pacfin.2017.04.006</w:t>
        </w:r>
      </w:hyperlink>
    </w:p>
    <w:p w14:paraId="51D83E0E" w14:textId="15B6C976" w:rsidR="00152AEF" w:rsidRPr="000B2AB1" w:rsidRDefault="00152AEF" w:rsidP="000B2AB1">
      <w:pPr>
        <w:adjustRightInd w:val="0"/>
        <w:ind w:left="567" w:hanging="567"/>
        <w:jc w:val="both"/>
        <w:rPr>
          <w:lang w:val="en-US"/>
        </w:rPr>
      </w:pPr>
      <w:r w:rsidRPr="00F32020">
        <w:t xml:space="preserve">Chen, G., Crossland, C., </w:t>
      </w:r>
      <w:r w:rsidR="000B2AB1" w:rsidRPr="00AD7DB5">
        <w:rPr>
          <w:lang w:val="en-US"/>
        </w:rPr>
        <w:t xml:space="preserve">&amp; </w:t>
      </w:r>
      <w:r w:rsidRPr="00F32020">
        <w:t xml:space="preserve">Luo, S. (2015). Making the same mistake all over again: CEO overconfidence and corporate resistance to corrective feedback. </w:t>
      </w:r>
      <w:r w:rsidRPr="00F32020">
        <w:rPr>
          <w:i/>
          <w:iCs/>
        </w:rPr>
        <w:t>Strategic Management Journal</w:t>
      </w:r>
      <w:r w:rsidRPr="00F32020">
        <w:t>,</w:t>
      </w:r>
      <w:r w:rsidRPr="000B2AB1">
        <w:rPr>
          <w:i/>
          <w:iCs/>
        </w:rPr>
        <w:t xml:space="preserve"> 36</w:t>
      </w:r>
      <w:r w:rsidR="000B2AB1" w:rsidRPr="000B2AB1">
        <w:rPr>
          <w:lang w:val="en-US"/>
        </w:rPr>
        <w:t>(10)</w:t>
      </w:r>
      <w:r w:rsidRPr="000B2AB1">
        <w:t>,</w:t>
      </w:r>
      <w:r w:rsidRPr="00F32020">
        <w:t xml:space="preserve"> 1513-1535.</w:t>
      </w:r>
      <w:r w:rsidR="000B2AB1" w:rsidRPr="000B2AB1">
        <w:t xml:space="preserve"> </w:t>
      </w:r>
      <w:hyperlink r:id="rId119" w:history="1">
        <w:r w:rsidR="000B2AB1" w:rsidRPr="000B2AB1">
          <w:rPr>
            <w:rStyle w:val="Hyperlink"/>
          </w:rPr>
          <w:t>https://doi.org/10.1002/smj.2291</w:t>
        </w:r>
      </w:hyperlink>
    </w:p>
    <w:p w14:paraId="6FD16FC8" w14:textId="5F6E085C" w:rsidR="00152AEF" w:rsidRPr="00F32020" w:rsidRDefault="00152AEF" w:rsidP="00152AEF">
      <w:pPr>
        <w:adjustRightInd w:val="0"/>
        <w:ind w:left="567" w:hanging="567"/>
        <w:jc w:val="both"/>
      </w:pPr>
      <w:r w:rsidRPr="00F32020">
        <w:t>Chui, A.</w:t>
      </w:r>
      <w:r w:rsidR="000B2AB1" w:rsidRPr="000B2AB1">
        <w:rPr>
          <w:lang w:val="en-US"/>
        </w:rPr>
        <w:t xml:space="preserve"> </w:t>
      </w:r>
      <w:r w:rsidRPr="00F32020">
        <w:t xml:space="preserve">C., Titman, S., </w:t>
      </w:r>
      <w:r w:rsidR="000B2AB1" w:rsidRPr="000B2AB1">
        <w:rPr>
          <w:lang w:val="en-US"/>
        </w:rPr>
        <w:t xml:space="preserve">&amp; </w:t>
      </w:r>
      <w:r w:rsidRPr="00F32020">
        <w:t>Wei, K.</w:t>
      </w:r>
      <w:r w:rsidR="000B2AB1" w:rsidRPr="000B2AB1">
        <w:rPr>
          <w:lang w:val="en-US"/>
        </w:rPr>
        <w:t xml:space="preserve"> </w:t>
      </w:r>
      <w:r w:rsidRPr="00F32020">
        <w:t xml:space="preserve">J. (2010). Individualism and momentum around the world. </w:t>
      </w:r>
      <w:r w:rsidRPr="000B2AB1">
        <w:rPr>
          <w:i/>
          <w:iCs/>
        </w:rPr>
        <w:t xml:space="preserve">The </w:t>
      </w:r>
      <w:r w:rsidRPr="00F32020">
        <w:rPr>
          <w:i/>
          <w:iCs/>
        </w:rPr>
        <w:t>Journal of Finance</w:t>
      </w:r>
      <w:r w:rsidRPr="00F32020">
        <w:t>,</w:t>
      </w:r>
      <w:r w:rsidRPr="000B2AB1">
        <w:rPr>
          <w:i/>
          <w:iCs/>
        </w:rPr>
        <w:t xml:space="preserve"> 65</w:t>
      </w:r>
      <w:r w:rsidR="000B2AB1" w:rsidRPr="00AD7DB5">
        <w:rPr>
          <w:lang w:val="en-US"/>
        </w:rPr>
        <w:t>(1)</w:t>
      </w:r>
      <w:r w:rsidRPr="00F32020">
        <w:t>, 361-392.</w:t>
      </w:r>
      <w:r w:rsidR="000B2AB1" w:rsidRPr="00AD7DB5">
        <w:rPr>
          <w:lang w:val="en-US"/>
        </w:rPr>
        <w:t xml:space="preserve"> </w:t>
      </w:r>
      <w:hyperlink r:id="rId120" w:history="1">
        <w:r w:rsidR="000B2AB1" w:rsidRPr="002969F1">
          <w:rPr>
            <w:rStyle w:val="Hyperlink"/>
          </w:rPr>
          <w:t>https://doi.org/10.1111/j.1540-6261.2009.01532.x</w:t>
        </w:r>
      </w:hyperlink>
    </w:p>
    <w:p w14:paraId="50BA3D8C" w14:textId="5B25E41F" w:rsidR="00152AEF" w:rsidRPr="00F32020" w:rsidRDefault="00152AEF" w:rsidP="00152AEF">
      <w:pPr>
        <w:adjustRightInd w:val="0"/>
        <w:ind w:left="567" w:hanging="567"/>
        <w:jc w:val="both"/>
      </w:pPr>
      <w:r w:rsidRPr="00F32020">
        <w:rPr>
          <w:shd w:val="clear" w:color="auto" w:fill="FFFFFF"/>
        </w:rPr>
        <w:t>Davidson</w:t>
      </w:r>
      <w:r w:rsidR="000B2AB1" w:rsidRPr="000B2AB1">
        <w:rPr>
          <w:shd w:val="clear" w:color="auto" w:fill="FFFFFF"/>
          <w:lang w:val="en-US"/>
        </w:rPr>
        <w:t>,</w:t>
      </w:r>
      <w:r w:rsidRPr="00F32020">
        <w:rPr>
          <w:shd w:val="clear" w:color="auto" w:fill="FFFFFF"/>
        </w:rPr>
        <w:t xml:space="preserve"> R</w:t>
      </w:r>
      <w:r w:rsidR="000B2AB1" w:rsidRPr="000B2AB1">
        <w:rPr>
          <w:shd w:val="clear" w:color="auto" w:fill="FFFFFF"/>
          <w:lang w:val="en-US"/>
        </w:rPr>
        <w:t>.</w:t>
      </w:r>
      <w:r w:rsidRPr="00F32020">
        <w:rPr>
          <w:shd w:val="clear" w:color="auto" w:fill="FFFFFF"/>
        </w:rPr>
        <w:t xml:space="preserve">, </w:t>
      </w:r>
      <w:r w:rsidR="000B2AB1" w:rsidRPr="000B2AB1">
        <w:rPr>
          <w:shd w:val="clear" w:color="auto" w:fill="FFFFFF"/>
          <w:lang w:val="en-US"/>
        </w:rPr>
        <w:t xml:space="preserve">&amp; </w:t>
      </w:r>
      <w:r w:rsidRPr="00F32020">
        <w:rPr>
          <w:shd w:val="clear" w:color="auto" w:fill="FFFFFF"/>
        </w:rPr>
        <w:t>MacKinnon</w:t>
      </w:r>
      <w:r w:rsidR="000B2AB1" w:rsidRPr="000B2AB1">
        <w:rPr>
          <w:shd w:val="clear" w:color="auto" w:fill="FFFFFF"/>
          <w:lang w:val="en-US"/>
        </w:rPr>
        <w:t>,</w:t>
      </w:r>
      <w:r w:rsidRPr="00F32020">
        <w:rPr>
          <w:shd w:val="clear" w:color="auto" w:fill="FFFFFF"/>
        </w:rPr>
        <w:t xml:space="preserve"> J</w:t>
      </w:r>
      <w:r w:rsidR="000B2AB1" w:rsidRPr="000B2AB1">
        <w:rPr>
          <w:shd w:val="clear" w:color="auto" w:fill="FFFFFF"/>
          <w:lang w:val="en-US"/>
        </w:rPr>
        <w:t xml:space="preserve">. </w:t>
      </w:r>
      <w:r w:rsidRPr="00F32020">
        <w:rPr>
          <w:shd w:val="clear" w:color="auto" w:fill="FFFFFF"/>
        </w:rPr>
        <w:t>G</w:t>
      </w:r>
      <w:r w:rsidR="000B2AB1" w:rsidRPr="000B2AB1">
        <w:rPr>
          <w:shd w:val="clear" w:color="auto" w:fill="FFFFFF"/>
          <w:lang w:val="en-US"/>
        </w:rPr>
        <w:t>.</w:t>
      </w:r>
      <w:r w:rsidRPr="00F32020">
        <w:rPr>
          <w:shd w:val="clear" w:color="auto" w:fill="FFFFFF"/>
        </w:rPr>
        <w:t xml:space="preserve"> (1993)</w:t>
      </w:r>
      <w:r w:rsidR="000B2AB1" w:rsidRPr="000B2AB1">
        <w:rPr>
          <w:shd w:val="clear" w:color="auto" w:fill="FFFFFF"/>
          <w:lang w:val="en-US"/>
        </w:rPr>
        <w:t>.</w:t>
      </w:r>
      <w:r w:rsidRPr="00F32020">
        <w:rPr>
          <w:shd w:val="clear" w:color="auto" w:fill="FFFFFF"/>
        </w:rPr>
        <w:t xml:space="preserve"> </w:t>
      </w:r>
      <w:r w:rsidRPr="00F32020">
        <w:rPr>
          <w:i/>
          <w:iCs/>
          <w:shd w:val="clear" w:color="auto" w:fill="FFFFFF"/>
        </w:rPr>
        <w:t>Estimation and inference in econometrics</w:t>
      </w:r>
      <w:r w:rsidRPr="00F32020">
        <w:rPr>
          <w:shd w:val="clear" w:color="auto" w:fill="FFFFFF"/>
        </w:rPr>
        <w:t>. New York: Oxford University Press.</w:t>
      </w:r>
    </w:p>
    <w:p w14:paraId="13D8014C" w14:textId="700690CA" w:rsidR="00152AEF" w:rsidRPr="00F32020" w:rsidRDefault="00152AEF" w:rsidP="00152AEF">
      <w:pPr>
        <w:adjustRightInd w:val="0"/>
        <w:ind w:left="567" w:hanging="567"/>
        <w:jc w:val="both"/>
      </w:pPr>
      <w:r w:rsidRPr="00AD7DB5">
        <w:rPr>
          <w:lang w:val="en-US"/>
        </w:rPr>
        <w:t>de Jong</w:t>
      </w:r>
      <w:r w:rsidR="00CB38D2" w:rsidRPr="00AD7DB5">
        <w:rPr>
          <w:lang w:val="en-US"/>
        </w:rPr>
        <w:t>,</w:t>
      </w:r>
      <w:r w:rsidRPr="00AD7DB5">
        <w:rPr>
          <w:lang w:val="en-US"/>
        </w:rPr>
        <w:t xml:space="preserve"> J</w:t>
      </w:r>
      <w:r w:rsidR="00CB38D2" w:rsidRPr="00AD7DB5">
        <w:rPr>
          <w:lang w:val="en-US"/>
        </w:rPr>
        <w:t xml:space="preserve">. </w:t>
      </w:r>
      <w:r w:rsidRPr="00AD7DB5">
        <w:rPr>
          <w:lang w:val="en-US"/>
        </w:rPr>
        <w:t>P</w:t>
      </w:r>
      <w:r w:rsidR="00CB38D2" w:rsidRPr="00AD7DB5">
        <w:rPr>
          <w:lang w:val="en-US"/>
        </w:rPr>
        <w:t xml:space="preserve">. </w:t>
      </w:r>
      <w:r w:rsidRPr="00AD7DB5">
        <w:rPr>
          <w:lang w:val="en-US"/>
        </w:rPr>
        <w:t>J</w:t>
      </w:r>
      <w:r w:rsidR="00CB38D2" w:rsidRPr="00AD7DB5">
        <w:rPr>
          <w:lang w:val="en-US"/>
        </w:rPr>
        <w:t>.</w:t>
      </w:r>
      <w:r w:rsidRPr="00AD7DB5">
        <w:rPr>
          <w:lang w:val="en-US"/>
        </w:rPr>
        <w:t xml:space="preserve">, </w:t>
      </w:r>
      <w:r w:rsidR="00CB38D2" w:rsidRPr="00AD7DB5">
        <w:rPr>
          <w:lang w:val="en-US"/>
        </w:rPr>
        <w:t xml:space="preserve">&amp; </w:t>
      </w:r>
      <w:r w:rsidRPr="00AD7DB5">
        <w:rPr>
          <w:lang w:val="en-US"/>
        </w:rPr>
        <w:t>Marsili</w:t>
      </w:r>
      <w:r w:rsidR="00CB38D2" w:rsidRPr="00AD7DB5">
        <w:rPr>
          <w:lang w:val="en-US"/>
        </w:rPr>
        <w:t>,</w:t>
      </w:r>
      <w:r w:rsidRPr="00AD7DB5">
        <w:rPr>
          <w:lang w:val="en-US"/>
        </w:rPr>
        <w:t xml:space="preserve"> O</w:t>
      </w:r>
      <w:r w:rsidR="00CB38D2" w:rsidRPr="00AD7DB5">
        <w:rPr>
          <w:lang w:val="en-US"/>
        </w:rPr>
        <w:t>.</w:t>
      </w:r>
      <w:r w:rsidRPr="00AD7DB5">
        <w:rPr>
          <w:lang w:val="en-US"/>
        </w:rPr>
        <w:t xml:space="preserve"> (2015)</w:t>
      </w:r>
      <w:r w:rsidR="00CB38D2" w:rsidRPr="00AD7DB5">
        <w:rPr>
          <w:lang w:val="en-US"/>
        </w:rPr>
        <w:t>.</w:t>
      </w:r>
      <w:r w:rsidRPr="00AD7DB5">
        <w:rPr>
          <w:lang w:val="en-US"/>
        </w:rPr>
        <w:t xml:space="preserve"> </w:t>
      </w:r>
      <w:r w:rsidRPr="00F32020">
        <w:t xml:space="preserve">The distribution of Schumpeterian and Kirznerian opportunities. </w:t>
      </w:r>
      <w:r w:rsidRPr="00F32020">
        <w:rPr>
          <w:i/>
          <w:iCs/>
        </w:rPr>
        <w:t>Small Business Economics</w:t>
      </w:r>
      <w:r w:rsidR="00CB38D2" w:rsidRPr="0095613A">
        <w:rPr>
          <w:i/>
          <w:iCs/>
          <w:lang w:val="en-US"/>
        </w:rPr>
        <w:t>,</w:t>
      </w:r>
      <w:r w:rsidRPr="00F32020">
        <w:t xml:space="preserve"> </w:t>
      </w:r>
      <w:r w:rsidRPr="00CB38D2">
        <w:rPr>
          <w:i/>
          <w:iCs/>
        </w:rPr>
        <w:t>44</w:t>
      </w:r>
      <w:r w:rsidR="00CB38D2" w:rsidRPr="0095613A">
        <w:rPr>
          <w:lang w:val="en-US"/>
        </w:rPr>
        <w:t>(1),</w:t>
      </w:r>
      <w:r w:rsidRPr="00F32020">
        <w:t xml:space="preserve"> 19-35.</w:t>
      </w:r>
    </w:p>
    <w:p w14:paraId="60B6877D" w14:textId="72EFD39C" w:rsidR="00152AEF" w:rsidRPr="00A4037A" w:rsidRDefault="00152AEF" w:rsidP="00152AEF">
      <w:pPr>
        <w:adjustRightInd w:val="0"/>
        <w:ind w:left="567" w:hanging="567"/>
        <w:jc w:val="both"/>
        <w:rPr>
          <w:rFonts w:eastAsia="Calibri"/>
          <w:lang w:val="en-US"/>
        </w:rPr>
      </w:pPr>
      <w:r w:rsidRPr="00AD7DB5">
        <w:rPr>
          <w:lang w:val="en-US"/>
        </w:rPr>
        <w:lastRenderedPageBreak/>
        <w:t>Desmet</w:t>
      </w:r>
      <w:r w:rsidR="0095613A" w:rsidRPr="00AD7DB5">
        <w:rPr>
          <w:lang w:val="en-US"/>
        </w:rPr>
        <w:t>,</w:t>
      </w:r>
      <w:r w:rsidRPr="00AD7DB5">
        <w:rPr>
          <w:lang w:val="en-US"/>
        </w:rPr>
        <w:t xml:space="preserve"> K</w:t>
      </w:r>
      <w:r w:rsidR="0095613A" w:rsidRPr="00AD7DB5">
        <w:rPr>
          <w:lang w:val="en-US"/>
        </w:rPr>
        <w:t>.</w:t>
      </w:r>
      <w:r w:rsidRPr="00AD7DB5">
        <w:rPr>
          <w:lang w:val="en-US"/>
        </w:rPr>
        <w:t>, Le Breton</w:t>
      </w:r>
      <w:r w:rsidR="0095613A" w:rsidRPr="00AD7DB5">
        <w:rPr>
          <w:lang w:val="en-US"/>
        </w:rPr>
        <w:t>,</w:t>
      </w:r>
      <w:r w:rsidRPr="00AD7DB5">
        <w:rPr>
          <w:lang w:val="en-US"/>
        </w:rPr>
        <w:t xml:space="preserve"> M</w:t>
      </w:r>
      <w:r w:rsidR="0095613A" w:rsidRPr="00AD7DB5">
        <w:rPr>
          <w:lang w:val="en-US"/>
        </w:rPr>
        <w:t>.</w:t>
      </w:r>
      <w:r w:rsidRPr="00AD7DB5">
        <w:rPr>
          <w:lang w:val="en-US"/>
        </w:rPr>
        <w:t>, Ortuño-Ortín</w:t>
      </w:r>
      <w:r w:rsidR="0095613A" w:rsidRPr="00AD7DB5">
        <w:rPr>
          <w:lang w:val="en-US"/>
        </w:rPr>
        <w:t>,</w:t>
      </w:r>
      <w:r w:rsidRPr="00AD7DB5">
        <w:rPr>
          <w:lang w:val="en-US"/>
        </w:rPr>
        <w:t xml:space="preserve"> I</w:t>
      </w:r>
      <w:r w:rsidR="0095613A" w:rsidRPr="00AD7DB5">
        <w:rPr>
          <w:lang w:val="en-US"/>
        </w:rPr>
        <w:t>.</w:t>
      </w:r>
      <w:r w:rsidRPr="00AD7DB5">
        <w:rPr>
          <w:lang w:val="en-US"/>
        </w:rPr>
        <w:t xml:space="preserve">, </w:t>
      </w:r>
      <w:r w:rsidR="0095613A" w:rsidRPr="00AD7DB5">
        <w:rPr>
          <w:lang w:val="en-US"/>
        </w:rPr>
        <w:t xml:space="preserve">&amp; </w:t>
      </w:r>
      <w:r w:rsidRPr="00AD7DB5">
        <w:rPr>
          <w:lang w:val="en-US"/>
        </w:rPr>
        <w:t>Weber</w:t>
      </w:r>
      <w:r w:rsidR="0095613A" w:rsidRPr="00AD7DB5">
        <w:rPr>
          <w:lang w:val="en-US"/>
        </w:rPr>
        <w:t>,</w:t>
      </w:r>
      <w:r w:rsidRPr="00AD7DB5">
        <w:rPr>
          <w:lang w:val="en-US"/>
        </w:rPr>
        <w:t xml:space="preserve"> S</w:t>
      </w:r>
      <w:r w:rsidR="0095613A" w:rsidRPr="00AD7DB5">
        <w:rPr>
          <w:lang w:val="en-US"/>
        </w:rPr>
        <w:t>.</w:t>
      </w:r>
      <w:r w:rsidRPr="00AD7DB5">
        <w:rPr>
          <w:lang w:val="en-US"/>
        </w:rPr>
        <w:t xml:space="preserve"> (2011)</w:t>
      </w:r>
      <w:r w:rsidR="0095613A" w:rsidRPr="00AD7DB5">
        <w:rPr>
          <w:lang w:val="en-US"/>
        </w:rPr>
        <w:t>.</w:t>
      </w:r>
      <w:r w:rsidRPr="00AD7DB5">
        <w:rPr>
          <w:lang w:val="en-US"/>
        </w:rPr>
        <w:t xml:space="preserve"> </w:t>
      </w:r>
      <w:r w:rsidRPr="00F32020">
        <w:t xml:space="preserve">The stability and breakup of nations: a quantitative analysis. </w:t>
      </w:r>
      <w:r w:rsidRPr="00F32020">
        <w:rPr>
          <w:i/>
          <w:iCs/>
        </w:rPr>
        <w:t>Journal of Economic Growth</w:t>
      </w:r>
      <w:r w:rsidR="00A4037A" w:rsidRPr="00AD7DB5">
        <w:rPr>
          <w:i/>
          <w:iCs/>
          <w:lang w:val="en-US"/>
        </w:rPr>
        <w:t>,</w:t>
      </w:r>
      <w:r w:rsidRPr="00F32020">
        <w:t xml:space="preserve"> </w:t>
      </w:r>
      <w:r w:rsidRPr="00A4037A">
        <w:rPr>
          <w:i/>
          <w:iCs/>
        </w:rPr>
        <w:t>16</w:t>
      </w:r>
      <w:r w:rsidR="00A4037A" w:rsidRPr="00AD7DB5">
        <w:rPr>
          <w:lang w:val="en-US"/>
        </w:rPr>
        <w:t>(3),</w:t>
      </w:r>
      <w:r w:rsidRPr="00F32020">
        <w:t xml:space="preserve"> 183-213.</w:t>
      </w:r>
      <w:r w:rsidR="00A4037A" w:rsidRPr="00A4037A">
        <w:rPr>
          <w:rFonts w:ascii="Merriweather Sans" w:hAnsi="Merriweather Sans"/>
          <w:color w:val="222222"/>
          <w:shd w:val="clear" w:color="auto" w:fill="FFFFFF"/>
        </w:rPr>
        <w:t xml:space="preserve"> </w:t>
      </w:r>
      <w:hyperlink r:id="rId121" w:history="1">
        <w:r w:rsidR="00A4037A" w:rsidRPr="002969F1">
          <w:rPr>
            <w:rStyle w:val="Hyperlink"/>
          </w:rPr>
          <w:t>https://doi.org/10.1007/s10887-011-9068-z</w:t>
        </w:r>
      </w:hyperlink>
      <w:r w:rsidR="00A4037A" w:rsidRPr="00A4037A">
        <w:rPr>
          <w:lang w:val="en-US"/>
        </w:rPr>
        <w:t xml:space="preserve"> </w:t>
      </w:r>
    </w:p>
    <w:p w14:paraId="5578C02B" w14:textId="105C309F" w:rsidR="00152AEF" w:rsidRPr="00F32020" w:rsidRDefault="00152AEF" w:rsidP="00152AEF">
      <w:pPr>
        <w:adjustRightInd w:val="0"/>
        <w:ind w:left="567" w:hanging="567"/>
        <w:jc w:val="both"/>
      </w:pPr>
      <w:r w:rsidRPr="00F32020">
        <w:t>Diamond</w:t>
      </w:r>
      <w:r w:rsidR="00A4037A" w:rsidRPr="00A4037A">
        <w:rPr>
          <w:lang w:val="en-US"/>
        </w:rPr>
        <w:t>,</w:t>
      </w:r>
      <w:r w:rsidRPr="00F32020">
        <w:t xml:space="preserve"> J</w:t>
      </w:r>
      <w:r w:rsidR="00A4037A" w:rsidRPr="00A4037A">
        <w:rPr>
          <w:lang w:val="en-US"/>
        </w:rPr>
        <w:t>.</w:t>
      </w:r>
      <w:r w:rsidRPr="00F32020">
        <w:t xml:space="preserve"> (1987)</w:t>
      </w:r>
      <w:r w:rsidR="00A4037A" w:rsidRPr="00AD7DB5">
        <w:rPr>
          <w:lang w:val="en-US"/>
        </w:rPr>
        <w:t>.</w:t>
      </w:r>
      <w:r w:rsidRPr="00F32020">
        <w:t xml:space="preserve"> The </w:t>
      </w:r>
      <w:r w:rsidRPr="00F32020">
        <w:rPr>
          <w:i/>
          <w:iCs/>
        </w:rPr>
        <w:t>Worst Mistake</w:t>
      </w:r>
      <w:r w:rsidRPr="00F32020">
        <w:t xml:space="preserve"> in the </w:t>
      </w:r>
      <w:r w:rsidRPr="00F32020">
        <w:rPr>
          <w:i/>
          <w:iCs/>
        </w:rPr>
        <w:t>History</w:t>
      </w:r>
      <w:r w:rsidRPr="00F32020">
        <w:t xml:space="preserve"> of the </w:t>
      </w:r>
      <w:r w:rsidRPr="00F32020">
        <w:rPr>
          <w:i/>
          <w:iCs/>
        </w:rPr>
        <w:t>Human Race</w:t>
      </w:r>
      <w:r w:rsidRPr="00F32020">
        <w:t xml:space="preserve">. </w:t>
      </w:r>
      <w:r w:rsidRPr="00F32020">
        <w:rPr>
          <w:i/>
          <w:iCs/>
        </w:rPr>
        <w:t>Discover Magazine</w:t>
      </w:r>
      <w:r w:rsidRPr="00F32020">
        <w:t xml:space="preserve">, May, Available at: </w:t>
      </w:r>
      <w:hyperlink r:id="rId122" w:history="1">
        <w:r w:rsidRPr="00F32020">
          <w:rPr>
            <w:u w:val="single"/>
          </w:rPr>
          <w:t>http://www3.gettysburg.edu/~dperry/Class%20Readings%20Scanned%20Documents/Intro/Diamond.PDF</w:t>
        </w:r>
      </w:hyperlink>
    </w:p>
    <w:p w14:paraId="147111D5" w14:textId="10550E51" w:rsidR="00152AEF" w:rsidRPr="00F32020" w:rsidRDefault="00152AEF" w:rsidP="00152AEF">
      <w:pPr>
        <w:adjustRightInd w:val="0"/>
        <w:ind w:left="567" w:hanging="567"/>
        <w:jc w:val="both"/>
      </w:pPr>
      <w:r w:rsidRPr="00F32020">
        <w:t>El Ghoul</w:t>
      </w:r>
      <w:r w:rsidR="00A4037A" w:rsidRPr="00A4037A">
        <w:rPr>
          <w:lang w:val="en-US"/>
        </w:rPr>
        <w:t>,</w:t>
      </w:r>
      <w:r w:rsidRPr="00F32020">
        <w:t xml:space="preserve"> S</w:t>
      </w:r>
      <w:r w:rsidR="00A4037A" w:rsidRPr="00A4037A">
        <w:rPr>
          <w:lang w:val="en-US"/>
        </w:rPr>
        <w:t>.</w:t>
      </w:r>
      <w:r w:rsidRPr="00F32020">
        <w:t xml:space="preserve">, </w:t>
      </w:r>
      <w:r w:rsidR="00A4037A" w:rsidRPr="00A4037A">
        <w:rPr>
          <w:lang w:val="en-US"/>
        </w:rPr>
        <w:t xml:space="preserve">&amp; </w:t>
      </w:r>
      <w:r w:rsidRPr="00F32020">
        <w:t>Zheng</w:t>
      </w:r>
      <w:r w:rsidR="00A4037A" w:rsidRPr="00A4037A">
        <w:rPr>
          <w:lang w:val="en-US"/>
        </w:rPr>
        <w:t>,</w:t>
      </w:r>
      <w:r w:rsidRPr="00F32020">
        <w:t xml:space="preserve"> X</w:t>
      </w:r>
      <w:r w:rsidR="00A4037A" w:rsidRPr="00A4037A">
        <w:rPr>
          <w:lang w:val="en-US"/>
        </w:rPr>
        <w:t>.</w:t>
      </w:r>
      <w:r w:rsidRPr="00F32020">
        <w:t xml:space="preserve"> (2016)</w:t>
      </w:r>
      <w:r w:rsidR="00A4037A" w:rsidRPr="00A4037A">
        <w:rPr>
          <w:lang w:val="en-US"/>
        </w:rPr>
        <w:t>.</w:t>
      </w:r>
      <w:r w:rsidRPr="00F32020">
        <w:t xml:space="preserve"> Trade credit provision and national culture. </w:t>
      </w:r>
      <w:r w:rsidRPr="00F32020">
        <w:rPr>
          <w:i/>
          <w:iCs/>
        </w:rPr>
        <w:t>Journal of Corporate Finance</w:t>
      </w:r>
      <w:r w:rsidR="00A4037A" w:rsidRPr="00AD7DB5">
        <w:rPr>
          <w:i/>
          <w:iCs/>
          <w:lang w:val="en-US"/>
        </w:rPr>
        <w:t>,</w:t>
      </w:r>
      <w:r w:rsidRPr="00F32020">
        <w:t xml:space="preserve"> </w:t>
      </w:r>
      <w:r w:rsidRPr="00A4037A">
        <w:rPr>
          <w:i/>
          <w:iCs/>
        </w:rPr>
        <w:t>41</w:t>
      </w:r>
      <w:r w:rsidR="00A4037A" w:rsidRPr="00AD7DB5">
        <w:rPr>
          <w:lang w:val="en-US"/>
        </w:rPr>
        <w:t>,</w:t>
      </w:r>
      <w:r w:rsidRPr="00F32020">
        <w:t xml:space="preserve"> 475-501.</w:t>
      </w:r>
      <w:r w:rsidR="00A4037A" w:rsidRPr="00A4037A">
        <w:t xml:space="preserve"> </w:t>
      </w:r>
      <w:hyperlink r:id="rId123" w:tgtFrame="_blank" w:tooltip="Persistent link using digital object identifier" w:history="1">
        <w:r w:rsidR="00A4037A" w:rsidRPr="00A4037A">
          <w:rPr>
            <w:rStyle w:val="Hyperlink"/>
          </w:rPr>
          <w:t>https://doi.org/10.1016/j.jcorpfin.2016.07.002</w:t>
        </w:r>
      </w:hyperlink>
    </w:p>
    <w:p w14:paraId="50C5D48C" w14:textId="34B620D3" w:rsidR="00152AEF" w:rsidRPr="00245D67" w:rsidRDefault="00152AEF" w:rsidP="00152AEF">
      <w:pPr>
        <w:adjustRightInd w:val="0"/>
        <w:ind w:left="567" w:hanging="567"/>
        <w:jc w:val="both"/>
        <w:rPr>
          <w:lang w:val="en-US"/>
        </w:rPr>
      </w:pPr>
      <w:r w:rsidRPr="00F32020">
        <w:rPr>
          <w:lang w:val="en-US"/>
        </w:rPr>
        <w:t>Esses</w:t>
      </w:r>
      <w:r w:rsidR="00245D67" w:rsidRPr="00AD7DB5">
        <w:rPr>
          <w:lang w:val="en-US"/>
        </w:rPr>
        <w:t>,</w:t>
      </w:r>
      <w:r w:rsidRPr="00F32020">
        <w:rPr>
          <w:lang w:val="en-US"/>
        </w:rPr>
        <w:t xml:space="preserve"> V</w:t>
      </w:r>
      <w:r w:rsidR="00245D67" w:rsidRPr="00AD7DB5">
        <w:rPr>
          <w:lang w:val="en-US"/>
        </w:rPr>
        <w:t>.</w:t>
      </w:r>
      <w:r w:rsidRPr="00F32020">
        <w:rPr>
          <w:lang w:val="en-US"/>
        </w:rPr>
        <w:t xml:space="preserve"> (2018)</w:t>
      </w:r>
      <w:r w:rsidR="00245D67" w:rsidRPr="00AD7DB5">
        <w:rPr>
          <w:lang w:val="en-US"/>
        </w:rPr>
        <w:t>.</w:t>
      </w:r>
      <w:r w:rsidRPr="00F32020">
        <w:rPr>
          <w:lang w:val="en-US"/>
        </w:rPr>
        <w:t xml:space="preserve"> Immigration, Migration, and Culture. </w:t>
      </w:r>
      <w:r w:rsidRPr="00F32020">
        <w:rPr>
          <w:i/>
          <w:iCs/>
        </w:rPr>
        <w:t>Oxford Research Encyclopedia of Psychology.</w:t>
      </w:r>
      <w:r w:rsidRPr="00F32020">
        <w:t xml:space="preserve"> Retrieved 8 Mar. 2020, </w:t>
      </w:r>
      <w:r w:rsidRPr="00F32020">
        <w:rPr>
          <w:lang w:eastAsia="el-GR"/>
        </w:rPr>
        <w:t>DOI: 10.1093/acrefore/9780190236557.013.287</w:t>
      </w:r>
      <w:r w:rsidR="00245D67" w:rsidRPr="00245D67">
        <w:rPr>
          <w:lang w:val="en-US" w:eastAsia="el-GR"/>
        </w:rPr>
        <w:t xml:space="preserve"> </w:t>
      </w:r>
    </w:p>
    <w:p w14:paraId="5077D33A" w14:textId="7ABC1A92" w:rsidR="00152AEF" w:rsidRPr="00F32020" w:rsidRDefault="00152AEF" w:rsidP="00152AEF">
      <w:pPr>
        <w:adjustRightInd w:val="0"/>
        <w:ind w:left="567" w:hanging="567"/>
        <w:jc w:val="both"/>
      </w:pPr>
      <w:r w:rsidRPr="00F32020">
        <w:t>Ferris</w:t>
      </w:r>
      <w:r w:rsidR="00245D67" w:rsidRPr="00245D67">
        <w:rPr>
          <w:lang w:val="en-US"/>
        </w:rPr>
        <w:t>,</w:t>
      </w:r>
      <w:r w:rsidRPr="00F32020">
        <w:t xml:space="preserve"> S</w:t>
      </w:r>
      <w:r w:rsidR="00245D67" w:rsidRPr="00245D67">
        <w:rPr>
          <w:lang w:val="en-US"/>
        </w:rPr>
        <w:t xml:space="preserve">. </w:t>
      </w:r>
      <w:r w:rsidRPr="00F32020">
        <w:t>P</w:t>
      </w:r>
      <w:r w:rsidR="00245D67" w:rsidRPr="00245D67">
        <w:rPr>
          <w:lang w:val="en-US"/>
        </w:rPr>
        <w:t>.</w:t>
      </w:r>
      <w:r w:rsidRPr="00F32020">
        <w:t>, Jayaraman</w:t>
      </w:r>
      <w:r w:rsidR="00245D67" w:rsidRPr="00245D67">
        <w:rPr>
          <w:lang w:val="en-US"/>
        </w:rPr>
        <w:t>,</w:t>
      </w:r>
      <w:r w:rsidRPr="00F32020">
        <w:t xml:space="preserve"> N</w:t>
      </w:r>
      <w:r w:rsidR="00245D67" w:rsidRPr="00245D67">
        <w:rPr>
          <w:lang w:val="en-US"/>
        </w:rPr>
        <w:t>.</w:t>
      </w:r>
      <w:r w:rsidRPr="00F32020">
        <w:t xml:space="preserve">, </w:t>
      </w:r>
      <w:r w:rsidR="00245D67" w:rsidRPr="00245D67">
        <w:rPr>
          <w:lang w:val="en-US"/>
        </w:rPr>
        <w:t xml:space="preserve">&amp; </w:t>
      </w:r>
      <w:r w:rsidRPr="00F32020">
        <w:t>Sabherwal</w:t>
      </w:r>
      <w:r w:rsidR="00245D67" w:rsidRPr="00245D67">
        <w:rPr>
          <w:lang w:val="en-US"/>
        </w:rPr>
        <w:t>,</w:t>
      </w:r>
      <w:r w:rsidRPr="00F32020">
        <w:t xml:space="preserve"> S</w:t>
      </w:r>
      <w:r w:rsidR="00245D67" w:rsidRPr="00245D67">
        <w:rPr>
          <w:lang w:val="en-US"/>
        </w:rPr>
        <w:t>.</w:t>
      </w:r>
      <w:r w:rsidRPr="00F32020">
        <w:t xml:space="preserve"> (2013)</w:t>
      </w:r>
      <w:r w:rsidR="00245D67" w:rsidRPr="00245D67">
        <w:rPr>
          <w:lang w:val="en-US"/>
        </w:rPr>
        <w:t>.</w:t>
      </w:r>
      <w:r w:rsidRPr="00F32020">
        <w:t xml:space="preserve"> CEO overconfidence and international</w:t>
      </w:r>
      <w:r w:rsidRPr="00F32020">
        <w:rPr>
          <w:shd w:val="clear" w:color="auto" w:fill="FFFFFF"/>
        </w:rPr>
        <w:t xml:space="preserve"> </w:t>
      </w:r>
      <w:r w:rsidRPr="00F32020">
        <w:t xml:space="preserve">merger and acquisition activity. </w:t>
      </w:r>
      <w:r w:rsidRPr="00F32020">
        <w:rPr>
          <w:i/>
          <w:iCs/>
        </w:rPr>
        <w:t>Journal of Financial and Quantitative Analysis</w:t>
      </w:r>
      <w:r w:rsidR="00245D67" w:rsidRPr="00245D67">
        <w:rPr>
          <w:i/>
          <w:iCs/>
          <w:lang w:val="en-US"/>
        </w:rPr>
        <w:t>,</w:t>
      </w:r>
      <w:r w:rsidRPr="00F32020">
        <w:t xml:space="preserve"> </w:t>
      </w:r>
      <w:r w:rsidRPr="00245D67">
        <w:rPr>
          <w:i/>
          <w:iCs/>
        </w:rPr>
        <w:t>48</w:t>
      </w:r>
      <w:r w:rsidR="00245D67" w:rsidRPr="00245D67">
        <w:rPr>
          <w:lang w:val="en-US"/>
        </w:rPr>
        <w:t>(1),</w:t>
      </w:r>
      <w:r w:rsidRPr="00F32020">
        <w:t xml:space="preserve"> 137-164.</w:t>
      </w:r>
      <w:r w:rsidR="00245D67" w:rsidRPr="00245D67">
        <w:t xml:space="preserve"> </w:t>
      </w:r>
      <w:hyperlink r:id="rId124" w:tgtFrame="_blank" w:history="1">
        <w:r w:rsidR="00245D67" w:rsidRPr="00245D67">
          <w:rPr>
            <w:rStyle w:val="Hyperlink"/>
          </w:rPr>
          <w:t>https://doi.org/10.1017/S0022109013000069</w:t>
        </w:r>
      </w:hyperlink>
    </w:p>
    <w:p w14:paraId="1FEF4624" w14:textId="751BB2F0" w:rsidR="00152AEF" w:rsidRPr="00F32020" w:rsidRDefault="00152AEF" w:rsidP="00152AEF">
      <w:pPr>
        <w:adjustRightInd w:val="0"/>
        <w:ind w:left="567" w:hanging="567"/>
        <w:jc w:val="both"/>
        <w:rPr>
          <w:shd w:val="clear" w:color="auto" w:fill="FFFFFF"/>
        </w:rPr>
      </w:pPr>
      <w:r w:rsidRPr="00F32020">
        <w:rPr>
          <w:shd w:val="clear" w:color="auto" w:fill="FFFFFF"/>
        </w:rPr>
        <w:t>Fischer</w:t>
      </w:r>
      <w:r w:rsidR="0028011D" w:rsidRPr="0028011D">
        <w:rPr>
          <w:shd w:val="clear" w:color="auto" w:fill="FFFFFF"/>
          <w:lang w:val="en-US"/>
        </w:rPr>
        <w:t>,</w:t>
      </w:r>
      <w:r w:rsidRPr="00F32020">
        <w:rPr>
          <w:shd w:val="clear" w:color="auto" w:fill="FFFFFF"/>
        </w:rPr>
        <w:t xml:space="preserve"> T</w:t>
      </w:r>
      <w:r w:rsidR="0028011D" w:rsidRPr="0028011D">
        <w:rPr>
          <w:shd w:val="clear" w:color="auto" w:fill="FFFFFF"/>
          <w:lang w:val="en-US"/>
        </w:rPr>
        <w:t>.</w:t>
      </w:r>
      <w:r w:rsidRPr="00F32020">
        <w:rPr>
          <w:shd w:val="clear" w:color="auto" w:fill="FFFFFF"/>
        </w:rPr>
        <w:t xml:space="preserve">, </w:t>
      </w:r>
      <w:r w:rsidR="0028011D" w:rsidRPr="0028011D">
        <w:rPr>
          <w:shd w:val="clear" w:color="auto" w:fill="FFFFFF"/>
          <w:lang w:val="en-US"/>
        </w:rPr>
        <w:t xml:space="preserve">&amp; </w:t>
      </w:r>
      <w:r w:rsidRPr="00F32020">
        <w:rPr>
          <w:shd w:val="clear" w:color="auto" w:fill="FFFFFF"/>
        </w:rPr>
        <w:t>Ringler</w:t>
      </w:r>
      <w:r w:rsidR="0028011D" w:rsidRPr="0028011D">
        <w:rPr>
          <w:shd w:val="clear" w:color="auto" w:fill="FFFFFF"/>
          <w:lang w:val="en-US"/>
        </w:rPr>
        <w:t>,</w:t>
      </w:r>
      <w:r w:rsidRPr="00F32020">
        <w:rPr>
          <w:shd w:val="clear" w:color="auto" w:fill="FFFFFF"/>
        </w:rPr>
        <w:t xml:space="preserve"> P</w:t>
      </w:r>
      <w:r w:rsidR="0028011D" w:rsidRPr="0028011D">
        <w:rPr>
          <w:shd w:val="clear" w:color="auto" w:fill="FFFFFF"/>
          <w:lang w:val="en-US"/>
        </w:rPr>
        <w:t>.</w:t>
      </w:r>
      <w:r w:rsidRPr="00F32020">
        <w:rPr>
          <w:shd w:val="clear" w:color="auto" w:fill="FFFFFF"/>
        </w:rPr>
        <w:t xml:space="preserve"> (2014)</w:t>
      </w:r>
      <w:r w:rsidR="0028011D" w:rsidRPr="00AD7DB5">
        <w:rPr>
          <w:shd w:val="clear" w:color="auto" w:fill="FFFFFF"/>
          <w:lang w:val="en-US"/>
        </w:rPr>
        <w:t>.</w:t>
      </w:r>
      <w:r w:rsidRPr="00F32020">
        <w:rPr>
          <w:shd w:val="clear" w:color="auto" w:fill="FFFFFF"/>
        </w:rPr>
        <w:t xml:space="preserve"> What patents are used as collateral? - An empirical analysis of patent reassignment data. </w:t>
      </w:r>
      <w:r w:rsidRPr="00F32020">
        <w:rPr>
          <w:i/>
          <w:iCs/>
        </w:rPr>
        <w:t>Journal of Business Venturing</w:t>
      </w:r>
      <w:r w:rsidR="0028011D" w:rsidRPr="003F3E63">
        <w:rPr>
          <w:i/>
          <w:iCs/>
          <w:lang w:val="en-US"/>
        </w:rPr>
        <w:t>,</w:t>
      </w:r>
      <w:r w:rsidRPr="00F32020">
        <w:t xml:space="preserve"> </w:t>
      </w:r>
      <w:r w:rsidRPr="0028011D">
        <w:rPr>
          <w:i/>
          <w:iCs/>
        </w:rPr>
        <w:t>29</w:t>
      </w:r>
      <w:r w:rsidR="0028011D" w:rsidRPr="003F3E63">
        <w:rPr>
          <w:lang w:val="en-US"/>
        </w:rPr>
        <w:t>(</w:t>
      </w:r>
      <w:r w:rsidR="003F3E63" w:rsidRPr="003F3E63">
        <w:rPr>
          <w:lang w:val="en-US"/>
        </w:rPr>
        <w:t>5</w:t>
      </w:r>
      <w:r w:rsidR="0028011D" w:rsidRPr="003F3E63">
        <w:rPr>
          <w:lang w:val="en-US"/>
        </w:rPr>
        <w:t>),</w:t>
      </w:r>
      <w:r w:rsidRPr="00F32020">
        <w:rPr>
          <w:shd w:val="clear" w:color="auto" w:fill="FFFFFF"/>
        </w:rPr>
        <w:t xml:space="preserve"> 633-650.</w:t>
      </w:r>
      <w:r w:rsidR="003F3E63" w:rsidRPr="003F3E63">
        <w:t xml:space="preserve"> </w:t>
      </w:r>
      <w:hyperlink r:id="rId125" w:tgtFrame="_blank" w:tooltip="Persistent link using digital object identifier" w:history="1">
        <w:r w:rsidR="003F3E63" w:rsidRPr="003F3E63">
          <w:rPr>
            <w:rStyle w:val="Hyperlink"/>
            <w:shd w:val="clear" w:color="auto" w:fill="FFFFFF"/>
          </w:rPr>
          <w:t>https://doi.org/10.1016/j.jbusvent.2014.04.002</w:t>
        </w:r>
      </w:hyperlink>
    </w:p>
    <w:p w14:paraId="1896704C" w14:textId="57D25D5B" w:rsidR="00152AEF" w:rsidRPr="00F32020" w:rsidRDefault="00152AEF" w:rsidP="00152AEF">
      <w:pPr>
        <w:adjustRightInd w:val="0"/>
        <w:ind w:left="567" w:hanging="567"/>
        <w:jc w:val="both"/>
      </w:pPr>
      <w:r w:rsidRPr="00AD7DB5">
        <w:rPr>
          <w:lang w:val="en-US"/>
        </w:rPr>
        <w:t>Gaganis</w:t>
      </w:r>
      <w:r w:rsidR="00B8751E" w:rsidRPr="00AD7DB5">
        <w:rPr>
          <w:lang w:val="en-US"/>
        </w:rPr>
        <w:t>,</w:t>
      </w:r>
      <w:r w:rsidRPr="00AD7DB5">
        <w:rPr>
          <w:lang w:val="en-US"/>
        </w:rPr>
        <w:t xml:space="preserve"> C</w:t>
      </w:r>
      <w:r w:rsidR="00B8751E" w:rsidRPr="00AD7DB5">
        <w:rPr>
          <w:lang w:val="en-US"/>
        </w:rPr>
        <w:t>.</w:t>
      </w:r>
      <w:r w:rsidRPr="00AD7DB5">
        <w:rPr>
          <w:lang w:val="en-US"/>
        </w:rPr>
        <w:t>, Hasan</w:t>
      </w:r>
      <w:r w:rsidR="00B8751E" w:rsidRPr="00AD7DB5">
        <w:rPr>
          <w:lang w:val="en-US"/>
        </w:rPr>
        <w:t>,</w:t>
      </w:r>
      <w:r w:rsidRPr="00AD7DB5">
        <w:rPr>
          <w:lang w:val="en-US"/>
        </w:rPr>
        <w:t xml:space="preserve"> I</w:t>
      </w:r>
      <w:r w:rsidR="00B8751E" w:rsidRPr="00AD7DB5">
        <w:rPr>
          <w:lang w:val="en-US"/>
        </w:rPr>
        <w:t>.</w:t>
      </w:r>
      <w:r w:rsidRPr="00AD7DB5">
        <w:rPr>
          <w:lang w:val="en-US"/>
        </w:rPr>
        <w:t xml:space="preserve">, </w:t>
      </w:r>
      <w:r w:rsidR="00B8751E" w:rsidRPr="00AD7DB5">
        <w:rPr>
          <w:lang w:val="en-US"/>
        </w:rPr>
        <w:t xml:space="preserve">&amp; </w:t>
      </w:r>
      <w:r w:rsidRPr="00AD7DB5">
        <w:rPr>
          <w:lang w:val="en-US"/>
        </w:rPr>
        <w:t>Pasiouras</w:t>
      </w:r>
      <w:r w:rsidR="00B8751E" w:rsidRPr="00AD7DB5">
        <w:rPr>
          <w:lang w:val="en-US"/>
        </w:rPr>
        <w:t>,</w:t>
      </w:r>
      <w:r w:rsidRPr="00AD7DB5">
        <w:rPr>
          <w:lang w:val="en-US"/>
        </w:rPr>
        <w:t xml:space="preserve"> F</w:t>
      </w:r>
      <w:r w:rsidR="00B8751E" w:rsidRPr="00AD7DB5">
        <w:rPr>
          <w:lang w:val="en-US"/>
        </w:rPr>
        <w:t>.</w:t>
      </w:r>
      <w:r w:rsidRPr="00AD7DB5">
        <w:rPr>
          <w:lang w:val="en-US"/>
        </w:rPr>
        <w:t xml:space="preserve"> (2020)</w:t>
      </w:r>
      <w:r w:rsidR="00B8751E" w:rsidRPr="00AD7DB5">
        <w:rPr>
          <w:lang w:val="en-US"/>
        </w:rPr>
        <w:t>.</w:t>
      </w:r>
      <w:r w:rsidRPr="00AD7DB5">
        <w:rPr>
          <w:lang w:val="en-US"/>
        </w:rPr>
        <w:t xml:space="preserve"> </w:t>
      </w:r>
      <w:r w:rsidRPr="00F32020">
        <w:t xml:space="preserve">National culture and housing credit. </w:t>
      </w:r>
      <w:r w:rsidRPr="00F32020">
        <w:rPr>
          <w:i/>
          <w:iCs/>
        </w:rPr>
        <w:t>Journal of Empirical Finance</w:t>
      </w:r>
      <w:r w:rsidR="00C426B5" w:rsidRPr="00C426B5">
        <w:rPr>
          <w:i/>
          <w:iCs/>
          <w:lang w:val="en-US"/>
        </w:rPr>
        <w:t>,</w:t>
      </w:r>
      <w:r w:rsidRPr="00F32020">
        <w:t xml:space="preserve"> </w:t>
      </w:r>
      <w:r w:rsidRPr="00C426B5">
        <w:rPr>
          <w:i/>
          <w:iCs/>
        </w:rPr>
        <w:t>56</w:t>
      </w:r>
      <w:r w:rsidR="00C426B5" w:rsidRPr="00C426B5">
        <w:rPr>
          <w:lang w:val="en-US"/>
        </w:rPr>
        <w:t>,</w:t>
      </w:r>
      <w:r w:rsidRPr="00F32020">
        <w:t xml:space="preserve"> 19-41.</w:t>
      </w:r>
      <w:r w:rsidR="00C426B5" w:rsidRPr="00C426B5">
        <w:t xml:space="preserve"> </w:t>
      </w:r>
      <w:hyperlink r:id="rId126" w:tgtFrame="_blank" w:tooltip="Persistent link using digital object identifier" w:history="1">
        <w:r w:rsidR="00C426B5" w:rsidRPr="00C426B5">
          <w:rPr>
            <w:rStyle w:val="Hyperlink"/>
          </w:rPr>
          <w:t>https://doi.org/10.1016/j.jempfin.2019.12.003</w:t>
        </w:r>
      </w:hyperlink>
    </w:p>
    <w:p w14:paraId="5E5ED3E5" w14:textId="2D25FFA7" w:rsidR="00152AEF" w:rsidRPr="00F32020" w:rsidRDefault="00152AEF" w:rsidP="00152AEF">
      <w:pPr>
        <w:adjustRightInd w:val="0"/>
        <w:ind w:left="567" w:hanging="567"/>
        <w:jc w:val="both"/>
      </w:pPr>
      <w:r w:rsidRPr="00F32020">
        <w:t>Galor</w:t>
      </w:r>
      <w:r w:rsidR="00C426B5" w:rsidRPr="00C426B5">
        <w:rPr>
          <w:lang w:val="en-US"/>
        </w:rPr>
        <w:t>,</w:t>
      </w:r>
      <w:r w:rsidRPr="00F32020">
        <w:t xml:space="preserve"> O</w:t>
      </w:r>
      <w:r w:rsidR="00C426B5" w:rsidRPr="00C426B5">
        <w:rPr>
          <w:lang w:val="en-US"/>
        </w:rPr>
        <w:t>.</w:t>
      </w:r>
      <w:r w:rsidRPr="00F32020">
        <w:t>, Klemp</w:t>
      </w:r>
      <w:r w:rsidR="00C426B5" w:rsidRPr="00C426B5">
        <w:rPr>
          <w:lang w:val="en-US"/>
        </w:rPr>
        <w:t>,</w:t>
      </w:r>
      <w:r w:rsidRPr="00F32020">
        <w:t xml:space="preserve"> M</w:t>
      </w:r>
      <w:r w:rsidR="00C426B5" w:rsidRPr="00C426B5">
        <w:rPr>
          <w:lang w:val="en-US"/>
        </w:rPr>
        <w:t>.</w:t>
      </w:r>
      <w:r w:rsidRPr="00F32020">
        <w:t xml:space="preserve">, </w:t>
      </w:r>
      <w:r w:rsidR="00C426B5" w:rsidRPr="00C426B5">
        <w:rPr>
          <w:lang w:val="en-US"/>
        </w:rPr>
        <w:t xml:space="preserve">&amp; </w:t>
      </w:r>
      <w:r w:rsidRPr="00F32020">
        <w:t>Wainstock</w:t>
      </w:r>
      <w:r w:rsidR="00C426B5" w:rsidRPr="00C426B5">
        <w:rPr>
          <w:lang w:val="en-US"/>
        </w:rPr>
        <w:t>,</w:t>
      </w:r>
      <w:r w:rsidRPr="00F32020">
        <w:t xml:space="preserve"> D</w:t>
      </w:r>
      <w:r w:rsidR="00C426B5" w:rsidRPr="00C426B5">
        <w:rPr>
          <w:lang w:val="en-US"/>
        </w:rPr>
        <w:t>.</w:t>
      </w:r>
      <w:r w:rsidR="00445652" w:rsidRPr="00445652">
        <w:rPr>
          <w:lang w:val="en-US"/>
        </w:rPr>
        <w:t xml:space="preserve"> </w:t>
      </w:r>
      <w:r w:rsidRPr="00F32020">
        <w:t>C</w:t>
      </w:r>
      <w:r w:rsidR="00C426B5" w:rsidRPr="00C426B5">
        <w:rPr>
          <w:lang w:val="en-US"/>
        </w:rPr>
        <w:t>.</w:t>
      </w:r>
      <w:r w:rsidRPr="00F32020">
        <w:t xml:space="preserve"> (2023)</w:t>
      </w:r>
      <w:r w:rsidR="00C426B5" w:rsidRPr="00C426B5">
        <w:rPr>
          <w:lang w:val="en-US"/>
        </w:rPr>
        <w:t>.</w:t>
      </w:r>
      <w:r w:rsidRPr="00F32020">
        <w:t xml:space="preserve"> The Impact of the Prehistoric Out of Africa Migration on Cultural Diversity. NBER Working Papers 31274, National Bureau of Economic Research, Inc.</w:t>
      </w:r>
    </w:p>
    <w:p w14:paraId="76F3F28C" w14:textId="1F39F2FC" w:rsidR="00152AEF" w:rsidRPr="00F32020" w:rsidRDefault="00152AEF" w:rsidP="00152AEF">
      <w:pPr>
        <w:adjustRightInd w:val="0"/>
        <w:ind w:left="567" w:hanging="567"/>
        <w:jc w:val="both"/>
      </w:pPr>
      <w:r w:rsidRPr="00F32020">
        <w:t>Galor</w:t>
      </w:r>
      <w:r w:rsidR="00C426B5" w:rsidRPr="00C426B5">
        <w:rPr>
          <w:lang w:val="en-US"/>
        </w:rPr>
        <w:t>,</w:t>
      </w:r>
      <w:r w:rsidRPr="00F32020">
        <w:t xml:space="preserve"> O</w:t>
      </w:r>
      <w:r w:rsidR="00C426B5" w:rsidRPr="00C426B5">
        <w:rPr>
          <w:lang w:val="en-US"/>
        </w:rPr>
        <w:t>.</w:t>
      </w:r>
      <w:r w:rsidRPr="00F32020">
        <w:t xml:space="preserve">, </w:t>
      </w:r>
      <w:r w:rsidR="00C426B5" w:rsidRPr="00C426B5">
        <w:rPr>
          <w:lang w:val="en-US"/>
        </w:rPr>
        <w:t xml:space="preserve">&amp; </w:t>
      </w:r>
      <w:r w:rsidRPr="00F32020">
        <w:t>Ozak</w:t>
      </w:r>
      <w:r w:rsidR="00C426B5" w:rsidRPr="00C426B5">
        <w:rPr>
          <w:lang w:val="en-US"/>
        </w:rPr>
        <w:t>,</w:t>
      </w:r>
      <w:r w:rsidRPr="00F32020">
        <w:t xml:space="preserve"> O</w:t>
      </w:r>
      <w:r w:rsidR="00C426B5" w:rsidRPr="00C426B5">
        <w:rPr>
          <w:lang w:val="en-US"/>
        </w:rPr>
        <w:t>.</w:t>
      </w:r>
      <w:r w:rsidRPr="00F32020">
        <w:t xml:space="preserve"> (2016)</w:t>
      </w:r>
      <w:r w:rsidR="00C426B5" w:rsidRPr="00AD7DB5">
        <w:rPr>
          <w:lang w:val="en-US"/>
        </w:rPr>
        <w:t>.</w:t>
      </w:r>
      <w:r w:rsidRPr="00F32020">
        <w:t xml:space="preserve"> The agricultural origins of time preference. </w:t>
      </w:r>
      <w:r w:rsidRPr="00F32020">
        <w:rPr>
          <w:i/>
          <w:iCs/>
        </w:rPr>
        <w:t>American Economic Review</w:t>
      </w:r>
      <w:r w:rsidR="00C426B5">
        <w:rPr>
          <w:i/>
          <w:iCs/>
        </w:rPr>
        <w:t>,</w:t>
      </w:r>
      <w:r w:rsidRPr="00F32020">
        <w:t xml:space="preserve"> </w:t>
      </w:r>
      <w:r w:rsidRPr="00C426B5">
        <w:rPr>
          <w:i/>
          <w:iCs/>
        </w:rPr>
        <w:t>106</w:t>
      </w:r>
      <w:r w:rsidR="00C426B5" w:rsidRPr="00C426B5">
        <w:t>(10),</w:t>
      </w:r>
      <w:r w:rsidRPr="00F32020">
        <w:t xml:space="preserve"> 3064-3103.</w:t>
      </w:r>
      <w:r w:rsidR="00C426B5">
        <w:rPr>
          <w:rFonts w:ascii="Georgia" w:hAnsi="Georgia"/>
          <w:color w:val="353C3F"/>
          <w:sz w:val="27"/>
          <w:szCs w:val="27"/>
          <w:shd w:val="clear" w:color="auto" w:fill="FFFFFF"/>
        </w:rPr>
        <w:t xml:space="preserve"> </w:t>
      </w:r>
      <w:hyperlink r:id="rId127" w:history="1">
        <w:r w:rsidR="00DA387D" w:rsidRPr="002969F1">
          <w:rPr>
            <w:rStyle w:val="Hyperlink"/>
          </w:rPr>
          <w:t>https://doi.org/10.1257/aer.20150020</w:t>
        </w:r>
      </w:hyperlink>
      <w:r w:rsidR="00C426B5">
        <w:t xml:space="preserve"> </w:t>
      </w:r>
    </w:p>
    <w:p w14:paraId="07ACD674" w14:textId="7F159464" w:rsidR="00152AEF" w:rsidRPr="00445652" w:rsidRDefault="00152AEF" w:rsidP="00152AEF">
      <w:pPr>
        <w:adjustRightInd w:val="0"/>
        <w:ind w:left="567" w:hanging="567"/>
        <w:jc w:val="both"/>
        <w:rPr>
          <w:shd w:val="clear" w:color="auto" w:fill="FFFFFF"/>
          <w:lang w:val="en-US"/>
        </w:rPr>
      </w:pPr>
      <w:r w:rsidRPr="00F32020">
        <w:t>Giavazzi</w:t>
      </w:r>
      <w:r w:rsidR="00DA387D" w:rsidRPr="00DA387D">
        <w:rPr>
          <w:lang w:val="en-US"/>
        </w:rPr>
        <w:t>,</w:t>
      </w:r>
      <w:r w:rsidRPr="00F32020">
        <w:t xml:space="preserve"> F</w:t>
      </w:r>
      <w:r w:rsidR="00DA387D" w:rsidRPr="00DA387D">
        <w:rPr>
          <w:lang w:val="en-US"/>
        </w:rPr>
        <w:t>.</w:t>
      </w:r>
      <w:r w:rsidRPr="00F32020">
        <w:t xml:space="preserve">, </w:t>
      </w:r>
      <w:r w:rsidR="00DA387D" w:rsidRPr="00DA387D">
        <w:rPr>
          <w:lang w:val="en-US"/>
        </w:rPr>
        <w:t xml:space="preserve">&amp; </w:t>
      </w:r>
      <w:r w:rsidRPr="00F32020">
        <w:t>Petkov</w:t>
      </w:r>
      <w:r w:rsidR="00DA387D" w:rsidRPr="00DA387D">
        <w:rPr>
          <w:lang w:val="en-US"/>
        </w:rPr>
        <w:t>,</w:t>
      </w:r>
      <w:r w:rsidRPr="00F32020">
        <w:t xml:space="preserve"> I</w:t>
      </w:r>
      <w:r w:rsidR="00DA387D" w:rsidRPr="00DA387D">
        <w:rPr>
          <w:lang w:val="en-US"/>
        </w:rPr>
        <w:t>.</w:t>
      </w:r>
      <w:r w:rsidRPr="00F32020">
        <w:t xml:space="preserve">, </w:t>
      </w:r>
      <w:r w:rsidR="00DA387D" w:rsidRPr="00DA387D">
        <w:rPr>
          <w:lang w:val="en-US"/>
        </w:rPr>
        <w:t xml:space="preserve">&amp; </w:t>
      </w:r>
      <w:r w:rsidRPr="00F32020">
        <w:t>Schiantarelli</w:t>
      </w:r>
      <w:r w:rsidR="00DA387D" w:rsidRPr="00DA387D">
        <w:rPr>
          <w:lang w:val="en-US"/>
        </w:rPr>
        <w:t>,</w:t>
      </w:r>
      <w:r w:rsidRPr="00F32020">
        <w:t xml:space="preserve"> F</w:t>
      </w:r>
      <w:r w:rsidR="00DA387D" w:rsidRPr="00DA387D">
        <w:rPr>
          <w:lang w:val="en-US"/>
        </w:rPr>
        <w:t>.</w:t>
      </w:r>
      <w:r w:rsidRPr="00F32020">
        <w:t xml:space="preserve"> (2019)</w:t>
      </w:r>
      <w:r w:rsidR="00DA387D" w:rsidRPr="00DA387D">
        <w:rPr>
          <w:lang w:val="en-US"/>
        </w:rPr>
        <w:t>.</w:t>
      </w:r>
      <w:r w:rsidRPr="00F32020">
        <w:t xml:space="preserve"> Culture: persistence and evolution. </w:t>
      </w:r>
      <w:r w:rsidRPr="00F32020">
        <w:rPr>
          <w:i/>
          <w:iCs/>
        </w:rPr>
        <w:t>Journal of Economic Growth</w:t>
      </w:r>
      <w:r w:rsidR="00DA387D" w:rsidRPr="00DA387D">
        <w:rPr>
          <w:i/>
          <w:iCs/>
          <w:lang w:val="en-US"/>
        </w:rPr>
        <w:t>,</w:t>
      </w:r>
      <w:r w:rsidRPr="00DA387D">
        <w:rPr>
          <w:i/>
          <w:iCs/>
        </w:rPr>
        <w:t xml:space="preserve"> 24</w:t>
      </w:r>
      <w:r w:rsidR="00DA387D" w:rsidRPr="00DA387D">
        <w:rPr>
          <w:lang w:val="en-US"/>
        </w:rPr>
        <w:t>(</w:t>
      </w:r>
      <w:r w:rsidR="00DA387D" w:rsidRPr="00AD7DB5">
        <w:rPr>
          <w:lang w:val="en-US"/>
        </w:rPr>
        <w:t>2</w:t>
      </w:r>
      <w:r w:rsidR="00DA387D" w:rsidRPr="00DA387D">
        <w:rPr>
          <w:lang w:val="en-US"/>
        </w:rPr>
        <w:t>),</w:t>
      </w:r>
      <w:r w:rsidRPr="00F32020">
        <w:t xml:space="preserve"> 117-154.</w:t>
      </w:r>
      <w:r w:rsidR="00DA387D" w:rsidRPr="00DA387D">
        <w:t xml:space="preserve"> </w:t>
      </w:r>
      <w:hyperlink r:id="rId128" w:history="1">
        <w:r w:rsidR="00DA387D" w:rsidRPr="002969F1">
          <w:rPr>
            <w:rStyle w:val="Hyperlink"/>
          </w:rPr>
          <w:t>https://doi.org/10.1007/s10887-019-09166-2</w:t>
        </w:r>
      </w:hyperlink>
      <w:r w:rsidR="00DA387D" w:rsidRPr="00445652">
        <w:rPr>
          <w:lang w:val="en-US"/>
        </w:rPr>
        <w:t xml:space="preserve"> </w:t>
      </w:r>
    </w:p>
    <w:p w14:paraId="0CABE1B5" w14:textId="763D1FDC" w:rsidR="00152AEF" w:rsidRPr="00674E8E" w:rsidRDefault="00152AEF" w:rsidP="00445652">
      <w:pPr>
        <w:adjustRightInd w:val="0"/>
        <w:ind w:left="567" w:hanging="567"/>
        <w:jc w:val="both"/>
        <w:rPr>
          <w:lang w:val="en-US"/>
        </w:rPr>
      </w:pPr>
      <w:r w:rsidRPr="00F32020">
        <w:t>Hansen</w:t>
      </w:r>
      <w:r w:rsidR="00445652" w:rsidRPr="00445652">
        <w:rPr>
          <w:lang w:val="en-US"/>
        </w:rPr>
        <w:t>,</w:t>
      </w:r>
      <w:r w:rsidRPr="00F32020">
        <w:t xml:space="preserve"> C</w:t>
      </w:r>
      <w:r w:rsidR="00445652" w:rsidRPr="00445652">
        <w:rPr>
          <w:lang w:val="en-US"/>
        </w:rPr>
        <w:t xml:space="preserve">. </w:t>
      </w:r>
      <w:r w:rsidRPr="00F32020">
        <w:t>W</w:t>
      </w:r>
      <w:r w:rsidR="00445652" w:rsidRPr="00445652">
        <w:rPr>
          <w:lang w:val="en-US"/>
        </w:rPr>
        <w:t>.</w:t>
      </w:r>
      <w:r w:rsidRPr="00F32020">
        <w:t>, Jensen</w:t>
      </w:r>
      <w:r w:rsidR="00445652" w:rsidRPr="00445652">
        <w:rPr>
          <w:lang w:val="en-US"/>
        </w:rPr>
        <w:t>,</w:t>
      </w:r>
      <w:r w:rsidRPr="00F32020">
        <w:t xml:space="preserve"> P</w:t>
      </w:r>
      <w:r w:rsidR="00445652" w:rsidRPr="00445652">
        <w:rPr>
          <w:lang w:val="en-US"/>
        </w:rPr>
        <w:t xml:space="preserve">. </w:t>
      </w:r>
      <w:r w:rsidRPr="00F32020">
        <w:t>S</w:t>
      </w:r>
      <w:r w:rsidR="00445652" w:rsidRPr="00445652">
        <w:rPr>
          <w:lang w:val="en-US"/>
        </w:rPr>
        <w:t>.</w:t>
      </w:r>
      <w:r w:rsidRPr="00F32020">
        <w:t xml:space="preserve">, </w:t>
      </w:r>
      <w:r w:rsidR="00445652" w:rsidRPr="00445652">
        <w:rPr>
          <w:lang w:val="en-US"/>
        </w:rPr>
        <w:t>&amp;</w:t>
      </w:r>
      <w:r w:rsidRPr="00F32020">
        <w:t>Skovsgaard</w:t>
      </w:r>
      <w:r w:rsidR="00445652" w:rsidRPr="00445652">
        <w:rPr>
          <w:lang w:val="en-US"/>
        </w:rPr>
        <w:t>,</w:t>
      </w:r>
      <w:r w:rsidRPr="00F32020">
        <w:t xml:space="preserve"> C</w:t>
      </w:r>
      <w:r w:rsidR="00445652" w:rsidRPr="00445652">
        <w:rPr>
          <w:lang w:val="en-US"/>
        </w:rPr>
        <w:t xml:space="preserve">. </w:t>
      </w:r>
      <w:r w:rsidRPr="00F32020">
        <w:t>V</w:t>
      </w:r>
      <w:r w:rsidR="00445652" w:rsidRPr="00445652">
        <w:rPr>
          <w:lang w:val="en-US"/>
        </w:rPr>
        <w:t>.</w:t>
      </w:r>
      <w:r w:rsidRPr="00F32020">
        <w:t xml:space="preserve"> (2015)</w:t>
      </w:r>
      <w:r w:rsidR="00445652" w:rsidRPr="00AD7DB5">
        <w:rPr>
          <w:lang w:val="en-US"/>
        </w:rPr>
        <w:t>.</w:t>
      </w:r>
      <w:r w:rsidRPr="00F32020">
        <w:t xml:space="preserve"> Modern gender roles and agricultural history: the Neolithic inheritance. </w:t>
      </w:r>
      <w:r w:rsidRPr="00F32020">
        <w:rPr>
          <w:i/>
          <w:iCs/>
        </w:rPr>
        <w:t>Journal of Economic Growth</w:t>
      </w:r>
      <w:r w:rsidR="00445652" w:rsidRPr="00674E8E">
        <w:rPr>
          <w:i/>
          <w:iCs/>
          <w:lang w:val="en-US"/>
        </w:rPr>
        <w:t>,</w:t>
      </w:r>
      <w:r w:rsidRPr="00F32020">
        <w:t xml:space="preserve"> </w:t>
      </w:r>
      <w:r w:rsidRPr="00445652">
        <w:rPr>
          <w:i/>
          <w:iCs/>
        </w:rPr>
        <w:t>20</w:t>
      </w:r>
      <w:r w:rsidR="00445652" w:rsidRPr="00674E8E">
        <w:rPr>
          <w:lang w:val="en-US"/>
        </w:rPr>
        <w:t>(</w:t>
      </w:r>
      <w:r w:rsidR="00674E8E" w:rsidRPr="00674E8E">
        <w:rPr>
          <w:lang w:val="en-US"/>
        </w:rPr>
        <w:t>4</w:t>
      </w:r>
      <w:r w:rsidR="00445652" w:rsidRPr="00674E8E">
        <w:rPr>
          <w:lang w:val="en-US"/>
        </w:rPr>
        <w:t>),</w:t>
      </w:r>
      <w:r w:rsidRPr="00F32020">
        <w:t xml:space="preserve"> 365-404.</w:t>
      </w:r>
      <w:r w:rsidR="00445652" w:rsidRPr="00674E8E">
        <w:rPr>
          <w:lang w:val="en-US"/>
        </w:rPr>
        <w:t xml:space="preserve"> </w:t>
      </w:r>
      <w:hyperlink r:id="rId129" w:history="1">
        <w:r w:rsidR="00445652" w:rsidRPr="002969F1">
          <w:rPr>
            <w:rStyle w:val="Hyperlink"/>
          </w:rPr>
          <w:t>https://doi.org/10.1007/s10887-015-9119-y</w:t>
        </w:r>
      </w:hyperlink>
      <w:r w:rsidR="00445652" w:rsidRPr="00674E8E">
        <w:rPr>
          <w:lang w:val="en-US"/>
        </w:rPr>
        <w:t xml:space="preserve"> </w:t>
      </w:r>
    </w:p>
    <w:p w14:paraId="38FE8DC2" w14:textId="30454A19" w:rsidR="00152AEF" w:rsidRPr="00F32020" w:rsidRDefault="00152AEF" w:rsidP="00152AEF">
      <w:pPr>
        <w:adjustRightInd w:val="0"/>
        <w:ind w:left="567" w:hanging="567"/>
        <w:jc w:val="both"/>
      </w:pPr>
      <w:r w:rsidRPr="00F32020">
        <w:rPr>
          <w:shd w:val="clear" w:color="auto" w:fill="FFFFFF"/>
        </w:rPr>
        <w:t>Hmieleski</w:t>
      </w:r>
      <w:r w:rsidR="00674E8E" w:rsidRPr="00674E8E">
        <w:rPr>
          <w:shd w:val="clear" w:color="auto" w:fill="FFFFFF"/>
          <w:lang w:val="en-US"/>
        </w:rPr>
        <w:t>,</w:t>
      </w:r>
      <w:r w:rsidRPr="00F32020">
        <w:rPr>
          <w:shd w:val="clear" w:color="auto" w:fill="FFFFFF"/>
        </w:rPr>
        <w:t xml:space="preserve"> K</w:t>
      </w:r>
      <w:r w:rsidR="00674E8E" w:rsidRPr="00674E8E">
        <w:rPr>
          <w:shd w:val="clear" w:color="auto" w:fill="FFFFFF"/>
          <w:lang w:val="en-US"/>
        </w:rPr>
        <w:t xml:space="preserve">. </w:t>
      </w:r>
      <w:r w:rsidRPr="00F32020">
        <w:rPr>
          <w:shd w:val="clear" w:color="auto" w:fill="FFFFFF"/>
        </w:rPr>
        <w:t>M</w:t>
      </w:r>
      <w:r w:rsidR="00674E8E" w:rsidRPr="00674E8E">
        <w:rPr>
          <w:shd w:val="clear" w:color="auto" w:fill="FFFFFF"/>
          <w:lang w:val="en-US"/>
        </w:rPr>
        <w:t>.</w:t>
      </w:r>
      <w:r w:rsidRPr="00F32020">
        <w:rPr>
          <w:shd w:val="clear" w:color="auto" w:fill="FFFFFF"/>
        </w:rPr>
        <w:t xml:space="preserve">, </w:t>
      </w:r>
      <w:r w:rsidR="00674E8E" w:rsidRPr="00674E8E">
        <w:rPr>
          <w:shd w:val="clear" w:color="auto" w:fill="FFFFFF"/>
          <w:lang w:val="en-US"/>
        </w:rPr>
        <w:t xml:space="preserve">&amp; </w:t>
      </w:r>
      <w:r w:rsidRPr="00F32020">
        <w:rPr>
          <w:shd w:val="clear" w:color="auto" w:fill="FFFFFF"/>
        </w:rPr>
        <w:t>Sheppard</w:t>
      </w:r>
      <w:r w:rsidR="00674E8E" w:rsidRPr="00674E8E">
        <w:rPr>
          <w:shd w:val="clear" w:color="auto" w:fill="FFFFFF"/>
          <w:lang w:val="en-US"/>
        </w:rPr>
        <w:t>,</w:t>
      </w:r>
      <w:r w:rsidRPr="00F32020">
        <w:rPr>
          <w:shd w:val="clear" w:color="auto" w:fill="FFFFFF"/>
        </w:rPr>
        <w:t xml:space="preserve"> L</w:t>
      </w:r>
      <w:r w:rsidR="00674E8E" w:rsidRPr="00674E8E">
        <w:rPr>
          <w:shd w:val="clear" w:color="auto" w:fill="FFFFFF"/>
          <w:lang w:val="en-US"/>
        </w:rPr>
        <w:t xml:space="preserve">. </w:t>
      </w:r>
      <w:r w:rsidRPr="00F32020">
        <w:rPr>
          <w:shd w:val="clear" w:color="auto" w:fill="FFFFFF"/>
        </w:rPr>
        <w:t>D</w:t>
      </w:r>
      <w:r w:rsidR="00674E8E" w:rsidRPr="00674E8E">
        <w:rPr>
          <w:shd w:val="clear" w:color="auto" w:fill="FFFFFF"/>
          <w:lang w:val="en-US"/>
        </w:rPr>
        <w:t>.</w:t>
      </w:r>
      <w:r w:rsidRPr="00F32020">
        <w:rPr>
          <w:shd w:val="clear" w:color="auto" w:fill="FFFFFF"/>
        </w:rPr>
        <w:t xml:space="preserve"> (2019)</w:t>
      </w:r>
      <w:r w:rsidR="00674E8E" w:rsidRPr="00674E8E">
        <w:rPr>
          <w:shd w:val="clear" w:color="auto" w:fill="FFFFFF"/>
          <w:lang w:val="en-US"/>
        </w:rPr>
        <w:t>.</w:t>
      </w:r>
      <w:r w:rsidRPr="00F32020">
        <w:rPr>
          <w:shd w:val="clear" w:color="auto" w:fill="FFFFFF"/>
        </w:rPr>
        <w:t xml:space="preserve"> The Yin and Yang of entrepreneurship: Gender differences in the importance of communal and agentic characteristics for entrepreneurs' subjective well-being and performance. </w:t>
      </w:r>
      <w:r w:rsidRPr="00F32020">
        <w:rPr>
          <w:i/>
          <w:iCs/>
          <w:shd w:val="clear" w:color="auto" w:fill="FFFFFF"/>
        </w:rPr>
        <w:t>Journal of Business Venturing</w:t>
      </w:r>
      <w:r w:rsidR="00674E8E" w:rsidRPr="003D27F6">
        <w:rPr>
          <w:shd w:val="clear" w:color="auto" w:fill="FFFFFF"/>
          <w:lang w:val="en-US"/>
        </w:rPr>
        <w:t>,</w:t>
      </w:r>
      <w:r w:rsidRPr="00674E8E">
        <w:rPr>
          <w:shd w:val="clear" w:color="auto" w:fill="FFFFFF"/>
        </w:rPr>
        <w:t xml:space="preserve"> 34</w:t>
      </w:r>
      <w:r w:rsidR="00674E8E" w:rsidRPr="003D27F6">
        <w:rPr>
          <w:shd w:val="clear" w:color="auto" w:fill="FFFFFF"/>
          <w:lang w:val="en-US"/>
        </w:rPr>
        <w:t>(4),</w:t>
      </w:r>
      <w:r w:rsidRPr="00F32020">
        <w:rPr>
          <w:shd w:val="clear" w:color="auto" w:fill="FFFFFF"/>
        </w:rPr>
        <w:t xml:space="preserve"> 709-730.</w:t>
      </w:r>
      <w:r w:rsidR="00674E8E" w:rsidRPr="00674E8E">
        <w:t xml:space="preserve"> </w:t>
      </w:r>
      <w:hyperlink r:id="rId130" w:tgtFrame="_blank" w:tooltip="Persistent link using digital object identifier" w:history="1">
        <w:r w:rsidR="00674E8E" w:rsidRPr="00674E8E">
          <w:rPr>
            <w:rStyle w:val="Hyperlink"/>
            <w:shd w:val="clear" w:color="auto" w:fill="FFFFFF"/>
          </w:rPr>
          <w:t>https://doi.org/10.1016/j.jbusvent.2018.06.006</w:t>
        </w:r>
      </w:hyperlink>
    </w:p>
    <w:p w14:paraId="18911D60" w14:textId="6EA80BB3" w:rsidR="00152AEF" w:rsidRPr="00F32020" w:rsidRDefault="00152AEF" w:rsidP="00152AEF">
      <w:pPr>
        <w:adjustRightInd w:val="0"/>
        <w:ind w:left="567" w:hanging="567"/>
        <w:jc w:val="both"/>
      </w:pPr>
      <w:r w:rsidRPr="00F32020">
        <w:rPr>
          <w:rFonts w:eastAsia="Calibri"/>
        </w:rPr>
        <w:t>Hofstede</w:t>
      </w:r>
      <w:r w:rsidR="003D27F6" w:rsidRPr="003D27F6">
        <w:rPr>
          <w:rFonts w:eastAsia="Calibri"/>
          <w:lang w:val="en-US"/>
        </w:rPr>
        <w:t>,</w:t>
      </w:r>
      <w:r w:rsidRPr="00F32020">
        <w:rPr>
          <w:rFonts w:eastAsia="Calibri"/>
        </w:rPr>
        <w:t xml:space="preserve"> G</w:t>
      </w:r>
      <w:r w:rsidR="003D27F6" w:rsidRPr="003D27F6">
        <w:rPr>
          <w:rFonts w:eastAsia="Calibri"/>
          <w:lang w:val="en-US"/>
        </w:rPr>
        <w:t>.</w:t>
      </w:r>
      <w:r w:rsidRPr="00F32020">
        <w:rPr>
          <w:rFonts w:eastAsia="Calibri"/>
        </w:rPr>
        <w:t xml:space="preserve"> (1980)</w:t>
      </w:r>
      <w:r w:rsidR="003D27F6" w:rsidRPr="00AD7DB5">
        <w:rPr>
          <w:rFonts w:eastAsia="Calibri"/>
          <w:lang w:val="en-US"/>
        </w:rPr>
        <w:t>.</w:t>
      </w:r>
      <w:r w:rsidRPr="00F32020">
        <w:rPr>
          <w:rFonts w:eastAsia="Calibri"/>
        </w:rPr>
        <w:t xml:space="preserve"> </w:t>
      </w:r>
      <w:r w:rsidRPr="00F32020">
        <w:rPr>
          <w:rFonts w:eastAsia="Calibri"/>
          <w:i/>
          <w:iCs/>
        </w:rPr>
        <w:t>Culture’s consequences: International differences in work-related values</w:t>
      </w:r>
      <w:r w:rsidRPr="00F32020">
        <w:rPr>
          <w:rFonts w:eastAsia="Calibri"/>
        </w:rPr>
        <w:t>. Newbury Park, CA: Sage Publications.</w:t>
      </w:r>
    </w:p>
    <w:p w14:paraId="1220B3CF" w14:textId="1C556F25" w:rsidR="00152AEF" w:rsidRPr="00F32020" w:rsidRDefault="00152AEF" w:rsidP="00152AEF">
      <w:pPr>
        <w:adjustRightInd w:val="0"/>
        <w:ind w:left="567" w:hanging="567"/>
        <w:jc w:val="both"/>
      </w:pPr>
      <w:r w:rsidRPr="00F32020">
        <w:t>Hofstede</w:t>
      </w:r>
      <w:r w:rsidR="003D27F6" w:rsidRPr="00AD7DB5">
        <w:rPr>
          <w:lang w:val="en-US"/>
        </w:rPr>
        <w:t>,</w:t>
      </w:r>
      <w:r w:rsidRPr="00F32020">
        <w:t xml:space="preserve"> G</w:t>
      </w:r>
      <w:r w:rsidR="003D27F6" w:rsidRPr="00AD7DB5">
        <w:rPr>
          <w:lang w:val="en-US"/>
        </w:rPr>
        <w:t>.</w:t>
      </w:r>
      <w:r w:rsidRPr="00F32020">
        <w:t>, Hofstede</w:t>
      </w:r>
      <w:r w:rsidR="003D27F6" w:rsidRPr="003D27F6">
        <w:rPr>
          <w:lang w:val="en-US"/>
        </w:rPr>
        <w:t>,</w:t>
      </w:r>
      <w:r w:rsidRPr="00F32020">
        <w:t xml:space="preserve"> G</w:t>
      </w:r>
      <w:r w:rsidR="003D27F6" w:rsidRPr="003D27F6">
        <w:rPr>
          <w:lang w:val="en-US"/>
        </w:rPr>
        <w:t xml:space="preserve">. </w:t>
      </w:r>
      <w:r w:rsidRPr="00F32020">
        <w:t>J</w:t>
      </w:r>
      <w:r w:rsidR="003D27F6" w:rsidRPr="003D27F6">
        <w:rPr>
          <w:lang w:val="en-US"/>
        </w:rPr>
        <w:t>.</w:t>
      </w:r>
      <w:r w:rsidRPr="00F32020">
        <w:t xml:space="preserve">, </w:t>
      </w:r>
      <w:r w:rsidR="003D27F6" w:rsidRPr="003D27F6">
        <w:rPr>
          <w:lang w:val="en-US"/>
        </w:rPr>
        <w:t xml:space="preserve">&amp; </w:t>
      </w:r>
      <w:r w:rsidRPr="00F32020">
        <w:t>Minkov</w:t>
      </w:r>
      <w:r w:rsidR="003D27F6" w:rsidRPr="003D27F6">
        <w:rPr>
          <w:lang w:val="en-US"/>
        </w:rPr>
        <w:t>,</w:t>
      </w:r>
      <w:r w:rsidRPr="00F32020">
        <w:t xml:space="preserve"> M</w:t>
      </w:r>
      <w:r w:rsidR="003D27F6" w:rsidRPr="003D27F6">
        <w:rPr>
          <w:lang w:val="en-US"/>
        </w:rPr>
        <w:t>.</w:t>
      </w:r>
      <w:r w:rsidRPr="00F32020">
        <w:t xml:space="preserve"> (2010)</w:t>
      </w:r>
      <w:r w:rsidR="003D27F6" w:rsidRPr="003D27F6">
        <w:rPr>
          <w:lang w:val="en-US"/>
        </w:rPr>
        <w:t>.</w:t>
      </w:r>
      <w:r w:rsidRPr="00F32020">
        <w:t xml:space="preserve"> </w:t>
      </w:r>
      <w:r w:rsidRPr="00F32020">
        <w:rPr>
          <w:i/>
          <w:iCs/>
        </w:rPr>
        <w:t>Cultures and Organizations: Software of the Mind</w:t>
      </w:r>
      <w:r w:rsidRPr="00F32020">
        <w:t>. Revised and Expanded 3rd Edition. New York: McGraw-Hill USA.</w:t>
      </w:r>
    </w:p>
    <w:p w14:paraId="0B9ECE11" w14:textId="33975C7F" w:rsidR="00152AEF" w:rsidRPr="00F32020" w:rsidRDefault="00152AEF" w:rsidP="00152AEF">
      <w:pPr>
        <w:adjustRightInd w:val="0"/>
        <w:ind w:left="567" w:hanging="567"/>
        <w:jc w:val="both"/>
        <w:rPr>
          <w:lang w:val="en-US"/>
        </w:rPr>
      </w:pPr>
      <w:r w:rsidRPr="00F32020">
        <w:t>Hofstede</w:t>
      </w:r>
      <w:r w:rsidR="003D27F6" w:rsidRPr="003D27F6">
        <w:rPr>
          <w:lang w:val="en-US"/>
        </w:rPr>
        <w:t>,</w:t>
      </w:r>
      <w:r w:rsidRPr="00F32020">
        <w:t xml:space="preserve"> G</w:t>
      </w:r>
      <w:r w:rsidR="003D27F6" w:rsidRPr="003D27F6">
        <w:rPr>
          <w:lang w:val="en-US"/>
        </w:rPr>
        <w:t xml:space="preserve">. </w:t>
      </w:r>
      <w:r w:rsidRPr="00F32020">
        <w:t>J</w:t>
      </w:r>
      <w:r w:rsidR="003D27F6" w:rsidRPr="003D27F6">
        <w:rPr>
          <w:lang w:val="en-US"/>
        </w:rPr>
        <w:t>.</w:t>
      </w:r>
      <w:r w:rsidRPr="00F32020">
        <w:t>, Jonker</w:t>
      </w:r>
      <w:r w:rsidR="003D27F6" w:rsidRPr="003D27F6">
        <w:rPr>
          <w:lang w:val="en-US"/>
        </w:rPr>
        <w:t>,</w:t>
      </w:r>
      <w:r w:rsidRPr="00F32020">
        <w:t xml:space="preserve"> C</w:t>
      </w:r>
      <w:r w:rsidR="003D27F6" w:rsidRPr="003D27F6">
        <w:rPr>
          <w:lang w:val="en-US"/>
        </w:rPr>
        <w:t xml:space="preserve">. </w:t>
      </w:r>
      <w:r w:rsidRPr="00F32020">
        <w:t>M</w:t>
      </w:r>
      <w:r w:rsidR="003D27F6" w:rsidRPr="003D27F6">
        <w:rPr>
          <w:lang w:val="en-US"/>
        </w:rPr>
        <w:t>.</w:t>
      </w:r>
      <w:r w:rsidRPr="00F32020">
        <w:t xml:space="preserve">, </w:t>
      </w:r>
      <w:r w:rsidR="003D27F6" w:rsidRPr="003D27F6">
        <w:rPr>
          <w:lang w:val="en-US"/>
        </w:rPr>
        <w:t xml:space="preserve">&amp; </w:t>
      </w:r>
      <w:r w:rsidRPr="00F32020">
        <w:t>Verwaart</w:t>
      </w:r>
      <w:r w:rsidR="003D27F6" w:rsidRPr="003D27F6">
        <w:rPr>
          <w:lang w:val="en-US"/>
        </w:rPr>
        <w:t>,</w:t>
      </w:r>
      <w:r w:rsidRPr="00F32020">
        <w:t xml:space="preserve"> T</w:t>
      </w:r>
      <w:r w:rsidR="003D27F6" w:rsidRPr="003D27F6">
        <w:rPr>
          <w:lang w:val="en-US"/>
        </w:rPr>
        <w:t>.</w:t>
      </w:r>
      <w:r w:rsidRPr="00F32020">
        <w:t xml:space="preserve"> (2008)</w:t>
      </w:r>
      <w:r w:rsidR="003D27F6" w:rsidRPr="003D27F6">
        <w:rPr>
          <w:lang w:val="en-US"/>
        </w:rPr>
        <w:t>.</w:t>
      </w:r>
      <w:r w:rsidRPr="00F32020">
        <w:t xml:space="preserve"> Modeling Culture in Trade: Uncertainty Avoidance. </w:t>
      </w:r>
      <w:r w:rsidRPr="00F32020">
        <w:rPr>
          <w:i/>
          <w:iCs/>
        </w:rPr>
        <w:t>Conference Proceedings of the 2008 Spring Simulation Multiconference</w:t>
      </w:r>
      <w:r w:rsidRPr="00F32020">
        <w:t>, SpringSim 2008, Ottawa, Canada, April 14-17, DOI: 10.1145/1400549.1400567</w:t>
      </w:r>
    </w:p>
    <w:p w14:paraId="665408B0" w14:textId="3DB7DBDF" w:rsidR="00152AEF" w:rsidRPr="00F32020" w:rsidRDefault="00152AEF" w:rsidP="00152AEF">
      <w:pPr>
        <w:adjustRightInd w:val="0"/>
        <w:ind w:left="567" w:hanging="567"/>
        <w:jc w:val="both"/>
        <w:rPr>
          <w:lang w:eastAsia="el-GR"/>
        </w:rPr>
      </w:pPr>
      <w:r w:rsidRPr="00F32020">
        <w:rPr>
          <w:lang w:eastAsia="el-GR"/>
        </w:rPr>
        <w:t xml:space="preserve">Hofstede, G., </w:t>
      </w:r>
      <w:r w:rsidR="003D27F6" w:rsidRPr="003D27F6">
        <w:rPr>
          <w:lang w:val="en-US" w:eastAsia="el-GR"/>
        </w:rPr>
        <w:t xml:space="preserve">&amp; </w:t>
      </w:r>
      <w:r w:rsidRPr="00F32020">
        <w:rPr>
          <w:lang w:eastAsia="el-GR"/>
        </w:rPr>
        <w:t xml:space="preserve">Bond, M.H. (1988). The Confucius connection: from cultural roots to economic growth. </w:t>
      </w:r>
      <w:r w:rsidRPr="00F32020">
        <w:rPr>
          <w:i/>
          <w:iCs/>
          <w:lang w:eastAsia="el-GR"/>
        </w:rPr>
        <w:t>Organizational Dynamics</w:t>
      </w:r>
      <w:r w:rsidRPr="00F32020">
        <w:rPr>
          <w:lang w:eastAsia="el-GR"/>
        </w:rPr>
        <w:t xml:space="preserve">, </w:t>
      </w:r>
      <w:r w:rsidRPr="003D27F6">
        <w:rPr>
          <w:i/>
          <w:iCs/>
          <w:lang w:eastAsia="el-GR"/>
        </w:rPr>
        <w:t>16</w:t>
      </w:r>
      <w:r w:rsidR="003D27F6" w:rsidRPr="003D27F6">
        <w:rPr>
          <w:lang w:val="en-US" w:eastAsia="el-GR"/>
        </w:rPr>
        <w:t>(4)</w:t>
      </w:r>
      <w:r w:rsidRPr="00F32020">
        <w:rPr>
          <w:lang w:eastAsia="el-GR"/>
        </w:rPr>
        <w:t>, 4-21.</w:t>
      </w:r>
      <w:r w:rsidR="003D27F6" w:rsidRPr="003D27F6">
        <w:t xml:space="preserve"> </w:t>
      </w:r>
      <w:hyperlink r:id="rId131" w:tgtFrame="_blank" w:tooltip="Persistent link using digital object identifier" w:history="1">
        <w:r w:rsidR="003D27F6" w:rsidRPr="003D27F6">
          <w:rPr>
            <w:rStyle w:val="Hyperlink"/>
            <w:lang w:eastAsia="el-GR"/>
          </w:rPr>
          <w:t>https://doi.org/10.1016/0090-2616(88)90009-5</w:t>
        </w:r>
      </w:hyperlink>
    </w:p>
    <w:p w14:paraId="40DE2FB7" w14:textId="12D7144A" w:rsidR="00152AEF" w:rsidRPr="00F32020" w:rsidRDefault="00152AEF" w:rsidP="00152AEF">
      <w:pPr>
        <w:adjustRightInd w:val="0"/>
        <w:ind w:left="567" w:hanging="567"/>
        <w:jc w:val="both"/>
      </w:pPr>
      <w:r w:rsidRPr="00F32020">
        <w:rPr>
          <w:rFonts w:eastAsia="Calibri"/>
        </w:rPr>
        <w:t>Iversen</w:t>
      </w:r>
      <w:r w:rsidR="003D27F6" w:rsidRPr="003D27F6">
        <w:rPr>
          <w:rFonts w:eastAsia="Calibri"/>
          <w:lang w:val="en-US"/>
        </w:rPr>
        <w:t>,</w:t>
      </w:r>
      <w:r w:rsidRPr="00F32020">
        <w:rPr>
          <w:rFonts w:eastAsia="Calibri"/>
        </w:rPr>
        <w:t xml:space="preserve"> T</w:t>
      </w:r>
      <w:r w:rsidR="003D27F6" w:rsidRPr="003D27F6">
        <w:rPr>
          <w:rFonts w:eastAsia="Calibri"/>
          <w:lang w:val="en-US"/>
        </w:rPr>
        <w:t>.</w:t>
      </w:r>
      <w:r w:rsidRPr="00F32020">
        <w:rPr>
          <w:rFonts w:eastAsia="Calibri"/>
        </w:rPr>
        <w:t xml:space="preserve">, </w:t>
      </w:r>
      <w:r w:rsidR="003D27F6" w:rsidRPr="003D27F6">
        <w:rPr>
          <w:rFonts w:eastAsia="Calibri"/>
          <w:lang w:val="en-US"/>
        </w:rPr>
        <w:t xml:space="preserve">&amp; </w:t>
      </w:r>
      <w:r w:rsidRPr="00F32020">
        <w:rPr>
          <w:rFonts w:eastAsia="Calibri"/>
        </w:rPr>
        <w:t>Rosenbluth</w:t>
      </w:r>
      <w:r w:rsidR="003D27F6" w:rsidRPr="003D27F6">
        <w:rPr>
          <w:rFonts w:eastAsia="Calibri"/>
          <w:lang w:val="en-US"/>
        </w:rPr>
        <w:t>,</w:t>
      </w:r>
      <w:r w:rsidRPr="00F32020">
        <w:rPr>
          <w:rFonts w:eastAsia="Calibri"/>
        </w:rPr>
        <w:t xml:space="preserve"> F</w:t>
      </w:r>
      <w:r w:rsidR="003D27F6" w:rsidRPr="003D27F6">
        <w:rPr>
          <w:rFonts w:eastAsia="Calibri"/>
          <w:lang w:val="en-US"/>
        </w:rPr>
        <w:t>.</w:t>
      </w:r>
      <w:r w:rsidRPr="00F32020">
        <w:rPr>
          <w:rFonts w:eastAsia="Calibri"/>
        </w:rPr>
        <w:t xml:space="preserve"> (2010)</w:t>
      </w:r>
      <w:r w:rsidR="003D27F6" w:rsidRPr="00AD7DB5">
        <w:rPr>
          <w:rFonts w:eastAsia="Calibri"/>
          <w:lang w:val="en-US"/>
        </w:rPr>
        <w:t>.</w:t>
      </w:r>
      <w:r w:rsidRPr="00F32020">
        <w:rPr>
          <w:rFonts w:eastAsia="Calibri"/>
        </w:rPr>
        <w:t xml:space="preserve"> </w:t>
      </w:r>
      <w:r w:rsidRPr="00F32020">
        <w:rPr>
          <w:rFonts w:eastAsia="Calibri"/>
          <w:i/>
          <w:iCs/>
        </w:rPr>
        <w:t>The political economy of gender inequality</w:t>
      </w:r>
      <w:r w:rsidRPr="00F32020">
        <w:rPr>
          <w:rFonts w:eastAsia="Calibri"/>
        </w:rPr>
        <w:t>. New Haven: Yale University Press.</w:t>
      </w:r>
    </w:p>
    <w:p w14:paraId="26D948E9" w14:textId="6295927B" w:rsidR="00152AEF" w:rsidRPr="00F32020" w:rsidRDefault="00152AEF" w:rsidP="00152AEF">
      <w:pPr>
        <w:adjustRightInd w:val="0"/>
        <w:ind w:left="567" w:hanging="567"/>
        <w:jc w:val="both"/>
        <w:rPr>
          <w:shd w:val="clear" w:color="auto" w:fill="FFFFFF"/>
        </w:rPr>
      </w:pPr>
      <w:r w:rsidRPr="00F32020">
        <w:t>Klein</w:t>
      </w:r>
      <w:r w:rsidR="003D27F6" w:rsidRPr="00AD7DB5">
        <w:rPr>
          <w:lang w:val="en-US"/>
        </w:rPr>
        <w:t>,</w:t>
      </w:r>
      <w:r w:rsidRPr="00F32020">
        <w:t xml:space="preserve"> R</w:t>
      </w:r>
      <w:r w:rsidR="003D27F6" w:rsidRPr="00AD7DB5">
        <w:rPr>
          <w:lang w:val="en-US"/>
        </w:rPr>
        <w:t xml:space="preserve">. </w:t>
      </w:r>
      <w:r w:rsidRPr="00F32020">
        <w:t>G</w:t>
      </w:r>
      <w:r w:rsidR="003D27F6" w:rsidRPr="00AD7DB5">
        <w:rPr>
          <w:lang w:val="en-US"/>
        </w:rPr>
        <w:t>.</w:t>
      </w:r>
      <w:r w:rsidRPr="00F32020">
        <w:t xml:space="preserve"> (2008)</w:t>
      </w:r>
      <w:r w:rsidR="003D27F6" w:rsidRPr="00AD7DB5">
        <w:rPr>
          <w:lang w:val="en-US"/>
        </w:rPr>
        <w:t>.</w:t>
      </w:r>
      <w:r w:rsidRPr="00F32020">
        <w:t xml:space="preserve"> Out of Africa and the Evolution of Human Behavior.</w:t>
      </w:r>
      <w:r w:rsidRPr="00F32020">
        <w:rPr>
          <w:i/>
          <w:iCs/>
        </w:rPr>
        <w:t xml:space="preserve"> Evolutionary Anthropology</w:t>
      </w:r>
      <w:r w:rsidR="003D27F6" w:rsidRPr="00AD7DB5">
        <w:rPr>
          <w:i/>
          <w:iCs/>
          <w:lang w:val="en-US"/>
        </w:rPr>
        <w:t>,</w:t>
      </w:r>
      <w:r w:rsidRPr="003D27F6">
        <w:rPr>
          <w:i/>
          <w:iCs/>
        </w:rPr>
        <w:t xml:space="preserve"> 17</w:t>
      </w:r>
      <w:r w:rsidR="003D27F6" w:rsidRPr="00AD7DB5">
        <w:rPr>
          <w:lang w:val="en-US"/>
        </w:rPr>
        <w:t>(6),</w:t>
      </w:r>
      <w:r w:rsidRPr="00F32020">
        <w:t xml:space="preserve"> 267-281.</w:t>
      </w:r>
      <w:r w:rsidR="003D27F6" w:rsidRPr="003D27F6">
        <w:t xml:space="preserve"> </w:t>
      </w:r>
      <w:hyperlink r:id="rId132" w:history="1">
        <w:r w:rsidR="003D27F6" w:rsidRPr="003D27F6">
          <w:rPr>
            <w:rStyle w:val="Hyperlink"/>
          </w:rPr>
          <w:t>https://doi.org/10.1002/evan.20181</w:t>
        </w:r>
      </w:hyperlink>
    </w:p>
    <w:p w14:paraId="78CEECC8" w14:textId="2521A7DE" w:rsidR="00152AEF" w:rsidRPr="00F32020" w:rsidRDefault="00152AEF" w:rsidP="00152AEF">
      <w:pPr>
        <w:adjustRightInd w:val="0"/>
        <w:ind w:left="567" w:hanging="567"/>
        <w:jc w:val="both"/>
      </w:pPr>
      <w:r w:rsidRPr="00F32020">
        <w:t>Kluckhohn</w:t>
      </w:r>
      <w:r w:rsidR="003D27F6" w:rsidRPr="003D27F6">
        <w:rPr>
          <w:lang w:val="en-US"/>
        </w:rPr>
        <w:t>,</w:t>
      </w:r>
      <w:r w:rsidRPr="00F32020">
        <w:t xml:space="preserve"> F</w:t>
      </w:r>
      <w:r w:rsidR="003D27F6" w:rsidRPr="003D27F6">
        <w:rPr>
          <w:lang w:val="en-US"/>
        </w:rPr>
        <w:t xml:space="preserve">. </w:t>
      </w:r>
      <w:r w:rsidRPr="00F32020">
        <w:t>R</w:t>
      </w:r>
      <w:r w:rsidR="003D27F6" w:rsidRPr="003D27F6">
        <w:rPr>
          <w:lang w:val="en-US"/>
        </w:rPr>
        <w:t>.</w:t>
      </w:r>
      <w:r w:rsidRPr="00F32020">
        <w:t xml:space="preserve">, </w:t>
      </w:r>
      <w:r w:rsidR="003D27F6" w:rsidRPr="003D27F6">
        <w:rPr>
          <w:lang w:val="en-US"/>
        </w:rPr>
        <w:t xml:space="preserve">&amp; </w:t>
      </w:r>
      <w:r w:rsidRPr="00F32020">
        <w:t>Strodtbeck</w:t>
      </w:r>
      <w:r w:rsidR="003D27F6" w:rsidRPr="003D27F6">
        <w:rPr>
          <w:lang w:val="en-US"/>
        </w:rPr>
        <w:t>,</w:t>
      </w:r>
      <w:r w:rsidRPr="00F32020">
        <w:t xml:space="preserve"> F</w:t>
      </w:r>
      <w:r w:rsidR="003D27F6" w:rsidRPr="003D27F6">
        <w:rPr>
          <w:lang w:val="en-US"/>
        </w:rPr>
        <w:t xml:space="preserve">. </w:t>
      </w:r>
      <w:r w:rsidRPr="00F32020">
        <w:t>L</w:t>
      </w:r>
      <w:r w:rsidR="003D27F6" w:rsidRPr="003D27F6">
        <w:rPr>
          <w:lang w:val="en-US"/>
        </w:rPr>
        <w:t>.</w:t>
      </w:r>
      <w:r w:rsidRPr="00F32020">
        <w:t xml:space="preserve"> (1961)</w:t>
      </w:r>
      <w:r w:rsidR="003D27F6" w:rsidRPr="003D27F6">
        <w:rPr>
          <w:lang w:val="en-US"/>
        </w:rPr>
        <w:t>.</w:t>
      </w:r>
      <w:r w:rsidRPr="00F32020">
        <w:t xml:space="preserve"> </w:t>
      </w:r>
      <w:r w:rsidRPr="00F32020">
        <w:rPr>
          <w:i/>
          <w:iCs/>
        </w:rPr>
        <w:t>Variations in value orientations</w:t>
      </w:r>
      <w:r w:rsidRPr="00F32020">
        <w:t>. New York: Harper &amp; Row.</w:t>
      </w:r>
    </w:p>
    <w:p w14:paraId="355EA234" w14:textId="4DA075F9" w:rsidR="00152AEF" w:rsidRPr="005865DE" w:rsidRDefault="00152AEF" w:rsidP="003D27F6">
      <w:pPr>
        <w:adjustRightInd w:val="0"/>
        <w:ind w:left="567" w:hanging="567"/>
        <w:jc w:val="both"/>
        <w:rPr>
          <w:lang w:val="en-US"/>
        </w:rPr>
      </w:pPr>
      <w:r w:rsidRPr="00F32020">
        <w:lastRenderedPageBreak/>
        <w:t>Kreiser</w:t>
      </w:r>
      <w:r w:rsidR="003D27F6" w:rsidRPr="003D27F6">
        <w:rPr>
          <w:lang w:val="en-US"/>
        </w:rPr>
        <w:t>,</w:t>
      </w:r>
      <w:r w:rsidRPr="00F32020">
        <w:t xml:space="preserve"> P</w:t>
      </w:r>
      <w:r w:rsidR="003D27F6" w:rsidRPr="003D27F6">
        <w:rPr>
          <w:lang w:val="en-US"/>
        </w:rPr>
        <w:t xml:space="preserve">. </w:t>
      </w:r>
      <w:r w:rsidRPr="00F32020">
        <w:t>M</w:t>
      </w:r>
      <w:r w:rsidR="003D27F6" w:rsidRPr="003D27F6">
        <w:rPr>
          <w:lang w:val="en-US"/>
        </w:rPr>
        <w:t>.</w:t>
      </w:r>
      <w:r w:rsidRPr="00F32020">
        <w:t>, Marino</w:t>
      </w:r>
      <w:r w:rsidR="003D27F6" w:rsidRPr="003D27F6">
        <w:rPr>
          <w:lang w:val="en-US"/>
        </w:rPr>
        <w:t>,</w:t>
      </w:r>
      <w:r w:rsidRPr="00F32020">
        <w:t xml:space="preserve"> L</w:t>
      </w:r>
      <w:r w:rsidR="003D27F6" w:rsidRPr="003D27F6">
        <w:rPr>
          <w:lang w:val="en-US"/>
        </w:rPr>
        <w:t xml:space="preserve">. </w:t>
      </w:r>
      <w:r w:rsidRPr="00F32020">
        <w:t>D</w:t>
      </w:r>
      <w:r w:rsidR="003D27F6" w:rsidRPr="003D27F6">
        <w:rPr>
          <w:lang w:val="en-US"/>
        </w:rPr>
        <w:t>.</w:t>
      </w:r>
      <w:r w:rsidRPr="00F32020">
        <w:t>, Dickson</w:t>
      </w:r>
      <w:r w:rsidR="003D27F6" w:rsidRPr="003D27F6">
        <w:rPr>
          <w:lang w:val="en-US"/>
        </w:rPr>
        <w:t>,</w:t>
      </w:r>
      <w:r w:rsidRPr="00F32020">
        <w:t xml:space="preserve"> P</w:t>
      </w:r>
      <w:r w:rsidR="003D27F6" w:rsidRPr="003D27F6">
        <w:rPr>
          <w:lang w:val="en-US"/>
        </w:rPr>
        <w:t>.</w:t>
      </w:r>
      <w:r w:rsidRPr="00F32020">
        <w:t xml:space="preserve">, </w:t>
      </w:r>
      <w:r w:rsidR="003D27F6" w:rsidRPr="003D27F6">
        <w:rPr>
          <w:lang w:val="en-US"/>
        </w:rPr>
        <w:t xml:space="preserve">&amp; </w:t>
      </w:r>
      <w:r w:rsidRPr="00F32020">
        <w:t>Weaver</w:t>
      </w:r>
      <w:r w:rsidR="003D27F6" w:rsidRPr="003D27F6">
        <w:rPr>
          <w:lang w:val="en-US"/>
        </w:rPr>
        <w:t>,</w:t>
      </w:r>
      <w:r w:rsidRPr="00F32020">
        <w:t xml:space="preserve"> K</w:t>
      </w:r>
      <w:r w:rsidR="003D27F6" w:rsidRPr="003D27F6">
        <w:rPr>
          <w:lang w:val="en-US"/>
        </w:rPr>
        <w:t>.</w:t>
      </w:r>
      <w:r w:rsidRPr="00F32020">
        <w:t xml:space="preserve"> M</w:t>
      </w:r>
      <w:r w:rsidR="003D27F6" w:rsidRPr="003D27F6">
        <w:rPr>
          <w:lang w:val="en-US"/>
        </w:rPr>
        <w:t>.</w:t>
      </w:r>
      <w:r w:rsidRPr="00F32020">
        <w:t xml:space="preserve"> (2010)</w:t>
      </w:r>
      <w:r w:rsidR="003D27F6" w:rsidRPr="003D27F6">
        <w:rPr>
          <w:lang w:val="en-US"/>
        </w:rPr>
        <w:t>.</w:t>
      </w:r>
      <w:r w:rsidRPr="00F32020">
        <w:t xml:space="preserve"> </w:t>
      </w:r>
      <w:r w:rsidRPr="00F32020">
        <w:rPr>
          <w:lang w:val="en-US"/>
        </w:rPr>
        <w:t>Cultural influences on entrepreneurial orientation: The impact</w:t>
      </w:r>
      <w:r w:rsidRPr="00F32020">
        <w:t xml:space="preserve"> of national culture on risk taking and proactiveness in SMEs. </w:t>
      </w:r>
      <w:r w:rsidRPr="00F32020">
        <w:rPr>
          <w:rFonts w:eastAsia="STIX-Italic"/>
          <w:i/>
          <w:iCs/>
        </w:rPr>
        <w:t>Entrepreneurship Theory and Practice</w:t>
      </w:r>
      <w:r w:rsidR="003D27F6" w:rsidRPr="005865DE">
        <w:rPr>
          <w:rFonts w:eastAsia="STIX-Italic"/>
          <w:i/>
          <w:iCs/>
          <w:lang w:val="en-US"/>
        </w:rPr>
        <w:t>,</w:t>
      </w:r>
      <w:r w:rsidRPr="00F32020">
        <w:rPr>
          <w:rFonts w:eastAsia="STIX-Italic"/>
          <w:i/>
          <w:iCs/>
        </w:rPr>
        <w:t xml:space="preserve"> 34</w:t>
      </w:r>
      <w:r w:rsidR="003D27F6" w:rsidRPr="005865DE">
        <w:rPr>
          <w:rFonts w:eastAsia="STIX-Italic"/>
          <w:lang w:val="en-US"/>
        </w:rPr>
        <w:t>(5),</w:t>
      </w:r>
      <w:r w:rsidRPr="00F32020">
        <w:rPr>
          <w:rFonts w:eastAsia="STIX-Italic"/>
          <w:i/>
          <w:iCs/>
        </w:rPr>
        <w:t xml:space="preserve"> </w:t>
      </w:r>
      <w:r w:rsidRPr="00F32020">
        <w:t>959–984.</w:t>
      </w:r>
      <w:r w:rsidR="003D27F6" w:rsidRPr="005865DE">
        <w:rPr>
          <w:lang w:val="en-US"/>
        </w:rPr>
        <w:t xml:space="preserve"> </w:t>
      </w:r>
      <w:hyperlink r:id="rId133" w:history="1">
        <w:r w:rsidR="003D27F6" w:rsidRPr="003D27F6">
          <w:rPr>
            <w:rStyle w:val="Hyperlink"/>
            <w:lang w:val="en-US"/>
          </w:rPr>
          <w:t>https://doi.org/10.1111/j.1540-6520.2010.00396.x</w:t>
        </w:r>
      </w:hyperlink>
    </w:p>
    <w:p w14:paraId="2263BA94" w14:textId="65B7916A" w:rsidR="00152AEF" w:rsidRPr="00AD7DB5" w:rsidRDefault="00152AEF" w:rsidP="00152AEF">
      <w:pPr>
        <w:adjustRightInd w:val="0"/>
        <w:ind w:left="567" w:hanging="567"/>
        <w:jc w:val="both"/>
        <w:rPr>
          <w:lang w:val="en-US"/>
        </w:rPr>
      </w:pPr>
      <w:r w:rsidRPr="00F32020">
        <w:t>Lall</w:t>
      </w:r>
      <w:r w:rsidR="005865DE" w:rsidRPr="005865DE">
        <w:rPr>
          <w:lang w:val="en-US"/>
        </w:rPr>
        <w:t>,</w:t>
      </w:r>
      <w:r w:rsidRPr="00F32020">
        <w:t xml:space="preserve"> A</w:t>
      </w:r>
      <w:r w:rsidR="005865DE" w:rsidRPr="005865DE">
        <w:rPr>
          <w:lang w:val="en-US"/>
        </w:rPr>
        <w:t xml:space="preserve">. </w:t>
      </w:r>
      <w:r w:rsidRPr="00F32020">
        <w:t>S</w:t>
      </w:r>
      <w:r w:rsidR="005865DE" w:rsidRPr="005865DE">
        <w:rPr>
          <w:lang w:val="en-US"/>
        </w:rPr>
        <w:t>.</w:t>
      </w:r>
      <w:r w:rsidRPr="00F32020">
        <w:t>,</w:t>
      </w:r>
      <w:r w:rsidR="005865DE" w:rsidRPr="005865DE">
        <w:rPr>
          <w:lang w:val="en-US"/>
        </w:rPr>
        <w:t xml:space="preserve"> &amp;</w:t>
      </w:r>
      <w:r w:rsidRPr="00F32020">
        <w:t xml:space="preserve"> Chen</w:t>
      </w:r>
      <w:r w:rsidR="005865DE" w:rsidRPr="005865DE">
        <w:rPr>
          <w:lang w:val="en-US"/>
        </w:rPr>
        <w:t>,</w:t>
      </w:r>
      <w:r w:rsidRPr="00F32020">
        <w:t xml:space="preserve"> L</w:t>
      </w:r>
      <w:r w:rsidR="005865DE" w:rsidRPr="005865DE">
        <w:rPr>
          <w:lang w:val="en-US"/>
        </w:rPr>
        <w:t xml:space="preserve">. </w:t>
      </w:r>
      <w:r w:rsidRPr="00F32020">
        <w:t>W</w:t>
      </w:r>
      <w:r w:rsidR="005865DE" w:rsidRPr="005865DE">
        <w:rPr>
          <w:lang w:val="en-US"/>
        </w:rPr>
        <w:t>.</w:t>
      </w:r>
      <w:r w:rsidRPr="00F32020">
        <w:t xml:space="preserve"> (2019)</w:t>
      </w:r>
      <w:r w:rsidR="005865DE" w:rsidRPr="005865DE">
        <w:rPr>
          <w:lang w:val="en-US"/>
        </w:rPr>
        <w:t>.</w:t>
      </w:r>
      <w:r w:rsidRPr="00F32020">
        <w:t xml:space="preserve"> The Expat Gap: Are Local-Born Entrepreneurs in Developing Countries at a Disadvantage When Seeking Grant Funding? </w:t>
      </w:r>
      <w:r w:rsidRPr="00F32020">
        <w:rPr>
          <w:i/>
          <w:iCs/>
        </w:rPr>
        <w:t>Public Administration Review</w:t>
      </w:r>
      <w:r w:rsidR="005865DE" w:rsidRPr="00AD7DB5">
        <w:rPr>
          <w:i/>
          <w:iCs/>
          <w:lang w:val="en-US"/>
        </w:rPr>
        <w:t>,</w:t>
      </w:r>
      <w:r w:rsidRPr="00F32020">
        <w:t xml:space="preserve"> </w:t>
      </w:r>
      <w:r w:rsidRPr="005865DE">
        <w:rPr>
          <w:i/>
          <w:iCs/>
        </w:rPr>
        <w:t>79</w:t>
      </w:r>
      <w:r w:rsidR="005865DE" w:rsidRPr="00AD7DB5">
        <w:rPr>
          <w:lang w:val="en-US"/>
        </w:rPr>
        <w:t>(6),</w:t>
      </w:r>
      <w:r w:rsidRPr="00F32020">
        <w:t xml:space="preserve"> 880-894.</w:t>
      </w:r>
      <w:r w:rsidR="005865DE" w:rsidRPr="00AD7DB5">
        <w:rPr>
          <w:lang w:val="en-US"/>
        </w:rPr>
        <w:t xml:space="preserve"> </w:t>
      </w:r>
      <w:hyperlink r:id="rId134" w:history="1">
        <w:r w:rsidR="005865DE" w:rsidRPr="005865DE">
          <w:rPr>
            <w:rStyle w:val="Hyperlink"/>
          </w:rPr>
          <w:t>https://doi.org/10.1111/puar.13076</w:t>
        </w:r>
      </w:hyperlink>
    </w:p>
    <w:p w14:paraId="66F97530" w14:textId="09C113F3" w:rsidR="00152AEF" w:rsidRPr="00F32020" w:rsidRDefault="00152AEF" w:rsidP="00152AEF">
      <w:pPr>
        <w:adjustRightInd w:val="0"/>
        <w:ind w:left="567" w:hanging="567"/>
        <w:jc w:val="both"/>
      </w:pPr>
      <w:r w:rsidRPr="00AD7DB5">
        <w:rPr>
          <w:lang w:val="en-US"/>
        </w:rPr>
        <w:t xml:space="preserve">Li, K., Griffin, D., Yue, H., </w:t>
      </w:r>
      <w:r w:rsidR="005865DE" w:rsidRPr="00AD7DB5">
        <w:rPr>
          <w:lang w:val="en-US"/>
        </w:rPr>
        <w:t xml:space="preserve">&amp; </w:t>
      </w:r>
      <w:r w:rsidRPr="00AD7DB5">
        <w:rPr>
          <w:lang w:val="en-US"/>
        </w:rPr>
        <w:t xml:space="preserve">Zhao, L. (2013). </w:t>
      </w:r>
      <w:r w:rsidRPr="00F32020">
        <w:t xml:space="preserve">How does culture influence corporate risk-taking? </w:t>
      </w:r>
      <w:r w:rsidRPr="00F32020">
        <w:rPr>
          <w:i/>
          <w:iCs/>
        </w:rPr>
        <w:t>Journal of Corporate Finance</w:t>
      </w:r>
      <w:r w:rsidRPr="00F32020">
        <w:t xml:space="preserve">, </w:t>
      </w:r>
      <w:r w:rsidRPr="005865DE">
        <w:rPr>
          <w:i/>
          <w:iCs/>
        </w:rPr>
        <w:t>23</w:t>
      </w:r>
      <w:r w:rsidRPr="00F32020">
        <w:t xml:space="preserve">, 1-22. </w:t>
      </w:r>
      <w:hyperlink r:id="rId135" w:tgtFrame="_blank" w:tooltip="Persistent link using digital object identifier" w:history="1">
        <w:r w:rsidR="005865DE" w:rsidRPr="005865DE">
          <w:rPr>
            <w:rStyle w:val="Hyperlink"/>
          </w:rPr>
          <w:t>https://doi.org/10.1016/j.jcorpfin.2013.07.008</w:t>
        </w:r>
      </w:hyperlink>
    </w:p>
    <w:p w14:paraId="0B119FD6" w14:textId="6430A525" w:rsidR="00152AEF" w:rsidRPr="00886D0F" w:rsidRDefault="00152AEF" w:rsidP="00152AEF">
      <w:pPr>
        <w:adjustRightInd w:val="0"/>
        <w:ind w:left="567" w:hanging="567"/>
        <w:jc w:val="both"/>
        <w:rPr>
          <w:shd w:val="clear" w:color="auto" w:fill="FFFFFF"/>
          <w:lang w:val="en-US"/>
        </w:rPr>
      </w:pPr>
      <w:r w:rsidRPr="00F32020">
        <w:t xml:space="preserve">Litina, A. (2016). Natural land productivity, cooperation and comparative development. Journal of Economic Growth, </w:t>
      </w:r>
      <w:r w:rsidRPr="005865DE">
        <w:rPr>
          <w:i/>
          <w:iCs/>
        </w:rPr>
        <w:t>21</w:t>
      </w:r>
      <w:r w:rsidR="005865DE" w:rsidRPr="00AD7DB5">
        <w:rPr>
          <w:lang w:val="en-US"/>
        </w:rPr>
        <w:t>(4)</w:t>
      </w:r>
      <w:r w:rsidRPr="00F32020">
        <w:t>, 351–408.</w:t>
      </w:r>
      <w:r w:rsidR="005865DE" w:rsidRPr="00AD7DB5">
        <w:rPr>
          <w:lang w:val="en-US"/>
        </w:rPr>
        <w:t xml:space="preserve"> </w:t>
      </w:r>
      <w:hyperlink r:id="rId136" w:history="1">
        <w:r w:rsidR="005865DE" w:rsidRPr="002969F1">
          <w:rPr>
            <w:rStyle w:val="Hyperlink"/>
          </w:rPr>
          <w:t>https://doi.org/10.1007/s10887-016-9134-7</w:t>
        </w:r>
      </w:hyperlink>
      <w:r w:rsidR="005865DE" w:rsidRPr="00886D0F">
        <w:rPr>
          <w:lang w:val="en-US"/>
        </w:rPr>
        <w:t xml:space="preserve"> </w:t>
      </w:r>
    </w:p>
    <w:p w14:paraId="3E2D8FB6" w14:textId="5E127581" w:rsidR="00152AEF" w:rsidRPr="00F32020" w:rsidRDefault="00152AEF" w:rsidP="00152AEF">
      <w:pPr>
        <w:adjustRightInd w:val="0"/>
        <w:ind w:left="567" w:hanging="567"/>
        <w:jc w:val="both"/>
      </w:pPr>
      <w:r w:rsidRPr="00F32020">
        <w:t>Malmendier</w:t>
      </w:r>
      <w:r w:rsidR="00886D0F" w:rsidRPr="00886D0F">
        <w:rPr>
          <w:lang w:val="en-US"/>
        </w:rPr>
        <w:t>,</w:t>
      </w:r>
      <w:r w:rsidRPr="00F32020">
        <w:t xml:space="preserve"> U</w:t>
      </w:r>
      <w:r w:rsidR="00886D0F" w:rsidRPr="00886D0F">
        <w:rPr>
          <w:lang w:val="en-US"/>
        </w:rPr>
        <w:t>.</w:t>
      </w:r>
      <w:r w:rsidRPr="00F32020">
        <w:t xml:space="preserve">, </w:t>
      </w:r>
      <w:r w:rsidR="00886D0F" w:rsidRPr="00886D0F">
        <w:rPr>
          <w:lang w:val="en-US"/>
        </w:rPr>
        <w:t xml:space="preserve">&amp; </w:t>
      </w:r>
      <w:r w:rsidRPr="00F32020">
        <w:t>Tate</w:t>
      </w:r>
      <w:r w:rsidR="00886D0F" w:rsidRPr="00886D0F">
        <w:rPr>
          <w:lang w:val="en-US"/>
        </w:rPr>
        <w:t>,</w:t>
      </w:r>
      <w:r w:rsidRPr="00F32020">
        <w:t xml:space="preserve"> G</w:t>
      </w:r>
      <w:r w:rsidR="00886D0F" w:rsidRPr="00886D0F">
        <w:rPr>
          <w:lang w:val="en-US"/>
        </w:rPr>
        <w:t>.</w:t>
      </w:r>
      <w:r w:rsidRPr="00F32020">
        <w:t xml:space="preserve"> (2005)</w:t>
      </w:r>
      <w:r w:rsidR="00886D0F" w:rsidRPr="00AD7DB5">
        <w:rPr>
          <w:lang w:val="en-US"/>
        </w:rPr>
        <w:t>.</w:t>
      </w:r>
      <w:r w:rsidRPr="00F32020">
        <w:t xml:space="preserve"> CEO overconfidence and corporate investment. </w:t>
      </w:r>
      <w:r w:rsidRPr="00F32020">
        <w:rPr>
          <w:i/>
          <w:iCs/>
        </w:rPr>
        <w:t>The Journal of Finance</w:t>
      </w:r>
      <w:r w:rsidR="00886D0F" w:rsidRPr="00AD7DB5">
        <w:rPr>
          <w:i/>
          <w:iCs/>
          <w:lang w:val="en-US"/>
        </w:rPr>
        <w:t>,</w:t>
      </w:r>
      <w:r w:rsidRPr="00F32020">
        <w:t xml:space="preserve"> </w:t>
      </w:r>
      <w:r w:rsidRPr="00886D0F">
        <w:rPr>
          <w:i/>
          <w:iCs/>
        </w:rPr>
        <w:t>60</w:t>
      </w:r>
      <w:r w:rsidR="00886D0F" w:rsidRPr="00AD7DB5">
        <w:rPr>
          <w:lang w:val="en-US"/>
        </w:rPr>
        <w:t>(6),</w:t>
      </w:r>
      <w:r w:rsidRPr="00F32020">
        <w:t xml:space="preserve"> 2661-2700.</w:t>
      </w:r>
      <w:r w:rsidR="00886D0F" w:rsidRPr="00886D0F">
        <w:t xml:space="preserve"> </w:t>
      </w:r>
      <w:hyperlink r:id="rId137" w:history="1">
        <w:r w:rsidR="00886D0F" w:rsidRPr="00886D0F">
          <w:rPr>
            <w:rStyle w:val="Hyperlink"/>
          </w:rPr>
          <w:t>https://doi.org/10.1111/j.1540-6261.2005.00813.x</w:t>
        </w:r>
      </w:hyperlink>
    </w:p>
    <w:p w14:paraId="74EF1115" w14:textId="71B405F2" w:rsidR="00152AEF" w:rsidRPr="00F32020" w:rsidRDefault="00152AEF" w:rsidP="00152AEF">
      <w:pPr>
        <w:adjustRightInd w:val="0"/>
        <w:ind w:left="567" w:hanging="567"/>
        <w:jc w:val="both"/>
      </w:pPr>
      <w:r w:rsidRPr="00F32020">
        <w:t>McClelland</w:t>
      </w:r>
      <w:r w:rsidR="00886D0F" w:rsidRPr="00886D0F">
        <w:rPr>
          <w:lang w:val="en-US"/>
        </w:rPr>
        <w:t>,</w:t>
      </w:r>
      <w:r w:rsidRPr="00F32020">
        <w:t xml:space="preserve"> D</w:t>
      </w:r>
      <w:r w:rsidR="00886D0F" w:rsidRPr="00886D0F">
        <w:rPr>
          <w:lang w:val="en-US"/>
        </w:rPr>
        <w:t xml:space="preserve">. </w:t>
      </w:r>
      <w:r w:rsidRPr="00F32020">
        <w:t>C</w:t>
      </w:r>
      <w:r w:rsidR="00886D0F" w:rsidRPr="00886D0F">
        <w:rPr>
          <w:lang w:val="en-US"/>
        </w:rPr>
        <w:t>.</w:t>
      </w:r>
      <w:r w:rsidRPr="00F32020">
        <w:t xml:space="preserve"> (1961)</w:t>
      </w:r>
      <w:r w:rsidR="00886D0F" w:rsidRPr="00AD7DB5">
        <w:rPr>
          <w:lang w:val="en-US"/>
        </w:rPr>
        <w:t>.</w:t>
      </w:r>
      <w:r w:rsidRPr="00F32020">
        <w:t xml:space="preserve"> </w:t>
      </w:r>
      <w:r w:rsidRPr="00F32020">
        <w:rPr>
          <w:i/>
          <w:iCs/>
        </w:rPr>
        <w:t>The achieving society</w:t>
      </w:r>
      <w:r w:rsidRPr="00F32020">
        <w:t>. Princeton. NJ: Van Nostrand.</w:t>
      </w:r>
    </w:p>
    <w:p w14:paraId="126F35E9" w14:textId="321B3A6F" w:rsidR="00152AEF" w:rsidRPr="00F32020" w:rsidRDefault="00152AEF" w:rsidP="00152AEF">
      <w:pPr>
        <w:adjustRightInd w:val="0"/>
        <w:ind w:left="567" w:hanging="567"/>
        <w:jc w:val="both"/>
      </w:pPr>
      <w:r w:rsidRPr="00F32020">
        <w:t>McClelland</w:t>
      </w:r>
      <w:r w:rsidR="00886D0F" w:rsidRPr="00AD7DB5">
        <w:rPr>
          <w:lang w:val="en-US"/>
        </w:rPr>
        <w:t>,</w:t>
      </w:r>
      <w:r w:rsidRPr="00F32020">
        <w:t xml:space="preserve"> D</w:t>
      </w:r>
      <w:r w:rsidR="00886D0F" w:rsidRPr="00AD7DB5">
        <w:rPr>
          <w:lang w:val="en-US"/>
        </w:rPr>
        <w:t xml:space="preserve">. </w:t>
      </w:r>
      <w:r w:rsidRPr="00F32020">
        <w:t>C</w:t>
      </w:r>
      <w:r w:rsidR="00886D0F" w:rsidRPr="00AD7DB5">
        <w:rPr>
          <w:lang w:val="en-US"/>
        </w:rPr>
        <w:t>.</w:t>
      </w:r>
      <w:r w:rsidRPr="00F32020">
        <w:t xml:space="preserve"> (1985)</w:t>
      </w:r>
      <w:r w:rsidR="00886D0F" w:rsidRPr="00AD7DB5">
        <w:rPr>
          <w:lang w:val="en-US"/>
        </w:rPr>
        <w:t>.</w:t>
      </w:r>
      <w:r w:rsidRPr="00F32020">
        <w:t xml:space="preserve"> </w:t>
      </w:r>
      <w:r w:rsidRPr="00F32020">
        <w:rPr>
          <w:i/>
          <w:iCs/>
        </w:rPr>
        <w:t>Human motivation</w:t>
      </w:r>
      <w:r w:rsidRPr="00F32020">
        <w:t>. Glenview, IL: Scott, Foresman.</w:t>
      </w:r>
    </w:p>
    <w:p w14:paraId="4F73F90B" w14:textId="60F2B6D8" w:rsidR="00152AEF" w:rsidRPr="00F32020" w:rsidRDefault="00152AEF" w:rsidP="00152AEF">
      <w:pPr>
        <w:adjustRightInd w:val="0"/>
        <w:ind w:left="567" w:hanging="567"/>
        <w:jc w:val="both"/>
        <w:rPr>
          <w:bCs/>
        </w:rPr>
      </w:pPr>
      <w:r w:rsidRPr="00AD7DB5">
        <w:t>Meggers</w:t>
      </w:r>
      <w:r w:rsidR="00AD7DB5" w:rsidRPr="00AD7DB5">
        <w:rPr>
          <w:lang w:val="en-US"/>
        </w:rPr>
        <w:t>,</w:t>
      </w:r>
      <w:r w:rsidRPr="00AD7DB5">
        <w:t xml:space="preserve"> B</w:t>
      </w:r>
      <w:r w:rsidR="00AD7DB5" w:rsidRPr="00AD7DB5">
        <w:rPr>
          <w:lang w:val="en-US"/>
        </w:rPr>
        <w:t xml:space="preserve">. </w:t>
      </w:r>
      <w:r w:rsidRPr="00AD7DB5">
        <w:t>J</w:t>
      </w:r>
      <w:r w:rsidR="00AD7DB5" w:rsidRPr="00AD7DB5">
        <w:rPr>
          <w:lang w:val="en-US"/>
        </w:rPr>
        <w:t>.</w:t>
      </w:r>
      <w:r w:rsidRPr="00AD7DB5">
        <w:t xml:space="preserve"> (1954)</w:t>
      </w:r>
      <w:r w:rsidR="00AD7DB5" w:rsidRPr="00AD7DB5">
        <w:rPr>
          <w:lang w:val="en-US"/>
        </w:rPr>
        <w:t>.</w:t>
      </w:r>
      <w:r w:rsidRPr="00AD7DB5">
        <w:t xml:space="preserve"> Environmental limitation on the development of culture. </w:t>
      </w:r>
      <w:r w:rsidRPr="00AD7DB5">
        <w:rPr>
          <w:bCs/>
          <w:i/>
          <w:iCs/>
        </w:rPr>
        <w:t>American Anthropologist</w:t>
      </w:r>
      <w:r w:rsidR="00AD7DB5" w:rsidRPr="00AD7DB5">
        <w:rPr>
          <w:bCs/>
          <w:i/>
          <w:iCs/>
          <w:lang w:val="en-US"/>
        </w:rPr>
        <w:t>,</w:t>
      </w:r>
      <w:r w:rsidRPr="00AD7DB5">
        <w:rPr>
          <w:bCs/>
        </w:rPr>
        <w:t xml:space="preserve"> </w:t>
      </w:r>
      <w:r w:rsidRPr="00AD7DB5">
        <w:rPr>
          <w:bCs/>
          <w:i/>
          <w:iCs/>
        </w:rPr>
        <w:t>56</w:t>
      </w:r>
      <w:r w:rsidR="00AD7DB5" w:rsidRPr="00AD7DB5">
        <w:rPr>
          <w:bCs/>
          <w:lang w:val="en-US"/>
        </w:rPr>
        <w:t>(5),</w:t>
      </w:r>
      <w:r w:rsidRPr="00AD7DB5">
        <w:rPr>
          <w:bCs/>
        </w:rPr>
        <w:t xml:space="preserve"> 801-824.</w:t>
      </w:r>
      <w:r w:rsidR="00AD7DB5" w:rsidRPr="00AD7DB5">
        <w:t xml:space="preserve"> </w:t>
      </w:r>
      <w:hyperlink r:id="rId138" w:history="1">
        <w:r w:rsidR="00AD7DB5" w:rsidRPr="00AD7DB5">
          <w:rPr>
            <w:rStyle w:val="Hyperlink"/>
            <w:bCs/>
          </w:rPr>
          <w:t>https://doi.org/10.1525/aa.1954.56.5.02a00060</w:t>
        </w:r>
      </w:hyperlink>
    </w:p>
    <w:p w14:paraId="2F260D30" w14:textId="020A6181" w:rsidR="00152AEF" w:rsidRPr="00F32020" w:rsidRDefault="00152AEF" w:rsidP="00152AEF">
      <w:pPr>
        <w:adjustRightInd w:val="0"/>
        <w:ind w:left="567" w:hanging="567"/>
        <w:jc w:val="both"/>
      </w:pPr>
      <w:r w:rsidRPr="00F32020">
        <w:t>Morgan</w:t>
      </w:r>
      <w:r w:rsidR="00AD7DB5">
        <w:t>,</w:t>
      </w:r>
      <w:r w:rsidRPr="00F32020">
        <w:t xml:space="preserve"> L</w:t>
      </w:r>
      <w:r w:rsidR="00AD7DB5">
        <w:t xml:space="preserve">. </w:t>
      </w:r>
      <w:r w:rsidRPr="00F32020">
        <w:t>H</w:t>
      </w:r>
      <w:r w:rsidR="00AD7DB5">
        <w:t>.</w:t>
      </w:r>
      <w:r w:rsidRPr="00F32020">
        <w:t xml:space="preserve"> (1877)</w:t>
      </w:r>
      <w:r w:rsidR="00AD7DB5">
        <w:t>.</w:t>
      </w:r>
      <w:r w:rsidRPr="00F32020">
        <w:t xml:space="preserve"> </w:t>
      </w:r>
      <w:r w:rsidRPr="00F32020">
        <w:rPr>
          <w:i/>
          <w:iCs/>
        </w:rPr>
        <w:t>Ancient society: Or Researches in the line of human progress from savagery through barbarism to civilization</w:t>
      </w:r>
      <w:r w:rsidRPr="00F32020">
        <w:t>. Charles H. Kerr &amp; Company. Chicago.</w:t>
      </w:r>
    </w:p>
    <w:p w14:paraId="61D4BD62" w14:textId="037B1AA1" w:rsidR="00152AEF" w:rsidRPr="00387301" w:rsidRDefault="00152AEF" w:rsidP="00AD7DB5">
      <w:pPr>
        <w:adjustRightInd w:val="0"/>
        <w:ind w:left="567" w:hanging="567"/>
        <w:jc w:val="both"/>
        <w:rPr>
          <w:kern w:val="36"/>
          <w:lang w:val="en-US"/>
        </w:rPr>
      </w:pPr>
      <w:r w:rsidRPr="00F32020">
        <w:rPr>
          <w:kern w:val="36"/>
        </w:rPr>
        <w:t xml:space="preserve">Nash, R., </w:t>
      </w:r>
      <w:r w:rsidR="00AD7DB5">
        <w:rPr>
          <w:kern w:val="36"/>
        </w:rPr>
        <w:t xml:space="preserve">&amp; </w:t>
      </w:r>
      <w:r w:rsidRPr="00F32020">
        <w:rPr>
          <w:kern w:val="36"/>
        </w:rPr>
        <w:t xml:space="preserve">Patel, A. (2019). Instrumental Variables Analysis and the Role of National Culture in Corporate Finance. </w:t>
      </w:r>
      <w:r w:rsidRPr="00F32020">
        <w:rPr>
          <w:i/>
          <w:iCs/>
          <w:kern w:val="36"/>
        </w:rPr>
        <w:t>Financial Management</w:t>
      </w:r>
      <w:r w:rsidRPr="00F32020">
        <w:rPr>
          <w:kern w:val="36"/>
        </w:rPr>
        <w:t xml:space="preserve">, </w:t>
      </w:r>
      <w:r w:rsidRPr="00AD7DB5">
        <w:rPr>
          <w:i/>
          <w:iCs/>
          <w:kern w:val="36"/>
        </w:rPr>
        <w:t>48</w:t>
      </w:r>
      <w:r w:rsidR="00AD7DB5">
        <w:rPr>
          <w:kern w:val="36"/>
        </w:rPr>
        <w:t>(2)</w:t>
      </w:r>
      <w:r w:rsidRPr="00F32020">
        <w:rPr>
          <w:kern w:val="36"/>
        </w:rPr>
        <w:t xml:space="preserve">, 385-416. </w:t>
      </w:r>
      <w:r w:rsidR="00AD7DB5" w:rsidRPr="00AD7DB5">
        <w:rPr>
          <w:kern w:val="36"/>
          <w:lang w:val="en-US"/>
        </w:rPr>
        <w:t> </w:t>
      </w:r>
      <w:hyperlink r:id="rId139" w:history="1">
        <w:r w:rsidR="00AD7DB5" w:rsidRPr="00AD7DB5">
          <w:rPr>
            <w:rStyle w:val="Hyperlink"/>
            <w:kern w:val="36"/>
            <w:lang w:val="en-US"/>
          </w:rPr>
          <w:t>https://doi.org/10.1111/fima.12248</w:t>
        </w:r>
      </w:hyperlink>
    </w:p>
    <w:p w14:paraId="3972355D" w14:textId="25A560B5" w:rsidR="00152AEF" w:rsidRPr="00574CBD" w:rsidRDefault="00152AEF" w:rsidP="00152AEF">
      <w:pPr>
        <w:adjustRightInd w:val="0"/>
        <w:ind w:left="567" w:hanging="567"/>
        <w:rPr>
          <w:lang w:val="en-US"/>
        </w:rPr>
      </w:pPr>
      <w:r w:rsidRPr="00F32020">
        <w:t>Newman, K.</w:t>
      </w:r>
      <w:r w:rsidR="00547056" w:rsidRPr="00547056">
        <w:rPr>
          <w:lang w:val="en-US"/>
        </w:rPr>
        <w:t xml:space="preserve"> </w:t>
      </w:r>
      <w:r w:rsidRPr="00F32020">
        <w:t xml:space="preserve">L., </w:t>
      </w:r>
      <w:r w:rsidR="00547056" w:rsidRPr="00547056">
        <w:rPr>
          <w:lang w:val="en-US"/>
        </w:rPr>
        <w:t xml:space="preserve">&amp; </w:t>
      </w:r>
      <w:r w:rsidRPr="00F32020">
        <w:t>Nollen, S.</w:t>
      </w:r>
      <w:r w:rsidR="00547056" w:rsidRPr="00547056">
        <w:rPr>
          <w:lang w:val="en-US"/>
        </w:rPr>
        <w:t xml:space="preserve"> </w:t>
      </w:r>
      <w:r w:rsidRPr="00F32020">
        <w:t xml:space="preserve">D. (1996). Culture and Congruence: The Fit between Management Practices and National Culture. </w:t>
      </w:r>
      <w:r w:rsidRPr="00F32020">
        <w:rPr>
          <w:i/>
          <w:iCs/>
        </w:rPr>
        <w:t>Journal of International Business Studies</w:t>
      </w:r>
      <w:r w:rsidRPr="00F32020">
        <w:t xml:space="preserve">, </w:t>
      </w:r>
      <w:r w:rsidRPr="00547056">
        <w:rPr>
          <w:i/>
          <w:iCs/>
        </w:rPr>
        <w:t>27</w:t>
      </w:r>
      <w:r w:rsidR="00547056" w:rsidRPr="00547056">
        <w:rPr>
          <w:lang w:val="en-US"/>
        </w:rPr>
        <w:t>(</w:t>
      </w:r>
      <w:r w:rsidR="00574CBD" w:rsidRPr="00574CBD">
        <w:rPr>
          <w:lang w:val="en-US"/>
        </w:rPr>
        <w:t>4</w:t>
      </w:r>
      <w:r w:rsidR="00547056" w:rsidRPr="00547056">
        <w:rPr>
          <w:lang w:val="en-US"/>
        </w:rPr>
        <w:t>)</w:t>
      </w:r>
      <w:r w:rsidRPr="00F32020">
        <w:t>, 753-779</w:t>
      </w:r>
      <w:r w:rsidR="00547056" w:rsidRPr="00547056">
        <w:t xml:space="preserve">. </w:t>
      </w:r>
      <w:hyperlink r:id="rId140" w:history="1">
        <w:r w:rsidR="00547056" w:rsidRPr="000B3F05">
          <w:rPr>
            <w:rStyle w:val="Hyperlink"/>
          </w:rPr>
          <w:t>https://doi.org/10.1057/palgrave.jibs.8490152</w:t>
        </w:r>
      </w:hyperlink>
      <w:r w:rsidR="00547056" w:rsidRPr="00574CBD">
        <w:rPr>
          <w:lang w:val="en-US"/>
        </w:rPr>
        <w:t xml:space="preserve"> </w:t>
      </w:r>
    </w:p>
    <w:p w14:paraId="6D7605AD" w14:textId="36C7BA5A" w:rsidR="00152AEF" w:rsidRPr="00F32020" w:rsidRDefault="00152AEF" w:rsidP="00152AEF">
      <w:pPr>
        <w:adjustRightInd w:val="0"/>
        <w:ind w:left="567" w:hanging="567"/>
        <w:jc w:val="both"/>
      </w:pPr>
      <w:r w:rsidRPr="00F32020">
        <w:t>Nguyen</w:t>
      </w:r>
      <w:r w:rsidR="004B01FA" w:rsidRPr="004B01FA">
        <w:rPr>
          <w:lang w:val="en-US"/>
        </w:rPr>
        <w:t>,</w:t>
      </w:r>
      <w:r w:rsidRPr="00F32020">
        <w:t xml:space="preserve"> D</w:t>
      </w:r>
      <w:r w:rsidR="00574CBD" w:rsidRPr="00574CBD">
        <w:rPr>
          <w:lang w:val="en-US"/>
        </w:rPr>
        <w:t xml:space="preserve">. </w:t>
      </w:r>
      <w:r w:rsidRPr="00F32020">
        <w:t>D</w:t>
      </w:r>
      <w:r w:rsidR="00574CBD" w:rsidRPr="00574CBD">
        <w:rPr>
          <w:lang w:val="en-US"/>
        </w:rPr>
        <w:t>.</w:t>
      </w:r>
      <w:r w:rsidRPr="00F32020">
        <w:t>, Hagendorff</w:t>
      </w:r>
      <w:r w:rsidR="00574CBD" w:rsidRPr="00574CBD">
        <w:rPr>
          <w:lang w:val="en-US"/>
        </w:rPr>
        <w:t>,</w:t>
      </w:r>
      <w:r w:rsidRPr="00F32020">
        <w:t xml:space="preserve"> J</w:t>
      </w:r>
      <w:r w:rsidR="00574CBD" w:rsidRPr="00574CBD">
        <w:rPr>
          <w:lang w:val="en-US"/>
        </w:rPr>
        <w:t>.</w:t>
      </w:r>
      <w:r w:rsidRPr="00F32020">
        <w:t xml:space="preserve">, </w:t>
      </w:r>
      <w:r w:rsidR="00574CBD" w:rsidRPr="00574CBD">
        <w:rPr>
          <w:lang w:val="en-US"/>
        </w:rPr>
        <w:t xml:space="preserve">&amp; </w:t>
      </w:r>
      <w:r w:rsidRPr="00F32020">
        <w:t>Eshraghi</w:t>
      </w:r>
      <w:r w:rsidR="00574CBD" w:rsidRPr="00574CBD">
        <w:rPr>
          <w:lang w:val="en-US"/>
        </w:rPr>
        <w:t>,</w:t>
      </w:r>
      <w:r w:rsidRPr="00F32020">
        <w:t xml:space="preserve"> A</w:t>
      </w:r>
      <w:r w:rsidR="00574CBD" w:rsidRPr="00574CBD">
        <w:rPr>
          <w:lang w:val="en-US"/>
        </w:rPr>
        <w:t>.</w:t>
      </w:r>
      <w:r w:rsidRPr="00F32020">
        <w:t xml:space="preserve"> (2018)</w:t>
      </w:r>
      <w:r w:rsidR="00574CBD" w:rsidRPr="00574CBD">
        <w:rPr>
          <w:lang w:val="en-US"/>
        </w:rPr>
        <w:t>.</w:t>
      </w:r>
      <w:r w:rsidRPr="00F32020">
        <w:t xml:space="preserve"> Does a CEO’s Cultural Heritage Affect Performance under Competitive Pressure? </w:t>
      </w:r>
      <w:r w:rsidRPr="00F32020">
        <w:rPr>
          <w:i/>
          <w:iCs/>
        </w:rPr>
        <w:t>The Review of Financial Studies</w:t>
      </w:r>
      <w:r w:rsidR="00574CBD" w:rsidRPr="00387301">
        <w:rPr>
          <w:i/>
          <w:iCs/>
          <w:lang w:val="en-US"/>
        </w:rPr>
        <w:t>,</w:t>
      </w:r>
      <w:r w:rsidRPr="00F32020">
        <w:t xml:space="preserve"> </w:t>
      </w:r>
      <w:r w:rsidRPr="00574CBD">
        <w:rPr>
          <w:i/>
          <w:iCs/>
        </w:rPr>
        <w:t>31</w:t>
      </w:r>
      <w:r w:rsidRPr="00F32020">
        <w:t xml:space="preserve">(1): 98-141. </w:t>
      </w:r>
      <w:hyperlink r:id="rId141" w:history="1">
        <w:r w:rsidR="003A32BC" w:rsidRPr="003A32BC">
          <w:rPr>
            <w:rStyle w:val="Hyperlink"/>
          </w:rPr>
          <w:t>https://doi.org/10.1093/rfs/hhx046</w:t>
        </w:r>
      </w:hyperlink>
    </w:p>
    <w:p w14:paraId="63C4B655" w14:textId="39654396" w:rsidR="00152AEF" w:rsidRPr="00F32020" w:rsidRDefault="00152AEF" w:rsidP="00152AEF">
      <w:pPr>
        <w:adjustRightInd w:val="0"/>
        <w:ind w:left="567" w:hanging="567"/>
        <w:jc w:val="both"/>
      </w:pPr>
      <w:r w:rsidRPr="00F32020">
        <w:t>Putnam</w:t>
      </w:r>
      <w:r w:rsidR="004B01FA" w:rsidRPr="004B01FA">
        <w:rPr>
          <w:lang w:val="en-US"/>
        </w:rPr>
        <w:t>,</w:t>
      </w:r>
      <w:r w:rsidRPr="00F32020">
        <w:t xml:space="preserve"> R</w:t>
      </w:r>
      <w:r w:rsidR="004B01FA" w:rsidRPr="004B01FA">
        <w:rPr>
          <w:lang w:val="en-US"/>
        </w:rPr>
        <w:t xml:space="preserve">. </w:t>
      </w:r>
      <w:r w:rsidRPr="00F32020">
        <w:t>D</w:t>
      </w:r>
      <w:r w:rsidR="004B01FA" w:rsidRPr="004B01FA">
        <w:rPr>
          <w:lang w:val="en-US"/>
        </w:rPr>
        <w:t>.</w:t>
      </w:r>
      <w:r w:rsidRPr="00F32020">
        <w:t xml:space="preserve"> (1993)</w:t>
      </w:r>
      <w:r w:rsidR="004B01FA" w:rsidRPr="00387301">
        <w:rPr>
          <w:lang w:val="en-US"/>
        </w:rPr>
        <w:t>.</w:t>
      </w:r>
      <w:r w:rsidRPr="00F32020">
        <w:t xml:space="preserve"> </w:t>
      </w:r>
      <w:r w:rsidRPr="00F32020">
        <w:rPr>
          <w:i/>
          <w:iCs/>
        </w:rPr>
        <w:t>Making democracy work</w:t>
      </w:r>
      <w:r w:rsidRPr="00F32020">
        <w:t>. Princeton. NJ: Princeton University Press.</w:t>
      </w:r>
    </w:p>
    <w:p w14:paraId="0C93B7B8" w14:textId="3E92ED78" w:rsidR="00152AEF" w:rsidRPr="00F32020" w:rsidRDefault="00152AEF" w:rsidP="00152AEF">
      <w:pPr>
        <w:adjustRightInd w:val="0"/>
        <w:ind w:left="567" w:hanging="567"/>
        <w:jc w:val="both"/>
      </w:pPr>
      <w:r w:rsidRPr="004B01FA">
        <w:rPr>
          <w:lang w:val="pt-PT"/>
        </w:rPr>
        <w:t>Ramello</w:t>
      </w:r>
      <w:r w:rsidR="004B01FA" w:rsidRPr="004B01FA">
        <w:rPr>
          <w:lang w:val="pt-PT"/>
        </w:rPr>
        <w:t>,</w:t>
      </w:r>
      <w:r w:rsidRPr="004B01FA">
        <w:rPr>
          <w:lang w:val="pt-PT"/>
        </w:rPr>
        <w:t xml:space="preserve"> G</w:t>
      </w:r>
      <w:r w:rsidR="004B01FA" w:rsidRPr="004B01FA">
        <w:rPr>
          <w:lang w:val="pt-PT"/>
        </w:rPr>
        <w:t xml:space="preserve">. </w:t>
      </w:r>
      <w:r w:rsidRPr="004B01FA">
        <w:rPr>
          <w:lang w:val="pt-PT"/>
        </w:rPr>
        <w:t>B</w:t>
      </w:r>
      <w:r w:rsidR="004B01FA" w:rsidRPr="004B01FA">
        <w:rPr>
          <w:lang w:val="pt-PT"/>
        </w:rPr>
        <w:t>.</w:t>
      </w:r>
      <w:r w:rsidRPr="004B01FA">
        <w:rPr>
          <w:lang w:val="pt-PT"/>
        </w:rPr>
        <w:t xml:space="preserve">, </w:t>
      </w:r>
      <w:r w:rsidR="004B01FA" w:rsidRPr="004B01FA">
        <w:rPr>
          <w:lang w:val="pt-PT"/>
        </w:rPr>
        <w:t xml:space="preserve">&amp; </w:t>
      </w:r>
      <w:r w:rsidRPr="004B01FA">
        <w:rPr>
          <w:lang w:val="pt-PT"/>
        </w:rPr>
        <w:t>Silva</w:t>
      </w:r>
      <w:r w:rsidR="004B01FA" w:rsidRPr="004B01FA">
        <w:rPr>
          <w:lang w:val="pt-PT"/>
        </w:rPr>
        <w:t>,</w:t>
      </w:r>
      <w:r w:rsidRPr="004B01FA">
        <w:rPr>
          <w:lang w:val="pt-PT"/>
        </w:rPr>
        <w:t xml:space="preserve"> F</w:t>
      </w:r>
      <w:r w:rsidR="004B01FA" w:rsidRPr="004B01FA">
        <w:rPr>
          <w:lang w:val="pt-PT"/>
        </w:rPr>
        <w:t>.</w:t>
      </w:r>
      <w:r w:rsidRPr="004B01FA">
        <w:rPr>
          <w:lang w:val="pt-PT"/>
        </w:rPr>
        <w:t xml:space="preserve"> (2006)</w:t>
      </w:r>
      <w:r w:rsidR="004B01FA" w:rsidRPr="004B01FA">
        <w:rPr>
          <w:lang w:val="pt-PT"/>
        </w:rPr>
        <w:t>.</w:t>
      </w:r>
      <w:r w:rsidRPr="004B01FA">
        <w:rPr>
          <w:lang w:val="pt-PT"/>
        </w:rPr>
        <w:t xml:space="preserve"> </w:t>
      </w:r>
      <w:r w:rsidRPr="00F32020">
        <w:t xml:space="preserve">Appropriating signs and meaning: the elusive economics of trademark. </w:t>
      </w:r>
      <w:r w:rsidRPr="00F32020">
        <w:rPr>
          <w:i/>
          <w:iCs/>
        </w:rPr>
        <w:t>Industrial and Corporate Change</w:t>
      </w:r>
      <w:r w:rsidR="004B01FA" w:rsidRPr="004B01FA">
        <w:rPr>
          <w:i/>
          <w:iCs/>
          <w:lang w:val="en-US"/>
        </w:rPr>
        <w:t>,</w:t>
      </w:r>
      <w:r w:rsidRPr="00F32020">
        <w:t xml:space="preserve"> 15</w:t>
      </w:r>
      <w:r w:rsidR="004B01FA" w:rsidRPr="004B01FA">
        <w:rPr>
          <w:lang w:val="en-US"/>
        </w:rPr>
        <w:t>(6),</w:t>
      </w:r>
      <w:r w:rsidRPr="00F32020">
        <w:t xml:space="preserve"> 937-963.</w:t>
      </w:r>
      <w:r w:rsidR="004B01FA" w:rsidRPr="004B01FA">
        <w:t xml:space="preserve"> </w:t>
      </w:r>
      <w:hyperlink r:id="rId142" w:history="1">
        <w:r w:rsidR="004B01FA" w:rsidRPr="004B01FA">
          <w:rPr>
            <w:rStyle w:val="Hyperlink"/>
          </w:rPr>
          <w:t>https://doi.org/10.1093/icc/dtl027</w:t>
        </w:r>
      </w:hyperlink>
    </w:p>
    <w:p w14:paraId="19FBC358" w14:textId="64DF4B3A" w:rsidR="00152AEF" w:rsidRPr="00F32020" w:rsidRDefault="00152AEF" w:rsidP="00152AEF">
      <w:pPr>
        <w:adjustRightInd w:val="0"/>
        <w:ind w:left="567" w:hanging="567"/>
        <w:jc w:val="both"/>
        <w:rPr>
          <w:shd w:val="clear" w:color="auto" w:fill="FFFFFF"/>
        </w:rPr>
      </w:pPr>
      <w:r w:rsidRPr="00F32020">
        <w:t>Roberts</w:t>
      </w:r>
      <w:r w:rsidR="004B01FA" w:rsidRPr="004B01FA">
        <w:rPr>
          <w:lang w:val="en-US"/>
        </w:rPr>
        <w:t>,</w:t>
      </w:r>
      <w:r w:rsidRPr="00F32020">
        <w:t xml:space="preserve"> P</w:t>
      </w:r>
      <w:r w:rsidR="004B01FA" w:rsidRPr="004B01FA">
        <w:rPr>
          <w:lang w:val="en-US"/>
        </w:rPr>
        <w:t xml:space="preserve">. </w:t>
      </w:r>
      <w:r w:rsidRPr="00F32020">
        <w:t>W</w:t>
      </w:r>
      <w:r w:rsidR="004B01FA" w:rsidRPr="004B01FA">
        <w:rPr>
          <w:lang w:val="en-US"/>
        </w:rPr>
        <w:t>.</w:t>
      </w:r>
      <w:r w:rsidRPr="00F32020">
        <w:t xml:space="preserve">, </w:t>
      </w:r>
      <w:r w:rsidR="004B01FA" w:rsidRPr="004B01FA">
        <w:rPr>
          <w:lang w:val="en-US"/>
        </w:rPr>
        <w:t xml:space="preserve">&amp; </w:t>
      </w:r>
      <w:r w:rsidRPr="00F32020">
        <w:t>Lall</w:t>
      </w:r>
      <w:r w:rsidR="004B01FA" w:rsidRPr="004B01FA">
        <w:rPr>
          <w:lang w:val="en-US"/>
        </w:rPr>
        <w:t>,</w:t>
      </w:r>
      <w:r w:rsidRPr="00F32020">
        <w:t xml:space="preserve"> S</w:t>
      </w:r>
      <w:r w:rsidR="004B01FA" w:rsidRPr="004B01FA">
        <w:rPr>
          <w:lang w:val="en-US"/>
        </w:rPr>
        <w:t xml:space="preserve">. </w:t>
      </w:r>
      <w:r w:rsidRPr="00F32020">
        <w:t>A</w:t>
      </w:r>
      <w:r w:rsidR="004B01FA" w:rsidRPr="004B01FA">
        <w:rPr>
          <w:lang w:val="en-US"/>
        </w:rPr>
        <w:t>.</w:t>
      </w:r>
      <w:r w:rsidRPr="00F32020">
        <w:t xml:space="preserve"> (2019)</w:t>
      </w:r>
      <w:r w:rsidR="004B01FA" w:rsidRPr="00387301">
        <w:rPr>
          <w:lang w:val="en-US"/>
        </w:rPr>
        <w:t>.</w:t>
      </w:r>
      <w:r w:rsidRPr="00F32020">
        <w:t xml:space="preserve"> </w:t>
      </w:r>
      <w:r w:rsidRPr="00F32020">
        <w:rPr>
          <w:i/>
          <w:iCs/>
        </w:rPr>
        <w:t>Observing Acceleration: Uncovering the Effects of Accelerators on Impact-Oriented Entrepreneurs</w:t>
      </w:r>
      <w:r w:rsidRPr="00F32020">
        <w:t>. Palgrave Macmillan.</w:t>
      </w:r>
    </w:p>
    <w:p w14:paraId="6A81D4F8" w14:textId="0E13EF45" w:rsidR="00152AEF" w:rsidRPr="00387301" w:rsidRDefault="00152AEF" w:rsidP="00152AEF">
      <w:pPr>
        <w:adjustRightInd w:val="0"/>
        <w:ind w:left="567" w:hanging="567"/>
        <w:jc w:val="both"/>
      </w:pPr>
      <w:r w:rsidRPr="00F32020">
        <w:rPr>
          <w:shd w:val="clear" w:color="auto" w:fill="FFFFFF"/>
        </w:rPr>
        <w:t>Romaniszyn</w:t>
      </w:r>
      <w:r w:rsidR="00AB47CF" w:rsidRPr="00387301">
        <w:rPr>
          <w:shd w:val="clear" w:color="auto" w:fill="FFFFFF"/>
        </w:rPr>
        <w:t>,</w:t>
      </w:r>
      <w:r w:rsidRPr="00F32020">
        <w:rPr>
          <w:shd w:val="clear" w:color="auto" w:fill="FFFFFF"/>
        </w:rPr>
        <w:t xml:space="preserve"> K</w:t>
      </w:r>
      <w:r w:rsidR="00AB47CF" w:rsidRPr="00387301">
        <w:rPr>
          <w:shd w:val="clear" w:color="auto" w:fill="FFFFFF"/>
        </w:rPr>
        <w:t>.</w:t>
      </w:r>
      <w:r w:rsidRPr="00F32020">
        <w:rPr>
          <w:shd w:val="clear" w:color="auto" w:fill="FFFFFF"/>
        </w:rPr>
        <w:t xml:space="preserve"> (2004)</w:t>
      </w:r>
      <w:r w:rsidR="00AB47CF" w:rsidRPr="00387301">
        <w:rPr>
          <w:shd w:val="clear" w:color="auto" w:fill="FFFFFF"/>
        </w:rPr>
        <w:t>.</w:t>
      </w:r>
      <w:r w:rsidRPr="00F32020">
        <w:rPr>
          <w:shd w:val="clear" w:color="auto" w:fill="FFFFFF"/>
        </w:rPr>
        <w:t xml:space="preserve"> </w:t>
      </w:r>
      <w:r w:rsidRPr="00F32020">
        <w:t xml:space="preserve">The Cultural Implications of International Migrations. </w:t>
      </w:r>
      <w:r w:rsidRPr="00F32020">
        <w:rPr>
          <w:i/>
          <w:iCs/>
        </w:rPr>
        <w:t>Polish Sociological Review</w:t>
      </w:r>
      <w:r w:rsidR="00AB47CF" w:rsidRPr="00387301">
        <w:rPr>
          <w:i/>
          <w:iCs/>
        </w:rPr>
        <w:t>,</w:t>
      </w:r>
      <w:r w:rsidRPr="00F32020">
        <w:rPr>
          <w:i/>
          <w:iCs/>
        </w:rPr>
        <w:t xml:space="preserve"> </w:t>
      </w:r>
      <w:r w:rsidRPr="0006367A">
        <w:rPr>
          <w:i/>
          <w:iCs/>
        </w:rPr>
        <w:t>146</w:t>
      </w:r>
      <w:r w:rsidR="00AB47CF" w:rsidRPr="00387301">
        <w:t>,</w:t>
      </w:r>
      <w:r w:rsidRPr="00F32020">
        <w:t xml:space="preserve"> 141-159.</w:t>
      </w:r>
      <w:r w:rsidR="00AB47CF" w:rsidRPr="00387301">
        <w:t xml:space="preserve"> </w:t>
      </w:r>
      <w:hyperlink r:id="rId143" w:history="1">
        <w:r w:rsidR="00AB47CF" w:rsidRPr="000B3F05">
          <w:rPr>
            <w:rStyle w:val="Hyperlink"/>
          </w:rPr>
          <w:t>https://www.jstor.org/stable/i40057490</w:t>
        </w:r>
      </w:hyperlink>
      <w:r w:rsidR="00AB47CF" w:rsidRPr="00387301">
        <w:t xml:space="preserve"> </w:t>
      </w:r>
    </w:p>
    <w:p w14:paraId="11D40B4F" w14:textId="749685C2" w:rsidR="00152AEF" w:rsidRPr="005338F2" w:rsidRDefault="00152AEF" w:rsidP="00152AEF">
      <w:pPr>
        <w:adjustRightInd w:val="0"/>
        <w:ind w:left="567" w:hanging="567"/>
        <w:jc w:val="both"/>
        <w:rPr>
          <w:lang w:val="en-US"/>
        </w:rPr>
      </w:pPr>
      <w:r w:rsidRPr="00F32020">
        <w:t xml:space="preserve">Shao, L., Kwok, C.C., </w:t>
      </w:r>
      <w:r w:rsidR="005338F2" w:rsidRPr="005338F2">
        <w:t xml:space="preserve">&amp; </w:t>
      </w:r>
      <w:r w:rsidRPr="00F32020">
        <w:t xml:space="preserve">Zhang, R. (2013). National culture and corporate investment. </w:t>
      </w:r>
      <w:r w:rsidRPr="00F32020">
        <w:rPr>
          <w:i/>
          <w:iCs/>
        </w:rPr>
        <w:t>Journal of International Business Studies</w:t>
      </w:r>
      <w:r w:rsidRPr="00F32020">
        <w:t xml:space="preserve">, </w:t>
      </w:r>
      <w:r w:rsidRPr="005338F2">
        <w:rPr>
          <w:i/>
          <w:iCs/>
        </w:rPr>
        <w:t>44</w:t>
      </w:r>
      <w:r w:rsidR="005338F2" w:rsidRPr="0006367A">
        <w:rPr>
          <w:lang w:val="en-US"/>
        </w:rPr>
        <w:t>(7)</w:t>
      </w:r>
      <w:r w:rsidRPr="00F32020">
        <w:t>, 745-763.</w:t>
      </w:r>
      <w:r w:rsidR="005338F2" w:rsidRPr="0006367A">
        <w:rPr>
          <w:lang w:val="en-US"/>
        </w:rPr>
        <w:t xml:space="preserve"> </w:t>
      </w:r>
      <w:hyperlink r:id="rId144" w:history="1">
        <w:r w:rsidR="005338F2" w:rsidRPr="001E3D49">
          <w:rPr>
            <w:rStyle w:val="Hyperlink"/>
          </w:rPr>
          <w:t>https://doi.org/10.1057/jibs.2013.26</w:t>
        </w:r>
      </w:hyperlink>
      <w:r w:rsidR="005338F2" w:rsidRPr="005338F2">
        <w:rPr>
          <w:lang w:val="en-US"/>
        </w:rPr>
        <w:t xml:space="preserve"> </w:t>
      </w:r>
    </w:p>
    <w:p w14:paraId="0EC287AE" w14:textId="75FEAAA0" w:rsidR="00152AEF" w:rsidRPr="005F4266" w:rsidRDefault="00152AEF" w:rsidP="00152AEF">
      <w:pPr>
        <w:adjustRightInd w:val="0"/>
        <w:ind w:left="567" w:hanging="567"/>
        <w:jc w:val="both"/>
        <w:rPr>
          <w:shd w:val="clear" w:color="auto" w:fill="FFFFFF"/>
          <w:lang w:val="en-US"/>
        </w:rPr>
      </w:pPr>
      <w:r w:rsidRPr="00F32020">
        <w:rPr>
          <w:shd w:val="clear" w:color="auto" w:fill="FFFFFF"/>
        </w:rPr>
        <w:t>Sharma</w:t>
      </w:r>
      <w:r w:rsidR="005338F2" w:rsidRPr="005338F2">
        <w:rPr>
          <w:shd w:val="clear" w:color="auto" w:fill="FFFFFF"/>
          <w:lang w:val="en-US"/>
        </w:rPr>
        <w:t>,</w:t>
      </w:r>
      <w:r w:rsidRPr="00F32020">
        <w:rPr>
          <w:shd w:val="clear" w:color="auto" w:fill="FFFFFF"/>
        </w:rPr>
        <w:t xml:space="preserve"> S</w:t>
      </w:r>
      <w:r w:rsidR="005338F2" w:rsidRPr="005338F2">
        <w:rPr>
          <w:shd w:val="clear" w:color="auto" w:fill="FFFFFF"/>
          <w:lang w:val="en-US"/>
        </w:rPr>
        <w:t>.</w:t>
      </w:r>
      <w:r w:rsidRPr="00F32020">
        <w:rPr>
          <w:shd w:val="clear" w:color="auto" w:fill="FFFFFF"/>
        </w:rPr>
        <w:t xml:space="preserve"> (2014)</w:t>
      </w:r>
      <w:r w:rsidR="005338F2" w:rsidRPr="0006367A">
        <w:rPr>
          <w:shd w:val="clear" w:color="auto" w:fill="FFFFFF"/>
          <w:lang w:val="en-US"/>
        </w:rPr>
        <w:t>.</w:t>
      </w:r>
      <w:r w:rsidRPr="00F32020">
        <w:rPr>
          <w:shd w:val="clear" w:color="auto" w:fill="FFFFFF"/>
        </w:rPr>
        <w:t xml:space="preserve"> Benefits of a registration policy for microenterprise performance in India. </w:t>
      </w:r>
      <w:r w:rsidRPr="00F32020">
        <w:rPr>
          <w:i/>
          <w:iCs/>
          <w:shd w:val="clear" w:color="auto" w:fill="FFFFFF"/>
        </w:rPr>
        <w:t>Small Business Economics</w:t>
      </w:r>
      <w:r w:rsidR="005338F2" w:rsidRPr="005F4266">
        <w:rPr>
          <w:i/>
          <w:iCs/>
          <w:shd w:val="clear" w:color="auto" w:fill="FFFFFF"/>
          <w:lang w:val="en-US"/>
        </w:rPr>
        <w:t>,</w:t>
      </w:r>
      <w:r w:rsidRPr="00F32020">
        <w:rPr>
          <w:shd w:val="clear" w:color="auto" w:fill="FFFFFF"/>
        </w:rPr>
        <w:t> </w:t>
      </w:r>
      <w:r w:rsidRPr="005338F2">
        <w:rPr>
          <w:i/>
          <w:iCs/>
          <w:shd w:val="clear" w:color="auto" w:fill="FFFFFF"/>
        </w:rPr>
        <w:t>42</w:t>
      </w:r>
      <w:r w:rsidR="005338F2" w:rsidRPr="005F4266">
        <w:rPr>
          <w:shd w:val="clear" w:color="auto" w:fill="FFFFFF"/>
          <w:lang w:val="en-US"/>
        </w:rPr>
        <w:t>(</w:t>
      </w:r>
      <w:r w:rsidR="00333441" w:rsidRPr="005F4266">
        <w:rPr>
          <w:shd w:val="clear" w:color="auto" w:fill="FFFFFF"/>
          <w:lang w:val="en-US"/>
        </w:rPr>
        <w:t>1</w:t>
      </w:r>
      <w:r w:rsidR="005338F2" w:rsidRPr="005F4266">
        <w:rPr>
          <w:shd w:val="clear" w:color="auto" w:fill="FFFFFF"/>
          <w:lang w:val="en-US"/>
        </w:rPr>
        <w:t>),</w:t>
      </w:r>
      <w:r w:rsidRPr="00F32020">
        <w:rPr>
          <w:shd w:val="clear" w:color="auto" w:fill="FFFFFF"/>
        </w:rPr>
        <w:t xml:space="preserve"> 153-164.</w:t>
      </w:r>
      <w:r w:rsidR="005338F2" w:rsidRPr="005338F2">
        <w:rPr>
          <w:rFonts w:ascii="Merriweather Sans" w:hAnsi="Merriweather Sans"/>
          <w:color w:val="222222"/>
          <w:shd w:val="clear" w:color="auto" w:fill="FFFFFF"/>
        </w:rPr>
        <w:t xml:space="preserve"> </w:t>
      </w:r>
      <w:r w:rsidR="005F4266" w:rsidRPr="00C95767">
        <w:rPr>
          <w:color w:val="4472C4" w:themeColor="accent1"/>
          <w:u w:val="single"/>
          <w:shd w:val="clear" w:color="auto" w:fill="FFFFFF"/>
        </w:rPr>
        <w:t>https://doi.org/10.1007/s11187-013-9475-y</w:t>
      </w:r>
      <w:r w:rsidR="00C95767" w:rsidRPr="00C95767">
        <w:rPr>
          <w:color w:val="4472C4" w:themeColor="accent1"/>
          <w:shd w:val="clear" w:color="auto" w:fill="FFFFFF"/>
        </w:rPr>
        <w:t xml:space="preserve"> </w:t>
      </w:r>
      <w:r w:rsidR="005338F2" w:rsidRPr="00C95767">
        <w:rPr>
          <w:color w:val="4472C4" w:themeColor="accent1"/>
          <w:shd w:val="clear" w:color="auto" w:fill="FFFFFF"/>
          <w:lang w:val="en-US"/>
        </w:rPr>
        <w:t xml:space="preserve"> </w:t>
      </w:r>
      <w:r w:rsidR="00C95767" w:rsidRPr="00C95767">
        <w:rPr>
          <w:color w:val="4472C4" w:themeColor="accent1"/>
          <w:shd w:val="clear" w:color="auto" w:fill="FFFFFF"/>
          <w:lang w:val="en-US"/>
        </w:rPr>
        <w:t xml:space="preserve"> </w:t>
      </w:r>
    </w:p>
    <w:p w14:paraId="4AC33F4A" w14:textId="60ABB536" w:rsidR="005338F2" w:rsidRPr="0006367A" w:rsidRDefault="00152AEF" w:rsidP="00152AEF">
      <w:pPr>
        <w:adjustRightInd w:val="0"/>
        <w:ind w:left="567" w:hanging="567"/>
        <w:jc w:val="both"/>
        <w:rPr>
          <w:lang w:val="fr-FR"/>
        </w:rPr>
      </w:pPr>
      <w:r w:rsidRPr="00F32020">
        <w:t>Talhelm</w:t>
      </w:r>
      <w:r w:rsidR="005F4266" w:rsidRPr="005F4266">
        <w:rPr>
          <w:lang w:val="en-US"/>
        </w:rPr>
        <w:t>,</w:t>
      </w:r>
      <w:r w:rsidRPr="00F32020">
        <w:t> T</w:t>
      </w:r>
      <w:r w:rsidR="005F4266" w:rsidRPr="005F4266">
        <w:rPr>
          <w:lang w:val="en-US"/>
        </w:rPr>
        <w:t>.</w:t>
      </w:r>
      <w:r w:rsidRPr="00F32020">
        <w:t>, Zhang</w:t>
      </w:r>
      <w:r w:rsidR="005F4266" w:rsidRPr="005F4266">
        <w:rPr>
          <w:lang w:val="en-US"/>
        </w:rPr>
        <w:t>,</w:t>
      </w:r>
      <w:r w:rsidRPr="00F32020">
        <w:t xml:space="preserve"> X</w:t>
      </w:r>
      <w:r w:rsidR="005F4266" w:rsidRPr="005F4266">
        <w:rPr>
          <w:lang w:val="en-US"/>
        </w:rPr>
        <w:t>.</w:t>
      </w:r>
      <w:r w:rsidRPr="00F32020">
        <w:t>, Oishi</w:t>
      </w:r>
      <w:r w:rsidR="005F4266" w:rsidRPr="005F4266">
        <w:rPr>
          <w:lang w:val="en-US"/>
        </w:rPr>
        <w:t>,</w:t>
      </w:r>
      <w:r w:rsidRPr="00F32020">
        <w:t xml:space="preserve"> S</w:t>
      </w:r>
      <w:r w:rsidR="005F4266" w:rsidRPr="005F4266">
        <w:rPr>
          <w:lang w:val="en-US"/>
        </w:rPr>
        <w:t>.</w:t>
      </w:r>
      <w:r w:rsidRPr="00F32020">
        <w:t>, Shimin</w:t>
      </w:r>
      <w:r w:rsidR="005F4266" w:rsidRPr="005F4266">
        <w:rPr>
          <w:lang w:val="en-US"/>
        </w:rPr>
        <w:t>,</w:t>
      </w:r>
      <w:r w:rsidRPr="00F32020">
        <w:t xml:space="preserve"> C</w:t>
      </w:r>
      <w:r w:rsidR="005F4266" w:rsidRPr="005F4266">
        <w:rPr>
          <w:lang w:val="en-US"/>
        </w:rPr>
        <w:t>.</w:t>
      </w:r>
      <w:r w:rsidRPr="00F32020">
        <w:t>, Duan</w:t>
      </w:r>
      <w:r w:rsidR="005F4266" w:rsidRPr="005F4266">
        <w:rPr>
          <w:lang w:val="en-US"/>
        </w:rPr>
        <w:t>,</w:t>
      </w:r>
      <w:r w:rsidRPr="00F32020">
        <w:t xml:space="preserve"> D</w:t>
      </w:r>
      <w:r w:rsidR="005F4266" w:rsidRPr="005F4266">
        <w:rPr>
          <w:lang w:val="en-US"/>
        </w:rPr>
        <w:t>.</w:t>
      </w:r>
      <w:r w:rsidRPr="00F32020">
        <w:t>, Lan</w:t>
      </w:r>
      <w:r w:rsidR="005F4266" w:rsidRPr="005F4266">
        <w:rPr>
          <w:lang w:val="en-US"/>
        </w:rPr>
        <w:t>,</w:t>
      </w:r>
      <w:r w:rsidRPr="00F32020">
        <w:t xml:space="preserve"> X</w:t>
      </w:r>
      <w:r w:rsidR="005F4266" w:rsidRPr="005F4266">
        <w:rPr>
          <w:lang w:val="en-US"/>
        </w:rPr>
        <w:t>.</w:t>
      </w:r>
      <w:r w:rsidRPr="00F32020">
        <w:t xml:space="preserve">, </w:t>
      </w:r>
      <w:r w:rsidR="005F4266" w:rsidRPr="005F4266">
        <w:rPr>
          <w:lang w:val="en-US"/>
        </w:rPr>
        <w:t xml:space="preserve">&amp; </w:t>
      </w:r>
      <w:r w:rsidRPr="00F32020">
        <w:t>Kitayama</w:t>
      </w:r>
      <w:r w:rsidR="005F4266" w:rsidRPr="005F4266">
        <w:rPr>
          <w:lang w:val="en-US"/>
        </w:rPr>
        <w:t>,</w:t>
      </w:r>
      <w:r w:rsidRPr="00F32020">
        <w:t xml:space="preserve"> S</w:t>
      </w:r>
      <w:r w:rsidR="005F4266" w:rsidRPr="005F4266">
        <w:rPr>
          <w:lang w:val="en-US"/>
        </w:rPr>
        <w:t>.</w:t>
      </w:r>
      <w:r w:rsidRPr="00F32020">
        <w:t xml:space="preserve"> (2014)</w:t>
      </w:r>
      <w:r w:rsidR="005F4266" w:rsidRPr="00C95767">
        <w:rPr>
          <w:lang w:val="en-US"/>
        </w:rPr>
        <w:t>.</w:t>
      </w:r>
      <w:r w:rsidRPr="00F32020">
        <w:t xml:space="preserve"> Large-Scale Psychological Differences Within China Explained by Rice Versus Wheat Agriculture. </w:t>
      </w:r>
      <w:r w:rsidRPr="0006367A">
        <w:rPr>
          <w:i/>
          <w:iCs/>
          <w:lang w:val="fr-FR"/>
        </w:rPr>
        <w:t>Science</w:t>
      </w:r>
      <w:r w:rsidR="005F4266" w:rsidRPr="0006367A">
        <w:rPr>
          <w:i/>
          <w:iCs/>
          <w:lang w:val="fr-FR"/>
        </w:rPr>
        <w:t>,</w:t>
      </w:r>
      <w:r w:rsidRPr="0006367A">
        <w:rPr>
          <w:i/>
          <w:iCs/>
          <w:lang w:val="fr-FR"/>
        </w:rPr>
        <w:t xml:space="preserve"> 344</w:t>
      </w:r>
      <w:r w:rsidR="005F4266" w:rsidRPr="0006367A">
        <w:rPr>
          <w:lang w:val="fr-FR"/>
        </w:rPr>
        <w:t>(6184),</w:t>
      </w:r>
      <w:r w:rsidRPr="0006367A">
        <w:rPr>
          <w:lang w:val="fr-FR"/>
        </w:rPr>
        <w:t xml:space="preserve"> 603-608.</w:t>
      </w:r>
      <w:r w:rsidR="005F4266" w:rsidRPr="0006367A">
        <w:rPr>
          <w:lang w:val="fr-FR"/>
        </w:rPr>
        <w:t xml:space="preserve"> </w:t>
      </w:r>
      <w:hyperlink r:id="rId145" w:history="1">
        <w:r w:rsidR="00C95767" w:rsidRPr="0006367A">
          <w:rPr>
            <w:rStyle w:val="Hyperlink"/>
            <w:lang w:val="fr-FR"/>
          </w:rPr>
          <w:t>DOI: 10.1126/science.1246850</w:t>
        </w:r>
      </w:hyperlink>
    </w:p>
    <w:p w14:paraId="57DBD79B" w14:textId="02F1F681" w:rsidR="00152AEF" w:rsidRPr="00F32020" w:rsidRDefault="00152AEF" w:rsidP="00152AEF">
      <w:pPr>
        <w:adjustRightInd w:val="0"/>
        <w:ind w:left="567" w:hanging="567"/>
        <w:jc w:val="both"/>
      </w:pPr>
      <w:r w:rsidRPr="0006367A">
        <w:rPr>
          <w:shd w:val="clear" w:color="auto" w:fill="FFFFFF"/>
          <w:lang w:val="fr-FR"/>
        </w:rPr>
        <w:t>Terza</w:t>
      </w:r>
      <w:r w:rsidR="00C95767" w:rsidRPr="0006367A">
        <w:rPr>
          <w:shd w:val="clear" w:color="auto" w:fill="FFFFFF"/>
          <w:lang w:val="fr-FR"/>
        </w:rPr>
        <w:t>,</w:t>
      </w:r>
      <w:r w:rsidRPr="0006367A">
        <w:rPr>
          <w:shd w:val="clear" w:color="auto" w:fill="FFFFFF"/>
          <w:lang w:val="fr-FR"/>
        </w:rPr>
        <w:t xml:space="preserve"> J</w:t>
      </w:r>
      <w:r w:rsidR="00C95767" w:rsidRPr="0006367A">
        <w:rPr>
          <w:shd w:val="clear" w:color="auto" w:fill="FFFFFF"/>
          <w:lang w:val="fr-FR"/>
        </w:rPr>
        <w:t>.</w:t>
      </w:r>
      <w:r w:rsidRPr="0006367A">
        <w:rPr>
          <w:shd w:val="clear" w:color="auto" w:fill="FFFFFF"/>
          <w:lang w:val="fr-FR"/>
        </w:rPr>
        <w:t>V</w:t>
      </w:r>
      <w:r w:rsidR="00C95767" w:rsidRPr="0006367A">
        <w:rPr>
          <w:shd w:val="clear" w:color="auto" w:fill="FFFFFF"/>
          <w:lang w:val="fr-FR"/>
        </w:rPr>
        <w:t>.</w:t>
      </w:r>
      <w:r w:rsidRPr="0006367A">
        <w:rPr>
          <w:shd w:val="clear" w:color="auto" w:fill="FFFFFF"/>
          <w:lang w:val="fr-FR"/>
        </w:rPr>
        <w:t>, Basu</w:t>
      </w:r>
      <w:r w:rsidR="00C95767" w:rsidRPr="0006367A">
        <w:rPr>
          <w:shd w:val="clear" w:color="auto" w:fill="FFFFFF"/>
          <w:lang w:val="fr-FR"/>
        </w:rPr>
        <w:t>,</w:t>
      </w:r>
      <w:r w:rsidRPr="0006367A">
        <w:rPr>
          <w:shd w:val="clear" w:color="auto" w:fill="FFFFFF"/>
          <w:lang w:val="fr-FR"/>
        </w:rPr>
        <w:t xml:space="preserve"> A</w:t>
      </w:r>
      <w:r w:rsidR="00C95767" w:rsidRPr="0006367A">
        <w:rPr>
          <w:shd w:val="clear" w:color="auto" w:fill="FFFFFF"/>
          <w:lang w:val="fr-FR"/>
        </w:rPr>
        <w:t>.</w:t>
      </w:r>
      <w:r w:rsidRPr="0006367A">
        <w:rPr>
          <w:shd w:val="clear" w:color="auto" w:fill="FFFFFF"/>
          <w:lang w:val="fr-FR"/>
        </w:rPr>
        <w:t xml:space="preserve">, </w:t>
      </w:r>
      <w:r w:rsidR="00C95767" w:rsidRPr="0006367A">
        <w:rPr>
          <w:shd w:val="clear" w:color="auto" w:fill="FFFFFF"/>
          <w:lang w:val="fr-FR"/>
        </w:rPr>
        <w:t xml:space="preserve">&amp; </w:t>
      </w:r>
      <w:r w:rsidRPr="0006367A">
        <w:rPr>
          <w:shd w:val="clear" w:color="auto" w:fill="FFFFFF"/>
          <w:lang w:val="fr-FR"/>
        </w:rPr>
        <w:t>Rathouz</w:t>
      </w:r>
      <w:r w:rsidR="00C95767" w:rsidRPr="0006367A">
        <w:rPr>
          <w:shd w:val="clear" w:color="auto" w:fill="FFFFFF"/>
          <w:lang w:val="fr-FR"/>
        </w:rPr>
        <w:t>,</w:t>
      </w:r>
      <w:r w:rsidRPr="0006367A">
        <w:rPr>
          <w:shd w:val="clear" w:color="auto" w:fill="FFFFFF"/>
          <w:lang w:val="fr-FR"/>
        </w:rPr>
        <w:t xml:space="preserve"> P</w:t>
      </w:r>
      <w:r w:rsidR="00C95767" w:rsidRPr="0006367A">
        <w:rPr>
          <w:shd w:val="clear" w:color="auto" w:fill="FFFFFF"/>
          <w:lang w:val="fr-FR"/>
        </w:rPr>
        <w:t xml:space="preserve">. </w:t>
      </w:r>
      <w:r w:rsidRPr="0006367A">
        <w:rPr>
          <w:shd w:val="clear" w:color="auto" w:fill="FFFFFF"/>
          <w:lang w:val="fr-FR"/>
        </w:rPr>
        <w:t>J</w:t>
      </w:r>
      <w:r w:rsidR="00C95767" w:rsidRPr="0006367A">
        <w:rPr>
          <w:shd w:val="clear" w:color="auto" w:fill="FFFFFF"/>
          <w:lang w:val="fr-FR"/>
        </w:rPr>
        <w:t>.</w:t>
      </w:r>
      <w:r w:rsidRPr="0006367A">
        <w:rPr>
          <w:shd w:val="clear" w:color="auto" w:fill="FFFFFF"/>
          <w:lang w:val="fr-FR"/>
        </w:rPr>
        <w:t xml:space="preserve"> (2008)</w:t>
      </w:r>
      <w:r w:rsidR="00C95767" w:rsidRPr="0006367A">
        <w:rPr>
          <w:shd w:val="clear" w:color="auto" w:fill="FFFFFF"/>
          <w:lang w:val="fr-FR"/>
        </w:rPr>
        <w:t>.</w:t>
      </w:r>
      <w:r w:rsidRPr="0006367A">
        <w:rPr>
          <w:shd w:val="clear" w:color="auto" w:fill="FFFFFF"/>
          <w:lang w:val="fr-FR"/>
        </w:rPr>
        <w:t xml:space="preserve"> </w:t>
      </w:r>
      <w:r w:rsidRPr="00F32020">
        <w:rPr>
          <w:shd w:val="clear" w:color="auto" w:fill="FFFFFF"/>
        </w:rPr>
        <w:t xml:space="preserve">Two-stage residual inclusion estimation: Addressing endogeneity in health econometric modelling. </w:t>
      </w:r>
      <w:r w:rsidRPr="00F32020">
        <w:rPr>
          <w:i/>
          <w:iCs/>
          <w:shd w:val="clear" w:color="auto" w:fill="FFFFFF"/>
        </w:rPr>
        <w:t>Journal of Health Economics</w:t>
      </w:r>
      <w:r w:rsidRPr="00F32020">
        <w:rPr>
          <w:shd w:val="clear" w:color="auto" w:fill="FFFFFF"/>
        </w:rPr>
        <w:t xml:space="preserve"> </w:t>
      </w:r>
      <w:r w:rsidRPr="00C95767">
        <w:rPr>
          <w:i/>
          <w:iCs/>
          <w:shd w:val="clear" w:color="auto" w:fill="FFFFFF"/>
        </w:rPr>
        <w:t>27</w:t>
      </w:r>
      <w:r w:rsidR="00C95767" w:rsidRPr="0006367A">
        <w:rPr>
          <w:shd w:val="clear" w:color="auto" w:fill="FFFFFF"/>
          <w:lang w:val="en-US"/>
        </w:rPr>
        <w:t>(3),</w:t>
      </w:r>
      <w:r w:rsidRPr="00F32020">
        <w:rPr>
          <w:shd w:val="clear" w:color="auto" w:fill="FFFFFF"/>
        </w:rPr>
        <w:t xml:space="preserve"> 531-543.</w:t>
      </w:r>
      <w:r w:rsidR="00C95767" w:rsidRPr="00C95767">
        <w:t xml:space="preserve"> </w:t>
      </w:r>
      <w:hyperlink r:id="rId146" w:tgtFrame="_blank" w:tooltip="Persistent link using digital object identifier" w:history="1">
        <w:r w:rsidR="00C95767" w:rsidRPr="00C95767">
          <w:rPr>
            <w:rStyle w:val="Hyperlink"/>
            <w:shd w:val="clear" w:color="auto" w:fill="FFFFFF"/>
          </w:rPr>
          <w:t>https://doi.org/10.1016/j.jhealeco.2007.09.009</w:t>
        </w:r>
      </w:hyperlink>
    </w:p>
    <w:p w14:paraId="27EB3465" w14:textId="50B59300" w:rsidR="00152AEF" w:rsidRPr="0006367A" w:rsidRDefault="00152AEF" w:rsidP="00152AEF">
      <w:pPr>
        <w:adjustRightInd w:val="0"/>
        <w:ind w:left="567" w:hanging="567"/>
        <w:jc w:val="both"/>
        <w:rPr>
          <w:lang w:val="en-US"/>
        </w:rPr>
      </w:pPr>
      <w:r w:rsidRPr="00F32020">
        <w:lastRenderedPageBreak/>
        <w:t>Venaik</w:t>
      </w:r>
      <w:r w:rsidR="00DB5B76" w:rsidRPr="00DB5B76">
        <w:rPr>
          <w:lang w:val="en-US"/>
        </w:rPr>
        <w:t>,</w:t>
      </w:r>
      <w:r w:rsidRPr="00F32020">
        <w:t xml:space="preserve"> S</w:t>
      </w:r>
      <w:r w:rsidR="00DB5B76" w:rsidRPr="00DB5B76">
        <w:rPr>
          <w:lang w:val="en-US"/>
        </w:rPr>
        <w:t>.</w:t>
      </w:r>
      <w:r w:rsidRPr="00F32020">
        <w:t xml:space="preserve">, </w:t>
      </w:r>
      <w:r w:rsidR="00DB5B76" w:rsidRPr="00DB5B76">
        <w:rPr>
          <w:lang w:val="en-US"/>
        </w:rPr>
        <w:t xml:space="preserve">&amp; </w:t>
      </w:r>
      <w:r w:rsidRPr="00F32020">
        <w:t>Brewer</w:t>
      </w:r>
      <w:r w:rsidR="00DB5B76" w:rsidRPr="00DB5B76">
        <w:rPr>
          <w:lang w:val="en-US"/>
        </w:rPr>
        <w:t>,</w:t>
      </w:r>
      <w:r w:rsidRPr="00F32020">
        <w:t xml:space="preserve"> P</w:t>
      </w:r>
      <w:r w:rsidR="00DB5B76" w:rsidRPr="00DB5B76">
        <w:rPr>
          <w:lang w:val="en-US"/>
        </w:rPr>
        <w:t>.</w:t>
      </w:r>
      <w:r w:rsidRPr="00F32020">
        <w:t xml:space="preserve"> (2010)</w:t>
      </w:r>
      <w:r w:rsidR="00DB5B76" w:rsidRPr="0006367A">
        <w:rPr>
          <w:lang w:val="en-US"/>
        </w:rPr>
        <w:t>.</w:t>
      </w:r>
      <w:r w:rsidRPr="00F32020">
        <w:t xml:space="preserve"> Avoiding uncertainty in Hofstede and GLOBE. </w:t>
      </w:r>
      <w:r w:rsidRPr="00F32020">
        <w:rPr>
          <w:i/>
          <w:iCs/>
        </w:rPr>
        <w:t>Journal of International Business Studies</w:t>
      </w:r>
      <w:r w:rsidR="00DB5B76" w:rsidRPr="00DB5B76">
        <w:rPr>
          <w:i/>
          <w:iCs/>
          <w:lang w:val="en-US"/>
        </w:rPr>
        <w:t>,</w:t>
      </w:r>
      <w:r w:rsidRPr="00F32020">
        <w:t xml:space="preserve"> </w:t>
      </w:r>
      <w:r w:rsidRPr="00DB5B76">
        <w:rPr>
          <w:i/>
          <w:iCs/>
        </w:rPr>
        <w:t>41</w:t>
      </w:r>
      <w:r w:rsidR="00DB5B76" w:rsidRPr="00DB5B76">
        <w:rPr>
          <w:lang w:val="en-US"/>
        </w:rPr>
        <w:t>(8),</w:t>
      </w:r>
      <w:r w:rsidRPr="00F32020">
        <w:t xml:space="preserve"> 1294-1315.</w:t>
      </w:r>
      <w:r w:rsidR="00DB5B76" w:rsidRPr="00DB5B76">
        <w:rPr>
          <w:rFonts w:ascii="Merriweather Sans" w:hAnsi="Merriweather Sans"/>
          <w:color w:val="222222"/>
          <w:shd w:val="clear" w:color="auto" w:fill="FFFFFF"/>
        </w:rPr>
        <w:t xml:space="preserve"> </w:t>
      </w:r>
      <w:hyperlink r:id="rId147" w:history="1">
        <w:r w:rsidR="00DB5B76" w:rsidRPr="001E3D49">
          <w:rPr>
            <w:rStyle w:val="Hyperlink"/>
          </w:rPr>
          <w:t>https://doi.org/10.1057/jibs.2009.96</w:t>
        </w:r>
      </w:hyperlink>
      <w:r w:rsidR="00DB5B76" w:rsidRPr="0006367A">
        <w:rPr>
          <w:lang w:val="en-US"/>
        </w:rPr>
        <w:t xml:space="preserve"> </w:t>
      </w:r>
    </w:p>
    <w:p w14:paraId="0545CD6D" w14:textId="06E10310" w:rsidR="00152AEF" w:rsidRPr="00F32020" w:rsidRDefault="00152AEF" w:rsidP="00152AEF">
      <w:pPr>
        <w:adjustRightInd w:val="0"/>
        <w:ind w:left="567" w:hanging="567"/>
        <w:jc w:val="both"/>
      </w:pPr>
      <w:r w:rsidRPr="00F32020">
        <w:t>Ward</w:t>
      </w:r>
      <w:r w:rsidR="00DB5B76" w:rsidRPr="00DB5B76">
        <w:rPr>
          <w:lang w:val="en-US"/>
        </w:rPr>
        <w:t>,</w:t>
      </w:r>
      <w:r w:rsidRPr="00F32020">
        <w:t xml:space="preserve"> C</w:t>
      </w:r>
      <w:r w:rsidR="00DB5B76" w:rsidRPr="00DB5B76">
        <w:rPr>
          <w:lang w:val="en-US"/>
        </w:rPr>
        <w:t>.</w:t>
      </w:r>
      <w:r w:rsidRPr="00F32020">
        <w:t xml:space="preserve"> (2007)</w:t>
      </w:r>
      <w:r w:rsidR="00DB5B76" w:rsidRPr="00DB5B76">
        <w:rPr>
          <w:lang w:val="en-US"/>
        </w:rPr>
        <w:t>.</w:t>
      </w:r>
      <w:r w:rsidRPr="00F32020">
        <w:t xml:space="preserve"> </w:t>
      </w:r>
      <w:r w:rsidRPr="00F32020">
        <w:rPr>
          <w:i/>
          <w:iCs/>
        </w:rPr>
        <w:t>The Experience of Migrant Youth: A Generational Analysis</w:t>
      </w:r>
      <w:r w:rsidRPr="00F32020">
        <w:t>. Centre for Applied Cross-cultural Research. Victoria University of Wellington.</w:t>
      </w:r>
    </w:p>
    <w:p w14:paraId="61E6940E" w14:textId="61E62F7C" w:rsidR="00152AEF" w:rsidRPr="00F32020" w:rsidRDefault="00152AEF" w:rsidP="00152AEF">
      <w:pPr>
        <w:adjustRightInd w:val="0"/>
        <w:ind w:left="567" w:hanging="567"/>
        <w:jc w:val="both"/>
      </w:pPr>
      <w:r w:rsidRPr="00F32020">
        <w:rPr>
          <w:shd w:val="clear" w:color="auto" w:fill="FFFFFF"/>
        </w:rPr>
        <w:t>Wiklund</w:t>
      </w:r>
      <w:r w:rsidR="00387301" w:rsidRPr="00387301">
        <w:rPr>
          <w:shd w:val="clear" w:color="auto" w:fill="FFFFFF"/>
          <w:lang w:val="en-US"/>
        </w:rPr>
        <w:t>,</w:t>
      </w:r>
      <w:r w:rsidRPr="00F32020">
        <w:rPr>
          <w:shd w:val="clear" w:color="auto" w:fill="FFFFFF"/>
        </w:rPr>
        <w:t xml:space="preserve"> J</w:t>
      </w:r>
      <w:r w:rsidR="00387301" w:rsidRPr="00387301">
        <w:rPr>
          <w:shd w:val="clear" w:color="auto" w:fill="FFFFFF"/>
          <w:lang w:val="en-US"/>
        </w:rPr>
        <w:t>.</w:t>
      </w:r>
      <w:r w:rsidRPr="00F32020">
        <w:rPr>
          <w:shd w:val="clear" w:color="auto" w:fill="FFFFFF"/>
        </w:rPr>
        <w:t>, Baker</w:t>
      </w:r>
      <w:r w:rsidR="00387301" w:rsidRPr="00387301">
        <w:rPr>
          <w:shd w:val="clear" w:color="auto" w:fill="FFFFFF"/>
          <w:lang w:val="en-US"/>
        </w:rPr>
        <w:t>,</w:t>
      </w:r>
      <w:r w:rsidRPr="00F32020">
        <w:rPr>
          <w:shd w:val="clear" w:color="auto" w:fill="FFFFFF"/>
        </w:rPr>
        <w:t xml:space="preserve"> T</w:t>
      </w:r>
      <w:r w:rsidR="00387301" w:rsidRPr="00387301">
        <w:rPr>
          <w:shd w:val="clear" w:color="auto" w:fill="FFFFFF"/>
          <w:lang w:val="en-US"/>
        </w:rPr>
        <w:t>.</w:t>
      </w:r>
      <w:r w:rsidRPr="00F32020">
        <w:rPr>
          <w:shd w:val="clear" w:color="auto" w:fill="FFFFFF"/>
        </w:rPr>
        <w:t xml:space="preserve">, </w:t>
      </w:r>
      <w:r w:rsidR="00DB5B76" w:rsidRPr="00DB5B76">
        <w:rPr>
          <w:shd w:val="clear" w:color="auto" w:fill="FFFFFF"/>
          <w:lang w:val="en-US"/>
        </w:rPr>
        <w:t xml:space="preserve">&amp; </w:t>
      </w:r>
      <w:r w:rsidRPr="00F32020">
        <w:rPr>
          <w:shd w:val="clear" w:color="auto" w:fill="FFFFFF"/>
        </w:rPr>
        <w:t>Shepherd</w:t>
      </w:r>
      <w:r w:rsidR="00387301" w:rsidRPr="00387301">
        <w:rPr>
          <w:shd w:val="clear" w:color="auto" w:fill="FFFFFF"/>
          <w:lang w:val="en-US"/>
        </w:rPr>
        <w:t>,</w:t>
      </w:r>
      <w:r w:rsidRPr="00F32020">
        <w:rPr>
          <w:shd w:val="clear" w:color="auto" w:fill="FFFFFF"/>
        </w:rPr>
        <w:t xml:space="preserve"> D</w:t>
      </w:r>
      <w:r w:rsidR="00387301" w:rsidRPr="00387301">
        <w:rPr>
          <w:shd w:val="clear" w:color="auto" w:fill="FFFFFF"/>
          <w:lang w:val="en-US"/>
        </w:rPr>
        <w:t>.</w:t>
      </w:r>
      <w:r w:rsidRPr="00F32020">
        <w:rPr>
          <w:shd w:val="clear" w:color="auto" w:fill="FFFFFF"/>
        </w:rPr>
        <w:t xml:space="preserve"> (2010)</w:t>
      </w:r>
      <w:r w:rsidR="00387301" w:rsidRPr="00387301">
        <w:rPr>
          <w:shd w:val="clear" w:color="auto" w:fill="FFFFFF"/>
          <w:lang w:val="en-US"/>
        </w:rPr>
        <w:t>.</w:t>
      </w:r>
      <w:r w:rsidRPr="00F32020">
        <w:rPr>
          <w:shd w:val="clear" w:color="auto" w:fill="FFFFFF"/>
        </w:rPr>
        <w:t xml:space="preserve"> The age-effect of financial indicators as buffers against the liability of newness. </w:t>
      </w:r>
      <w:r w:rsidRPr="00F32020">
        <w:rPr>
          <w:i/>
          <w:iCs/>
        </w:rPr>
        <w:t>Journal of Business Venturing</w:t>
      </w:r>
      <w:r w:rsidR="00387301" w:rsidRPr="00DB5B76">
        <w:rPr>
          <w:i/>
          <w:iCs/>
          <w:lang w:val="en-US"/>
        </w:rPr>
        <w:t>,</w:t>
      </w:r>
      <w:r w:rsidRPr="00F32020">
        <w:rPr>
          <w:shd w:val="clear" w:color="auto" w:fill="FFFFFF"/>
        </w:rPr>
        <w:t> </w:t>
      </w:r>
      <w:r w:rsidRPr="00387301">
        <w:rPr>
          <w:i/>
          <w:iCs/>
        </w:rPr>
        <w:t>25</w:t>
      </w:r>
      <w:r w:rsidR="00387301" w:rsidRPr="00DB5B76">
        <w:rPr>
          <w:lang w:val="en-US"/>
        </w:rPr>
        <w:t>(4),</w:t>
      </w:r>
      <w:r w:rsidRPr="00F32020">
        <w:rPr>
          <w:shd w:val="clear" w:color="auto" w:fill="FFFFFF"/>
        </w:rPr>
        <w:t xml:space="preserve"> 423-437.</w:t>
      </w:r>
      <w:r w:rsidR="00387301" w:rsidRPr="00387301">
        <w:t xml:space="preserve"> </w:t>
      </w:r>
      <w:hyperlink r:id="rId148" w:tgtFrame="_blank" w:tooltip="Persistent link using digital object identifier" w:history="1">
        <w:r w:rsidR="00387301" w:rsidRPr="00387301">
          <w:rPr>
            <w:rStyle w:val="Hyperlink"/>
            <w:shd w:val="clear" w:color="auto" w:fill="FFFFFF"/>
          </w:rPr>
          <w:t>https://doi.org/10.1016/j.jbusvent.2008.10.011</w:t>
        </w:r>
      </w:hyperlink>
    </w:p>
    <w:p w14:paraId="65CAC589" w14:textId="677EC0AE" w:rsidR="00152AEF" w:rsidRPr="00F32020" w:rsidRDefault="00152AEF" w:rsidP="00152AEF">
      <w:pPr>
        <w:adjustRightInd w:val="0"/>
        <w:ind w:left="567" w:hanging="567"/>
        <w:jc w:val="both"/>
      </w:pPr>
      <w:r w:rsidRPr="00F32020">
        <w:t>Williams</w:t>
      </w:r>
      <w:r w:rsidR="00387301" w:rsidRPr="00387301">
        <w:rPr>
          <w:lang w:val="en-US"/>
        </w:rPr>
        <w:t>,</w:t>
      </w:r>
      <w:r w:rsidRPr="00F32020">
        <w:t xml:space="preserve"> S</w:t>
      </w:r>
      <w:r w:rsidR="00387301" w:rsidRPr="00387301">
        <w:rPr>
          <w:lang w:val="en-US"/>
        </w:rPr>
        <w:t xml:space="preserve">. </w:t>
      </w:r>
      <w:r w:rsidRPr="00F32020">
        <w:t>A</w:t>
      </w:r>
      <w:r w:rsidR="00387301" w:rsidRPr="00387301">
        <w:rPr>
          <w:lang w:val="en-US"/>
        </w:rPr>
        <w:t xml:space="preserve">. </w:t>
      </w:r>
      <w:r w:rsidRPr="00F32020">
        <w:t>S</w:t>
      </w:r>
      <w:r w:rsidR="00387301" w:rsidRPr="00387301">
        <w:rPr>
          <w:lang w:val="en-US"/>
        </w:rPr>
        <w:t>.</w:t>
      </w:r>
      <w:r w:rsidRPr="00F32020">
        <w:t xml:space="preserve"> (2011)</w:t>
      </w:r>
      <w:r w:rsidR="00387301" w:rsidRPr="00DB5B76">
        <w:rPr>
          <w:lang w:val="en-US"/>
        </w:rPr>
        <w:t>.</w:t>
      </w:r>
      <w:r w:rsidRPr="00F32020">
        <w:t xml:space="preserve"> Culture. In: Goldstein S., Naglieri J.A. (eds) </w:t>
      </w:r>
      <w:r w:rsidRPr="00F32020">
        <w:rPr>
          <w:i/>
          <w:iCs/>
        </w:rPr>
        <w:t>Encyclopedia of Child Behavior and Development</w:t>
      </w:r>
      <w:r w:rsidRPr="00F32020">
        <w:t>. Springer. Boston MA pp. 451-42.</w:t>
      </w:r>
    </w:p>
    <w:p w14:paraId="2F08FA8D" w14:textId="77777777" w:rsidR="00152AEF" w:rsidRPr="00F32020" w:rsidRDefault="00152AEF" w:rsidP="00152AEF">
      <w:pPr>
        <w:adjustRightInd w:val="0"/>
        <w:ind w:left="567" w:hanging="567"/>
        <w:jc w:val="both"/>
      </w:pPr>
      <w:r w:rsidRPr="00F32020">
        <w:t xml:space="preserve">Witzel M, (2019) </w:t>
      </w:r>
      <w:r w:rsidRPr="00F32020">
        <w:rPr>
          <w:i/>
          <w:iCs/>
        </w:rPr>
        <w:t>A History of Leadership</w:t>
      </w:r>
      <w:r w:rsidRPr="00F32020">
        <w:t>. Routledge.</w:t>
      </w:r>
    </w:p>
    <w:p w14:paraId="0680CEA4" w14:textId="6004F016" w:rsidR="00152AEF" w:rsidRPr="00F32020" w:rsidRDefault="00152AEF" w:rsidP="00152AEF">
      <w:pPr>
        <w:adjustRightInd w:val="0"/>
        <w:ind w:left="567" w:hanging="567"/>
        <w:jc w:val="both"/>
      </w:pPr>
      <w:r w:rsidRPr="00F32020">
        <w:t>Yook</w:t>
      </w:r>
      <w:r w:rsidR="00387301" w:rsidRPr="00387301">
        <w:rPr>
          <w:lang w:val="en-US"/>
        </w:rPr>
        <w:t>,</w:t>
      </w:r>
      <w:r w:rsidRPr="00F32020">
        <w:t xml:space="preserve"> E</w:t>
      </w:r>
      <w:r w:rsidR="00387301" w:rsidRPr="00387301">
        <w:rPr>
          <w:lang w:val="en-US"/>
        </w:rPr>
        <w:t xml:space="preserve">. </w:t>
      </w:r>
      <w:r w:rsidRPr="00F32020">
        <w:t>L</w:t>
      </w:r>
      <w:r w:rsidR="00387301" w:rsidRPr="00387301">
        <w:rPr>
          <w:lang w:val="en-US"/>
        </w:rPr>
        <w:t>.</w:t>
      </w:r>
      <w:r w:rsidRPr="00F32020">
        <w:t xml:space="preserve"> (2013)</w:t>
      </w:r>
      <w:r w:rsidR="00387301" w:rsidRPr="0006367A">
        <w:rPr>
          <w:lang w:val="en-US"/>
        </w:rPr>
        <w:t>.</w:t>
      </w:r>
      <w:r w:rsidRPr="00F32020">
        <w:t xml:space="preserve"> </w:t>
      </w:r>
      <w:r w:rsidRPr="00F32020">
        <w:rPr>
          <w:i/>
          <w:iCs/>
        </w:rPr>
        <w:t>Culture Shock for Asians in U.S. Academia: Breaking the Model Minority Myth</w:t>
      </w:r>
      <w:r w:rsidRPr="00F32020">
        <w:t>. Lexington Books.</w:t>
      </w:r>
    </w:p>
    <w:p w14:paraId="16840DC5" w14:textId="5FB6B208" w:rsidR="00152AEF" w:rsidRPr="00F32020" w:rsidRDefault="00152AEF" w:rsidP="00152AEF">
      <w:pPr>
        <w:adjustRightInd w:val="0"/>
        <w:ind w:left="567" w:hanging="567"/>
        <w:jc w:val="both"/>
        <w:rPr>
          <w:shd w:val="clear" w:color="auto" w:fill="FFFFFF"/>
        </w:rPr>
      </w:pPr>
      <w:r w:rsidRPr="00F32020">
        <w:rPr>
          <w:shd w:val="clear" w:color="auto" w:fill="FFFFFF"/>
        </w:rPr>
        <w:t xml:space="preserve">Zheng, X., El Ghoul, S., Guedhami, O., </w:t>
      </w:r>
      <w:r w:rsidR="00387301" w:rsidRPr="00387301">
        <w:rPr>
          <w:shd w:val="clear" w:color="auto" w:fill="FFFFFF"/>
          <w:lang w:val="en-US"/>
        </w:rPr>
        <w:t xml:space="preserve">&amp; </w:t>
      </w:r>
      <w:r w:rsidRPr="00F32020">
        <w:rPr>
          <w:shd w:val="clear" w:color="auto" w:fill="FFFFFF"/>
        </w:rPr>
        <w:t xml:space="preserve">Kwok, C.C.Y. (2012). National culture and corporate debt maturity. </w:t>
      </w:r>
      <w:r w:rsidRPr="00F32020">
        <w:rPr>
          <w:i/>
          <w:iCs/>
          <w:shd w:val="clear" w:color="auto" w:fill="FFFFFF"/>
        </w:rPr>
        <w:t>Journal of Banking and Finance</w:t>
      </w:r>
      <w:r w:rsidRPr="00F32020">
        <w:rPr>
          <w:shd w:val="clear" w:color="auto" w:fill="FFFFFF"/>
        </w:rPr>
        <w:t xml:space="preserve">, </w:t>
      </w:r>
      <w:r w:rsidRPr="00387301">
        <w:rPr>
          <w:i/>
          <w:iCs/>
          <w:shd w:val="clear" w:color="auto" w:fill="FFFFFF"/>
        </w:rPr>
        <w:t>36</w:t>
      </w:r>
      <w:r w:rsidR="00387301" w:rsidRPr="00387301">
        <w:rPr>
          <w:shd w:val="clear" w:color="auto" w:fill="FFFFFF"/>
          <w:lang w:val="en-US"/>
        </w:rPr>
        <w:t>(2)</w:t>
      </w:r>
      <w:r w:rsidRPr="00F32020">
        <w:rPr>
          <w:shd w:val="clear" w:color="auto" w:fill="FFFFFF"/>
        </w:rPr>
        <w:t xml:space="preserve">, 468-488. </w:t>
      </w:r>
      <w:hyperlink r:id="rId149" w:tgtFrame="_blank" w:tooltip="Persistent link using digital object identifier" w:history="1">
        <w:r w:rsidR="00387301" w:rsidRPr="00387301">
          <w:rPr>
            <w:rStyle w:val="Hyperlink"/>
            <w:shd w:val="clear" w:color="auto" w:fill="FFFFFF"/>
          </w:rPr>
          <w:t>https://doi.org/10.1016/j.jbankfin.2011.08.004</w:t>
        </w:r>
      </w:hyperlink>
    </w:p>
    <w:p w14:paraId="63110E23" w14:textId="77777777" w:rsidR="00152AEF" w:rsidRPr="00F32020" w:rsidRDefault="00152AEF" w:rsidP="00152AEF">
      <w:pPr>
        <w:adjustRightInd w:val="0"/>
        <w:ind w:left="567" w:hanging="567"/>
        <w:jc w:val="both"/>
        <w:rPr>
          <w:shd w:val="clear" w:color="auto" w:fill="FFFFFF"/>
        </w:rPr>
      </w:pPr>
    </w:p>
    <w:p w14:paraId="2058512C" w14:textId="77777777" w:rsidR="00152AEF" w:rsidRPr="00F32020" w:rsidRDefault="00152AEF" w:rsidP="00152AEF">
      <w:pPr>
        <w:adjustRightInd w:val="0"/>
        <w:ind w:left="567" w:hanging="567"/>
        <w:jc w:val="both"/>
        <w:rPr>
          <w:shd w:val="clear" w:color="auto" w:fill="FFFFFF"/>
          <w:lang w:val="en-US"/>
        </w:rPr>
      </w:pPr>
    </w:p>
    <w:p w14:paraId="772ED382" w14:textId="77777777" w:rsidR="00152AEF" w:rsidRPr="00F32020" w:rsidRDefault="00152AEF" w:rsidP="00152AEF">
      <w:pPr>
        <w:adjustRightInd w:val="0"/>
        <w:jc w:val="both"/>
        <w:rPr>
          <w:shd w:val="clear" w:color="auto" w:fill="FFFFFF"/>
          <w:lang w:val="en-US"/>
        </w:rPr>
      </w:pPr>
    </w:p>
    <w:p w14:paraId="7BF8EB49" w14:textId="77777777" w:rsidR="006706C9" w:rsidRPr="00F32020" w:rsidRDefault="006706C9" w:rsidP="002F7FD6">
      <w:pPr>
        <w:adjustRightInd w:val="0"/>
        <w:jc w:val="both"/>
        <w:rPr>
          <w:shd w:val="clear" w:color="auto" w:fill="FFFFFF"/>
          <w:lang w:val="en-US"/>
        </w:rPr>
      </w:pPr>
    </w:p>
    <w:sectPr w:rsidR="006706C9" w:rsidRPr="00F32020" w:rsidSect="00D32866">
      <w:footerReference w:type="default" r:id="rId15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FF64" w14:textId="77777777" w:rsidR="00B557EB" w:rsidRPr="00113C81" w:rsidRDefault="00B557EB" w:rsidP="007C7FB8">
      <w:r w:rsidRPr="00113C81">
        <w:separator/>
      </w:r>
    </w:p>
    <w:p w14:paraId="1B268F93" w14:textId="77777777" w:rsidR="00B557EB" w:rsidRPr="00113C81" w:rsidRDefault="00B557EB"/>
  </w:endnote>
  <w:endnote w:type="continuationSeparator" w:id="0">
    <w:p w14:paraId="18D6DBB0" w14:textId="77777777" w:rsidR="00B557EB" w:rsidRPr="00113C81" w:rsidRDefault="00B557EB" w:rsidP="007C7FB8">
      <w:r w:rsidRPr="00113C81">
        <w:continuationSeparator/>
      </w:r>
    </w:p>
    <w:p w14:paraId="05B6B1DA" w14:textId="77777777" w:rsidR="00B557EB" w:rsidRPr="00113C81" w:rsidRDefault="00B55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aOT-CondBold">
    <w:altName w:val="Calibri"/>
    <w:panose1 w:val="00000000000000000000"/>
    <w:charset w:val="00"/>
    <w:family w:val="swiss"/>
    <w:notTrueType/>
    <w:pitch w:val="default"/>
    <w:sig w:usb0="00000003" w:usb1="00000000" w:usb2="00000000" w:usb3="00000000" w:csb0="00000001" w:csb1="00000000"/>
  </w:font>
  <w:font w:name="YcrnbvPvysfqBjpyqbAGaramondPro-">
    <w:altName w:val="Cambria"/>
    <w:panose1 w:val="00000000000000000000"/>
    <w:charset w:val="00"/>
    <w:family w:val="roman"/>
    <w:notTrueType/>
    <w:pitch w:val="default"/>
    <w:sig w:usb0="00000003" w:usb1="00000000" w:usb2="00000000" w:usb3="00000000" w:csb0="00000001" w:csb1="00000000"/>
  </w:font>
  <w:font w:name="CharisSIL">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UniMath">
    <w:altName w:val="Yu Gothic"/>
    <w:panose1 w:val="00000000000000000000"/>
    <w:charset w:val="80"/>
    <w:family w:val="roman"/>
    <w:notTrueType/>
    <w:pitch w:val="default"/>
    <w:sig w:usb0="00000001" w:usb1="08070000" w:usb2="00000010" w:usb3="00000000" w:csb0="00020000" w:csb1="00000000"/>
  </w:font>
  <w:font w:name="Merriweather Sans">
    <w:charset w:val="00"/>
    <w:family w:val="auto"/>
    <w:pitch w:val="variable"/>
    <w:sig w:usb0="A00004FF" w:usb1="4000207B" w:usb2="00000000" w:usb3="00000000" w:csb0="00000193" w:csb1="00000000"/>
  </w:font>
  <w:font w:name="AdvPS8E82">
    <w:altName w:val="Calibri"/>
    <w:panose1 w:val="00000000000000000000"/>
    <w:charset w:val="00"/>
    <w:family w:val="swiss"/>
    <w:notTrueType/>
    <w:pitch w:val="default"/>
    <w:sig w:usb0="00000003" w:usb1="00000000" w:usb2="00000000" w:usb3="00000000" w:csb0="00000001" w:csb1="00000000"/>
  </w:font>
  <w:font w:name="AdvPS8E9A">
    <w:altName w:val="Calibri"/>
    <w:panose1 w:val="00000000000000000000"/>
    <w:charset w:val="00"/>
    <w:family w:val="swiss"/>
    <w:notTrueType/>
    <w:pitch w:val="default"/>
    <w:sig w:usb0="00000003" w:usb1="00000000" w:usb2="00000000" w:usb3="00000000" w:csb0="00000001" w:csb1="00000000"/>
  </w:font>
  <w:font w:name="TimesNewRomanMTStd-Italic">
    <w:altName w:val="Times New Roman"/>
    <w:panose1 w:val="00000000000000000000"/>
    <w:charset w:val="00"/>
    <w:family w:val="auto"/>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imes">
    <w:altName w:val="Sylfaen"/>
    <w:panose1 w:val="02020603050405020304"/>
    <w:charset w:val="00"/>
    <w:family w:val="roman"/>
    <w:pitch w:val="variable"/>
    <w:sig w:usb0="00000007" w:usb1="00000000" w:usb2="00000000" w:usb3="00000000" w:csb0="00000093" w:csb1="00000000"/>
  </w:font>
  <w:font w:name="BellMT">
    <w:altName w:val="Calibri"/>
    <w:panose1 w:val="00000000000000000000"/>
    <w:charset w:val="00"/>
    <w:family w:val="auto"/>
    <w:notTrueType/>
    <w:pitch w:val="default"/>
    <w:sig w:usb0="00000003" w:usb1="00000000" w:usb2="00000000" w:usb3="00000000" w:csb0="00000001" w:csb1="00000000"/>
  </w:font>
  <w:font w:name="RqlpcnGhbrxjCddjnwAGaramondPro-">
    <w:altName w:val="Cambria"/>
    <w:panose1 w:val="00000000000000000000"/>
    <w:charset w:val="00"/>
    <w:family w:val="roman"/>
    <w:notTrueType/>
    <w:pitch w:val="default"/>
    <w:sig w:usb0="00000003" w:usb1="00000000" w:usb2="00000000" w:usb3="00000000" w:csb0="00000001" w:csb1="00000000"/>
  </w:font>
  <w:font w:name="ClxqyxGnbhrjCrvxxxAGaramondPro-">
    <w:altName w:val="Cambria"/>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TimesLTStd-Roman">
    <w:altName w:val="PMingLiU"/>
    <w:panose1 w:val="00000000000000000000"/>
    <w:charset w:val="88"/>
    <w:family w:val="roman"/>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STIX-Italic">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46B4" w14:textId="7EA5D657" w:rsidR="005D350B" w:rsidRDefault="005D3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6729" w14:textId="44515139" w:rsidR="00757469" w:rsidRPr="00113C81" w:rsidRDefault="00000000">
    <w:pPr>
      <w:pStyle w:val="Footer"/>
      <w:jc w:val="right"/>
    </w:pPr>
    <w:sdt>
      <w:sdtPr>
        <w:id w:val="1116175624"/>
        <w:docPartObj>
          <w:docPartGallery w:val="Page Numbers (Bottom of Page)"/>
          <w:docPartUnique/>
        </w:docPartObj>
      </w:sdtPr>
      <w:sdtContent>
        <w:r w:rsidR="00757469" w:rsidRPr="00113C81">
          <w:fldChar w:fldCharType="begin"/>
        </w:r>
        <w:r w:rsidR="00757469" w:rsidRPr="00113C81">
          <w:instrText>PAGE   \* MERGEFORMAT</w:instrText>
        </w:r>
        <w:r w:rsidR="00757469" w:rsidRPr="00113C81">
          <w:fldChar w:fldCharType="separate"/>
        </w:r>
        <w:r w:rsidR="00757469" w:rsidRPr="00113C81">
          <w:t>2</w:t>
        </w:r>
        <w:r w:rsidR="00757469" w:rsidRPr="00113C81">
          <w:fldChar w:fldCharType="end"/>
        </w:r>
      </w:sdtContent>
    </w:sdt>
  </w:p>
  <w:p w14:paraId="778089F3" w14:textId="77777777" w:rsidR="00757469" w:rsidRPr="00113C81" w:rsidRDefault="00757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9601" w14:textId="6CE5BB5A" w:rsidR="005D350B" w:rsidRDefault="005D35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1BB3" w14:textId="7FA15FD0" w:rsidR="00152AEF" w:rsidRPr="00113C81" w:rsidRDefault="00000000">
    <w:pPr>
      <w:pStyle w:val="Footer"/>
      <w:jc w:val="right"/>
    </w:pPr>
    <w:sdt>
      <w:sdtPr>
        <w:id w:val="987521616"/>
        <w:docPartObj>
          <w:docPartGallery w:val="Page Numbers (Bottom of Page)"/>
          <w:docPartUnique/>
        </w:docPartObj>
      </w:sdtPr>
      <w:sdtContent>
        <w:r w:rsidR="00152AEF" w:rsidRPr="00113C81">
          <w:fldChar w:fldCharType="begin"/>
        </w:r>
        <w:r w:rsidR="00152AEF" w:rsidRPr="00113C81">
          <w:instrText>PAGE   \* MERGEFORMAT</w:instrText>
        </w:r>
        <w:r w:rsidR="00152AEF" w:rsidRPr="00113C81">
          <w:fldChar w:fldCharType="separate"/>
        </w:r>
        <w:r w:rsidR="00152AEF" w:rsidRPr="00113C81">
          <w:t>2</w:t>
        </w:r>
        <w:r w:rsidR="00152AEF" w:rsidRPr="00113C81">
          <w:fldChar w:fldCharType="end"/>
        </w:r>
      </w:sdtContent>
    </w:sdt>
  </w:p>
  <w:p w14:paraId="0C5B9532" w14:textId="77777777" w:rsidR="00152AEF" w:rsidRPr="00113C81" w:rsidRDefault="00152A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1F8F" w14:textId="54E8BCD7" w:rsidR="004672D6" w:rsidRPr="00113C81" w:rsidRDefault="00000000">
    <w:pPr>
      <w:pStyle w:val="Footer"/>
      <w:jc w:val="right"/>
    </w:pPr>
    <w:sdt>
      <w:sdtPr>
        <w:id w:val="999167756"/>
        <w:docPartObj>
          <w:docPartGallery w:val="Page Numbers (Bottom of Page)"/>
          <w:docPartUnique/>
        </w:docPartObj>
      </w:sdtPr>
      <w:sdtContent>
        <w:r w:rsidR="004672D6" w:rsidRPr="00113C81">
          <w:fldChar w:fldCharType="begin"/>
        </w:r>
        <w:r w:rsidR="004672D6" w:rsidRPr="00113C81">
          <w:instrText>PAGE   \* MERGEFORMAT</w:instrText>
        </w:r>
        <w:r w:rsidR="004672D6" w:rsidRPr="00113C81">
          <w:fldChar w:fldCharType="separate"/>
        </w:r>
        <w:r w:rsidR="004672D6" w:rsidRPr="00113C81">
          <w:t>2</w:t>
        </w:r>
        <w:r w:rsidR="004672D6" w:rsidRPr="00113C81">
          <w:fldChar w:fldCharType="end"/>
        </w:r>
      </w:sdtContent>
    </w:sdt>
  </w:p>
  <w:p w14:paraId="63B781DF" w14:textId="77777777" w:rsidR="004672D6" w:rsidRPr="00113C81" w:rsidRDefault="0046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536B" w14:textId="77777777" w:rsidR="00B557EB" w:rsidRPr="00113C81" w:rsidRDefault="00B557EB">
      <w:r w:rsidRPr="00113C81">
        <w:separator/>
      </w:r>
    </w:p>
  </w:footnote>
  <w:footnote w:type="continuationSeparator" w:id="0">
    <w:p w14:paraId="4458FF73" w14:textId="77777777" w:rsidR="00B557EB" w:rsidRPr="00113C81" w:rsidRDefault="00B557EB" w:rsidP="007C7FB8">
      <w:r w:rsidRPr="00113C81">
        <w:continuationSeparator/>
      </w:r>
    </w:p>
    <w:p w14:paraId="254CB014" w14:textId="77777777" w:rsidR="00B557EB" w:rsidRPr="00113C81" w:rsidRDefault="00B557EB"/>
  </w:footnote>
  <w:footnote w:id="1">
    <w:p w14:paraId="6B5E3416" w14:textId="77777777" w:rsidR="0087472C" w:rsidRDefault="0087472C" w:rsidP="0087472C">
      <w:pPr>
        <w:pStyle w:val="FootnoteText"/>
        <w:jc w:val="both"/>
        <w:rPr>
          <w:lang w:val="pt-PT"/>
        </w:rPr>
      </w:pPr>
      <w:r>
        <w:rPr>
          <w:rStyle w:val="FootnoteReference"/>
        </w:rPr>
        <w:t>*</w:t>
      </w:r>
      <w:r>
        <w:t xml:space="preserve"> </w:t>
      </w:r>
      <w:r w:rsidRPr="00F00082">
        <w:rPr>
          <w:b/>
          <w:bCs/>
        </w:rPr>
        <w:t>Author for correspondence.</w:t>
      </w:r>
      <w:r>
        <w:t xml:space="preserve"> </w:t>
      </w:r>
      <w:r w:rsidRPr="009A3ACD">
        <w:rPr>
          <w:lang w:val="en-US"/>
        </w:rPr>
        <w:t xml:space="preserve">MBS School of Business, 2300 Avenue des Moulins, 34185 Montpellier Cedex 4, France. </w:t>
      </w:r>
      <w:r w:rsidRPr="00A3442B">
        <w:rPr>
          <w:lang w:val="pt-PT"/>
        </w:rPr>
        <w:t xml:space="preserve">E-mails: </w:t>
      </w:r>
      <w:hyperlink r:id="rId1" w:history="1">
        <w:r w:rsidRPr="00A3442B">
          <w:rPr>
            <w:rStyle w:val="Hyperlink"/>
            <w:lang w:val="pt-PT"/>
          </w:rPr>
          <w:t>c.gaganis@uoc.gr</w:t>
        </w:r>
      </w:hyperlink>
      <w:r w:rsidRPr="00A3442B">
        <w:rPr>
          <w:lang w:val="pt-PT"/>
        </w:rPr>
        <w:t xml:space="preserve">, </w:t>
      </w:r>
      <w:hyperlink r:id="rId2" w:history="1">
        <w:r w:rsidRPr="00A3442B">
          <w:rPr>
            <w:rStyle w:val="Hyperlink"/>
            <w:lang w:val="pt-PT"/>
          </w:rPr>
          <w:t>p.papadimitri@soton.ac.uk</w:t>
        </w:r>
      </w:hyperlink>
      <w:r w:rsidRPr="00A3442B">
        <w:rPr>
          <w:lang w:val="pt-PT"/>
        </w:rPr>
        <w:t xml:space="preserve">, </w:t>
      </w:r>
      <w:hyperlink r:id="rId3" w:history="1">
        <w:r w:rsidRPr="00C71A3F">
          <w:rPr>
            <w:rStyle w:val="Hyperlink"/>
            <w:lang w:val="pt-PT"/>
          </w:rPr>
          <w:t>f.pasiouras@mbs-education.com</w:t>
        </w:r>
      </w:hyperlink>
      <w:r>
        <w:rPr>
          <w:lang w:val="pt-PT"/>
        </w:rPr>
        <w:t xml:space="preserve">; </w:t>
      </w:r>
      <w:hyperlink r:id="rId4" w:history="1">
        <w:r w:rsidRPr="00822C0E">
          <w:rPr>
            <w:rStyle w:val="Hyperlink"/>
            <w:lang w:val="pt-PT"/>
          </w:rPr>
          <w:t>m.tasiou@surrey.ac.uk</w:t>
        </w:r>
      </w:hyperlink>
      <w:r>
        <w:rPr>
          <w:lang w:val="pt-PT"/>
        </w:rPr>
        <w:t xml:space="preserve"> </w:t>
      </w:r>
    </w:p>
    <w:p w14:paraId="6474813F" w14:textId="77777777" w:rsidR="00F00082" w:rsidRDefault="00F00082" w:rsidP="0087472C">
      <w:pPr>
        <w:pStyle w:val="FootnoteText"/>
        <w:jc w:val="both"/>
        <w:rPr>
          <w:lang w:val="pt-PT"/>
        </w:rPr>
      </w:pPr>
    </w:p>
    <w:p w14:paraId="6851DE6C" w14:textId="14C1386C" w:rsidR="00F00082" w:rsidRPr="00F00082" w:rsidRDefault="00F00082" w:rsidP="0087472C">
      <w:pPr>
        <w:pStyle w:val="FootnoteText"/>
        <w:jc w:val="both"/>
        <w:rPr>
          <w:lang w:val="en-US"/>
        </w:rPr>
      </w:pPr>
      <w:r w:rsidRPr="00F00082">
        <w:rPr>
          <w:b/>
          <w:bCs/>
          <w:lang w:val="en-US"/>
        </w:rPr>
        <w:t>Acknowledgement:</w:t>
      </w:r>
      <w:r w:rsidRPr="00F00082">
        <w:rPr>
          <w:lang w:val="en-US"/>
        </w:rPr>
        <w:t xml:space="preserve"> We would like t</w:t>
      </w:r>
      <w:r>
        <w:rPr>
          <w:lang w:val="en-US"/>
        </w:rPr>
        <w:t xml:space="preserve">o thank two anonymous reviewers </w:t>
      </w:r>
      <w:r w:rsidR="00AB4868">
        <w:t xml:space="preserve">and an Associate Editor </w:t>
      </w:r>
      <w:r>
        <w:rPr>
          <w:lang w:val="en-US"/>
        </w:rPr>
        <w:t>for valuable comments that helped us improve earlier version</w:t>
      </w:r>
      <w:r w:rsidR="00442753">
        <w:rPr>
          <w:lang w:val="en-US"/>
        </w:rPr>
        <w:t>s</w:t>
      </w:r>
      <w:r>
        <w:rPr>
          <w:lang w:val="en-US"/>
        </w:rPr>
        <w:t xml:space="preserve"> of the manuscript. The usual disclaimer applies. </w:t>
      </w:r>
    </w:p>
    <w:p w14:paraId="18010F27" w14:textId="77777777" w:rsidR="0087472C" w:rsidRPr="00F00082" w:rsidRDefault="0087472C" w:rsidP="0087472C">
      <w:pPr>
        <w:pStyle w:val="FootnoteText"/>
        <w:jc w:val="both"/>
        <w:rPr>
          <w:lang w:val="en-US"/>
        </w:rPr>
      </w:pPr>
    </w:p>
    <w:p w14:paraId="7BAF1904" w14:textId="77777777" w:rsidR="0087472C" w:rsidRPr="00F00082" w:rsidRDefault="0087472C" w:rsidP="0087472C">
      <w:pPr>
        <w:pStyle w:val="FootnoteText"/>
        <w:jc w:val="both"/>
        <w:rPr>
          <w:lang w:val="en-US"/>
        </w:rPr>
      </w:pPr>
    </w:p>
  </w:footnote>
  <w:footnote w:id="2">
    <w:p w14:paraId="780B2CC0" w14:textId="6B9EF086" w:rsidR="005B6E86" w:rsidRDefault="005B6E86" w:rsidP="006E537C">
      <w:pPr>
        <w:pStyle w:val="FootnoteText"/>
        <w:jc w:val="both"/>
      </w:pPr>
      <w:r w:rsidRPr="00852DC8">
        <w:rPr>
          <w:rStyle w:val="FootnoteReference"/>
        </w:rPr>
        <w:footnoteRef/>
      </w:r>
      <w:r w:rsidRPr="00852DC8">
        <w:t xml:space="preserve"> In the light of the robustness of the results and to conserve space we do not discuss these estimations here in detail. </w:t>
      </w:r>
      <w:r w:rsidR="00EF4DAB" w:rsidRPr="00852DC8">
        <w:rPr>
          <w:rFonts w:eastAsiaTheme="minorEastAsia"/>
          <w:iCs/>
        </w:rPr>
        <w:t xml:space="preserve">Diagnostics, whenever, confirm the validity of the instrumentation in question in our case. </w:t>
      </w:r>
      <w:r w:rsidRPr="00852DC8">
        <w:rPr>
          <w:rFonts w:eastAsiaTheme="minorHAnsi"/>
          <w:lang w:eastAsia="en-US"/>
        </w:rPr>
        <w:t xml:space="preserve">Further discussion and the underlying </w:t>
      </w:r>
      <w:r w:rsidR="00521905" w:rsidRPr="00852DC8">
        <w:rPr>
          <w:rFonts w:eastAsiaTheme="minorHAnsi"/>
          <w:lang w:eastAsia="en-US"/>
        </w:rPr>
        <w:t>reason</w:t>
      </w:r>
      <w:r w:rsidRPr="00852DC8">
        <w:rPr>
          <w:rFonts w:eastAsiaTheme="minorHAnsi"/>
          <w:lang w:eastAsia="en-US"/>
        </w:rPr>
        <w:t xml:space="preserve"> for selecting these instruments is available in the online appendix.</w:t>
      </w:r>
      <w:r w:rsidR="00EF4DAB">
        <w:rPr>
          <w:rFonts w:eastAsiaTheme="minorEastAsia"/>
          <w:iCs/>
        </w:rPr>
        <w:t xml:space="preserve"> </w:t>
      </w:r>
    </w:p>
  </w:footnote>
  <w:footnote w:id="3">
    <w:p w14:paraId="5A7509DA" w14:textId="77777777" w:rsidR="00152AEF" w:rsidRPr="005E4509" w:rsidRDefault="00152AEF" w:rsidP="00152AEF">
      <w:pPr>
        <w:jc w:val="both"/>
      </w:pPr>
      <w:r>
        <w:rPr>
          <w:rStyle w:val="FootnoteReference"/>
        </w:rPr>
        <w:footnoteRef/>
      </w:r>
      <w:r>
        <w:t xml:space="preserve"> </w:t>
      </w:r>
      <w:r w:rsidRPr="00223A9B">
        <w:rPr>
          <w:color w:val="000000" w:themeColor="text1"/>
          <w:sz w:val="20"/>
          <w:szCs w:val="20"/>
        </w:rPr>
        <w:t>Despite being estimated in the 1970s the data of Hofstede are still being used in several studies under the assumption that they are stable over time. This is because these values reflect differences between societies that are deeply rooted in history (Beugelsdijk et al., 2015). Hofstede (2011) argues that: (i) it will take 50 to 100 years or dramatic events to witness such cultural changes that will make the dimensions invalid, and (ii) many differences between national cultures at the end of the 20</w:t>
      </w:r>
      <w:r w:rsidRPr="00223A9B">
        <w:rPr>
          <w:color w:val="000000" w:themeColor="text1"/>
          <w:sz w:val="20"/>
          <w:szCs w:val="20"/>
          <w:vertAlign w:val="superscript"/>
        </w:rPr>
        <w:t>th</w:t>
      </w:r>
      <w:r w:rsidRPr="00223A9B">
        <w:rPr>
          <w:color w:val="000000" w:themeColor="text1"/>
          <w:sz w:val="20"/>
          <w:szCs w:val="20"/>
        </w:rPr>
        <w:t xml:space="preserve"> century were already recognizable in the 1900, 1800, 1700 and possibly earlier.</w:t>
      </w:r>
      <w:r w:rsidRPr="003D7858">
        <w:rPr>
          <w:color w:val="000000" w:themeColor="text1"/>
        </w:rPr>
        <w:t xml:space="preserve">  </w:t>
      </w:r>
    </w:p>
    <w:p w14:paraId="5707D220" w14:textId="77777777" w:rsidR="00152AEF" w:rsidRDefault="00152AEF" w:rsidP="00152AEF">
      <w:pPr>
        <w:pStyle w:val="FootnoteText"/>
      </w:pPr>
    </w:p>
  </w:footnote>
  <w:footnote w:id="4">
    <w:p w14:paraId="6214FEF9" w14:textId="77777777" w:rsidR="00152AEF" w:rsidRPr="003D7858" w:rsidRDefault="00152AEF" w:rsidP="00152AEF">
      <w:pPr>
        <w:pStyle w:val="FootnoteText"/>
        <w:jc w:val="both"/>
        <w:rPr>
          <w:color w:val="000000" w:themeColor="text1"/>
        </w:rPr>
      </w:pPr>
      <w:r w:rsidRPr="003D7858">
        <w:rPr>
          <w:rStyle w:val="FootnoteReference"/>
          <w:color w:val="000000" w:themeColor="text1"/>
        </w:rPr>
        <w:footnoteRef/>
      </w:r>
      <w:r w:rsidRPr="003D7858">
        <w:rPr>
          <w:color w:val="000000" w:themeColor="text1"/>
        </w:rPr>
        <w:t xml:space="preserve"> </w:t>
      </w:r>
      <w:r w:rsidRPr="003D7858">
        <w:rPr>
          <w:rFonts w:eastAsiaTheme="minorEastAsia"/>
          <w:iCs/>
          <w:color w:val="000000" w:themeColor="text1"/>
        </w:rPr>
        <w:t>Additionally, we include the natural logarithm of the venture’s revenues divided by the number of employees, which is a common metric of firm performance in measuring how efficiently a particular venture utilizes its employees (Sharma, 2014; Hmieleski and Sheppard, 2019). However, due to the very high correlation (ρ=0.98), these are used interchangeably. We report results using only the former, though inclusion of the latter yields a qualitatively similar set of results.</w:t>
      </w:r>
    </w:p>
  </w:footnote>
  <w:footnote w:id="5">
    <w:p w14:paraId="5A867F21" w14:textId="77777777" w:rsidR="00152AEF" w:rsidRPr="005E4509" w:rsidRDefault="00152AEF" w:rsidP="00152AEF">
      <w:pPr>
        <w:pStyle w:val="FootnoteText"/>
      </w:pPr>
      <w:r w:rsidRPr="005E4509">
        <w:rPr>
          <w:rStyle w:val="FootnoteReference"/>
        </w:rPr>
        <w:footnoteRef/>
      </w:r>
      <w:r w:rsidRPr="005E4509">
        <w:t xml:space="preserve"> </w:t>
      </w:r>
      <w:r w:rsidRPr="005E4509">
        <w:rPr>
          <w:rFonts w:eastAsiaTheme="minorEastAsia"/>
          <w:iCs/>
        </w:rPr>
        <w:t xml:space="preserve">As in the case of the regional dummies, the use of country fixed effects introduces another strong test as it captures time invariant characteristics like the country-level national culture which changes very little over time. </w:t>
      </w:r>
    </w:p>
  </w:footnote>
  <w:footnote w:id="6">
    <w:p w14:paraId="74C80BAC" w14:textId="77777777" w:rsidR="00152AEF" w:rsidRPr="005E4509" w:rsidRDefault="00152AEF" w:rsidP="00152AEF">
      <w:pPr>
        <w:pStyle w:val="FootnoteText"/>
        <w:jc w:val="both"/>
      </w:pPr>
      <w:r w:rsidRPr="005E4509">
        <w:rPr>
          <w:rStyle w:val="FootnoteReference"/>
        </w:rPr>
        <w:footnoteRef/>
      </w:r>
      <w:r w:rsidRPr="005E4509">
        <w:t xml:space="preserve"> We do not claim that these instruments are the best possible or the only ones that could be used. Instead, we argue that these instruments are grounded in the literature, they display explanatory power of culture, and they pass standard tests for the validity of instruments</w:t>
      </w:r>
      <w:r w:rsidRPr="005E4509">
        <w:rPr>
          <w:rFonts w:eastAsiaTheme="minorEastAsia"/>
          <w:iCs/>
        </w:rPr>
        <w:t>.</w:t>
      </w:r>
    </w:p>
  </w:footnote>
  <w:footnote w:id="7">
    <w:p w14:paraId="3974BAE6" w14:textId="77777777" w:rsidR="00152AEF" w:rsidRPr="005E4509" w:rsidRDefault="00152AEF" w:rsidP="00152AEF">
      <w:pPr>
        <w:pStyle w:val="FootnoteText"/>
      </w:pPr>
      <w:r w:rsidRPr="005E4509">
        <w:rPr>
          <w:rStyle w:val="FootnoteReference"/>
        </w:rPr>
        <w:footnoteRef/>
      </w:r>
      <w:r w:rsidRPr="005E4509">
        <w:t xml:space="preserve"> A more detailed discussion of the motivation surrounding the selection of agricultural as an instrument is available in section IV of the online appendix. </w:t>
      </w:r>
    </w:p>
  </w:footnote>
  <w:footnote w:id="8">
    <w:p w14:paraId="4E32D54F" w14:textId="77777777" w:rsidR="00152AEF" w:rsidRPr="005E4509" w:rsidRDefault="00152AEF" w:rsidP="00152AEF">
      <w:pPr>
        <w:pStyle w:val="FootnoteText"/>
        <w:jc w:val="both"/>
        <w:rPr>
          <w:rFonts w:ascii="Times" w:hAnsi="Times"/>
        </w:rPr>
      </w:pPr>
      <w:r w:rsidRPr="005E4509">
        <w:rPr>
          <w:rStyle w:val="FootnoteReference"/>
          <w:rFonts w:ascii="Times" w:hAnsi="Times"/>
        </w:rPr>
        <w:footnoteRef/>
      </w:r>
      <w:r w:rsidRPr="005E4509">
        <w:rPr>
          <w:rFonts w:ascii="Times" w:hAnsi="Times"/>
        </w:rPr>
        <w:t xml:space="preserve"> Note that this is a variant of Davidson and MacKinnon’s (1993) suggestion of an augmented regression test (often known as Durbin-Wu-Hausman test), according to which a statistically significant coefficient (hereby confirmed) for the residuals of the auxiliary regression included in the second stage means that the estimators of the variables of interest are not consistent on their own, thus suggesting endogeneity.</w:t>
      </w:r>
    </w:p>
  </w:footnote>
  <w:footnote w:id="9">
    <w:p w14:paraId="0F2E03AE" w14:textId="77777777" w:rsidR="00152AEF" w:rsidRPr="005E4509" w:rsidRDefault="00152AEF" w:rsidP="00152AEF">
      <w:pPr>
        <w:pStyle w:val="FootnoteText"/>
        <w:jc w:val="both"/>
      </w:pPr>
      <w:r w:rsidRPr="005E4509">
        <w:rPr>
          <w:rStyle w:val="FootnoteReference"/>
        </w:rPr>
        <w:footnoteRef/>
      </w:r>
      <w:r w:rsidRPr="005E4509">
        <w:t xml:space="preserve"> For the list of Western countries, we consult the World Atlas. The results do not change when we replace the dummy variable of having at least one Western founder by the percentage of Western founders. </w:t>
      </w:r>
    </w:p>
  </w:footnote>
  <w:footnote w:id="10">
    <w:p w14:paraId="734FE4BA" w14:textId="15ABA309" w:rsidR="00152AEF" w:rsidRPr="005E4509" w:rsidRDefault="00152AEF" w:rsidP="00152AEF">
      <w:pPr>
        <w:pStyle w:val="FootnoteText"/>
        <w:jc w:val="both"/>
      </w:pPr>
      <w:r w:rsidRPr="005E4509">
        <w:rPr>
          <w:rStyle w:val="FootnoteReference"/>
        </w:rPr>
        <w:footnoteRef/>
      </w:r>
      <w:r w:rsidRPr="005E4509">
        <w:t xml:space="preserve"> Alternatively, one could construct a more general index that would incorporate information about the time spent in the country of birth, the current country of residence (if different), and the countries of prior work experience abroad (if different).</w:t>
      </w:r>
      <w:r w:rsidRPr="005E4509">
        <w:rPr>
          <w:rFonts w:eastAsiaTheme="minorEastAsia"/>
          <w:iCs/>
        </w:rPr>
        <w:t xml:space="preserve"> Unfortunately, the time of immigration (for founders residing in a country different than the one of birth) or the total time spent working abroad is not available in the dataset. While information about the time period of the last two jobs abroad is available, the lack of information about other periods of residence abroad along with the arguments about the stickiness of culture that were discussed in the text, make us believe that the construction of such an index could be problematic in our case. First, we would have to make assumptions as for the years that we have no information. Then, we would have to make assumptions as for whether we should consider or simply ignore very short time periods abroad, as the literature suggests that such short</w:t>
      </w:r>
      <w:r w:rsidR="00425B31">
        <w:rPr>
          <w:rFonts w:eastAsiaTheme="minorEastAsia"/>
          <w:iCs/>
        </w:rPr>
        <w:t xml:space="preserve"> </w:t>
      </w:r>
      <w:r w:rsidRPr="005E4509">
        <w:rPr>
          <w:rFonts w:eastAsiaTheme="minorEastAsia"/>
          <w:iCs/>
        </w:rPr>
        <w:t>time periods would have no impact on deep rooted cultural values and beliefs. Therefore, we have not pursued this issue further and we offer the two alternative tests discussed in the main text. We hope that future research will be able to address this issue.</w:t>
      </w:r>
    </w:p>
  </w:footnote>
  <w:footnote w:id="11">
    <w:p w14:paraId="5B06AE74" w14:textId="77777777" w:rsidR="00152AEF" w:rsidRPr="005E4509" w:rsidRDefault="00152AEF" w:rsidP="00152AEF">
      <w:pPr>
        <w:autoSpaceDE w:val="0"/>
        <w:autoSpaceDN w:val="0"/>
        <w:adjustRightInd w:val="0"/>
        <w:jc w:val="both"/>
        <w:rPr>
          <w:rFonts w:ascii="CourierPS" w:eastAsiaTheme="minorHAnsi" w:hAnsi="CourierPS" w:cs="CourierPS"/>
          <w:sz w:val="14"/>
          <w:szCs w:val="14"/>
          <w:lang w:val="en-US" w:eastAsia="en-US"/>
        </w:rPr>
      </w:pPr>
      <w:r w:rsidRPr="005E4509">
        <w:rPr>
          <w:rStyle w:val="FootnoteReference"/>
        </w:rPr>
        <w:footnoteRef/>
      </w:r>
      <w:r w:rsidRPr="005E4509">
        <w:rPr>
          <w:sz w:val="20"/>
          <w:szCs w:val="20"/>
        </w:rPr>
        <w:t xml:space="preserve">For example, Morgan (1877) point out that </w:t>
      </w:r>
      <w:r w:rsidRPr="005E4509">
        <w:rPr>
          <w:rFonts w:eastAsiaTheme="minorHAnsi"/>
          <w:sz w:val="20"/>
          <w:szCs w:val="20"/>
          <w:lang w:eastAsia="en-US"/>
        </w:rPr>
        <w:t>dense populations in limited areas became possible with agriculture, arguing</w:t>
      </w:r>
      <w:r w:rsidRPr="005E4509">
        <w:rPr>
          <w:sz w:val="20"/>
          <w:szCs w:val="20"/>
        </w:rPr>
        <w:t xml:space="preserve"> that “</w:t>
      </w:r>
      <w:r w:rsidRPr="005E4509">
        <w:rPr>
          <w:rFonts w:eastAsiaTheme="minorHAnsi"/>
          <w:sz w:val="20"/>
          <w:szCs w:val="20"/>
          <w:lang w:eastAsia="en-US"/>
        </w:rPr>
        <w:t>Prior to field agriculture it is not probable that half a million people were developed and held together under one government in any part of the earth”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B316" w14:textId="77777777" w:rsidR="00EE2FB8" w:rsidRDefault="00EE2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CCC3" w14:textId="77777777" w:rsidR="00EE2FB8" w:rsidRDefault="00EE2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4707" w14:textId="77777777" w:rsidR="00EE2FB8" w:rsidRDefault="00EE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02F"/>
    <w:multiLevelType w:val="multilevel"/>
    <w:tmpl w:val="525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36194"/>
    <w:multiLevelType w:val="multilevel"/>
    <w:tmpl w:val="5BB6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C399A"/>
    <w:multiLevelType w:val="hybridMultilevel"/>
    <w:tmpl w:val="78304C88"/>
    <w:lvl w:ilvl="0" w:tplc="B6E2999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25E69"/>
    <w:multiLevelType w:val="multilevel"/>
    <w:tmpl w:val="42CE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1319F"/>
    <w:multiLevelType w:val="multilevel"/>
    <w:tmpl w:val="C712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7445C"/>
    <w:multiLevelType w:val="multilevel"/>
    <w:tmpl w:val="7326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87E55"/>
    <w:multiLevelType w:val="multilevel"/>
    <w:tmpl w:val="CDE8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36E5D"/>
    <w:multiLevelType w:val="multilevel"/>
    <w:tmpl w:val="5624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06AF1"/>
    <w:multiLevelType w:val="multilevel"/>
    <w:tmpl w:val="D882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F2136"/>
    <w:multiLevelType w:val="multilevel"/>
    <w:tmpl w:val="793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D1A3A"/>
    <w:multiLevelType w:val="multilevel"/>
    <w:tmpl w:val="93E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A34969"/>
    <w:multiLevelType w:val="multilevel"/>
    <w:tmpl w:val="E666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9B4408"/>
    <w:multiLevelType w:val="multilevel"/>
    <w:tmpl w:val="642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A3D73"/>
    <w:multiLevelType w:val="multilevel"/>
    <w:tmpl w:val="69E0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64267"/>
    <w:multiLevelType w:val="hybridMultilevel"/>
    <w:tmpl w:val="1756B896"/>
    <w:lvl w:ilvl="0" w:tplc="35D8EE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87BA6"/>
    <w:multiLevelType w:val="multilevel"/>
    <w:tmpl w:val="BA26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41014">
    <w:abstractNumId w:val="2"/>
  </w:num>
  <w:num w:numId="2" w16cid:durableId="1224025783">
    <w:abstractNumId w:val="11"/>
  </w:num>
  <w:num w:numId="3" w16cid:durableId="503516042">
    <w:abstractNumId w:val="10"/>
  </w:num>
  <w:num w:numId="4" w16cid:durableId="538274387">
    <w:abstractNumId w:val="3"/>
  </w:num>
  <w:num w:numId="5" w16cid:durableId="1010909327">
    <w:abstractNumId w:val="8"/>
  </w:num>
  <w:num w:numId="6" w16cid:durableId="1963341243">
    <w:abstractNumId w:val="4"/>
  </w:num>
  <w:num w:numId="7" w16cid:durableId="650986680">
    <w:abstractNumId w:val="5"/>
  </w:num>
  <w:num w:numId="8" w16cid:durableId="1491167552">
    <w:abstractNumId w:val="6"/>
  </w:num>
  <w:num w:numId="9" w16cid:durableId="178199152">
    <w:abstractNumId w:val="1"/>
  </w:num>
  <w:num w:numId="10" w16cid:durableId="354216">
    <w:abstractNumId w:val="7"/>
  </w:num>
  <w:num w:numId="11" w16cid:durableId="374429960">
    <w:abstractNumId w:val="0"/>
  </w:num>
  <w:num w:numId="12" w16cid:durableId="1295285967">
    <w:abstractNumId w:val="14"/>
  </w:num>
  <w:num w:numId="13" w16cid:durableId="413553776">
    <w:abstractNumId w:val="13"/>
  </w:num>
  <w:num w:numId="14" w16cid:durableId="901871923">
    <w:abstractNumId w:val="12"/>
  </w:num>
  <w:num w:numId="15" w16cid:durableId="1527257663">
    <w:abstractNumId w:val="9"/>
  </w:num>
  <w:num w:numId="16" w16cid:durableId="726804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D3"/>
    <w:rsid w:val="000013C2"/>
    <w:rsid w:val="000016B2"/>
    <w:rsid w:val="00001D03"/>
    <w:rsid w:val="0000208D"/>
    <w:rsid w:val="000024E3"/>
    <w:rsid w:val="000037C4"/>
    <w:rsid w:val="000037CC"/>
    <w:rsid w:val="00004CD4"/>
    <w:rsid w:val="00004F05"/>
    <w:rsid w:val="000057AC"/>
    <w:rsid w:val="0000592E"/>
    <w:rsid w:val="000069E2"/>
    <w:rsid w:val="000073F2"/>
    <w:rsid w:val="00007933"/>
    <w:rsid w:val="00007D99"/>
    <w:rsid w:val="00010904"/>
    <w:rsid w:val="000117F2"/>
    <w:rsid w:val="00011C54"/>
    <w:rsid w:val="00012784"/>
    <w:rsid w:val="00014AB8"/>
    <w:rsid w:val="00015047"/>
    <w:rsid w:val="000164E6"/>
    <w:rsid w:val="000167B4"/>
    <w:rsid w:val="00017B93"/>
    <w:rsid w:val="000202D4"/>
    <w:rsid w:val="00020A5A"/>
    <w:rsid w:val="000215EE"/>
    <w:rsid w:val="00021FCA"/>
    <w:rsid w:val="000224C8"/>
    <w:rsid w:val="0002292D"/>
    <w:rsid w:val="00022D57"/>
    <w:rsid w:val="000234F7"/>
    <w:rsid w:val="000243E3"/>
    <w:rsid w:val="00027BE8"/>
    <w:rsid w:val="000305D4"/>
    <w:rsid w:val="00030B80"/>
    <w:rsid w:val="0003158D"/>
    <w:rsid w:val="000325CF"/>
    <w:rsid w:val="00033238"/>
    <w:rsid w:val="00033395"/>
    <w:rsid w:val="00033B28"/>
    <w:rsid w:val="00033D64"/>
    <w:rsid w:val="000348A8"/>
    <w:rsid w:val="00035566"/>
    <w:rsid w:val="000355D4"/>
    <w:rsid w:val="000363E5"/>
    <w:rsid w:val="00037564"/>
    <w:rsid w:val="0003761C"/>
    <w:rsid w:val="0004048D"/>
    <w:rsid w:val="0004173A"/>
    <w:rsid w:val="0004190D"/>
    <w:rsid w:val="000426FF"/>
    <w:rsid w:val="00042F6E"/>
    <w:rsid w:val="00043BAC"/>
    <w:rsid w:val="00043BF6"/>
    <w:rsid w:val="00044462"/>
    <w:rsid w:val="00044CAE"/>
    <w:rsid w:val="00044F66"/>
    <w:rsid w:val="00045950"/>
    <w:rsid w:val="00045C7A"/>
    <w:rsid w:val="00046EDE"/>
    <w:rsid w:val="00050822"/>
    <w:rsid w:val="000509A7"/>
    <w:rsid w:val="00051030"/>
    <w:rsid w:val="000519F7"/>
    <w:rsid w:val="00054370"/>
    <w:rsid w:val="000546C4"/>
    <w:rsid w:val="000553B3"/>
    <w:rsid w:val="00055559"/>
    <w:rsid w:val="00056410"/>
    <w:rsid w:val="000564C3"/>
    <w:rsid w:val="00056CB7"/>
    <w:rsid w:val="00060EBE"/>
    <w:rsid w:val="00061D99"/>
    <w:rsid w:val="0006347B"/>
    <w:rsid w:val="0006367A"/>
    <w:rsid w:val="000638B0"/>
    <w:rsid w:val="000638E3"/>
    <w:rsid w:val="00063DEF"/>
    <w:rsid w:val="00063E0A"/>
    <w:rsid w:val="00065DA0"/>
    <w:rsid w:val="00065E56"/>
    <w:rsid w:val="00065EF4"/>
    <w:rsid w:val="00066068"/>
    <w:rsid w:val="00066612"/>
    <w:rsid w:val="00067051"/>
    <w:rsid w:val="00067A05"/>
    <w:rsid w:val="000700BA"/>
    <w:rsid w:val="0007047E"/>
    <w:rsid w:val="00070BC5"/>
    <w:rsid w:val="000715FA"/>
    <w:rsid w:val="00071FCE"/>
    <w:rsid w:val="00072455"/>
    <w:rsid w:val="000727DB"/>
    <w:rsid w:val="000739CF"/>
    <w:rsid w:val="00073F10"/>
    <w:rsid w:val="00074129"/>
    <w:rsid w:val="00075923"/>
    <w:rsid w:val="000761E1"/>
    <w:rsid w:val="000770B0"/>
    <w:rsid w:val="00080334"/>
    <w:rsid w:val="0008042C"/>
    <w:rsid w:val="00080EB0"/>
    <w:rsid w:val="00081E3D"/>
    <w:rsid w:val="0008230E"/>
    <w:rsid w:val="0008401E"/>
    <w:rsid w:val="00084678"/>
    <w:rsid w:val="00084C44"/>
    <w:rsid w:val="00084FD4"/>
    <w:rsid w:val="0008586E"/>
    <w:rsid w:val="00086161"/>
    <w:rsid w:val="0008628E"/>
    <w:rsid w:val="00086B08"/>
    <w:rsid w:val="00086D65"/>
    <w:rsid w:val="00087004"/>
    <w:rsid w:val="00087135"/>
    <w:rsid w:val="000873FB"/>
    <w:rsid w:val="00087815"/>
    <w:rsid w:val="00087876"/>
    <w:rsid w:val="00090FA0"/>
    <w:rsid w:val="0009125C"/>
    <w:rsid w:val="0009256D"/>
    <w:rsid w:val="00092649"/>
    <w:rsid w:val="000926BA"/>
    <w:rsid w:val="00092C3A"/>
    <w:rsid w:val="000938CC"/>
    <w:rsid w:val="00094521"/>
    <w:rsid w:val="000945A0"/>
    <w:rsid w:val="00094FE6"/>
    <w:rsid w:val="0009530F"/>
    <w:rsid w:val="00095AFA"/>
    <w:rsid w:val="00095C78"/>
    <w:rsid w:val="000978CE"/>
    <w:rsid w:val="00097D21"/>
    <w:rsid w:val="000A09D4"/>
    <w:rsid w:val="000A0BF2"/>
    <w:rsid w:val="000A0FC4"/>
    <w:rsid w:val="000A1834"/>
    <w:rsid w:val="000A1B54"/>
    <w:rsid w:val="000A1D06"/>
    <w:rsid w:val="000A2AB4"/>
    <w:rsid w:val="000A3BFA"/>
    <w:rsid w:val="000A4107"/>
    <w:rsid w:val="000A4238"/>
    <w:rsid w:val="000A42A2"/>
    <w:rsid w:val="000A4379"/>
    <w:rsid w:val="000A4A81"/>
    <w:rsid w:val="000A5650"/>
    <w:rsid w:val="000A62F6"/>
    <w:rsid w:val="000A66E8"/>
    <w:rsid w:val="000A789A"/>
    <w:rsid w:val="000B0BFE"/>
    <w:rsid w:val="000B18DD"/>
    <w:rsid w:val="000B1C17"/>
    <w:rsid w:val="000B211D"/>
    <w:rsid w:val="000B213F"/>
    <w:rsid w:val="000B2296"/>
    <w:rsid w:val="000B2575"/>
    <w:rsid w:val="000B2AB1"/>
    <w:rsid w:val="000B2D9A"/>
    <w:rsid w:val="000B35A1"/>
    <w:rsid w:val="000B3767"/>
    <w:rsid w:val="000B3ED3"/>
    <w:rsid w:val="000B464C"/>
    <w:rsid w:val="000B5180"/>
    <w:rsid w:val="000B52AC"/>
    <w:rsid w:val="000B5403"/>
    <w:rsid w:val="000B5B06"/>
    <w:rsid w:val="000B6128"/>
    <w:rsid w:val="000B6C91"/>
    <w:rsid w:val="000B7CB7"/>
    <w:rsid w:val="000C0125"/>
    <w:rsid w:val="000C111E"/>
    <w:rsid w:val="000C1172"/>
    <w:rsid w:val="000C1565"/>
    <w:rsid w:val="000C16BA"/>
    <w:rsid w:val="000C1EA4"/>
    <w:rsid w:val="000C1FE3"/>
    <w:rsid w:val="000C2DBE"/>
    <w:rsid w:val="000C3832"/>
    <w:rsid w:val="000C3961"/>
    <w:rsid w:val="000C41EF"/>
    <w:rsid w:val="000C68D7"/>
    <w:rsid w:val="000C6D2B"/>
    <w:rsid w:val="000C7001"/>
    <w:rsid w:val="000C7D84"/>
    <w:rsid w:val="000C7F47"/>
    <w:rsid w:val="000D01CC"/>
    <w:rsid w:val="000D02CE"/>
    <w:rsid w:val="000D05C6"/>
    <w:rsid w:val="000D081F"/>
    <w:rsid w:val="000D1446"/>
    <w:rsid w:val="000D16CB"/>
    <w:rsid w:val="000D1A0D"/>
    <w:rsid w:val="000D26CA"/>
    <w:rsid w:val="000D3B15"/>
    <w:rsid w:val="000D3B30"/>
    <w:rsid w:val="000D3F91"/>
    <w:rsid w:val="000D48CE"/>
    <w:rsid w:val="000D49BF"/>
    <w:rsid w:val="000D57B5"/>
    <w:rsid w:val="000D5C42"/>
    <w:rsid w:val="000D66FD"/>
    <w:rsid w:val="000D677C"/>
    <w:rsid w:val="000D6ADF"/>
    <w:rsid w:val="000D7784"/>
    <w:rsid w:val="000E074E"/>
    <w:rsid w:val="000E0989"/>
    <w:rsid w:val="000E0CDC"/>
    <w:rsid w:val="000E2613"/>
    <w:rsid w:val="000E294E"/>
    <w:rsid w:val="000E3223"/>
    <w:rsid w:val="000E34D3"/>
    <w:rsid w:val="000E3561"/>
    <w:rsid w:val="000E433E"/>
    <w:rsid w:val="000E4AD0"/>
    <w:rsid w:val="000E5736"/>
    <w:rsid w:val="000E5F16"/>
    <w:rsid w:val="000E604B"/>
    <w:rsid w:val="000E6142"/>
    <w:rsid w:val="000E7E92"/>
    <w:rsid w:val="000F0171"/>
    <w:rsid w:val="000F14B9"/>
    <w:rsid w:val="000F32D0"/>
    <w:rsid w:val="000F33B5"/>
    <w:rsid w:val="000F412B"/>
    <w:rsid w:val="000F4237"/>
    <w:rsid w:val="000F481F"/>
    <w:rsid w:val="000F4DAF"/>
    <w:rsid w:val="000F4E90"/>
    <w:rsid w:val="000F51AC"/>
    <w:rsid w:val="000F57D7"/>
    <w:rsid w:val="000F580D"/>
    <w:rsid w:val="000F6FC5"/>
    <w:rsid w:val="000F7117"/>
    <w:rsid w:val="000F744F"/>
    <w:rsid w:val="000F7C46"/>
    <w:rsid w:val="000F7F52"/>
    <w:rsid w:val="0010014A"/>
    <w:rsid w:val="00101313"/>
    <w:rsid w:val="001016C6"/>
    <w:rsid w:val="00101978"/>
    <w:rsid w:val="001020F4"/>
    <w:rsid w:val="00102E11"/>
    <w:rsid w:val="00103128"/>
    <w:rsid w:val="00103283"/>
    <w:rsid w:val="001033BE"/>
    <w:rsid w:val="00104356"/>
    <w:rsid w:val="00104505"/>
    <w:rsid w:val="00104A27"/>
    <w:rsid w:val="00105572"/>
    <w:rsid w:val="00106690"/>
    <w:rsid w:val="0010775D"/>
    <w:rsid w:val="00107839"/>
    <w:rsid w:val="0011062A"/>
    <w:rsid w:val="001106F6"/>
    <w:rsid w:val="00111617"/>
    <w:rsid w:val="001127B8"/>
    <w:rsid w:val="00112931"/>
    <w:rsid w:val="00113C81"/>
    <w:rsid w:val="00113D42"/>
    <w:rsid w:val="00113DB8"/>
    <w:rsid w:val="00114282"/>
    <w:rsid w:val="001148FB"/>
    <w:rsid w:val="00114AE7"/>
    <w:rsid w:val="0011606E"/>
    <w:rsid w:val="001167A6"/>
    <w:rsid w:val="001168E2"/>
    <w:rsid w:val="00117517"/>
    <w:rsid w:val="00117674"/>
    <w:rsid w:val="001176FA"/>
    <w:rsid w:val="00117B28"/>
    <w:rsid w:val="001209AB"/>
    <w:rsid w:val="00121885"/>
    <w:rsid w:val="001232AE"/>
    <w:rsid w:val="001234A4"/>
    <w:rsid w:val="00124F09"/>
    <w:rsid w:val="001270A0"/>
    <w:rsid w:val="00130D95"/>
    <w:rsid w:val="0013121B"/>
    <w:rsid w:val="0013295B"/>
    <w:rsid w:val="00132C30"/>
    <w:rsid w:val="00132E94"/>
    <w:rsid w:val="001332C9"/>
    <w:rsid w:val="001333F0"/>
    <w:rsid w:val="00134BED"/>
    <w:rsid w:val="00134CBD"/>
    <w:rsid w:val="001356C7"/>
    <w:rsid w:val="0013575F"/>
    <w:rsid w:val="00136C22"/>
    <w:rsid w:val="001371EC"/>
    <w:rsid w:val="00140CEC"/>
    <w:rsid w:val="001418E2"/>
    <w:rsid w:val="00142134"/>
    <w:rsid w:val="001431A3"/>
    <w:rsid w:val="0014361F"/>
    <w:rsid w:val="0014441C"/>
    <w:rsid w:val="00144BEC"/>
    <w:rsid w:val="0014512C"/>
    <w:rsid w:val="00145283"/>
    <w:rsid w:val="001454B5"/>
    <w:rsid w:val="0014652D"/>
    <w:rsid w:val="00146774"/>
    <w:rsid w:val="001467F6"/>
    <w:rsid w:val="00146F6F"/>
    <w:rsid w:val="0014756C"/>
    <w:rsid w:val="001477DD"/>
    <w:rsid w:val="00147A03"/>
    <w:rsid w:val="00147A0D"/>
    <w:rsid w:val="001503E6"/>
    <w:rsid w:val="0015070D"/>
    <w:rsid w:val="00150BA8"/>
    <w:rsid w:val="0015128E"/>
    <w:rsid w:val="00151FFC"/>
    <w:rsid w:val="0015294C"/>
    <w:rsid w:val="00152AEF"/>
    <w:rsid w:val="00152F16"/>
    <w:rsid w:val="0015574D"/>
    <w:rsid w:val="001562AC"/>
    <w:rsid w:val="00156AAC"/>
    <w:rsid w:val="001619B4"/>
    <w:rsid w:val="00161D4B"/>
    <w:rsid w:val="00163384"/>
    <w:rsid w:val="001635F7"/>
    <w:rsid w:val="00163CCA"/>
    <w:rsid w:val="0016462D"/>
    <w:rsid w:val="001658A0"/>
    <w:rsid w:val="00167999"/>
    <w:rsid w:val="00167E62"/>
    <w:rsid w:val="00167F5F"/>
    <w:rsid w:val="0017075D"/>
    <w:rsid w:val="00171E27"/>
    <w:rsid w:val="00171FCD"/>
    <w:rsid w:val="0017213A"/>
    <w:rsid w:val="00172507"/>
    <w:rsid w:val="001726A8"/>
    <w:rsid w:val="00172FA2"/>
    <w:rsid w:val="00173176"/>
    <w:rsid w:val="00173E3A"/>
    <w:rsid w:val="00173FD5"/>
    <w:rsid w:val="001746F4"/>
    <w:rsid w:val="00174AE6"/>
    <w:rsid w:val="00176A2C"/>
    <w:rsid w:val="00177945"/>
    <w:rsid w:val="001808A3"/>
    <w:rsid w:val="00181222"/>
    <w:rsid w:val="00181863"/>
    <w:rsid w:val="00181960"/>
    <w:rsid w:val="00181EE4"/>
    <w:rsid w:val="001826DE"/>
    <w:rsid w:val="0018319E"/>
    <w:rsid w:val="00183894"/>
    <w:rsid w:val="00184506"/>
    <w:rsid w:val="0018552A"/>
    <w:rsid w:val="0018647F"/>
    <w:rsid w:val="001865D1"/>
    <w:rsid w:val="00187E73"/>
    <w:rsid w:val="00190103"/>
    <w:rsid w:val="00190156"/>
    <w:rsid w:val="0019043A"/>
    <w:rsid w:val="001918FB"/>
    <w:rsid w:val="001927F7"/>
    <w:rsid w:val="00192A3B"/>
    <w:rsid w:val="00192C1A"/>
    <w:rsid w:val="00192DD6"/>
    <w:rsid w:val="00194463"/>
    <w:rsid w:val="00194C85"/>
    <w:rsid w:val="001951FE"/>
    <w:rsid w:val="0019614A"/>
    <w:rsid w:val="001A077C"/>
    <w:rsid w:val="001A07C9"/>
    <w:rsid w:val="001A0867"/>
    <w:rsid w:val="001A2A44"/>
    <w:rsid w:val="001A31C9"/>
    <w:rsid w:val="001A34C2"/>
    <w:rsid w:val="001A39A5"/>
    <w:rsid w:val="001A4181"/>
    <w:rsid w:val="001A4F99"/>
    <w:rsid w:val="001A5C6A"/>
    <w:rsid w:val="001A6D8B"/>
    <w:rsid w:val="001B06B9"/>
    <w:rsid w:val="001B0BA2"/>
    <w:rsid w:val="001B0F97"/>
    <w:rsid w:val="001B116F"/>
    <w:rsid w:val="001B1B55"/>
    <w:rsid w:val="001B2394"/>
    <w:rsid w:val="001B2ED9"/>
    <w:rsid w:val="001B370F"/>
    <w:rsid w:val="001B3A83"/>
    <w:rsid w:val="001B4AC3"/>
    <w:rsid w:val="001B4F87"/>
    <w:rsid w:val="001B556A"/>
    <w:rsid w:val="001B657C"/>
    <w:rsid w:val="001B75CB"/>
    <w:rsid w:val="001B7EC7"/>
    <w:rsid w:val="001C0A4A"/>
    <w:rsid w:val="001C0DAF"/>
    <w:rsid w:val="001C0EE0"/>
    <w:rsid w:val="001C119C"/>
    <w:rsid w:val="001C1243"/>
    <w:rsid w:val="001C1255"/>
    <w:rsid w:val="001C1E21"/>
    <w:rsid w:val="001C2276"/>
    <w:rsid w:val="001C25F3"/>
    <w:rsid w:val="001C3099"/>
    <w:rsid w:val="001C31F3"/>
    <w:rsid w:val="001C3D30"/>
    <w:rsid w:val="001C3F1B"/>
    <w:rsid w:val="001C425A"/>
    <w:rsid w:val="001C507F"/>
    <w:rsid w:val="001C5D9B"/>
    <w:rsid w:val="001C6E34"/>
    <w:rsid w:val="001C6FD4"/>
    <w:rsid w:val="001C73D7"/>
    <w:rsid w:val="001C751B"/>
    <w:rsid w:val="001C7577"/>
    <w:rsid w:val="001C76A2"/>
    <w:rsid w:val="001C7703"/>
    <w:rsid w:val="001C781E"/>
    <w:rsid w:val="001D0642"/>
    <w:rsid w:val="001D12B1"/>
    <w:rsid w:val="001D3B08"/>
    <w:rsid w:val="001D40DB"/>
    <w:rsid w:val="001D4781"/>
    <w:rsid w:val="001D5734"/>
    <w:rsid w:val="001D5DBD"/>
    <w:rsid w:val="001D6442"/>
    <w:rsid w:val="001E271A"/>
    <w:rsid w:val="001E38BA"/>
    <w:rsid w:val="001E3A9C"/>
    <w:rsid w:val="001E4693"/>
    <w:rsid w:val="001E502D"/>
    <w:rsid w:val="001E5F70"/>
    <w:rsid w:val="001E603F"/>
    <w:rsid w:val="001E68D5"/>
    <w:rsid w:val="001E6AEB"/>
    <w:rsid w:val="001E7AF6"/>
    <w:rsid w:val="001F0030"/>
    <w:rsid w:val="001F0C0C"/>
    <w:rsid w:val="001F0CB4"/>
    <w:rsid w:val="001F0D7C"/>
    <w:rsid w:val="001F0EDF"/>
    <w:rsid w:val="001F221C"/>
    <w:rsid w:val="001F25DC"/>
    <w:rsid w:val="001F272A"/>
    <w:rsid w:val="001F44C2"/>
    <w:rsid w:val="001F5011"/>
    <w:rsid w:val="001F592E"/>
    <w:rsid w:val="001F648F"/>
    <w:rsid w:val="001F6E5D"/>
    <w:rsid w:val="001F7BC7"/>
    <w:rsid w:val="002003CF"/>
    <w:rsid w:val="00200884"/>
    <w:rsid w:val="0020209B"/>
    <w:rsid w:val="0020242C"/>
    <w:rsid w:val="00202A47"/>
    <w:rsid w:val="0020320A"/>
    <w:rsid w:val="00203DD7"/>
    <w:rsid w:val="00204671"/>
    <w:rsid w:val="00205AFB"/>
    <w:rsid w:val="00207D69"/>
    <w:rsid w:val="00210B38"/>
    <w:rsid w:val="0021134E"/>
    <w:rsid w:val="002125BA"/>
    <w:rsid w:val="00212A04"/>
    <w:rsid w:val="00212ABF"/>
    <w:rsid w:val="00212DE4"/>
    <w:rsid w:val="00212E14"/>
    <w:rsid w:val="00212F09"/>
    <w:rsid w:val="002132AE"/>
    <w:rsid w:val="0021456F"/>
    <w:rsid w:val="0021545A"/>
    <w:rsid w:val="0021592F"/>
    <w:rsid w:val="00215B3C"/>
    <w:rsid w:val="00216EDD"/>
    <w:rsid w:val="002172CE"/>
    <w:rsid w:val="00217419"/>
    <w:rsid w:val="00217FB7"/>
    <w:rsid w:val="002202D4"/>
    <w:rsid w:val="002214EB"/>
    <w:rsid w:val="00221951"/>
    <w:rsid w:val="00223A9B"/>
    <w:rsid w:val="0022422D"/>
    <w:rsid w:val="00224A60"/>
    <w:rsid w:val="00225517"/>
    <w:rsid w:val="0022569D"/>
    <w:rsid w:val="002257F0"/>
    <w:rsid w:val="002264BF"/>
    <w:rsid w:val="002269C0"/>
    <w:rsid w:val="00227978"/>
    <w:rsid w:val="00227DC4"/>
    <w:rsid w:val="00231BA9"/>
    <w:rsid w:val="00231FA1"/>
    <w:rsid w:val="0023241B"/>
    <w:rsid w:val="00232C04"/>
    <w:rsid w:val="00232E48"/>
    <w:rsid w:val="0023391A"/>
    <w:rsid w:val="00233D1C"/>
    <w:rsid w:val="00234079"/>
    <w:rsid w:val="00234450"/>
    <w:rsid w:val="00234CF9"/>
    <w:rsid w:val="00234D54"/>
    <w:rsid w:val="0023597F"/>
    <w:rsid w:val="002364B4"/>
    <w:rsid w:val="00236706"/>
    <w:rsid w:val="00236AEB"/>
    <w:rsid w:val="00236E43"/>
    <w:rsid w:val="002370D6"/>
    <w:rsid w:val="00237900"/>
    <w:rsid w:val="00240121"/>
    <w:rsid w:val="002406AC"/>
    <w:rsid w:val="00240AE8"/>
    <w:rsid w:val="00240DCC"/>
    <w:rsid w:val="0024163F"/>
    <w:rsid w:val="00241A54"/>
    <w:rsid w:val="0024260A"/>
    <w:rsid w:val="00242AA2"/>
    <w:rsid w:val="00243950"/>
    <w:rsid w:val="00243EB5"/>
    <w:rsid w:val="00243F77"/>
    <w:rsid w:val="00244132"/>
    <w:rsid w:val="00245D67"/>
    <w:rsid w:val="00246220"/>
    <w:rsid w:val="00246409"/>
    <w:rsid w:val="00246F1A"/>
    <w:rsid w:val="00246F49"/>
    <w:rsid w:val="00247576"/>
    <w:rsid w:val="00247DF2"/>
    <w:rsid w:val="0025282A"/>
    <w:rsid w:val="00254B92"/>
    <w:rsid w:val="00260ABE"/>
    <w:rsid w:val="00260FAA"/>
    <w:rsid w:val="00261827"/>
    <w:rsid w:val="00262006"/>
    <w:rsid w:val="002620FE"/>
    <w:rsid w:val="0026268E"/>
    <w:rsid w:val="00262E0A"/>
    <w:rsid w:val="00263D20"/>
    <w:rsid w:val="002640B3"/>
    <w:rsid w:val="002646E4"/>
    <w:rsid w:val="002658E0"/>
    <w:rsid w:val="002658E3"/>
    <w:rsid w:val="002663EE"/>
    <w:rsid w:val="002674F5"/>
    <w:rsid w:val="002675C3"/>
    <w:rsid w:val="00270012"/>
    <w:rsid w:val="00271293"/>
    <w:rsid w:val="0027230A"/>
    <w:rsid w:val="0027238D"/>
    <w:rsid w:val="00273977"/>
    <w:rsid w:val="00273BC7"/>
    <w:rsid w:val="002745CA"/>
    <w:rsid w:val="00274BF9"/>
    <w:rsid w:val="00274C92"/>
    <w:rsid w:val="0027546B"/>
    <w:rsid w:val="00275837"/>
    <w:rsid w:val="00277B60"/>
    <w:rsid w:val="00277E12"/>
    <w:rsid w:val="0028011D"/>
    <w:rsid w:val="002804A5"/>
    <w:rsid w:val="00280CAF"/>
    <w:rsid w:val="00280DA7"/>
    <w:rsid w:val="00281BFF"/>
    <w:rsid w:val="00282413"/>
    <w:rsid w:val="0028286D"/>
    <w:rsid w:val="002829A2"/>
    <w:rsid w:val="00282B85"/>
    <w:rsid w:val="0028319C"/>
    <w:rsid w:val="00284E11"/>
    <w:rsid w:val="00285D41"/>
    <w:rsid w:val="0028630C"/>
    <w:rsid w:val="00290B60"/>
    <w:rsid w:val="00291E6D"/>
    <w:rsid w:val="0029223A"/>
    <w:rsid w:val="00292A88"/>
    <w:rsid w:val="00293184"/>
    <w:rsid w:val="00294299"/>
    <w:rsid w:val="00294CA9"/>
    <w:rsid w:val="002953B3"/>
    <w:rsid w:val="00295671"/>
    <w:rsid w:val="002967C6"/>
    <w:rsid w:val="0029684D"/>
    <w:rsid w:val="00297F07"/>
    <w:rsid w:val="002A06F8"/>
    <w:rsid w:val="002A130B"/>
    <w:rsid w:val="002A15D9"/>
    <w:rsid w:val="002A1CF5"/>
    <w:rsid w:val="002A1E57"/>
    <w:rsid w:val="002A2160"/>
    <w:rsid w:val="002A2325"/>
    <w:rsid w:val="002A23AE"/>
    <w:rsid w:val="002A3B91"/>
    <w:rsid w:val="002A42DD"/>
    <w:rsid w:val="002A623E"/>
    <w:rsid w:val="002A70F1"/>
    <w:rsid w:val="002A7836"/>
    <w:rsid w:val="002B01DC"/>
    <w:rsid w:val="002B18D2"/>
    <w:rsid w:val="002B1FED"/>
    <w:rsid w:val="002B35AF"/>
    <w:rsid w:val="002B3E60"/>
    <w:rsid w:val="002B4AB0"/>
    <w:rsid w:val="002B52BC"/>
    <w:rsid w:val="002B6557"/>
    <w:rsid w:val="002B66B7"/>
    <w:rsid w:val="002B70D8"/>
    <w:rsid w:val="002B78FB"/>
    <w:rsid w:val="002B7C7A"/>
    <w:rsid w:val="002C04EA"/>
    <w:rsid w:val="002C055D"/>
    <w:rsid w:val="002C0B0E"/>
    <w:rsid w:val="002C0E41"/>
    <w:rsid w:val="002C251E"/>
    <w:rsid w:val="002C31AB"/>
    <w:rsid w:val="002C4059"/>
    <w:rsid w:val="002C4AFE"/>
    <w:rsid w:val="002C4F2B"/>
    <w:rsid w:val="002C5190"/>
    <w:rsid w:val="002C6745"/>
    <w:rsid w:val="002C70BD"/>
    <w:rsid w:val="002C7527"/>
    <w:rsid w:val="002D00AC"/>
    <w:rsid w:val="002D13A6"/>
    <w:rsid w:val="002D1549"/>
    <w:rsid w:val="002D17D1"/>
    <w:rsid w:val="002D2680"/>
    <w:rsid w:val="002D2804"/>
    <w:rsid w:val="002D2D3C"/>
    <w:rsid w:val="002D2F0A"/>
    <w:rsid w:val="002D3AC7"/>
    <w:rsid w:val="002D4118"/>
    <w:rsid w:val="002D4509"/>
    <w:rsid w:val="002D4A8A"/>
    <w:rsid w:val="002D5284"/>
    <w:rsid w:val="002D7002"/>
    <w:rsid w:val="002D7474"/>
    <w:rsid w:val="002D7983"/>
    <w:rsid w:val="002E0496"/>
    <w:rsid w:val="002E134B"/>
    <w:rsid w:val="002E1360"/>
    <w:rsid w:val="002E13DF"/>
    <w:rsid w:val="002E29AC"/>
    <w:rsid w:val="002E3142"/>
    <w:rsid w:val="002E31EE"/>
    <w:rsid w:val="002E51E0"/>
    <w:rsid w:val="002E53E7"/>
    <w:rsid w:val="002E5A0A"/>
    <w:rsid w:val="002E6329"/>
    <w:rsid w:val="002E7A22"/>
    <w:rsid w:val="002E7D3A"/>
    <w:rsid w:val="002F0936"/>
    <w:rsid w:val="002F10AC"/>
    <w:rsid w:val="002F1C89"/>
    <w:rsid w:val="002F1E88"/>
    <w:rsid w:val="002F3AB2"/>
    <w:rsid w:val="002F3FB3"/>
    <w:rsid w:val="002F4466"/>
    <w:rsid w:val="002F46F3"/>
    <w:rsid w:val="002F4B35"/>
    <w:rsid w:val="002F5F79"/>
    <w:rsid w:val="002F68CD"/>
    <w:rsid w:val="002F7D87"/>
    <w:rsid w:val="002F7FD6"/>
    <w:rsid w:val="0030084E"/>
    <w:rsid w:val="00301626"/>
    <w:rsid w:val="003021AB"/>
    <w:rsid w:val="00302443"/>
    <w:rsid w:val="00302A6D"/>
    <w:rsid w:val="003038D3"/>
    <w:rsid w:val="00304053"/>
    <w:rsid w:val="0030424E"/>
    <w:rsid w:val="00304662"/>
    <w:rsid w:val="003056CB"/>
    <w:rsid w:val="00305C1B"/>
    <w:rsid w:val="00307ADF"/>
    <w:rsid w:val="003101D8"/>
    <w:rsid w:val="00311619"/>
    <w:rsid w:val="0031219D"/>
    <w:rsid w:val="0031249B"/>
    <w:rsid w:val="0031277A"/>
    <w:rsid w:val="00312CB4"/>
    <w:rsid w:val="00312D18"/>
    <w:rsid w:val="00312E17"/>
    <w:rsid w:val="00313129"/>
    <w:rsid w:val="003139C1"/>
    <w:rsid w:val="00315532"/>
    <w:rsid w:val="00315963"/>
    <w:rsid w:val="00315F23"/>
    <w:rsid w:val="00316EA8"/>
    <w:rsid w:val="00317107"/>
    <w:rsid w:val="00320779"/>
    <w:rsid w:val="003212D8"/>
    <w:rsid w:val="0032149C"/>
    <w:rsid w:val="00321752"/>
    <w:rsid w:val="003223C2"/>
    <w:rsid w:val="003237B1"/>
    <w:rsid w:val="00324915"/>
    <w:rsid w:val="00324BC2"/>
    <w:rsid w:val="00325043"/>
    <w:rsid w:val="003252A5"/>
    <w:rsid w:val="003259B9"/>
    <w:rsid w:val="00325A77"/>
    <w:rsid w:val="00326F82"/>
    <w:rsid w:val="00327078"/>
    <w:rsid w:val="003275C4"/>
    <w:rsid w:val="0032792B"/>
    <w:rsid w:val="00327B0C"/>
    <w:rsid w:val="00327C82"/>
    <w:rsid w:val="003304E2"/>
    <w:rsid w:val="003319EC"/>
    <w:rsid w:val="003327B0"/>
    <w:rsid w:val="00332893"/>
    <w:rsid w:val="003332B1"/>
    <w:rsid w:val="00333441"/>
    <w:rsid w:val="0033543E"/>
    <w:rsid w:val="00335CD7"/>
    <w:rsid w:val="0033636F"/>
    <w:rsid w:val="00340C81"/>
    <w:rsid w:val="00340F67"/>
    <w:rsid w:val="00342CF1"/>
    <w:rsid w:val="003433F7"/>
    <w:rsid w:val="00343859"/>
    <w:rsid w:val="00343903"/>
    <w:rsid w:val="00344708"/>
    <w:rsid w:val="00344D3D"/>
    <w:rsid w:val="00345097"/>
    <w:rsid w:val="00345A5E"/>
    <w:rsid w:val="00345BE5"/>
    <w:rsid w:val="003465A9"/>
    <w:rsid w:val="0034787C"/>
    <w:rsid w:val="003505CB"/>
    <w:rsid w:val="0035106B"/>
    <w:rsid w:val="00351950"/>
    <w:rsid w:val="00352D47"/>
    <w:rsid w:val="0035368C"/>
    <w:rsid w:val="00354161"/>
    <w:rsid w:val="00354812"/>
    <w:rsid w:val="003549D7"/>
    <w:rsid w:val="00355FA1"/>
    <w:rsid w:val="003572D8"/>
    <w:rsid w:val="003579B2"/>
    <w:rsid w:val="00357A5D"/>
    <w:rsid w:val="00360459"/>
    <w:rsid w:val="003608B5"/>
    <w:rsid w:val="00360FEF"/>
    <w:rsid w:val="003610A4"/>
    <w:rsid w:val="00363429"/>
    <w:rsid w:val="00363707"/>
    <w:rsid w:val="00363C83"/>
    <w:rsid w:val="0036408B"/>
    <w:rsid w:val="003648DE"/>
    <w:rsid w:val="00364B5C"/>
    <w:rsid w:val="00364C95"/>
    <w:rsid w:val="003656AA"/>
    <w:rsid w:val="003661E6"/>
    <w:rsid w:val="00366A55"/>
    <w:rsid w:val="00370234"/>
    <w:rsid w:val="00370295"/>
    <w:rsid w:val="00370969"/>
    <w:rsid w:val="003711A5"/>
    <w:rsid w:val="00371A1F"/>
    <w:rsid w:val="003720D3"/>
    <w:rsid w:val="0037252A"/>
    <w:rsid w:val="00372E46"/>
    <w:rsid w:val="00373166"/>
    <w:rsid w:val="003738EC"/>
    <w:rsid w:val="00374D87"/>
    <w:rsid w:val="00374EAA"/>
    <w:rsid w:val="0037529C"/>
    <w:rsid w:val="003754D1"/>
    <w:rsid w:val="0037554C"/>
    <w:rsid w:val="003767D4"/>
    <w:rsid w:val="0037692A"/>
    <w:rsid w:val="00376DA6"/>
    <w:rsid w:val="003773B1"/>
    <w:rsid w:val="00380472"/>
    <w:rsid w:val="00380F77"/>
    <w:rsid w:val="00382174"/>
    <w:rsid w:val="00382244"/>
    <w:rsid w:val="00383F0A"/>
    <w:rsid w:val="00384640"/>
    <w:rsid w:val="00384A97"/>
    <w:rsid w:val="00385605"/>
    <w:rsid w:val="00385FD9"/>
    <w:rsid w:val="00386C51"/>
    <w:rsid w:val="00387301"/>
    <w:rsid w:val="00387C68"/>
    <w:rsid w:val="003902CD"/>
    <w:rsid w:val="0039066A"/>
    <w:rsid w:val="00394024"/>
    <w:rsid w:val="003941CC"/>
    <w:rsid w:val="00394A2D"/>
    <w:rsid w:val="00396193"/>
    <w:rsid w:val="00396664"/>
    <w:rsid w:val="003979EB"/>
    <w:rsid w:val="00397CD2"/>
    <w:rsid w:val="003A030B"/>
    <w:rsid w:val="003A0BB7"/>
    <w:rsid w:val="003A1389"/>
    <w:rsid w:val="003A161E"/>
    <w:rsid w:val="003A2A1F"/>
    <w:rsid w:val="003A319D"/>
    <w:rsid w:val="003A32BC"/>
    <w:rsid w:val="003A42C9"/>
    <w:rsid w:val="003A49B9"/>
    <w:rsid w:val="003A6075"/>
    <w:rsid w:val="003A618F"/>
    <w:rsid w:val="003A61F1"/>
    <w:rsid w:val="003A6AD4"/>
    <w:rsid w:val="003A6B95"/>
    <w:rsid w:val="003A7029"/>
    <w:rsid w:val="003A7AAF"/>
    <w:rsid w:val="003B0018"/>
    <w:rsid w:val="003B01C5"/>
    <w:rsid w:val="003B07DD"/>
    <w:rsid w:val="003B1614"/>
    <w:rsid w:val="003B2341"/>
    <w:rsid w:val="003B3294"/>
    <w:rsid w:val="003B3863"/>
    <w:rsid w:val="003B41BC"/>
    <w:rsid w:val="003B46C3"/>
    <w:rsid w:val="003B474B"/>
    <w:rsid w:val="003B4A08"/>
    <w:rsid w:val="003B5EDD"/>
    <w:rsid w:val="003B68F0"/>
    <w:rsid w:val="003B6906"/>
    <w:rsid w:val="003B7862"/>
    <w:rsid w:val="003B7B62"/>
    <w:rsid w:val="003C12BB"/>
    <w:rsid w:val="003C1932"/>
    <w:rsid w:val="003C29F3"/>
    <w:rsid w:val="003C3331"/>
    <w:rsid w:val="003C384F"/>
    <w:rsid w:val="003C4224"/>
    <w:rsid w:val="003C437B"/>
    <w:rsid w:val="003C4CD4"/>
    <w:rsid w:val="003C6902"/>
    <w:rsid w:val="003C7456"/>
    <w:rsid w:val="003D0A9C"/>
    <w:rsid w:val="003D1E51"/>
    <w:rsid w:val="003D1F51"/>
    <w:rsid w:val="003D1FF6"/>
    <w:rsid w:val="003D26B4"/>
    <w:rsid w:val="003D27F6"/>
    <w:rsid w:val="003D2A49"/>
    <w:rsid w:val="003D2FB4"/>
    <w:rsid w:val="003D355B"/>
    <w:rsid w:val="003D3BB4"/>
    <w:rsid w:val="003D5110"/>
    <w:rsid w:val="003D5122"/>
    <w:rsid w:val="003D5E4D"/>
    <w:rsid w:val="003D5EBB"/>
    <w:rsid w:val="003D6655"/>
    <w:rsid w:val="003D7858"/>
    <w:rsid w:val="003D7F48"/>
    <w:rsid w:val="003D7F7E"/>
    <w:rsid w:val="003E09DA"/>
    <w:rsid w:val="003E11E6"/>
    <w:rsid w:val="003E1C2D"/>
    <w:rsid w:val="003E2865"/>
    <w:rsid w:val="003E3C40"/>
    <w:rsid w:val="003E3D3E"/>
    <w:rsid w:val="003E3F78"/>
    <w:rsid w:val="003E4A22"/>
    <w:rsid w:val="003E4F9D"/>
    <w:rsid w:val="003E767D"/>
    <w:rsid w:val="003F0C85"/>
    <w:rsid w:val="003F1414"/>
    <w:rsid w:val="003F14BF"/>
    <w:rsid w:val="003F2850"/>
    <w:rsid w:val="003F2D42"/>
    <w:rsid w:val="003F3628"/>
    <w:rsid w:val="003F3E63"/>
    <w:rsid w:val="003F4319"/>
    <w:rsid w:val="003F4C09"/>
    <w:rsid w:val="003F4CBA"/>
    <w:rsid w:val="003F4D45"/>
    <w:rsid w:val="003F5686"/>
    <w:rsid w:val="003F6D4E"/>
    <w:rsid w:val="003F6FB4"/>
    <w:rsid w:val="004006BC"/>
    <w:rsid w:val="00400CD1"/>
    <w:rsid w:val="00400F4C"/>
    <w:rsid w:val="00401515"/>
    <w:rsid w:val="004017D8"/>
    <w:rsid w:val="00402417"/>
    <w:rsid w:val="00402E2D"/>
    <w:rsid w:val="00402F73"/>
    <w:rsid w:val="0040301B"/>
    <w:rsid w:val="004037AA"/>
    <w:rsid w:val="0040384C"/>
    <w:rsid w:val="004038B5"/>
    <w:rsid w:val="00404BE2"/>
    <w:rsid w:val="00404C6C"/>
    <w:rsid w:val="00404DE6"/>
    <w:rsid w:val="0040792D"/>
    <w:rsid w:val="00407973"/>
    <w:rsid w:val="00410670"/>
    <w:rsid w:val="00411D4A"/>
    <w:rsid w:val="00412CA7"/>
    <w:rsid w:val="00414A42"/>
    <w:rsid w:val="00414D32"/>
    <w:rsid w:val="004159CA"/>
    <w:rsid w:val="00415C4B"/>
    <w:rsid w:val="004163C8"/>
    <w:rsid w:val="00416A44"/>
    <w:rsid w:val="00416FA1"/>
    <w:rsid w:val="0041718F"/>
    <w:rsid w:val="004178F9"/>
    <w:rsid w:val="00417B5A"/>
    <w:rsid w:val="00420B3A"/>
    <w:rsid w:val="004213C1"/>
    <w:rsid w:val="00421A41"/>
    <w:rsid w:val="00421A8D"/>
    <w:rsid w:val="00422446"/>
    <w:rsid w:val="00422A86"/>
    <w:rsid w:val="0042332C"/>
    <w:rsid w:val="004233D3"/>
    <w:rsid w:val="004242E7"/>
    <w:rsid w:val="004244FB"/>
    <w:rsid w:val="004247FD"/>
    <w:rsid w:val="0042579F"/>
    <w:rsid w:val="004259C5"/>
    <w:rsid w:val="00425B31"/>
    <w:rsid w:val="00425ED5"/>
    <w:rsid w:val="00426C25"/>
    <w:rsid w:val="004273DA"/>
    <w:rsid w:val="00427580"/>
    <w:rsid w:val="00427AE5"/>
    <w:rsid w:val="00427BE8"/>
    <w:rsid w:val="00427C2F"/>
    <w:rsid w:val="004302A5"/>
    <w:rsid w:val="00430B47"/>
    <w:rsid w:val="00430DF3"/>
    <w:rsid w:val="00431553"/>
    <w:rsid w:val="00431604"/>
    <w:rsid w:val="00431798"/>
    <w:rsid w:val="00431A76"/>
    <w:rsid w:val="004320B6"/>
    <w:rsid w:val="0043265B"/>
    <w:rsid w:val="00432ACF"/>
    <w:rsid w:val="00432D4B"/>
    <w:rsid w:val="00433632"/>
    <w:rsid w:val="004340B9"/>
    <w:rsid w:val="00434C53"/>
    <w:rsid w:val="004354BE"/>
    <w:rsid w:val="004357EB"/>
    <w:rsid w:val="00436D92"/>
    <w:rsid w:val="00440143"/>
    <w:rsid w:val="004401B2"/>
    <w:rsid w:val="00440E89"/>
    <w:rsid w:val="0044101D"/>
    <w:rsid w:val="00442753"/>
    <w:rsid w:val="0044294E"/>
    <w:rsid w:val="00444468"/>
    <w:rsid w:val="00444545"/>
    <w:rsid w:val="0044495D"/>
    <w:rsid w:val="00444AB8"/>
    <w:rsid w:val="00445076"/>
    <w:rsid w:val="00445652"/>
    <w:rsid w:val="00445C8F"/>
    <w:rsid w:val="00446786"/>
    <w:rsid w:val="00447BBF"/>
    <w:rsid w:val="00450A74"/>
    <w:rsid w:val="00450C14"/>
    <w:rsid w:val="00450EDF"/>
    <w:rsid w:val="00450F26"/>
    <w:rsid w:val="00452044"/>
    <w:rsid w:val="0045226A"/>
    <w:rsid w:val="004525A5"/>
    <w:rsid w:val="00452D3C"/>
    <w:rsid w:val="00452FE4"/>
    <w:rsid w:val="00453EE0"/>
    <w:rsid w:val="00454611"/>
    <w:rsid w:val="0045470E"/>
    <w:rsid w:val="00454872"/>
    <w:rsid w:val="00454BF9"/>
    <w:rsid w:val="00454F84"/>
    <w:rsid w:val="0045543A"/>
    <w:rsid w:val="00455A9A"/>
    <w:rsid w:val="0045638D"/>
    <w:rsid w:val="00457613"/>
    <w:rsid w:val="00457632"/>
    <w:rsid w:val="00457926"/>
    <w:rsid w:val="00460001"/>
    <w:rsid w:val="00460234"/>
    <w:rsid w:val="00460FCA"/>
    <w:rsid w:val="0046385A"/>
    <w:rsid w:val="00464F70"/>
    <w:rsid w:val="00464F78"/>
    <w:rsid w:val="00465D50"/>
    <w:rsid w:val="00466E9F"/>
    <w:rsid w:val="004670AF"/>
    <w:rsid w:val="004672D6"/>
    <w:rsid w:val="00470A9C"/>
    <w:rsid w:val="00470B9B"/>
    <w:rsid w:val="00470D90"/>
    <w:rsid w:val="00471019"/>
    <w:rsid w:val="004717D5"/>
    <w:rsid w:val="00471CB5"/>
    <w:rsid w:val="0047255B"/>
    <w:rsid w:val="004742C8"/>
    <w:rsid w:val="00474978"/>
    <w:rsid w:val="00474B25"/>
    <w:rsid w:val="00477AAF"/>
    <w:rsid w:val="00477CD4"/>
    <w:rsid w:val="00480C34"/>
    <w:rsid w:val="004814EC"/>
    <w:rsid w:val="004829C0"/>
    <w:rsid w:val="00483950"/>
    <w:rsid w:val="004862E0"/>
    <w:rsid w:val="004864EE"/>
    <w:rsid w:val="00490820"/>
    <w:rsid w:val="00490A2D"/>
    <w:rsid w:val="0049161F"/>
    <w:rsid w:val="0049207B"/>
    <w:rsid w:val="0049211C"/>
    <w:rsid w:val="004921D8"/>
    <w:rsid w:val="0049337B"/>
    <w:rsid w:val="00493A4E"/>
    <w:rsid w:val="00493A8B"/>
    <w:rsid w:val="0049477C"/>
    <w:rsid w:val="004950CD"/>
    <w:rsid w:val="0049512D"/>
    <w:rsid w:val="004952F5"/>
    <w:rsid w:val="00495BBE"/>
    <w:rsid w:val="00495DB4"/>
    <w:rsid w:val="0049611B"/>
    <w:rsid w:val="004968D8"/>
    <w:rsid w:val="00496BDA"/>
    <w:rsid w:val="0049714A"/>
    <w:rsid w:val="004A0038"/>
    <w:rsid w:val="004A05B2"/>
    <w:rsid w:val="004A0858"/>
    <w:rsid w:val="004A1E02"/>
    <w:rsid w:val="004A1EDA"/>
    <w:rsid w:val="004A2ABA"/>
    <w:rsid w:val="004A2B9F"/>
    <w:rsid w:val="004A2D58"/>
    <w:rsid w:val="004A369D"/>
    <w:rsid w:val="004A4885"/>
    <w:rsid w:val="004A4A11"/>
    <w:rsid w:val="004A6512"/>
    <w:rsid w:val="004A7ADA"/>
    <w:rsid w:val="004A7E04"/>
    <w:rsid w:val="004A7F82"/>
    <w:rsid w:val="004B01FA"/>
    <w:rsid w:val="004B0985"/>
    <w:rsid w:val="004B125A"/>
    <w:rsid w:val="004B12C2"/>
    <w:rsid w:val="004B1DDC"/>
    <w:rsid w:val="004B212A"/>
    <w:rsid w:val="004B2921"/>
    <w:rsid w:val="004B369E"/>
    <w:rsid w:val="004B3D1D"/>
    <w:rsid w:val="004B3F07"/>
    <w:rsid w:val="004B4B2A"/>
    <w:rsid w:val="004B4D5B"/>
    <w:rsid w:val="004B53F1"/>
    <w:rsid w:val="004B6786"/>
    <w:rsid w:val="004B6A68"/>
    <w:rsid w:val="004B7294"/>
    <w:rsid w:val="004B74F4"/>
    <w:rsid w:val="004B76A5"/>
    <w:rsid w:val="004B7939"/>
    <w:rsid w:val="004B7CB4"/>
    <w:rsid w:val="004C0E64"/>
    <w:rsid w:val="004C0F94"/>
    <w:rsid w:val="004C15DE"/>
    <w:rsid w:val="004C1794"/>
    <w:rsid w:val="004C2013"/>
    <w:rsid w:val="004C312A"/>
    <w:rsid w:val="004C4BD0"/>
    <w:rsid w:val="004C51C8"/>
    <w:rsid w:val="004C55C2"/>
    <w:rsid w:val="004C56E7"/>
    <w:rsid w:val="004C58E7"/>
    <w:rsid w:val="004C6761"/>
    <w:rsid w:val="004C6C04"/>
    <w:rsid w:val="004C76AE"/>
    <w:rsid w:val="004D028A"/>
    <w:rsid w:val="004D1419"/>
    <w:rsid w:val="004D1BE9"/>
    <w:rsid w:val="004D2529"/>
    <w:rsid w:val="004D256D"/>
    <w:rsid w:val="004D389F"/>
    <w:rsid w:val="004D4995"/>
    <w:rsid w:val="004D567A"/>
    <w:rsid w:val="004D570A"/>
    <w:rsid w:val="004D5998"/>
    <w:rsid w:val="004D5D02"/>
    <w:rsid w:val="004D6B46"/>
    <w:rsid w:val="004D7354"/>
    <w:rsid w:val="004D75D0"/>
    <w:rsid w:val="004D7FD4"/>
    <w:rsid w:val="004E0B61"/>
    <w:rsid w:val="004E2610"/>
    <w:rsid w:val="004E2CC5"/>
    <w:rsid w:val="004E354B"/>
    <w:rsid w:val="004E3839"/>
    <w:rsid w:val="004E3D79"/>
    <w:rsid w:val="004E3F44"/>
    <w:rsid w:val="004E41F4"/>
    <w:rsid w:val="004E4F13"/>
    <w:rsid w:val="004E5213"/>
    <w:rsid w:val="004E5AE9"/>
    <w:rsid w:val="004E6C32"/>
    <w:rsid w:val="004E747B"/>
    <w:rsid w:val="004E74D3"/>
    <w:rsid w:val="004E7E81"/>
    <w:rsid w:val="004F011B"/>
    <w:rsid w:val="004F0400"/>
    <w:rsid w:val="004F0497"/>
    <w:rsid w:val="004F16F6"/>
    <w:rsid w:val="004F1C7F"/>
    <w:rsid w:val="004F1E9F"/>
    <w:rsid w:val="004F2204"/>
    <w:rsid w:val="004F2E4B"/>
    <w:rsid w:val="004F329A"/>
    <w:rsid w:val="004F3774"/>
    <w:rsid w:val="004F4168"/>
    <w:rsid w:val="004F449D"/>
    <w:rsid w:val="004F4EEB"/>
    <w:rsid w:val="004F5681"/>
    <w:rsid w:val="004F5FCF"/>
    <w:rsid w:val="004F721B"/>
    <w:rsid w:val="004F73D2"/>
    <w:rsid w:val="004F7636"/>
    <w:rsid w:val="004F7663"/>
    <w:rsid w:val="004F76FB"/>
    <w:rsid w:val="004F7BE4"/>
    <w:rsid w:val="00500EF7"/>
    <w:rsid w:val="005017D7"/>
    <w:rsid w:val="00501C8F"/>
    <w:rsid w:val="00502DB0"/>
    <w:rsid w:val="00502E4C"/>
    <w:rsid w:val="00503218"/>
    <w:rsid w:val="005038BC"/>
    <w:rsid w:val="00504469"/>
    <w:rsid w:val="0050490A"/>
    <w:rsid w:val="005055D0"/>
    <w:rsid w:val="00505B49"/>
    <w:rsid w:val="00506908"/>
    <w:rsid w:val="0050698E"/>
    <w:rsid w:val="005069A4"/>
    <w:rsid w:val="00506BD9"/>
    <w:rsid w:val="005114C5"/>
    <w:rsid w:val="005116DD"/>
    <w:rsid w:val="00511A67"/>
    <w:rsid w:val="00511C08"/>
    <w:rsid w:val="00511DB6"/>
    <w:rsid w:val="00512638"/>
    <w:rsid w:val="005127B2"/>
    <w:rsid w:val="00512CD3"/>
    <w:rsid w:val="005137E3"/>
    <w:rsid w:val="00513C48"/>
    <w:rsid w:val="00514564"/>
    <w:rsid w:val="00514E23"/>
    <w:rsid w:val="0051636E"/>
    <w:rsid w:val="005166E0"/>
    <w:rsid w:val="00520022"/>
    <w:rsid w:val="00520E52"/>
    <w:rsid w:val="00521905"/>
    <w:rsid w:val="005226BE"/>
    <w:rsid w:val="005229C7"/>
    <w:rsid w:val="005235B9"/>
    <w:rsid w:val="0052374D"/>
    <w:rsid w:val="005239FB"/>
    <w:rsid w:val="00523D3C"/>
    <w:rsid w:val="00523EAB"/>
    <w:rsid w:val="00524C7A"/>
    <w:rsid w:val="00525195"/>
    <w:rsid w:val="00525A7E"/>
    <w:rsid w:val="00525B08"/>
    <w:rsid w:val="00525D73"/>
    <w:rsid w:val="005266F1"/>
    <w:rsid w:val="00526C8B"/>
    <w:rsid w:val="00527C56"/>
    <w:rsid w:val="00527D3D"/>
    <w:rsid w:val="0053037F"/>
    <w:rsid w:val="005309EB"/>
    <w:rsid w:val="005312EB"/>
    <w:rsid w:val="005315A1"/>
    <w:rsid w:val="0053166B"/>
    <w:rsid w:val="005323C2"/>
    <w:rsid w:val="00532414"/>
    <w:rsid w:val="005324E9"/>
    <w:rsid w:val="0053256C"/>
    <w:rsid w:val="00532A58"/>
    <w:rsid w:val="00532CE6"/>
    <w:rsid w:val="005330A3"/>
    <w:rsid w:val="005330C1"/>
    <w:rsid w:val="005338F2"/>
    <w:rsid w:val="005339CF"/>
    <w:rsid w:val="00533C54"/>
    <w:rsid w:val="0053436F"/>
    <w:rsid w:val="00534659"/>
    <w:rsid w:val="00535170"/>
    <w:rsid w:val="00535978"/>
    <w:rsid w:val="0053692B"/>
    <w:rsid w:val="00537713"/>
    <w:rsid w:val="0054004B"/>
    <w:rsid w:val="00540777"/>
    <w:rsid w:val="00540BF1"/>
    <w:rsid w:val="005410AF"/>
    <w:rsid w:val="0054191C"/>
    <w:rsid w:val="005429B1"/>
    <w:rsid w:val="0054303C"/>
    <w:rsid w:val="00543315"/>
    <w:rsid w:val="00543567"/>
    <w:rsid w:val="00544674"/>
    <w:rsid w:val="00544999"/>
    <w:rsid w:val="00544A7C"/>
    <w:rsid w:val="00544B0A"/>
    <w:rsid w:val="00544F94"/>
    <w:rsid w:val="0054639F"/>
    <w:rsid w:val="00546BB6"/>
    <w:rsid w:val="00546FC7"/>
    <w:rsid w:val="00547056"/>
    <w:rsid w:val="0054711B"/>
    <w:rsid w:val="00550AA7"/>
    <w:rsid w:val="00550B59"/>
    <w:rsid w:val="00551E1D"/>
    <w:rsid w:val="00552739"/>
    <w:rsid w:val="00553C65"/>
    <w:rsid w:val="00553CAF"/>
    <w:rsid w:val="00553DDF"/>
    <w:rsid w:val="00554626"/>
    <w:rsid w:val="005546EC"/>
    <w:rsid w:val="00557AF0"/>
    <w:rsid w:val="00557D76"/>
    <w:rsid w:val="00561803"/>
    <w:rsid w:val="00563AF9"/>
    <w:rsid w:val="00564F09"/>
    <w:rsid w:val="005655BB"/>
    <w:rsid w:val="005655E3"/>
    <w:rsid w:val="00566160"/>
    <w:rsid w:val="00566450"/>
    <w:rsid w:val="00566D5D"/>
    <w:rsid w:val="00567696"/>
    <w:rsid w:val="00567C64"/>
    <w:rsid w:val="00567D51"/>
    <w:rsid w:val="00570AC6"/>
    <w:rsid w:val="005711E6"/>
    <w:rsid w:val="00571BDB"/>
    <w:rsid w:val="0057202A"/>
    <w:rsid w:val="005729F6"/>
    <w:rsid w:val="00573B2E"/>
    <w:rsid w:val="00574631"/>
    <w:rsid w:val="00574CBD"/>
    <w:rsid w:val="00575A74"/>
    <w:rsid w:val="00575FF5"/>
    <w:rsid w:val="005761D5"/>
    <w:rsid w:val="00576415"/>
    <w:rsid w:val="0057681D"/>
    <w:rsid w:val="005769E7"/>
    <w:rsid w:val="0058175D"/>
    <w:rsid w:val="00581E36"/>
    <w:rsid w:val="00581F1E"/>
    <w:rsid w:val="00582554"/>
    <w:rsid w:val="0058260C"/>
    <w:rsid w:val="00583B16"/>
    <w:rsid w:val="005843D9"/>
    <w:rsid w:val="00584861"/>
    <w:rsid w:val="005849A8"/>
    <w:rsid w:val="00585F05"/>
    <w:rsid w:val="00585F43"/>
    <w:rsid w:val="005865DE"/>
    <w:rsid w:val="00586ED5"/>
    <w:rsid w:val="005873A1"/>
    <w:rsid w:val="00587782"/>
    <w:rsid w:val="00590696"/>
    <w:rsid w:val="00590A16"/>
    <w:rsid w:val="00592259"/>
    <w:rsid w:val="00592336"/>
    <w:rsid w:val="00592666"/>
    <w:rsid w:val="005937E4"/>
    <w:rsid w:val="00593961"/>
    <w:rsid w:val="005939C1"/>
    <w:rsid w:val="00594D46"/>
    <w:rsid w:val="00594E1F"/>
    <w:rsid w:val="0059521B"/>
    <w:rsid w:val="0059692A"/>
    <w:rsid w:val="00596BF5"/>
    <w:rsid w:val="00597F45"/>
    <w:rsid w:val="005A011B"/>
    <w:rsid w:val="005A15AC"/>
    <w:rsid w:val="005A1D18"/>
    <w:rsid w:val="005A21A1"/>
    <w:rsid w:val="005A33DF"/>
    <w:rsid w:val="005A34DF"/>
    <w:rsid w:val="005A414A"/>
    <w:rsid w:val="005A42D9"/>
    <w:rsid w:val="005A4AD2"/>
    <w:rsid w:val="005A4F5C"/>
    <w:rsid w:val="005A6201"/>
    <w:rsid w:val="005A6AE9"/>
    <w:rsid w:val="005A7F88"/>
    <w:rsid w:val="005B0A19"/>
    <w:rsid w:val="005B1703"/>
    <w:rsid w:val="005B18DA"/>
    <w:rsid w:val="005B1CA5"/>
    <w:rsid w:val="005B2843"/>
    <w:rsid w:val="005B3005"/>
    <w:rsid w:val="005B376F"/>
    <w:rsid w:val="005B4C34"/>
    <w:rsid w:val="005B4FC0"/>
    <w:rsid w:val="005B5506"/>
    <w:rsid w:val="005B6E86"/>
    <w:rsid w:val="005B71B4"/>
    <w:rsid w:val="005B793F"/>
    <w:rsid w:val="005C08DA"/>
    <w:rsid w:val="005C16EC"/>
    <w:rsid w:val="005C2B57"/>
    <w:rsid w:val="005C3016"/>
    <w:rsid w:val="005C334F"/>
    <w:rsid w:val="005C36E7"/>
    <w:rsid w:val="005C47B8"/>
    <w:rsid w:val="005C4B37"/>
    <w:rsid w:val="005C6DE3"/>
    <w:rsid w:val="005C6E86"/>
    <w:rsid w:val="005C70DE"/>
    <w:rsid w:val="005C7503"/>
    <w:rsid w:val="005C7B6A"/>
    <w:rsid w:val="005C7EED"/>
    <w:rsid w:val="005C7FA6"/>
    <w:rsid w:val="005C7FE2"/>
    <w:rsid w:val="005D05C8"/>
    <w:rsid w:val="005D0A5E"/>
    <w:rsid w:val="005D1618"/>
    <w:rsid w:val="005D1687"/>
    <w:rsid w:val="005D1D76"/>
    <w:rsid w:val="005D327E"/>
    <w:rsid w:val="005D350B"/>
    <w:rsid w:val="005D3B13"/>
    <w:rsid w:val="005D547E"/>
    <w:rsid w:val="005D5510"/>
    <w:rsid w:val="005D649E"/>
    <w:rsid w:val="005D7CA9"/>
    <w:rsid w:val="005D7E14"/>
    <w:rsid w:val="005D7FE8"/>
    <w:rsid w:val="005E0361"/>
    <w:rsid w:val="005E26A8"/>
    <w:rsid w:val="005E2C40"/>
    <w:rsid w:val="005E2EAC"/>
    <w:rsid w:val="005E3992"/>
    <w:rsid w:val="005E3B5F"/>
    <w:rsid w:val="005E482E"/>
    <w:rsid w:val="005E4A44"/>
    <w:rsid w:val="005E547E"/>
    <w:rsid w:val="005E631C"/>
    <w:rsid w:val="005E6A05"/>
    <w:rsid w:val="005E75AA"/>
    <w:rsid w:val="005F02C0"/>
    <w:rsid w:val="005F1625"/>
    <w:rsid w:val="005F1BD8"/>
    <w:rsid w:val="005F1F69"/>
    <w:rsid w:val="005F23AD"/>
    <w:rsid w:val="005F36A1"/>
    <w:rsid w:val="005F4266"/>
    <w:rsid w:val="005F4426"/>
    <w:rsid w:val="005F457D"/>
    <w:rsid w:val="005F4CF5"/>
    <w:rsid w:val="005F5FBF"/>
    <w:rsid w:val="005F5FE7"/>
    <w:rsid w:val="005F66DE"/>
    <w:rsid w:val="005F699B"/>
    <w:rsid w:val="005F7A50"/>
    <w:rsid w:val="0060087C"/>
    <w:rsid w:val="00600B08"/>
    <w:rsid w:val="00600EEB"/>
    <w:rsid w:val="00600F3C"/>
    <w:rsid w:val="00600FC5"/>
    <w:rsid w:val="006014CE"/>
    <w:rsid w:val="00601779"/>
    <w:rsid w:val="0060177F"/>
    <w:rsid w:val="006026C4"/>
    <w:rsid w:val="00602CC2"/>
    <w:rsid w:val="0060327D"/>
    <w:rsid w:val="006037B8"/>
    <w:rsid w:val="00603DC9"/>
    <w:rsid w:val="00604729"/>
    <w:rsid w:val="006050B2"/>
    <w:rsid w:val="006056AF"/>
    <w:rsid w:val="0060570E"/>
    <w:rsid w:val="00606674"/>
    <w:rsid w:val="00606D41"/>
    <w:rsid w:val="00607141"/>
    <w:rsid w:val="00607F72"/>
    <w:rsid w:val="00611F46"/>
    <w:rsid w:val="00612506"/>
    <w:rsid w:val="006132CB"/>
    <w:rsid w:val="00613F71"/>
    <w:rsid w:val="006142C3"/>
    <w:rsid w:val="006151E8"/>
    <w:rsid w:val="006166C2"/>
    <w:rsid w:val="00617E98"/>
    <w:rsid w:val="0062112A"/>
    <w:rsid w:val="00622B9A"/>
    <w:rsid w:val="00622BBD"/>
    <w:rsid w:val="00622D03"/>
    <w:rsid w:val="006238DF"/>
    <w:rsid w:val="00624B23"/>
    <w:rsid w:val="00625ED7"/>
    <w:rsid w:val="00625EE9"/>
    <w:rsid w:val="00626554"/>
    <w:rsid w:val="00627705"/>
    <w:rsid w:val="00631602"/>
    <w:rsid w:val="00631D69"/>
    <w:rsid w:val="0063277C"/>
    <w:rsid w:val="006327A9"/>
    <w:rsid w:val="00633D4D"/>
    <w:rsid w:val="00633E65"/>
    <w:rsid w:val="006344BF"/>
    <w:rsid w:val="0063458E"/>
    <w:rsid w:val="00636030"/>
    <w:rsid w:val="00636113"/>
    <w:rsid w:val="0063637F"/>
    <w:rsid w:val="006364CB"/>
    <w:rsid w:val="00636AF5"/>
    <w:rsid w:val="006376BF"/>
    <w:rsid w:val="006378B9"/>
    <w:rsid w:val="00642660"/>
    <w:rsid w:val="0064367A"/>
    <w:rsid w:val="00644547"/>
    <w:rsid w:val="0064533A"/>
    <w:rsid w:val="006454C2"/>
    <w:rsid w:val="006461D5"/>
    <w:rsid w:val="006462E3"/>
    <w:rsid w:val="00646448"/>
    <w:rsid w:val="00647A1E"/>
    <w:rsid w:val="00650DE4"/>
    <w:rsid w:val="0065152C"/>
    <w:rsid w:val="0065231E"/>
    <w:rsid w:val="006524AF"/>
    <w:rsid w:val="00654AAE"/>
    <w:rsid w:val="00655389"/>
    <w:rsid w:val="00655EDF"/>
    <w:rsid w:val="00656139"/>
    <w:rsid w:val="00656F47"/>
    <w:rsid w:val="00660FFE"/>
    <w:rsid w:val="00661224"/>
    <w:rsid w:val="00662604"/>
    <w:rsid w:val="00662D2E"/>
    <w:rsid w:val="00663501"/>
    <w:rsid w:val="00663858"/>
    <w:rsid w:val="006643FC"/>
    <w:rsid w:val="00664731"/>
    <w:rsid w:val="00664B85"/>
    <w:rsid w:val="006662E0"/>
    <w:rsid w:val="0066788B"/>
    <w:rsid w:val="006704A9"/>
    <w:rsid w:val="006706C9"/>
    <w:rsid w:val="006707A6"/>
    <w:rsid w:val="00670812"/>
    <w:rsid w:val="00670A47"/>
    <w:rsid w:val="00670B0A"/>
    <w:rsid w:val="00670B77"/>
    <w:rsid w:val="006722F8"/>
    <w:rsid w:val="00672B5D"/>
    <w:rsid w:val="00672BAD"/>
    <w:rsid w:val="00674B21"/>
    <w:rsid w:val="00674E8E"/>
    <w:rsid w:val="006750BC"/>
    <w:rsid w:val="00676672"/>
    <w:rsid w:val="0067679F"/>
    <w:rsid w:val="0067701E"/>
    <w:rsid w:val="006811AB"/>
    <w:rsid w:val="00681836"/>
    <w:rsid w:val="00681F3B"/>
    <w:rsid w:val="00682AC4"/>
    <w:rsid w:val="00682E4F"/>
    <w:rsid w:val="00682F94"/>
    <w:rsid w:val="00683569"/>
    <w:rsid w:val="00683CFA"/>
    <w:rsid w:val="00684172"/>
    <w:rsid w:val="00685132"/>
    <w:rsid w:val="006854E9"/>
    <w:rsid w:val="0068623E"/>
    <w:rsid w:val="0068650C"/>
    <w:rsid w:val="00686CA8"/>
    <w:rsid w:val="006878A4"/>
    <w:rsid w:val="00690689"/>
    <w:rsid w:val="00691985"/>
    <w:rsid w:val="0069234E"/>
    <w:rsid w:val="00692D89"/>
    <w:rsid w:val="00692E56"/>
    <w:rsid w:val="00693AD3"/>
    <w:rsid w:val="006941BE"/>
    <w:rsid w:val="00694697"/>
    <w:rsid w:val="0069588D"/>
    <w:rsid w:val="00695AE2"/>
    <w:rsid w:val="00695AE9"/>
    <w:rsid w:val="006968D2"/>
    <w:rsid w:val="006977D8"/>
    <w:rsid w:val="00697961"/>
    <w:rsid w:val="006A0820"/>
    <w:rsid w:val="006A0F52"/>
    <w:rsid w:val="006A0FEE"/>
    <w:rsid w:val="006A1839"/>
    <w:rsid w:val="006A1EA0"/>
    <w:rsid w:val="006A2925"/>
    <w:rsid w:val="006A2D98"/>
    <w:rsid w:val="006A5A51"/>
    <w:rsid w:val="006A5C63"/>
    <w:rsid w:val="006A5F5C"/>
    <w:rsid w:val="006A659C"/>
    <w:rsid w:val="006A6C4D"/>
    <w:rsid w:val="006A6EBA"/>
    <w:rsid w:val="006A73CB"/>
    <w:rsid w:val="006A7484"/>
    <w:rsid w:val="006A7840"/>
    <w:rsid w:val="006A7AEB"/>
    <w:rsid w:val="006B18F0"/>
    <w:rsid w:val="006B25C3"/>
    <w:rsid w:val="006B3A65"/>
    <w:rsid w:val="006B4399"/>
    <w:rsid w:val="006B4631"/>
    <w:rsid w:val="006B4D5D"/>
    <w:rsid w:val="006B513F"/>
    <w:rsid w:val="006B5BDB"/>
    <w:rsid w:val="006B5C37"/>
    <w:rsid w:val="006B5D41"/>
    <w:rsid w:val="006B637E"/>
    <w:rsid w:val="006B639F"/>
    <w:rsid w:val="006B6A3D"/>
    <w:rsid w:val="006B776D"/>
    <w:rsid w:val="006B7911"/>
    <w:rsid w:val="006B7A1A"/>
    <w:rsid w:val="006C0E36"/>
    <w:rsid w:val="006C0E38"/>
    <w:rsid w:val="006C1365"/>
    <w:rsid w:val="006C1A8B"/>
    <w:rsid w:val="006C1BC1"/>
    <w:rsid w:val="006C1C9D"/>
    <w:rsid w:val="006C1FAC"/>
    <w:rsid w:val="006C2770"/>
    <w:rsid w:val="006C3311"/>
    <w:rsid w:val="006C4E37"/>
    <w:rsid w:val="006C531B"/>
    <w:rsid w:val="006C554B"/>
    <w:rsid w:val="006C57C7"/>
    <w:rsid w:val="006C5D05"/>
    <w:rsid w:val="006C6066"/>
    <w:rsid w:val="006C6828"/>
    <w:rsid w:val="006C7205"/>
    <w:rsid w:val="006C73B5"/>
    <w:rsid w:val="006C7824"/>
    <w:rsid w:val="006D0416"/>
    <w:rsid w:val="006D0583"/>
    <w:rsid w:val="006D058F"/>
    <w:rsid w:val="006D05A1"/>
    <w:rsid w:val="006D19B3"/>
    <w:rsid w:val="006D4244"/>
    <w:rsid w:val="006D466B"/>
    <w:rsid w:val="006D5301"/>
    <w:rsid w:val="006D5FF3"/>
    <w:rsid w:val="006D6223"/>
    <w:rsid w:val="006E0003"/>
    <w:rsid w:val="006E1200"/>
    <w:rsid w:val="006E207F"/>
    <w:rsid w:val="006E24A8"/>
    <w:rsid w:val="006E2896"/>
    <w:rsid w:val="006E30B2"/>
    <w:rsid w:val="006E31D5"/>
    <w:rsid w:val="006E33A2"/>
    <w:rsid w:val="006E3514"/>
    <w:rsid w:val="006E39E8"/>
    <w:rsid w:val="006E3B29"/>
    <w:rsid w:val="006E446F"/>
    <w:rsid w:val="006E4D80"/>
    <w:rsid w:val="006E537C"/>
    <w:rsid w:val="006E5D22"/>
    <w:rsid w:val="006F053F"/>
    <w:rsid w:val="006F08BD"/>
    <w:rsid w:val="006F0B9D"/>
    <w:rsid w:val="006F10AE"/>
    <w:rsid w:val="006F2D47"/>
    <w:rsid w:val="006F2DBB"/>
    <w:rsid w:val="006F2F4A"/>
    <w:rsid w:val="006F420F"/>
    <w:rsid w:val="006F4C60"/>
    <w:rsid w:val="006F55CC"/>
    <w:rsid w:val="006F58DB"/>
    <w:rsid w:val="006F6D17"/>
    <w:rsid w:val="006F6EF3"/>
    <w:rsid w:val="006F6F39"/>
    <w:rsid w:val="006F7FE7"/>
    <w:rsid w:val="0070157C"/>
    <w:rsid w:val="007025C9"/>
    <w:rsid w:val="007029D5"/>
    <w:rsid w:val="00703256"/>
    <w:rsid w:val="0070429F"/>
    <w:rsid w:val="0070435E"/>
    <w:rsid w:val="00704B2E"/>
    <w:rsid w:val="0070563C"/>
    <w:rsid w:val="00706B6C"/>
    <w:rsid w:val="00706BDA"/>
    <w:rsid w:val="00707940"/>
    <w:rsid w:val="007100F0"/>
    <w:rsid w:val="00710510"/>
    <w:rsid w:val="0071073C"/>
    <w:rsid w:val="007107BF"/>
    <w:rsid w:val="00711BE3"/>
    <w:rsid w:val="00711F07"/>
    <w:rsid w:val="00712AE8"/>
    <w:rsid w:val="00713FAB"/>
    <w:rsid w:val="007140AA"/>
    <w:rsid w:val="0071458E"/>
    <w:rsid w:val="007151E6"/>
    <w:rsid w:val="00715764"/>
    <w:rsid w:val="007162D3"/>
    <w:rsid w:val="00716A16"/>
    <w:rsid w:val="0071714C"/>
    <w:rsid w:val="00717BA4"/>
    <w:rsid w:val="00717CB9"/>
    <w:rsid w:val="0072049F"/>
    <w:rsid w:val="0072093B"/>
    <w:rsid w:val="00720AA3"/>
    <w:rsid w:val="00720CEF"/>
    <w:rsid w:val="00721DEC"/>
    <w:rsid w:val="0072227E"/>
    <w:rsid w:val="00722418"/>
    <w:rsid w:val="00722472"/>
    <w:rsid w:val="007228BF"/>
    <w:rsid w:val="00722C3A"/>
    <w:rsid w:val="007236B6"/>
    <w:rsid w:val="007247C8"/>
    <w:rsid w:val="00725912"/>
    <w:rsid w:val="00726423"/>
    <w:rsid w:val="0072667E"/>
    <w:rsid w:val="00726AEF"/>
    <w:rsid w:val="00726CBA"/>
    <w:rsid w:val="00727723"/>
    <w:rsid w:val="00727BFB"/>
    <w:rsid w:val="007312CF"/>
    <w:rsid w:val="00731BAB"/>
    <w:rsid w:val="00731C5C"/>
    <w:rsid w:val="007332E3"/>
    <w:rsid w:val="00733B10"/>
    <w:rsid w:val="0073516E"/>
    <w:rsid w:val="007354E9"/>
    <w:rsid w:val="0073562B"/>
    <w:rsid w:val="00735ECF"/>
    <w:rsid w:val="007363C1"/>
    <w:rsid w:val="00736500"/>
    <w:rsid w:val="007379E4"/>
    <w:rsid w:val="00737FE0"/>
    <w:rsid w:val="0074044C"/>
    <w:rsid w:val="0074074E"/>
    <w:rsid w:val="0074158E"/>
    <w:rsid w:val="007415C7"/>
    <w:rsid w:val="0074193C"/>
    <w:rsid w:val="00741BD5"/>
    <w:rsid w:val="007421DF"/>
    <w:rsid w:val="0074254E"/>
    <w:rsid w:val="00742697"/>
    <w:rsid w:val="00742941"/>
    <w:rsid w:val="00742BA7"/>
    <w:rsid w:val="0074335A"/>
    <w:rsid w:val="0074376A"/>
    <w:rsid w:val="0074404C"/>
    <w:rsid w:val="00745144"/>
    <w:rsid w:val="00745BF6"/>
    <w:rsid w:val="00746BF5"/>
    <w:rsid w:val="00751551"/>
    <w:rsid w:val="00752C6A"/>
    <w:rsid w:val="0075328C"/>
    <w:rsid w:val="007532C9"/>
    <w:rsid w:val="007538C6"/>
    <w:rsid w:val="00753E84"/>
    <w:rsid w:val="0075576D"/>
    <w:rsid w:val="007557B4"/>
    <w:rsid w:val="00756227"/>
    <w:rsid w:val="007573F9"/>
    <w:rsid w:val="00757469"/>
    <w:rsid w:val="0075770F"/>
    <w:rsid w:val="00757954"/>
    <w:rsid w:val="00757E55"/>
    <w:rsid w:val="007610D5"/>
    <w:rsid w:val="00761292"/>
    <w:rsid w:val="00761922"/>
    <w:rsid w:val="00762C76"/>
    <w:rsid w:val="00762F14"/>
    <w:rsid w:val="007636A5"/>
    <w:rsid w:val="007638D9"/>
    <w:rsid w:val="00765970"/>
    <w:rsid w:val="00765C76"/>
    <w:rsid w:val="00766449"/>
    <w:rsid w:val="007664AF"/>
    <w:rsid w:val="007672EB"/>
    <w:rsid w:val="00770946"/>
    <w:rsid w:val="00770ED3"/>
    <w:rsid w:val="00771B76"/>
    <w:rsid w:val="00772460"/>
    <w:rsid w:val="00772867"/>
    <w:rsid w:val="00773C4D"/>
    <w:rsid w:val="00774490"/>
    <w:rsid w:val="007757F1"/>
    <w:rsid w:val="0077619D"/>
    <w:rsid w:val="00776240"/>
    <w:rsid w:val="00777F26"/>
    <w:rsid w:val="00777F33"/>
    <w:rsid w:val="0078182E"/>
    <w:rsid w:val="00782C59"/>
    <w:rsid w:val="0078326F"/>
    <w:rsid w:val="007835DB"/>
    <w:rsid w:val="00783732"/>
    <w:rsid w:val="007839D8"/>
    <w:rsid w:val="00783C9B"/>
    <w:rsid w:val="00784C48"/>
    <w:rsid w:val="00785779"/>
    <w:rsid w:val="007859C0"/>
    <w:rsid w:val="00786019"/>
    <w:rsid w:val="00787A83"/>
    <w:rsid w:val="00792292"/>
    <w:rsid w:val="00792912"/>
    <w:rsid w:val="00793166"/>
    <w:rsid w:val="00793824"/>
    <w:rsid w:val="00793D87"/>
    <w:rsid w:val="00794C8E"/>
    <w:rsid w:val="00795511"/>
    <w:rsid w:val="0079591C"/>
    <w:rsid w:val="00797EE4"/>
    <w:rsid w:val="007A0778"/>
    <w:rsid w:val="007A1062"/>
    <w:rsid w:val="007A2A61"/>
    <w:rsid w:val="007A3582"/>
    <w:rsid w:val="007A35D0"/>
    <w:rsid w:val="007A4002"/>
    <w:rsid w:val="007A473A"/>
    <w:rsid w:val="007A4774"/>
    <w:rsid w:val="007A6B93"/>
    <w:rsid w:val="007A6C63"/>
    <w:rsid w:val="007A6C9B"/>
    <w:rsid w:val="007A722F"/>
    <w:rsid w:val="007A7EC0"/>
    <w:rsid w:val="007B152E"/>
    <w:rsid w:val="007B154F"/>
    <w:rsid w:val="007B15FC"/>
    <w:rsid w:val="007B247A"/>
    <w:rsid w:val="007B24D7"/>
    <w:rsid w:val="007B2D3F"/>
    <w:rsid w:val="007B3B5F"/>
    <w:rsid w:val="007B3C6E"/>
    <w:rsid w:val="007B47F6"/>
    <w:rsid w:val="007B4C68"/>
    <w:rsid w:val="007B52D0"/>
    <w:rsid w:val="007B58FE"/>
    <w:rsid w:val="007B5B8E"/>
    <w:rsid w:val="007B6383"/>
    <w:rsid w:val="007B644C"/>
    <w:rsid w:val="007B650E"/>
    <w:rsid w:val="007B6655"/>
    <w:rsid w:val="007B7518"/>
    <w:rsid w:val="007C0649"/>
    <w:rsid w:val="007C15E9"/>
    <w:rsid w:val="007C3C1C"/>
    <w:rsid w:val="007C417B"/>
    <w:rsid w:val="007C4857"/>
    <w:rsid w:val="007C5CCC"/>
    <w:rsid w:val="007C5FD7"/>
    <w:rsid w:val="007C609E"/>
    <w:rsid w:val="007C6A8C"/>
    <w:rsid w:val="007C7578"/>
    <w:rsid w:val="007C795F"/>
    <w:rsid w:val="007C7FB8"/>
    <w:rsid w:val="007D0E4F"/>
    <w:rsid w:val="007D124B"/>
    <w:rsid w:val="007D1D30"/>
    <w:rsid w:val="007D1DDF"/>
    <w:rsid w:val="007D20E6"/>
    <w:rsid w:val="007D22C4"/>
    <w:rsid w:val="007D3AD1"/>
    <w:rsid w:val="007D3FD6"/>
    <w:rsid w:val="007D4DBE"/>
    <w:rsid w:val="007D5A49"/>
    <w:rsid w:val="007D61F0"/>
    <w:rsid w:val="007D68C8"/>
    <w:rsid w:val="007D7863"/>
    <w:rsid w:val="007D78FA"/>
    <w:rsid w:val="007E0294"/>
    <w:rsid w:val="007E0ECD"/>
    <w:rsid w:val="007E13CA"/>
    <w:rsid w:val="007E1720"/>
    <w:rsid w:val="007E23CC"/>
    <w:rsid w:val="007E27AF"/>
    <w:rsid w:val="007E3348"/>
    <w:rsid w:val="007E36DE"/>
    <w:rsid w:val="007E44F1"/>
    <w:rsid w:val="007E50AD"/>
    <w:rsid w:val="007E52EC"/>
    <w:rsid w:val="007E5578"/>
    <w:rsid w:val="007E582B"/>
    <w:rsid w:val="007E5D8E"/>
    <w:rsid w:val="007E5E2F"/>
    <w:rsid w:val="007E69B3"/>
    <w:rsid w:val="007E78FA"/>
    <w:rsid w:val="007F23CE"/>
    <w:rsid w:val="007F33AC"/>
    <w:rsid w:val="007F4D2C"/>
    <w:rsid w:val="007F73B9"/>
    <w:rsid w:val="007F7F5F"/>
    <w:rsid w:val="00800A80"/>
    <w:rsid w:val="00801B58"/>
    <w:rsid w:val="00801E54"/>
    <w:rsid w:val="008025FF"/>
    <w:rsid w:val="00802A07"/>
    <w:rsid w:val="00803606"/>
    <w:rsid w:val="00804AB6"/>
    <w:rsid w:val="00805115"/>
    <w:rsid w:val="008051B0"/>
    <w:rsid w:val="00805E34"/>
    <w:rsid w:val="008067F1"/>
    <w:rsid w:val="00806E1A"/>
    <w:rsid w:val="00807247"/>
    <w:rsid w:val="008073D4"/>
    <w:rsid w:val="008103FF"/>
    <w:rsid w:val="00810DEB"/>
    <w:rsid w:val="00810E56"/>
    <w:rsid w:val="008119B6"/>
    <w:rsid w:val="00811FD8"/>
    <w:rsid w:val="00813A9B"/>
    <w:rsid w:val="008152DF"/>
    <w:rsid w:val="00815ADD"/>
    <w:rsid w:val="00816773"/>
    <w:rsid w:val="008171F1"/>
    <w:rsid w:val="00817693"/>
    <w:rsid w:val="008203C7"/>
    <w:rsid w:val="00820959"/>
    <w:rsid w:val="00821AA3"/>
    <w:rsid w:val="00821B73"/>
    <w:rsid w:val="00822952"/>
    <w:rsid w:val="00822F17"/>
    <w:rsid w:val="00823533"/>
    <w:rsid w:val="00823602"/>
    <w:rsid w:val="00823CD8"/>
    <w:rsid w:val="00823FB3"/>
    <w:rsid w:val="00825892"/>
    <w:rsid w:val="0082666A"/>
    <w:rsid w:val="0083086A"/>
    <w:rsid w:val="0083087A"/>
    <w:rsid w:val="00831211"/>
    <w:rsid w:val="008318CF"/>
    <w:rsid w:val="00831A61"/>
    <w:rsid w:val="00832344"/>
    <w:rsid w:val="00832C89"/>
    <w:rsid w:val="00833F7A"/>
    <w:rsid w:val="00834702"/>
    <w:rsid w:val="008355E3"/>
    <w:rsid w:val="008356F7"/>
    <w:rsid w:val="00835FA4"/>
    <w:rsid w:val="0083662D"/>
    <w:rsid w:val="00836649"/>
    <w:rsid w:val="00837333"/>
    <w:rsid w:val="00837640"/>
    <w:rsid w:val="0083778E"/>
    <w:rsid w:val="008400BE"/>
    <w:rsid w:val="008405EF"/>
    <w:rsid w:val="0084078F"/>
    <w:rsid w:val="00840FD5"/>
    <w:rsid w:val="00840FDC"/>
    <w:rsid w:val="008414B0"/>
    <w:rsid w:val="008415EB"/>
    <w:rsid w:val="00841754"/>
    <w:rsid w:val="00842126"/>
    <w:rsid w:val="00842873"/>
    <w:rsid w:val="00842C29"/>
    <w:rsid w:val="0084360D"/>
    <w:rsid w:val="00843DC0"/>
    <w:rsid w:val="00845296"/>
    <w:rsid w:val="00845F6F"/>
    <w:rsid w:val="008462AD"/>
    <w:rsid w:val="008468A3"/>
    <w:rsid w:val="008478C9"/>
    <w:rsid w:val="00847B2A"/>
    <w:rsid w:val="00847DD0"/>
    <w:rsid w:val="00847E3D"/>
    <w:rsid w:val="008501C2"/>
    <w:rsid w:val="0085061D"/>
    <w:rsid w:val="00850B91"/>
    <w:rsid w:val="00850DEC"/>
    <w:rsid w:val="00851AE2"/>
    <w:rsid w:val="008525AE"/>
    <w:rsid w:val="008525DC"/>
    <w:rsid w:val="008526C7"/>
    <w:rsid w:val="0085283B"/>
    <w:rsid w:val="00852DC8"/>
    <w:rsid w:val="008533EA"/>
    <w:rsid w:val="008536C6"/>
    <w:rsid w:val="00853D6E"/>
    <w:rsid w:val="008557D1"/>
    <w:rsid w:val="00856850"/>
    <w:rsid w:val="008577BC"/>
    <w:rsid w:val="00857A53"/>
    <w:rsid w:val="00860A89"/>
    <w:rsid w:val="008626AD"/>
    <w:rsid w:val="00862CFB"/>
    <w:rsid w:val="008633DE"/>
    <w:rsid w:val="00863A0E"/>
    <w:rsid w:val="00863AC7"/>
    <w:rsid w:val="00863C04"/>
    <w:rsid w:val="00863C21"/>
    <w:rsid w:val="00864316"/>
    <w:rsid w:val="00865472"/>
    <w:rsid w:val="00866FE2"/>
    <w:rsid w:val="00867896"/>
    <w:rsid w:val="00870F2D"/>
    <w:rsid w:val="00871491"/>
    <w:rsid w:val="00871BD6"/>
    <w:rsid w:val="00871E41"/>
    <w:rsid w:val="00872002"/>
    <w:rsid w:val="008720A9"/>
    <w:rsid w:val="00872BB6"/>
    <w:rsid w:val="00872C2B"/>
    <w:rsid w:val="008730B2"/>
    <w:rsid w:val="008734C5"/>
    <w:rsid w:val="0087368E"/>
    <w:rsid w:val="00873BE6"/>
    <w:rsid w:val="0087472C"/>
    <w:rsid w:val="00875D7E"/>
    <w:rsid w:val="00875ED5"/>
    <w:rsid w:val="0087636A"/>
    <w:rsid w:val="00877B62"/>
    <w:rsid w:val="00877F44"/>
    <w:rsid w:val="008806D6"/>
    <w:rsid w:val="00881321"/>
    <w:rsid w:val="00881A9E"/>
    <w:rsid w:val="00881EBF"/>
    <w:rsid w:val="00882510"/>
    <w:rsid w:val="00883119"/>
    <w:rsid w:val="0088354D"/>
    <w:rsid w:val="008838FB"/>
    <w:rsid w:val="00884021"/>
    <w:rsid w:val="008843A1"/>
    <w:rsid w:val="00884E35"/>
    <w:rsid w:val="00886D0F"/>
    <w:rsid w:val="00887437"/>
    <w:rsid w:val="0089000E"/>
    <w:rsid w:val="00891FDE"/>
    <w:rsid w:val="00893D0A"/>
    <w:rsid w:val="00894410"/>
    <w:rsid w:val="008945DE"/>
    <w:rsid w:val="00894BFF"/>
    <w:rsid w:val="0089500B"/>
    <w:rsid w:val="0089515A"/>
    <w:rsid w:val="00896673"/>
    <w:rsid w:val="008974E8"/>
    <w:rsid w:val="00897517"/>
    <w:rsid w:val="008976B9"/>
    <w:rsid w:val="008A0509"/>
    <w:rsid w:val="008A2A76"/>
    <w:rsid w:val="008A3F51"/>
    <w:rsid w:val="008A4A58"/>
    <w:rsid w:val="008A4FE9"/>
    <w:rsid w:val="008A571F"/>
    <w:rsid w:val="008A6CCC"/>
    <w:rsid w:val="008A70E2"/>
    <w:rsid w:val="008A72CC"/>
    <w:rsid w:val="008A7467"/>
    <w:rsid w:val="008B02A1"/>
    <w:rsid w:val="008B189D"/>
    <w:rsid w:val="008B1F2A"/>
    <w:rsid w:val="008B294F"/>
    <w:rsid w:val="008B3B8E"/>
    <w:rsid w:val="008B3B94"/>
    <w:rsid w:val="008B59AE"/>
    <w:rsid w:val="008B6302"/>
    <w:rsid w:val="008B6E65"/>
    <w:rsid w:val="008B7562"/>
    <w:rsid w:val="008C2A78"/>
    <w:rsid w:val="008C37B0"/>
    <w:rsid w:val="008C3DD5"/>
    <w:rsid w:val="008C58BC"/>
    <w:rsid w:val="008C5AD5"/>
    <w:rsid w:val="008C5C8C"/>
    <w:rsid w:val="008C6BFD"/>
    <w:rsid w:val="008C6F55"/>
    <w:rsid w:val="008C7297"/>
    <w:rsid w:val="008C72CE"/>
    <w:rsid w:val="008C79A7"/>
    <w:rsid w:val="008D0252"/>
    <w:rsid w:val="008D0AF4"/>
    <w:rsid w:val="008D0FD0"/>
    <w:rsid w:val="008D1B92"/>
    <w:rsid w:val="008D3A08"/>
    <w:rsid w:val="008D482E"/>
    <w:rsid w:val="008D4E11"/>
    <w:rsid w:val="008D609A"/>
    <w:rsid w:val="008D69D7"/>
    <w:rsid w:val="008E009F"/>
    <w:rsid w:val="008E05D3"/>
    <w:rsid w:val="008E0962"/>
    <w:rsid w:val="008E0E8D"/>
    <w:rsid w:val="008E2639"/>
    <w:rsid w:val="008E30C6"/>
    <w:rsid w:val="008E4ADD"/>
    <w:rsid w:val="008E5675"/>
    <w:rsid w:val="008E62A0"/>
    <w:rsid w:val="008E6869"/>
    <w:rsid w:val="008E6ABC"/>
    <w:rsid w:val="008E6C2D"/>
    <w:rsid w:val="008E6FA3"/>
    <w:rsid w:val="008E7D6F"/>
    <w:rsid w:val="008F161C"/>
    <w:rsid w:val="008F16DB"/>
    <w:rsid w:val="008F1D40"/>
    <w:rsid w:val="008F1E59"/>
    <w:rsid w:val="008F251A"/>
    <w:rsid w:val="008F3011"/>
    <w:rsid w:val="008F517F"/>
    <w:rsid w:val="008F5933"/>
    <w:rsid w:val="008F607B"/>
    <w:rsid w:val="008F6274"/>
    <w:rsid w:val="008F62B3"/>
    <w:rsid w:val="008F6892"/>
    <w:rsid w:val="008F7E53"/>
    <w:rsid w:val="0090023E"/>
    <w:rsid w:val="00900BDB"/>
    <w:rsid w:val="00900CEA"/>
    <w:rsid w:val="00901CDF"/>
    <w:rsid w:val="00902799"/>
    <w:rsid w:val="00902B8B"/>
    <w:rsid w:val="00903933"/>
    <w:rsid w:val="0090572A"/>
    <w:rsid w:val="00905E25"/>
    <w:rsid w:val="0090605B"/>
    <w:rsid w:val="00907127"/>
    <w:rsid w:val="00907503"/>
    <w:rsid w:val="0091032F"/>
    <w:rsid w:val="009138D7"/>
    <w:rsid w:val="00914D2D"/>
    <w:rsid w:val="00915F4A"/>
    <w:rsid w:val="0091634F"/>
    <w:rsid w:val="009169BE"/>
    <w:rsid w:val="00917AA3"/>
    <w:rsid w:val="00920283"/>
    <w:rsid w:val="00920FD8"/>
    <w:rsid w:val="00921694"/>
    <w:rsid w:val="009234BB"/>
    <w:rsid w:val="00923A39"/>
    <w:rsid w:val="009243B8"/>
    <w:rsid w:val="0092467A"/>
    <w:rsid w:val="00924A23"/>
    <w:rsid w:val="009257C9"/>
    <w:rsid w:val="00925E6D"/>
    <w:rsid w:val="00925F52"/>
    <w:rsid w:val="009260A0"/>
    <w:rsid w:val="009265BF"/>
    <w:rsid w:val="00927FCD"/>
    <w:rsid w:val="00930341"/>
    <w:rsid w:val="00930F0F"/>
    <w:rsid w:val="00931424"/>
    <w:rsid w:val="0093182F"/>
    <w:rsid w:val="009328AC"/>
    <w:rsid w:val="009337EB"/>
    <w:rsid w:val="00933F1A"/>
    <w:rsid w:val="0093534E"/>
    <w:rsid w:val="0093543F"/>
    <w:rsid w:val="00935B11"/>
    <w:rsid w:val="00936550"/>
    <w:rsid w:val="00936786"/>
    <w:rsid w:val="00940278"/>
    <w:rsid w:val="009402A7"/>
    <w:rsid w:val="009405A9"/>
    <w:rsid w:val="00941EBE"/>
    <w:rsid w:val="00941EC3"/>
    <w:rsid w:val="0094258C"/>
    <w:rsid w:val="009437FE"/>
    <w:rsid w:val="00944412"/>
    <w:rsid w:val="0094518B"/>
    <w:rsid w:val="00945771"/>
    <w:rsid w:val="00947DD0"/>
    <w:rsid w:val="009509B0"/>
    <w:rsid w:val="009509BC"/>
    <w:rsid w:val="00950C61"/>
    <w:rsid w:val="00950F86"/>
    <w:rsid w:val="00951544"/>
    <w:rsid w:val="00952187"/>
    <w:rsid w:val="00952A64"/>
    <w:rsid w:val="00953F5D"/>
    <w:rsid w:val="00954004"/>
    <w:rsid w:val="009543BA"/>
    <w:rsid w:val="00954500"/>
    <w:rsid w:val="009554E0"/>
    <w:rsid w:val="0095604A"/>
    <w:rsid w:val="0095613A"/>
    <w:rsid w:val="00956EBB"/>
    <w:rsid w:val="00957BFE"/>
    <w:rsid w:val="00960388"/>
    <w:rsid w:val="009607D5"/>
    <w:rsid w:val="00960B16"/>
    <w:rsid w:val="00960B48"/>
    <w:rsid w:val="0096129D"/>
    <w:rsid w:val="00962733"/>
    <w:rsid w:val="00962D1A"/>
    <w:rsid w:val="00963530"/>
    <w:rsid w:val="00963E07"/>
    <w:rsid w:val="0096426E"/>
    <w:rsid w:val="00964B23"/>
    <w:rsid w:val="00966D64"/>
    <w:rsid w:val="00967720"/>
    <w:rsid w:val="0097171A"/>
    <w:rsid w:val="00971808"/>
    <w:rsid w:val="0097292A"/>
    <w:rsid w:val="00972D4F"/>
    <w:rsid w:val="00973BB1"/>
    <w:rsid w:val="00973DB8"/>
    <w:rsid w:val="00974216"/>
    <w:rsid w:val="00974D13"/>
    <w:rsid w:val="009759C3"/>
    <w:rsid w:val="00975ADF"/>
    <w:rsid w:val="00976775"/>
    <w:rsid w:val="00977FEC"/>
    <w:rsid w:val="00981126"/>
    <w:rsid w:val="00981D09"/>
    <w:rsid w:val="009829A7"/>
    <w:rsid w:val="00983B18"/>
    <w:rsid w:val="00983CCA"/>
    <w:rsid w:val="009841C5"/>
    <w:rsid w:val="009845DD"/>
    <w:rsid w:val="00986512"/>
    <w:rsid w:val="009872E5"/>
    <w:rsid w:val="00987833"/>
    <w:rsid w:val="00987C53"/>
    <w:rsid w:val="00987DDB"/>
    <w:rsid w:val="009902D3"/>
    <w:rsid w:val="009903B8"/>
    <w:rsid w:val="00990BFE"/>
    <w:rsid w:val="0099138C"/>
    <w:rsid w:val="0099163C"/>
    <w:rsid w:val="00991ABE"/>
    <w:rsid w:val="00991F34"/>
    <w:rsid w:val="00992C78"/>
    <w:rsid w:val="00993F0F"/>
    <w:rsid w:val="00995515"/>
    <w:rsid w:val="0099575E"/>
    <w:rsid w:val="009958F5"/>
    <w:rsid w:val="00995CA5"/>
    <w:rsid w:val="00995EA5"/>
    <w:rsid w:val="009964B7"/>
    <w:rsid w:val="009A07C3"/>
    <w:rsid w:val="009A0D6C"/>
    <w:rsid w:val="009A2616"/>
    <w:rsid w:val="009A276F"/>
    <w:rsid w:val="009A2A67"/>
    <w:rsid w:val="009A3A73"/>
    <w:rsid w:val="009A526B"/>
    <w:rsid w:val="009A5B4D"/>
    <w:rsid w:val="009A6997"/>
    <w:rsid w:val="009A7E9B"/>
    <w:rsid w:val="009B2317"/>
    <w:rsid w:val="009B2419"/>
    <w:rsid w:val="009B2F0D"/>
    <w:rsid w:val="009B3094"/>
    <w:rsid w:val="009B39ED"/>
    <w:rsid w:val="009B444E"/>
    <w:rsid w:val="009B56C0"/>
    <w:rsid w:val="009B5C2D"/>
    <w:rsid w:val="009B6067"/>
    <w:rsid w:val="009B616C"/>
    <w:rsid w:val="009B6CD7"/>
    <w:rsid w:val="009B7229"/>
    <w:rsid w:val="009B7447"/>
    <w:rsid w:val="009C078F"/>
    <w:rsid w:val="009C0B64"/>
    <w:rsid w:val="009C1A0D"/>
    <w:rsid w:val="009C25E8"/>
    <w:rsid w:val="009C41A2"/>
    <w:rsid w:val="009C48A1"/>
    <w:rsid w:val="009C4D09"/>
    <w:rsid w:val="009C503F"/>
    <w:rsid w:val="009C52A3"/>
    <w:rsid w:val="009C5BE4"/>
    <w:rsid w:val="009C6B91"/>
    <w:rsid w:val="009C716C"/>
    <w:rsid w:val="009D07E5"/>
    <w:rsid w:val="009D103C"/>
    <w:rsid w:val="009D283D"/>
    <w:rsid w:val="009D2E7E"/>
    <w:rsid w:val="009D3761"/>
    <w:rsid w:val="009D420A"/>
    <w:rsid w:val="009D461B"/>
    <w:rsid w:val="009D5C56"/>
    <w:rsid w:val="009D5DA7"/>
    <w:rsid w:val="009D60E1"/>
    <w:rsid w:val="009D611B"/>
    <w:rsid w:val="009D7BE3"/>
    <w:rsid w:val="009D7E91"/>
    <w:rsid w:val="009E036C"/>
    <w:rsid w:val="009E135D"/>
    <w:rsid w:val="009E3124"/>
    <w:rsid w:val="009E367D"/>
    <w:rsid w:val="009E431C"/>
    <w:rsid w:val="009E4B53"/>
    <w:rsid w:val="009E4E6A"/>
    <w:rsid w:val="009E4E85"/>
    <w:rsid w:val="009E51CC"/>
    <w:rsid w:val="009E559D"/>
    <w:rsid w:val="009E620E"/>
    <w:rsid w:val="009E6435"/>
    <w:rsid w:val="009E6443"/>
    <w:rsid w:val="009E668C"/>
    <w:rsid w:val="009E6E75"/>
    <w:rsid w:val="009E7AB3"/>
    <w:rsid w:val="009E7B01"/>
    <w:rsid w:val="009F1AE5"/>
    <w:rsid w:val="009F2529"/>
    <w:rsid w:val="009F29B8"/>
    <w:rsid w:val="009F29BD"/>
    <w:rsid w:val="009F4CE5"/>
    <w:rsid w:val="009F5659"/>
    <w:rsid w:val="009F5A58"/>
    <w:rsid w:val="009F5EF2"/>
    <w:rsid w:val="009F6508"/>
    <w:rsid w:val="009F6629"/>
    <w:rsid w:val="009F6676"/>
    <w:rsid w:val="009F66AD"/>
    <w:rsid w:val="009F7D0C"/>
    <w:rsid w:val="00A007C9"/>
    <w:rsid w:val="00A008E4"/>
    <w:rsid w:val="00A0173E"/>
    <w:rsid w:val="00A01943"/>
    <w:rsid w:val="00A0236D"/>
    <w:rsid w:val="00A02E26"/>
    <w:rsid w:val="00A02E98"/>
    <w:rsid w:val="00A0363E"/>
    <w:rsid w:val="00A04552"/>
    <w:rsid w:val="00A058EF"/>
    <w:rsid w:val="00A05CFF"/>
    <w:rsid w:val="00A06403"/>
    <w:rsid w:val="00A10E43"/>
    <w:rsid w:val="00A11131"/>
    <w:rsid w:val="00A113EC"/>
    <w:rsid w:val="00A114A5"/>
    <w:rsid w:val="00A11C7D"/>
    <w:rsid w:val="00A121B7"/>
    <w:rsid w:val="00A12486"/>
    <w:rsid w:val="00A137CD"/>
    <w:rsid w:val="00A13AC0"/>
    <w:rsid w:val="00A142AF"/>
    <w:rsid w:val="00A149DC"/>
    <w:rsid w:val="00A15A28"/>
    <w:rsid w:val="00A15FD8"/>
    <w:rsid w:val="00A20201"/>
    <w:rsid w:val="00A2022D"/>
    <w:rsid w:val="00A208FA"/>
    <w:rsid w:val="00A20A06"/>
    <w:rsid w:val="00A21984"/>
    <w:rsid w:val="00A21C62"/>
    <w:rsid w:val="00A22C1A"/>
    <w:rsid w:val="00A2354B"/>
    <w:rsid w:val="00A23933"/>
    <w:rsid w:val="00A23A8D"/>
    <w:rsid w:val="00A2505B"/>
    <w:rsid w:val="00A25C7D"/>
    <w:rsid w:val="00A25D2C"/>
    <w:rsid w:val="00A2768B"/>
    <w:rsid w:val="00A278FE"/>
    <w:rsid w:val="00A3023A"/>
    <w:rsid w:val="00A303EC"/>
    <w:rsid w:val="00A30AFD"/>
    <w:rsid w:val="00A30DBD"/>
    <w:rsid w:val="00A323D2"/>
    <w:rsid w:val="00A33858"/>
    <w:rsid w:val="00A3607C"/>
    <w:rsid w:val="00A3726C"/>
    <w:rsid w:val="00A373C5"/>
    <w:rsid w:val="00A400A2"/>
    <w:rsid w:val="00A4037A"/>
    <w:rsid w:val="00A40ABC"/>
    <w:rsid w:val="00A41908"/>
    <w:rsid w:val="00A41CAA"/>
    <w:rsid w:val="00A435D1"/>
    <w:rsid w:val="00A43A9E"/>
    <w:rsid w:val="00A43D65"/>
    <w:rsid w:val="00A43DD3"/>
    <w:rsid w:val="00A43EBE"/>
    <w:rsid w:val="00A44601"/>
    <w:rsid w:val="00A46B96"/>
    <w:rsid w:val="00A502B7"/>
    <w:rsid w:val="00A50D4C"/>
    <w:rsid w:val="00A51BA2"/>
    <w:rsid w:val="00A52375"/>
    <w:rsid w:val="00A543F0"/>
    <w:rsid w:val="00A54DB6"/>
    <w:rsid w:val="00A55CCD"/>
    <w:rsid w:val="00A562A9"/>
    <w:rsid w:val="00A56782"/>
    <w:rsid w:val="00A5697A"/>
    <w:rsid w:val="00A577DA"/>
    <w:rsid w:val="00A57AAC"/>
    <w:rsid w:val="00A60149"/>
    <w:rsid w:val="00A60473"/>
    <w:rsid w:val="00A61415"/>
    <w:rsid w:val="00A6285A"/>
    <w:rsid w:val="00A62F7F"/>
    <w:rsid w:val="00A65460"/>
    <w:rsid w:val="00A65830"/>
    <w:rsid w:val="00A6637A"/>
    <w:rsid w:val="00A667F2"/>
    <w:rsid w:val="00A668AB"/>
    <w:rsid w:val="00A670ED"/>
    <w:rsid w:val="00A675AA"/>
    <w:rsid w:val="00A70AEB"/>
    <w:rsid w:val="00A717B3"/>
    <w:rsid w:val="00A74A02"/>
    <w:rsid w:val="00A75018"/>
    <w:rsid w:val="00A76949"/>
    <w:rsid w:val="00A76A2F"/>
    <w:rsid w:val="00A76ECA"/>
    <w:rsid w:val="00A77E08"/>
    <w:rsid w:val="00A80DD6"/>
    <w:rsid w:val="00A81330"/>
    <w:rsid w:val="00A83678"/>
    <w:rsid w:val="00A83EB9"/>
    <w:rsid w:val="00A844E5"/>
    <w:rsid w:val="00A84531"/>
    <w:rsid w:val="00A85122"/>
    <w:rsid w:val="00A85719"/>
    <w:rsid w:val="00A859D1"/>
    <w:rsid w:val="00A85BC6"/>
    <w:rsid w:val="00A8608B"/>
    <w:rsid w:val="00A866A6"/>
    <w:rsid w:val="00A86750"/>
    <w:rsid w:val="00A86E88"/>
    <w:rsid w:val="00A87B38"/>
    <w:rsid w:val="00A90036"/>
    <w:rsid w:val="00A90DAE"/>
    <w:rsid w:val="00A917B6"/>
    <w:rsid w:val="00A92745"/>
    <w:rsid w:val="00A92A6A"/>
    <w:rsid w:val="00A92ABC"/>
    <w:rsid w:val="00A92EB1"/>
    <w:rsid w:val="00A93040"/>
    <w:rsid w:val="00A93EEB"/>
    <w:rsid w:val="00A94028"/>
    <w:rsid w:val="00A9490D"/>
    <w:rsid w:val="00A94E82"/>
    <w:rsid w:val="00A94F0F"/>
    <w:rsid w:val="00A9534B"/>
    <w:rsid w:val="00A958F0"/>
    <w:rsid w:val="00A96A0E"/>
    <w:rsid w:val="00A976BA"/>
    <w:rsid w:val="00AA0405"/>
    <w:rsid w:val="00AA0D3A"/>
    <w:rsid w:val="00AA1278"/>
    <w:rsid w:val="00AA1BE4"/>
    <w:rsid w:val="00AA2815"/>
    <w:rsid w:val="00AA2ED7"/>
    <w:rsid w:val="00AA36AD"/>
    <w:rsid w:val="00AA52DE"/>
    <w:rsid w:val="00AA5ACA"/>
    <w:rsid w:val="00AA5EC3"/>
    <w:rsid w:val="00AA6032"/>
    <w:rsid w:val="00AA6199"/>
    <w:rsid w:val="00AA6919"/>
    <w:rsid w:val="00AA718C"/>
    <w:rsid w:val="00AA7379"/>
    <w:rsid w:val="00AA7FC0"/>
    <w:rsid w:val="00AB0B49"/>
    <w:rsid w:val="00AB130F"/>
    <w:rsid w:val="00AB1331"/>
    <w:rsid w:val="00AB1BF1"/>
    <w:rsid w:val="00AB2438"/>
    <w:rsid w:val="00AB268C"/>
    <w:rsid w:val="00AB2E5B"/>
    <w:rsid w:val="00AB2E87"/>
    <w:rsid w:val="00AB2E9C"/>
    <w:rsid w:val="00AB3168"/>
    <w:rsid w:val="00AB37C4"/>
    <w:rsid w:val="00AB4622"/>
    <w:rsid w:val="00AB4785"/>
    <w:rsid w:val="00AB47CF"/>
    <w:rsid w:val="00AB4868"/>
    <w:rsid w:val="00AB5CFB"/>
    <w:rsid w:val="00AB6DEC"/>
    <w:rsid w:val="00AB6F79"/>
    <w:rsid w:val="00AB73BC"/>
    <w:rsid w:val="00AB7599"/>
    <w:rsid w:val="00AB7ACC"/>
    <w:rsid w:val="00AC037A"/>
    <w:rsid w:val="00AC040F"/>
    <w:rsid w:val="00AC1192"/>
    <w:rsid w:val="00AC2484"/>
    <w:rsid w:val="00AC26DE"/>
    <w:rsid w:val="00AC2C23"/>
    <w:rsid w:val="00AC2CC3"/>
    <w:rsid w:val="00AC365F"/>
    <w:rsid w:val="00AC3685"/>
    <w:rsid w:val="00AC4CB6"/>
    <w:rsid w:val="00AC4D1A"/>
    <w:rsid w:val="00AC4F9B"/>
    <w:rsid w:val="00AC58F3"/>
    <w:rsid w:val="00AC65C1"/>
    <w:rsid w:val="00AC6C54"/>
    <w:rsid w:val="00AC70E5"/>
    <w:rsid w:val="00AD0C07"/>
    <w:rsid w:val="00AD0FBB"/>
    <w:rsid w:val="00AD1A95"/>
    <w:rsid w:val="00AD2604"/>
    <w:rsid w:val="00AD44A0"/>
    <w:rsid w:val="00AD49F0"/>
    <w:rsid w:val="00AD4CEA"/>
    <w:rsid w:val="00AD4EA2"/>
    <w:rsid w:val="00AD51A4"/>
    <w:rsid w:val="00AD53C7"/>
    <w:rsid w:val="00AD5650"/>
    <w:rsid w:val="00AD570D"/>
    <w:rsid w:val="00AD5BA1"/>
    <w:rsid w:val="00AD5E81"/>
    <w:rsid w:val="00AD689A"/>
    <w:rsid w:val="00AD6A06"/>
    <w:rsid w:val="00AD7DB5"/>
    <w:rsid w:val="00AE0453"/>
    <w:rsid w:val="00AE0D34"/>
    <w:rsid w:val="00AE1401"/>
    <w:rsid w:val="00AE30C7"/>
    <w:rsid w:val="00AE37F3"/>
    <w:rsid w:val="00AE3DAA"/>
    <w:rsid w:val="00AE3FCD"/>
    <w:rsid w:val="00AE4D1B"/>
    <w:rsid w:val="00AE505D"/>
    <w:rsid w:val="00AE53B3"/>
    <w:rsid w:val="00AE5F65"/>
    <w:rsid w:val="00AE60E1"/>
    <w:rsid w:val="00AE6644"/>
    <w:rsid w:val="00AE7169"/>
    <w:rsid w:val="00AE725E"/>
    <w:rsid w:val="00AE72F2"/>
    <w:rsid w:val="00AE7443"/>
    <w:rsid w:val="00AE74A5"/>
    <w:rsid w:val="00AF0AB8"/>
    <w:rsid w:val="00AF14EA"/>
    <w:rsid w:val="00AF3278"/>
    <w:rsid w:val="00AF32CC"/>
    <w:rsid w:val="00AF3449"/>
    <w:rsid w:val="00AF5E0D"/>
    <w:rsid w:val="00AF6023"/>
    <w:rsid w:val="00AF6163"/>
    <w:rsid w:val="00AF74E4"/>
    <w:rsid w:val="00AF7688"/>
    <w:rsid w:val="00B017DA"/>
    <w:rsid w:val="00B017FC"/>
    <w:rsid w:val="00B021A9"/>
    <w:rsid w:val="00B02AFA"/>
    <w:rsid w:val="00B02B1C"/>
    <w:rsid w:val="00B02C65"/>
    <w:rsid w:val="00B034EC"/>
    <w:rsid w:val="00B03538"/>
    <w:rsid w:val="00B03AF5"/>
    <w:rsid w:val="00B046BB"/>
    <w:rsid w:val="00B0529D"/>
    <w:rsid w:val="00B05329"/>
    <w:rsid w:val="00B05D6A"/>
    <w:rsid w:val="00B06563"/>
    <w:rsid w:val="00B07201"/>
    <w:rsid w:val="00B07614"/>
    <w:rsid w:val="00B10456"/>
    <w:rsid w:val="00B10E82"/>
    <w:rsid w:val="00B11792"/>
    <w:rsid w:val="00B11B90"/>
    <w:rsid w:val="00B129E7"/>
    <w:rsid w:val="00B1323A"/>
    <w:rsid w:val="00B13B6B"/>
    <w:rsid w:val="00B13C8F"/>
    <w:rsid w:val="00B13F9A"/>
    <w:rsid w:val="00B15E59"/>
    <w:rsid w:val="00B163F8"/>
    <w:rsid w:val="00B16B1A"/>
    <w:rsid w:val="00B16D22"/>
    <w:rsid w:val="00B17A11"/>
    <w:rsid w:val="00B20125"/>
    <w:rsid w:val="00B207DF"/>
    <w:rsid w:val="00B209A8"/>
    <w:rsid w:val="00B21369"/>
    <w:rsid w:val="00B217D1"/>
    <w:rsid w:val="00B22DD3"/>
    <w:rsid w:val="00B23B26"/>
    <w:rsid w:val="00B2425D"/>
    <w:rsid w:val="00B24E31"/>
    <w:rsid w:val="00B25338"/>
    <w:rsid w:val="00B25A5E"/>
    <w:rsid w:val="00B2600B"/>
    <w:rsid w:val="00B264DE"/>
    <w:rsid w:val="00B26763"/>
    <w:rsid w:val="00B27214"/>
    <w:rsid w:val="00B3047B"/>
    <w:rsid w:val="00B306B6"/>
    <w:rsid w:val="00B30796"/>
    <w:rsid w:val="00B30977"/>
    <w:rsid w:val="00B30FC2"/>
    <w:rsid w:val="00B3124E"/>
    <w:rsid w:val="00B31F66"/>
    <w:rsid w:val="00B342CC"/>
    <w:rsid w:val="00B34EC5"/>
    <w:rsid w:val="00B35257"/>
    <w:rsid w:val="00B364AB"/>
    <w:rsid w:val="00B402DC"/>
    <w:rsid w:val="00B407CC"/>
    <w:rsid w:val="00B40A93"/>
    <w:rsid w:val="00B40AFE"/>
    <w:rsid w:val="00B411B9"/>
    <w:rsid w:val="00B414F5"/>
    <w:rsid w:val="00B41501"/>
    <w:rsid w:val="00B4151C"/>
    <w:rsid w:val="00B41EE6"/>
    <w:rsid w:val="00B424B0"/>
    <w:rsid w:val="00B427D3"/>
    <w:rsid w:val="00B445ED"/>
    <w:rsid w:val="00B50F79"/>
    <w:rsid w:val="00B514D3"/>
    <w:rsid w:val="00B51659"/>
    <w:rsid w:val="00B52412"/>
    <w:rsid w:val="00B52605"/>
    <w:rsid w:val="00B52D3E"/>
    <w:rsid w:val="00B535B2"/>
    <w:rsid w:val="00B54D00"/>
    <w:rsid w:val="00B55623"/>
    <w:rsid w:val="00B557EB"/>
    <w:rsid w:val="00B56A5B"/>
    <w:rsid w:val="00B57FAA"/>
    <w:rsid w:val="00B600ED"/>
    <w:rsid w:val="00B60FAB"/>
    <w:rsid w:val="00B61082"/>
    <w:rsid w:val="00B6131B"/>
    <w:rsid w:val="00B61D8C"/>
    <w:rsid w:val="00B62645"/>
    <w:rsid w:val="00B62B42"/>
    <w:rsid w:val="00B630F0"/>
    <w:rsid w:val="00B63B92"/>
    <w:rsid w:val="00B63E73"/>
    <w:rsid w:val="00B641C6"/>
    <w:rsid w:val="00B64C8C"/>
    <w:rsid w:val="00B64E20"/>
    <w:rsid w:val="00B651D2"/>
    <w:rsid w:val="00B65539"/>
    <w:rsid w:val="00B656D1"/>
    <w:rsid w:val="00B65CF9"/>
    <w:rsid w:val="00B6632E"/>
    <w:rsid w:val="00B67026"/>
    <w:rsid w:val="00B67191"/>
    <w:rsid w:val="00B671A8"/>
    <w:rsid w:val="00B674F7"/>
    <w:rsid w:val="00B67667"/>
    <w:rsid w:val="00B67668"/>
    <w:rsid w:val="00B67697"/>
    <w:rsid w:val="00B71858"/>
    <w:rsid w:val="00B71930"/>
    <w:rsid w:val="00B71D38"/>
    <w:rsid w:val="00B72997"/>
    <w:rsid w:val="00B72E19"/>
    <w:rsid w:val="00B7314F"/>
    <w:rsid w:val="00B735D0"/>
    <w:rsid w:val="00B738CC"/>
    <w:rsid w:val="00B747D6"/>
    <w:rsid w:val="00B75467"/>
    <w:rsid w:val="00B7554C"/>
    <w:rsid w:val="00B7568A"/>
    <w:rsid w:val="00B760CC"/>
    <w:rsid w:val="00B77BED"/>
    <w:rsid w:val="00B802FB"/>
    <w:rsid w:val="00B80471"/>
    <w:rsid w:val="00B8129E"/>
    <w:rsid w:val="00B8145D"/>
    <w:rsid w:val="00B82432"/>
    <w:rsid w:val="00B82E57"/>
    <w:rsid w:val="00B8374F"/>
    <w:rsid w:val="00B84CC4"/>
    <w:rsid w:val="00B85314"/>
    <w:rsid w:val="00B854AB"/>
    <w:rsid w:val="00B85C84"/>
    <w:rsid w:val="00B87168"/>
    <w:rsid w:val="00B874DB"/>
    <w:rsid w:val="00B8751E"/>
    <w:rsid w:val="00B87C88"/>
    <w:rsid w:val="00B87D42"/>
    <w:rsid w:val="00B903AE"/>
    <w:rsid w:val="00B90AB3"/>
    <w:rsid w:val="00B90D09"/>
    <w:rsid w:val="00B90DCE"/>
    <w:rsid w:val="00B919B2"/>
    <w:rsid w:val="00B91D71"/>
    <w:rsid w:val="00B93AC7"/>
    <w:rsid w:val="00B9448F"/>
    <w:rsid w:val="00B94909"/>
    <w:rsid w:val="00B954B9"/>
    <w:rsid w:val="00B963A3"/>
    <w:rsid w:val="00B96787"/>
    <w:rsid w:val="00B96B5D"/>
    <w:rsid w:val="00B96D3C"/>
    <w:rsid w:val="00BA0DE5"/>
    <w:rsid w:val="00BA12F0"/>
    <w:rsid w:val="00BA14AF"/>
    <w:rsid w:val="00BA3130"/>
    <w:rsid w:val="00BA4545"/>
    <w:rsid w:val="00BA504A"/>
    <w:rsid w:val="00BA7D46"/>
    <w:rsid w:val="00BB072C"/>
    <w:rsid w:val="00BB0EE4"/>
    <w:rsid w:val="00BB412D"/>
    <w:rsid w:val="00BB769A"/>
    <w:rsid w:val="00BB773C"/>
    <w:rsid w:val="00BB7961"/>
    <w:rsid w:val="00BB7B96"/>
    <w:rsid w:val="00BC0A15"/>
    <w:rsid w:val="00BC18A6"/>
    <w:rsid w:val="00BC1CBE"/>
    <w:rsid w:val="00BC37C2"/>
    <w:rsid w:val="00BC5085"/>
    <w:rsid w:val="00BC579D"/>
    <w:rsid w:val="00BC5C56"/>
    <w:rsid w:val="00BC63FB"/>
    <w:rsid w:val="00BC68CD"/>
    <w:rsid w:val="00BC6908"/>
    <w:rsid w:val="00BC69AA"/>
    <w:rsid w:val="00BC6DCF"/>
    <w:rsid w:val="00BC744C"/>
    <w:rsid w:val="00BC763C"/>
    <w:rsid w:val="00BD064F"/>
    <w:rsid w:val="00BD06CA"/>
    <w:rsid w:val="00BD0762"/>
    <w:rsid w:val="00BD0893"/>
    <w:rsid w:val="00BD096A"/>
    <w:rsid w:val="00BD0D0F"/>
    <w:rsid w:val="00BD1221"/>
    <w:rsid w:val="00BD1659"/>
    <w:rsid w:val="00BD175D"/>
    <w:rsid w:val="00BD1DE9"/>
    <w:rsid w:val="00BD2453"/>
    <w:rsid w:val="00BD28A4"/>
    <w:rsid w:val="00BD2DF8"/>
    <w:rsid w:val="00BD3BF0"/>
    <w:rsid w:val="00BD3C3B"/>
    <w:rsid w:val="00BD4430"/>
    <w:rsid w:val="00BD45FC"/>
    <w:rsid w:val="00BD4774"/>
    <w:rsid w:val="00BD5203"/>
    <w:rsid w:val="00BD68D4"/>
    <w:rsid w:val="00BD6DC8"/>
    <w:rsid w:val="00BD73E1"/>
    <w:rsid w:val="00BE02E0"/>
    <w:rsid w:val="00BE0B3D"/>
    <w:rsid w:val="00BE0FAD"/>
    <w:rsid w:val="00BE11E4"/>
    <w:rsid w:val="00BE16A4"/>
    <w:rsid w:val="00BE1BD5"/>
    <w:rsid w:val="00BE1D7C"/>
    <w:rsid w:val="00BE2ED1"/>
    <w:rsid w:val="00BE33A1"/>
    <w:rsid w:val="00BE4FCF"/>
    <w:rsid w:val="00BE6C82"/>
    <w:rsid w:val="00BE7224"/>
    <w:rsid w:val="00BE729C"/>
    <w:rsid w:val="00BE764B"/>
    <w:rsid w:val="00BE77EB"/>
    <w:rsid w:val="00BE7BDA"/>
    <w:rsid w:val="00BF1BD6"/>
    <w:rsid w:val="00BF1CD1"/>
    <w:rsid w:val="00BF32C9"/>
    <w:rsid w:val="00BF34B5"/>
    <w:rsid w:val="00BF3513"/>
    <w:rsid w:val="00BF754D"/>
    <w:rsid w:val="00BF77A1"/>
    <w:rsid w:val="00C00E21"/>
    <w:rsid w:val="00C01023"/>
    <w:rsid w:val="00C01360"/>
    <w:rsid w:val="00C018D1"/>
    <w:rsid w:val="00C01DCB"/>
    <w:rsid w:val="00C01FD2"/>
    <w:rsid w:val="00C033C9"/>
    <w:rsid w:val="00C03865"/>
    <w:rsid w:val="00C0400A"/>
    <w:rsid w:val="00C04883"/>
    <w:rsid w:val="00C0553C"/>
    <w:rsid w:val="00C056E5"/>
    <w:rsid w:val="00C056E7"/>
    <w:rsid w:val="00C077FF"/>
    <w:rsid w:val="00C07ECE"/>
    <w:rsid w:val="00C10E67"/>
    <w:rsid w:val="00C1109C"/>
    <w:rsid w:val="00C114A6"/>
    <w:rsid w:val="00C114C2"/>
    <w:rsid w:val="00C12666"/>
    <w:rsid w:val="00C146C0"/>
    <w:rsid w:val="00C1509C"/>
    <w:rsid w:val="00C15278"/>
    <w:rsid w:val="00C152B5"/>
    <w:rsid w:val="00C1580F"/>
    <w:rsid w:val="00C161B3"/>
    <w:rsid w:val="00C176C9"/>
    <w:rsid w:val="00C17A95"/>
    <w:rsid w:val="00C17C4F"/>
    <w:rsid w:val="00C20CB2"/>
    <w:rsid w:val="00C21543"/>
    <w:rsid w:val="00C21B29"/>
    <w:rsid w:val="00C21D04"/>
    <w:rsid w:val="00C21D5E"/>
    <w:rsid w:val="00C22528"/>
    <w:rsid w:val="00C231A5"/>
    <w:rsid w:val="00C232C9"/>
    <w:rsid w:val="00C251CB"/>
    <w:rsid w:val="00C26497"/>
    <w:rsid w:val="00C267CB"/>
    <w:rsid w:val="00C26A0F"/>
    <w:rsid w:val="00C26A92"/>
    <w:rsid w:val="00C26CE4"/>
    <w:rsid w:val="00C27710"/>
    <w:rsid w:val="00C27A28"/>
    <w:rsid w:val="00C30410"/>
    <w:rsid w:val="00C305C0"/>
    <w:rsid w:val="00C306FE"/>
    <w:rsid w:val="00C30A7D"/>
    <w:rsid w:val="00C30E58"/>
    <w:rsid w:val="00C3143E"/>
    <w:rsid w:val="00C31A79"/>
    <w:rsid w:val="00C31AED"/>
    <w:rsid w:val="00C320B7"/>
    <w:rsid w:val="00C325E5"/>
    <w:rsid w:val="00C33606"/>
    <w:rsid w:val="00C33BB4"/>
    <w:rsid w:val="00C3412D"/>
    <w:rsid w:val="00C34445"/>
    <w:rsid w:val="00C352B4"/>
    <w:rsid w:val="00C3538E"/>
    <w:rsid w:val="00C35613"/>
    <w:rsid w:val="00C35E35"/>
    <w:rsid w:val="00C35E57"/>
    <w:rsid w:val="00C36054"/>
    <w:rsid w:val="00C36132"/>
    <w:rsid w:val="00C3646E"/>
    <w:rsid w:val="00C3738E"/>
    <w:rsid w:val="00C40CF7"/>
    <w:rsid w:val="00C40E8F"/>
    <w:rsid w:val="00C41C46"/>
    <w:rsid w:val="00C41C7D"/>
    <w:rsid w:val="00C421CD"/>
    <w:rsid w:val="00C426B5"/>
    <w:rsid w:val="00C42D7E"/>
    <w:rsid w:val="00C4409F"/>
    <w:rsid w:val="00C451CF"/>
    <w:rsid w:val="00C4598D"/>
    <w:rsid w:val="00C471E2"/>
    <w:rsid w:val="00C50559"/>
    <w:rsid w:val="00C50BC3"/>
    <w:rsid w:val="00C511D6"/>
    <w:rsid w:val="00C51CE7"/>
    <w:rsid w:val="00C51DE0"/>
    <w:rsid w:val="00C521EE"/>
    <w:rsid w:val="00C522BC"/>
    <w:rsid w:val="00C52719"/>
    <w:rsid w:val="00C52FE2"/>
    <w:rsid w:val="00C53363"/>
    <w:rsid w:val="00C53661"/>
    <w:rsid w:val="00C53E41"/>
    <w:rsid w:val="00C53EB4"/>
    <w:rsid w:val="00C544FF"/>
    <w:rsid w:val="00C5482B"/>
    <w:rsid w:val="00C54C4F"/>
    <w:rsid w:val="00C55112"/>
    <w:rsid w:val="00C553BD"/>
    <w:rsid w:val="00C56029"/>
    <w:rsid w:val="00C56073"/>
    <w:rsid w:val="00C567A6"/>
    <w:rsid w:val="00C576C4"/>
    <w:rsid w:val="00C57D59"/>
    <w:rsid w:val="00C57EF5"/>
    <w:rsid w:val="00C60BCE"/>
    <w:rsid w:val="00C60ED2"/>
    <w:rsid w:val="00C619A2"/>
    <w:rsid w:val="00C63135"/>
    <w:rsid w:val="00C64020"/>
    <w:rsid w:val="00C649CD"/>
    <w:rsid w:val="00C655E8"/>
    <w:rsid w:val="00C669D1"/>
    <w:rsid w:val="00C6795B"/>
    <w:rsid w:val="00C73772"/>
    <w:rsid w:val="00C74948"/>
    <w:rsid w:val="00C74C5A"/>
    <w:rsid w:val="00C74CE7"/>
    <w:rsid w:val="00C757F8"/>
    <w:rsid w:val="00C75AD1"/>
    <w:rsid w:val="00C771D9"/>
    <w:rsid w:val="00C7734C"/>
    <w:rsid w:val="00C77D78"/>
    <w:rsid w:val="00C77E59"/>
    <w:rsid w:val="00C77ECD"/>
    <w:rsid w:val="00C8134C"/>
    <w:rsid w:val="00C81D52"/>
    <w:rsid w:val="00C824A1"/>
    <w:rsid w:val="00C830BD"/>
    <w:rsid w:val="00C85B6B"/>
    <w:rsid w:val="00C86364"/>
    <w:rsid w:val="00C86F17"/>
    <w:rsid w:val="00C87325"/>
    <w:rsid w:val="00C90699"/>
    <w:rsid w:val="00C91B84"/>
    <w:rsid w:val="00C9273E"/>
    <w:rsid w:val="00C92D7D"/>
    <w:rsid w:val="00C940B6"/>
    <w:rsid w:val="00C94B1D"/>
    <w:rsid w:val="00C94BF9"/>
    <w:rsid w:val="00C95767"/>
    <w:rsid w:val="00C95FE0"/>
    <w:rsid w:val="00C97461"/>
    <w:rsid w:val="00CA2076"/>
    <w:rsid w:val="00CA2823"/>
    <w:rsid w:val="00CA3104"/>
    <w:rsid w:val="00CA4C31"/>
    <w:rsid w:val="00CA4F49"/>
    <w:rsid w:val="00CA7E69"/>
    <w:rsid w:val="00CB0718"/>
    <w:rsid w:val="00CB0B92"/>
    <w:rsid w:val="00CB10CF"/>
    <w:rsid w:val="00CB22D1"/>
    <w:rsid w:val="00CB3414"/>
    <w:rsid w:val="00CB35EC"/>
    <w:rsid w:val="00CB38D2"/>
    <w:rsid w:val="00CB448D"/>
    <w:rsid w:val="00CB5F23"/>
    <w:rsid w:val="00CB65E0"/>
    <w:rsid w:val="00CB668F"/>
    <w:rsid w:val="00CB678A"/>
    <w:rsid w:val="00CB7E05"/>
    <w:rsid w:val="00CC02AA"/>
    <w:rsid w:val="00CC06F4"/>
    <w:rsid w:val="00CC084B"/>
    <w:rsid w:val="00CC08E0"/>
    <w:rsid w:val="00CC2AE5"/>
    <w:rsid w:val="00CC2DAD"/>
    <w:rsid w:val="00CC4A4B"/>
    <w:rsid w:val="00CC5746"/>
    <w:rsid w:val="00CC5C87"/>
    <w:rsid w:val="00CC5D20"/>
    <w:rsid w:val="00CC5F00"/>
    <w:rsid w:val="00CC7720"/>
    <w:rsid w:val="00CD1277"/>
    <w:rsid w:val="00CD12FE"/>
    <w:rsid w:val="00CD13EC"/>
    <w:rsid w:val="00CD1D32"/>
    <w:rsid w:val="00CD26FE"/>
    <w:rsid w:val="00CD42AF"/>
    <w:rsid w:val="00CD439E"/>
    <w:rsid w:val="00CD4466"/>
    <w:rsid w:val="00CD46BB"/>
    <w:rsid w:val="00CD608C"/>
    <w:rsid w:val="00CD685E"/>
    <w:rsid w:val="00CD7DA4"/>
    <w:rsid w:val="00CE2DB5"/>
    <w:rsid w:val="00CE3B1B"/>
    <w:rsid w:val="00CE40E5"/>
    <w:rsid w:val="00CE56A1"/>
    <w:rsid w:val="00CE5C5B"/>
    <w:rsid w:val="00CE6265"/>
    <w:rsid w:val="00CE703A"/>
    <w:rsid w:val="00CE77A5"/>
    <w:rsid w:val="00CE7B79"/>
    <w:rsid w:val="00CF04B6"/>
    <w:rsid w:val="00CF0853"/>
    <w:rsid w:val="00CF0B88"/>
    <w:rsid w:val="00CF0D3E"/>
    <w:rsid w:val="00CF0F7B"/>
    <w:rsid w:val="00CF12F0"/>
    <w:rsid w:val="00CF21D2"/>
    <w:rsid w:val="00CF2E68"/>
    <w:rsid w:val="00CF3426"/>
    <w:rsid w:val="00CF385A"/>
    <w:rsid w:val="00CF3F01"/>
    <w:rsid w:val="00CF3F0C"/>
    <w:rsid w:val="00CF4500"/>
    <w:rsid w:val="00CF6232"/>
    <w:rsid w:val="00CF77F2"/>
    <w:rsid w:val="00CF7DA0"/>
    <w:rsid w:val="00D002A8"/>
    <w:rsid w:val="00D007AF"/>
    <w:rsid w:val="00D03390"/>
    <w:rsid w:val="00D03D4F"/>
    <w:rsid w:val="00D04566"/>
    <w:rsid w:val="00D04918"/>
    <w:rsid w:val="00D05081"/>
    <w:rsid w:val="00D0535F"/>
    <w:rsid w:val="00D06F7F"/>
    <w:rsid w:val="00D07AAC"/>
    <w:rsid w:val="00D100F2"/>
    <w:rsid w:val="00D10320"/>
    <w:rsid w:val="00D1155E"/>
    <w:rsid w:val="00D11F93"/>
    <w:rsid w:val="00D12717"/>
    <w:rsid w:val="00D13261"/>
    <w:rsid w:val="00D14828"/>
    <w:rsid w:val="00D15FDF"/>
    <w:rsid w:val="00D16144"/>
    <w:rsid w:val="00D204B7"/>
    <w:rsid w:val="00D20D58"/>
    <w:rsid w:val="00D21A35"/>
    <w:rsid w:val="00D227D4"/>
    <w:rsid w:val="00D22A8B"/>
    <w:rsid w:val="00D22FBF"/>
    <w:rsid w:val="00D232ED"/>
    <w:rsid w:val="00D237C2"/>
    <w:rsid w:val="00D23E6A"/>
    <w:rsid w:val="00D24773"/>
    <w:rsid w:val="00D2530A"/>
    <w:rsid w:val="00D25FA4"/>
    <w:rsid w:val="00D26E11"/>
    <w:rsid w:val="00D30F93"/>
    <w:rsid w:val="00D31132"/>
    <w:rsid w:val="00D31498"/>
    <w:rsid w:val="00D31558"/>
    <w:rsid w:val="00D31769"/>
    <w:rsid w:val="00D32866"/>
    <w:rsid w:val="00D32D38"/>
    <w:rsid w:val="00D32D90"/>
    <w:rsid w:val="00D34184"/>
    <w:rsid w:val="00D351E1"/>
    <w:rsid w:val="00D3552F"/>
    <w:rsid w:val="00D356F1"/>
    <w:rsid w:val="00D36BFD"/>
    <w:rsid w:val="00D36C28"/>
    <w:rsid w:val="00D40369"/>
    <w:rsid w:val="00D40E3E"/>
    <w:rsid w:val="00D41C31"/>
    <w:rsid w:val="00D42151"/>
    <w:rsid w:val="00D42B30"/>
    <w:rsid w:val="00D434C7"/>
    <w:rsid w:val="00D437CC"/>
    <w:rsid w:val="00D43F2E"/>
    <w:rsid w:val="00D449F0"/>
    <w:rsid w:val="00D44ADD"/>
    <w:rsid w:val="00D450B4"/>
    <w:rsid w:val="00D4538E"/>
    <w:rsid w:val="00D469F3"/>
    <w:rsid w:val="00D46D0E"/>
    <w:rsid w:val="00D474B3"/>
    <w:rsid w:val="00D47508"/>
    <w:rsid w:val="00D47929"/>
    <w:rsid w:val="00D4799E"/>
    <w:rsid w:val="00D47F6F"/>
    <w:rsid w:val="00D50150"/>
    <w:rsid w:val="00D50E6A"/>
    <w:rsid w:val="00D5141B"/>
    <w:rsid w:val="00D51B03"/>
    <w:rsid w:val="00D5228A"/>
    <w:rsid w:val="00D522D8"/>
    <w:rsid w:val="00D52C00"/>
    <w:rsid w:val="00D5366C"/>
    <w:rsid w:val="00D540AA"/>
    <w:rsid w:val="00D5445C"/>
    <w:rsid w:val="00D54ACF"/>
    <w:rsid w:val="00D54D8F"/>
    <w:rsid w:val="00D552D6"/>
    <w:rsid w:val="00D55691"/>
    <w:rsid w:val="00D55F64"/>
    <w:rsid w:val="00D56174"/>
    <w:rsid w:val="00D56497"/>
    <w:rsid w:val="00D56A56"/>
    <w:rsid w:val="00D56DB7"/>
    <w:rsid w:val="00D56EAB"/>
    <w:rsid w:val="00D571E6"/>
    <w:rsid w:val="00D6017F"/>
    <w:rsid w:val="00D6038F"/>
    <w:rsid w:val="00D61360"/>
    <w:rsid w:val="00D61902"/>
    <w:rsid w:val="00D61E5C"/>
    <w:rsid w:val="00D62117"/>
    <w:rsid w:val="00D628D7"/>
    <w:rsid w:val="00D632A3"/>
    <w:rsid w:val="00D63433"/>
    <w:rsid w:val="00D64111"/>
    <w:rsid w:val="00D64BF8"/>
    <w:rsid w:val="00D6536A"/>
    <w:rsid w:val="00D6567C"/>
    <w:rsid w:val="00D65C9C"/>
    <w:rsid w:val="00D660FF"/>
    <w:rsid w:val="00D66AC7"/>
    <w:rsid w:val="00D67344"/>
    <w:rsid w:val="00D70EFB"/>
    <w:rsid w:val="00D71EF3"/>
    <w:rsid w:val="00D729DC"/>
    <w:rsid w:val="00D74FEC"/>
    <w:rsid w:val="00D75066"/>
    <w:rsid w:val="00D772EB"/>
    <w:rsid w:val="00D800A7"/>
    <w:rsid w:val="00D808DE"/>
    <w:rsid w:val="00D8152F"/>
    <w:rsid w:val="00D81637"/>
    <w:rsid w:val="00D8171D"/>
    <w:rsid w:val="00D81AA7"/>
    <w:rsid w:val="00D824C0"/>
    <w:rsid w:val="00D8253B"/>
    <w:rsid w:val="00D82592"/>
    <w:rsid w:val="00D82C87"/>
    <w:rsid w:val="00D82EBE"/>
    <w:rsid w:val="00D83973"/>
    <w:rsid w:val="00D83A84"/>
    <w:rsid w:val="00D84589"/>
    <w:rsid w:val="00D85758"/>
    <w:rsid w:val="00D857DF"/>
    <w:rsid w:val="00D8651E"/>
    <w:rsid w:val="00D86812"/>
    <w:rsid w:val="00D87975"/>
    <w:rsid w:val="00D90D89"/>
    <w:rsid w:val="00D91BEF"/>
    <w:rsid w:val="00D92BCD"/>
    <w:rsid w:val="00D93C66"/>
    <w:rsid w:val="00D959C5"/>
    <w:rsid w:val="00D95AD3"/>
    <w:rsid w:val="00D9694F"/>
    <w:rsid w:val="00D96D81"/>
    <w:rsid w:val="00D971F7"/>
    <w:rsid w:val="00D97438"/>
    <w:rsid w:val="00D97554"/>
    <w:rsid w:val="00D97F22"/>
    <w:rsid w:val="00DA02DA"/>
    <w:rsid w:val="00DA0693"/>
    <w:rsid w:val="00DA1F7D"/>
    <w:rsid w:val="00DA3182"/>
    <w:rsid w:val="00DA352B"/>
    <w:rsid w:val="00DA387D"/>
    <w:rsid w:val="00DA3A03"/>
    <w:rsid w:val="00DA5763"/>
    <w:rsid w:val="00DA60BC"/>
    <w:rsid w:val="00DA625E"/>
    <w:rsid w:val="00DA6F83"/>
    <w:rsid w:val="00DB1277"/>
    <w:rsid w:val="00DB2171"/>
    <w:rsid w:val="00DB2471"/>
    <w:rsid w:val="00DB28C0"/>
    <w:rsid w:val="00DB498E"/>
    <w:rsid w:val="00DB5B76"/>
    <w:rsid w:val="00DB633A"/>
    <w:rsid w:val="00DB6C34"/>
    <w:rsid w:val="00DB7044"/>
    <w:rsid w:val="00DB729F"/>
    <w:rsid w:val="00DB7AED"/>
    <w:rsid w:val="00DC0C21"/>
    <w:rsid w:val="00DC153D"/>
    <w:rsid w:val="00DC1780"/>
    <w:rsid w:val="00DC311F"/>
    <w:rsid w:val="00DC3B48"/>
    <w:rsid w:val="00DC47BC"/>
    <w:rsid w:val="00DC4AC7"/>
    <w:rsid w:val="00DC50FF"/>
    <w:rsid w:val="00DC54E6"/>
    <w:rsid w:val="00DC5C5B"/>
    <w:rsid w:val="00DC7946"/>
    <w:rsid w:val="00DD04EA"/>
    <w:rsid w:val="00DD0D00"/>
    <w:rsid w:val="00DD1AD4"/>
    <w:rsid w:val="00DD23B9"/>
    <w:rsid w:val="00DD28D4"/>
    <w:rsid w:val="00DD472C"/>
    <w:rsid w:val="00DD4E34"/>
    <w:rsid w:val="00DD51C2"/>
    <w:rsid w:val="00DD71D8"/>
    <w:rsid w:val="00DD7674"/>
    <w:rsid w:val="00DD7876"/>
    <w:rsid w:val="00DE0321"/>
    <w:rsid w:val="00DE0A54"/>
    <w:rsid w:val="00DE0A8D"/>
    <w:rsid w:val="00DE2263"/>
    <w:rsid w:val="00DE325E"/>
    <w:rsid w:val="00DE33C1"/>
    <w:rsid w:val="00DE3548"/>
    <w:rsid w:val="00DE45F0"/>
    <w:rsid w:val="00DE4987"/>
    <w:rsid w:val="00DE49B1"/>
    <w:rsid w:val="00DE4E57"/>
    <w:rsid w:val="00DE5460"/>
    <w:rsid w:val="00DE57F7"/>
    <w:rsid w:val="00DE6934"/>
    <w:rsid w:val="00DE752C"/>
    <w:rsid w:val="00DF0456"/>
    <w:rsid w:val="00DF0CBD"/>
    <w:rsid w:val="00DF1F84"/>
    <w:rsid w:val="00DF38AB"/>
    <w:rsid w:val="00DF582F"/>
    <w:rsid w:val="00DF58A4"/>
    <w:rsid w:val="00DF6573"/>
    <w:rsid w:val="00DF7382"/>
    <w:rsid w:val="00DF7518"/>
    <w:rsid w:val="00E007F7"/>
    <w:rsid w:val="00E008B5"/>
    <w:rsid w:val="00E00D29"/>
    <w:rsid w:val="00E00EB7"/>
    <w:rsid w:val="00E00FE4"/>
    <w:rsid w:val="00E01251"/>
    <w:rsid w:val="00E0365C"/>
    <w:rsid w:val="00E036C2"/>
    <w:rsid w:val="00E03901"/>
    <w:rsid w:val="00E03A5E"/>
    <w:rsid w:val="00E03BB2"/>
    <w:rsid w:val="00E04B45"/>
    <w:rsid w:val="00E06589"/>
    <w:rsid w:val="00E06FD3"/>
    <w:rsid w:val="00E0797D"/>
    <w:rsid w:val="00E07DB5"/>
    <w:rsid w:val="00E10E61"/>
    <w:rsid w:val="00E1138F"/>
    <w:rsid w:val="00E11DD3"/>
    <w:rsid w:val="00E12947"/>
    <w:rsid w:val="00E12E4C"/>
    <w:rsid w:val="00E13686"/>
    <w:rsid w:val="00E145CB"/>
    <w:rsid w:val="00E14A11"/>
    <w:rsid w:val="00E16BDB"/>
    <w:rsid w:val="00E178ED"/>
    <w:rsid w:val="00E208B2"/>
    <w:rsid w:val="00E21799"/>
    <w:rsid w:val="00E21B26"/>
    <w:rsid w:val="00E21DC2"/>
    <w:rsid w:val="00E21F7A"/>
    <w:rsid w:val="00E22DED"/>
    <w:rsid w:val="00E2342D"/>
    <w:rsid w:val="00E23BFC"/>
    <w:rsid w:val="00E24B3D"/>
    <w:rsid w:val="00E257B0"/>
    <w:rsid w:val="00E25B56"/>
    <w:rsid w:val="00E25EE1"/>
    <w:rsid w:val="00E27B96"/>
    <w:rsid w:val="00E308A4"/>
    <w:rsid w:val="00E323D8"/>
    <w:rsid w:val="00E326BE"/>
    <w:rsid w:val="00E3326B"/>
    <w:rsid w:val="00E34EA9"/>
    <w:rsid w:val="00E352A8"/>
    <w:rsid w:val="00E361AE"/>
    <w:rsid w:val="00E368D4"/>
    <w:rsid w:val="00E36AB7"/>
    <w:rsid w:val="00E40688"/>
    <w:rsid w:val="00E413D1"/>
    <w:rsid w:val="00E41712"/>
    <w:rsid w:val="00E42093"/>
    <w:rsid w:val="00E42414"/>
    <w:rsid w:val="00E426D7"/>
    <w:rsid w:val="00E42F90"/>
    <w:rsid w:val="00E430EE"/>
    <w:rsid w:val="00E44081"/>
    <w:rsid w:val="00E4424E"/>
    <w:rsid w:val="00E44440"/>
    <w:rsid w:val="00E44AF1"/>
    <w:rsid w:val="00E466AF"/>
    <w:rsid w:val="00E46F4B"/>
    <w:rsid w:val="00E47FD3"/>
    <w:rsid w:val="00E50340"/>
    <w:rsid w:val="00E505A0"/>
    <w:rsid w:val="00E50ADB"/>
    <w:rsid w:val="00E51AD9"/>
    <w:rsid w:val="00E51B65"/>
    <w:rsid w:val="00E52FDB"/>
    <w:rsid w:val="00E536EC"/>
    <w:rsid w:val="00E545F3"/>
    <w:rsid w:val="00E55DB4"/>
    <w:rsid w:val="00E561A7"/>
    <w:rsid w:val="00E56F55"/>
    <w:rsid w:val="00E5752B"/>
    <w:rsid w:val="00E577C0"/>
    <w:rsid w:val="00E57E5E"/>
    <w:rsid w:val="00E61F4A"/>
    <w:rsid w:val="00E6289F"/>
    <w:rsid w:val="00E62E00"/>
    <w:rsid w:val="00E63F17"/>
    <w:rsid w:val="00E6496C"/>
    <w:rsid w:val="00E653F7"/>
    <w:rsid w:val="00E65541"/>
    <w:rsid w:val="00E65646"/>
    <w:rsid w:val="00E65BEA"/>
    <w:rsid w:val="00E65EF3"/>
    <w:rsid w:val="00E67A02"/>
    <w:rsid w:val="00E70890"/>
    <w:rsid w:val="00E71314"/>
    <w:rsid w:val="00E71FC5"/>
    <w:rsid w:val="00E720CF"/>
    <w:rsid w:val="00E7220F"/>
    <w:rsid w:val="00E72769"/>
    <w:rsid w:val="00E73F0C"/>
    <w:rsid w:val="00E73FCB"/>
    <w:rsid w:val="00E74385"/>
    <w:rsid w:val="00E74E8D"/>
    <w:rsid w:val="00E763A6"/>
    <w:rsid w:val="00E769DC"/>
    <w:rsid w:val="00E76E47"/>
    <w:rsid w:val="00E772E0"/>
    <w:rsid w:val="00E77803"/>
    <w:rsid w:val="00E77BA3"/>
    <w:rsid w:val="00E77C2F"/>
    <w:rsid w:val="00E8016B"/>
    <w:rsid w:val="00E80331"/>
    <w:rsid w:val="00E8107E"/>
    <w:rsid w:val="00E83005"/>
    <w:rsid w:val="00E836DB"/>
    <w:rsid w:val="00E8453E"/>
    <w:rsid w:val="00E84561"/>
    <w:rsid w:val="00E84973"/>
    <w:rsid w:val="00E85414"/>
    <w:rsid w:val="00E858FA"/>
    <w:rsid w:val="00E87865"/>
    <w:rsid w:val="00E90CE9"/>
    <w:rsid w:val="00E9130F"/>
    <w:rsid w:val="00E9152B"/>
    <w:rsid w:val="00E91623"/>
    <w:rsid w:val="00E9165E"/>
    <w:rsid w:val="00E930E2"/>
    <w:rsid w:val="00E95FBB"/>
    <w:rsid w:val="00E963CA"/>
    <w:rsid w:val="00EA0697"/>
    <w:rsid w:val="00EA1F59"/>
    <w:rsid w:val="00EA3068"/>
    <w:rsid w:val="00EA31F9"/>
    <w:rsid w:val="00EA3596"/>
    <w:rsid w:val="00EA4482"/>
    <w:rsid w:val="00EA44CC"/>
    <w:rsid w:val="00EA6585"/>
    <w:rsid w:val="00EA76FD"/>
    <w:rsid w:val="00EA783F"/>
    <w:rsid w:val="00EB0068"/>
    <w:rsid w:val="00EB068E"/>
    <w:rsid w:val="00EB0CF0"/>
    <w:rsid w:val="00EB2A36"/>
    <w:rsid w:val="00EB40B5"/>
    <w:rsid w:val="00EB4312"/>
    <w:rsid w:val="00EB467D"/>
    <w:rsid w:val="00EB47A1"/>
    <w:rsid w:val="00EB4A24"/>
    <w:rsid w:val="00EB5372"/>
    <w:rsid w:val="00EB54EA"/>
    <w:rsid w:val="00EB5C14"/>
    <w:rsid w:val="00EB6925"/>
    <w:rsid w:val="00EB6FA6"/>
    <w:rsid w:val="00EB7B82"/>
    <w:rsid w:val="00EC25D7"/>
    <w:rsid w:val="00EC3728"/>
    <w:rsid w:val="00EC3EAD"/>
    <w:rsid w:val="00EC41BD"/>
    <w:rsid w:val="00EC5035"/>
    <w:rsid w:val="00EC54FF"/>
    <w:rsid w:val="00EC57E6"/>
    <w:rsid w:val="00EC5E43"/>
    <w:rsid w:val="00EC5E63"/>
    <w:rsid w:val="00EC6347"/>
    <w:rsid w:val="00ED117C"/>
    <w:rsid w:val="00ED199B"/>
    <w:rsid w:val="00ED1A86"/>
    <w:rsid w:val="00ED27FA"/>
    <w:rsid w:val="00ED2853"/>
    <w:rsid w:val="00ED3195"/>
    <w:rsid w:val="00ED3A7E"/>
    <w:rsid w:val="00ED6215"/>
    <w:rsid w:val="00ED64C4"/>
    <w:rsid w:val="00ED6590"/>
    <w:rsid w:val="00ED6CF1"/>
    <w:rsid w:val="00ED7018"/>
    <w:rsid w:val="00ED732C"/>
    <w:rsid w:val="00ED77FB"/>
    <w:rsid w:val="00ED7B7B"/>
    <w:rsid w:val="00EE11B0"/>
    <w:rsid w:val="00EE1D91"/>
    <w:rsid w:val="00EE1EFA"/>
    <w:rsid w:val="00EE2DCA"/>
    <w:rsid w:val="00EE2FB8"/>
    <w:rsid w:val="00EE3487"/>
    <w:rsid w:val="00EE36BE"/>
    <w:rsid w:val="00EE3722"/>
    <w:rsid w:val="00EE3A98"/>
    <w:rsid w:val="00EE3BD5"/>
    <w:rsid w:val="00EE417F"/>
    <w:rsid w:val="00EE43A2"/>
    <w:rsid w:val="00EE487D"/>
    <w:rsid w:val="00EE4BE2"/>
    <w:rsid w:val="00EE4EDC"/>
    <w:rsid w:val="00EE6643"/>
    <w:rsid w:val="00EE6D3E"/>
    <w:rsid w:val="00EE7ABB"/>
    <w:rsid w:val="00EE7DDB"/>
    <w:rsid w:val="00EE7E4E"/>
    <w:rsid w:val="00EF008B"/>
    <w:rsid w:val="00EF0957"/>
    <w:rsid w:val="00EF0F6A"/>
    <w:rsid w:val="00EF15D0"/>
    <w:rsid w:val="00EF1B9F"/>
    <w:rsid w:val="00EF29A8"/>
    <w:rsid w:val="00EF3BE2"/>
    <w:rsid w:val="00EF3C8C"/>
    <w:rsid w:val="00EF3D63"/>
    <w:rsid w:val="00EF3F92"/>
    <w:rsid w:val="00EF4C9D"/>
    <w:rsid w:val="00EF4DAB"/>
    <w:rsid w:val="00EF69B7"/>
    <w:rsid w:val="00EF78BB"/>
    <w:rsid w:val="00F00082"/>
    <w:rsid w:val="00F00188"/>
    <w:rsid w:val="00F00652"/>
    <w:rsid w:val="00F00FDD"/>
    <w:rsid w:val="00F0143C"/>
    <w:rsid w:val="00F01810"/>
    <w:rsid w:val="00F0253E"/>
    <w:rsid w:val="00F0274C"/>
    <w:rsid w:val="00F0280E"/>
    <w:rsid w:val="00F02CA3"/>
    <w:rsid w:val="00F03F1B"/>
    <w:rsid w:val="00F040AC"/>
    <w:rsid w:val="00F040F0"/>
    <w:rsid w:val="00F046F8"/>
    <w:rsid w:val="00F0470D"/>
    <w:rsid w:val="00F05666"/>
    <w:rsid w:val="00F068C5"/>
    <w:rsid w:val="00F07861"/>
    <w:rsid w:val="00F10F3B"/>
    <w:rsid w:val="00F136B7"/>
    <w:rsid w:val="00F1664B"/>
    <w:rsid w:val="00F16B20"/>
    <w:rsid w:val="00F17BB9"/>
    <w:rsid w:val="00F203BB"/>
    <w:rsid w:val="00F2185B"/>
    <w:rsid w:val="00F22329"/>
    <w:rsid w:val="00F22C50"/>
    <w:rsid w:val="00F23119"/>
    <w:rsid w:val="00F23A56"/>
    <w:rsid w:val="00F23BB6"/>
    <w:rsid w:val="00F25068"/>
    <w:rsid w:val="00F25599"/>
    <w:rsid w:val="00F25659"/>
    <w:rsid w:val="00F25F3A"/>
    <w:rsid w:val="00F27BA2"/>
    <w:rsid w:val="00F301C6"/>
    <w:rsid w:val="00F30C1E"/>
    <w:rsid w:val="00F30D7D"/>
    <w:rsid w:val="00F32020"/>
    <w:rsid w:val="00F32596"/>
    <w:rsid w:val="00F326BF"/>
    <w:rsid w:val="00F3282B"/>
    <w:rsid w:val="00F32B1E"/>
    <w:rsid w:val="00F338DF"/>
    <w:rsid w:val="00F3428B"/>
    <w:rsid w:val="00F3477F"/>
    <w:rsid w:val="00F349BF"/>
    <w:rsid w:val="00F34CBB"/>
    <w:rsid w:val="00F355E1"/>
    <w:rsid w:val="00F357E3"/>
    <w:rsid w:val="00F3693C"/>
    <w:rsid w:val="00F372AD"/>
    <w:rsid w:val="00F37371"/>
    <w:rsid w:val="00F4149D"/>
    <w:rsid w:val="00F428BE"/>
    <w:rsid w:val="00F43102"/>
    <w:rsid w:val="00F43152"/>
    <w:rsid w:val="00F431A5"/>
    <w:rsid w:val="00F43E8D"/>
    <w:rsid w:val="00F4471E"/>
    <w:rsid w:val="00F4475C"/>
    <w:rsid w:val="00F4476B"/>
    <w:rsid w:val="00F44E5F"/>
    <w:rsid w:val="00F44E9F"/>
    <w:rsid w:val="00F44F42"/>
    <w:rsid w:val="00F4725E"/>
    <w:rsid w:val="00F472DA"/>
    <w:rsid w:val="00F479B1"/>
    <w:rsid w:val="00F50BEE"/>
    <w:rsid w:val="00F51338"/>
    <w:rsid w:val="00F52D35"/>
    <w:rsid w:val="00F5305C"/>
    <w:rsid w:val="00F530F5"/>
    <w:rsid w:val="00F53486"/>
    <w:rsid w:val="00F538B3"/>
    <w:rsid w:val="00F53DC9"/>
    <w:rsid w:val="00F5475A"/>
    <w:rsid w:val="00F54F10"/>
    <w:rsid w:val="00F5560F"/>
    <w:rsid w:val="00F55873"/>
    <w:rsid w:val="00F55B65"/>
    <w:rsid w:val="00F56274"/>
    <w:rsid w:val="00F5696C"/>
    <w:rsid w:val="00F60D2D"/>
    <w:rsid w:val="00F61459"/>
    <w:rsid w:val="00F61E5D"/>
    <w:rsid w:val="00F62484"/>
    <w:rsid w:val="00F628AD"/>
    <w:rsid w:val="00F63B5E"/>
    <w:rsid w:val="00F63D6C"/>
    <w:rsid w:val="00F63DB8"/>
    <w:rsid w:val="00F650CF"/>
    <w:rsid w:val="00F6555A"/>
    <w:rsid w:val="00F65D36"/>
    <w:rsid w:val="00F66D64"/>
    <w:rsid w:val="00F70077"/>
    <w:rsid w:val="00F71296"/>
    <w:rsid w:val="00F72016"/>
    <w:rsid w:val="00F7261B"/>
    <w:rsid w:val="00F73103"/>
    <w:rsid w:val="00F7326D"/>
    <w:rsid w:val="00F74F4A"/>
    <w:rsid w:val="00F752B8"/>
    <w:rsid w:val="00F764FE"/>
    <w:rsid w:val="00F76E5A"/>
    <w:rsid w:val="00F77313"/>
    <w:rsid w:val="00F7785B"/>
    <w:rsid w:val="00F77DEB"/>
    <w:rsid w:val="00F80097"/>
    <w:rsid w:val="00F82466"/>
    <w:rsid w:val="00F83EE2"/>
    <w:rsid w:val="00F84253"/>
    <w:rsid w:val="00F8573C"/>
    <w:rsid w:val="00F8608F"/>
    <w:rsid w:val="00F865CB"/>
    <w:rsid w:val="00F86C65"/>
    <w:rsid w:val="00F86CCB"/>
    <w:rsid w:val="00F90F87"/>
    <w:rsid w:val="00F91177"/>
    <w:rsid w:val="00F91FA4"/>
    <w:rsid w:val="00F92DB4"/>
    <w:rsid w:val="00F93C37"/>
    <w:rsid w:val="00F9443D"/>
    <w:rsid w:val="00F94627"/>
    <w:rsid w:val="00F94FF8"/>
    <w:rsid w:val="00F95040"/>
    <w:rsid w:val="00F9540F"/>
    <w:rsid w:val="00F95791"/>
    <w:rsid w:val="00F95D3A"/>
    <w:rsid w:val="00F969B7"/>
    <w:rsid w:val="00F96A6D"/>
    <w:rsid w:val="00FA075D"/>
    <w:rsid w:val="00FA0C88"/>
    <w:rsid w:val="00FA1110"/>
    <w:rsid w:val="00FA1428"/>
    <w:rsid w:val="00FA14AF"/>
    <w:rsid w:val="00FA185A"/>
    <w:rsid w:val="00FA25FD"/>
    <w:rsid w:val="00FA2B2C"/>
    <w:rsid w:val="00FA338C"/>
    <w:rsid w:val="00FA4930"/>
    <w:rsid w:val="00FA49DB"/>
    <w:rsid w:val="00FA5291"/>
    <w:rsid w:val="00FA59FB"/>
    <w:rsid w:val="00FB0275"/>
    <w:rsid w:val="00FB0956"/>
    <w:rsid w:val="00FB0B22"/>
    <w:rsid w:val="00FB222C"/>
    <w:rsid w:val="00FB2513"/>
    <w:rsid w:val="00FB25BF"/>
    <w:rsid w:val="00FB2AA9"/>
    <w:rsid w:val="00FB3738"/>
    <w:rsid w:val="00FB3742"/>
    <w:rsid w:val="00FB402B"/>
    <w:rsid w:val="00FB45C5"/>
    <w:rsid w:val="00FB61CF"/>
    <w:rsid w:val="00FB63B2"/>
    <w:rsid w:val="00FB66EE"/>
    <w:rsid w:val="00FB69B8"/>
    <w:rsid w:val="00FB6AFC"/>
    <w:rsid w:val="00FB785D"/>
    <w:rsid w:val="00FB7F1E"/>
    <w:rsid w:val="00FC08CA"/>
    <w:rsid w:val="00FC1581"/>
    <w:rsid w:val="00FC2A6D"/>
    <w:rsid w:val="00FC4B91"/>
    <w:rsid w:val="00FC54A8"/>
    <w:rsid w:val="00FC5FB0"/>
    <w:rsid w:val="00FC6122"/>
    <w:rsid w:val="00FC7ED1"/>
    <w:rsid w:val="00FD15D6"/>
    <w:rsid w:val="00FD18B0"/>
    <w:rsid w:val="00FD20DD"/>
    <w:rsid w:val="00FD2102"/>
    <w:rsid w:val="00FD2F1D"/>
    <w:rsid w:val="00FD3323"/>
    <w:rsid w:val="00FD4A76"/>
    <w:rsid w:val="00FD4CCC"/>
    <w:rsid w:val="00FD55ED"/>
    <w:rsid w:val="00FD6167"/>
    <w:rsid w:val="00FD623E"/>
    <w:rsid w:val="00FD6732"/>
    <w:rsid w:val="00FD7EA9"/>
    <w:rsid w:val="00FD7FB9"/>
    <w:rsid w:val="00FE03CA"/>
    <w:rsid w:val="00FE05B6"/>
    <w:rsid w:val="00FE0EB9"/>
    <w:rsid w:val="00FE1147"/>
    <w:rsid w:val="00FE1AA0"/>
    <w:rsid w:val="00FE215E"/>
    <w:rsid w:val="00FE2E6B"/>
    <w:rsid w:val="00FE3365"/>
    <w:rsid w:val="00FE5309"/>
    <w:rsid w:val="00FE6185"/>
    <w:rsid w:val="00FE6395"/>
    <w:rsid w:val="00FE69EA"/>
    <w:rsid w:val="00FE7895"/>
    <w:rsid w:val="00FF337C"/>
    <w:rsid w:val="00FF3AB8"/>
    <w:rsid w:val="00FF4AFE"/>
    <w:rsid w:val="00FF4FAF"/>
    <w:rsid w:val="00FF51AD"/>
    <w:rsid w:val="00FF66C0"/>
    <w:rsid w:val="00FF75B5"/>
    <w:rsid w:val="00FF76E9"/>
    <w:rsid w:val="2A94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4F2F4"/>
  <w15:chartTrackingRefBased/>
  <w15:docId w15:val="{C8DC5C86-942D-4715-8967-D1D2E56C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4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C0E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830BD"/>
    <w:pPr>
      <w:spacing w:before="100" w:beforeAutospacing="1" w:after="100" w:afterAutospacing="1"/>
      <w:outlineLvl w:val="1"/>
    </w:pPr>
    <w:rPr>
      <w:b/>
      <w:bCs/>
      <w:sz w:val="36"/>
      <w:szCs w:val="36"/>
      <w:lang w:val="el-GR" w:eastAsia="el-GR"/>
    </w:rPr>
  </w:style>
  <w:style w:type="paragraph" w:styleId="Heading3">
    <w:name w:val="heading 3"/>
    <w:basedOn w:val="Normal"/>
    <w:next w:val="Normal"/>
    <w:link w:val="Heading3Char"/>
    <w:uiPriority w:val="9"/>
    <w:semiHidden/>
    <w:unhideWhenUsed/>
    <w:qFormat/>
    <w:rsid w:val="008C79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D77F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169B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ED3"/>
    <w:rPr>
      <w:color w:val="808080"/>
    </w:rPr>
  </w:style>
  <w:style w:type="character" w:styleId="CommentReference">
    <w:name w:val="annotation reference"/>
    <w:basedOn w:val="DefaultParagraphFont"/>
    <w:uiPriority w:val="99"/>
    <w:semiHidden/>
    <w:unhideWhenUsed/>
    <w:rsid w:val="00F77313"/>
    <w:rPr>
      <w:sz w:val="16"/>
      <w:szCs w:val="16"/>
    </w:rPr>
  </w:style>
  <w:style w:type="paragraph" w:styleId="CommentText">
    <w:name w:val="annotation text"/>
    <w:basedOn w:val="Normal"/>
    <w:link w:val="CommentTextChar"/>
    <w:uiPriority w:val="99"/>
    <w:unhideWhenUsed/>
    <w:rsid w:val="00F77313"/>
    <w:rPr>
      <w:sz w:val="20"/>
      <w:szCs w:val="20"/>
    </w:rPr>
  </w:style>
  <w:style w:type="character" w:customStyle="1" w:styleId="CommentTextChar">
    <w:name w:val="Comment Text Char"/>
    <w:basedOn w:val="DefaultParagraphFont"/>
    <w:link w:val="CommentText"/>
    <w:uiPriority w:val="99"/>
    <w:rsid w:val="00F77313"/>
    <w:rPr>
      <w:sz w:val="20"/>
      <w:szCs w:val="20"/>
    </w:rPr>
  </w:style>
  <w:style w:type="paragraph" w:styleId="CommentSubject">
    <w:name w:val="annotation subject"/>
    <w:basedOn w:val="CommentText"/>
    <w:next w:val="CommentText"/>
    <w:link w:val="CommentSubjectChar"/>
    <w:uiPriority w:val="99"/>
    <w:semiHidden/>
    <w:unhideWhenUsed/>
    <w:rsid w:val="00F77313"/>
    <w:rPr>
      <w:b/>
      <w:bCs/>
    </w:rPr>
  </w:style>
  <w:style w:type="character" w:customStyle="1" w:styleId="CommentSubjectChar">
    <w:name w:val="Comment Subject Char"/>
    <w:basedOn w:val="CommentTextChar"/>
    <w:link w:val="CommentSubject"/>
    <w:uiPriority w:val="99"/>
    <w:semiHidden/>
    <w:rsid w:val="00F77313"/>
    <w:rPr>
      <w:b/>
      <w:bCs/>
      <w:sz w:val="20"/>
      <w:szCs w:val="20"/>
    </w:rPr>
  </w:style>
  <w:style w:type="paragraph" w:styleId="BalloonText">
    <w:name w:val="Balloon Text"/>
    <w:basedOn w:val="Normal"/>
    <w:link w:val="BalloonTextChar"/>
    <w:uiPriority w:val="99"/>
    <w:semiHidden/>
    <w:unhideWhenUsed/>
    <w:rsid w:val="00F77313"/>
    <w:rPr>
      <w:sz w:val="18"/>
      <w:szCs w:val="18"/>
    </w:rPr>
  </w:style>
  <w:style w:type="character" w:customStyle="1" w:styleId="BalloonTextChar">
    <w:name w:val="Balloon Text Char"/>
    <w:basedOn w:val="DefaultParagraphFont"/>
    <w:link w:val="BalloonText"/>
    <w:uiPriority w:val="99"/>
    <w:semiHidden/>
    <w:rsid w:val="00F77313"/>
    <w:rPr>
      <w:rFonts w:ascii="Times New Roman" w:hAnsi="Times New Roman" w:cs="Times New Roman"/>
      <w:sz w:val="18"/>
      <w:szCs w:val="18"/>
    </w:rPr>
  </w:style>
  <w:style w:type="character" w:customStyle="1" w:styleId="apple-converted-space">
    <w:name w:val="apple-converted-space"/>
    <w:basedOn w:val="DefaultParagraphFont"/>
    <w:rsid w:val="006A7484"/>
  </w:style>
  <w:style w:type="character" w:styleId="Hyperlink">
    <w:name w:val="Hyperlink"/>
    <w:basedOn w:val="DefaultParagraphFont"/>
    <w:uiPriority w:val="99"/>
    <w:unhideWhenUsed/>
    <w:rsid w:val="005769E7"/>
    <w:rPr>
      <w:color w:val="0563C1" w:themeColor="hyperlink"/>
      <w:u w:val="single"/>
    </w:rPr>
  </w:style>
  <w:style w:type="character" w:styleId="UnresolvedMention">
    <w:name w:val="Unresolved Mention"/>
    <w:basedOn w:val="DefaultParagraphFont"/>
    <w:uiPriority w:val="99"/>
    <w:semiHidden/>
    <w:unhideWhenUsed/>
    <w:rsid w:val="005769E7"/>
    <w:rPr>
      <w:color w:val="605E5C"/>
      <w:shd w:val="clear" w:color="auto" w:fill="E1DFDD"/>
    </w:rPr>
  </w:style>
  <w:style w:type="paragraph" w:styleId="NormalWeb">
    <w:name w:val="Normal (Web)"/>
    <w:basedOn w:val="Normal"/>
    <w:uiPriority w:val="99"/>
    <w:unhideWhenUsed/>
    <w:rsid w:val="007C7FB8"/>
  </w:style>
  <w:style w:type="paragraph" w:styleId="FootnoteText">
    <w:name w:val="footnote text"/>
    <w:basedOn w:val="Normal"/>
    <w:link w:val="FootnoteTextChar"/>
    <w:uiPriority w:val="99"/>
    <w:unhideWhenUsed/>
    <w:rsid w:val="007C7FB8"/>
    <w:rPr>
      <w:sz w:val="20"/>
      <w:szCs w:val="20"/>
    </w:rPr>
  </w:style>
  <w:style w:type="character" w:customStyle="1" w:styleId="FootnoteTextChar">
    <w:name w:val="Footnote Text Char"/>
    <w:basedOn w:val="DefaultParagraphFont"/>
    <w:link w:val="FootnoteText"/>
    <w:uiPriority w:val="99"/>
    <w:rsid w:val="007C7FB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C7FB8"/>
    <w:rPr>
      <w:vertAlign w:val="superscript"/>
    </w:rPr>
  </w:style>
  <w:style w:type="paragraph" w:styleId="Header">
    <w:name w:val="header"/>
    <w:basedOn w:val="Normal"/>
    <w:link w:val="HeaderChar"/>
    <w:uiPriority w:val="99"/>
    <w:unhideWhenUsed/>
    <w:rsid w:val="000E6142"/>
    <w:pPr>
      <w:tabs>
        <w:tab w:val="center" w:pos="4703"/>
        <w:tab w:val="right" w:pos="9406"/>
      </w:tabs>
    </w:pPr>
  </w:style>
  <w:style w:type="character" w:customStyle="1" w:styleId="HeaderChar">
    <w:name w:val="Header Char"/>
    <w:basedOn w:val="DefaultParagraphFont"/>
    <w:link w:val="Header"/>
    <w:uiPriority w:val="99"/>
    <w:rsid w:val="000E6142"/>
    <w:rPr>
      <w:rFonts w:ascii="Times New Roman" w:eastAsia="Times New Roman" w:hAnsi="Times New Roman" w:cs="Times New Roman"/>
      <w:lang w:eastAsia="en-GB"/>
    </w:rPr>
  </w:style>
  <w:style w:type="paragraph" w:styleId="Footer">
    <w:name w:val="footer"/>
    <w:basedOn w:val="Normal"/>
    <w:link w:val="FooterChar"/>
    <w:uiPriority w:val="99"/>
    <w:unhideWhenUsed/>
    <w:rsid w:val="000E6142"/>
    <w:pPr>
      <w:tabs>
        <w:tab w:val="center" w:pos="4703"/>
        <w:tab w:val="right" w:pos="9406"/>
      </w:tabs>
    </w:pPr>
  </w:style>
  <w:style w:type="character" w:customStyle="1" w:styleId="FooterChar">
    <w:name w:val="Footer Char"/>
    <w:basedOn w:val="DefaultParagraphFont"/>
    <w:link w:val="Footer"/>
    <w:uiPriority w:val="99"/>
    <w:rsid w:val="000E6142"/>
    <w:rPr>
      <w:rFonts w:ascii="Times New Roman" w:eastAsia="Times New Roman" w:hAnsi="Times New Roman" w:cs="Times New Roman"/>
      <w:lang w:eastAsia="en-GB"/>
    </w:rPr>
  </w:style>
  <w:style w:type="character" w:customStyle="1" w:styleId="authors">
    <w:name w:val="authors"/>
    <w:basedOn w:val="DefaultParagraphFont"/>
    <w:rsid w:val="007E582B"/>
  </w:style>
  <w:style w:type="character" w:customStyle="1" w:styleId="author">
    <w:name w:val="author"/>
    <w:basedOn w:val="DefaultParagraphFont"/>
    <w:rsid w:val="007E582B"/>
  </w:style>
  <w:style w:type="character" w:customStyle="1" w:styleId="separator">
    <w:name w:val="separator"/>
    <w:basedOn w:val="DefaultParagraphFont"/>
    <w:rsid w:val="007E582B"/>
  </w:style>
  <w:style w:type="character" w:customStyle="1" w:styleId="entryauthor">
    <w:name w:val="entryauthor"/>
    <w:basedOn w:val="DefaultParagraphFont"/>
    <w:rsid w:val="007E582B"/>
  </w:style>
  <w:style w:type="character" w:customStyle="1" w:styleId="u-visually-hidden">
    <w:name w:val="u-visually-hidden"/>
    <w:basedOn w:val="DefaultParagraphFont"/>
    <w:rsid w:val="00F63DB8"/>
  </w:style>
  <w:style w:type="character" w:customStyle="1" w:styleId="1">
    <w:name w:val="Ημερομηνία1"/>
    <w:basedOn w:val="DefaultParagraphFont"/>
    <w:rsid w:val="00F63DB8"/>
  </w:style>
  <w:style w:type="character" w:customStyle="1" w:styleId="arttitle">
    <w:name w:val="art_title"/>
    <w:basedOn w:val="DefaultParagraphFont"/>
    <w:rsid w:val="00F63DB8"/>
  </w:style>
  <w:style w:type="character" w:customStyle="1" w:styleId="serialtitle">
    <w:name w:val="serial_title"/>
    <w:basedOn w:val="DefaultParagraphFont"/>
    <w:rsid w:val="00F63DB8"/>
  </w:style>
  <w:style w:type="character" w:customStyle="1" w:styleId="volumeissue">
    <w:name w:val="volume_issue"/>
    <w:basedOn w:val="DefaultParagraphFont"/>
    <w:rsid w:val="00F63DB8"/>
  </w:style>
  <w:style w:type="character" w:customStyle="1" w:styleId="pagerange">
    <w:name w:val="page_range"/>
    <w:basedOn w:val="DefaultParagraphFont"/>
    <w:rsid w:val="00F63DB8"/>
  </w:style>
  <w:style w:type="character" w:customStyle="1" w:styleId="a-size-large">
    <w:name w:val="a-size-large"/>
    <w:basedOn w:val="DefaultParagraphFont"/>
    <w:rsid w:val="00F63DB8"/>
  </w:style>
  <w:style w:type="paragraph" w:styleId="BodyText">
    <w:name w:val="Body Text"/>
    <w:basedOn w:val="Normal"/>
    <w:link w:val="BodyTextChar"/>
    <w:uiPriority w:val="99"/>
    <w:unhideWhenUsed/>
    <w:rsid w:val="00F63DB8"/>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F63DB8"/>
    <w:rPr>
      <w:sz w:val="22"/>
      <w:szCs w:val="22"/>
      <w:lang w:val="en-US"/>
    </w:rPr>
  </w:style>
  <w:style w:type="paragraph" w:customStyle="1" w:styleId="Default">
    <w:name w:val="Default"/>
    <w:rsid w:val="00A717B3"/>
    <w:pPr>
      <w:autoSpaceDE w:val="0"/>
      <w:autoSpaceDN w:val="0"/>
      <w:adjustRightInd w:val="0"/>
    </w:pPr>
    <w:rPr>
      <w:rFonts w:ascii="MetaOT-CondBold" w:hAnsi="MetaOT-CondBold" w:cs="MetaOT-CondBold"/>
      <w:color w:val="000000"/>
      <w:lang w:val="el-GR"/>
    </w:rPr>
  </w:style>
  <w:style w:type="character" w:customStyle="1" w:styleId="Heading2Char">
    <w:name w:val="Heading 2 Char"/>
    <w:basedOn w:val="DefaultParagraphFont"/>
    <w:link w:val="Heading2"/>
    <w:uiPriority w:val="9"/>
    <w:rsid w:val="00C830BD"/>
    <w:rPr>
      <w:rFonts w:ascii="Times New Roman" w:eastAsia="Times New Roman" w:hAnsi="Times New Roman" w:cs="Times New Roman"/>
      <w:b/>
      <w:bCs/>
      <w:sz w:val="36"/>
      <w:szCs w:val="36"/>
      <w:lang w:val="el-GR" w:eastAsia="el-GR"/>
    </w:rPr>
  </w:style>
  <w:style w:type="character" w:styleId="Emphasis">
    <w:name w:val="Emphasis"/>
    <w:basedOn w:val="DefaultParagraphFont"/>
    <w:uiPriority w:val="20"/>
    <w:qFormat/>
    <w:rsid w:val="00C830BD"/>
    <w:rPr>
      <w:i/>
      <w:iCs/>
    </w:rPr>
  </w:style>
  <w:style w:type="paragraph" w:styleId="Revision">
    <w:name w:val="Revision"/>
    <w:hidden/>
    <w:uiPriority w:val="99"/>
    <w:semiHidden/>
    <w:rsid w:val="00C830BD"/>
    <w:rPr>
      <w:rFonts w:ascii="Times New Roman" w:eastAsia="Times New Roman" w:hAnsi="Times New Roman" w:cs="Times New Roman"/>
      <w:lang w:eastAsia="en-GB"/>
    </w:rPr>
  </w:style>
  <w:style w:type="character" w:customStyle="1" w:styleId="addmd">
    <w:name w:val="addmd"/>
    <w:basedOn w:val="DefaultParagraphFont"/>
    <w:rsid w:val="001167A6"/>
  </w:style>
  <w:style w:type="character" w:customStyle="1" w:styleId="Heading1Char">
    <w:name w:val="Heading 1 Char"/>
    <w:basedOn w:val="DefaultParagraphFont"/>
    <w:link w:val="Heading1"/>
    <w:uiPriority w:val="9"/>
    <w:rsid w:val="006C0E38"/>
    <w:rPr>
      <w:rFonts w:asciiTheme="majorHAnsi" w:eastAsiaTheme="majorEastAsia" w:hAnsiTheme="majorHAnsi" w:cstheme="majorBidi"/>
      <w:color w:val="2F5496" w:themeColor="accent1" w:themeShade="BF"/>
      <w:sz w:val="32"/>
      <w:szCs w:val="32"/>
      <w:lang w:eastAsia="en-GB"/>
    </w:rPr>
  </w:style>
  <w:style w:type="character" w:customStyle="1" w:styleId="Heading4Char">
    <w:name w:val="Heading 4 Char"/>
    <w:basedOn w:val="DefaultParagraphFont"/>
    <w:link w:val="Heading4"/>
    <w:uiPriority w:val="9"/>
    <w:semiHidden/>
    <w:rsid w:val="00ED77FB"/>
    <w:rPr>
      <w:rFonts w:asciiTheme="majorHAnsi" w:eastAsiaTheme="majorEastAsia" w:hAnsiTheme="majorHAnsi" w:cstheme="majorBidi"/>
      <w:i/>
      <w:iCs/>
      <w:color w:val="2F5496" w:themeColor="accent1" w:themeShade="BF"/>
      <w:lang w:eastAsia="en-GB"/>
    </w:rPr>
  </w:style>
  <w:style w:type="character" w:styleId="Strong">
    <w:name w:val="Strong"/>
    <w:basedOn w:val="DefaultParagraphFont"/>
    <w:uiPriority w:val="22"/>
    <w:qFormat/>
    <w:rsid w:val="00ED77FB"/>
    <w:rPr>
      <w:b/>
      <w:bCs/>
    </w:rPr>
  </w:style>
  <w:style w:type="character" w:customStyle="1" w:styleId="adjust">
    <w:name w:val="adjust"/>
    <w:basedOn w:val="DefaultParagraphFont"/>
    <w:rsid w:val="00ED77FB"/>
  </w:style>
  <w:style w:type="character" w:customStyle="1" w:styleId="st">
    <w:name w:val="st"/>
    <w:basedOn w:val="DefaultParagraphFont"/>
    <w:rsid w:val="00167E62"/>
  </w:style>
  <w:style w:type="character" w:styleId="HTMLCite">
    <w:name w:val="HTML Cite"/>
    <w:basedOn w:val="DefaultParagraphFont"/>
    <w:uiPriority w:val="99"/>
    <w:semiHidden/>
    <w:unhideWhenUsed/>
    <w:rsid w:val="00BE1D7C"/>
    <w:rPr>
      <w:i/>
      <w:iCs/>
    </w:rPr>
  </w:style>
  <w:style w:type="character" w:customStyle="1" w:styleId="title-text">
    <w:name w:val="title-text"/>
    <w:basedOn w:val="DefaultParagraphFont"/>
    <w:rsid w:val="00370969"/>
  </w:style>
  <w:style w:type="character" w:customStyle="1" w:styleId="sr-only">
    <w:name w:val="sr-only"/>
    <w:basedOn w:val="DefaultParagraphFont"/>
    <w:rsid w:val="00370969"/>
  </w:style>
  <w:style w:type="character" w:customStyle="1" w:styleId="text">
    <w:name w:val="text"/>
    <w:basedOn w:val="DefaultParagraphFont"/>
    <w:rsid w:val="00370969"/>
  </w:style>
  <w:style w:type="character" w:customStyle="1" w:styleId="author-ref">
    <w:name w:val="author-ref"/>
    <w:basedOn w:val="DefaultParagraphFont"/>
    <w:rsid w:val="00370969"/>
  </w:style>
  <w:style w:type="character" w:styleId="FollowedHyperlink">
    <w:name w:val="FollowedHyperlink"/>
    <w:basedOn w:val="DefaultParagraphFont"/>
    <w:uiPriority w:val="99"/>
    <w:semiHidden/>
    <w:unhideWhenUsed/>
    <w:rsid w:val="002B01DC"/>
    <w:rPr>
      <w:color w:val="954F72" w:themeColor="followedHyperlink"/>
      <w:u w:val="single"/>
    </w:rPr>
  </w:style>
  <w:style w:type="character" w:customStyle="1" w:styleId="nlmyear">
    <w:name w:val="nlm_year"/>
    <w:basedOn w:val="DefaultParagraphFont"/>
    <w:rsid w:val="001A2A44"/>
  </w:style>
  <w:style w:type="character" w:customStyle="1" w:styleId="nlmarticle-title">
    <w:name w:val="nlm_article-title"/>
    <w:basedOn w:val="DefaultParagraphFont"/>
    <w:rsid w:val="001A2A44"/>
  </w:style>
  <w:style w:type="character" w:customStyle="1" w:styleId="nlmfpage">
    <w:name w:val="nlm_fpage"/>
    <w:basedOn w:val="DefaultParagraphFont"/>
    <w:rsid w:val="001A2A44"/>
  </w:style>
  <w:style w:type="character" w:customStyle="1" w:styleId="nlmlpage">
    <w:name w:val="nlm_lpage"/>
    <w:basedOn w:val="DefaultParagraphFont"/>
    <w:rsid w:val="001A2A44"/>
  </w:style>
  <w:style w:type="character" w:customStyle="1" w:styleId="Heading5Char">
    <w:name w:val="Heading 5 Char"/>
    <w:basedOn w:val="DefaultParagraphFont"/>
    <w:link w:val="Heading5"/>
    <w:uiPriority w:val="9"/>
    <w:rsid w:val="009169BE"/>
    <w:rPr>
      <w:rFonts w:asciiTheme="majorHAnsi" w:eastAsiaTheme="majorEastAsia" w:hAnsiTheme="majorHAnsi" w:cstheme="majorBidi"/>
      <w:color w:val="2F5496" w:themeColor="accent1" w:themeShade="BF"/>
      <w:lang w:eastAsia="en-GB"/>
    </w:rPr>
  </w:style>
  <w:style w:type="character" w:customStyle="1" w:styleId="Heading3Char">
    <w:name w:val="Heading 3 Char"/>
    <w:basedOn w:val="DefaultParagraphFont"/>
    <w:link w:val="Heading3"/>
    <w:uiPriority w:val="9"/>
    <w:semiHidden/>
    <w:rsid w:val="008C79A7"/>
    <w:rPr>
      <w:rFonts w:asciiTheme="majorHAnsi" w:eastAsiaTheme="majorEastAsia" w:hAnsiTheme="majorHAnsi" w:cstheme="majorBidi"/>
      <w:color w:val="1F3763" w:themeColor="accent1" w:themeShade="7F"/>
      <w:lang w:eastAsia="en-GB"/>
    </w:rPr>
  </w:style>
  <w:style w:type="character" w:customStyle="1" w:styleId="preceding-comma">
    <w:name w:val="preceding-comma"/>
    <w:basedOn w:val="DefaultParagraphFont"/>
    <w:rsid w:val="001A077C"/>
  </w:style>
  <w:style w:type="character" w:customStyle="1" w:styleId="volissuepageellipsis">
    <w:name w:val="volissuepageellipsis"/>
    <w:basedOn w:val="DefaultParagraphFont"/>
    <w:rsid w:val="001A077C"/>
  </w:style>
  <w:style w:type="character" w:customStyle="1" w:styleId="highlight">
    <w:name w:val="highlight"/>
    <w:basedOn w:val="DefaultParagraphFont"/>
    <w:rsid w:val="007B644C"/>
  </w:style>
  <w:style w:type="paragraph" w:customStyle="1" w:styleId="journal">
    <w:name w:val="journal"/>
    <w:basedOn w:val="Normal"/>
    <w:rsid w:val="00E12E4C"/>
    <w:pPr>
      <w:spacing w:before="100" w:beforeAutospacing="1" w:after="100" w:afterAutospacing="1"/>
    </w:pPr>
    <w:rPr>
      <w:lang w:val="en-US" w:eastAsia="en-US"/>
    </w:rPr>
  </w:style>
  <w:style w:type="paragraph" w:customStyle="1" w:styleId="pages">
    <w:name w:val="pages"/>
    <w:basedOn w:val="Normal"/>
    <w:rsid w:val="00E12E4C"/>
    <w:pPr>
      <w:spacing w:before="100" w:beforeAutospacing="1" w:after="100" w:afterAutospacing="1"/>
    </w:pPr>
    <w:rPr>
      <w:lang w:val="en-US" w:eastAsia="en-US"/>
    </w:rPr>
  </w:style>
  <w:style w:type="paragraph" w:customStyle="1" w:styleId="nova-e-listitem">
    <w:name w:val="nova-e-list__item"/>
    <w:basedOn w:val="Normal"/>
    <w:rsid w:val="00525D73"/>
    <w:pPr>
      <w:spacing w:before="100" w:beforeAutospacing="1" w:after="100" w:afterAutospacing="1"/>
    </w:pPr>
    <w:rPr>
      <w:lang w:val="en-US" w:eastAsia="en-US"/>
    </w:rPr>
  </w:style>
  <w:style w:type="character" w:customStyle="1" w:styleId="to-cite-box">
    <w:name w:val="to-cite-box"/>
    <w:basedOn w:val="DefaultParagraphFont"/>
    <w:rsid w:val="002264BF"/>
  </w:style>
  <w:style w:type="paragraph" w:styleId="ListParagraph">
    <w:name w:val="List Paragraph"/>
    <w:basedOn w:val="Normal"/>
    <w:uiPriority w:val="34"/>
    <w:qFormat/>
    <w:rsid w:val="00C4598D"/>
    <w:pPr>
      <w:ind w:left="720"/>
      <w:contextualSpacing/>
    </w:pPr>
  </w:style>
  <w:style w:type="table" w:styleId="TableGrid">
    <w:name w:val="Table Grid"/>
    <w:basedOn w:val="TableNormal"/>
    <w:uiPriority w:val="39"/>
    <w:rsid w:val="00707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0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692">
      <w:bodyDiv w:val="1"/>
      <w:marLeft w:val="0"/>
      <w:marRight w:val="0"/>
      <w:marTop w:val="0"/>
      <w:marBottom w:val="0"/>
      <w:divBdr>
        <w:top w:val="none" w:sz="0" w:space="0" w:color="auto"/>
        <w:left w:val="none" w:sz="0" w:space="0" w:color="auto"/>
        <w:bottom w:val="none" w:sz="0" w:space="0" w:color="auto"/>
        <w:right w:val="none" w:sz="0" w:space="0" w:color="auto"/>
      </w:divBdr>
    </w:div>
    <w:div w:id="53355927">
      <w:bodyDiv w:val="1"/>
      <w:marLeft w:val="0"/>
      <w:marRight w:val="0"/>
      <w:marTop w:val="0"/>
      <w:marBottom w:val="0"/>
      <w:divBdr>
        <w:top w:val="none" w:sz="0" w:space="0" w:color="auto"/>
        <w:left w:val="none" w:sz="0" w:space="0" w:color="auto"/>
        <w:bottom w:val="none" w:sz="0" w:space="0" w:color="auto"/>
        <w:right w:val="none" w:sz="0" w:space="0" w:color="auto"/>
      </w:divBdr>
    </w:div>
    <w:div w:id="72822650">
      <w:bodyDiv w:val="1"/>
      <w:marLeft w:val="0"/>
      <w:marRight w:val="0"/>
      <w:marTop w:val="0"/>
      <w:marBottom w:val="0"/>
      <w:divBdr>
        <w:top w:val="none" w:sz="0" w:space="0" w:color="auto"/>
        <w:left w:val="none" w:sz="0" w:space="0" w:color="auto"/>
        <w:bottom w:val="none" w:sz="0" w:space="0" w:color="auto"/>
        <w:right w:val="none" w:sz="0" w:space="0" w:color="auto"/>
      </w:divBdr>
    </w:div>
    <w:div w:id="102651094">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47214445">
      <w:bodyDiv w:val="1"/>
      <w:marLeft w:val="0"/>
      <w:marRight w:val="0"/>
      <w:marTop w:val="0"/>
      <w:marBottom w:val="0"/>
      <w:divBdr>
        <w:top w:val="none" w:sz="0" w:space="0" w:color="auto"/>
        <w:left w:val="none" w:sz="0" w:space="0" w:color="auto"/>
        <w:bottom w:val="none" w:sz="0" w:space="0" w:color="auto"/>
        <w:right w:val="none" w:sz="0" w:space="0" w:color="auto"/>
      </w:divBdr>
      <w:divsChild>
        <w:div w:id="930815075">
          <w:marLeft w:val="0"/>
          <w:marRight w:val="0"/>
          <w:marTop w:val="0"/>
          <w:marBottom w:val="0"/>
          <w:divBdr>
            <w:top w:val="none" w:sz="0" w:space="0" w:color="auto"/>
            <w:left w:val="none" w:sz="0" w:space="0" w:color="auto"/>
            <w:bottom w:val="none" w:sz="0" w:space="0" w:color="auto"/>
            <w:right w:val="none" w:sz="0" w:space="0" w:color="auto"/>
          </w:divBdr>
          <w:divsChild>
            <w:div w:id="1973974706">
              <w:marLeft w:val="0"/>
              <w:marRight w:val="0"/>
              <w:marTop w:val="0"/>
              <w:marBottom w:val="0"/>
              <w:divBdr>
                <w:top w:val="none" w:sz="0" w:space="0" w:color="auto"/>
                <w:left w:val="none" w:sz="0" w:space="0" w:color="auto"/>
                <w:bottom w:val="none" w:sz="0" w:space="0" w:color="auto"/>
                <w:right w:val="none" w:sz="0" w:space="0" w:color="auto"/>
              </w:divBdr>
              <w:divsChild>
                <w:div w:id="421800949">
                  <w:marLeft w:val="0"/>
                  <w:marRight w:val="0"/>
                  <w:marTop w:val="0"/>
                  <w:marBottom w:val="0"/>
                  <w:divBdr>
                    <w:top w:val="none" w:sz="0" w:space="0" w:color="auto"/>
                    <w:left w:val="none" w:sz="0" w:space="0" w:color="auto"/>
                    <w:bottom w:val="none" w:sz="0" w:space="0" w:color="auto"/>
                    <w:right w:val="none" w:sz="0" w:space="0" w:color="auto"/>
                  </w:divBdr>
                  <w:divsChild>
                    <w:div w:id="5953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8594">
      <w:bodyDiv w:val="1"/>
      <w:marLeft w:val="0"/>
      <w:marRight w:val="0"/>
      <w:marTop w:val="0"/>
      <w:marBottom w:val="0"/>
      <w:divBdr>
        <w:top w:val="none" w:sz="0" w:space="0" w:color="auto"/>
        <w:left w:val="none" w:sz="0" w:space="0" w:color="auto"/>
        <w:bottom w:val="none" w:sz="0" w:space="0" w:color="auto"/>
        <w:right w:val="none" w:sz="0" w:space="0" w:color="auto"/>
      </w:divBdr>
    </w:div>
    <w:div w:id="188639672">
      <w:bodyDiv w:val="1"/>
      <w:marLeft w:val="0"/>
      <w:marRight w:val="0"/>
      <w:marTop w:val="0"/>
      <w:marBottom w:val="0"/>
      <w:divBdr>
        <w:top w:val="none" w:sz="0" w:space="0" w:color="auto"/>
        <w:left w:val="none" w:sz="0" w:space="0" w:color="auto"/>
        <w:bottom w:val="none" w:sz="0" w:space="0" w:color="auto"/>
        <w:right w:val="none" w:sz="0" w:space="0" w:color="auto"/>
      </w:divBdr>
    </w:div>
    <w:div w:id="208689956">
      <w:bodyDiv w:val="1"/>
      <w:marLeft w:val="0"/>
      <w:marRight w:val="0"/>
      <w:marTop w:val="0"/>
      <w:marBottom w:val="0"/>
      <w:divBdr>
        <w:top w:val="none" w:sz="0" w:space="0" w:color="auto"/>
        <w:left w:val="none" w:sz="0" w:space="0" w:color="auto"/>
        <w:bottom w:val="none" w:sz="0" w:space="0" w:color="auto"/>
        <w:right w:val="none" w:sz="0" w:space="0" w:color="auto"/>
      </w:divBdr>
      <w:divsChild>
        <w:div w:id="205678973">
          <w:marLeft w:val="0"/>
          <w:marRight w:val="0"/>
          <w:marTop w:val="0"/>
          <w:marBottom w:val="0"/>
          <w:divBdr>
            <w:top w:val="none" w:sz="0" w:space="0" w:color="auto"/>
            <w:left w:val="none" w:sz="0" w:space="0" w:color="auto"/>
            <w:bottom w:val="none" w:sz="0" w:space="0" w:color="auto"/>
            <w:right w:val="none" w:sz="0" w:space="0" w:color="auto"/>
          </w:divBdr>
          <w:divsChild>
            <w:div w:id="295599366">
              <w:marLeft w:val="0"/>
              <w:marRight w:val="0"/>
              <w:marTop w:val="0"/>
              <w:marBottom w:val="0"/>
              <w:divBdr>
                <w:top w:val="none" w:sz="0" w:space="0" w:color="auto"/>
                <w:left w:val="none" w:sz="0" w:space="0" w:color="auto"/>
                <w:bottom w:val="none" w:sz="0" w:space="0" w:color="auto"/>
                <w:right w:val="none" w:sz="0" w:space="0" w:color="auto"/>
              </w:divBdr>
              <w:divsChild>
                <w:div w:id="1410612475">
                  <w:marLeft w:val="0"/>
                  <w:marRight w:val="0"/>
                  <w:marTop w:val="0"/>
                  <w:marBottom w:val="0"/>
                  <w:divBdr>
                    <w:top w:val="none" w:sz="0" w:space="0" w:color="auto"/>
                    <w:left w:val="none" w:sz="0" w:space="0" w:color="auto"/>
                    <w:bottom w:val="none" w:sz="0" w:space="0" w:color="auto"/>
                    <w:right w:val="none" w:sz="0" w:space="0" w:color="auto"/>
                  </w:divBdr>
                  <w:divsChild>
                    <w:div w:id="10617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75766">
      <w:bodyDiv w:val="1"/>
      <w:marLeft w:val="0"/>
      <w:marRight w:val="0"/>
      <w:marTop w:val="0"/>
      <w:marBottom w:val="0"/>
      <w:divBdr>
        <w:top w:val="none" w:sz="0" w:space="0" w:color="auto"/>
        <w:left w:val="none" w:sz="0" w:space="0" w:color="auto"/>
        <w:bottom w:val="none" w:sz="0" w:space="0" w:color="auto"/>
        <w:right w:val="none" w:sz="0" w:space="0" w:color="auto"/>
      </w:divBdr>
    </w:div>
    <w:div w:id="255986443">
      <w:bodyDiv w:val="1"/>
      <w:marLeft w:val="0"/>
      <w:marRight w:val="0"/>
      <w:marTop w:val="0"/>
      <w:marBottom w:val="0"/>
      <w:divBdr>
        <w:top w:val="none" w:sz="0" w:space="0" w:color="auto"/>
        <w:left w:val="none" w:sz="0" w:space="0" w:color="auto"/>
        <w:bottom w:val="none" w:sz="0" w:space="0" w:color="auto"/>
        <w:right w:val="none" w:sz="0" w:space="0" w:color="auto"/>
      </w:divBdr>
    </w:div>
    <w:div w:id="289745952">
      <w:bodyDiv w:val="1"/>
      <w:marLeft w:val="0"/>
      <w:marRight w:val="0"/>
      <w:marTop w:val="0"/>
      <w:marBottom w:val="0"/>
      <w:divBdr>
        <w:top w:val="none" w:sz="0" w:space="0" w:color="auto"/>
        <w:left w:val="none" w:sz="0" w:space="0" w:color="auto"/>
        <w:bottom w:val="none" w:sz="0" w:space="0" w:color="auto"/>
        <w:right w:val="none" w:sz="0" w:space="0" w:color="auto"/>
      </w:divBdr>
      <w:divsChild>
        <w:div w:id="498426292">
          <w:marLeft w:val="0"/>
          <w:marRight w:val="0"/>
          <w:marTop w:val="0"/>
          <w:marBottom w:val="0"/>
          <w:divBdr>
            <w:top w:val="none" w:sz="0" w:space="0" w:color="auto"/>
            <w:left w:val="none" w:sz="0" w:space="0" w:color="auto"/>
            <w:bottom w:val="none" w:sz="0" w:space="0" w:color="auto"/>
            <w:right w:val="none" w:sz="0" w:space="0" w:color="auto"/>
          </w:divBdr>
        </w:div>
        <w:div w:id="1648047685">
          <w:marLeft w:val="0"/>
          <w:marRight w:val="0"/>
          <w:marTop w:val="0"/>
          <w:marBottom w:val="0"/>
          <w:divBdr>
            <w:top w:val="none" w:sz="0" w:space="0" w:color="auto"/>
            <w:left w:val="none" w:sz="0" w:space="0" w:color="auto"/>
            <w:bottom w:val="none" w:sz="0" w:space="0" w:color="auto"/>
            <w:right w:val="none" w:sz="0" w:space="0" w:color="auto"/>
          </w:divBdr>
        </w:div>
      </w:divsChild>
    </w:div>
    <w:div w:id="326640570">
      <w:bodyDiv w:val="1"/>
      <w:marLeft w:val="0"/>
      <w:marRight w:val="0"/>
      <w:marTop w:val="0"/>
      <w:marBottom w:val="0"/>
      <w:divBdr>
        <w:top w:val="none" w:sz="0" w:space="0" w:color="auto"/>
        <w:left w:val="none" w:sz="0" w:space="0" w:color="auto"/>
        <w:bottom w:val="none" w:sz="0" w:space="0" w:color="auto"/>
        <w:right w:val="none" w:sz="0" w:space="0" w:color="auto"/>
      </w:divBdr>
      <w:divsChild>
        <w:div w:id="170879729">
          <w:marLeft w:val="0"/>
          <w:marRight w:val="0"/>
          <w:marTop w:val="0"/>
          <w:marBottom w:val="0"/>
          <w:divBdr>
            <w:top w:val="none" w:sz="0" w:space="0" w:color="auto"/>
            <w:left w:val="none" w:sz="0" w:space="0" w:color="auto"/>
            <w:bottom w:val="none" w:sz="0" w:space="0" w:color="auto"/>
            <w:right w:val="none" w:sz="0" w:space="0" w:color="auto"/>
          </w:divBdr>
        </w:div>
      </w:divsChild>
    </w:div>
    <w:div w:id="352534549">
      <w:bodyDiv w:val="1"/>
      <w:marLeft w:val="0"/>
      <w:marRight w:val="0"/>
      <w:marTop w:val="0"/>
      <w:marBottom w:val="0"/>
      <w:divBdr>
        <w:top w:val="none" w:sz="0" w:space="0" w:color="auto"/>
        <w:left w:val="none" w:sz="0" w:space="0" w:color="auto"/>
        <w:bottom w:val="none" w:sz="0" w:space="0" w:color="auto"/>
        <w:right w:val="none" w:sz="0" w:space="0" w:color="auto"/>
      </w:divBdr>
    </w:div>
    <w:div w:id="362445846">
      <w:bodyDiv w:val="1"/>
      <w:marLeft w:val="0"/>
      <w:marRight w:val="0"/>
      <w:marTop w:val="0"/>
      <w:marBottom w:val="0"/>
      <w:divBdr>
        <w:top w:val="none" w:sz="0" w:space="0" w:color="auto"/>
        <w:left w:val="none" w:sz="0" w:space="0" w:color="auto"/>
        <w:bottom w:val="none" w:sz="0" w:space="0" w:color="auto"/>
        <w:right w:val="none" w:sz="0" w:space="0" w:color="auto"/>
      </w:divBdr>
      <w:divsChild>
        <w:div w:id="516425457">
          <w:marLeft w:val="0"/>
          <w:marRight w:val="0"/>
          <w:marTop w:val="0"/>
          <w:marBottom w:val="120"/>
          <w:divBdr>
            <w:top w:val="none" w:sz="0" w:space="0" w:color="auto"/>
            <w:left w:val="none" w:sz="0" w:space="0" w:color="auto"/>
            <w:bottom w:val="single" w:sz="12" w:space="9" w:color="F0F0F0"/>
            <w:right w:val="none" w:sz="0" w:space="0" w:color="auto"/>
          </w:divBdr>
          <w:divsChild>
            <w:div w:id="1731885669">
              <w:marLeft w:val="0"/>
              <w:marRight w:val="0"/>
              <w:marTop w:val="100"/>
              <w:marBottom w:val="100"/>
              <w:divBdr>
                <w:top w:val="none" w:sz="0" w:space="0" w:color="auto"/>
                <w:left w:val="none" w:sz="0" w:space="0" w:color="auto"/>
                <w:bottom w:val="none" w:sz="0" w:space="0" w:color="auto"/>
                <w:right w:val="none" w:sz="0" w:space="0" w:color="auto"/>
              </w:divBdr>
              <w:divsChild>
                <w:div w:id="333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19116">
          <w:marLeft w:val="0"/>
          <w:marRight w:val="0"/>
          <w:marTop w:val="0"/>
          <w:marBottom w:val="120"/>
          <w:divBdr>
            <w:top w:val="none" w:sz="0" w:space="0" w:color="auto"/>
            <w:left w:val="none" w:sz="0" w:space="0" w:color="auto"/>
            <w:bottom w:val="none" w:sz="0" w:space="0" w:color="auto"/>
            <w:right w:val="none" w:sz="0" w:space="0" w:color="auto"/>
          </w:divBdr>
          <w:divsChild>
            <w:div w:id="785587355">
              <w:marLeft w:val="0"/>
              <w:marRight w:val="0"/>
              <w:marTop w:val="0"/>
              <w:marBottom w:val="0"/>
              <w:divBdr>
                <w:top w:val="none" w:sz="0" w:space="0" w:color="auto"/>
                <w:left w:val="none" w:sz="0" w:space="0" w:color="auto"/>
                <w:bottom w:val="none" w:sz="0" w:space="0" w:color="auto"/>
                <w:right w:val="none" w:sz="0" w:space="0" w:color="auto"/>
              </w:divBdr>
              <w:divsChild>
                <w:div w:id="371921706">
                  <w:marLeft w:val="0"/>
                  <w:marRight w:val="0"/>
                  <w:marTop w:val="0"/>
                  <w:marBottom w:val="0"/>
                  <w:divBdr>
                    <w:top w:val="none" w:sz="0" w:space="0" w:color="auto"/>
                    <w:left w:val="none" w:sz="0" w:space="0" w:color="auto"/>
                    <w:bottom w:val="none" w:sz="0" w:space="0" w:color="auto"/>
                    <w:right w:val="none" w:sz="0" w:space="0" w:color="auto"/>
                  </w:divBdr>
                  <w:divsChild>
                    <w:div w:id="11171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24805">
      <w:bodyDiv w:val="1"/>
      <w:marLeft w:val="0"/>
      <w:marRight w:val="0"/>
      <w:marTop w:val="0"/>
      <w:marBottom w:val="0"/>
      <w:divBdr>
        <w:top w:val="none" w:sz="0" w:space="0" w:color="auto"/>
        <w:left w:val="none" w:sz="0" w:space="0" w:color="auto"/>
        <w:bottom w:val="none" w:sz="0" w:space="0" w:color="auto"/>
        <w:right w:val="none" w:sz="0" w:space="0" w:color="auto"/>
      </w:divBdr>
    </w:div>
    <w:div w:id="390617487">
      <w:bodyDiv w:val="1"/>
      <w:marLeft w:val="0"/>
      <w:marRight w:val="0"/>
      <w:marTop w:val="0"/>
      <w:marBottom w:val="0"/>
      <w:divBdr>
        <w:top w:val="none" w:sz="0" w:space="0" w:color="auto"/>
        <w:left w:val="none" w:sz="0" w:space="0" w:color="auto"/>
        <w:bottom w:val="none" w:sz="0" w:space="0" w:color="auto"/>
        <w:right w:val="none" w:sz="0" w:space="0" w:color="auto"/>
      </w:divBdr>
    </w:div>
    <w:div w:id="392511878">
      <w:bodyDiv w:val="1"/>
      <w:marLeft w:val="0"/>
      <w:marRight w:val="0"/>
      <w:marTop w:val="0"/>
      <w:marBottom w:val="0"/>
      <w:divBdr>
        <w:top w:val="none" w:sz="0" w:space="0" w:color="auto"/>
        <w:left w:val="none" w:sz="0" w:space="0" w:color="auto"/>
        <w:bottom w:val="none" w:sz="0" w:space="0" w:color="auto"/>
        <w:right w:val="none" w:sz="0" w:space="0" w:color="auto"/>
      </w:divBdr>
    </w:div>
    <w:div w:id="446044704">
      <w:bodyDiv w:val="1"/>
      <w:marLeft w:val="0"/>
      <w:marRight w:val="0"/>
      <w:marTop w:val="0"/>
      <w:marBottom w:val="0"/>
      <w:divBdr>
        <w:top w:val="none" w:sz="0" w:space="0" w:color="auto"/>
        <w:left w:val="none" w:sz="0" w:space="0" w:color="auto"/>
        <w:bottom w:val="none" w:sz="0" w:space="0" w:color="auto"/>
        <w:right w:val="none" w:sz="0" w:space="0" w:color="auto"/>
      </w:divBdr>
      <w:divsChild>
        <w:div w:id="447629698">
          <w:marLeft w:val="0"/>
          <w:marRight w:val="0"/>
          <w:marTop w:val="0"/>
          <w:marBottom w:val="0"/>
          <w:divBdr>
            <w:top w:val="none" w:sz="0" w:space="0" w:color="auto"/>
            <w:left w:val="none" w:sz="0" w:space="0" w:color="auto"/>
            <w:bottom w:val="none" w:sz="0" w:space="0" w:color="auto"/>
            <w:right w:val="none" w:sz="0" w:space="0" w:color="auto"/>
          </w:divBdr>
          <w:divsChild>
            <w:div w:id="807747916">
              <w:marLeft w:val="0"/>
              <w:marRight w:val="0"/>
              <w:marTop w:val="0"/>
              <w:marBottom w:val="0"/>
              <w:divBdr>
                <w:top w:val="none" w:sz="0" w:space="0" w:color="auto"/>
                <w:left w:val="none" w:sz="0" w:space="0" w:color="auto"/>
                <w:bottom w:val="none" w:sz="0" w:space="0" w:color="auto"/>
                <w:right w:val="none" w:sz="0" w:space="0" w:color="auto"/>
              </w:divBdr>
              <w:divsChild>
                <w:div w:id="20630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8491">
      <w:bodyDiv w:val="1"/>
      <w:marLeft w:val="0"/>
      <w:marRight w:val="0"/>
      <w:marTop w:val="0"/>
      <w:marBottom w:val="0"/>
      <w:divBdr>
        <w:top w:val="none" w:sz="0" w:space="0" w:color="auto"/>
        <w:left w:val="none" w:sz="0" w:space="0" w:color="auto"/>
        <w:bottom w:val="none" w:sz="0" w:space="0" w:color="auto"/>
        <w:right w:val="none" w:sz="0" w:space="0" w:color="auto"/>
      </w:divBdr>
    </w:div>
    <w:div w:id="526991841">
      <w:bodyDiv w:val="1"/>
      <w:marLeft w:val="0"/>
      <w:marRight w:val="0"/>
      <w:marTop w:val="0"/>
      <w:marBottom w:val="0"/>
      <w:divBdr>
        <w:top w:val="none" w:sz="0" w:space="0" w:color="auto"/>
        <w:left w:val="none" w:sz="0" w:space="0" w:color="auto"/>
        <w:bottom w:val="none" w:sz="0" w:space="0" w:color="auto"/>
        <w:right w:val="none" w:sz="0" w:space="0" w:color="auto"/>
      </w:divBdr>
    </w:div>
    <w:div w:id="534776949">
      <w:bodyDiv w:val="1"/>
      <w:marLeft w:val="0"/>
      <w:marRight w:val="0"/>
      <w:marTop w:val="0"/>
      <w:marBottom w:val="0"/>
      <w:divBdr>
        <w:top w:val="none" w:sz="0" w:space="0" w:color="auto"/>
        <w:left w:val="none" w:sz="0" w:space="0" w:color="auto"/>
        <w:bottom w:val="none" w:sz="0" w:space="0" w:color="auto"/>
        <w:right w:val="none" w:sz="0" w:space="0" w:color="auto"/>
      </w:divBdr>
    </w:div>
    <w:div w:id="570890326">
      <w:bodyDiv w:val="1"/>
      <w:marLeft w:val="0"/>
      <w:marRight w:val="0"/>
      <w:marTop w:val="0"/>
      <w:marBottom w:val="0"/>
      <w:divBdr>
        <w:top w:val="none" w:sz="0" w:space="0" w:color="auto"/>
        <w:left w:val="none" w:sz="0" w:space="0" w:color="auto"/>
        <w:bottom w:val="none" w:sz="0" w:space="0" w:color="auto"/>
        <w:right w:val="none" w:sz="0" w:space="0" w:color="auto"/>
      </w:divBdr>
      <w:divsChild>
        <w:div w:id="851650528">
          <w:marLeft w:val="0"/>
          <w:marRight w:val="0"/>
          <w:marTop w:val="0"/>
          <w:marBottom w:val="0"/>
          <w:divBdr>
            <w:top w:val="none" w:sz="0" w:space="0" w:color="auto"/>
            <w:left w:val="none" w:sz="0" w:space="0" w:color="auto"/>
            <w:bottom w:val="none" w:sz="0" w:space="0" w:color="auto"/>
            <w:right w:val="none" w:sz="0" w:space="0" w:color="auto"/>
          </w:divBdr>
        </w:div>
      </w:divsChild>
    </w:div>
    <w:div w:id="572082889">
      <w:bodyDiv w:val="1"/>
      <w:marLeft w:val="0"/>
      <w:marRight w:val="0"/>
      <w:marTop w:val="0"/>
      <w:marBottom w:val="0"/>
      <w:divBdr>
        <w:top w:val="none" w:sz="0" w:space="0" w:color="auto"/>
        <w:left w:val="none" w:sz="0" w:space="0" w:color="auto"/>
        <w:bottom w:val="none" w:sz="0" w:space="0" w:color="auto"/>
        <w:right w:val="none" w:sz="0" w:space="0" w:color="auto"/>
      </w:divBdr>
    </w:div>
    <w:div w:id="591938191">
      <w:bodyDiv w:val="1"/>
      <w:marLeft w:val="0"/>
      <w:marRight w:val="0"/>
      <w:marTop w:val="0"/>
      <w:marBottom w:val="0"/>
      <w:divBdr>
        <w:top w:val="none" w:sz="0" w:space="0" w:color="auto"/>
        <w:left w:val="none" w:sz="0" w:space="0" w:color="auto"/>
        <w:bottom w:val="none" w:sz="0" w:space="0" w:color="auto"/>
        <w:right w:val="none" w:sz="0" w:space="0" w:color="auto"/>
      </w:divBdr>
    </w:div>
    <w:div w:id="634875278">
      <w:bodyDiv w:val="1"/>
      <w:marLeft w:val="0"/>
      <w:marRight w:val="0"/>
      <w:marTop w:val="0"/>
      <w:marBottom w:val="0"/>
      <w:divBdr>
        <w:top w:val="none" w:sz="0" w:space="0" w:color="auto"/>
        <w:left w:val="none" w:sz="0" w:space="0" w:color="auto"/>
        <w:bottom w:val="none" w:sz="0" w:space="0" w:color="auto"/>
        <w:right w:val="none" w:sz="0" w:space="0" w:color="auto"/>
      </w:divBdr>
    </w:div>
    <w:div w:id="647630298">
      <w:bodyDiv w:val="1"/>
      <w:marLeft w:val="0"/>
      <w:marRight w:val="0"/>
      <w:marTop w:val="0"/>
      <w:marBottom w:val="0"/>
      <w:divBdr>
        <w:top w:val="none" w:sz="0" w:space="0" w:color="auto"/>
        <w:left w:val="none" w:sz="0" w:space="0" w:color="auto"/>
        <w:bottom w:val="none" w:sz="0" w:space="0" w:color="auto"/>
        <w:right w:val="none" w:sz="0" w:space="0" w:color="auto"/>
      </w:divBdr>
    </w:div>
    <w:div w:id="649748050">
      <w:bodyDiv w:val="1"/>
      <w:marLeft w:val="0"/>
      <w:marRight w:val="0"/>
      <w:marTop w:val="0"/>
      <w:marBottom w:val="0"/>
      <w:divBdr>
        <w:top w:val="none" w:sz="0" w:space="0" w:color="auto"/>
        <w:left w:val="none" w:sz="0" w:space="0" w:color="auto"/>
        <w:bottom w:val="none" w:sz="0" w:space="0" w:color="auto"/>
        <w:right w:val="none" w:sz="0" w:space="0" w:color="auto"/>
      </w:divBdr>
    </w:div>
    <w:div w:id="672562930">
      <w:bodyDiv w:val="1"/>
      <w:marLeft w:val="0"/>
      <w:marRight w:val="0"/>
      <w:marTop w:val="0"/>
      <w:marBottom w:val="0"/>
      <w:divBdr>
        <w:top w:val="none" w:sz="0" w:space="0" w:color="auto"/>
        <w:left w:val="none" w:sz="0" w:space="0" w:color="auto"/>
        <w:bottom w:val="none" w:sz="0" w:space="0" w:color="auto"/>
        <w:right w:val="none" w:sz="0" w:space="0" w:color="auto"/>
      </w:divBdr>
      <w:divsChild>
        <w:div w:id="384262705">
          <w:marLeft w:val="0"/>
          <w:marRight w:val="0"/>
          <w:marTop w:val="0"/>
          <w:marBottom w:val="0"/>
          <w:divBdr>
            <w:top w:val="none" w:sz="0" w:space="0" w:color="auto"/>
            <w:left w:val="none" w:sz="0" w:space="0" w:color="auto"/>
            <w:bottom w:val="none" w:sz="0" w:space="0" w:color="auto"/>
            <w:right w:val="none" w:sz="0" w:space="0" w:color="auto"/>
          </w:divBdr>
        </w:div>
        <w:div w:id="562833431">
          <w:marLeft w:val="0"/>
          <w:marRight w:val="0"/>
          <w:marTop w:val="0"/>
          <w:marBottom w:val="0"/>
          <w:divBdr>
            <w:top w:val="none" w:sz="0" w:space="0" w:color="auto"/>
            <w:left w:val="none" w:sz="0" w:space="0" w:color="auto"/>
            <w:bottom w:val="none" w:sz="0" w:space="0" w:color="auto"/>
            <w:right w:val="none" w:sz="0" w:space="0" w:color="auto"/>
          </w:divBdr>
          <w:divsChild>
            <w:div w:id="460460684">
              <w:marLeft w:val="0"/>
              <w:marRight w:val="0"/>
              <w:marTop w:val="0"/>
              <w:marBottom w:val="0"/>
              <w:divBdr>
                <w:top w:val="none" w:sz="0" w:space="0" w:color="auto"/>
                <w:left w:val="none" w:sz="0" w:space="0" w:color="auto"/>
                <w:bottom w:val="none" w:sz="0" w:space="0" w:color="auto"/>
                <w:right w:val="none" w:sz="0" w:space="0" w:color="auto"/>
              </w:divBdr>
              <w:divsChild>
                <w:div w:id="1018509968">
                  <w:marLeft w:val="0"/>
                  <w:marRight w:val="0"/>
                  <w:marTop w:val="0"/>
                  <w:marBottom w:val="0"/>
                  <w:divBdr>
                    <w:top w:val="none" w:sz="0" w:space="0" w:color="auto"/>
                    <w:left w:val="none" w:sz="0" w:space="0" w:color="auto"/>
                    <w:bottom w:val="none" w:sz="0" w:space="0" w:color="auto"/>
                    <w:right w:val="none" w:sz="0" w:space="0" w:color="auto"/>
                  </w:divBdr>
                </w:div>
                <w:div w:id="5346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9327">
      <w:bodyDiv w:val="1"/>
      <w:marLeft w:val="0"/>
      <w:marRight w:val="0"/>
      <w:marTop w:val="0"/>
      <w:marBottom w:val="0"/>
      <w:divBdr>
        <w:top w:val="none" w:sz="0" w:space="0" w:color="auto"/>
        <w:left w:val="none" w:sz="0" w:space="0" w:color="auto"/>
        <w:bottom w:val="none" w:sz="0" w:space="0" w:color="auto"/>
        <w:right w:val="none" w:sz="0" w:space="0" w:color="auto"/>
      </w:divBdr>
      <w:divsChild>
        <w:div w:id="1867667975">
          <w:marLeft w:val="0"/>
          <w:marRight w:val="0"/>
          <w:marTop w:val="0"/>
          <w:marBottom w:val="0"/>
          <w:divBdr>
            <w:top w:val="none" w:sz="0" w:space="0" w:color="auto"/>
            <w:left w:val="none" w:sz="0" w:space="0" w:color="auto"/>
            <w:bottom w:val="none" w:sz="0" w:space="0" w:color="auto"/>
            <w:right w:val="none" w:sz="0" w:space="0" w:color="auto"/>
          </w:divBdr>
        </w:div>
        <w:div w:id="1762753639">
          <w:marLeft w:val="0"/>
          <w:marRight w:val="0"/>
          <w:marTop w:val="0"/>
          <w:marBottom w:val="0"/>
          <w:divBdr>
            <w:top w:val="none" w:sz="0" w:space="0" w:color="auto"/>
            <w:left w:val="none" w:sz="0" w:space="0" w:color="auto"/>
            <w:bottom w:val="none" w:sz="0" w:space="0" w:color="auto"/>
            <w:right w:val="none" w:sz="0" w:space="0" w:color="auto"/>
          </w:divBdr>
        </w:div>
      </w:divsChild>
    </w:div>
    <w:div w:id="695345697">
      <w:bodyDiv w:val="1"/>
      <w:marLeft w:val="0"/>
      <w:marRight w:val="0"/>
      <w:marTop w:val="0"/>
      <w:marBottom w:val="0"/>
      <w:divBdr>
        <w:top w:val="none" w:sz="0" w:space="0" w:color="auto"/>
        <w:left w:val="none" w:sz="0" w:space="0" w:color="auto"/>
        <w:bottom w:val="none" w:sz="0" w:space="0" w:color="auto"/>
        <w:right w:val="none" w:sz="0" w:space="0" w:color="auto"/>
      </w:divBdr>
    </w:div>
    <w:div w:id="727149014">
      <w:bodyDiv w:val="1"/>
      <w:marLeft w:val="0"/>
      <w:marRight w:val="0"/>
      <w:marTop w:val="0"/>
      <w:marBottom w:val="0"/>
      <w:divBdr>
        <w:top w:val="none" w:sz="0" w:space="0" w:color="auto"/>
        <w:left w:val="none" w:sz="0" w:space="0" w:color="auto"/>
        <w:bottom w:val="none" w:sz="0" w:space="0" w:color="auto"/>
        <w:right w:val="none" w:sz="0" w:space="0" w:color="auto"/>
      </w:divBdr>
    </w:div>
    <w:div w:id="731463019">
      <w:bodyDiv w:val="1"/>
      <w:marLeft w:val="0"/>
      <w:marRight w:val="0"/>
      <w:marTop w:val="0"/>
      <w:marBottom w:val="0"/>
      <w:divBdr>
        <w:top w:val="none" w:sz="0" w:space="0" w:color="auto"/>
        <w:left w:val="none" w:sz="0" w:space="0" w:color="auto"/>
        <w:bottom w:val="none" w:sz="0" w:space="0" w:color="auto"/>
        <w:right w:val="none" w:sz="0" w:space="0" w:color="auto"/>
      </w:divBdr>
    </w:div>
    <w:div w:id="738023279">
      <w:bodyDiv w:val="1"/>
      <w:marLeft w:val="0"/>
      <w:marRight w:val="0"/>
      <w:marTop w:val="0"/>
      <w:marBottom w:val="0"/>
      <w:divBdr>
        <w:top w:val="none" w:sz="0" w:space="0" w:color="auto"/>
        <w:left w:val="none" w:sz="0" w:space="0" w:color="auto"/>
        <w:bottom w:val="none" w:sz="0" w:space="0" w:color="auto"/>
        <w:right w:val="none" w:sz="0" w:space="0" w:color="auto"/>
      </w:divBdr>
    </w:div>
    <w:div w:id="742532086">
      <w:bodyDiv w:val="1"/>
      <w:marLeft w:val="0"/>
      <w:marRight w:val="0"/>
      <w:marTop w:val="0"/>
      <w:marBottom w:val="0"/>
      <w:divBdr>
        <w:top w:val="none" w:sz="0" w:space="0" w:color="auto"/>
        <w:left w:val="none" w:sz="0" w:space="0" w:color="auto"/>
        <w:bottom w:val="none" w:sz="0" w:space="0" w:color="auto"/>
        <w:right w:val="none" w:sz="0" w:space="0" w:color="auto"/>
      </w:divBdr>
    </w:div>
    <w:div w:id="744761662">
      <w:bodyDiv w:val="1"/>
      <w:marLeft w:val="0"/>
      <w:marRight w:val="0"/>
      <w:marTop w:val="0"/>
      <w:marBottom w:val="0"/>
      <w:divBdr>
        <w:top w:val="none" w:sz="0" w:space="0" w:color="auto"/>
        <w:left w:val="none" w:sz="0" w:space="0" w:color="auto"/>
        <w:bottom w:val="none" w:sz="0" w:space="0" w:color="auto"/>
        <w:right w:val="none" w:sz="0" w:space="0" w:color="auto"/>
      </w:divBdr>
    </w:div>
    <w:div w:id="757097489">
      <w:bodyDiv w:val="1"/>
      <w:marLeft w:val="0"/>
      <w:marRight w:val="0"/>
      <w:marTop w:val="0"/>
      <w:marBottom w:val="0"/>
      <w:divBdr>
        <w:top w:val="none" w:sz="0" w:space="0" w:color="auto"/>
        <w:left w:val="none" w:sz="0" w:space="0" w:color="auto"/>
        <w:bottom w:val="none" w:sz="0" w:space="0" w:color="auto"/>
        <w:right w:val="none" w:sz="0" w:space="0" w:color="auto"/>
      </w:divBdr>
    </w:div>
    <w:div w:id="793251361">
      <w:bodyDiv w:val="1"/>
      <w:marLeft w:val="0"/>
      <w:marRight w:val="0"/>
      <w:marTop w:val="0"/>
      <w:marBottom w:val="0"/>
      <w:divBdr>
        <w:top w:val="none" w:sz="0" w:space="0" w:color="auto"/>
        <w:left w:val="none" w:sz="0" w:space="0" w:color="auto"/>
        <w:bottom w:val="none" w:sz="0" w:space="0" w:color="auto"/>
        <w:right w:val="none" w:sz="0" w:space="0" w:color="auto"/>
      </w:divBdr>
      <w:divsChild>
        <w:div w:id="138621673">
          <w:marLeft w:val="0"/>
          <w:marRight w:val="0"/>
          <w:marTop w:val="0"/>
          <w:marBottom w:val="0"/>
          <w:divBdr>
            <w:top w:val="none" w:sz="0" w:space="0" w:color="auto"/>
            <w:left w:val="none" w:sz="0" w:space="0" w:color="auto"/>
            <w:bottom w:val="none" w:sz="0" w:space="0" w:color="auto"/>
            <w:right w:val="none" w:sz="0" w:space="0" w:color="auto"/>
          </w:divBdr>
          <w:divsChild>
            <w:div w:id="2045908977">
              <w:marLeft w:val="0"/>
              <w:marRight w:val="0"/>
              <w:marTop w:val="0"/>
              <w:marBottom w:val="0"/>
              <w:divBdr>
                <w:top w:val="none" w:sz="0" w:space="0" w:color="auto"/>
                <w:left w:val="none" w:sz="0" w:space="0" w:color="auto"/>
                <w:bottom w:val="none" w:sz="0" w:space="0" w:color="auto"/>
                <w:right w:val="none" w:sz="0" w:space="0" w:color="auto"/>
              </w:divBdr>
              <w:divsChild>
                <w:div w:id="3735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40749">
      <w:bodyDiv w:val="1"/>
      <w:marLeft w:val="0"/>
      <w:marRight w:val="0"/>
      <w:marTop w:val="0"/>
      <w:marBottom w:val="0"/>
      <w:divBdr>
        <w:top w:val="none" w:sz="0" w:space="0" w:color="auto"/>
        <w:left w:val="none" w:sz="0" w:space="0" w:color="auto"/>
        <w:bottom w:val="none" w:sz="0" w:space="0" w:color="auto"/>
        <w:right w:val="none" w:sz="0" w:space="0" w:color="auto"/>
      </w:divBdr>
    </w:div>
    <w:div w:id="816800600">
      <w:bodyDiv w:val="1"/>
      <w:marLeft w:val="0"/>
      <w:marRight w:val="0"/>
      <w:marTop w:val="0"/>
      <w:marBottom w:val="0"/>
      <w:divBdr>
        <w:top w:val="none" w:sz="0" w:space="0" w:color="auto"/>
        <w:left w:val="none" w:sz="0" w:space="0" w:color="auto"/>
        <w:bottom w:val="none" w:sz="0" w:space="0" w:color="auto"/>
        <w:right w:val="none" w:sz="0" w:space="0" w:color="auto"/>
      </w:divBdr>
    </w:div>
    <w:div w:id="823472822">
      <w:bodyDiv w:val="1"/>
      <w:marLeft w:val="0"/>
      <w:marRight w:val="0"/>
      <w:marTop w:val="0"/>
      <w:marBottom w:val="0"/>
      <w:divBdr>
        <w:top w:val="none" w:sz="0" w:space="0" w:color="auto"/>
        <w:left w:val="none" w:sz="0" w:space="0" w:color="auto"/>
        <w:bottom w:val="none" w:sz="0" w:space="0" w:color="auto"/>
        <w:right w:val="none" w:sz="0" w:space="0" w:color="auto"/>
      </w:divBdr>
    </w:div>
    <w:div w:id="829372683">
      <w:bodyDiv w:val="1"/>
      <w:marLeft w:val="0"/>
      <w:marRight w:val="0"/>
      <w:marTop w:val="0"/>
      <w:marBottom w:val="0"/>
      <w:divBdr>
        <w:top w:val="none" w:sz="0" w:space="0" w:color="auto"/>
        <w:left w:val="none" w:sz="0" w:space="0" w:color="auto"/>
        <w:bottom w:val="none" w:sz="0" w:space="0" w:color="auto"/>
        <w:right w:val="none" w:sz="0" w:space="0" w:color="auto"/>
      </w:divBdr>
    </w:div>
    <w:div w:id="833571025">
      <w:bodyDiv w:val="1"/>
      <w:marLeft w:val="0"/>
      <w:marRight w:val="0"/>
      <w:marTop w:val="0"/>
      <w:marBottom w:val="0"/>
      <w:divBdr>
        <w:top w:val="none" w:sz="0" w:space="0" w:color="auto"/>
        <w:left w:val="none" w:sz="0" w:space="0" w:color="auto"/>
        <w:bottom w:val="none" w:sz="0" w:space="0" w:color="auto"/>
        <w:right w:val="none" w:sz="0" w:space="0" w:color="auto"/>
      </w:divBdr>
    </w:div>
    <w:div w:id="852063116">
      <w:bodyDiv w:val="1"/>
      <w:marLeft w:val="0"/>
      <w:marRight w:val="0"/>
      <w:marTop w:val="0"/>
      <w:marBottom w:val="0"/>
      <w:divBdr>
        <w:top w:val="none" w:sz="0" w:space="0" w:color="auto"/>
        <w:left w:val="none" w:sz="0" w:space="0" w:color="auto"/>
        <w:bottom w:val="none" w:sz="0" w:space="0" w:color="auto"/>
        <w:right w:val="none" w:sz="0" w:space="0" w:color="auto"/>
      </w:divBdr>
    </w:div>
    <w:div w:id="901908949">
      <w:bodyDiv w:val="1"/>
      <w:marLeft w:val="0"/>
      <w:marRight w:val="0"/>
      <w:marTop w:val="0"/>
      <w:marBottom w:val="0"/>
      <w:divBdr>
        <w:top w:val="none" w:sz="0" w:space="0" w:color="auto"/>
        <w:left w:val="none" w:sz="0" w:space="0" w:color="auto"/>
        <w:bottom w:val="none" w:sz="0" w:space="0" w:color="auto"/>
        <w:right w:val="none" w:sz="0" w:space="0" w:color="auto"/>
      </w:divBdr>
    </w:div>
    <w:div w:id="904951051">
      <w:bodyDiv w:val="1"/>
      <w:marLeft w:val="0"/>
      <w:marRight w:val="0"/>
      <w:marTop w:val="0"/>
      <w:marBottom w:val="0"/>
      <w:divBdr>
        <w:top w:val="none" w:sz="0" w:space="0" w:color="auto"/>
        <w:left w:val="none" w:sz="0" w:space="0" w:color="auto"/>
        <w:bottom w:val="none" w:sz="0" w:space="0" w:color="auto"/>
        <w:right w:val="none" w:sz="0" w:space="0" w:color="auto"/>
      </w:divBdr>
    </w:div>
    <w:div w:id="1002128415">
      <w:bodyDiv w:val="1"/>
      <w:marLeft w:val="0"/>
      <w:marRight w:val="0"/>
      <w:marTop w:val="0"/>
      <w:marBottom w:val="0"/>
      <w:divBdr>
        <w:top w:val="none" w:sz="0" w:space="0" w:color="auto"/>
        <w:left w:val="none" w:sz="0" w:space="0" w:color="auto"/>
        <w:bottom w:val="none" w:sz="0" w:space="0" w:color="auto"/>
        <w:right w:val="none" w:sz="0" w:space="0" w:color="auto"/>
      </w:divBdr>
    </w:div>
    <w:div w:id="1049643721">
      <w:bodyDiv w:val="1"/>
      <w:marLeft w:val="0"/>
      <w:marRight w:val="0"/>
      <w:marTop w:val="0"/>
      <w:marBottom w:val="0"/>
      <w:divBdr>
        <w:top w:val="none" w:sz="0" w:space="0" w:color="auto"/>
        <w:left w:val="none" w:sz="0" w:space="0" w:color="auto"/>
        <w:bottom w:val="none" w:sz="0" w:space="0" w:color="auto"/>
        <w:right w:val="none" w:sz="0" w:space="0" w:color="auto"/>
      </w:divBdr>
    </w:div>
    <w:div w:id="1057511695">
      <w:bodyDiv w:val="1"/>
      <w:marLeft w:val="0"/>
      <w:marRight w:val="0"/>
      <w:marTop w:val="0"/>
      <w:marBottom w:val="0"/>
      <w:divBdr>
        <w:top w:val="none" w:sz="0" w:space="0" w:color="auto"/>
        <w:left w:val="none" w:sz="0" w:space="0" w:color="auto"/>
        <w:bottom w:val="none" w:sz="0" w:space="0" w:color="auto"/>
        <w:right w:val="none" w:sz="0" w:space="0" w:color="auto"/>
      </w:divBdr>
      <w:divsChild>
        <w:div w:id="262231187">
          <w:marLeft w:val="0"/>
          <w:marRight w:val="0"/>
          <w:marTop w:val="0"/>
          <w:marBottom w:val="0"/>
          <w:divBdr>
            <w:top w:val="none" w:sz="0" w:space="0" w:color="auto"/>
            <w:left w:val="none" w:sz="0" w:space="0" w:color="auto"/>
            <w:bottom w:val="none" w:sz="0" w:space="0" w:color="auto"/>
            <w:right w:val="none" w:sz="0" w:space="0" w:color="auto"/>
          </w:divBdr>
        </w:div>
        <w:div w:id="483858494">
          <w:marLeft w:val="0"/>
          <w:marRight w:val="0"/>
          <w:marTop w:val="0"/>
          <w:marBottom w:val="0"/>
          <w:divBdr>
            <w:top w:val="none" w:sz="0" w:space="0" w:color="auto"/>
            <w:left w:val="none" w:sz="0" w:space="0" w:color="auto"/>
            <w:bottom w:val="none" w:sz="0" w:space="0" w:color="auto"/>
            <w:right w:val="none" w:sz="0" w:space="0" w:color="auto"/>
          </w:divBdr>
        </w:div>
      </w:divsChild>
    </w:div>
    <w:div w:id="1059591662">
      <w:bodyDiv w:val="1"/>
      <w:marLeft w:val="0"/>
      <w:marRight w:val="0"/>
      <w:marTop w:val="0"/>
      <w:marBottom w:val="0"/>
      <w:divBdr>
        <w:top w:val="none" w:sz="0" w:space="0" w:color="auto"/>
        <w:left w:val="none" w:sz="0" w:space="0" w:color="auto"/>
        <w:bottom w:val="none" w:sz="0" w:space="0" w:color="auto"/>
        <w:right w:val="none" w:sz="0" w:space="0" w:color="auto"/>
      </w:divBdr>
    </w:div>
    <w:div w:id="1123497573">
      <w:bodyDiv w:val="1"/>
      <w:marLeft w:val="0"/>
      <w:marRight w:val="0"/>
      <w:marTop w:val="0"/>
      <w:marBottom w:val="0"/>
      <w:divBdr>
        <w:top w:val="none" w:sz="0" w:space="0" w:color="auto"/>
        <w:left w:val="none" w:sz="0" w:space="0" w:color="auto"/>
        <w:bottom w:val="none" w:sz="0" w:space="0" w:color="auto"/>
        <w:right w:val="none" w:sz="0" w:space="0" w:color="auto"/>
      </w:divBdr>
    </w:div>
    <w:div w:id="1133059603">
      <w:bodyDiv w:val="1"/>
      <w:marLeft w:val="0"/>
      <w:marRight w:val="0"/>
      <w:marTop w:val="0"/>
      <w:marBottom w:val="0"/>
      <w:divBdr>
        <w:top w:val="none" w:sz="0" w:space="0" w:color="auto"/>
        <w:left w:val="none" w:sz="0" w:space="0" w:color="auto"/>
        <w:bottom w:val="none" w:sz="0" w:space="0" w:color="auto"/>
        <w:right w:val="none" w:sz="0" w:space="0" w:color="auto"/>
      </w:divBdr>
    </w:div>
    <w:div w:id="1147430684">
      <w:bodyDiv w:val="1"/>
      <w:marLeft w:val="0"/>
      <w:marRight w:val="0"/>
      <w:marTop w:val="0"/>
      <w:marBottom w:val="0"/>
      <w:divBdr>
        <w:top w:val="none" w:sz="0" w:space="0" w:color="auto"/>
        <w:left w:val="none" w:sz="0" w:space="0" w:color="auto"/>
        <w:bottom w:val="none" w:sz="0" w:space="0" w:color="auto"/>
        <w:right w:val="none" w:sz="0" w:space="0" w:color="auto"/>
      </w:divBdr>
    </w:div>
    <w:div w:id="1152328797">
      <w:bodyDiv w:val="1"/>
      <w:marLeft w:val="0"/>
      <w:marRight w:val="0"/>
      <w:marTop w:val="0"/>
      <w:marBottom w:val="0"/>
      <w:divBdr>
        <w:top w:val="none" w:sz="0" w:space="0" w:color="auto"/>
        <w:left w:val="none" w:sz="0" w:space="0" w:color="auto"/>
        <w:bottom w:val="none" w:sz="0" w:space="0" w:color="auto"/>
        <w:right w:val="none" w:sz="0" w:space="0" w:color="auto"/>
      </w:divBdr>
      <w:divsChild>
        <w:div w:id="1738630199">
          <w:marLeft w:val="0"/>
          <w:marRight w:val="0"/>
          <w:marTop w:val="0"/>
          <w:marBottom w:val="0"/>
          <w:divBdr>
            <w:top w:val="none" w:sz="0" w:space="0" w:color="auto"/>
            <w:left w:val="none" w:sz="0" w:space="0" w:color="auto"/>
            <w:bottom w:val="none" w:sz="0" w:space="0" w:color="auto"/>
            <w:right w:val="none" w:sz="0" w:space="0" w:color="auto"/>
          </w:divBdr>
        </w:div>
      </w:divsChild>
    </w:div>
    <w:div w:id="1155804319">
      <w:bodyDiv w:val="1"/>
      <w:marLeft w:val="0"/>
      <w:marRight w:val="0"/>
      <w:marTop w:val="0"/>
      <w:marBottom w:val="0"/>
      <w:divBdr>
        <w:top w:val="none" w:sz="0" w:space="0" w:color="auto"/>
        <w:left w:val="none" w:sz="0" w:space="0" w:color="auto"/>
        <w:bottom w:val="none" w:sz="0" w:space="0" w:color="auto"/>
        <w:right w:val="none" w:sz="0" w:space="0" w:color="auto"/>
      </w:divBdr>
    </w:div>
    <w:div w:id="1160080294">
      <w:bodyDiv w:val="1"/>
      <w:marLeft w:val="0"/>
      <w:marRight w:val="0"/>
      <w:marTop w:val="0"/>
      <w:marBottom w:val="0"/>
      <w:divBdr>
        <w:top w:val="none" w:sz="0" w:space="0" w:color="auto"/>
        <w:left w:val="none" w:sz="0" w:space="0" w:color="auto"/>
        <w:bottom w:val="none" w:sz="0" w:space="0" w:color="auto"/>
        <w:right w:val="none" w:sz="0" w:space="0" w:color="auto"/>
      </w:divBdr>
    </w:div>
    <w:div w:id="1193108552">
      <w:bodyDiv w:val="1"/>
      <w:marLeft w:val="0"/>
      <w:marRight w:val="0"/>
      <w:marTop w:val="0"/>
      <w:marBottom w:val="0"/>
      <w:divBdr>
        <w:top w:val="none" w:sz="0" w:space="0" w:color="auto"/>
        <w:left w:val="none" w:sz="0" w:space="0" w:color="auto"/>
        <w:bottom w:val="none" w:sz="0" w:space="0" w:color="auto"/>
        <w:right w:val="none" w:sz="0" w:space="0" w:color="auto"/>
      </w:divBdr>
      <w:divsChild>
        <w:div w:id="1193304493">
          <w:marLeft w:val="0"/>
          <w:marRight w:val="0"/>
          <w:marTop w:val="375"/>
          <w:marBottom w:val="0"/>
          <w:divBdr>
            <w:top w:val="none" w:sz="0" w:space="0" w:color="auto"/>
            <w:left w:val="none" w:sz="0" w:space="0" w:color="auto"/>
            <w:bottom w:val="none" w:sz="0" w:space="0" w:color="auto"/>
            <w:right w:val="none" w:sz="0" w:space="0" w:color="auto"/>
          </w:divBdr>
        </w:div>
      </w:divsChild>
    </w:div>
    <w:div w:id="1222447705">
      <w:bodyDiv w:val="1"/>
      <w:marLeft w:val="0"/>
      <w:marRight w:val="0"/>
      <w:marTop w:val="0"/>
      <w:marBottom w:val="0"/>
      <w:divBdr>
        <w:top w:val="none" w:sz="0" w:space="0" w:color="auto"/>
        <w:left w:val="none" w:sz="0" w:space="0" w:color="auto"/>
        <w:bottom w:val="none" w:sz="0" w:space="0" w:color="auto"/>
        <w:right w:val="none" w:sz="0" w:space="0" w:color="auto"/>
      </w:divBdr>
    </w:div>
    <w:div w:id="1228035886">
      <w:bodyDiv w:val="1"/>
      <w:marLeft w:val="0"/>
      <w:marRight w:val="0"/>
      <w:marTop w:val="0"/>
      <w:marBottom w:val="0"/>
      <w:divBdr>
        <w:top w:val="none" w:sz="0" w:space="0" w:color="auto"/>
        <w:left w:val="none" w:sz="0" w:space="0" w:color="auto"/>
        <w:bottom w:val="none" w:sz="0" w:space="0" w:color="auto"/>
        <w:right w:val="none" w:sz="0" w:space="0" w:color="auto"/>
      </w:divBdr>
    </w:div>
    <w:div w:id="1235312805">
      <w:bodyDiv w:val="1"/>
      <w:marLeft w:val="0"/>
      <w:marRight w:val="0"/>
      <w:marTop w:val="0"/>
      <w:marBottom w:val="0"/>
      <w:divBdr>
        <w:top w:val="none" w:sz="0" w:space="0" w:color="auto"/>
        <w:left w:val="none" w:sz="0" w:space="0" w:color="auto"/>
        <w:bottom w:val="none" w:sz="0" w:space="0" w:color="auto"/>
        <w:right w:val="none" w:sz="0" w:space="0" w:color="auto"/>
      </w:divBdr>
    </w:div>
    <w:div w:id="1242763105">
      <w:bodyDiv w:val="1"/>
      <w:marLeft w:val="0"/>
      <w:marRight w:val="0"/>
      <w:marTop w:val="0"/>
      <w:marBottom w:val="0"/>
      <w:divBdr>
        <w:top w:val="none" w:sz="0" w:space="0" w:color="auto"/>
        <w:left w:val="none" w:sz="0" w:space="0" w:color="auto"/>
        <w:bottom w:val="none" w:sz="0" w:space="0" w:color="auto"/>
        <w:right w:val="none" w:sz="0" w:space="0" w:color="auto"/>
      </w:divBdr>
    </w:div>
    <w:div w:id="1254699916">
      <w:bodyDiv w:val="1"/>
      <w:marLeft w:val="0"/>
      <w:marRight w:val="0"/>
      <w:marTop w:val="0"/>
      <w:marBottom w:val="0"/>
      <w:divBdr>
        <w:top w:val="none" w:sz="0" w:space="0" w:color="auto"/>
        <w:left w:val="none" w:sz="0" w:space="0" w:color="auto"/>
        <w:bottom w:val="none" w:sz="0" w:space="0" w:color="auto"/>
        <w:right w:val="none" w:sz="0" w:space="0" w:color="auto"/>
      </w:divBdr>
    </w:div>
    <w:div w:id="1303852886">
      <w:bodyDiv w:val="1"/>
      <w:marLeft w:val="0"/>
      <w:marRight w:val="0"/>
      <w:marTop w:val="0"/>
      <w:marBottom w:val="0"/>
      <w:divBdr>
        <w:top w:val="none" w:sz="0" w:space="0" w:color="auto"/>
        <w:left w:val="none" w:sz="0" w:space="0" w:color="auto"/>
        <w:bottom w:val="none" w:sz="0" w:space="0" w:color="auto"/>
        <w:right w:val="none" w:sz="0" w:space="0" w:color="auto"/>
      </w:divBdr>
      <w:divsChild>
        <w:div w:id="1561792020">
          <w:marLeft w:val="0"/>
          <w:marRight w:val="0"/>
          <w:marTop w:val="0"/>
          <w:marBottom w:val="0"/>
          <w:divBdr>
            <w:top w:val="none" w:sz="0" w:space="0" w:color="auto"/>
            <w:left w:val="none" w:sz="0" w:space="0" w:color="auto"/>
            <w:bottom w:val="none" w:sz="0" w:space="0" w:color="auto"/>
            <w:right w:val="none" w:sz="0" w:space="0" w:color="auto"/>
          </w:divBdr>
          <w:divsChild>
            <w:div w:id="665936345">
              <w:marLeft w:val="0"/>
              <w:marRight w:val="0"/>
              <w:marTop w:val="100"/>
              <w:marBottom w:val="100"/>
              <w:divBdr>
                <w:top w:val="none" w:sz="0" w:space="0" w:color="auto"/>
                <w:left w:val="none" w:sz="0" w:space="0" w:color="auto"/>
                <w:bottom w:val="none" w:sz="0" w:space="0" w:color="auto"/>
                <w:right w:val="none" w:sz="0" w:space="0" w:color="auto"/>
              </w:divBdr>
              <w:divsChild>
                <w:div w:id="17100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2660">
          <w:marLeft w:val="0"/>
          <w:marRight w:val="0"/>
          <w:marTop w:val="0"/>
          <w:marBottom w:val="120"/>
          <w:divBdr>
            <w:top w:val="none" w:sz="0" w:space="0" w:color="auto"/>
            <w:left w:val="none" w:sz="0" w:space="0" w:color="auto"/>
            <w:bottom w:val="none" w:sz="0" w:space="0" w:color="auto"/>
            <w:right w:val="none" w:sz="0" w:space="0" w:color="auto"/>
          </w:divBdr>
          <w:divsChild>
            <w:div w:id="1367676135">
              <w:marLeft w:val="0"/>
              <w:marRight w:val="0"/>
              <w:marTop w:val="0"/>
              <w:marBottom w:val="0"/>
              <w:divBdr>
                <w:top w:val="none" w:sz="0" w:space="0" w:color="auto"/>
                <w:left w:val="none" w:sz="0" w:space="0" w:color="auto"/>
                <w:bottom w:val="none" w:sz="0" w:space="0" w:color="auto"/>
                <w:right w:val="none" w:sz="0" w:space="0" w:color="auto"/>
              </w:divBdr>
              <w:divsChild>
                <w:div w:id="682052435">
                  <w:marLeft w:val="0"/>
                  <w:marRight w:val="0"/>
                  <w:marTop w:val="0"/>
                  <w:marBottom w:val="0"/>
                  <w:divBdr>
                    <w:top w:val="none" w:sz="0" w:space="0" w:color="auto"/>
                    <w:left w:val="none" w:sz="0" w:space="0" w:color="auto"/>
                    <w:bottom w:val="none" w:sz="0" w:space="0" w:color="auto"/>
                    <w:right w:val="none" w:sz="0" w:space="0" w:color="auto"/>
                  </w:divBdr>
                  <w:divsChild>
                    <w:div w:id="3314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4125">
      <w:bodyDiv w:val="1"/>
      <w:marLeft w:val="0"/>
      <w:marRight w:val="0"/>
      <w:marTop w:val="0"/>
      <w:marBottom w:val="0"/>
      <w:divBdr>
        <w:top w:val="none" w:sz="0" w:space="0" w:color="auto"/>
        <w:left w:val="none" w:sz="0" w:space="0" w:color="auto"/>
        <w:bottom w:val="none" w:sz="0" w:space="0" w:color="auto"/>
        <w:right w:val="none" w:sz="0" w:space="0" w:color="auto"/>
      </w:divBdr>
    </w:div>
    <w:div w:id="1307779455">
      <w:bodyDiv w:val="1"/>
      <w:marLeft w:val="0"/>
      <w:marRight w:val="0"/>
      <w:marTop w:val="0"/>
      <w:marBottom w:val="0"/>
      <w:divBdr>
        <w:top w:val="none" w:sz="0" w:space="0" w:color="auto"/>
        <w:left w:val="none" w:sz="0" w:space="0" w:color="auto"/>
        <w:bottom w:val="none" w:sz="0" w:space="0" w:color="auto"/>
        <w:right w:val="none" w:sz="0" w:space="0" w:color="auto"/>
      </w:divBdr>
      <w:divsChild>
        <w:div w:id="1401714035">
          <w:marLeft w:val="0"/>
          <w:marRight w:val="0"/>
          <w:marTop w:val="0"/>
          <w:marBottom w:val="0"/>
          <w:divBdr>
            <w:top w:val="none" w:sz="0" w:space="0" w:color="auto"/>
            <w:left w:val="none" w:sz="0" w:space="0" w:color="auto"/>
            <w:bottom w:val="none" w:sz="0" w:space="0" w:color="auto"/>
            <w:right w:val="none" w:sz="0" w:space="0" w:color="auto"/>
          </w:divBdr>
          <w:divsChild>
            <w:div w:id="223226872">
              <w:marLeft w:val="0"/>
              <w:marRight w:val="0"/>
              <w:marTop w:val="100"/>
              <w:marBottom w:val="100"/>
              <w:divBdr>
                <w:top w:val="none" w:sz="0" w:space="0" w:color="auto"/>
                <w:left w:val="none" w:sz="0" w:space="0" w:color="auto"/>
                <w:bottom w:val="none" w:sz="0" w:space="0" w:color="auto"/>
                <w:right w:val="none" w:sz="0" w:space="0" w:color="auto"/>
              </w:divBdr>
              <w:divsChild>
                <w:div w:id="1194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49490">
          <w:marLeft w:val="0"/>
          <w:marRight w:val="0"/>
          <w:marTop w:val="0"/>
          <w:marBottom w:val="120"/>
          <w:divBdr>
            <w:top w:val="none" w:sz="0" w:space="0" w:color="auto"/>
            <w:left w:val="none" w:sz="0" w:space="0" w:color="auto"/>
            <w:bottom w:val="none" w:sz="0" w:space="0" w:color="auto"/>
            <w:right w:val="none" w:sz="0" w:space="0" w:color="auto"/>
          </w:divBdr>
          <w:divsChild>
            <w:div w:id="169373669">
              <w:marLeft w:val="0"/>
              <w:marRight w:val="0"/>
              <w:marTop w:val="0"/>
              <w:marBottom w:val="0"/>
              <w:divBdr>
                <w:top w:val="none" w:sz="0" w:space="0" w:color="auto"/>
                <w:left w:val="none" w:sz="0" w:space="0" w:color="auto"/>
                <w:bottom w:val="none" w:sz="0" w:space="0" w:color="auto"/>
                <w:right w:val="none" w:sz="0" w:space="0" w:color="auto"/>
              </w:divBdr>
              <w:divsChild>
                <w:div w:id="665935919">
                  <w:marLeft w:val="0"/>
                  <w:marRight w:val="0"/>
                  <w:marTop w:val="0"/>
                  <w:marBottom w:val="0"/>
                  <w:divBdr>
                    <w:top w:val="none" w:sz="0" w:space="0" w:color="auto"/>
                    <w:left w:val="none" w:sz="0" w:space="0" w:color="auto"/>
                    <w:bottom w:val="none" w:sz="0" w:space="0" w:color="auto"/>
                    <w:right w:val="none" w:sz="0" w:space="0" w:color="auto"/>
                  </w:divBdr>
                  <w:divsChild>
                    <w:div w:id="18423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9006">
      <w:bodyDiv w:val="1"/>
      <w:marLeft w:val="0"/>
      <w:marRight w:val="0"/>
      <w:marTop w:val="0"/>
      <w:marBottom w:val="0"/>
      <w:divBdr>
        <w:top w:val="none" w:sz="0" w:space="0" w:color="auto"/>
        <w:left w:val="none" w:sz="0" w:space="0" w:color="auto"/>
        <w:bottom w:val="none" w:sz="0" w:space="0" w:color="auto"/>
        <w:right w:val="none" w:sz="0" w:space="0" w:color="auto"/>
      </w:divBdr>
    </w:div>
    <w:div w:id="1312365257">
      <w:bodyDiv w:val="1"/>
      <w:marLeft w:val="0"/>
      <w:marRight w:val="0"/>
      <w:marTop w:val="0"/>
      <w:marBottom w:val="0"/>
      <w:divBdr>
        <w:top w:val="none" w:sz="0" w:space="0" w:color="auto"/>
        <w:left w:val="none" w:sz="0" w:space="0" w:color="auto"/>
        <w:bottom w:val="none" w:sz="0" w:space="0" w:color="auto"/>
        <w:right w:val="none" w:sz="0" w:space="0" w:color="auto"/>
      </w:divBdr>
    </w:div>
    <w:div w:id="1330983374">
      <w:bodyDiv w:val="1"/>
      <w:marLeft w:val="0"/>
      <w:marRight w:val="0"/>
      <w:marTop w:val="0"/>
      <w:marBottom w:val="0"/>
      <w:divBdr>
        <w:top w:val="none" w:sz="0" w:space="0" w:color="auto"/>
        <w:left w:val="none" w:sz="0" w:space="0" w:color="auto"/>
        <w:bottom w:val="none" w:sz="0" w:space="0" w:color="auto"/>
        <w:right w:val="none" w:sz="0" w:space="0" w:color="auto"/>
      </w:divBdr>
    </w:div>
    <w:div w:id="1332417598">
      <w:bodyDiv w:val="1"/>
      <w:marLeft w:val="0"/>
      <w:marRight w:val="0"/>
      <w:marTop w:val="0"/>
      <w:marBottom w:val="0"/>
      <w:divBdr>
        <w:top w:val="none" w:sz="0" w:space="0" w:color="auto"/>
        <w:left w:val="none" w:sz="0" w:space="0" w:color="auto"/>
        <w:bottom w:val="none" w:sz="0" w:space="0" w:color="auto"/>
        <w:right w:val="none" w:sz="0" w:space="0" w:color="auto"/>
      </w:divBdr>
    </w:div>
    <w:div w:id="1371876243">
      <w:bodyDiv w:val="1"/>
      <w:marLeft w:val="0"/>
      <w:marRight w:val="0"/>
      <w:marTop w:val="0"/>
      <w:marBottom w:val="0"/>
      <w:divBdr>
        <w:top w:val="none" w:sz="0" w:space="0" w:color="auto"/>
        <w:left w:val="none" w:sz="0" w:space="0" w:color="auto"/>
        <w:bottom w:val="none" w:sz="0" w:space="0" w:color="auto"/>
        <w:right w:val="none" w:sz="0" w:space="0" w:color="auto"/>
      </w:divBdr>
    </w:div>
    <w:div w:id="1381130779">
      <w:bodyDiv w:val="1"/>
      <w:marLeft w:val="0"/>
      <w:marRight w:val="0"/>
      <w:marTop w:val="0"/>
      <w:marBottom w:val="0"/>
      <w:divBdr>
        <w:top w:val="none" w:sz="0" w:space="0" w:color="auto"/>
        <w:left w:val="none" w:sz="0" w:space="0" w:color="auto"/>
        <w:bottom w:val="none" w:sz="0" w:space="0" w:color="auto"/>
        <w:right w:val="none" w:sz="0" w:space="0" w:color="auto"/>
      </w:divBdr>
      <w:divsChild>
        <w:div w:id="1506674854">
          <w:marLeft w:val="0"/>
          <w:marRight w:val="0"/>
          <w:marTop w:val="0"/>
          <w:marBottom w:val="0"/>
          <w:divBdr>
            <w:top w:val="none" w:sz="0" w:space="0" w:color="auto"/>
            <w:left w:val="none" w:sz="0" w:space="0" w:color="auto"/>
            <w:bottom w:val="none" w:sz="0" w:space="0" w:color="auto"/>
            <w:right w:val="none" w:sz="0" w:space="0" w:color="auto"/>
          </w:divBdr>
        </w:div>
      </w:divsChild>
    </w:div>
    <w:div w:id="1432314761">
      <w:bodyDiv w:val="1"/>
      <w:marLeft w:val="0"/>
      <w:marRight w:val="0"/>
      <w:marTop w:val="0"/>
      <w:marBottom w:val="0"/>
      <w:divBdr>
        <w:top w:val="none" w:sz="0" w:space="0" w:color="auto"/>
        <w:left w:val="none" w:sz="0" w:space="0" w:color="auto"/>
        <w:bottom w:val="none" w:sz="0" w:space="0" w:color="auto"/>
        <w:right w:val="none" w:sz="0" w:space="0" w:color="auto"/>
      </w:divBdr>
      <w:divsChild>
        <w:div w:id="173347797">
          <w:marLeft w:val="0"/>
          <w:marRight w:val="0"/>
          <w:marTop w:val="0"/>
          <w:marBottom w:val="0"/>
          <w:divBdr>
            <w:top w:val="none" w:sz="0" w:space="0" w:color="auto"/>
            <w:left w:val="none" w:sz="0" w:space="0" w:color="auto"/>
            <w:bottom w:val="none" w:sz="0" w:space="0" w:color="auto"/>
            <w:right w:val="none" w:sz="0" w:space="0" w:color="auto"/>
          </w:divBdr>
        </w:div>
        <w:div w:id="817772294">
          <w:marLeft w:val="0"/>
          <w:marRight w:val="0"/>
          <w:marTop w:val="0"/>
          <w:marBottom w:val="0"/>
          <w:divBdr>
            <w:top w:val="none" w:sz="0" w:space="0" w:color="auto"/>
            <w:left w:val="none" w:sz="0" w:space="0" w:color="auto"/>
            <w:bottom w:val="none" w:sz="0" w:space="0" w:color="auto"/>
            <w:right w:val="none" w:sz="0" w:space="0" w:color="auto"/>
          </w:divBdr>
        </w:div>
        <w:div w:id="1862893047">
          <w:marLeft w:val="0"/>
          <w:marRight w:val="0"/>
          <w:marTop w:val="0"/>
          <w:marBottom w:val="0"/>
          <w:divBdr>
            <w:top w:val="none" w:sz="0" w:space="0" w:color="auto"/>
            <w:left w:val="none" w:sz="0" w:space="0" w:color="auto"/>
            <w:bottom w:val="none" w:sz="0" w:space="0" w:color="auto"/>
            <w:right w:val="none" w:sz="0" w:space="0" w:color="auto"/>
          </w:divBdr>
        </w:div>
      </w:divsChild>
    </w:div>
    <w:div w:id="1450317163">
      <w:bodyDiv w:val="1"/>
      <w:marLeft w:val="0"/>
      <w:marRight w:val="0"/>
      <w:marTop w:val="0"/>
      <w:marBottom w:val="0"/>
      <w:divBdr>
        <w:top w:val="none" w:sz="0" w:space="0" w:color="auto"/>
        <w:left w:val="none" w:sz="0" w:space="0" w:color="auto"/>
        <w:bottom w:val="none" w:sz="0" w:space="0" w:color="auto"/>
        <w:right w:val="none" w:sz="0" w:space="0" w:color="auto"/>
      </w:divBdr>
    </w:div>
    <w:div w:id="1450398799">
      <w:bodyDiv w:val="1"/>
      <w:marLeft w:val="0"/>
      <w:marRight w:val="0"/>
      <w:marTop w:val="0"/>
      <w:marBottom w:val="0"/>
      <w:divBdr>
        <w:top w:val="none" w:sz="0" w:space="0" w:color="auto"/>
        <w:left w:val="none" w:sz="0" w:space="0" w:color="auto"/>
        <w:bottom w:val="none" w:sz="0" w:space="0" w:color="auto"/>
        <w:right w:val="none" w:sz="0" w:space="0" w:color="auto"/>
      </w:divBdr>
      <w:divsChild>
        <w:div w:id="1769425657">
          <w:marLeft w:val="0"/>
          <w:marRight w:val="0"/>
          <w:marTop w:val="0"/>
          <w:marBottom w:val="0"/>
          <w:divBdr>
            <w:top w:val="none" w:sz="0" w:space="0" w:color="auto"/>
            <w:left w:val="none" w:sz="0" w:space="0" w:color="auto"/>
            <w:bottom w:val="none" w:sz="0" w:space="0" w:color="auto"/>
            <w:right w:val="none" w:sz="0" w:space="0" w:color="auto"/>
          </w:divBdr>
          <w:divsChild>
            <w:div w:id="544565111">
              <w:marLeft w:val="0"/>
              <w:marRight w:val="0"/>
              <w:marTop w:val="0"/>
              <w:marBottom w:val="0"/>
              <w:divBdr>
                <w:top w:val="none" w:sz="0" w:space="0" w:color="auto"/>
                <w:left w:val="none" w:sz="0" w:space="0" w:color="auto"/>
                <w:bottom w:val="none" w:sz="0" w:space="0" w:color="auto"/>
                <w:right w:val="none" w:sz="0" w:space="0" w:color="auto"/>
              </w:divBdr>
              <w:divsChild>
                <w:div w:id="8491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1389">
      <w:bodyDiv w:val="1"/>
      <w:marLeft w:val="0"/>
      <w:marRight w:val="0"/>
      <w:marTop w:val="0"/>
      <w:marBottom w:val="0"/>
      <w:divBdr>
        <w:top w:val="none" w:sz="0" w:space="0" w:color="auto"/>
        <w:left w:val="none" w:sz="0" w:space="0" w:color="auto"/>
        <w:bottom w:val="none" w:sz="0" w:space="0" w:color="auto"/>
        <w:right w:val="none" w:sz="0" w:space="0" w:color="auto"/>
      </w:divBdr>
    </w:div>
    <w:div w:id="1493332988">
      <w:bodyDiv w:val="1"/>
      <w:marLeft w:val="0"/>
      <w:marRight w:val="0"/>
      <w:marTop w:val="0"/>
      <w:marBottom w:val="0"/>
      <w:divBdr>
        <w:top w:val="none" w:sz="0" w:space="0" w:color="auto"/>
        <w:left w:val="none" w:sz="0" w:space="0" w:color="auto"/>
        <w:bottom w:val="none" w:sz="0" w:space="0" w:color="auto"/>
        <w:right w:val="none" w:sz="0" w:space="0" w:color="auto"/>
      </w:divBdr>
    </w:div>
    <w:div w:id="1493837114">
      <w:bodyDiv w:val="1"/>
      <w:marLeft w:val="0"/>
      <w:marRight w:val="0"/>
      <w:marTop w:val="0"/>
      <w:marBottom w:val="0"/>
      <w:divBdr>
        <w:top w:val="none" w:sz="0" w:space="0" w:color="auto"/>
        <w:left w:val="none" w:sz="0" w:space="0" w:color="auto"/>
        <w:bottom w:val="none" w:sz="0" w:space="0" w:color="auto"/>
        <w:right w:val="none" w:sz="0" w:space="0" w:color="auto"/>
      </w:divBdr>
    </w:div>
    <w:div w:id="1519272692">
      <w:bodyDiv w:val="1"/>
      <w:marLeft w:val="0"/>
      <w:marRight w:val="0"/>
      <w:marTop w:val="0"/>
      <w:marBottom w:val="0"/>
      <w:divBdr>
        <w:top w:val="none" w:sz="0" w:space="0" w:color="auto"/>
        <w:left w:val="none" w:sz="0" w:space="0" w:color="auto"/>
        <w:bottom w:val="none" w:sz="0" w:space="0" w:color="auto"/>
        <w:right w:val="none" w:sz="0" w:space="0" w:color="auto"/>
      </w:divBdr>
      <w:divsChild>
        <w:div w:id="253051878">
          <w:marLeft w:val="0"/>
          <w:marRight w:val="0"/>
          <w:marTop w:val="0"/>
          <w:marBottom w:val="0"/>
          <w:divBdr>
            <w:top w:val="none" w:sz="0" w:space="0" w:color="auto"/>
            <w:left w:val="none" w:sz="0" w:space="0" w:color="auto"/>
            <w:bottom w:val="none" w:sz="0" w:space="0" w:color="auto"/>
            <w:right w:val="none" w:sz="0" w:space="0" w:color="auto"/>
          </w:divBdr>
          <w:divsChild>
            <w:div w:id="909461696">
              <w:marLeft w:val="0"/>
              <w:marRight w:val="0"/>
              <w:marTop w:val="0"/>
              <w:marBottom w:val="0"/>
              <w:divBdr>
                <w:top w:val="none" w:sz="0" w:space="0" w:color="auto"/>
                <w:left w:val="none" w:sz="0" w:space="0" w:color="auto"/>
                <w:bottom w:val="none" w:sz="0" w:space="0" w:color="auto"/>
                <w:right w:val="none" w:sz="0" w:space="0" w:color="auto"/>
              </w:divBdr>
              <w:divsChild>
                <w:div w:id="463230723">
                  <w:marLeft w:val="0"/>
                  <w:marRight w:val="0"/>
                  <w:marTop w:val="0"/>
                  <w:marBottom w:val="0"/>
                  <w:divBdr>
                    <w:top w:val="none" w:sz="0" w:space="0" w:color="auto"/>
                    <w:left w:val="none" w:sz="0" w:space="0" w:color="auto"/>
                    <w:bottom w:val="none" w:sz="0" w:space="0" w:color="auto"/>
                    <w:right w:val="none" w:sz="0" w:space="0" w:color="auto"/>
                  </w:divBdr>
                  <w:divsChild>
                    <w:div w:id="16381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0848">
      <w:bodyDiv w:val="1"/>
      <w:marLeft w:val="0"/>
      <w:marRight w:val="0"/>
      <w:marTop w:val="0"/>
      <w:marBottom w:val="0"/>
      <w:divBdr>
        <w:top w:val="none" w:sz="0" w:space="0" w:color="auto"/>
        <w:left w:val="none" w:sz="0" w:space="0" w:color="auto"/>
        <w:bottom w:val="none" w:sz="0" w:space="0" w:color="auto"/>
        <w:right w:val="none" w:sz="0" w:space="0" w:color="auto"/>
      </w:divBdr>
      <w:divsChild>
        <w:div w:id="62992291">
          <w:marLeft w:val="0"/>
          <w:marRight w:val="0"/>
          <w:marTop w:val="0"/>
          <w:marBottom w:val="0"/>
          <w:divBdr>
            <w:top w:val="none" w:sz="0" w:space="0" w:color="auto"/>
            <w:left w:val="none" w:sz="0" w:space="0" w:color="auto"/>
            <w:bottom w:val="none" w:sz="0" w:space="0" w:color="auto"/>
            <w:right w:val="none" w:sz="0" w:space="0" w:color="auto"/>
          </w:divBdr>
        </w:div>
        <w:div w:id="413556143">
          <w:marLeft w:val="0"/>
          <w:marRight w:val="0"/>
          <w:marTop w:val="0"/>
          <w:marBottom w:val="0"/>
          <w:divBdr>
            <w:top w:val="none" w:sz="0" w:space="0" w:color="auto"/>
            <w:left w:val="none" w:sz="0" w:space="0" w:color="auto"/>
            <w:bottom w:val="none" w:sz="0" w:space="0" w:color="auto"/>
            <w:right w:val="none" w:sz="0" w:space="0" w:color="auto"/>
          </w:divBdr>
        </w:div>
      </w:divsChild>
    </w:div>
    <w:div w:id="1546261341">
      <w:bodyDiv w:val="1"/>
      <w:marLeft w:val="0"/>
      <w:marRight w:val="0"/>
      <w:marTop w:val="0"/>
      <w:marBottom w:val="0"/>
      <w:divBdr>
        <w:top w:val="none" w:sz="0" w:space="0" w:color="auto"/>
        <w:left w:val="none" w:sz="0" w:space="0" w:color="auto"/>
        <w:bottom w:val="none" w:sz="0" w:space="0" w:color="auto"/>
        <w:right w:val="none" w:sz="0" w:space="0" w:color="auto"/>
      </w:divBdr>
    </w:div>
    <w:div w:id="1580865273">
      <w:bodyDiv w:val="1"/>
      <w:marLeft w:val="0"/>
      <w:marRight w:val="0"/>
      <w:marTop w:val="0"/>
      <w:marBottom w:val="0"/>
      <w:divBdr>
        <w:top w:val="none" w:sz="0" w:space="0" w:color="auto"/>
        <w:left w:val="none" w:sz="0" w:space="0" w:color="auto"/>
        <w:bottom w:val="none" w:sz="0" w:space="0" w:color="auto"/>
        <w:right w:val="none" w:sz="0" w:space="0" w:color="auto"/>
      </w:divBdr>
    </w:div>
    <w:div w:id="1585989231">
      <w:bodyDiv w:val="1"/>
      <w:marLeft w:val="0"/>
      <w:marRight w:val="0"/>
      <w:marTop w:val="0"/>
      <w:marBottom w:val="0"/>
      <w:divBdr>
        <w:top w:val="none" w:sz="0" w:space="0" w:color="auto"/>
        <w:left w:val="none" w:sz="0" w:space="0" w:color="auto"/>
        <w:bottom w:val="none" w:sz="0" w:space="0" w:color="auto"/>
        <w:right w:val="none" w:sz="0" w:space="0" w:color="auto"/>
      </w:divBdr>
    </w:div>
    <w:div w:id="1587688988">
      <w:bodyDiv w:val="1"/>
      <w:marLeft w:val="0"/>
      <w:marRight w:val="0"/>
      <w:marTop w:val="0"/>
      <w:marBottom w:val="0"/>
      <w:divBdr>
        <w:top w:val="none" w:sz="0" w:space="0" w:color="auto"/>
        <w:left w:val="none" w:sz="0" w:space="0" w:color="auto"/>
        <w:bottom w:val="none" w:sz="0" w:space="0" w:color="auto"/>
        <w:right w:val="none" w:sz="0" w:space="0" w:color="auto"/>
      </w:divBdr>
    </w:div>
    <w:div w:id="1630431862">
      <w:bodyDiv w:val="1"/>
      <w:marLeft w:val="0"/>
      <w:marRight w:val="0"/>
      <w:marTop w:val="0"/>
      <w:marBottom w:val="0"/>
      <w:divBdr>
        <w:top w:val="none" w:sz="0" w:space="0" w:color="auto"/>
        <w:left w:val="none" w:sz="0" w:space="0" w:color="auto"/>
        <w:bottom w:val="none" w:sz="0" w:space="0" w:color="auto"/>
        <w:right w:val="none" w:sz="0" w:space="0" w:color="auto"/>
      </w:divBdr>
    </w:div>
    <w:div w:id="1641037743">
      <w:bodyDiv w:val="1"/>
      <w:marLeft w:val="0"/>
      <w:marRight w:val="0"/>
      <w:marTop w:val="0"/>
      <w:marBottom w:val="0"/>
      <w:divBdr>
        <w:top w:val="none" w:sz="0" w:space="0" w:color="auto"/>
        <w:left w:val="none" w:sz="0" w:space="0" w:color="auto"/>
        <w:bottom w:val="none" w:sz="0" w:space="0" w:color="auto"/>
        <w:right w:val="none" w:sz="0" w:space="0" w:color="auto"/>
      </w:divBdr>
    </w:div>
    <w:div w:id="1657688911">
      <w:bodyDiv w:val="1"/>
      <w:marLeft w:val="0"/>
      <w:marRight w:val="0"/>
      <w:marTop w:val="0"/>
      <w:marBottom w:val="0"/>
      <w:divBdr>
        <w:top w:val="none" w:sz="0" w:space="0" w:color="auto"/>
        <w:left w:val="none" w:sz="0" w:space="0" w:color="auto"/>
        <w:bottom w:val="none" w:sz="0" w:space="0" w:color="auto"/>
        <w:right w:val="none" w:sz="0" w:space="0" w:color="auto"/>
      </w:divBdr>
    </w:div>
    <w:div w:id="1703089452">
      <w:bodyDiv w:val="1"/>
      <w:marLeft w:val="0"/>
      <w:marRight w:val="0"/>
      <w:marTop w:val="0"/>
      <w:marBottom w:val="0"/>
      <w:divBdr>
        <w:top w:val="none" w:sz="0" w:space="0" w:color="auto"/>
        <w:left w:val="none" w:sz="0" w:space="0" w:color="auto"/>
        <w:bottom w:val="none" w:sz="0" w:space="0" w:color="auto"/>
        <w:right w:val="none" w:sz="0" w:space="0" w:color="auto"/>
      </w:divBdr>
    </w:div>
    <w:div w:id="1708947217">
      <w:bodyDiv w:val="1"/>
      <w:marLeft w:val="0"/>
      <w:marRight w:val="0"/>
      <w:marTop w:val="0"/>
      <w:marBottom w:val="0"/>
      <w:divBdr>
        <w:top w:val="none" w:sz="0" w:space="0" w:color="auto"/>
        <w:left w:val="none" w:sz="0" w:space="0" w:color="auto"/>
        <w:bottom w:val="none" w:sz="0" w:space="0" w:color="auto"/>
        <w:right w:val="none" w:sz="0" w:space="0" w:color="auto"/>
      </w:divBdr>
    </w:div>
    <w:div w:id="1726030941">
      <w:bodyDiv w:val="1"/>
      <w:marLeft w:val="0"/>
      <w:marRight w:val="0"/>
      <w:marTop w:val="0"/>
      <w:marBottom w:val="0"/>
      <w:divBdr>
        <w:top w:val="none" w:sz="0" w:space="0" w:color="auto"/>
        <w:left w:val="none" w:sz="0" w:space="0" w:color="auto"/>
        <w:bottom w:val="none" w:sz="0" w:space="0" w:color="auto"/>
        <w:right w:val="none" w:sz="0" w:space="0" w:color="auto"/>
      </w:divBdr>
    </w:div>
    <w:div w:id="1734623526">
      <w:bodyDiv w:val="1"/>
      <w:marLeft w:val="0"/>
      <w:marRight w:val="0"/>
      <w:marTop w:val="0"/>
      <w:marBottom w:val="0"/>
      <w:divBdr>
        <w:top w:val="none" w:sz="0" w:space="0" w:color="auto"/>
        <w:left w:val="none" w:sz="0" w:space="0" w:color="auto"/>
        <w:bottom w:val="none" w:sz="0" w:space="0" w:color="auto"/>
        <w:right w:val="none" w:sz="0" w:space="0" w:color="auto"/>
      </w:divBdr>
      <w:divsChild>
        <w:div w:id="1629972900">
          <w:marLeft w:val="0"/>
          <w:marRight w:val="0"/>
          <w:marTop w:val="0"/>
          <w:marBottom w:val="0"/>
          <w:divBdr>
            <w:top w:val="none" w:sz="0" w:space="0" w:color="auto"/>
            <w:left w:val="none" w:sz="0" w:space="0" w:color="auto"/>
            <w:bottom w:val="none" w:sz="0" w:space="0" w:color="auto"/>
            <w:right w:val="none" w:sz="0" w:space="0" w:color="auto"/>
          </w:divBdr>
        </w:div>
        <w:div w:id="1869876672">
          <w:marLeft w:val="0"/>
          <w:marRight w:val="0"/>
          <w:marTop w:val="0"/>
          <w:marBottom w:val="0"/>
          <w:divBdr>
            <w:top w:val="none" w:sz="0" w:space="0" w:color="auto"/>
            <w:left w:val="none" w:sz="0" w:space="0" w:color="auto"/>
            <w:bottom w:val="none" w:sz="0" w:space="0" w:color="auto"/>
            <w:right w:val="none" w:sz="0" w:space="0" w:color="auto"/>
          </w:divBdr>
        </w:div>
      </w:divsChild>
    </w:div>
    <w:div w:id="1744334370">
      <w:bodyDiv w:val="1"/>
      <w:marLeft w:val="0"/>
      <w:marRight w:val="0"/>
      <w:marTop w:val="0"/>
      <w:marBottom w:val="0"/>
      <w:divBdr>
        <w:top w:val="none" w:sz="0" w:space="0" w:color="auto"/>
        <w:left w:val="none" w:sz="0" w:space="0" w:color="auto"/>
        <w:bottom w:val="none" w:sz="0" w:space="0" w:color="auto"/>
        <w:right w:val="none" w:sz="0" w:space="0" w:color="auto"/>
      </w:divBdr>
    </w:div>
    <w:div w:id="1826044041">
      <w:bodyDiv w:val="1"/>
      <w:marLeft w:val="0"/>
      <w:marRight w:val="0"/>
      <w:marTop w:val="0"/>
      <w:marBottom w:val="0"/>
      <w:divBdr>
        <w:top w:val="none" w:sz="0" w:space="0" w:color="auto"/>
        <w:left w:val="none" w:sz="0" w:space="0" w:color="auto"/>
        <w:bottom w:val="none" w:sz="0" w:space="0" w:color="auto"/>
        <w:right w:val="none" w:sz="0" w:space="0" w:color="auto"/>
      </w:divBdr>
    </w:div>
    <w:div w:id="1826431154">
      <w:bodyDiv w:val="1"/>
      <w:marLeft w:val="0"/>
      <w:marRight w:val="0"/>
      <w:marTop w:val="0"/>
      <w:marBottom w:val="0"/>
      <w:divBdr>
        <w:top w:val="none" w:sz="0" w:space="0" w:color="auto"/>
        <w:left w:val="none" w:sz="0" w:space="0" w:color="auto"/>
        <w:bottom w:val="none" w:sz="0" w:space="0" w:color="auto"/>
        <w:right w:val="none" w:sz="0" w:space="0" w:color="auto"/>
      </w:divBdr>
      <w:divsChild>
        <w:div w:id="1927105439">
          <w:marLeft w:val="0"/>
          <w:marRight w:val="0"/>
          <w:marTop w:val="0"/>
          <w:marBottom w:val="0"/>
          <w:divBdr>
            <w:top w:val="none" w:sz="0" w:space="0" w:color="auto"/>
            <w:left w:val="none" w:sz="0" w:space="0" w:color="auto"/>
            <w:bottom w:val="none" w:sz="0" w:space="0" w:color="auto"/>
            <w:right w:val="none" w:sz="0" w:space="0" w:color="auto"/>
          </w:divBdr>
        </w:div>
      </w:divsChild>
    </w:div>
    <w:div w:id="1841390006">
      <w:bodyDiv w:val="1"/>
      <w:marLeft w:val="0"/>
      <w:marRight w:val="0"/>
      <w:marTop w:val="0"/>
      <w:marBottom w:val="0"/>
      <w:divBdr>
        <w:top w:val="none" w:sz="0" w:space="0" w:color="auto"/>
        <w:left w:val="none" w:sz="0" w:space="0" w:color="auto"/>
        <w:bottom w:val="none" w:sz="0" w:space="0" w:color="auto"/>
        <w:right w:val="none" w:sz="0" w:space="0" w:color="auto"/>
      </w:divBdr>
    </w:div>
    <w:div w:id="1882326818">
      <w:bodyDiv w:val="1"/>
      <w:marLeft w:val="0"/>
      <w:marRight w:val="0"/>
      <w:marTop w:val="0"/>
      <w:marBottom w:val="0"/>
      <w:divBdr>
        <w:top w:val="none" w:sz="0" w:space="0" w:color="auto"/>
        <w:left w:val="none" w:sz="0" w:space="0" w:color="auto"/>
        <w:bottom w:val="none" w:sz="0" w:space="0" w:color="auto"/>
        <w:right w:val="none" w:sz="0" w:space="0" w:color="auto"/>
      </w:divBdr>
    </w:div>
    <w:div w:id="1897617262">
      <w:bodyDiv w:val="1"/>
      <w:marLeft w:val="0"/>
      <w:marRight w:val="0"/>
      <w:marTop w:val="0"/>
      <w:marBottom w:val="0"/>
      <w:divBdr>
        <w:top w:val="none" w:sz="0" w:space="0" w:color="auto"/>
        <w:left w:val="none" w:sz="0" w:space="0" w:color="auto"/>
        <w:bottom w:val="none" w:sz="0" w:space="0" w:color="auto"/>
        <w:right w:val="none" w:sz="0" w:space="0" w:color="auto"/>
      </w:divBdr>
    </w:div>
    <w:div w:id="1899396057">
      <w:bodyDiv w:val="1"/>
      <w:marLeft w:val="0"/>
      <w:marRight w:val="0"/>
      <w:marTop w:val="0"/>
      <w:marBottom w:val="0"/>
      <w:divBdr>
        <w:top w:val="none" w:sz="0" w:space="0" w:color="auto"/>
        <w:left w:val="none" w:sz="0" w:space="0" w:color="auto"/>
        <w:bottom w:val="none" w:sz="0" w:space="0" w:color="auto"/>
        <w:right w:val="none" w:sz="0" w:space="0" w:color="auto"/>
      </w:divBdr>
    </w:div>
    <w:div w:id="1901821863">
      <w:bodyDiv w:val="1"/>
      <w:marLeft w:val="0"/>
      <w:marRight w:val="0"/>
      <w:marTop w:val="0"/>
      <w:marBottom w:val="0"/>
      <w:divBdr>
        <w:top w:val="none" w:sz="0" w:space="0" w:color="auto"/>
        <w:left w:val="none" w:sz="0" w:space="0" w:color="auto"/>
        <w:bottom w:val="none" w:sz="0" w:space="0" w:color="auto"/>
        <w:right w:val="none" w:sz="0" w:space="0" w:color="auto"/>
      </w:divBdr>
    </w:div>
    <w:div w:id="1938441574">
      <w:bodyDiv w:val="1"/>
      <w:marLeft w:val="0"/>
      <w:marRight w:val="0"/>
      <w:marTop w:val="0"/>
      <w:marBottom w:val="0"/>
      <w:divBdr>
        <w:top w:val="none" w:sz="0" w:space="0" w:color="auto"/>
        <w:left w:val="none" w:sz="0" w:space="0" w:color="auto"/>
        <w:bottom w:val="none" w:sz="0" w:space="0" w:color="auto"/>
        <w:right w:val="none" w:sz="0" w:space="0" w:color="auto"/>
      </w:divBdr>
    </w:div>
    <w:div w:id="1972398138">
      <w:bodyDiv w:val="1"/>
      <w:marLeft w:val="0"/>
      <w:marRight w:val="0"/>
      <w:marTop w:val="0"/>
      <w:marBottom w:val="0"/>
      <w:divBdr>
        <w:top w:val="none" w:sz="0" w:space="0" w:color="auto"/>
        <w:left w:val="none" w:sz="0" w:space="0" w:color="auto"/>
        <w:bottom w:val="none" w:sz="0" w:space="0" w:color="auto"/>
        <w:right w:val="none" w:sz="0" w:space="0" w:color="auto"/>
      </w:divBdr>
    </w:div>
    <w:div w:id="2008362494">
      <w:bodyDiv w:val="1"/>
      <w:marLeft w:val="0"/>
      <w:marRight w:val="0"/>
      <w:marTop w:val="0"/>
      <w:marBottom w:val="0"/>
      <w:divBdr>
        <w:top w:val="none" w:sz="0" w:space="0" w:color="auto"/>
        <w:left w:val="none" w:sz="0" w:space="0" w:color="auto"/>
        <w:bottom w:val="none" w:sz="0" w:space="0" w:color="auto"/>
        <w:right w:val="none" w:sz="0" w:space="0" w:color="auto"/>
      </w:divBdr>
      <w:divsChild>
        <w:div w:id="325715508">
          <w:marLeft w:val="0"/>
          <w:marRight w:val="0"/>
          <w:marTop w:val="0"/>
          <w:marBottom w:val="120"/>
          <w:divBdr>
            <w:top w:val="none" w:sz="0" w:space="0" w:color="auto"/>
            <w:left w:val="none" w:sz="0" w:space="0" w:color="auto"/>
            <w:bottom w:val="single" w:sz="12" w:space="9" w:color="F0F0F0"/>
            <w:right w:val="none" w:sz="0" w:space="0" w:color="auto"/>
          </w:divBdr>
          <w:divsChild>
            <w:div w:id="204758230">
              <w:marLeft w:val="0"/>
              <w:marRight w:val="0"/>
              <w:marTop w:val="100"/>
              <w:marBottom w:val="100"/>
              <w:divBdr>
                <w:top w:val="none" w:sz="0" w:space="0" w:color="auto"/>
                <w:left w:val="none" w:sz="0" w:space="0" w:color="auto"/>
                <w:bottom w:val="none" w:sz="0" w:space="0" w:color="auto"/>
                <w:right w:val="none" w:sz="0" w:space="0" w:color="auto"/>
              </w:divBdr>
              <w:divsChild>
                <w:div w:id="18532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4707">
          <w:marLeft w:val="0"/>
          <w:marRight w:val="0"/>
          <w:marTop w:val="0"/>
          <w:marBottom w:val="120"/>
          <w:divBdr>
            <w:top w:val="none" w:sz="0" w:space="0" w:color="auto"/>
            <w:left w:val="none" w:sz="0" w:space="0" w:color="auto"/>
            <w:bottom w:val="none" w:sz="0" w:space="0" w:color="auto"/>
            <w:right w:val="none" w:sz="0" w:space="0" w:color="auto"/>
          </w:divBdr>
          <w:divsChild>
            <w:div w:id="1220703403">
              <w:marLeft w:val="0"/>
              <w:marRight w:val="0"/>
              <w:marTop w:val="0"/>
              <w:marBottom w:val="0"/>
              <w:divBdr>
                <w:top w:val="none" w:sz="0" w:space="0" w:color="auto"/>
                <w:left w:val="none" w:sz="0" w:space="0" w:color="auto"/>
                <w:bottom w:val="none" w:sz="0" w:space="0" w:color="auto"/>
                <w:right w:val="none" w:sz="0" w:space="0" w:color="auto"/>
              </w:divBdr>
              <w:divsChild>
                <w:div w:id="1041435944">
                  <w:marLeft w:val="0"/>
                  <w:marRight w:val="0"/>
                  <w:marTop w:val="0"/>
                  <w:marBottom w:val="0"/>
                  <w:divBdr>
                    <w:top w:val="none" w:sz="0" w:space="0" w:color="auto"/>
                    <w:left w:val="none" w:sz="0" w:space="0" w:color="auto"/>
                    <w:bottom w:val="none" w:sz="0" w:space="0" w:color="auto"/>
                    <w:right w:val="none" w:sz="0" w:space="0" w:color="auto"/>
                  </w:divBdr>
                  <w:divsChild>
                    <w:div w:id="2828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81518">
      <w:bodyDiv w:val="1"/>
      <w:marLeft w:val="0"/>
      <w:marRight w:val="0"/>
      <w:marTop w:val="0"/>
      <w:marBottom w:val="0"/>
      <w:divBdr>
        <w:top w:val="none" w:sz="0" w:space="0" w:color="auto"/>
        <w:left w:val="none" w:sz="0" w:space="0" w:color="auto"/>
        <w:bottom w:val="none" w:sz="0" w:space="0" w:color="auto"/>
        <w:right w:val="none" w:sz="0" w:space="0" w:color="auto"/>
      </w:divBdr>
    </w:div>
    <w:div w:id="2103530042">
      <w:bodyDiv w:val="1"/>
      <w:marLeft w:val="0"/>
      <w:marRight w:val="0"/>
      <w:marTop w:val="0"/>
      <w:marBottom w:val="0"/>
      <w:divBdr>
        <w:top w:val="none" w:sz="0" w:space="0" w:color="auto"/>
        <w:left w:val="none" w:sz="0" w:space="0" w:color="auto"/>
        <w:bottom w:val="none" w:sz="0" w:space="0" w:color="auto"/>
        <w:right w:val="none" w:sz="0" w:space="0" w:color="auto"/>
      </w:divBdr>
      <w:divsChild>
        <w:div w:id="1495560733">
          <w:marLeft w:val="0"/>
          <w:marRight w:val="0"/>
          <w:marTop w:val="0"/>
          <w:marBottom w:val="0"/>
          <w:divBdr>
            <w:top w:val="none" w:sz="0" w:space="0" w:color="auto"/>
            <w:left w:val="none" w:sz="0" w:space="0" w:color="auto"/>
            <w:bottom w:val="none" w:sz="0" w:space="0" w:color="auto"/>
            <w:right w:val="none" w:sz="0" w:space="0" w:color="auto"/>
          </w:divBdr>
        </w:div>
      </w:divsChild>
    </w:div>
    <w:div w:id="2132280000">
      <w:bodyDiv w:val="1"/>
      <w:marLeft w:val="0"/>
      <w:marRight w:val="0"/>
      <w:marTop w:val="0"/>
      <w:marBottom w:val="0"/>
      <w:divBdr>
        <w:top w:val="none" w:sz="0" w:space="0" w:color="auto"/>
        <w:left w:val="none" w:sz="0" w:space="0" w:color="auto"/>
        <w:bottom w:val="none" w:sz="0" w:space="0" w:color="auto"/>
        <w:right w:val="none" w:sz="0" w:space="0" w:color="auto"/>
      </w:divBdr>
    </w:div>
    <w:div w:id="2137722264">
      <w:bodyDiv w:val="1"/>
      <w:marLeft w:val="0"/>
      <w:marRight w:val="0"/>
      <w:marTop w:val="0"/>
      <w:marBottom w:val="0"/>
      <w:divBdr>
        <w:top w:val="none" w:sz="0" w:space="0" w:color="auto"/>
        <w:left w:val="none" w:sz="0" w:space="0" w:color="auto"/>
        <w:bottom w:val="none" w:sz="0" w:space="0" w:color="auto"/>
        <w:right w:val="none" w:sz="0" w:space="0" w:color="auto"/>
      </w:divBdr>
    </w:div>
    <w:div w:id="21461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mulfin.2009.07.001" TargetMode="External"/><Relationship Id="rId21" Type="http://schemas.openxmlformats.org/officeDocument/2006/relationships/hyperlink" Target="https://doi.org/10.1002/gsj.1098" TargetMode="External"/><Relationship Id="rId42" Type="http://schemas.openxmlformats.org/officeDocument/2006/relationships/hyperlink" Target="https://doi.org/10.1016/j.jfineco.2018.03.001" TargetMode="External"/><Relationship Id="rId63" Type="http://schemas.openxmlformats.org/officeDocument/2006/relationships/hyperlink" Target="https://doi.org/10.1177/0149206313493325" TargetMode="External"/><Relationship Id="rId84" Type="http://schemas.openxmlformats.org/officeDocument/2006/relationships/hyperlink" Target="https://doi.org/10.1016/j.jbusres.2020.04.059" TargetMode="External"/><Relationship Id="rId138" Type="http://schemas.openxmlformats.org/officeDocument/2006/relationships/hyperlink" Target="https://doi.org/10.1525/aa.1954.56.5.02a00060" TargetMode="External"/><Relationship Id="rId107" Type="http://schemas.openxmlformats.org/officeDocument/2006/relationships/header" Target="header3.xml"/><Relationship Id="rId11" Type="http://schemas.openxmlformats.org/officeDocument/2006/relationships/hyperlink" Target="https://doi.org/10.1287/orsc.2020.1390" TargetMode="External"/><Relationship Id="rId32" Type="http://schemas.openxmlformats.org/officeDocument/2006/relationships/hyperlink" Target="https://doi.org/10.1177/14657503221094444" TargetMode="External"/><Relationship Id="rId53" Type="http://schemas.openxmlformats.org/officeDocument/2006/relationships/hyperlink" Target="https://doi.org/10.1016/j.respol.2019.03.012" TargetMode="External"/><Relationship Id="rId74" Type="http://schemas.openxmlformats.org/officeDocument/2006/relationships/hyperlink" Target="https://doi.org/10.1177/0266242604042377" TargetMode="External"/><Relationship Id="rId128" Type="http://schemas.openxmlformats.org/officeDocument/2006/relationships/hyperlink" Target="https://doi.org/10.1007/s10887-019-09166-2" TargetMode="External"/><Relationship Id="rId149" Type="http://schemas.openxmlformats.org/officeDocument/2006/relationships/hyperlink" Target="https://doi.org/10.1016/j.jbankfin.2011.08.004" TargetMode="External"/><Relationship Id="rId5" Type="http://schemas.openxmlformats.org/officeDocument/2006/relationships/webSettings" Target="webSettings.xml"/><Relationship Id="rId95" Type="http://schemas.openxmlformats.org/officeDocument/2006/relationships/hyperlink" Target="https://doi.org/10.1016/j.emj.2022.10.010" TargetMode="External"/><Relationship Id="rId22" Type="http://schemas.openxmlformats.org/officeDocument/2006/relationships/hyperlink" Target="https://doi.org/10.1111/jsbm.12409" TargetMode="External"/><Relationship Id="rId27" Type="http://schemas.openxmlformats.org/officeDocument/2006/relationships/hyperlink" Target="https://doi.org/10.1111/1467-8551.12494" TargetMode="External"/><Relationship Id="rId43" Type="http://schemas.openxmlformats.org/officeDocument/2006/relationships/hyperlink" Target="https://doi.org/10.1111/j.1540-6520.2007.00163.x" TargetMode="External"/><Relationship Id="rId48" Type="http://schemas.openxmlformats.org/officeDocument/2006/relationships/hyperlink" Target="https://www.galidata.org/assets/report/pdf/2018_Year_End_Summary.pdf" TargetMode="External"/><Relationship Id="rId64" Type="http://schemas.openxmlformats.org/officeDocument/2006/relationships/hyperlink" Target="https://doi.org/10.1016/j.jbusvent.2018.03.001" TargetMode="External"/><Relationship Id="rId69" Type="http://schemas.openxmlformats.org/officeDocument/2006/relationships/hyperlink" Target="https://doi.org/10.1108/JEEE-02-2017-0014" TargetMode="External"/><Relationship Id="rId113" Type="http://schemas.openxmlformats.org/officeDocument/2006/relationships/hyperlink" Target="https://doi.org/10.1016/j.respol.2015.06.007" TargetMode="External"/><Relationship Id="rId118" Type="http://schemas.openxmlformats.org/officeDocument/2006/relationships/hyperlink" Target="https://doi.org/10.1016/j.pacfin.2017.04.006" TargetMode="External"/><Relationship Id="rId134" Type="http://schemas.openxmlformats.org/officeDocument/2006/relationships/hyperlink" Target="https://doi.org/10.1111/puar.13076" TargetMode="External"/><Relationship Id="rId139" Type="http://schemas.openxmlformats.org/officeDocument/2006/relationships/hyperlink" Target="https://doi.org/10.1111/fima.12248" TargetMode="External"/><Relationship Id="rId80" Type="http://schemas.openxmlformats.org/officeDocument/2006/relationships/hyperlink" Target="https://doi.org/10.5465/amj.2010.0992" TargetMode="External"/><Relationship Id="rId85" Type="http://schemas.openxmlformats.org/officeDocument/2006/relationships/hyperlink" Target="https://doi.org/10.1016/j.technovation.2015.09.003" TargetMode="External"/><Relationship Id="rId150" Type="http://schemas.openxmlformats.org/officeDocument/2006/relationships/footer" Target="footer5.xml"/><Relationship Id="rId12" Type="http://schemas.openxmlformats.org/officeDocument/2006/relationships/hyperlink" Target="https://doi.org/10.1016/j.respol.2012.02.003" TargetMode="External"/><Relationship Id="rId17" Type="http://schemas.openxmlformats.org/officeDocument/2006/relationships/hyperlink" Target="https://doi.org/10.1287/mnsc.1060.0538" TargetMode="External"/><Relationship Id="rId33" Type="http://schemas.openxmlformats.org/officeDocument/2006/relationships/hyperlink" Target="https://doi.org/10.1177/1476127006066596" TargetMode="External"/><Relationship Id="rId38" Type="http://schemas.openxmlformats.org/officeDocument/2006/relationships/hyperlink" Target="https://doi.org/10.1002/smj.2183" TargetMode="External"/><Relationship Id="rId59" Type="http://schemas.openxmlformats.org/officeDocument/2006/relationships/hyperlink" Target="https://doi.org/10.1002/smj.2037" TargetMode="External"/><Relationship Id="rId103" Type="http://schemas.openxmlformats.org/officeDocument/2006/relationships/header" Target="header1.xml"/><Relationship Id="rId108" Type="http://schemas.openxmlformats.org/officeDocument/2006/relationships/footer" Target="footer3.xml"/><Relationship Id="rId124" Type="http://schemas.openxmlformats.org/officeDocument/2006/relationships/hyperlink" Target="https://doi.org/10.1017/S0022109013000069" TargetMode="External"/><Relationship Id="rId129" Type="http://schemas.openxmlformats.org/officeDocument/2006/relationships/hyperlink" Target="https://doi.org/10.1007/s10887-015-9119-y" TargetMode="External"/><Relationship Id="rId54" Type="http://schemas.openxmlformats.org/officeDocument/2006/relationships/hyperlink" Target="https://doi.org/10.1287/orsc.2019.1304" TargetMode="External"/><Relationship Id="rId70" Type="http://schemas.openxmlformats.org/officeDocument/2006/relationships/hyperlink" Target="https://doi.org/10.1080/21697213.2023.2249035" TargetMode="External"/><Relationship Id="rId75" Type="http://schemas.openxmlformats.org/officeDocument/2006/relationships/hyperlink" Target="https://doi.org/10.5465/1556422" TargetMode="External"/><Relationship Id="rId91" Type="http://schemas.openxmlformats.org/officeDocument/2006/relationships/hyperlink" Target="https://doi.org/10.5465/amr.1990.4310830" TargetMode="External"/><Relationship Id="rId96" Type="http://schemas.openxmlformats.org/officeDocument/2006/relationships/hyperlink" Target="https://doi.org/10.1016/j.irfa.2017.10.007" TargetMode="External"/><Relationship Id="rId140" Type="http://schemas.openxmlformats.org/officeDocument/2006/relationships/hyperlink" Target="https://doi.org/10.1057/palgrave.jibs.8490152" TargetMode="External"/><Relationship Id="rId145" Type="http://schemas.openxmlformats.org/officeDocument/2006/relationships/hyperlink" Target="https://doi.org/10.1126/science.124685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73/pnas.1321202111" TargetMode="External"/><Relationship Id="rId28" Type="http://schemas.openxmlformats.org/officeDocument/2006/relationships/hyperlink" Target="http://dx.doi.org/10.2139/ssrn.2418000" TargetMode="External"/><Relationship Id="rId49" Type="http://schemas.openxmlformats.org/officeDocument/2006/relationships/hyperlink" Target="https://doi.org/10.1016/j.jbusvent.2019.01.004" TargetMode="External"/><Relationship Id="rId114" Type="http://schemas.openxmlformats.org/officeDocument/2006/relationships/hyperlink" Target="https://doi.org/10.1111/fire.12158" TargetMode="External"/><Relationship Id="rId119" Type="http://schemas.openxmlformats.org/officeDocument/2006/relationships/hyperlink" Target="https://doi.org/10.1002/smj.2291" TargetMode="External"/><Relationship Id="rId44" Type="http://schemas.openxmlformats.org/officeDocument/2006/relationships/hyperlink" Target="https://doi.org/10.1016/j.jbusvent.2005.07.001" TargetMode="External"/><Relationship Id="rId60" Type="http://schemas.openxmlformats.org/officeDocument/2006/relationships/hyperlink" Target="https://doi.org/10.1016/j.jbusvent.2007.02.004" TargetMode="External"/><Relationship Id="rId65" Type="http://schemas.openxmlformats.org/officeDocument/2006/relationships/hyperlink" Target="https://doi.org/10.1111/j.1540-6520.2010.00396.x" TargetMode="External"/><Relationship Id="rId81" Type="http://schemas.openxmlformats.org/officeDocument/2006/relationships/hyperlink" Target="https://doi.org/10.1111/j.1540-4560.2005.00402.x" TargetMode="External"/><Relationship Id="rId86" Type="http://schemas.openxmlformats.org/officeDocument/2006/relationships/hyperlink" Target="https://doi.org/10.1080/14479338.2022.2029706" TargetMode="External"/><Relationship Id="rId130" Type="http://schemas.openxmlformats.org/officeDocument/2006/relationships/hyperlink" Target="https://doi.org/10.1016/j.jbusvent.2018.06.006" TargetMode="External"/><Relationship Id="rId135" Type="http://schemas.openxmlformats.org/officeDocument/2006/relationships/hyperlink" Target="https://doi.org/10.1016/j.jcorpfin.2013.07.008" TargetMode="External"/><Relationship Id="rId151" Type="http://schemas.openxmlformats.org/officeDocument/2006/relationships/fontTable" Target="fontTable.xml"/><Relationship Id="rId13" Type="http://schemas.openxmlformats.org/officeDocument/2006/relationships/hyperlink" Target="https://doi.org/10.1016/j.respol.2022.104669" TargetMode="External"/><Relationship Id="rId18" Type="http://schemas.openxmlformats.org/officeDocument/2006/relationships/hyperlink" Target="https://doi.org/10.1016/j.jbusvent.2006.02.001" TargetMode="External"/><Relationship Id="rId39" Type="http://schemas.openxmlformats.org/officeDocument/2006/relationships/hyperlink" Target="https://doi.org/10.1016/j.jempfin.2006.03.004" TargetMode="External"/><Relationship Id="rId109" Type="http://schemas.openxmlformats.org/officeDocument/2006/relationships/footer" Target="footer4.xml"/><Relationship Id="rId34" Type="http://schemas.openxmlformats.org/officeDocument/2006/relationships/hyperlink" Target="https://doi.org/10.1016/j.irfa.2022.102337" TargetMode="External"/><Relationship Id="rId50" Type="http://schemas.openxmlformats.org/officeDocument/2006/relationships/hyperlink" Target="https://doi.org/10.1093/rfs/hhx103" TargetMode="External"/><Relationship Id="rId55" Type="http://schemas.openxmlformats.org/officeDocument/2006/relationships/hyperlink" Target="https://doi.org/10.1177/104225870202600403" TargetMode="External"/><Relationship Id="rId76" Type="http://schemas.openxmlformats.org/officeDocument/2006/relationships/hyperlink" Target="https://startupguide.com/diversity-inclusion-startups-tips" TargetMode="External"/><Relationship Id="rId97" Type="http://schemas.openxmlformats.org/officeDocument/2006/relationships/hyperlink" Target="https://doi.org/10.1016/j.jbvi.2024.e00491" TargetMode="External"/><Relationship Id="rId104" Type="http://schemas.openxmlformats.org/officeDocument/2006/relationships/header" Target="header2.xml"/><Relationship Id="rId120" Type="http://schemas.openxmlformats.org/officeDocument/2006/relationships/hyperlink" Target="https://doi.org/10.1111/j.1540-6261.2009.01532.x" TargetMode="External"/><Relationship Id="rId125" Type="http://schemas.openxmlformats.org/officeDocument/2006/relationships/hyperlink" Target="https://doi.org/10.1016/j.jbusvent.2014.04.002" TargetMode="External"/><Relationship Id="rId141" Type="http://schemas.openxmlformats.org/officeDocument/2006/relationships/hyperlink" Target="https://doi.org/10.1093/rfs/hhx046" TargetMode="External"/><Relationship Id="rId146" Type="http://schemas.openxmlformats.org/officeDocument/2006/relationships/hyperlink" Target="https://doi.org/10.1016/j.jhealeco.2007.09.009" TargetMode="External"/><Relationship Id="rId7" Type="http://schemas.openxmlformats.org/officeDocument/2006/relationships/endnotes" Target="endnotes.xml"/><Relationship Id="rId71" Type="http://schemas.openxmlformats.org/officeDocument/2006/relationships/hyperlink" Target="https://dx.doi.org/10.2139/ssrn.4035930" TargetMode="External"/><Relationship Id="rId92" Type="http://schemas.openxmlformats.org/officeDocument/2006/relationships/hyperlink" Target="https://doi.org/10.1080/00472778.2022.2122481" TargetMode="External"/><Relationship Id="rId2" Type="http://schemas.openxmlformats.org/officeDocument/2006/relationships/numbering" Target="numbering.xml"/><Relationship Id="rId29" Type="http://schemas.openxmlformats.org/officeDocument/2006/relationships/hyperlink" Target="https://doi.org/10.1177/0149206320911090" TargetMode="External"/><Relationship Id="rId24" Type="http://schemas.openxmlformats.org/officeDocument/2006/relationships/hyperlink" Target="https://doi.org/10.1177/1536867X1001000211" TargetMode="External"/><Relationship Id="rId40" Type="http://schemas.openxmlformats.org/officeDocument/2006/relationships/hyperlink" Target="https://doi.org/10.1016/S0883-9026(00)00065-3" TargetMode="External"/><Relationship Id="rId45" Type="http://schemas.openxmlformats.org/officeDocument/2006/relationships/hyperlink" Target="https://doi.org/10.1111/j.1540-6520.2008.00236.x" TargetMode="External"/><Relationship Id="rId66" Type="http://schemas.openxmlformats.org/officeDocument/2006/relationships/hyperlink" Target="https://doi.org/10.1002/sej.1514" TargetMode="External"/><Relationship Id="rId87" Type="http://schemas.openxmlformats.org/officeDocument/2006/relationships/hyperlink" Target="https://doi.org/10.5465/amj.2013.0100" TargetMode="External"/><Relationship Id="rId110" Type="http://schemas.openxmlformats.org/officeDocument/2006/relationships/hyperlink" Target="https://doi.org/10.1007/s10887-019-09171-5" TargetMode="External"/><Relationship Id="rId115" Type="http://schemas.openxmlformats.org/officeDocument/2006/relationships/hyperlink" Target="https://doi.org/10.1016/j.jbusres.2018.11.034" TargetMode="External"/><Relationship Id="rId131" Type="http://schemas.openxmlformats.org/officeDocument/2006/relationships/hyperlink" Target="https://doi.org/10.1016/0090-2616(88)90009-5" TargetMode="External"/><Relationship Id="rId136" Type="http://schemas.openxmlformats.org/officeDocument/2006/relationships/hyperlink" Target="https://doi.org/10.1007/s10887-016-9134-7" TargetMode="External"/><Relationship Id="rId61" Type="http://schemas.openxmlformats.org/officeDocument/2006/relationships/hyperlink" Target="https://doi.org/10.1287/orsc.2017.1162" TargetMode="External"/><Relationship Id="rId82" Type="http://schemas.openxmlformats.org/officeDocument/2006/relationships/hyperlink" Target="https://doi.org/10.1093/rfs/hhx046" TargetMode="External"/><Relationship Id="rId152" Type="http://schemas.openxmlformats.org/officeDocument/2006/relationships/theme" Target="theme/theme1.xml"/><Relationship Id="rId19" Type="http://schemas.openxmlformats.org/officeDocument/2006/relationships/hyperlink" Target="https://doi.org/10.1016/j.jfi.2013.04.002" TargetMode="External"/><Relationship Id="rId14" Type="http://schemas.openxmlformats.org/officeDocument/2006/relationships/hyperlink" Target="https://doi.org/10.1177/10422587221138489" TargetMode="External"/><Relationship Id="rId30" Type="http://schemas.openxmlformats.org/officeDocument/2006/relationships/hyperlink" Target="https://doi.org/10.1177/0149206310388419" TargetMode="External"/><Relationship Id="rId35" Type="http://schemas.openxmlformats.org/officeDocument/2006/relationships/hyperlink" Target="https://doi.org/10.1111/joms.12282" TargetMode="External"/><Relationship Id="rId56" Type="http://schemas.openxmlformats.org/officeDocument/2006/relationships/hyperlink" Target="https://doi.org/10.1111/j.1467-8551.2005.00429.x" TargetMode="External"/><Relationship Id="rId77" Type="http://schemas.openxmlformats.org/officeDocument/2006/relationships/hyperlink" Target="https://doi.org/10.1016/S0883-9026(99)00039-7" TargetMode="External"/><Relationship Id="rId100" Type="http://schemas.openxmlformats.org/officeDocument/2006/relationships/hyperlink" Target="https://www.forbes.com/sites/nancywang/2018/11/12/diversity-is-the-key-to-startup-success-what-can-early-stage-founders-do-about-it/" TargetMode="External"/><Relationship Id="rId105" Type="http://schemas.openxmlformats.org/officeDocument/2006/relationships/footer" Target="footer1.xml"/><Relationship Id="rId126" Type="http://schemas.openxmlformats.org/officeDocument/2006/relationships/hyperlink" Target="https://doi.org/10.1016/j.jempfin.2019.12.003" TargetMode="External"/><Relationship Id="rId147" Type="http://schemas.openxmlformats.org/officeDocument/2006/relationships/hyperlink" Target="https://doi.org/10.1057/jibs.2009.96" TargetMode="External"/><Relationship Id="rId8" Type="http://schemas.openxmlformats.org/officeDocument/2006/relationships/hyperlink" Target="https://doi.org/10.1111/etap.12157" TargetMode="External"/><Relationship Id="rId51" Type="http://schemas.openxmlformats.org/officeDocument/2006/relationships/hyperlink" Target="https://doi.org/10.5465/ambpp.2015.18365abstract" TargetMode="External"/><Relationship Id="rId72" Type="http://schemas.openxmlformats.org/officeDocument/2006/relationships/hyperlink" Target="https://doi.org/10.1016/0883-9026(85)90011-4" TargetMode="External"/><Relationship Id="rId93" Type="http://schemas.openxmlformats.org/officeDocument/2006/relationships/hyperlink" Target="http://dx.doi.org/10.2139/ssrn.4469986" TargetMode="External"/><Relationship Id="rId98" Type="http://schemas.openxmlformats.org/officeDocument/2006/relationships/hyperlink" Target="https://doi.org/10.1016/j.jbusvent.2013.07.005" TargetMode="External"/><Relationship Id="rId121" Type="http://schemas.openxmlformats.org/officeDocument/2006/relationships/hyperlink" Target="https://doi.org/10.1007/s10887-011-9068-z" TargetMode="External"/><Relationship Id="rId142" Type="http://schemas.openxmlformats.org/officeDocument/2006/relationships/hyperlink" Target="https://doi.org/10.1093/icc/dtl027" TargetMode="External"/><Relationship Id="rId3" Type="http://schemas.openxmlformats.org/officeDocument/2006/relationships/styles" Target="styles.xml"/><Relationship Id="rId25" Type="http://schemas.openxmlformats.org/officeDocument/2006/relationships/hyperlink" Target="https://doi.org/10.1111/j.1540-6520.2005.00066.x" TargetMode="External"/><Relationship Id="rId46" Type="http://schemas.openxmlformats.org/officeDocument/2006/relationships/hyperlink" Target="https://doi.org/10.1016/j.jcorpfin.2016.07.014" TargetMode="External"/><Relationship Id="rId67" Type="http://schemas.openxmlformats.org/officeDocument/2006/relationships/hyperlink" Target="https://doi.org/10.1016/j.worlddev.2020.104952" TargetMode="External"/><Relationship Id="rId116" Type="http://schemas.openxmlformats.org/officeDocument/2006/relationships/hyperlink" Target="https://doi.org/10.1016/j.jcorpfin.2016.04.003" TargetMode="External"/><Relationship Id="rId137" Type="http://schemas.openxmlformats.org/officeDocument/2006/relationships/hyperlink" Target="https://doi.org/10.1111/j.1540-6261.2005.00813.x" TargetMode="External"/><Relationship Id="rId20" Type="http://schemas.openxmlformats.org/officeDocument/2006/relationships/hyperlink" Target="https://doi.org/10.1287/orsc.1080.0379" TargetMode="External"/><Relationship Id="rId41" Type="http://schemas.openxmlformats.org/officeDocument/2006/relationships/hyperlink" Target="https://doi.org/10.1093/acrefore/9780190236557.013.287" TargetMode="External"/><Relationship Id="rId62" Type="http://schemas.openxmlformats.org/officeDocument/2006/relationships/hyperlink" Target="https://doi.org/10.1108/IJIS-04-2020-0042" TargetMode="External"/><Relationship Id="rId83" Type="http://schemas.openxmlformats.org/officeDocument/2006/relationships/hyperlink" Target="https://doi.org/10.1002/smj.2021" TargetMode="External"/><Relationship Id="rId88" Type="http://schemas.openxmlformats.org/officeDocument/2006/relationships/hyperlink" Target="https://doi.org/10.5465/20159576" TargetMode="External"/><Relationship Id="rId111" Type="http://schemas.openxmlformats.org/officeDocument/2006/relationships/hyperlink" Target="https://doi.org/10.1257/aer.103.1.1" TargetMode="External"/><Relationship Id="rId132" Type="http://schemas.openxmlformats.org/officeDocument/2006/relationships/hyperlink" Target="https://doi.org/10.1002/evan.20181" TargetMode="External"/><Relationship Id="rId15" Type="http://schemas.openxmlformats.org/officeDocument/2006/relationships/hyperlink" Target="https://doi.org/10.1002/smj.4250100709" TargetMode="External"/><Relationship Id="rId36" Type="http://schemas.openxmlformats.org/officeDocument/2006/relationships/hyperlink" Target="https://doi.org/10.1177/0149206317690584" TargetMode="External"/><Relationship Id="rId57" Type="http://schemas.openxmlformats.org/officeDocument/2006/relationships/hyperlink" Target="https://doi.org/10.9707/2307-0919.1014" TargetMode="External"/><Relationship Id="rId106" Type="http://schemas.openxmlformats.org/officeDocument/2006/relationships/footer" Target="footer2.xml"/><Relationship Id="rId127" Type="http://schemas.openxmlformats.org/officeDocument/2006/relationships/hyperlink" Target="https://doi.org/10.1257/aer.20150020" TargetMode="External"/><Relationship Id="rId10" Type="http://schemas.openxmlformats.org/officeDocument/2006/relationships/hyperlink" Target="https://doi.org/10.1111/etp.12226" TargetMode="External"/><Relationship Id="rId31" Type="http://schemas.openxmlformats.org/officeDocument/2006/relationships/hyperlink" Target="https://doi.org/10.1111/etap.12267" TargetMode="External"/><Relationship Id="rId52" Type="http://schemas.openxmlformats.org/officeDocument/2006/relationships/hyperlink" Target="https://doi.org/10.1080/13691060118175" TargetMode="External"/><Relationship Id="rId73" Type="http://schemas.openxmlformats.org/officeDocument/2006/relationships/hyperlink" Target="https://doi.org/10.5465/amj.2007.27169488" TargetMode="External"/><Relationship Id="rId78" Type="http://schemas.openxmlformats.org/officeDocument/2006/relationships/hyperlink" Target="https://doi.org/10.1016/0883-9026(95)00126-3" TargetMode="External"/><Relationship Id="rId94" Type="http://schemas.openxmlformats.org/officeDocument/2006/relationships/hyperlink" Target="https://doi.org/10.1287/orsc.2017.1195" TargetMode="External"/><Relationship Id="rId99" Type="http://schemas.openxmlformats.org/officeDocument/2006/relationships/hyperlink" Target="https://doi.org/10.1146/annurev.psych.58.110405.085546" TargetMode="External"/><Relationship Id="rId101" Type="http://schemas.openxmlformats.org/officeDocument/2006/relationships/hyperlink" Target="https://doi.org/10.1016/j.jbusvent.2019.03.001" TargetMode="External"/><Relationship Id="rId122" Type="http://schemas.openxmlformats.org/officeDocument/2006/relationships/hyperlink" Target="http://www3.gettysburg.edu/~dperry/Class%20Readings%20Scanned%20Documents/Intro/Diamond.PDF" TargetMode="External"/><Relationship Id="rId143" Type="http://schemas.openxmlformats.org/officeDocument/2006/relationships/hyperlink" Target="https://www.jstor.org/stable/i40057490" TargetMode="External"/><Relationship Id="rId148" Type="http://schemas.openxmlformats.org/officeDocument/2006/relationships/hyperlink" Target="https://doi.org/10.1016/j.jbusvent.2008.10.011" TargetMode="External"/><Relationship Id="rId4" Type="http://schemas.openxmlformats.org/officeDocument/2006/relationships/settings" Target="settings.xml"/><Relationship Id="rId9" Type="http://schemas.openxmlformats.org/officeDocument/2006/relationships/hyperlink" Target="https://doi.org/10.1016/S0165-1765(03)00032-6" TargetMode="External"/><Relationship Id="rId26" Type="http://schemas.openxmlformats.org/officeDocument/2006/relationships/hyperlink" Target="https://doi.org/10.1177/0266242617748201" TargetMode="External"/><Relationship Id="rId47" Type="http://schemas.openxmlformats.org/officeDocument/2006/relationships/hyperlink" Target="https://doi.org/10.1093/rof/rfaa041" TargetMode="External"/><Relationship Id="rId68" Type="http://schemas.openxmlformats.org/officeDocument/2006/relationships/hyperlink" Target="https://doi.org/10.1287/orsc.2017.1172" TargetMode="External"/><Relationship Id="rId89" Type="http://schemas.openxmlformats.org/officeDocument/2006/relationships/hyperlink" Target="https://doi.org/10.1146/annurev-orgpsych-012218-015243" TargetMode="External"/><Relationship Id="rId112" Type="http://schemas.openxmlformats.org/officeDocument/2006/relationships/hyperlink" Target="https://doi.org/10.1016/j.jbusvent.2013.07.006" TargetMode="External"/><Relationship Id="rId133" Type="http://schemas.openxmlformats.org/officeDocument/2006/relationships/hyperlink" Target="https://doi.org/10.1111/j.1540-6520.2010.00396.x" TargetMode="External"/><Relationship Id="rId16" Type="http://schemas.openxmlformats.org/officeDocument/2006/relationships/hyperlink" Target="https://doi.org/10.1016/j.ribaf.2019.02.005" TargetMode="External"/><Relationship Id="rId37" Type="http://schemas.openxmlformats.org/officeDocument/2006/relationships/hyperlink" Target="https://doi.org/10.1016/j.jbusvent.2020.106086" TargetMode="External"/><Relationship Id="rId58" Type="http://schemas.openxmlformats.org/officeDocument/2006/relationships/hyperlink" Target="https://doi.org/10.1016/j.respol.2007.02.022" TargetMode="External"/><Relationship Id="rId79" Type="http://schemas.openxmlformats.org/officeDocument/2006/relationships/hyperlink" Target="https://doi.org/10.1111/ecge.12016" TargetMode="External"/><Relationship Id="rId102" Type="http://schemas.openxmlformats.org/officeDocument/2006/relationships/hyperlink" Target="https://doi.org/10.1287/mnsc.2018.3256" TargetMode="External"/><Relationship Id="rId123" Type="http://schemas.openxmlformats.org/officeDocument/2006/relationships/hyperlink" Target="https://doi.org/10.1016/j.jcorpfin.2016.07.002" TargetMode="External"/><Relationship Id="rId144" Type="http://schemas.openxmlformats.org/officeDocument/2006/relationships/hyperlink" Target="https://doi.org/10.1057/jibs.2013.26" TargetMode="External"/><Relationship Id="rId90" Type="http://schemas.openxmlformats.org/officeDocument/2006/relationships/hyperlink" Target="https://doi.org/10.1016/j.geoforum.2007.10.0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f.pasiouras@mbs-education.com" TargetMode="External"/><Relationship Id="rId2" Type="http://schemas.openxmlformats.org/officeDocument/2006/relationships/hyperlink" Target="mailto:p.papadimitri@soton.ac.uk" TargetMode="External"/><Relationship Id="rId1" Type="http://schemas.openxmlformats.org/officeDocument/2006/relationships/hyperlink" Target="mailto:c.gaganis@uoc.gr" TargetMode="External"/><Relationship Id="rId4" Type="http://schemas.openxmlformats.org/officeDocument/2006/relationships/hyperlink" Target="mailto:m.tasiou@surr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BCE8-7E04-4F08-A187-4B14501C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25765</Words>
  <Characters>146861</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Fotios PASIOURAS</dc:creator>
  <cp:keywords/>
  <dc:description/>
  <cp:lastModifiedBy>Fotios PASIOURAS</cp:lastModifiedBy>
  <cp:revision>54</cp:revision>
  <cp:lastPrinted>2025-08-11T18:22:00Z</cp:lastPrinted>
  <dcterms:created xsi:type="dcterms:W3CDTF">2025-12-30T20:16:00Z</dcterms:created>
  <dcterms:modified xsi:type="dcterms:W3CDTF">2025-12-31T10:26:00Z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4cc7880d175ab7d759144690baa1a7f9c0ef9a0a5879173571b105bee4239a22</vt:lpwstr>
  </property>
  <property fmtid="{D5CDD505-2E9C-101B-9397-08002B2CF9AE}" pid="3" name="MSIP_Label_01f6ea65-a20e-4921-80be-98e4d5962b82_Enabled">
    <vt:lpwstr>true</vt:lpwstr>
  </property>
  <property fmtid="{D5CDD505-2E9C-101B-9397-08002B2CF9AE}" pid="4" name="MSIP_Label_01f6ea65-a20e-4921-80be-98e4d5962b82_SetDate">
    <vt:lpwstr>2025-12-30T19:02:44Z</vt:lpwstr>
  </property>
  <property fmtid="{D5CDD505-2E9C-101B-9397-08002B2CF9AE}" pid="5" name="MSIP_Label_01f6ea65-a20e-4921-80be-98e4d5962b82_Method">
    <vt:lpwstr>Privileged</vt:lpwstr>
  </property>
  <property fmtid="{D5CDD505-2E9C-101B-9397-08002B2CF9AE}" pid="6" name="MSIP_Label_01f6ea65-a20e-4921-80be-98e4d5962b82_Name">
    <vt:lpwstr>C1-Public</vt:lpwstr>
  </property>
  <property fmtid="{D5CDD505-2E9C-101B-9397-08002B2CF9AE}" pid="7" name="MSIP_Label_01f6ea65-a20e-4921-80be-98e4d5962b82_SiteId">
    <vt:lpwstr>a1bce70e-1f36-4e8c-b4f3-48980a5f78ee</vt:lpwstr>
  </property>
  <property fmtid="{D5CDD505-2E9C-101B-9397-08002B2CF9AE}" pid="8" name="MSIP_Label_01f6ea65-a20e-4921-80be-98e4d5962b82_ActionId">
    <vt:lpwstr>590d9da3-a474-481e-9d41-a3d560423291</vt:lpwstr>
  </property>
  <property fmtid="{D5CDD505-2E9C-101B-9397-08002B2CF9AE}" pid="9" name="MSIP_Label_01f6ea65-a20e-4921-80be-98e4d5962b82_ContentBits">
    <vt:lpwstr>0</vt:lpwstr>
  </property>
  <property fmtid="{D5CDD505-2E9C-101B-9397-08002B2CF9AE}" pid="10" name="MSIP_Label_01f6ea65-a20e-4921-80be-98e4d5962b82_Tag">
    <vt:lpwstr>10, 0, 1, 1</vt:lpwstr>
  </property>
</Properties>
</file>