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38E3" w14:textId="4DFA46CE" w:rsidR="008331F2" w:rsidRPr="00A3505C" w:rsidRDefault="000D780B" w:rsidP="000D780B">
      <w:pPr>
        <w:adjustRightInd w:val="0"/>
        <w:snapToGrid w:val="0"/>
        <w:spacing w:after="120" w:line="240" w:lineRule="auto"/>
        <w:jc w:val="center"/>
        <w:rPr>
          <w:rFonts w:ascii="Times New Roman" w:hAnsi="Times New Roman" w:cs="Times New Roman"/>
          <w:b/>
          <w:bCs/>
          <w:sz w:val="24"/>
          <w:szCs w:val="24"/>
        </w:rPr>
      </w:pPr>
      <w:r w:rsidRPr="00A3505C">
        <w:rPr>
          <w:rFonts w:ascii="Times New Roman" w:hAnsi="Times New Roman" w:cs="Times New Roman"/>
          <w:b/>
          <w:bCs/>
          <w:sz w:val="24"/>
          <w:szCs w:val="24"/>
        </w:rPr>
        <w:t>Green Hunter or Green Detractor? Strategic Orientations</w:t>
      </w:r>
      <w:r w:rsidR="006A0837" w:rsidRPr="00A3505C">
        <w:rPr>
          <w:rFonts w:ascii="Times New Roman" w:hAnsi="Times New Roman" w:cs="Times New Roman"/>
          <w:b/>
          <w:bCs/>
          <w:sz w:val="24"/>
          <w:szCs w:val="24"/>
        </w:rPr>
        <w:t xml:space="preserve"> </w:t>
      </w:r>
      <w:r w:rsidRPr="00A3505C">
        <w:rPr>
          <w:rFonts w:ascii="Times New Roman" w:hAnsi="Times New Roman" w:cs="Times New Roman"/>
          <w:b/>
          <w:bCs/>
          <w:sz w:val="24"/>
          <w:szCs w:val="24"/>
        </w:rPr>
        <w:t>and Green Revenues</w:t>
      </w:r>
    </w:p>
    <w:p w14:paraId="18CA5C7B" w14:textId="77777777" w:rsidR="000D780B" w:rsidRPr="00A3505C" w:rsidRDefault="000D780B" w:rsidP="00DE009C">
      <w:pPr>
        <w:adjustRightInd w:val="0"/>
        <w:snapToGrid w:val="0"/>
        <w:spacing w:after="120" w:line="360" w:lineRule="auto"/>
        <w:jc w:val="center"/>
        <w:rPr>
          <w:rFonts w:ascii="Times New Roman" w:hAnsi="Times New Roman" w:cs="Times New Roman"/>
          <w:b/>
          <w:bCs/>
          <w:sz w:val="24"/>
          <w:szCs w:val="24"/>
        </w:rPr>
      </w:pPr>
    </w:p>
    <w:p w14:paraId="587C96FC" w14:textId="77777777" w:rsidR="00D20C5E" w:rsidRPr="00A3505C" w:rsidRDefault="00D20C5E" w:rsidP="00D20C5E">
      <w:pPr>
        <w:adjustRightInd w:val="0"/>
        <w:snapToGrid w:val="0"/>
        <w:spacing w:after="120" w:line="360" w:lineRule="auto"/>
        <w:jc w:val="center"/>
        <w:rPr>
          <w:rFonts w:ascii="Times New Roman" w:hAnsi="Times New Roman" w:cs="Times New Roman"/>
          <w:b/>
          <w:bCs/>
          <w:sz w:val="24"/>
          <w:szCs w:val="24"/>
        </w:rPr>
      </w:pPr>
      <w:r w:rsidRPr="00A3505C">
        <w:rPr>
          <w:rFonts w:ascii="Times New Roman" w:hAnsi="Times New Roman" w:cs="Times New Roman"/>
          <w:b/>
          <w:bCs/>
          <w:sz w:val="24"/>
          <w:szCs w:val="24"/>
        </w:rPr>
        <w:t>Abstract</w:t>
      </w:r>
    </w:p>
    <w:p w14:paraId="738296CB" w14:textId="433037D7" w:rsidR="00CC44AE" w:rsidRPr="00A3505C" w:rsidRDefault="000B7397" w:rsidP="00CC44AE">
      <w:pPr>
        <w:adjustRightInd w:val="0"/>
        <w:snapToGrid w:val="0"/>
        <w:spacing w:after="120" w:line="360" w:lineRule="auto"/>
        <w:jc w:val="both"/>
        <w:rPr>
          <w:rFonts w:ascii="Times New Roman" w:hAnsi="Times New Roman" w:cs="Times New Roman"/>
          <w:sz w:val="24"/>
          <w:szCs w:val="24"/>
        </w:rPr>
      </w:pPr>
      <w:bookmarkStart w:id="0" w:name="_Hlk215399015"/>
      <w:bookmarkStart w:id="1" w:name="_Hlk164868839"/>
      <w:r w:rsidRPr="00A3505C">
        <w:rPr>
          <w:rFonts w:ascii="Times New Roman" w:hAnsi="Times New Roman" w:cs="Times New Roman"/>
          <w:sz w:val="24"/>
          <w:szCs w:val="24"/>
        </w:rPr>
        <w:t xml:space="preserve">We </w:t>
      </w:r>
      <w:r w:rsidR="002A1F2A" w:rsidRPr="00A3505C">
        <w:rPr>
          <w:rFonts w:ascii="Times New Roman" w:hAnsi="Times New Roman" w:cs="Times New Roman"/>
          <w:sz w:val="24"/>
          <w:szCs w:val="24"/>
        </w:rPr>
        <w:t xml:space="preserve">bridge </w:t>
      </w:r>
      <w:r w:rsidR="00027C34" w:rsidRPr="00A3505C">
        <w:rPr>
          <w:rFonts w:ascii="Times New Roman" w:hAnsi="Times New Roman" w:cs="Times New Roman"/>
          <w:sz w:val="24"/>
          <w:szCs w:val="24"/>
        </w:rPr>
        <w:t xml:space="preserve">a </w:t>
      </w:r>
      <w:r w:rsidR="002A1F2A" w:rsidRPr="00A3505C">
        <w:rPr>
          <w:rFonts w:ascii="Times New Roman" w:hAnsi="Times New Roman" w:cs="Times New Roman"/>
          <w:sz w:val="24"/>
          <w:szCs w:val="24"/>
        </w:rPr>
        <w:t xml:space="preserve">research gap </w:t>
      </w:r>
      <w:r w:rsidR="00027C34" w:rsidRPr="00A3505C">
        <w:rPr>
          <w:rFonts w:ascii="Times New Roman" w:hAnsi="Times New Roman" w:cs="Times New Roman"/>
          <w:sz w:val="24"/>
          <w:szCs w:val="24"/>
        </w:rPr>
        <w:t>concerning</w:t>
      </w:r>
      <w:r w:rsidR="00D20C5E" w:rsidRPr="00A3505C">
        <w:rPr>
          <w:rFonts w:ascii="Times New Roman" w:hAnsi="Times New Roman" w:cs="Times New Roman"/>
          <w:sz w:val="24"/>
          <w:szCs w:val="24"/>
        </w:rPr>
        <w:t xml:space="preserve"> whether varying strategic orientations can be aligned with the transition to greener business practices. </w:t>
      </w:r>
      <w:r w:rsidR="00D60EEA" w:rsidRPr="00A3505C">
        <w:rPr>
          <w:rFonts w:ascii="Times New Roman" w:hAnsi="Times New Roman" w:cs="Times New Roman"/>
          <w:sz w:val="24"/>
          <w:szCs w:val="24"/>
        </w:rPr>
        <w:t>Drawing on</w:t>
      </w:r>
      <w:r w:rsidR="00AC5484" w:rsidRPr="00A3505C">
        <w:rPr>
          <w:rFonts w:ascii="Times New Roman" w:hAnsi="Times New Roman" w:cs="Times New Roman"/>
          <w:sz w:val="24"/>
          <w:szCs w:val="24"/>
        </w:rPr>
        <w:t xml:space="preserve"> resource-based theory </w:t>
      </w:r>
      <w:r w:rsidR="00D60EEA" w:rsidRPr="00A3505C">
        <w:rPr>
          <w:rFonts w:ascii="Times New Roman" w:hAnsi="Times New Roman" w:cs="Times New Roman"/>
          <w:sz w:val="24"/>
          <w:szCs w:val="24"/>
        </w:rPr>
        <w:t>and</w:t>
      </w:r>
      <w:r w:rsidR="00AC5484" w:rsidRPr="00A3505C">
        <w:rPr>
          <w:rFonts w:ascii="Times New Roman" w:hAnsi="Times New Roman" w:cs="Times New Roman"/>
          <w:sz w:val="24"/>
          <w:szCs w:val="24"/>
        </w:rPr>
        <w:t xml:space="preserve"> stakeholder theory, </w:t>
      </w:r>
      <w:r w:rsidR="00D60EEA" w:rsidRPr="00A3505C">
        <w:rPr>
          <w:rFonts w:ascii="Times New Roman" w:hAnsi="Times New Roman" w:cs="Times New Roman"/>
          <w:sz w:val="24"/>
          <w:szCs w:val="24"/>
        </w:rPr>
        <w:t xml:space="preserve">we </w:t>
      </w:r>
      <w:r w:rsidR="00D20C5E" w:rsidRPr="00A3505C">
        <w:rPr>
          <w:rFonts w:ascii="Times New Roman" w:hAnsi="Times New Roman" w:cs="Times New Roman"/>
          <w:sz w:val="24"/>
          <w:szCs w:val="24"/>
        </w:rPr>
        <w:t xml:space="preserve">investigate how </w:t>
      </w:r>
      <w:r w:rsidR="00D60EEA" w:rsidRPr="00A3505C">
        <w:rPr>
          <w:rFonts w:ascii="Times New Roman" w:hAnsi="Times New Roman" w:cs="Times New Roman"/>
          <w:sz w:val="24"/>
          <w:szCs w:val="24"/>
        </w:rPr>
        <w:t xml:space="preserve">growth- and profit-oriented strategic orientations shape firms’ </w:t>
      </w:r>
      <w:r w:rsidR="0068159C" w:rsidRPr="00A3505C">
        <w:rPr>
          <w:rFonts w:ascii="Times New Roman" w:hAnsi="Times New Roman" w:cs="Times New Roman"/>
          <w:sz w:val="24"/>
          <w:szCs w:val="24"/>
        </w:rPr>
        <w:t xml:space="preserve">capacity </w:t>
      </w:r>
      <w:r w:rsidR="00D20C5E" w:rsidRPr="00A3505C">
        <w:rPr>
          <w:rFonts w:ascii="Times New Roman" w:hAnsi="Times New Roman" w:cs="Times New Roman"/>
          <w:sz w:val="24"/>
          <w:szCs w:val="24"/>
        </w:rPr>
        <w:t>to generate green revenues</w:t>
      </w:r>
      <w:r w:rsidR="003C0A0A" w:rsidRPr="00A3505C">
        <w:rPr>
          <w:rFonts w:ascii="Times New Roman" w:hAnsi="Times New Roman" w:cs="Times New Roman"/>
          <w:sz w:val="24"/>
          <w:szCs w:val="24"/>
        </w:rPr>
        <w:t xml:space="preserve"> that </w:t>
      </w:r>
      <w:r w:rsidR="00D60EEA" w:rsidRPr="00A3505C">
        <w:rPr>
          <w:rFonts w:ascii="Times New Roman" w:hAnsi="Times New Roman" w:cs="Times New Roman"/>
          <w:sz w:val="24"/>
          <w:szCs w:val="24"/>
        </w:rPr>
        <w:t>integrate</w:t>
      </w:r>
      <w:r w:rsidR="00E65C7F" w:rsidRPr="00A3505C">
        <w:rPr>
          <w:rFonts w:ascii="Times New Roman" w:hAnsi="Times New Roman" w:cs="Times New Roman"/>
          <w:sz w:val="24"/>
          <w:szCs w:val="24"/>
        </w:rPr>
        <w:t xml:space="preserve"> economic objectives with environmental responsibility</w:t>
      </w:r>
      <w:r w:rsidR="00D20C5E" w:rsidRPr="00A3505C">
        <w:rPr>
          <w:rFonts w:ascii="Times New Roman" w:hAnsi="Times New Roman" w:cs="Times New Roman"/>
          <w:sz w:val="24"/>
          <w:szCs w:val="24"/>
        </w:rPr>
        <w:t xml:space="preserve">. </w:t>
      </w:r>
      <w:r w:rsidR="00CC44AE" w:rsidRPr="00A3505C">
        <w:rPr>
          <w:rFonts w:ascii="Times New Roman" w:hAnsi="Times New Roman" w:cs="Times New Roman"/>
          <w:sz w:val="24"/>
          <w:szCs w:val="24"/>
        </w:rPr>
        <w:t xml:space="preserve">Using a panel dataset of all Chinese listed firms, we find that growth-oriented firms are more likely to generate green revenues, whereas profit-oriented firms are less inclined to do so, and that green innovation investment is an underlying mechanism. </w:t>
      </w:r>
      <w:r w:rsidR="00751B51" w:rsidRPr="00A3505C">
        <w:rPr>
          <w:rFonts w:ascii="Times New Roman" w:hAnsi="Times New Roman" w:cs="Times New Roman"/>
          <w:sz w:val="24"/>
          <w:szCs w:val="24"/>
        </w:rPr>
        <w:t xml:space="preserve">Our study advances sustainability research by </w:t>
      </w:r>
      <w:r w:rsidR="00CC44AE" w:rsidRPr="00A3505C">
        <w:rPr>
          <w:rFonts w:ascii="Times New Roman" w:hAnsi="Times New Roman" w:cs="Times New Roman"/>
          <w:sz w:val="24"/>
          <w:szCs w:val="24"/>
        </w:rPr>
        <w:t xml:space="preserve">demonstrating </w:t>
      </w:r>
      <w:r w:rsidR="00751B51" w:rsidRPr="00A3505C">
        <w:rPr>
          <w:rFonts w:ascii="Times New Roman" w:hAnsi="Times New Roman" w:cs="Times New Roman"/>
          <w:sz w:val="24"/>
          <w:szCs w:val="24"/>
        </w:rPr>
        <w:t>that</w:t>
      </w:r>
      <w:r w:rsidR="00CC44AE" w:rsidRPr="00A3505C">
        <w:rPr>
          <w:rFonts w:ascii="Times New Roman" w:hAnsi="Times New Roman" w:cs="Times New Roman"/>
          <w:sz w:val="24"/>
          <w:szCs w:val="24"/>
        </w:rPr>
        <w:t xml:space="preserve"> </w:t>
      </w:r>
      <w:r w:rsidR="00BA1D8F" w:rsidRPr="00A3505C">
        <w:rPr>
          <w:rFonts w:ascii="Times New Roman" w:hAnsi="Times New Roman" w:cs="Times New Roman"/>
          <w:sz w:val="24"/>
          <w:szCs w:val="24"/>
        </w:rPr>
        <w:t xml:space="preserve">distinct resource configurations associated with different strategic orientations shape firms’ adaptive capabilities </w:t>
      </w:r>
      <w:r w:rsidR="00CC44AE" w:rsidRPr="00A3505C">
        <w:rPr>
          <w:rFonts w:ascii="Times New Roman" w:hAnsi="Times New Roman" w:cs="Times New Roman"/>
          <w:sz w:val="24"/>
          <w:szCs w:val="24"/>
        </w:rPr>
        <w:t xml:space="preserve">to align economic value creation </w:t>
      </w:r>
      <w:r w:rsidR="00BA1D8F" w:rsidRPr="00A3505C">
        <w:rPr>
          <w:rFonts w:ascii="Times New Roman" w:hAnsi="Times New Roman" w:cs="Times New Roman"/>
          <w:sz w:val="24"/>
          <w:szCs w:val="24"/>
        </w:rPr>
        <w:t>with</w:t>
      </w:r>
      <w:r w:rsidR="00CC44AE" w:rsidRPr="00A3505C">
        <w:rPr>
          <w:rFonts w:ascii="Times New Roman" w:hAnsi="Times New Roman" w:cs="Times New Roman"/>
          <w:sz w:val="24"/>
          <w:szCs w:val="24"/>
        </w:rPr>
        <w:t xml:space="preserve"> responsiveness to stakeholder-driven environmental pressures.</w:t>
      </w:r>
    </w:p>
    <w:bookmarkEnd w:id="0"/>
    <w:p w14:paraId="479FDDB4" w14:textId="77777777" w:rsidR="00024FEC" w:rsidRPr="00A3505C" w:rsidRDefault="00024FEC" w:rsidP="00D20C5E">
      <w:pPr>
        <w:adjustRightInd w:val="0"/>
        <w:snapToGrid w:val="0"/>
        <w:spacing w:after="120" w:line="360" w:lineRule="auto"/>
        <w:jc w:val="both"/>
        <w:rPr>
          <w:rFonts w:ascii="Times New Roman" w:hAnsi="Times New Roman" w:cs="Times New Roman"/>
          <w:sz w:val="24"/>
          <w:szCs w:val="24"/>
        </w:rPr>
      </w:pPr>
    </w:p>
    <w:bookmarkEnd w:id="1"/>
    <w:p w14:paraId="37BA693F" w14:textId="207D755E" w:rsidR="00D20C5E" w:rsidRPr="00A3505C" w:rsidRDefault="00D20C5E" w:rsidP="00D20C5E">
      <w:pPr>
        <w:adjustRightInd w:val="0"/>
        <w:snapToGrid w:val="0"/>
        <w:spacing w:after="120" w:line="360" w:lineRule="auto"/>
        <w:jc w:val="both"/>
        <w:rPr>
          <w:rFonts w:ascii="Times New Roman" w:hAnsi="Times New Roman" w:cs="Times New Roman"/>
          <w:sz w:val="24"/>
          <w:szCs w:val="24"/>
        </w:rPr>
      </w:pPr>
      <w:r w:rsidRPr="00A3505C">
        <w:rPr>
          <w:rFonts w:ascii="Times New Roman" w:hAnsi="Times New Roman" w:cs="Times New Roman"/>
          <w:b/>
          <w:bCs/>
          <w:sz w:val="24"/>
          <w:szCs w:val="24"/>
        </w:rPr>
        <w:t>Keywords:</w:t>
      </w:r>
      <w:r w:rsidRPr="00A3505C">
        <w:rPr>
          <w:rFonts w:ascii="Times New Roman" w:hAnsi="Times New Roman" w:cs="Times New Roman"/>
          <w:sz w:val="24"/>
          <w:szCs w:val="24"/>
        </w:rPr>
        <w:t xml:space="preserve"> Strategic orientations; Green revenues; Green patent investment</w:t>
      </w:r>
    </w:p>
    <w:p w14:paraId="05647679" w14:textId="77777777" w:rsidR="00D20C5E" w:rsidRPr="00A3505C" w:rsidRDefault="00D20C5E" w:rsidP="00D20C5E">
      <w:pPr>
        <w:adjustRightInd w:val="0"/>
        <w:snapToGrid w:val="0"/>
        <w:spacing w:after="120" w:line="360" w:lineRule="auto"/>
        <w:rPr>
          <w:rFonts w:ascii="Times New Roman" w:hAnsi="Times New Roman" w:cs="Times New Roman"/>
          <w:b/>
          <w:bCs/>
          <w:sz w:val="24"/>
          <w:szCs w:val="24"/>
          <w:lang w:val="fr-FR"/>
        </w:rPr>
      </w:pPr>
      <w:r w:rsidRPr="00A3505C">
        <w:rPr>
          <w:rFonts w:ascii="Times New Roman" w:hAnsi="Times New Roman" w:cs="Times New Roman"/>
          <w:b/>
          <w:bCs/>
          <w:sz w:val="24"/>
          <w:szCs w:val="24"/>
          <w:lang w:val="fr-FR"/>
        </w:rPr>
        <w:t>JEL Classifications:</w:t>
      </w:r>
      <w:r w:rsidRPr="00A3505C">
        <w:rPr>
          <w:rFonts w:ascii="Times New Roman" w:hAnsi="Times New Roman" w:cs="Times New Roman"/>
          <w:sz w:val="24"/>
          <w:szCs w:val="24"/>
          <w:lang w:val="fr-FR"/>
        </w:rPr>
        <w:t xml:space="preserve"> G38, M41, O31, Q56</w:t>
      </w:r>
    </w:p>
    <w:p w14:paraId="2BEF6D9C" w14:textId="77777777" w:rsidR="008860C6" w:rsidRPr="00A3505C" w:rsidRDefault="008860C6" w:rsidP="00DE009C">
      <w:pPr>
        <w:adjustRightInd w:val="0"/>
        <w:snapToGrid w:val="0"/>
        <w:spacing w:after="120" w:line="360" w:lineRule="auto"/>
        <w:rPr>
          <w:rFonts w:ascii="Times New Roman" w:hAnsi="Times New Roman" w:cs="Times New Roman"/>
          <w:sz w:val="24"/>
          <w:lang w:val="fr-FR"/>
        </w:rPr>
        <w:sectPr w:rsidR="008860C6" w:rsidRPr="00A3505C" w:rsidSect="008860C6">
          <w:footerReference w:type="even" r:id="rId11"/>
          <w:footerReference w:type="default" r:id="rId12"/>
          <w:pgSz w:w="11906" w:h="16838"/>
          <w:pgMar w:top="1440" w:right="1440" w:bottom="1440" w:left="1440" w:header="708" w:footer="708" w:gutter="0"/>
          <w:pgNumType w:fmt="upperRoman"/>
          <w:cols w:space="708"/>
          <w:docGrid w:linePitch="360"/>
        </w:sectPr>
      </w:pPr>
    </w:p>
    <w:p w14:paraId="0B80E28A" w14:textId="77777777" w:rsidR="000F7DAA" w:rsidRPr="00A3505C" w:rsidRDefault="000F7DAA" w:rsidP="000F7DAA">
      <w:pPr>
        <w:adjustRightInd w:val="0"/>
        <w:snapToGrid w:val="0"/>
        <w:spacing w:after="120" w:line="36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lastRenderedPageBreak/>
        <w:t>1. Introduction</w:t>
      </w:r>
    </w:p>
    <w:p w14:paraId="6A7F6D38" w14:textId="07B583B1"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climate </w:t>
      </w:r>
      <w:r w:rsidRPr="00A3505C">
        <w:rPr>
          <w:rFonts w:ascii="Times New Roman" w:hAnsi="Times New Roman" w:cs="Times New Roman" w:hint="eastAsia"/>
          <w:sz w:val="24"/>
          <w:szCs w:val="24"/>
        </w:rPr>
        <w:t xml:space="preserve">challenges </w:t>
      </w:r>
      <w:r w:rsidRPr="00A3505C">
        <w:rPr>
          <w:rFonts w:ascii="Times New Roman" w:hAnsi="Times New Roman" w:cs="Times New Roman"/>
          <w:sz w:val="24"/>
          <w:szCs w:val="24"/>
        </w:rPr>
        <w:t xml:space="preserve">emerge as the </w:t>
      </w:r>
      <w:r w:rsidRPr="00A3505C">
        <w:rPr>
          <w:rFonts w:ascii="Times New Roman" w:hAnsi="Times New Roman" w:cs="Times New Roman" w:hint="eastAsia"/>
          <w:sz w:val="24"/>
          <w:szCs w:val="24"/>
        </w:rPr>
        <w:t>critical</w:t>
      </w:r>
      <w:r w:rsidRPr="00A3505C">
        <w:rPr>
          <w:rFonts w:ascii="Times New Roman" w:hAnsi="Times New Roman" w:cs="Times New Roman"/>
          <w:sz w:val="24"/>
          <w:szCs w:val="24"/>
        </w:rPr>
        <w:t xml:space="preserve"> issue in the current business landscape (Sun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2024)</w:t>
      </w:r>
      <w:r w:rsidRPr="00A3505C">
        <w:rPr>
          <w:rFonts w:ascii="Times New Roman" w:hAnsi="Times New Roman" w:cs="Times New Roman" w:hint="eastAsia"/>
          <w:sz w:val="24"/>
          <w:szCs w:val="24"/>
        </w:rPr>
        <w:t xml:space="preserve"> and</w:t>
      </w:r>
      <w:r w:rsidRPr="00A3505C">
        <w:rPr>
          <w:rFonts w:ascii="Times New Roman" w:hAnsi="Times New Roman" w:cs="Times New Roman"/>
          <w:sz w:val="24"/>
          <w:szCs w:val="24"/>
        </w:rPr>
        <w:t xml:space="preserve"> increasingly intensify</w:t>
      </w:r>
      <w:r w:rsidRPr="00A3505C">
        <w:rPr>
          <w:rFonts w:ascii="Times New Roman" w:hAnsi="Times New Roman" w:cs="Times New Roman" w:hint="eastAsia"/>
          <w:sz w:val="24"/>
          <w:szCs w:val="24"/>
        </w:rPr>
        <w:t xml:space="preserve"> the </w:t>
      </w:r>
      <w:r w:rsidRPr="00A3505C">
        <w:rPr>
          <w:rFonts w:ascii="Times New Roman" w:hAnsi="Times New Roman" w:cs="Times New Roman"/>
          <w:sz w:val="24"/>
          <w:szCs w:val="24"/>
        </w:rPr>
        <w:t>pressure</w:t>
      </w:r>
      <w:r w:rsidRPr="00A3505C">
        <w:rPr>
          <w:rFonts w:ascii="Times New Roman" w:hAnsi="Times New Roman" w:cs="Times New Roman" w:hint="eastAsia"/>
          <w:sz w:val="24"/>
          <w:szCs w:val="24"/>
        </w:rPr>
        <w:t xml:space="preserve"> on firms</w:t>
      </w:r>
      <w:r w:rsidRPr="00A3505C">
        <w:rPr>
          <w:rFonts w:ascii="Times New Roman" w:hAnsi="Times New Roman" w:cs="Times New Roman"/>
          <w:sz w:val="24"/>
          <w:szCs w:val="24"/>
        </w:rPr>
        <w:t xml:space="preserve"> to</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integrate sustainability into business</w:t>
      </w:r>
      <w:r w:rsidRPr="00A3505C">
        <w:rPr>
          <w:rFonts w:ascii="Times New Roman" w:hAnsi="Times New Roman" w:cs="Times New Roman" w:hint="eastAsia"/>
          <w:sz w:val="24"/>
          <w:szCs w:val="24"/>
        </w:rPr>
        <w:t xml:space="preserve"> strategies</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fldData xml:space="preserve">PEVuZE5vdGU+PENpdGU+PEF1dGhvcj5BZG9tYWtvPC9BdXRob3I+PFllYXI+MjAyMjwvWWVhcj48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PEVuZE5vdGU+PENpdGU+PEF1dGhvcj5BZG9tYWtvPC9BdXRob3I+PFllYXI+MjAyMjwvWWVhcj48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(Adomako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2022; Shui</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However, the</w:t>
      </w:r>
      <w:r w:rsidRPr="00A3505C">
        <w:rPr>
          <w:rFonts w:ascii="Times New Roman" w:hAnsi="Times New Roman" w:cs="Times New Roman"/>
          <w:sz w:val="24"/>
          <w:szCs w:val="24"/>
        </w:rPr>
        <w:t xml:space="preserve"> sustainability move is </w:t>
      </w:r>
      <w:r w:rsidRPr="00A3505C">
        <w:rPr>
          <w:rFonts w:ascii="Times New Roman" w:hAnsi="Times New Roman" w:cs="Times New Roman" w:hint="eastAsia"/>
          <w:sz w:val="24"/>
          <w:szCs w:val="24"/>
        </w:rPr>
        <w:t xml:space="preserve">constrained </w:t>
      </w:r>
      <w:r w:rsidRPr="00A3505C">
        <w:rPr>
          <w:rFonts w:ascii="Times New Roman" w:hAnsi="Times New Roman" w:cs="Times New Roman"/>
          <w:sz w:val="24"/>
          <w:szCs w:val="24"/>
        </w:rPr>
        <w:t xml:space="preserve">by limited </w:t>
      </w:r>
      <w:r w:rsidRPr="00A3505C">
        <w:rPr>
          <w:rFonts w:ascii="Times New Roman" w:hAnsi="Times New Roman" w:cs="Times New Roman" w:hint="eastAsia"/>
          <w:sz w:val="24"/>
          <w:szCs w:val="24"/>
        </w:rPr>
        <w:t xml:space="preserve">organisational </w:t>
      </w:r>
      <w:r w:rsidRPr="00A3505C">
        <w:rPr>
          <w:rFonts w:ascii="Times New Roman" w:hAnsi="Times New Roman" w:cs="Times New Roman"/>
          <w:sz w:val="24"/>
          <w:szCs w:val="24"/>
        </w:rPr>
        <w:t xml:space="preserve">resources that </w:t>
      </w:r>
      <w:r w:rsidRPr="00A3505C">
        <w:rPr>
          <w:rFonts w:ascii="Times New Roman" w:hAnsi="Times New Roman" w:cs="Times New Roman" w:hint="eastAsia"/>
          <w:sz w:val="24"/>
          <w:szCs w:val="24"/>
        </w:rPr>
        <w:t>impede</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the</w:t>
      </w:r>
      <w:r w:rsidRPr="00A3505C">
        <w:rPr>
          <w:rFonts w:ascii="Times New Roman" w:hAnsi="Times New Roman" w:cs="Times New Roman"/>
          <w:sz w:val="24"/>
          <w:szCs w:val="24"/>
        </w:rPr>
        <w:t xml:space="preserve"> innovative actions</w:t>
      </w:r>
      <w:r w:rsidRPr="00A3505C">
        <w:rPr>
          <w:rFonts w:ascii="Times New Roman" w:hAnsi="Times New Roman" w:cs="Times New Roman" w:hint="eastAsia"/>
          <w:sz w:val="24"/>
          <w:szCs w:val="24"/>
        </w:rPr>
        <w:t xml:space="preserve"> </w:t>
      </w:r>
      <w:r w:rsidR="00F0666D" w:rsidRPr="00A3505C">
        <w:rPr>
          <w:rFonts w:ascii="Times New Roman" w:hAnsi="Times New Roman" w:cs="Times New Roman" w:hint="eastAsia"/>
          <w:sz w:val="24"/>
          <w:szCs w:val="24"/>
        </w:rPr>
        <w:t>to achieve</w:t>
      </w:r>
      <w:r w:rsidRPr="00A3505C">
        <w:rPr>
          <w:rFonts w:ascii="Times New Roman" w:hAnsi="Times New Roman" w:cs="Times New Roman" w:hint="eastAsia"/>
          <w:sz w:val="24"/>
          <w:szCs w:val="24"/>
        </w:rPr>
        <w:t xml:space="preserve"> long-term</w:t>
      </w:r>
      <w:r w:rsidRPr="00A3505C">
        <w:rPr>
          <w:rFonts w:ascii="Times New Roman" w:hAnsi="Times New Roman" w:cs="Times New Roman"/>
          <w:sz w:val="24"/>
          <w:szCs w:val="24"/>
        </w:rPr>
        <w:t xml:space="preserve"> strategic objectives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&lt;EndNote&gt;&lt;Cite&gt;&lt;Author&gt;Zhou&lt;/Author&gt;&lt;Year&gt;2005&lt;/Year&gt;&lt;RecNum&gt;9001&lt;/RecNum&gt;&lt;DisplayText&gt;(Zhou&lt;style face="italic"&gt; et al.&lt;/style&gt;, 2005; Jibril&lt;style face="italic"&gt; et al.&lt;/style&gt;, 2024)&lt;/DisplayText&gt;&lt;record&gt;&lt;rec-number&gt;9001&lt;/rec-number&gt;&lt;foreign-keys&gt;&lt;key app="EN" db-id="tt95vv9zf20xf0ewve7x0fsl990xeeasafzs" timestamp="1708870411"&gt;9001&lt;/key&gt;&lt;/foreign-keys&gt;&lt;ref-type name="Journal Article"&gt;17&lt;/ref-type&gt;&lt;contributors&gt;&lt;authors&gt;&lt;author&gt;Zhou, Kevin Zheng&lt;/author&gt;&lt;author&gt;Yim, Chi Kin (Bennett)&lt;/author&gt;&lt;author&gt;Tse, David K.&lt;/author&gt;&lt;/authors&gt;&lt;/contributors&gt;&lt;titles&gt;&lt;title&gt;The effects of strategic orientations on technology- and market-based breakthrough innovations&lt;/title&gt;&lt;secondary-title&gt;Journal of Marketing&lt;/secondary-title&gt;&lt;/titles&gt;&lt;periodical&gt;&lt;full-title&gt;Journal of Marketing&lt;/full-title&gt;&lt;/periodical&gt;&lt;pages&gt;42-60&lt;/pages&gt;&lt;volume&gt;69&lt;/volume&gt;&lt;number&gt;2&lt;/number&gt;&lt;dates&gt;&lt;year&gt;2005&lt;/year&gt;&lt;/dates&gt;&lt;urls&gt;&lt;/urls&gt;&lt;electronic-resource-num&gt;10.1509/jmkg.69.2.42.60&lt;/electronic-resource-num&gt;&lt;/record&gt;&lt;/Cite&gt;&lt;Cite&gt;&lt;Author&gt;Jibril&lt;/Author&gt;&lt;Year&gt;2024&lt;/Year&gt;&lt;RecNum&gt;14124&lt;/RecNum&gt;&lt;record&gt;&lt;rec-number&gt;14124&lt;/rec-number&gt;&lt;foreign-keys&gt;&lt;key app="EN" db-id="tt95vv9zf20xf0ewve7x0fsl990xeeasafzs" timestamp="1754702467"&gt;14124&lt;/key&gt;&lt;/foreign-keys&gt;&lt;ref-type name="Journal Article"&gt;17&lt;/ref-type&gt;&lt;contributors&gt;&lt;authors&gt;&lt;author&gt;Jibril, Halima&lt;/author&gt;&lt;author&gt;Kesidou, Effie&lt;/author&gt;&lt;author&gt;Roper, Stephen&lt;/author&gt;&lt;/authors&gt;&lt;/contributors&gt;&lt;titles&gt;&lt;title&gt;Do digital technologies enable firms that prioritize sustainability goals to innovate? E</w:instrText>
      </w:r>
      <w:r w:rsidRPr="00A3505C">
        <w:rPr>
          <w:rFonts w:ascii="Times New Roman" w:hAnsi="Times New Roman" w:cs="Times New Roman" w:hint="eastAsia"/>
          <w:sz w:val="24"/>
          <w:szCs w:val="24"/>
        </w:rPr>
        <w:instrText>mpirical evidence from established UK micro</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businesses&lt;/title&gt;&lt;secondary-title&gt;British Journal of Management&lt;/secondary-title&gt;&lt;/titles&gt;&lt;periodical&gt;&lt;full-title&gt;British Journal of Management&lt;/full-title&gt;&lt;abbr-1&gt;Br. J. Manag.&lt;/abbr-1&gt;&lt;/periodical&gt;&lt;pages&gt;2155</w:instrText>
      </w:r>
      <w:r w:rsidRPr="00A3505C">
        <w:rPr>
          <w:rFonts w:ascii="Times New Roman" w:hAnsi="Times New Roman" w:cs="Times New Roman"/>
          <w:sz w:val="24"/>
          <w:szCs w:val="24"/>
        </w:rPr>
        <w:instrText>-2173&lt;/pages&gt;&lt;volume&gt;35&lt;/volume&gt;&lt;number&gt;4&lt;/number&gt;&lt;section&gt;2155&lt;/section&gt;&lt;dates&gt;&lt;year&gt;2024&lt;/year&gt;&lt;/dates&gt;&lt;isbn&gt;1045-3172&amp;#xD;1467-8551&lt;/isbn&gt;&lt;urls&gt;&lt;/urls&gt;&lt;electronic-resource-num&gt;10.1111/1467-8551.12821&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t>
      </w:r>
      <w:r w:rsidR="00087741" w:rsidRPr="00A3505C">
        <w:rPr>
          <w:rFonts w:ascii="Times New Roman" w:hAnsi="Times New Roman" w:cs="Times New Roman"/>
          <w:noProof/>
          <w:sz w:val="24"/>
          <w:szCs w:val="24"/>
        </w:rPr>
        <w:t>Zhou</w:t>
      </w:r>
      <w:r w:rsidR="00087741" w:rsidRPr="00A3505C">
        <w:rPr>
          <w:rFonts w:ascii="Times New Roman" w:hAnsi="Times New Roman" w:cs="Times New Roman"/>
          <w:i/>
          <w:noProof/>
          <w:sz w:val="24"/>
          <w:szCs w:val="24"/>
        </w:rPr>
        <w:t xml:space="preserve"> et al.</w:t>
      </w:r>
      <w:r w:rsidR="00087741" w:rsidRPr="00A3505C">
        <w:rPr>
          <w:rFonts w:ascii="Times New Roman" w:hAnsi="Times New Roman" w:cs="Times New Roman"/>
          <w:noProof/>
          <w:sz w:val="24"/>
          <w:szCs w:val="24"/>
        </w:rPr>
        <w:t>, 2005</w:t>
      </w:r>
      <w:r w:rsidR="00087741">
        <w:rPr>
          <w:rFonts w:ascii="Times New Roman" w:hAnsi="Times New Roman" w:cs="Times New Roman" w:hint="eastAsia"/>
          <w:noProof/>
          <w:sz w:val="24"/>
          <w:szCs w:val="24"/>
        </w:rPr>
        <w:t xml:space="preserve">; </w:t>
      </w:r>
      <w:r w:rsidR="00342E2C" w:rsidRPr="00A3505C">
        <w:rPr>
          <w:rFonts w:ascii="Times New Roman" w:hAnsi="Times New Roman" w:cs="Times New Roman"/>
          <w:noProof/>
          <w:sz w:val="24"/>
          <w:szCs w:val="24"/>
        </w:rPr>
        <w:t>Jibril</w:t>
      </w:r>
      <w:r w:rsidR="00342E2C" w:rsidRPr="00A3505C">
        <w:rPr>
          <w:rFonts w:ascii="Times New Roman" w:hAnsi="Times New Roman" w:cs="Times New Roman"/>
          <w:i/>
          <w:noProof/>
          <w:sz w:val="24"/>
          <w:szCs w:val="24"/>
        </w:rPr>
        <w:t xml:space="preserve"> et al.</w:t>
      </w:r>
      <w:r w:rsidR="00342E2C" w:rsidRPr="00A3505C">
        <w:rPr>
          <w:rFonts w:ascii="Times New Roman" w:hAnsi="Times New Roman" w:cs="Times New Roman"/>
          <w:noProof/>
          <w:sz w:val="24"/>
          <w:szCs w:val="24"/>
        </w:rPr>
        <w:t>, 2024</w:t>
      </w:r>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R</w:t>
      </w:r>
      <w:r w:rsidRPr="00A3505C">
        <w:rPr>
          <w:rFonts w:ascii="Times New Roman" w:hAnsi="Times New Roman" w:cs="Times New Roman"/>
          <w:sz w:val="24"/>
          <w:szCs w:val="24"/>
        </w:rPr>
        <w:t>esource scarcity</w:t>
      </w:r>
      <w:r w:rsidR="00F0666D" w:rsidRPr="00A3505C">
        <w:rPr>
          <w:rFonts w:ascii="Times New Roman" w:hAnsi="Times New Roman" w:cs="Times New Roman" w:hint="eastAsia"/>
          <w:sz w:val="24"/>
          <w:szCs w:val="24"/>
        </w:rPr>
        <w:t xml:space="preserve"> </w:t>
      </w:r>
      <w:r w:rsidR="00FC76B4" w:rsidRPr="00A3505C">
        <w:rPr>
          <w:rFonts w:ascii="Times New Roman" w:hAnsi="Times New Roman" w:cs="Times New Roman"/>
          <w:sz w:val="24"/>
          <w:szCs w:val="24"/>
        </w:rPr>
        <w:t xml:space="preserve">hinders </w:t>
      </w:r>
      <w:r w:rsidRPr="00A3505C">
        <w:rPr>
          <w:rFonts w:ascii="Times New Roman" w:hAnsi="Times New Roman" w:cs="Times New Roman"/>
          <w:sz w:val="24"/>
          <w:szCs w:val="24"/>
        </w:rPr>
        <w:t>the implementation of green initiatives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&lt;EndNote&gt;&lt;Cite&gt;&lt;Author&gt;Kutaula&lt;/Author&gt;&lt;Year&gt;2024&lt;/Year&gt;&lt;RecNum&gt;13857&lt;/RecNum&gt;&lt;DisplayText&gt;(Kutaula&lt;style face="italic"&gt; et al.&lt;/style&gt;, 2024)&lt;/DisplayText&gt;&lt;record&gt;&lt;rec-number&gt;13857&lt;/rec-number&gt;&lt;foreign-keys&gt;&lt;key app="EN" db-id="tt95vv9zf20xf0ewve7x0fsl990xeeasafzs" timestamp="1745827075"&gt;13857&lt;/key&gt;&lt;/foreign-keys&gt;&lt;ref-type name="Journal Article"&gt;17&lt;/ref-type&gt;&lt;contributors&gt;&lt;authors&gt;&lt;author&gt;Kutaula, Smirti&lt;/author&gt;&lt;author&gt;Chowdhury, Soumyadeb&lt;/author&gt;&lt;author&gt;Gillani, Alvina&lt;/author&gt;&lt;author&gt;Budhwar, Pawan S.&lt;/author&gt;&lt;author&gt;Dey, Prasanta Kumar&lt;/author&gt;&lt;/authors&gt;&lt;/contributors&gt;&lt;titles&gt;&lt;title&gt;Linking HRM with sustainability performance through sustainability practices: Unlocking the black box&lt;/title&gt;&lt;secondary-title&gt;British Journal of Management&lt;/secondary-title&gt;&lt;/titles&gt;&lt;periodical&gt;&lt;full-title&gt;British Journal of Management&lt;/full-title&gt;&lt;abbr-1&gt;Br. J. Manag.&lt;/abbr-1&gt;&lt;/periodical&gt;&lt;pages&gt;615-632&lt;/pages&gt;&lt;volume&gt;36&lt;/volume&gt;&lt;number&gt;2&lt;/number&gt;&lt;section&gt;615&lt;/section&gt;&lt;dates&gt;&lt;year&gt;2024&lt;/year&gt;&lt;/dates&gt;&lt;isbn&gt;1045-3172&amp;#xD;1467-8551&lt;/isbn&gt;&lt;urls&gt;&lt;/urls&gt;&lt;electronic-resource-num&gt;10.1111/1467-8551.12861&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(Kutaula</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exacerbating the inherent tension between prioritising economic growth and maximising profitability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F</w:t>
      </w:r>
      <w:r w:rsidRPr="00A3505C">
        <w:rPr>
          <w:rFonts w:ascii="Times New Roman" w:hAnsi="Times New Roman" w:cs="Times New Roman"/>
          <w:sz w:val="24"/>
          <w:szCs w:val="24"/>
        </w:rPr>
        <w:t xml:space="preserve">irms </w:t>
      </w:r>
      <w:r w:rsidRPr="00A3505C">
        <w:rPr>
          <w:rFonts w:ascii="Times New Roman" w:hAnsi="Times New Roman" w:cs="Times New Roman" w:hint="eastAsia"/>
          <w:sz w:val="24"/>
          <w:szCs w:val="24"/>
        </w:rPr>
        <w:t xml:space="preserve">thus </w:t>
      </w:r>
      <w:r w:rsidRPr="00A3505C">
        <w:rPr>
          <w:rFonts w:ascii="Times New Roman" w:hAnsi="Times New Roman" w:cs="Times New Roman"/>
          <w:sz w:val="24"/>
          <w:szCs w:val="24"/>
        </w:rPr>
        <w:t xml:space="preserve">may resort to symbolic measures instead of substantive transition toward greener businesses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&lt;EndNote&gt;&lt;Cite&gt;&lt;Author&gt;Zhang&lt;/Author&gt;&lt;Year&gt;2022&lt;/Year&gt;&lt;RecNum&gt;3080&lt;/RecNum&gt;&lt;DisplayText&gt;(Zhang, 2022)&lt;/DisplayText&gt;&lt;record&gt;&lt;rec-number&gt;3080&lt;/rec-number&gt;&lt;foreign-keys&gt;&lt;key app="EN" db-id="tt95vv9zf20xf0ewve7x0fsl990xeeasafzs" timestamp="1703231458"&gt;3080&lt;/key&gt;&lt;/foreign-keys&gt;&lt;ref-type name="Journal Article"&gt;17&lt;/ref-type&gt;&lt;contributors&gt;&lt;authors&gt;&lt;author&gt;Zhang, D. Y.&lt;/author&gt;&lt;/authors&gt;&lt;/contributors&gt;&lt;auth-address&gt;Capital Univ Econ &amp;amp; Business, Sch Econ, 121 Shoujingmao S Rd, Beijing 100070, Peoples R China&lt;/auth-address&gt;&lt;titles&gt;&lt;title&gt;Are firms motivated to greenwash by financial constraints? Evidence from global firms’ data&lt;/title&gt;&lt;secondary-title&gt;Journal of International Financial Management &amp;amp; Accounting&lt;/secondary-title&gt;&lt;/titles&gt;&lt;periodical&gt;&lt;full-title&gt;Journal of International Financial Management &amp;amp; Accounting&lt;/full-title&gt;&lt;abbr-1&gt;J. Int. Financ. Manag. Account.&lt;/abbr-1&gt;&lt;/periodical&gt;&lt;pages&gt;459-479&lt;/pages&gt;&lt;volume&gt;33&lt;/volume&gt;&lt;number&gt;3&lt;/number&gt;&lt;keywords&gt;&lt;keyword&gt;corporate social responsibility&lt;/keyword&gt;&lt;keyword&gt;financial constraints&lt;/keyword&gt;&lt;keyword&gt;global company data&lt;/keyword&gt;&lt;keyword&gt;greenwashing&lt;/keyword&gt;&lt;keyword&gt;ENVIRONMENTAL DISCLOSURE&lt;/keyword&gt;&lt;keyword&gt;CORPORATE&lt;/keyword&gt;&lt;keyword&gt;COST&lt;/keyword&gt;&lt;keyword&gt;PERFORMANCE&lt;/keyword&gt;&lt;keyword&gt;TRANSPARENCY&lt;/keyword&gt;&lt;keyword&gt;INVESTMENT&lt;/keyword&gt;&lt;keyword&gt;MANAGEMENT&lt;/keyword&gt;&lt;keyword&gt;LIQUIDITY&lt;/keyword&gt;&lt;keyword&gt;COMPANIES&lt;/keyword&gt;&lt;keyword&gt;RISK&lt;/keyword&gt;&lt;/keywords&gt;&lt;dates&gt;&lt;year&gt;2022&lt;/year&gt;&lt;pub-dates&gt;&lt;date&gt;OCT&lt;/date&gt;&lt;/pub-dates&gt;&lt;/dates&gt;&lt;isbn&gt;0954-1314&amp;#xD;1467-646X J9 - J INT FIN MANAG ACC&lt;/isbn&gt;&lt;accession-num&gt;WOS:000746544100001&lt;/accession-num&gt;&lt;urls&gt;&lt;/urls&gt;&lt;custom3&gt;Capital University of Economics &amp;amp; Business&lt;/custom3&gt;&lt;custom6&gt;JAN 2022&lt;/custom6&gt;&lt;electronic-resource-num&gt;10.1111/jifm.12153&lt;/electronic-resource-num&gt;&lt;language&gt;English&lt;/language&gt;&lt;/record&gt;&lt;/Cite&gt;&lt;/EndNote&gt;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(Zhang, 2022)</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In this context, strategic integration between economic and sustainability objectives is crucial</w:t>
      </w:r>
      <w:r w:rsidRPr="00A3505C">
        <w:rPr>
          <w:rFonts w:ascii="Times New Roman" w:hAnsi="Times New Roman" w:cs="Times New Roman" w:hint="eastAsia"/>
          <w:sz w:val="24"/>
          <w:szCs w:val="24"/>
        </w:rPr>
        <w:t>. T</w:t>
      </w:r>
      <w:r w:rsidRPr="00A3505C">
        <w:rPr>
          <w:rFonts w:ascii="Times New Roman" w:hAnsi="Times New Roman" w:cs="Times New Roman"/>
          <w:sz w:val="24"/>
          <w:szCs w:val="24"/>
        </w:rPr>
        <w:t xml:space="preserve">he generation of green revenues represents a viable mechanism for reconciling the competing demands of economic performance and environmental responsibility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&lt;EndNote&gt;&lt;Cite&gt;&lt;Author&gt;Bassen&lt;/Author&gt;&lt;Year&gt;2023&lt;/Year&gt;&lt;RecNum&gt;2992&lt;/RecNum&gt;&lt;DisplayText&gt;(Bassen&lt;style face="italic"&gt; et al.&lt;/style&gt;, 2023; Cao&lt;style face="italic"&gt; et al.&lt;/style&gt;, 2025b)&lt;/DisplayText&gt;&lt;record&gt;&lt;rec-number&gt;2992&lt;/rec-number&gt;&lt;foreign-keys&gt;&lt;key app="EN" db-id="tt95vv9zf20xf0ewve7x0fsl990xeeasafzs" timestamp="1703231458"&gt;2992&lt;/key&gt;&lt;/foreign-keys&gt;&lt;ref-type name="Journal Article"&gt;17&lt;/ref-type&gt;&lt;contributors&gt;&lt;authors&gt;&lt;author&gt;Bassen, Alexander&lt;/author&gt;&lt;author&gt;Shu, Hao&lt;/author&gt;&lt;author&gt;Tan, Weiqiang&lt;/author&gt;&lt;/authors&gt;&lt;/contributors&gt;&lt;titles&gt;&lt;title&gt;Green revenues and stock returns: Cross-market evidence&lt;/title&gt;&lt;secondary-title&gt;Finance Research Letters&lt;/secondary-title&gt;&lt;/titles&gt;&lt;periodical&gt;&lt;full-title&gt;Finance Research Letters&lt;/full-title&gt;&lt;abbr-1&gt;Financ. Res. Lett.&lt;/abbr-1&gt;&lt;/periodical&gt;&lt;volume&gt;52&lt;/volume&gt;&lt;number&gt;C&lt;/number&gt;&lt;dates&gt;&lt;year&gt;2023&lt;/year&gt;&lt;/dates&gt;&lt;urls&gt;&lt;/urls&gt;&lt;custom7&gt;103550&lt;/custom7&gt;&lt;electronic-resource-num&gt;10.1016/j.frl.2022.103550&lt;/electronic-resource-num&gt;&lt;/record&gt;&lt;/Cite&gt;&lt;Cite&gt;&lt;Author&gt;Cao&lt;/Author&gt;&lt;Year&gt;2025&lt;/Year&gt;&lt;RecNum&gt;13853&lt;/RecNum&gt;&lt;record&gt;&lt;rec-number&gt;13853&lt;/rec-number&gt;&lt;foreign-keys&gt;&lt;key app="EN" db-id="tt95vv9zf20xf0ewve7x0fsl990xeeasafzs" timestamp="1745809333"&gt;13853&lt;/key&gt;&lt;/foreign-keys&gt;&lt;ref-type name="Journal Article"&gt;17&lt;/ref-type&gt;&lt;contributors&gt;&lt;authors&gt;&lt;author&gt;Cao, J.&lt;/author&gt;&lt;author&gt;Huang, Z.&lt;/author&gt;&lt;author&gt;Kristanto, A. B.&lt;/author&gt;&lt;/authors&gt;&lt;/contributors&gt;&lt;titles&gt;&lt;title&gt;From bytes to blooms: Tech-driven transformation and green revenues&lt;/title&gt;&lt;secondary-title&gt;Energy Economics&lt;/secondary-title&gt;&lt;/titles&gt;&lt;periodical&gt;&lt;full-title&gt;Energy Economics&lt;/full-title&gt;&lt;abbr-1&gt;Energy Econ.&lt;/abbr-1&gt;&lt;/periodical&gt;&lt;volume&gt;144&lt;/volume&gt;&lt;section&gt;108312&lt;/section&gt;&lt;dates&gt;&lt;year&gt;2025&lt;/year&gt;&lt;/dates&gt;&lt;isbn&gt;01409883&lt;/isbn&gt;&lt;urls&gt;&lt;/urls&gt;&lt;electronic-resource-num&gt;10.1016/j.eneco.2025.108312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(FTSE Russel, 2018; 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2025c)</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w:t>
      </w:r>
    </w:p>
    <w:p w14:paraId="358DFA2D" w14:textId="505607C9"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Green revenues refer to revenues from green-related business activities, including renewable energy production, eco-friendly product manufacturing, and sustainable resource utilization </w:t>
      </w:r>
      <w:r w:rsidRPr="00A3505C">
        <w:rPr>
          <w:rFonts w:ascii="Times New Roman" w:hAnsi="Times New Roman" w:cs="Times New Roman"/>
          <w:sz w:val="24"/>
          <w:szCs w:val="24"/>
        </w:rPr>
        <w:fldChar w:fldCharType="begin">
          <w:fldData xml:space="preserve">PEVuZE5vdGU+PENpdGU+PEF1dGhvcj5GVFNFIFJ1c3NlbDwvQXV0aG9yPjxZZWFyPjIwMTg8L1ll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PEVuZE5vdGU+PENpdGU+PEF1dGhvcj5GVFNFIFJ1c3NlbDwvQXV0aG9yPjxZZWFyPjIwMTg8L1ll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 Kruse</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2020; </w:t>
      </w:r>
      <w:r w:rsidR="009449CE" w:rsidRPr="00A3505C">
        <w:rPr>
          <w:rFonts w:ascii="Times New Roman" w:hAnsi="Times New Roman" w:cs="Times New Roman"/>
          <w:noProof/>
          <w:sz w:val="24"/>
          <w:szCs w:val="24"/>
        </w:rPr>
        <w:t>Klausmann</w:t>
      </w:r>
      <w:r w:rsidR="009449CE" w:rsidRPr="00A3505C">
        <w:rPr>
          <w:rFonts w:ascii="Times New Roman" w:hAnsi="Times New Roman" w:cs="Times New Roman"/>
          <w:i/>
          <w:noProof/>
          <w:sz w:val="24"/>
          <w:szCs w:val="24"/>
        </w:rPr>
        <w:t xml:space="preserve"> et al.</w:t>
      </w:r>
      <w:r w:rsidR="009449CE" w:rsidRPr="00A3505C">
        <w:rPr>
          <w:rFonts w:ascii="Times New Roman" w:hAnsi="Times New Roman" w:cs="Times New Roman"/>
          <w:noProof/>
          <w:sz w:val="24"/>
          <w:szCs w:val="24"/>
        </w:rPr>
        <w:t xml:space="preserve">, 2024; </w:t>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2025b)</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As a reflection of real sustainability action, green revenues help firms to increase profitability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&lt;EndNote&gt;&lt;Cite&gt;&lt;Author&gt;Kruse&lt;/Author&gt;&lt;Year&gt;2020&lt;/Year&gt;&lt;RecNum&gt;2991&lt;/RecNum&gt;&lt;DisplayText&gt;(Kruse&lt;style face="italic"&gt; et al.&lt;/style&gt;, 2020)&lt;/DisplayText&gt;&lt;record&gt;&lt;rec-number&gt;2991&lt;/rec-number&gt;&lt;foreign-keys&gt;&lt;key app="EN" db-id="tt95vv9zf20xf0ewve7x0fsl990xeeasafzs" timestamp="1703231458"&gt;2991&lt;/key&gt;&lt;/foreign-keys&gt;&lt;ref-type name="Unpublished Work"&gt;34&lt;/ref-type&gt;&lt;contributors&gt;&lt;authors&gt;&lt;author&gt;Kruse, Tobias&lt;/author&gt;&lt;author&gt;Mohnen, Myra&lt;/author&gt;&lt;author&gt;Pope, Peter&lt;/author&gt;&lt;author&gt;Sato, Misato&lt;/author&gt;&lt;/authors&gt;&lt;/contributors&gt;&lt;titles&gt;&lt;title&gt;Green revenues, profitability and market valuation: Evidence from a global firm level dataset&lt;/title&gt;&lt;/titles&gt;&lt;dates&gt;&lt;year&gt;2020&lt;/year&gt;&lt;/dates&gt;&lt;publisher&gt;The London School of Economics and Political Science&lt;/publisher&gt;&lt;urls&gt;&lt;related-urls&gt;&lt;url&gt;https://www.lse.ac.uk/granthaminstitute/publication/green-revenues-profitability-and-market-valuation-evidence-from-a-global-firm-level-dataset/&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(Kruse</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2020)</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and mitigate unintended consequences of environmental regulations (</w:t>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2025a</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L</w:t>
      </w:r>
      <w:r w:rsidRPr="00A3505C">
        <w:rPr>
          <w:rFonts w:ascii="Times New Roman" w:hAnsi="Times New Roman" w:cs="Times New Roman"/>
          <w:sz w:val="24"/>
          <w:szCs w:val="24"/>
        </w:rPr>
        <w:t xml:space="preserve">ittle is known about </w:t>
      </w:r>
      <w:r w:rsidRPr="00A3505C">
        <w:rPr>
          <w:rFonts w:ascii="Times New Roman" w:hAnsi="Times New Roman" w:cs="Times New Roman" w:hint="eastAsia"/>
          <w:sz w:val="24"/>
          <w:szCs w:val="24"/>
        </w:rPr>
        <w:t>how</w:t>
      </w:r>
      <w:r w:rsidRPr="00A3505C">
        <w:rPr>
          <w:rFonts w:ascii="Times New Roman" w:hAnsi="Times New Roman" w:cs="Times New Roman"/>
          <w:sz w:val="24"/>
          <w:szCs w:val="24"/>
        </w:rPr>
        <w:t xml:space="preserve"> the strategic</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resource</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factors influence </w:t>
      </w:r>
      <w:r w:rsidRPr="00A3505C">
        <w:rPr>
          <w:rFonts w:ascii="Times New Roman" w:hAnsi="Times New Roman" w:cs="Times New Roman" w:hint="eastAsia"/>
          <w:sz w:val="24"/>
          <w:szCs w:val="24"/>
        </w:rPr>
        <w:t xml:space="preserve">the </w:t>
      </w:r>
      <w:r w:rsidRPr="00A3505C">
        <w:rPr>
          <w:rFonts w:ascii="Times New Roman" w:hAnsi="Times New Roman" w:cs="Times New Roman"/>
          <w:sz w:val="24"/>
          <w:szCs w:val="24"/>
        </w:rPr>
        <w:t>integ</w:t>
      </w:r>
      <w:r w:rsidRPr="00A3505C">
        <w:rPr>
          <w:rFonts w:ascii="Times New Roman" w:hAnsi="Times New Roman" w:cs="Times New Roman" w:hint="eastAsia"/>
          <w:sz w:val="24"/>
          <w:szCs w:val="24"/>
        </w:rPr>
        <w:t xml:space="preserve">ration between economic </w:t>
      </w:r>
      <w:r w:rsidRPr="00A3505C">
        <w:rPr>
          <w:rFonts w:ascii="Times New Roman" w:hAnsi="Times New Roman" w:cs="Times New Roman"/>
          <w:sz w:val="24"/>
          <w:szCs w:val="24"/>
        </w:rPr>
        <w:t>and</w:t>
      </w:r>
      <w:r w:rsidRPr="00A3505C">
        <w:rPr>
          <w:rFonts w:ascii="Times New Roman" w:hAnsi="Times New Roman" w:cs="Times New Roman" w:hint="eastAsia"/>
          <w:sz w:val="24"/>
          <w:szCs w:val="24"/>
        </w:rPr>
        <w:t xml:space="preserve"> environmental </w:t>
      </w:r>
      <w:r w:rsidR="009E6396" w:rsidRPr="00A3505C">
        <w:rPr>
          <w:rFonts w:ascii="Times New Roman" w:hAnsi="Times New Roman" w:cs="Times New Roman" w:hint="eastAsia"/>
          <w:sz w:val="24"/>
          <w:szCs w:val="24"/>
        </w:rPr>
        <w:t>benefits</w:t>
      </w:r>
      <w:r w:rsidRPr="00A3505C">
        <w:rPr>
          <w:rFonts w:ascii="Times New Roman" w:hAnsi="Times New Roman" w:cs="Times New Roman" w:hint="eastAsia"/>
          <w:sz w:val="24"/>
          <w:szCs w:val="24"/>
        </w:rPr>
        <w:t xml:space="preserve">. </w:t>
      </w:r>
    </w:p>
    <w:p w14:paraId="22C35B5A" w14:textId="3818AC8C"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 xml:space="preserve">It is </w:t>
      </w:r>
      <w:r w:rsidR="00F0666D" w:rsidRPr="00A3505C">
        <w:rPr>
          <w:rFonts w:ascii="Times New Roman" w:hAnsi="Times New Roman" w:cs="Times New Roman"/>
          <w:sz w:val="24"/>
          <w:szCs w:val="24"/>
        </w:rPr>
        <w:t>essential</w:t>
      </w:r>
      <w:r w:rsidR="00F0666D" w:rsidRPr="00A3505C">
        <w:rPr>
          <w:rFonts w:ascii="Times New Roman" w:hAnsi="Times New Roman" w:cs="Times New Roman" w:hint="eastAsia"/>
          <w:sz w:val="24"/>
          <w:szCs w:val="24"/>
        </w:rPr>
        <w:t xml:space="preserve"> </w:t>
      </w:r>
      <w:r w:rsidRPr="00A3505C">
        <w:rPr>
          <w:rFonts w:ascii="Times New Roman" w:hAnsi="Times New Roman" w:cs="Times New Roman" w:hint="eastAsia"/>
          <w:sz w:val="24"/>
          <w:szCs w:val="24"/>
        </w:rPr>
        <w:t>to</w:t>
      </w:r>
      <w:r w:rsidRPr="00A3505C">
        <w:rPr>
          <w:rFonts w:ascii="Times New Roman" w:hAnsi="Times New Roman" w:cs="Times New Roman"/>
          <w:sz w:val="24"/>
          <w:szCs w:val="24"/>
        </w:rPr>
        <w:t xml:space="preserve"> understand</w:t>
      </w:r>
      <w:r w:rsidRPr="00A3505C">
        <w:rPr>
          <w:rFonts w:ascii="Times New Roman" w:hAnsi="Times New Roman" w:cs="Times New Roman" w:hint="eastAsia"/>
          <w:sz w:val="24"/>
          <w:szCs w:val="24"/>
        </w:rPr>
        <w:t xml:space="preserve"> </w:t>
      </w:r>
      <w:r w:rsidR="00FC76B4" w:rsidRPr="00A3505C">
        <w:rPr>
          <w:rFonts w:ascii="Times New Roman" w:hAnsi="Times New Roman" w:cs="Times New Roman"/>
          <w:sz w:val="24"/>
          <w:szCs w:val="24"/>
        </w:rPr>
        <w:t xml:space="preserve">the </w:t>
      </w:r>
      <w:r w:rsidRPr="00A3505C">
        <w:rPr>
          <w:rFonts w:ascii="Times New Roman" w:hAnsi="Times New Roman" w:cs="Times New Roman"/>
          <w:sz w:val="24"/>
          <w:szCs w:val="24"/>
        </w:rPr>
        <w:t xml:space="preserve">determinants of green revenues. Following the Paris Agreement, global eco-consciousness has accelerated the growth of green revenues, with the increasing share in revenue portfolios from 4% in 2015 to 6% in 2023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&lt;EndNote&gt;&lt;Cite&gt;&lt;Author&gt;Klausmann&lt;/Author&gt;&lt;Year&gt;2024&lt;/Year&gt;&lt;RecNum&gt;10166&lt;/RecNum&gt;&lt;DisplayText&gt;(Klausmann&lt;style face="italic"&gt; et al.&lt;/style&gt;, 2024)&lt;/DisplayText&gt;&lt;record&gt;&lt;rec-number&gt;10166&lt;/rec-number&gt;&lt;foreign-keys&gt;&lt;key app="EN" db-id="tt95vv9zf20xf0ewve7x0fsl990xeeasafzs" timestamp="1730857984"&gt;10166&lt;/key&gt;&lt;/foreign-keys&gt;&lt;ref-type name="Unpublished Work"&gt;34&lt;/ref-type&gt;&lt;contributors&gt;&lt;authors&gt;&lt;author&gt;Klausmann, J.&lt;/author&gt;&lt;author&gt;Krueger, P.&lt;/author&gt;&lt;author&gt;Matos, P.&lt;/author&gt;&lt;/authors&gt;&lt;/contributors&gt;&lt;titles&gt;&lt;title&gt;The green transition: Evidence from corporate green revenues&lt;/title&gt;&lt;/titles&gt;&lt;num-vols&gt;4850449&lt;/num-vols&gt;&lt;dates&gt;&lt;year&gt;2024&lt;/year&gt;&lt;/dates&gt;&lt;publisher&gt;Darden Business School&lt;/publisher&gt;&lt;urls&gt;&lt;related-urls&gt;&lt;url&gt;https://papers.ssrn.com/sol3/papers.cfm?abstract_id=4850449&lt;/url&gt;&lt;/related-urls&gt;&lt;/urls&gt;&lt;electronic-resource-num&gt;10.2139/ssrn.4850449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(Klausmann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G</w:t>
      </w:r>
      <w:r w:rsidRPr="00A3505C">
        <w:rPr>
          <w:rFonts w:ascii="Times New Roman" w:hAnsi="Times New Roman" w:cs="Times New Roman"/>
          <w:sz w:val="24"/>
          <w:szCs w:val="24"/>
        </w:rPr>
        <w:t xml:space="preserve">reen revenues are largely determined by </w:t>
      </w:r>
      <w:r w:rsidR="00086FB4" w:rsidRPr="00A3505C">
        <w:rPr>
          <w:rFonts w:ascii="Times New Roman" w:hAnsi="Times New Roman" w:cs="Times New Roman"/>
          <w:sz w:val="24"/>
          <w:szCs w:val="24"/>
        </w:rPr>
        <w:t xml:space="preserve">green patents </w:t>
      </w:r>
      <w:r w:rsidR="00086FB4" w:rsidRPr="00A3505C">
        <w:rPr>
          <w:rFonts w:ascii="Times New Roman" w:hAnsi="Times New Roman" w:cs="Times New Roman"/>
          <w:sz w:val="24"/>
          <w:szCs w:val="24"/>
        </w:rPr>
        <w:fldChar w:fldCharType="begin"/>
      </w:r>
      <w:r w:rsidR="00086FB4" w:rsidRPr="00A3505C">
        <w:rPr>
          <w:rFonts w:ascii="Times New Roman" w:hAnsi="Times New Roman" w:cs="Times New Roman"/>
          <w:sz w:val="24"/>
          <w:szCs w:val="24"/>
          <w:lang w:val="en-AU"/>
        </w:rPr>
        <w:instrText xml:space="preserve"> ADDIN EN.CITE &lt;EndNote&gt;&lt;Cite&gt;&lt;Author&gt;Huang&lt;/Author&gt;&lt;Year&gt;2024&lt;/Year&gt;&lt;RecNum&gt;8547&lt;/RecNum&gt;&lt;DisplayText&gt;(Huang&lt;style face="italic"&gt; et al.&lt;/style&gt;, 2024)&lt;/DisplayText&gt;&lt;record&gt;&lt;rec-number&gt;8547&lt;/rec-number&gt;&lt;foreign-keys&gt;&lt;key app="EN" db-id="tt95vv9zf20xf0ewve7x0fsl990xeeasafzs" timestamp="1706677257"&gt;8547&lt;/key&gt;&lt;/foreign-keys&gt;&lt;ref-type name="Journal Article"&gt;17&lt;/ref-type&gt;&lt;contributors&gt;&lt;authors&gt;&lt;author&gt;Huang, Zijie&lt;/author&gt;&lt;author&gt;Cao, June&lt;/author&gt;&lt;author&gt;Pan, Lei&lt;/author&gt;&lt;/authors&gt;&lt;/contributors&gt;&lt;titles&gt;&lt;title&gt;Greening your way to profits: Green strategies and green revenues&lt;/title&gt;&lt;secondary-title&gt;Finance Research Letters&lt;/secondary-title&gt;&lt;/titles&gt;&lt;periodical&gt;&lt;full-title&gt;Finance Research Letters&lt;/full-title&gt;&lt;abbr-1&gt;Financ. Res. Lett.&lt;/abbr-1&gt;&lt;/periodical&gt;&lt;volume&gt;61&lt;/volume&gt;&lt;section&gt;105029&lt;/section&gt;&lt;dates&gt;&lt;year&gt;2024&lt;/year&gt;&lt;/dates&gt;&lt;isbn&gt;15446123&lt;/isbn&gt;&lt;urls&gt;&lt;/urls&gt;&lt;electronic-resource-num&gt;10.1016/j.frl.2024.105029&lt;/electronic-resource-num&gt;&lt;/record&gt;&lt;/Cite&gt;&lt;/EndNote&gt;</w:instrText>
      </w:r>
      <w:r w:rsidR="00086FB4" w:rsidRPr="00A3505C">
        <w:rPr>
          <w:rFonts w:ascii="Times New Roman" w:hAnsi="Times New Roman" w:cs="Times New Roman"/>
          <w:sz w:val="24"/>
          <w:szCs w:val="24"/>
        </w:rPr>
        <w:fldChar w:fldCharType="separate"/>
      </w:r>
      <w:r w:rsidR="00086FB4" w:rsidRPr="00A3505C">
        <w:rPr>
          <w:rFonts w:ascii="Times New Roman" w:hAnsi="Times New Roman" w:cs="Times New Roman"/>
          <w:noProof/>
          <w:sz w:val="24"/>
          <w:szCs w:val="24"/>
          <w:lang w:val="en-AU"/>
        </w:rPr>
        <w:t>(Huang</w:t>
      </w:r>
      <w:r w:rsidR="00086FB4" w:rsidRPr="00A3505C">
        <w:rPr>
          <w:rFonts w:ascii="Times New Roman" w:hAnsi="Times New Roman" w:cs="Times New Roman"/>
          <w:i/>
          <w:noProof/>
          <w:sz w:val="24"/>
          <w:szCs w:val="24"/>
          <w:lang w:val="en-AU"/>
        </w:rPr>
        <w:t xml:space="preserve"> et al.</w:t>
      </w:r>
      <w:r w:rsidR="00086FB4" w:rsidRPr="00A3505C">
        <w:rPr>
          <w:rFonts w:ascii="Times New Roman" w:hAnsi="Times New Roman" w:cs="Times New Roman"/>
          <w:noProof/>
          <w:sz w:val="24"/>
          <w:szCs w:val="24"/>
          <w:lang w:val="en-AU"/>
        </w:rPr>
        <w:t>, 2024)</w:t>
      </w:r>
      <w:r w:rsidR="00086FB4" w:rsidRPr="00A3505C">
        <w:rPr>
          <w:rFonts w:ascii="Times New Roman" w:hAnsi="Times New Roman" w:cs="Times New Roman"/>
          <w:sz w:val="24"/>
          <w:szCs w:val="24"/>
        </w:rPr>
        <w:fldChar w:fldCharType="end"/>
      </w:r>
      <w:r w:rsidR="00086FB4">
        <w:rPr>
          <w:rFonts w:ascii="Times New Roman" w:hAnsi="Times New Roman" w:cs="Times New Roman" w:hint="eastAsia"/>
          <w:sz w:val="24"/>
          <w:szCs w:val="24"/>
        </w:rPr>
        <w:t xml:space="preserve">, </w:t>
      </w:r>
      <w:r w:rsidR="00086FB4" w:rsidRPr="00A3505C">
        <w:rPr>
          <w:rFonts w:ascii="Times New Roman" w:hAnsi="Times New Roman" w:cs="Times New Roman"/>
          <w:sz w:val="24"/>
          <w:szCs w:val="24"/>
        </w:rPr>
        <w:t xml:space="preserve">green technologies </w:t>
      </w:r>
      <w:r w:rsidR="00086FB4" w:rsidRPr="00A3505C">
        <w:rPr>
          <w:rFonts w:ascii="Times New Roman" w:hAnsi="Times New Roman" w:cs="Times New Roman"/>
          <w:sz w:val="24"/>
          <w:szCs w:val="24"/>
        </w:rPr>
        <w:fldChar w:fldCharType="begin"/>
      </w:r>
      <w:r w:rsidR="00086FB4" w:rsidRPr="00A3505C">
        <w:rPr>
          <w:rFonts w:ascii="Times New Roman" w:hAnsi="Times New Roman" w:cs="Times New Roman"/>
          <w:sz w:val="24"/>
          <w:szCs w:val="24"/>
        </w:rPr>
        <w:instrText xml:space="preserve"> ADDIN EN.CITE &lt;EndNote&gt;&lt;Cite&gt;&lt;Author&gt;Klausmann&lt;/Author&gt;&lt;Year&gt;2024&lt;/Year&gt;&lt;RecNum&gt;10166&lt;/RecNum&gt;&lt;DisplayText&gt;(Klausmann&lt;style face="italic"&gt; et al.&lt;/style&gt;, 2024)&lt;/DisplayText&gt;&lt;record&gt;&lt;rec-number&gt;10166&lt;/rec-number&gt;&lt;foreign-keys&gt;&lt;key app="EN" db-id="tt95vv9zf20xf0ewve7x0fsl990xeeasafzs" timestamp="1730857984"&gt;10166&lt;/key&gt;&lt;/foreign-keys&gt;&lt;ref-type name="Unpublished Work"&gt;34&lt;/ref-type&gt;&lt;contributors&gt;&lt;authors&gt;&lt;author&gt;Klausmann, J.&lt;/author&gt;&lt;author&gt;Krueger, P.&lt;/author&gt;&lt;author&gt;Matos, P.&lt;/author&gt;&lt;/authors&gt;&lt;/contributors&gt;&lt;titles&gt;&lt;title&gt;The green transition: Evidence from corporate green revenues&lt;/title&gt;&lt;/titles&gt;&lt;num-vols&gt;4850449&lt;/num-vols&gt;&lt;dates&gt;&lt;year&gt;2024&lt;/year&gt;&lt;/dates&gt;&lt;publisher&gt;Darden Business School&lt;/publisher&gt;&lt;urls&gt;&lt;related-urls&gt;&lt;url&gt;https://papers.ssrn.com/sol3/papers.cfm?abstract_id=4850449&lt;/url&gt;&lt;/related-urls&gt;&lt;/urls&gt;&lt;electronic-resource-num&gt;10.2139/ssrn.4850449&lt;/electronic-resource-num&gt;&lt;/record&gt;&lt;/Cite&gt;&lt;/EndNote&gt;</w:instrText>
      </w:r>
      <w:r w:rsidR="00086FB4" w:rsidRPr="00A3505C">
        <w:rPr>
          <w:rFonts w:ascii="Times New Roman" w:hAnsi="Times New Roman" w:cs="Times New Roman"/>
          <w:sz w:val="24"/>
          <w:szCs w:val="24"/>
        </w:rPr>
        <w:fldChar w:fldCharType="separate"/>
      </w:r>
      <w:r w:rsidR="00086FB4" w:rsidRPr="00A3505C">
        <w:rPr>
          <w:rFonts w:ascii="Times New Roman" w:hAnsi="Times New Roman" w:cs="Times New Roman"/>
          <w:noProof/>
          <w:sz w:val="24"/>
          <w:szCs w:val="24"/>
        </w:rPr>
        <w:t>(Klausmann</w:t>
      </w:r>
      <w:r w:rsidR="00086FB4" w:rsidRPr="00A3505C">
        <w:rPr>
          <w:rFonts w:ascii="Times New Roman" w:hAnsi="Times New Roman" w:cs="Times New Roman"/>
          <w:i/>
          <w:noProof/>
          <w:sz w:val="24"/>
          <w:szCs w:val="24"/>
        </w:rPr>
        <w:t xml:space="preserve"> et al.</w:t>
      </w:r>
      <w:r w:rsidR="00086FB4" w:rsidRPr="00A3505C">
        <w:rPr>
          <w:rFonts w:ascii="Times New Roman" w:hAnsi="Times New Roman" w:cs="Times New Roman"/>
          <w:noProof/>
          <w:sz w:val="24"/>
          <w:szCs w:val="24"/>
        </w:rPr>
        <w:t>, 2024)</w:t>
      </w:r>
      <w:r w:rsidR="00086FB4" w:rsidRPr="00A3505C">
        <w:rPr>
          <w:rFonts w:ascii="Times New Roman" w:hAnsi="Times New Roman" w:cs="Times New Roman"/>
          <w:sz w:val="24"/>
          <w:szCs w:val="24"/>
        </w:rPr>
        <w:fldChar w:fldCharType="end"/>
      </w:r>
      <w:r w:rsidR="00086FB4" w:rsidRPr="00A3505C">
        <w:rPr>
          <w:rFonts w:ascii="Times New Roman" w:hAnsi="Times New Roman" w:cs="Times New Roman"/>
          <w:sz w:val="24"/>
          <w:szCs w:val="24"/>
        </w:rPr>
        <w:t xml:space="preserve">, </w:t>
      </w:r>
      <w:r w:rsidRPr="00A3505C">
        <w:rPr>
          <w:rFonts w:ascii="Times New Roman" w:hAnsi="Times New Roman" w:cs="Times New Roman"/>
          <w:sz w:val="24"/>
          <w:szCs w:val="24"/>
        </w:rPr>
        <w:t>resource endowment</w:t>
      </w:r>
      <w:r w:rsidRPr="00A3505C">
        <w:rPr>
          <w:rFonts w:ascii="Times New Roman" w:hAnsi="Times New Roman" w:cs="Times New Roman" w:hint="eastAsia"/>
          <w:sz w:val="24"/>
          <w:szCs w:val="24"/>
        </w:rPr>
        <w:t>s</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fldData xml:space="preserve">PEVuZE5vdGU+PENpdGU+PEF1dGhvcj5IdWFuZzwvQXV0aG9yPjxZZWFyPjIwMjQ8L1llYXI+PFJl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PEVuZE5vdGU+PENpdGU+PEF1dGhvcj5IdWFuZzwvQXV0aG9yPjxZZWFyPjIwMjQ8L1llYXI+PFJl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2025b)</w:t>
      </w:r>
      <w:r w:rsidRPr="00A3505C">
        <w:rPr>
          <w:rFonts w:ascii="Times New Roman" w:hAnsi="Times New Roman" w:cs="Times New Roman"/>
          <w:sz w:val="24"/>
          <w:szCs w:val="24"/>
        </w:rPr>
        <w:fldChar w:fldCharType="end"/>
      </w:r>
      <w:r w:rsidR="00F0666D"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00C811FC" w:rsidRPr="00A3505C">
        <w:rPr>
          <w:rFonts w:ascii="Times New Roman" w:hAnsi="Times New Roman" w:cs="Times New Roman"/>
          <w:sz w:val="24"/>
          <w:szCs w:val="24"/>
        </w:rPr>
        <w:t xml:space="preserve">digitalization </w:t>
      </w:r>
      <w:r w:rsidR="00C811FC" w:rsidRPr="00A3505C">
        <w:rPr>
          <w:rFonts w:ascii="Times New Roman" w:hAnsi="Times New Roman" w:cs="Times New Roman"/>
          <w:sz w:val="24"/>
          <w:szCs w:val="24"/>
        </w:rPr>
        <w:fldChar w:fldCharType="begin"/>
      </w:r>
      <w:r w:rsidR="00C811FC" w:rsidRPr="00A3505C">
        <w:rPr>
          <w:rFonts w:ascii="Times New Roman" w:hAnsi="Times New Roman" w:cs="Times New Roman"/>
          <w:sz w:val="24"/>
          <w:szCs w:val="24"/>
        </w:rPr>
        <w:instrText xml:space="preserve"> ADDIN EN.CITE &lt;EndNote&gt;&lt;Cite&gt;&lt;Author&gt;Cao&lt;/Author&gt;&lt;Year&gt;2025&lt;/Year&gt;&lt;RecNum&gt;13853&lt;/RecNum&gt;&lt;DisplayText&gt;(Cao&lt;style face="italic"&gt; et al.&lt;/style&gt;, 2025b)&lt;/DisplayText&gt;&lt;record&gt;&lt;rec-number&gt;13853&lt;/rec-number&gt;&lt;foreign-keys&gt;&lt;key app="EN" db-id="tt95vv9zf20xf0ewve7x0fsl990xeeasafzs" timestamp="1745809333"&gt;13853&lt;/key&gt;&lt;/foreign-keys&gt;&lt;ref-type name="Journal Article"&gt;17&lt;/ref-type&gt;&lt;contributors&gt;&lt;authors&gt;&lt;author&gt;Cao, J.&lt;/author&gt;&lt;author&gt;Huang, Z.&lt;/author&gt;&lt;author&gt;Kristanto, A. B.&lt;/author&gt;&lt;/authors&gt;&lt;/contributors&gt;&lt;titles&gt;&lt;title&gt;From bytes to blooms: Tech-driven transformation and green revenues&lt;/title&gt;&lt;secondary-title&gt;Energy Economics&lt;/secondary-title&gt;&lt;/titles&gt;&lt;periodical&gt;&lt;full-title&gt;Energy Economics&lt;/full-title&gt;&lt;abbr-1&gt;Energy Econ.&lt;/abbr-1&gt;&lt;/periodical&gt;&lt;volume&gt;144&lt;/volume&gt;&lt;section&gt;108312&lt;/section&gt;&lt;dates&gt;&lt;year&gt;2025&lt;/year&gt;&lt;/dates&gt;&lt;isbn&gt;01409883&lt;/isbn&gt;&lt;urls&gt;&lt;/urls&gt;&lt;electronic-resource-num&gt;10.1016/j.eneco.2025.108312&lt;/electronic-resource-num&gt;&lt;/record&gt;&lt;/Cite&gt;&lt;/EndNote&gt;</w:instrText>
      </w:r>
      <w:r w:rsidR="00C811FC" w:rsidRPr="00A3505C">
        <w:rPr>
          <w:rFonts w:ascii="Times New Roman" w:hAnsi="Times New Roman" w:cs="Times New Roman"/>
          <w:sz w:val="24"/>
          <w:szCs w:val="24"/>
        </w:rPr>
        <w:fldChar w:fldCharType="separate"/>
      </w:r>
      <w:r w:rsidR="00C811FC" w:rsidRPr="00A3505C">
        <w:rPr>
          <w:rFonts w:ascii="Times New Roman" w:hAnsi="Times New Roman" w:cs="Times New Roman"/>
          <w:noProof/>
          <w:sz w:val="24"/>
          <w:szCs w:val="24"/>
        </w:rPr>
        <w:t>(Cao</w:t>
      </w:r>
      <w:r w:rsidR="00C811FC" w:rsidRPr="00A3505C">
        <w:rPr>
          <w:rFonts w:ascii="Times New Roman" w:hAnsi="Times New Roman" w:cs="Times New Roman"/>
          <w:i/>
          <w:noProof/>
          <w:sz w:val="24"/>
          <w:szCs w:val="24"/>
        </w:rPr>
        <w:t xml:space="preserve"> et al.</w:t>
      </w:r>
      <w:r w:rsidR="00C811FC" w:rsidRPr="00A3505C">
        <w:rPr>
          <w:rFonts w:ascii="Times New Roman" w:hAnsi="Times New Roman" w:cs="Times New Roman"/>
          <w:noProof/>
          <w:sz w:val="24"/>
          <w:szCs w:val="24"/>
        </w:rPr>
        <w:t>, 2025b)</w:t>
      </w:r>
      <w:r w:rsidR="00C811FC" w:rsidRPr="00A3505C">
        <w:rPr>
          <w:rFonts w:ascii="Times New Roman" w:hAnsi="Times New Roman" w:cs="Times New Roman"/>
          <w:sz w:val="24"/>
          <w:szCs w:val="24"/>
        </w:rPr>
        <w:fldChar w:fldCharType="end"/>
      </w:r>
      <w:r w:rsidR="00C811FC">
        <w:rPr>
          <w:rFonts w:ascii="Times New Roman" w:hAnsi="Times New Roman" w:cs="Times New Roman" w:hint="eastAsia"/>
          <w:sz w:val="24"/>
          <w:szCs w:val="24"/>
        </w:rPr>
        <w:t xml:space="preserve">, and </w:t>
      </w:r>
      <w:r w:rsidRPr="00A3505C">
        <w:rPr>
          <w:rFonts w:ascii="Times New Roman" w:hAnsi="Times New Roman" w:cs="Times New Roman"/>
          <w:sz w:val="24"/>
          <w:szCs w:val="24"/>
        </w:rPr>
        <w:t xml:space="preserve">environmental orientations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&lt;EndNote&gt;&lt;Cite&gt;&lt;Author&gt;Cao&lt;/Author&gt;&lt;Year&gt;2025&lt;/Year&gt;&lt;RecNum&gt;13859&lt;/RecNum&gt;&lt;DisplayText&gt;(Cao&lt;style face="italic"&gt; et al.&lt;/style&gt;, 2025c)&lt;/DisplayText&gt;&lt;record&gt;&lt;rec-number&gt;13859&lt;/rec-number&gt;&lt;foreign-keys&gt;&lt;key app="EN" db-id="tt95vv9zf20xf0ewve7x0fsl990xeeasafzs" timestamp="1745900592"&gt;13859&lt;/key&gt;&lt;/foreign-keys&gt;&lt;ref-type name="Journal Article"&gt;17&lt;/ref-type&gt;&lt;contributors&gt;&lt;authors&gt;&lt;author&gt;Cao, J.&lt;/author&gt;&lt;author&gt;Huang, Z.&lt;/author&gt;&lt;author&gt;Liew, M.&lt;/author&gt;&lt;/authors&gt;&lt;/contributors&gt;&lt;titles&gt;&lt;title&gt;The environmental-financial nexus: Centralized environmental monitoring, eco-consciousness, and green revenues&lt;/title&gt;&lt;secondary-title&gt;Journal of Economic Behavior &amp;amp; Organization&lt;/secondary-title&gt;&lt;/titles&gt;&lt;periodical&gt;&lt;full-title&gt;Journal of Economic Behavior &amp;amp; Organization&lt;/full-title&gt;&lt;abbr-1&gt;J. Econ. Behav. Organ.&lt;/abbr-1&gt;&lt;/periodical&gt;&lt;volume&gt;231&lt;/volume&gt;&lt;section&gt;106929&lt;/section&gt;&lt;dates&gt;&lt;year&gt;2025&lt;/year&gt;&lt;/dates&gt;&lt;isbn&gt;01672681&lt;/isbn&gt;&lt;urls&gt;&lt;/urls&gt;&lt;electronic-resource-num&gt;10.1016/j.jebo.2025.106929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2025c)</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AuthorYear="1"&gt;&lt;Author&gt;Cao&lt;/Author&gt;&lt;Year&gt;2025&lt;/Year&gt;&lt;RecNum&gt;13859&lt;/RecNum&gt;&lt;DisplayText&gt;Cao&lt;style face="italic"&gt; et al.&lt;/style&gt; (2025c)&lt;/DisplayText&gt;&lt;record&gt;&lt;rec-number&gt;13859&lt;/rec-number&gt;&lt;foreign-keys&gt;&lt;key app="EN" db-id="tt95vv9zf20xf0ewve7x0fsl990xeeasafzs" timestamp="1745900592"&gt;13859&lt;/key&gt;&lt;/foreign-keys&gt;&lt;ref-type name="Journal Article"&gt;17&lt;/ref-type&gt;&lt;contributors&gt;&lt;authors&gt;&lt;author&gt;Cao, J.&lt;/author&gt;&lt;author&gt;Huang, Z.&lt;/author&gt;&lt;author&gt;Liew, M.&lt;/author&gt;&lt;/authors&gt;&lt;/contributors&gt;&lt;titles&gt;&lt;title&gt;The environmental-financial nexus: Centralized environmental monitoring, eco-consciousness, and green revenues&lt;/title&gt;&lt;secondary-title&gt;Journal of Economic Behavior &amp;amp; Organization&lt;/secondary-title&gt;&lt;/titles&gt;&lt;periodical&gt;&lt;full-title&gt;Journal of Economic Behavior &amp;amp; Organization&lt;/full-title&gt;&lt;abbr-1&gt;J. Econ. Behav. Organ.&lt;/abbr-1&gt;&lt;/periodical&gt;&lt;volume&gt;231&lt;/volume&gt;&lt;section&gt;106929&lt;/section&gt;&lt;dates&gt;&lt;year&gt;2025&lt;/year&gt;&lt;/dates&gt;&lt;isbn&gt;01672681&lt;/isbn&gt;&lt;urls&gt;&lt;/urls&gt;&lt;electronic-resource-num&gt;10.1016/j.jebo.2025.106929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(2025c)</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find that eco-consciousness encourages firms to seize the market opportunities and evolving environmental regulations to generate green revenues.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These studies mainly focus on the enabling factors for firms to step into the transition toward greener business. </w:t>
      </w:r>
    </w:p>
    <w:p w14:paraId="3B945EB7" w14:textId="3B88FE4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Understanding how firms align green transition initiatives with their business strategies is critical, as they cannot deviate from their economic objectives (Zhou and Park, 2020). </w:t>
      </w:r>
      <w:r w:rsidRPr="00A3505C">
        <w:rPr>
          <w:rFonts w:ascii="Times New Roman" w:hAnsi="Times New Roman" w:cs="Times New Roman" w:hint="eastAsia"/>
          <w:sz w:val="24"/>
          <w:szCs w:val="24"/>
        </w:rPr>
        <w:t>G</w:t>
      </w:r>
      <w:r w:rsidRPr="00A3505C">
        <w:rPr>
          <w:rFonts w:ascii="Times New Roman" w:hAnsi="Times New Roman" w:cs="Times New Roman"/>
          <w:sz w:val="24"/>
          <w:szCs w:val="24"/>
          <w:lang w:eastAsia="zh-TW"/>
        </w:rPr>
        <w:t xml:space="preserve">rowth-oriented </w:t>
      </w:r>
      <w:r w:rsidRPr="00A3505C">
        <w:rPr>
          <w:rFonts w:ascii="Times New Roman" w:hAnsi="Times New Roman" w:cs="Times New Roman" w:hint="eastAsia"/>
          <w:sz w:val="24"/>
          <w:szCs w:val="24"/>
        </w:rPr>
        <w:t>firms</w:t>
      </w:r>
      <w:r w:rsidRPr="00A3505C">
        <w:rPr>
          <w:rFonts w:ascii="Times New Roman" w:hAnsi="Times New Roman" w:cs="Times New Roman"/>
          <w:sz w:val="24"/>
          <w:szCs w:val="24"/>
          <w:lang w:eastAsia="zh-TW"/>
        </w:rPr>
        <w:t xml:space="preserve"> prioritize market share and firm </w:t>
      </w:r>
      <w:r w:rsidRPr="00A3505C">
        <w:rPr>
          <w:rFonts w:ascii="Times New Roman" w:hAnsi="Times New Roman" w:cs="Times New Roman" w:hint="eastAsia"/>
          <w:sz w:val="24"/>
          <w:szCs w:val="24"/>
        </w:rPr>
        <w:t>expansion</w:t>
      </w:r>
      <w:r w:rsidRPr="00A3505C">
        <w:rPr>
          <w:rFonts w:ascii="Times New Roman" w:hAnsi="Times New Roman" w:cs="Times New Roman"/>
          <w:sz w:val="24"/>
          <w:szCs w:val="24"/>
          <w:lang w:eastAsia="zh-TW"/>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&lt;EndNote&gt;&lt;Cite&gt;&lt;Author&gt;Penrose&lt;/Author&gt;&lt;Year&gt;1959&lt;/Year&gt;&lt;RecNum&gt;9007&lt;/RecNum&gt;&lt;DisplayText&gt;(Penrose, 1959; Gundry and Welsch, 2001)&lt;/DisplayText&gt;&lt;record&gt;&lt;rec-number&gt;9007&lt;/rec-number&gt;&lt;foreign-keys&gt;&lt;key app="EN" db-id="tt95vv9zf20xf0ewve7x0fsl990xeeasafzs" timestamp="1708925667"&gt;9007&lt;/key&gt;&lt;/foreign-keys&gt;&lt;ref-type name="Book"&gt;6&lt;/ref-type&gt;&lt;contributors&gt;&lt;authors&gt;&lt;author&gt;Penrose, E.T.&lt;/author&gt;&lt;/authors&gt;&lt;/contributors&gt;&lt;titles&gt;&lt;title&gt;The Theory of the Growth of the Firm&lt;/title&gt;&lt;/titles&gt;&lt;dates&gt;&lt;year&gt;1959&lt;/year&gt;&lt;/dates&gt;&lt;pub-location&gt;New York&lt;/pub-location&gt;&lt;publisher&gt;John Wiley and Sons&lt;/publisher&gt;&lt;urls&gt;&lt;/urls&gt;&lt;/record&gt;&lt;/Cite&gt;&lt;Cite&gt;&lt;Author&gt;Gundry&lt;/Author&gt;&lt;Year&gt;2001&lt;/Year&gt;&lt;RecNum&gt;9008&lt;/RecNum&gt;&lt;record&gt;&lt;rec-number&gt;9008&lt;/rec-number&gt;&lt;foreign-keys&gt;&lt;key app="EN" db-id="tt95vv9zf20xf0ewve7x0fsl990xeeasafzs" timestamp="1708925857"&gt;9008&lt;/key&gt;&lt;/foreign-keys&gt;&lt;ref-type name="Journal Article"&gt;17&lt;/ref-type&gt;&lt;contributors&gt;&lt;authors&gt;&lt;author&gt;Gundry, Lisa K.&lt;/author&gt;&lt;author&gt;Welsch, Harold P.&lt;/author&gt;&lt;/authors&gt;&lt;/contributors&gt;&lt;titles&gt;&lt;title&gt;The ambitious entrepreneur: High growth strategies of women-owned enterprises&lt;/title&gt;&lt;secondary-title&gt;Journal of Business Venturing&lt;/secondary-title&gt;&lt;/titles&gt;&lt;periodical&gt;&lt;full-title&gt;Journal of Business Venturing&lt;/full-title&gt;&lt;abbr-1&gt;J. Bus. Ventur.&lt;/abbr-1&gt;&lt;/periodical&gt;&lt;pages&gt;453-470&lt;/pages&gt;&lt;volume&gt;16&lt;/volume&gt;&lt;number&gt;5&lt;/number&gt;&lt;dates&gt;&lt;year&gt;2001&lt;/year&gt;&lt;/dates&gt;&lt;urls&gt;&lt;/urls&gt;&lt;electronic-resource-num&gt;10.1016/S0883-9026(99)00059-2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 xml:space="preserve">(Penrose, 1959; Gundry and Welsch, </w:t>
      </w:r>
      <w:r w:rsidRPr="00A3505C">
        <w:rPr>
          <w:rFonts w:ascii="Times New Roman" w:hAnsi="Times New Roman" w:cs="Times New Roman"/>
          <w:noProof/>
          <w:sz w:val="24"/>
          <w:szCs w:val="24"/>
        </w:rPr>
        <w:lastRenderedPageBreak/>
        <w:t>2001)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whereas </w:t>
      </w:r>
      <w:r w:rsidRPr="00A3505C">
        <w:rPr>
          <w:rFonts w:ascii="Times New Roman" w:hAnsi="Times New Roman" w:cs="Times New Roman" w:hint="eastAsia"/>
          <w:sz w:val="24"/>
          <w:szCs w:val="24"/>
        </w:rPr>
        <w:t>firms</w:t>
      </w:r>
      <w:r w:rsidRPr="00A3505C">
        <w:rPr>
          <w:rFonts w:ascii="Times New Roman" w:hAnsi="Times New Roman" w:cs="Times New Roman"/>
          <w:sz w:val="24"/>
          <w:szCs w:val="24"/>
        </w:rPr>
        <w:t xml:space="preserve"> with profit-oriented strategies focus on maximizing profitability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This creates tension, as growth-related managerial costs often conflict with profit maximization</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fldChar w:fldCharType="begin">
          <w:fldData xml:space="preserve">PEVuZE5vdGU+PENpdGU+PEF1dGhvcj5NaXNoaW5hPC9BdXRob3I+PFllYXI+MjAwNDwvWWVhcj48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=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PEVuZE5vdGU+PENpdGU+PEF1dGhvcj5NaXNoaW5hPC9BdXRob3I+PFllYXI+MjAwNDwvWWVhcj48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=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(Mishina</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2004; 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00F0666D" w:rsidRPr="00A3505C">
        <w:rPr>
          <w:rFonts w:ascii="Times New Roman" w:hAnsi="Times New Roman" w:cs="Times New Roman" w:hint="eastAsia"/>
          <w:sz w:val="24"/>
          <w:szCs w:val="24"/>
        </w:rPr>
        <w:t>I</w:t>
      </w:r>
      <w:r w:rsidRPr="00A3505C">
        <w:rPr>
          <w:rFonts w:ascii="Times New Roman" w:hAnsi="Times New Roman" w:cs="Times New Roman"/>
          <w:sz w:val="24"/>
          <w:szCs w:val="24"/>
        </w:rPr>
        <w:t xml:space="preserve">t is </w:t>
      </w:r>
      <w:r w:rsidR="00F0666D" w:rsidRPr="00A3505C">
        <w:rPr>
          <w:rFonts w:ascii="Times New Roman" w:hAnsi="Times New Roman" w:cs="Times New Roman" w:hint="eastAsia"/>
          <w:sz w:val="24"/>
          <w:szCs w:val="24"/>
        </w:rPr>
        <w:t xml:space="preserve">thus </w:t>
      </w:r>
      <w:r w:rsidRPr="00A3505C">
        <w:rPr>
          <w:rFonts w:ascii="Times New Roman" w:hAnsi="Times New Roman" w:cs="Times New Roman"/>
          <w:sz w:val="24"/>
          <w:szCs w:val="24"/>
        </w:rPr>
        <w:t xml:space="preserve">crucial to identify effective ways to align each firm’s strategic orientation with the pressing need </w:t>
      </w:r>
      <w:r w:rsidR="00FC76B4" w:rsidRPr="00A3505C">
        <w:rPr>
          <w:rFonts w:ascii="Times New Roman" w:hAnsi="Times New Roman" w:cs="Times New Roman"/>
          <w:sz w:val="24"/>
          <w:szCs w:val="24"/>
        </w:rPr>
        <w:t>for</w:t>
      </w:r>
      <w:r w:rsidR="00FC76B4"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sustainability. </w:t>
      </w:r>
      <w:r w:rsidR="00051855" w:rsidRPr="00A3505C">
        <w:rPr>
          <w:rFonts w:ascii="Times New Roman" w:hAnsi="Times New Roman" w:cs="Times New Roman" w:hint="eastAsia"/>
          <w:sz w:val="24"/>
          <w:szCs w:val="24"/>
        </w:rPr>
        <w:t xml:space="preserve">To provide </w:t>
      </w:r>
      <w:r w:rsidR="00051855" w:rsidRPr="00A3505C">
        <w:rPr>
          <w:rFonts w:ascii="Times New Roman" w:hAnsi="Times New Roman" w:cs="Times New Roman"/>
          <w:sz w:val="24"/>
          <w:szCs w:val="24"/>
        </w:rPr>
        <w:t>insights on aligning sustainability with strategic choices</w:t>
      </w:r>
      <w:r w:rsidR="00051855" w:rsidRPr="00A3505C">
        <w:rPr>
          <w:rFonts w:ascii="Times New Roman" w:hAnsi="Times New Roman" w:cs="Times New Roman" w:hint="eastAsia"/>
          <w:sz w:val="24"/>
          <w:szCs w:val="24"/>
        </w:rPr>
        <w:t>, w</w:t>
      </w:r>
      <w:r w:rsidRPr="00A3505C">
        <w:rPr>
          <w:rFonts w:ascii="Times New Roman" w:hAnsi="Times New Roman" w:cs="Times New Roman"/>
          <w:sz w:val="24"/>
          <w:szCs w:val="24"/>
        </w:rPr>
        <w:t>e examine whether and how different strategic orientations influence firms’ revenues from green-related activities</w:t>
      </w:r>
      <w:r w:rsidR="00051855" w:rsidRPr="00A3505C">
        <w:rPr>
          <w:rFonts w:ascii="Times New Roman" w:hAnsi="Times New Roman" w:cs="Times New Roman" w:hint="eastAsia"/>
          <w:sz w:val="24"/>
          <w:szCs w:val="24"/>
        </w:rPr>
        <w:t>.</w:t>
      </w:r>
    </w:p>
    <w:p w14:paraId="46027636" w14:textId="17594A1F" w:rsidR="000F7DAA" w:rsidRPr="00A3505C" w:rsidRDefault="000F7DAA" w:rsidP="000F7DAA">
      <w:pPr>
        <w:spacing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Drawing on the </w:t>
      </w:r>
      <w:r w:rsidR="001E33B0" w:rsidRPr="00A3505C">
        <w:rPr>
          <w:rFonts w:ascii="Times New Roman" w:hAnsi="Times New Roman" w:cs="Times New Roman"/>
          <w:sz w:val="24"/>
          <w:szCs w:val="24"/>
        </w:rPr>
        <w:t xml:space="preserve">resource-based view </w:t>
      </w:r>
      <w:r w:rsidRPr="00A3505C">
        <w:rPr>
          <w:rFonts w:ascii="Times New Roman" w:hAnsi="Times New Roman" w:cs="Times New Roman"/>
          <w:sz w:val="24"/>
          <w:szCs w:val="24"/>
        </w:rPr>
        <w:t xml:space="preserve">(RBV), </w:t>
      </w:r>
      <w:r w:rsidR="00051855" w:rsidRPr="00A3505C">
        <w:rPr>
          <w:rFonts w:ascii="Times New Roman" w:hAnsi="Times New Roman" w:cs="Times New Roman" w:hint="eastAsia"/>
          <w:sz w:val="24"/>
          <w:szCs w:val="24"/>
        </w:rPr>
        <w:t>we</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argue</w:t>
      </w:r>
      <w:r w:rsidRPr="00A3505C">
        <w:rPr>
          <w:rFonts w:ascii="Times New Roman" w:hAnsi="Times New Roman" w:cs="Times New Roman"/>
          <w:sz w:val="24"/>
          <w:szCs w:val="24"/>
        </w:rPr>
        <w:t xml:space="preserve"> that the tensions between profit- and growth-oriented strategies shape firms’ resource configurations, influencing their capacity to generate green revenues.</w:t>
      </w:r>
      <w:r w:rsidRPr="00A3505C">
        <w:rPr>
          <w:rStyle w:val="FootnoteReference"/>
          <w:rFonts w:ascii="Times New Roman" w:hAnsi="Times New Roman" w:cs="Times New Roman"/>
          <w:sz w:val="24"/>
          <w:szCs w:val="24"/>
        </w:rPr>
        <w:footnoteReference w:id="2"/>
      </w:r>
      <w:r w:rsidRPr="00A3505C">
        <w:rPr>
          <w:rFonts w:ascii="Times New Roman" w:hAnsi="Times New Roman" w:cs="Times New Roman"/>
          <w:sz w:val="24"/>
          <w:szCs w:val="24"/>
        </w:rPr>
        <w:t xml:space="preserve"> The RBV posits that competitive advantage </w:t>
      </w:r>
      <w:r w:rsidRPr="00A3505C">
        <w:rPr>
          <w:rFonts w:ascii="Times New Roman" w:hAnsi="Times New Roman" w:cs="Times New Roman" w:hint="eastAsia"/>
          <w:sz w:val="24"/>
          <w:szCs w:val="24"/>
        </w:rPr>
        <w:t>stems from</w:t>
      </w:r>
      <w:r w:rsidRPr="00A3505C">
        <w:rPr>
          <w:rFonts w:ascii="Times New Roman" w:hAnsi="Times New Roman" w:cs="Times New Roman"/>
          <w:sz w:val="24"/>
          <w:szCs w:val="24"/>
        </w:rPr>
        <w:t xml:space="preserve"> the firm’s capability to accumulate and make use of distinctive resources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&lt;EndNote&gt;&lt;Cite&gt;&lt;Author&gt;Wernerfelt&lt;/Author&gt;&lt;Year&gt;1984&lt;/Year&gt;&lt;RecNum&gt;8491&lt;/RecNum&gt;&lt;DisplayText&gt;(Wernerfelt, 1984)&lt;/DisplayText&gt;&lt;record&gt;&lt;rec-number&gt;8491&lt;/rec-number&gt;&lt;foreign-keys&gt;&lt;key app="EN" db-id="tt95vv9zf20xf0ewve7x0fsl990xeeasafzs" timestamp="1706066642"&gt;8491&lt;/key&gt;&lt;/foreign-keys&gt;&lt;ref-type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Journal&lt;/full-title&gt;&lt;abbr-1&gt;Strateg. Manag. J.&lt;/abbr-1&gt;&lt;/periodical&gt;&lt;pages&gt;171-180&lt;/pages&gt;&lt;volume&gt;5&lt;/volume&gt;&lt;number&gt;2&lt;/number&gt;&lt;dates&gt;&lt;year&gt;1984&lt;/year&gt;&lt;/dates&gt;&lt;urls&gt;&lt;related-urls&gt;&lt;url&gt;https://www.jstor.org/stable/2486175&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(Wernerfelt, 1984)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Under</w:t>
      </w:r>
      <w:r w:rsidRPr="00A3505C">
        <w:rPr>
          <w:rFonts w:ascii="Times New Roman" w:hAnsi="Times New Roman" w:cs="Times New Roman"/>
          <w:sz w:val="24"/>
          <w:szCs w:val="24"/>
        </w:rPr>
        <w:t xml:space="preserve"> resource constraints, firms allocate resources according to strategic priorities (Yamaguchi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2023), classified as profit-oriented or growth-oriented (</w:t>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t>). Profit-oriented firms emphasize</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firm-specific resources to sustain their competitive advantages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&lt;EndNote&gt;&lt;Cite&gt;&lt;Author&gt;Zhou&lt;/Author&gt;&lt;Year&gt;2024&lt;/Year&gt;&lt;RecNum&gt;14056&lt;/RecNum&gt;&lt;DisplayText&gt;(Zhou and Park, 2024)&lt;/DisplayText&gt;&lt;record&gt;&lt;rec-number&gt;14056&lt;/rec-number&gt;&lt;foreign-keys&gt;&lt;key app="EN" db-id="tt95vv9zf20xf0ewve7x0fsl990xeeasafzs" timestamp="1750124861"&gt;14056&lt;/key&gt;&lt;/foreign-keys&gt;&lt;ref-type name="Journal Article"&gt;17&lt;/ref-type&gt;&lt;contributors&gt;&lt;authors&gt;&lt;author&gt;Zhou, Nan&lt;/author&gt;&lt;author&gt;Park, Seung Ho&lt;/author&gt;&lt;/authors&gt;&lt;/contributors&gt;&lt;titles&gt;&lt;title&gt;Decomposing firm performance in emerging markets: The difference between growth and profit&lt;/title&gt;&lt;secondary-title&gt;Management and Organization Review&lt;/secondary-title&gt;&lt;/titles&gt;&lt;periodical&gt;&lt;full-title&gt;Management and Organization Review&lt;/full-title&gt;&lt;/periodical&gt;&lt;pages&gt;316-335&lt;/pages&gt;&lt;volume&gt;20&lt;/volume&gt;&lt;number&gt;2&lt;/number&gt;&lt;section&gt;316&lt;/section&gt;&lt;dates&gt;&lt;year&gt;2024&lt;/year&gt;&lt;/dates&gt;&lt;isbn&gt;1740-8776&amp;#xD;1740-8784&lt;/isbn&gt;&lt;urls&gt;&lt;/urls&gt;&lt;electronic-resource-num&gt;10.1017/mor.2023.32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but </w:t>
      </w:r>
      <w:r w:rsidR="00F20B8F">
        <w:rPr>
          <w:rFonts w:ascii="Times New Roman" w:hAnsi="Times New Roman" w:cs="Times New Roman" w:hint="eastAsia"/>
          <w:sz w:val="24"/>
          <w:szCs w:val="24"/>
        </w:rPr>
        <w:t>have</w:t>
      </w:r>
      <w:r w:rsidRPr="00A3505C">
        <w:rPr>
          <w:rFonts w:ascii="Times New Roman" w:hAnsi="Times New Roman" w:cs="Times New Roman" w:hint="eastAsia"/>
          <w:sz w:val="24"/>
          <w:szCs w:val="24"/>
        </w:rPr>
        <w:t xml:space="preserve"> typically</w:t>
      </w:r>
      <w:r w:rsidRPr="00A3505C">
        <w:rPr>
          <w:rFonts w:ascii="Times New Roman" w:hAnsi="Times New Roman" w:cs="Times New Roman"/>
          <w:sz w:val="24"/>
          <w:szCs w:val="24"/>
        </w:rPr>
        <w:t xml:space="preserve"> </w:t>
      </w:r>
      <w:r w:rsidR="00F20B8F">
        <w:rPr>
          <w:rFonts w:ascii="Times New Roman" w:hAnsi="Times New Roman" w:cs="Times New Roman" w:hint="eastAsia"/>
          <w:sz w:val="24"/>
          <w:szCs w:val="24"/>
        </w:rPr>
        <w:t>weaker incentives</w:t>
      </w:r>
      <w:r w:rsidRPr="00A3505C">
        <w:rPr>
          <w:rFonts w:ascii="Times New Roman" w:hAnsi="Times New Roman" w:cs="Times New Roman"/>
          <w:sz w:val="24"/>
          <w:szCs w:val="24"/>
        </w:rPr>
        <w:t xml:space="preserve"> to </w:t>
      </w:r>
      <w:r w:rsidR="00480437" w:rsidRPr="00480437">
        <w:rPr>
          <w:rFonts w:ascii="Times New Roman" w:hAnsi="Times New Roman" w:cs="Times New Roman"/>
          <w:sz w:val="24"/>
          <w:szCs w:val="24"/>
        </w:rPr>
        <w:t xml:space="preserve">redeploy resources in response to </w:t>
      </w:r>
      <w:r w:rsidRPr="00A3505C">
        <w:rPr>
          <w:rFonts w:ascii="Times New Roman" w:hAnsi="Times New Roman" w:cs="Times New Roman"/>
          <w:sz w:val="24"/>
          <w:szCs w:val="24"/>
        </w:rPr>
        <w:t>external dynamics</w:t>
      </w:r>
      <w:r w:rsidRPr="00A3505C">
        <w:rPr>
          <w:rFonts w:ascii="Times New Roman" w:hAnsi="Times New Roman" w:cs="Times New Roman"/>
          <w:sz w:val="24"/>
          <w:szCs w:val="24"/>
          <w:lang w:val="en-AU"/>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&lt;EndNote&gt;&lt;Cite&gt;&lt;Author&gt;Nason&lt;/Author&gt;&lt;Year&gt;2015&lt;/Year&gt;&lt;RecNum&gt;14058&lt;/RecNum&gt;&lt;DisplayText&gt;(Nason and Wiklund, 2015)&lt;/DisplayText&gt;&lt;record&gt;&lt;rec-number&gt;14058&lt;/rec-number&gt;&lt;foreign-keys&gt;&lt;key app="EN" db-id="tt95vv9zf20xf0ewve7x0fsl990xeeasafzs" timestamp="1750133611"&gt;14058&lt;/key&gt;&lt;/foreign-keys&gt;&lt;ref-type name="Journal Article"&gt;17&lt;/ref-type&gt;&lt;contributors&gt;&lt;authors&gt;&lt;author&gt;Nason, Robert S.&lt;/author&gt;&lt;author&gt;Wiklund, Johan&lt;/author&gt;&lt;/authors&gt;&lt;/contributors&gt;&lt;titles&gt;&lt;title&gt;An assessment of resource-based theorizing on firm growth and suggestions for the future&lt;/title&gt;&lt;secondary-title&gt;Journal of Management&lt;/secondary-title&gt;&lt;/titles&gt;&lt;periodical&gt;&lt;full-title&gt;Journal of Management&lt;/full-title&gt;&lt;abbr-1&gt;J. Manag.&lt;/abbr-1&gt;&lt;/periodical&gt;&lt;pages&gt;32-60&lt;/pages&gt;&lt;volume&gt;44&lt;/volume&gt;&lt;number&gt;1&lt;/number&gt;&lt;section&gt;32&lt;/section&gt;&lt;dates&gt;&lt;year&gt;2015&lt;/year&gt;&lt;/dates&gt;&lt;isbn&gt;0149-2063&amp;#xD;1557-1211&lt;/isbn&gt;&lt;urls&gt;&lt;/urls&gt;&lt;electronic-resource-num&gt;10.1177/0149206315610635&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(Nason and Wiklund, 2015)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w:t>
      </w:r>
      <w:r w:rsidRPr="00A3505C">
        <w:rPr>
          <w:rFonts w:ascii="Times New Roman" w:hAnsi="Times New Roman" w:cs="Times New Roman"/>
          <w:sz w:val="24"/>
          <w:szCs w:val="24"/>
          <w:lang w:val="en-AU"/>
        </w:rPr>
        <w:t xml:space="preserve"> </w:t>
      </w:r>
      <w:r w:rsidRPr="00A3505C">
        <w:rPr>
          <w:rFonts w:ascii="Times New Roman" w:hAnsi="Times New Roman" w:cs="Times New Roman"/>
          <w:sz w:val="24"/>
          <w:szCs w:val="24"/>
        </w:rPr>
        <w:t xml:space="preserve">Conversely, growth-oriented firms possess more versatile resources, enhancing adaptability </w:t>
      </w:r>
      <w:r w:rsidRPr="00A3505C">
        <w:rPr>
          <w:rFonts w:ascii="Times New Roman" w:hAnsi="Times New Roman" w:cs="Times New Roman" w:hint="eastAsia"/>
          <w:sz w:val="24"/>
          <w:szCs w:val="24"/>
        </w:rPr>
        <w:t xml:space="preserve">and enabling them </w:t>
      </w:r>
      <w:r w:rsidRPr="00A3505C">
        <w:rPr>
          <w:rFonts w:ascii="Times New Roman" w:hAnsi="Times New Roman" w:cs="Times New Roman"/>
          <w:sz w:val="24"/>
          <w:szCs w:val="24"/>
        </w:rPr>
        <w:t xml:space="preserve">to </w:t>
      </w:r>
      <w:r w:rsidRPr="00A3505C">
        <w:rPr>
          <w:rFonts w:ascii="Times New Roman" w:hAnsi="Times New Roman" w:cs="Times New Roman" w:hint="eastAsia"/>
          <w:sz w:val="24"/>
          <w:szCs w:val="24"/>
        </w:rPr>
        <w:t>capitalize on emerging</w:t>
      </w:r>
      <w:r w:rsidRPr="00A3505C">
        <w:rPr>
          <w:rFonts w:ascii="Times New Roman" w:hAnsi="Times New Roman" w:cs="Times New Roman"/>
          <w:sz w:val="24"/>
          <w:szCs w:val="24"/>
        </w:rPr>
        <w:t xml:space="preserve"> opportunities </w:t>
      </w:r>
      <w:r w:rsidRPr="00A3505C">
        <w:rPr>
          <w:rFonts w:ascii="Times New Roman" w:hAnsi="Times New Roman" w:cs="Times New Roman"/>
          <w:sz w:val="24"/>
          <w:szCs w:val="24"/>
        </w:rPr>
        <w:fldChar w:fldCharType="begin">
          <w:fldData xml:space="preserve">PEVuZE5vdGU+PENpdGU+PEF1dGhvcj5OYXNvbjwvQXV0aG9yPjxZZWFyPjIwMTU8L1llYXI+PFJl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PEVuZE5vdGU+PENpdGU+PEF1dGhvcj5OYXNvbjwvQXV0aG9yPjxZZWFyPjIwMTU8L1llYXI+PFJl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(Nason and Wiklund, 2015; Mitrega</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2021</w:t>
      </w:r>
      <w:r w:rsidR="00AF4247" w:rsidRPr="00A3505C">
        <w:rPr>
          <w:rFonts w:ascii="Times New Roman" w:hAnsi="Times New Roman" w:cs="Times New Roman" w:hint="eastAsia"/>
          <w:noProof/>
          <w:sz w:val="24"/>
          <w:szCs w:val="24"/>
        </w:rPr>
        <w:t xml:space="preserve">; Zhou </w:t>
      </w:r>
      <w:r w:rsidR="00AF4247" w:rsidRPr="00A3505C">
        <w:rPr>
          <w:rFonts w:ascii="Times New Roman" w:hAnsi="Times New Roman" w:cs="Times New Roman" w:hint="eastAsia"/>
          <w:i/>
          <w:iCs/>
          <w:noProof/>
          <w:sz w:val="24"/>
          <w:szCs w:val="24"/>
        </w:rPr>
        <w:t>et al</w:t>
      </w:r>
      <w:r w:rsidR="00AF4247" w:rsidRPr="00A3505C">
        <w:rPr>
          <w:rFonts w:ascii="Times New Roman" w:hAnsi="Times New Roman" w:cs="Times New Roman" w:hint="eastAsia"/>
          <w:noProof/>
          <w:sz w:val="24"/>
          <w:szCs w:val="24"/>
        </w:rPr>
        <w:t>.</w:t>
      </w:r>
      <w:r w:rsidR="00FC76B4" w:rsidRPr="00A3505C">
        <w:rPr>
          <w:rFonts w:ascii="Times New Roman" w:hAnsi="Times New Roman" w:cs="Times New Roman"/>
          <w:noProof/>
          <w:sz w:val="24"/>
          <w:szCs w:val="24"/>
        </w:rPr>
        <w:t>,</w:t>
      </w:r>
      <w:r w:rsidR="00AF4247" w:rsidRPr="00A3505C">
        <w:rPr>
          <w:rFonts w:ascii="Times New Roman" w:hAnsi="Times New Roman" w:cs="Times New Roman" w:hint="eastAsia"/>
          <w:noProof/>
          <w:sz w:val="24"/>
          <w:szCs w:val="24"/>
        </w:rPr>
        <w:t xml:space="preserve"> 2025</w:t>
      </w:r>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p>
    <w:p w14:paraId="677DC663" w14:textId="6D2AF476" w:rsidR="000F7DAA" w:rsidRPr="00A3505C" w:rsidRDefault="000F7DAA" w:rsidP="000F7DAA">
      <w:pPr>
        <w:spacing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Given that green revenues reflect firms’ responsiveness to sustainability pressures while simultaneously pursuing economic goals </w:t>
      </w:r>
      <w:r w:rsidRPr="00A3505C">
        <w:rPr>
          <w:rFonts w:ascii="Times New Roman" w:hAnsi="Times New Roman" w:cs="Times New Roman"/>
          <w:sz w:val="24"/>
          <w:szCs w:val="24"/>
        </w:rPr>
        <w:fldChar w:fldCharType="begin">
          <w:fldData xml:space="preserve">PEVuZE5vdGU+PENpdGU+PEF1dGhvcj5CYXNzZW48L0F1dGhvcj48WWVhcj4yMDIzPC9ZZWFyPjxS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PEVuZE5vdGU+PENpdGU+PEF1dGhvcj5CYXNzZW48L0F1dGhvcj48WWVhcj4yMDIzPC9ZZWFyPjxS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(Bassen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2023; 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2025b)</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we draw on stakeholder theory to conceptualize sustainability</w:t>
      </w:r>
      <w:r w:rsidRPr="00A3505C">
        <w:rPr>
          <w:rFonts w:ascii="Times New Roman" w:hAnsi="Times New Roman" w:cs="Times New Roman" w:hint="eastAsia"/>
          <w:sz w:val="24"/>
          <w:szCs w:val="24"/>
        </w:rPr>
        <w:t xml:space="preserve"> integration </w:t>
      </w:r>
      <w:r w:rsidRPr="00A3505C">
        <w:rPr>
          <w:rFonts w:ascii="Times New Roman" w:hAnsi="Times New Roman" w:cs="Times New Roman"/>
          <w:sz w:val="24"/>
          <w:szCs w:val="24"/>
        </w:rPr>
        <w:t xml:space="preserve">as a strategic </w:t>
      </w:r>
      <w:r w:rsidRPr="00A3505C">
        <w:rPr>
          <w:rFonts w:ascii="Times New Roman" w:hAnsi="Times New Roman" w:cs="Times New Roman" w:hint="eastAsia"/>
          <w:sz w:val="24"/>
          <w:szCs w:val="24"/>
        </w:rPr>
        <w:t>response</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to</w:t>
      </w:r>
      <w:r w:rsidRPr="00A3505C">
        <w:rPr>
          <w:rFonts w:ascii="Times New Roman" w:hAnsi="Times New Roman" w:cs="Times New Roman"/>
          <w:sz w:val="24"/>
          <w:szCs w:val="24"/>
        </w:rPr>
        <w:t xml:space="preserve"> diverse stakeholder</w:t>
      </w:r>
      <w:r w:rsidRPr="00A3505C">
        <w:rPr>
          <w:rFonts w:ascii="Times New Roman" w:hAnsi="Times New Roman" w:cs="Times New Roman" w:hint="eastAsia"/>
          <w:sz w:val="24"/>
          <w:szCs w:val="24"/>
        </w:rPr>
        <w:t xml:space="preserve"> demands</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Combining</w:t>
      </w:r>
      <w:r w:rsidRPr="00A3505C">
        <w:rPr>
          <w:rFonts w:ascii="Times New Roman" w:hAnsi="Times New Roman" w:cs="Times New Roman"/>
          <w:sz w:val="24"/>
          <w:szCs w:val="24"/>
        </w:rPr>
        <w:t xml:space="preserve"> the RBV and stakeholder theory, </w:t>
      </w:r>
      <w:r w:rsidRPr="00A3505C">
        <w:rPr>
          <w:rFonts w:ascii="Times New Roman" w:hAnsi="Times New Roman" w:cs="Times New Roman" w:hint="eastAsia"/>
          <w:sz w:val="24"/>
          <w:szCs w:val="24"/>
        </w:rPr>
        <w:t xml:space="preserve">we argue that </w:t>
      </w:r>
      <w:r w:rsidRPr="00A3505C">
        <w:rPr>
          <w:rFonts w:ascii="Times New Roman" w:hAnsi="Times New Roman" w:cs="Times New Roman"/>
          <w:sz w:val="24"/>
          <w:szCs w:val="24"/>
        </w:rPr>
        <w:t xml:space="preserve">the versatile and substantial resources </w:t>
      </w:r>
      <w:r w:rsidRPr="00A3505C">
        <w:rPr>
          <w:rFonts w:ascii="Times New Roman" w:hAnsi="Times New Roman" w:cs="Times New Roman" w:hint="eastAsia"/>
          <w:sz w:val="24"/>
          <w:szCs w:val="24"/>
        </w:rPr>
        <w:t>of</w:t>
      </w:r>
      <w:r w:rsidRPr="00A3505C">
        <w:rPr>
          <w:rFonts w:ascii="Times New Roman" w:hAnsi="Times New Roman" w:cs="Times New Roman"/>
          <w:sz w:val="24"/>
          <w:szCs w:val="24"/>
        </w:rPr>
        <w:t xml:space="preserve"> growth-oriented firms enhance their adaptability (Nason and Wiklund, 2015; Mitrega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2021), enabling them to respond </w:t>
      </w:r>
      <w:r w:rsidRPr="00A3505C">
        <w:rPr>
          <w:rFonts w:ascii="Times New Roman" w:hAnsi="Times New Roman" w:cs="Times New Roman" w:hint="eastAsia"/>
          <w:sz w:val="24"/>
          <w:szCs w:val="24"/>
        </w:rPr>
        <w:t xml:space="preserve">more </w:t>
      </w:r>
      <w:r w:rsidRPr="00A3505C">
        <w:rPr>
          <w:rFonts w:ascii="Times New Roman" w:hAnsi="Times New Roman" w:cs="Times New Roman"/>
          <w:sz w:val="24"/>
          <w:szCs w:val="24"/>
        </w:rPr>
        <w:t xml:space="preserve">effectively to stakeholders’ </w:t>
      </w:r>
      <w:r w:rsidRPr="00A3505C">
        <w:rPr>
          <w:rFonts w:ascii="Times New Roman" w:hAnsi="Times New Roman" w:cs="Times New Roman" w:hint="eastAsia"/>
          <w:sz w:val="24"/>
          <w:szCs w:val="24"/>
        </w:rPr>
        <w:t>expectations</w:t>
      </w:r>
      <w:r w:rsidRPr="00A3505C">
        <w:rPr>
          <w:rFonts w:ascii="Times New Roman" w:hAnsi="Times New Roman" w:cs="Times New Roman"/>
          <w:sz w:val="24"/>
          <w:szCs w:val="24"/>
        </w:rPr>
        <w:t xml:space="preserve"> for sustainability. Therefore, we posit that growth-oriented firms are more likely to generate green revenues. </w:t>
      </w:r>
      <w:r w:rsidRPr="00A3505C">
        <w:rPr>
          <w:rFonts w:ascii="Times New Roman" w:hAnsi="Times New Roman" w:cs="Times New Roman" w:hint="eastAsia"/>
          <w:sz w:val="24"/>
          <w:szCs w:val="24"/>
        </w:rPr>
        <w:t>We examine this relationship in</w:t>
      </w:r>
      <w:r w:rsidRPr="00A3505C">
        <w:rPr>
          <w:rFonts w:ascii="Times New Roman" w:hAnsi="Times New Roman" w:cs="Times New Roman"/>
          <w:sz w:val="24"/>
          <w:szCs w:val="24"/>
        </w:rPr>
        <w:t xml:space="preserve"> China, </w:t>
      </w:r>
      <w:r w:rsidRPr="00A3505C">
        <w:rPr>
          <w:rFonts w:ascii="Times New Roman" w:hAnsi="Times New Roman" w:cs="Times New Roman" w:hint="eastAsia"/>
          <w:sz w:val="24"/>
          <w:szCs w:val="24"/>
        </w:rPr>
        <w:t>which plays a pivotal role in global emission reduction. As</w:t>
      </w:r>
      <w:r w:rsidRPr="00A3505C">
        <w:rPr>
          <w:rFonts w:ascii="Times New Roman" w:hAnsi="Times New Roman" w:cs="Times New Roman"/>
          <w:sz w:val="24"/>
          <w:szCs w:val="24"/>
        </w:rPr>
        <w:t xml:space="preserve"> the world’s largest greenhouse gas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emitter</w:t>
      </w:r>
      <w:r w:rsidRPr="00A3505C">
        <w:rPr>
          <w:rFonts w:ascii="Times New Roman" w:hAnsi="Times New Roman" w:cs="Times New Roman" w:hint="eastAsia"/>
          <w:sz w:val="24"/>
          <w:szCs w:val="24"/>
        </w:rPr>
        <w:t xml:space="preserve"> (T</w:t>
      </w:r>
      <w:r w:rsidRPr="00A3505C">
        <w:rPr>
          <w:rFonts w:ascii="Times New Roman" w:hAnsi="Times New Roman" w:cs="Times New Roman"/>
          <w:sz w:val="24"/>
          <w:szCs w:val="24"/>
        </w:rPr>
        <w:t xml:space="preserve">he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AuthorYear="1"&gt;&lt;Author&gt;World Resources Institute&lt;/Author&gt;&lt;Year&gt;2022&lt;/Year&gt;&lt;RecNum&gt;5440&lt;/RecNum&gt;&lt;DisplayText&gt;World Resources Institute (2022)&lt;/DisplayText&gt;&lt;record&gt;&lt;rec-number&gt;5440&lt;/rec-number&gt;&lt;foreign-keys&gt;&lt;key app="EN" db-id="tt95vv9zf20xf0ewve7x0fsl990xeeasafzs" timestamp="1703231459"&gt;5440&lt;/key&gt;&lt;/foreign-keys&gt;&lt;ref-type name="Web Page"&gt;12&lt;/ref-type&gt;&lt;contributors&gt;&lt;authors&gt;&lt;author&gt;World Resources Institute,&lt;/author&gt;&lt;/authors&gt;&lt;/contributors&gt;&lt;titles&gt;&lt;title&gt;Climate Watch Historical GHG Emissions&lt;/title&gt;&lt;/titles&gt;&lt;number&gt;6 March 2023&lt;/number&gt;&lt;dates&gt;&lt;year&gt;2022&lt;/year&gt;&lt;/dates&gt;&lt;urls&gt;&lt;related-urls&gt;&lt;url&gt;https://www.climatewatchdata.org/ghg-emissions&lt;/url&gt;&lt;/related-urls&gt;&lt;/urls&gt;&lt;access-date&gt;4 March 2023&lt;/access-date&gt;&lt;/record&gt;&lt;/Cite&gt;&lt;/EndNote&gt;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World Resources Institute</w:t>
      </w:r>
      <w:r w:rsidRPr="00A3505C">
        <w:rPr>
          <w:rFonts w:ascii="Times New Roman" w:hAnsi="Times New Roman" w:cs="Times New Roman" w:hint="eastAsia"/>
          <w:noProof/>
          <w:sz w:val="24"/>
          <w:szCs w:val="24"/>
        </w:rPr>
        <w:t>,</w:t>
      </w:r>
      <w:r w:rsidRPr="00A3505C">
        <w:rPr>
          <w:rFonts w:ascii="Times New Roman" w:hAnsi="Times New Roman" w:cs="Times New Roman"/>
          <w:noProof/>
          <w:sz w:val="24"/>
          <w:szCs w:val="24"/>
        </w:rPr>
        <w:t xml:space="preserve"> 2022)</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and projected </w:t>
      </w:r>
      <w:r w:rsidRPr="00A3505C">
        <w:rPr>
          <w:rFonts w:ascii="Times New Roman" w:hAnsi="Times New Roman" w:cs="Times New Roman"/>
          <w:sz w:val="24"/>
          <w:szCs w:val="24"/>
        </w:rPr>
        <w:t xml:space="preserve">largest economy in Purchasing Power Parity by 2050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&lt;EndNote&gt;&lt;Cite&gt;&lt;Author&gt;PwC&lt;/Author&gt;&lt;Year&gt;2017&lt;/Year&gt;&lt;RecNum&gt;3002&lt;/RecNum&gt;&lt;DisplayText&gt;(PwC, 2017)&lt;/DisplayText&gt;&lt;record&gt;&lt;rec-number&gt;3002&lt;/rec-number&gt;&lt;foreign-keys&gt;&lt;key app="EN" db-id="tt95vv9zf20xf0ewve7x0fsl990xeeasafzs" timestamp="1703231458"&gt;3002&lt;/key&gt;&lt;/foreign-keys&gt;&lt;ref-type name="Web Page"&gt;12&lt;/ref-type&gt;&lt;contributors&gt;&lt;authors&gt;&lt;author&gt;PwC,&lt;/author&gt;&lt;/authors&gt;&lt;/contributors&gt;&lt;titles&gt;&lt;title&gt;The Long View: How Will the Global Economic Order Change by 2050?&lt;/title&gt;&lt;/titles&gt;&lt;number&gt;18 Nov 2023&lt;/number&gt;&lt;dates&gt;&lt;year&gt;2017&lt;/year&gt;&lt;/dates&gt;&lt;urls&gt;&lt;related-urls&gt;&lt;url&gt;https://www.pwc.com/gx/en/world-2050/assets/pwc-the-world-in-2050-full-report-feb-2017.pdf&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(PwC, 2017)</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China provides an ideal context for investigating how</w:t>
      </w:r>
      <w:r w:rsidRPr="00A3505C">
        <w:rPr>
          <w:rFonts w:ascii="Times New Roman" w:hAnsi="Times New Roman" w:cs="Times New Roman"/>
          <w:sz w:val="24"/>
          <w:szCs w:val="24"/>
        </w:rPr>
        <w:t xml:space="preserve"> strategic </w:t>
      </w:r>
      <w:r w:rsidRPr="00A3505C">
        <w:rPr>
          <w:rFonts w:ascii="Times New Roman" w:hAnsi="Times New Roman" w:cs="Times New Roman"/>
          <w:sz w:val="24"/>
          <w:szCs w:val="24"/>
        </w:rPr>
        <w:lastRenderedPageBreak/>
        <w:t>orientations influence firms’ green revenue generation amid simultaneous economic and environmental pressures.</w:t>
      </w:r>
    </w:p>
    <w:p w14:paraId="5F30BCD3" w14:textId="7A26E13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Using a sample of A-share listed firms from 2009 to 2022, we find that growth-oriented strategies are positively associated with green revenues</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whereas</w:t>
      </w:r>
      <w:r w:rsidRPr="00A3505C">
        <w:rPr>
          <w:rFonts w:ascii="Times New Roman" w:hAnsi="Times New Roman" w:cs="Times New Roman"/>
          <w:sz w:val="24"/>
          <w:szCs w:val="24"/>
        </w:rPr>
        <w:t xml:space="preserve"> profit-oriented strategies </w:t>
      </w:r>
      <w:r w:rsidRPr="00A3505C">
        <w:rPr>
          <w:rFonts w:ascii="Times New Roman" w:hAnsi="Times New Roman" w:cs="Times New Roman" w:hint="eastAsia"/>
          <w:sz w:val="24"/>
          <w:szCs w:val="24"/>
        </w:rPr>
        <w:t>show a</w:t>
      </w:r>
      <w:r w:rsidRPr="00A3505C">
        <w:rPr>
          <w:rFonts w:ascii="Times New Roman" w:hAnsi="Times New Roman" w:cs="Times New Roman"/>
          <w:sz w:val="24"/>
          <w:szCs w:val="24"/>
        </w:rPr>
        <w:t xml:space="preserve"> negative associat</w:t>
      </w:r>
      <w:r w:rsidRPr="00A3505C">
        <w:rPr>
          <w:rFonts w:ascii="Times New Roman" w:hAnsi="Times New Roman" w:cs="Times New Roman" w:hint="eastAsia"/>
          <w:sz w:val="24"/>
          <w:szCs w:val="24"/>
        </w:rPr>
        <w:t>ion</w:t>
      </w:r>
      <w:r w:rsidRPr="00A3505C">
        <w:rPr>
          <w:rFonts w:ascii="Times New Roman" w:hAnsi="Times New Roman" w:cs="Times New Roman"/>
          <w:sz w:val="24"/>
          <w:szCs w:val="24"/>
        </w:rPr>
        <w:t xml:space="preserve">. We further </w:t>
      </w:r>
      <w:r w:rsidRPr="00A3505C">
        <w:rPr>
          <w:rFonts w:ascii="Times New Roman" w:hAnsi="Times New Roman" w:cs="Times New Roman" w:hint="eastAsia"/>
          <w:sz w:val="24"/>
          <w:szCs w:val="24"/>
        </w:rPr>
        <w:t>identify</w:t>
      </w:r>
      <w:r w:rsidRPr="00A3505C">
        <w:rPr>
          <w:rFonts w:ascii="Times New Roman" w:hAnsi="Times New Roman" w:cs="Times New Roman"/>
          <w:sz w:val="24"/>
          <w:szCs w:val="24"/>
        </w:rPr>
        <w:t xml:space="preserve"> green patent investment</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as the underlying mechanism. Green patents </w:t>
      </w:r>
      <w:r w:rsidRPr="00A3505C">
        <w:rPr>
          <w:rFonts w:ascii="Times New Roman" w:hAnsi="Times New Roman" w:cs="Times New Roman" w:hint="eastAsia"/>
          <w:sz w:val="24"/>
          <w:szCs w:val="24"/>
        </w:rPr>
        <w:t>facilitate</w:t>
      </w:r>
      <w:r w:rsidRPr="00A3505C">
        <w:rPr>
          <w:rFonts w:ascii="Times New Roman" w:hAnsi="Times New Roman" w:cs="Times New Roman"/>
          <w:sz w:val="24"/>
          <w:szCs w:val="24"/>
        </w:rPr>
        <w:t xml:space="preserve"> more sustainabl</w:t>
      </w:r>
      <w:r w:rsidRPr="00A3505C">
        <w:rPr>
          <w:rFonts w:ascii="Times New Roman" w:hAnsi="Times New Roman" w:cs="Times New Roman" w:hint="eastAsia"/>
          <w:sz w:val="24"/>
          <w:szCs w:val="24"/>
        </w:rPr>
        <w:t>e operations</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&lt;EndNote&gt;&lt;Cite&gt;&lt;Author&gt;Hu&lt;/Author&gt;&lt;Year&gt;2021&lt;/Year&gt;&lt;RecNum&gt;9054&lt;/RecNum&gt;&lt;DisplayText&gt;(Hu&lt;style face="italic"&gt; et al.&lt;/style&gt;, 2021)&lt;/DisplayText&gt;&lt;record&gt;&lt;rec-number&gt;9054&lt;/rec-number&gt;&lt;foreign-keys&gt;&lt;key app="EN" db-id="tt95vv9zf20xf0ewve7x0fsl990xeeasafzs" timestamp="1709863085"&gt;9054&lt;/key&gt;&lt;/foreign-keys&gt;&lt;ref-type name="Journal Article"&gt;17&lt;/ref-type&gt;&lt;contributors&gt;&lt;authors&gt;&lt;author&gt;Hu, Guoqiang&lt;/author&gt;&lt;author&gt;Wang, Xiaoqi&lt;/author&gt;&lt;author&gt;Wang, Yu&lt;/author&gt;&lt;/authors&gt;&lt;/contributors&gt;&lt;titles&gt;&lt;title&gt;Can the green credit policy stimulate green innovation in heavily polluting enterprises? Evidence from a quasi-natural experiment in China&lt;/title&gt;&lt;secondary-title&gt;Energy Economics&lt;/secondary-title&gt;&lt;/titles&gt;&lt;periodical&gt;&lt;full-title&gt;Energy Economics&lt;/full-title&gt;&lt;abbr-1&gt;Energy Econ.&lt;/abbr-1&gt;&lt;/periodical&gt;&lt;volume&gt;98&lt;/volume&gt;&lt;section&gt;105134&lt;/section&gt;&lt;dates&gt;&lt;year&gt;2021&lt;/year&gt;&lt;/dates&gt;&lt;isbn&gt;01409883&lt;/isbn&gt;&lt;urls&gt;&lt;/urls&gt;&lt;electronic-resource-num&gt;10.1016/j.eneco.2021.105134&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(Hu</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2021)</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and </w:t>
      </w:r>
      <w:r w:rsidRPr="00A3505C">
        <w:rPr>
          <w:rFonts w:ascii="Times New Roman" w:hAnsi="Times New Roman" w:cs="Times New Roman"/>
          <w:sz w:val="24"/>
          <w:szCs w:val="24"/>
        </w:rPr>
        <w:t xml:space="preserve">significantly enhance firms’ green revenues </w:t>
      </w:r>
      <w:r w:rsidRPr="00A3505C">
        <w:rPr>
          <w:rFonts w:ascii="Times New Roman" w:hAnsi="Times New Roman" w:cs="Times New Roman" w:hint="eastAsia"/>
          <w:sz w:val="24"/>
          <w:szCs w:val="24"/>
        </w:rPr>
        <w:t>(</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AuthorYear="1"&gt;&lt;Author&gt;Huang&lt;/Author&gt;&lt;Year&gt;2024&lt;/Year&gt;&lt;RecNum&gt;8547&lt;/RecNum&gt;&lt;DisplayText&gt;Huang&lt;style face="italic"&gt; et al.&lt;/style&gt; (2024)&lt;/DisplayText&gt;&lt;record&gt;&lt;rec-number&gt;8547&lt;/rec-number&gt;&lt;foreign-keys&gt;&lt;key app="EN" db-id="tt95vv9zf20xf0ewve7x0fsl990xeeasafzs" timestamp="1706677257"&gt;8547&lt;/key&gt;&lt;/foreign-keys&gt;&lt;ref-type name="Journal Article"&gt;17&lt;/ref-type&gt;&lt;contributors&gt;&lt;authors&gt;&lt;author&gt;Huang, Zijie&lt;/author&gt;&lt;author&gt;Cao, June&lt;/author&gt;&lt;author&gt;Pan, Lei&lt;/author&gt;&lt;/authors&gt;&lt;/contributors&gt;&lt;titles&gt;&lt;title&gt;Greening your way to profits: Green strategies and green revenues&lt;/title&gt;&lt;secondary-title&gt;Finance Research Letters&lt;/secondary-title&gt;&lt;/titles&gt;&lt;periodical&gt;&lt;full-title&gt;Finance Research Letters&lt;/full-title&gt;&lt;abbr-1&gt;Financ. Res. Lett.&lt;/abbr-1&gt;&lt;/periodical&gt;&lt;volume&gt;61&lt;/volume&gt;&lt;section&gt;105029&lt;/section&gt;&lt;dates&gt;&lt;year&gt;2024&lt;/year&gt;&lt;/dates&gt;&lt;isbn&gt;15446123&lt;/isbn&gt;&lt;urls&gt;&lt;/urls&gt;&lt;electronic-resource-num&gt;10.1016/j.frl.2024.105029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Huang</w:t>
      </w:r>
      <w:r w:rsidRPr="00A3505C">
        <w:rPr>
          <w:rFonts w:ascii="Times New Roman" w:hAnsi="Times New Roman" w:cs="Times New Roman"/>
          <w:i/>
          <w:noProof/>
          <w:sz w:val="24"/>
          <w:szCs w:val="24"/>
        </w:rPr>
        <w:t xml:space="preserve"> et al.</w:t>
      </w:r>
      <w:r w:rsidRPr="00A3505C">
        <w:rPr>
          <w:rFonts w:ascii="Times New Roman" w:hAnsi="Times New Roman" w:cs="Times New Roman" w:hint="eastAsia"/>
          <w:iCs/>
          <w:noProof/>
          <w:sz w:val="24"/>
          <w:szCs w:val="24"/>
        </w:rPr>
        <w:t>,</w:t>
      </w:r>
      <w:r w:rsidRPr="00A3505C">
        <w:rPr>
          <w:rFonts w:ascii="Times New Roman" w:hAnsi="Times New Roman" w:cs="Times New Roman"/>
          <w:noProof/>
          <w:sz w:val="24"/>
          <w:szCs w:val="24"/>
        </w:rPr>
        <w:t xml:space="preserve">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 xml:space="preserve">By adopting </w:t>
      </w:r>
      <w:r w:rsidRPr="00A3505C">
        <w:rPr>
          <w:rFonts w:ascii="Times New Roman" w:hAnsi="Times New Roman" w:cs="Times New Roman"/>
          <w:sz w:val="24"/>
          <w:szCs w:val="24"/>
        </w:rPr>
        <w:t>greener business practices</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firms strengthen</w:t>
      </w:r>
      <w:r w:rsidRPr="00A3505C">
        <w:rPr>
          <w:rFonts w:ascii="Times New Roman" w:hAnsi="Times New Roman" w:cs="Times New Roman"/>
          <w:sz w:val="24"/>
          <w:szCs w:val="24"/>
        </w:rPr>
        <w:t xml:space="preserve"> their capability to </w:t>
      </w:r>
      <w:r w:rsidRPr="00A3505C">
        <w:rPr>
          <w:rFonts w:ascii="Times New Roman" w:hAnsi="Times New Roman" w:cs="Times New Roman" w:hint="eastAsia"/>
          <w:sz w:val="24"/>
          <w:szCs w:val="24"/>
        </w:rPr>
        <w:t>achieve</w:t>
      </w:r>
      <w:r w:rsidRPr="00A3505C">
        <w:rPr>
          <w:rFonts w:ascii="Times New Roman" w:hAnsi="Times New Roman" w:cs="Times New Roman"/>
          <w:sz w:val="24"/>
          <w:szCs w:val="24"/>
        </w:rPr>
        <w:t xml:space="preserve"> economic profit while </w:t>
      </w:r>
      <w:r w:rsidRPr="00A3505C">
        <w:rPr>
          <w:rFonts w:ascii="Times New Roman" w:hAnsi="Times New Roman" w:cs="Times New Roman" w:hint="eastAsia"/>
          <w:sz w:val="24"/>
          <w:szCs w:val="24"/>
        </w:rPr>
        <w:t xml:space="preserve">contributing to </w:t>
      </w:r>
      <w:r w:rsidRPr="00A3505C">
        <w:rPr>
          <w:rFonts w:ascii="Times New Roman" w:hAnsi="Times New Roman" w:cs="Times New Roman"/>
          <w:sz w:val="24"/>
          <w:szCs w:val="24"/>
        </w:rPr>
        <w:t>environment</w:t>
      </w:r>
      <w:r w:rsidRPr="00A3505C">
        <w:rPr>
          <w:rFonts w:ascii="Times New Roman" w:hAnsi="Times New Roman" w:cs="Times New Roman" w:hint="eastAsia"/>
          <w:sz w:val="24"/>
          <w:szCs w:val="24"/>
        </w:rPr>
        <w:t>al</w:t>
      </w:r>
      <w:r w:rsidRPr="00A3505C">
        <w:rPr>
          <w:rFonts w:ascii="Times New Roman" w:hAnsi="Times New Roman" w:cs="Times New Roman"/>
          <w:sz w:val="24"/>
          <w:szCs w:val="24"/>
        </w:rPr>
        <w:t xml:space="preserve"> sustain</w:t>
      </w:r>
      <w:r w:rsidRPr="00A3505C">
        <w:rPr>
          <w:rFonts w:ascii="Times New Roman" w:hAnsi="Times New Roman" w:cs="Times New Roman" w:hint="eastAsia"/>
          <w:sz w:val="24"/>
          <w:szCs w:val="24"/>
        </w:rPr>
        <w:t>ability</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&lt;EndNote&gt;&lt;Cite&gt;&lt;Author&gt;Bassen&lt;/Author&gt;&lt;Year&gt;2023&lt;/Year&gt;&lt;RecNum&gt;2992&lt;/RecNum&gt;&lt;DisplayText&gt;(Bassen&lt;style face="italic"&gt; et al.&lt;/style&gt;, 2023)&lt;/DisplayText&gt;&lt;record&gt;&lt;rec-number&gt;2992&lt;/rec-number&gt;&lt;foreign-keys&gt;&lt;key app="EN" db-id="tt95vv9zf20xf0ewve7x0fsl990xeeasafzs" timestamp="1703231458"&gt;2992&lt;/key&gt;&lt;/foreign-keys&gt;&lt;ref-type name="Journal Article"&gt;17&lt;/ref-type&gt;&lt;contributors&gt;&lt;authors&gt;&lt;author&gt;Bassen, Alexander&lt;/author&gt;&lt;author&gt;Shu, Hao&lt;/author&gt;&lt;author&gt;Tan, Weiqiang&lt;/author&gt;&lt;/authors&gt;&lt;/contributors&gt;&lt;titles&gt;&lt;title&gt;Green revenues and stock returns: Cross-market evidence&lt;/title&gt;&lt;secondary-title&gt;Finance Research Letters&lt;/secondary-title&gt;&lt;/titles&gt;&lt;periodical&gt;&lt;full-title&gt;Finance Research Letters&lt;/full-title&gt;&lt;abbr-1&gt;Financ. Res. Lett.&lt;/abbr-1&gt;&lt;/periodical&gt;&lt;volume&gt;52&lt;/volume&gt;&lt;number&gt;C&lt;/number&gt;&lt;dates&gt;&lt;year&gt;2023&lt;/year&gt;&lt;/dates&gt;&lt;urls&gt;&lt;/urls&gt;&lt;custom7&gt;103550&lt;/custom7&gt;&lt;electronic-resource-num&gt;10.1016/j.frl.2022.103550&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(Bassen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2023)</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Those</w:t>
      </w:r>
      <w:r w:rsidRPr="00A3505C">
        <w:rPr>
          <w:rFonts w:ascii="Times New Roman" w:hAnsi="Times New Roman" w:cs="Times New Roman"/>
          <w:sz w:val="24"/>
          <w:szCs w:val="24"/>
        </w:rPr>
        <w:t xml:space="preserve"> positive effects are more pronounced among growth-oriented firms </w:t>
      </w:r>
      <w:r w:rsidRPr="00A3505C">
        <w:rPr>
          <w:rFonts w:ascii="Times New Roman" w:hAnsi="Times New Roman" w:cs="Times New Roman" w:hint="eastAsia"/>
          <w:sz w:val="24"/>
          <w:szCs w:val="24"/>
        </w:rPr>
        <w:t>undergoing substantial</w:t>
      </w:r>
      <w:r w:rsidRPr="00A3505C">
        <w:rPr>
          <w:rFonts w:ascii="Times New Roman" w:hAnsi="Times New Roman" w:cs="Times New Roman"/>
          <w:sz w:val="24"/>
          <w:szCs w:val="24"/>
        </w:rPr>
        <w:t xml:space="preserve"> green transformation</w:t>
      </w:r>
      <w:r w:rsidRPr="00A3505C">
        <w:rPr>
          <w:rFonts w:ascii="Times New Roman" w:hAnsi="Times New Roman" w:cs="Times New Roman" w:hint="eastAsia"/>
          <w:sz w:val="24"/>
          <w:szCs w:val="24"/>
        </w:rPr>
        <w:t>, while</w:t>
      </w:r>
      <w:r w:rsidRPr="00A3505C">
        <w:rPr>
          <w:rFonts w:ascii="Times New Roman" w:hAnsi="Times New Roman" w:cs="Times New Roman"/>
          <w:sz w:val="24"/>
          <w:szCs w:val="24"/>
        </w:rPr>
        <w:t xml:space="preserve"> the negative effects are </w:t>
      </w:r>
      <w:r w:rsidRPr="00A3505C">
        <w:rPr>
          <w:rFonts w:ascii="Times New Roman" w:hAnsi="Times New Roman" w:cs="Times New Roman" w:hint="eastAsia"/>
          <w:sz w:val="24"/>
          <w:szCs w:val="24"/>
        </w:rPr>
        <w:t>more evident</w:t>
      </w:r>
      <w:r w:rsidRPr="00A3505C">
        <w:rPr>
          <w:rFonts w:ascii="Times New Roman" w:hAnsi="Times New Roman" w:cs="Times New Roman"/>
          <w:sz w:val="24"/>
          <w:szCs w:val="24"/>
        </w:rPr>
        <w:t xml:space="preserve"> among profit-oriented firms operating in regions with lax environmental regulations.</w:t>
      </w:r>
    </w:p>
    <w:p w14:paraId="2B9342FA" w14:textId="370CA65C" w:rsidR="00317B09"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advance the literature and practices in three ways. First, </w:t>
      </w:r>
      <w:r w:rsidR="00317B09" w:rsidRPr="00A3505C">
        <w:rPr>
          <w:rFonts w:ascii="Times New Roman" w:hAnsi="Times New Roman" w:cs="Times New Roman" w:hint="eastAsia"/>
          <w:sz w:val="24"/>
          <w:szCs w:val="24"/>
        </w:rPr>
        <w:t>o</w:t>
      </w:r>
      <w:r w:rsidR="00317B09" w:rsidRPr="00A3505C">
        <w:rPr>
          <w:rFonts w:ascii="Times New Roman" w:hAnsi="Times New Roman" w:cs="Times New Roman"/>
          <w:sz w:val="24"/>
          <w:szCs w:val="24"/>
        </w:rPr>
        <w:t xml:space="preserve">ur study makes two key theoretical contributions. </w:t>
      </w:r>
      <w:r w:rsidR="00317B09" w:rsidRPr="00A3505C">
        <w:rPr>
          <w:rFonts w:ascii="Times New Roman" w:hAnsi="Times New Roman" w:cs="Times New Roman" w:hint="eastAsia"/>
          <w:sz w:val="24"/>
          <w:szCs w:val="24"/>
        </w:rPr>
        <w:t>W</w:t>
      </w:r>
      <w:r w:rsidR="00317B09" w:rsidRPr="00A3505C">
        <w:rPr>
          <w:rFonts w:ascii="Times New Roman" w:hAnsi="Times New Roman" w:cs="Times New Roman"/>
          <w:sz w:val="24"/>
          <w:szCs w:val="24"/>
        </w:rPr>
        <w:t xml:space="preserve">e advance stakeholder theory by showing that the effectiveness of firms’ responses to environmental and social pressures is contingent upon their underlying strategic orientation. By integrating strategic posture into the theorisation of stakeholder-driven environmental action, we identify the resource- and orientation-based conditions under which stakeholder pressures are more likely to translate into green revenue generation. </w:t>
      </w:r>
      <w:r w:rsidR="00317B09" w:rsidRPr="00A3505C">
        <w:rPr>
          <w:rFonts w:ascii="Times New Roman" w:hAnsi="Times New Roman" w:cs="Times New Roman" w:hint="eastAsia"/>
          <w:sz w:val="24"/>
          <w:szCs w:val="24"/>
        </w:rPr>
        <w:t>In addition</w:t>
      </w:r>
      <w:r w:rsidR="00317B09" w:rsidRPr="00A3505C">
        <w:rPr>
          <w:rFonts w:ascii="Times New Roman" w:hAnsi="Times New Roman" w:cs="Times New Roman"/>
          <w:sz w:val="24"/>
          <w:szCs w:val="24"/>
        </w:rPr>
        <w:t xml:space="preserve">, we extend the </w:t>
      </w:r>
      <w:r w:rsidR="0028239D" w:rsidRPr="00A3505C">
        <w:rPr>
          <w:rFonts w:ascii="Times New Roman" w:hAnsi="Times New Roman" w:cs="Times New Roman" w:hint="eastAsia"/>
          <w:sz w:val="24"/>
          <w:szCs w:val="24"/>
        </w:rPr>
        <w:t>RBV</w:t>
      </w:r>
      <w:r w:rsidR="00317B09" w:rsidRPr="00A3505C">
        <w:rPr>
          <w:rFonts w:ascii="Times New Roman" w:hAnsi="Times New Roman" w:cs="Times New Roman"/>
          <w:sz w:val="24"/>
          <w:szCs w:val="24"/>
        </w:rPr>
        <w:t xml:space="preserve"> by demonstrating that the value of different resource types is </w:t>
      </w:r>
      <w:r w:rsidR="001B690B" w:rsidRPr="00A3505C">
        <w:rPr>
          <w:rFonts w:ascii="Times New Roman" w:hAnsi="Times New Roman" w:cs="Times New Roman"/>
          <w:sz w:val="24"/>
          <w:szCs w:val="24"/>
        </w:rPr>
        <w:t>context dependent</w:t>
      </w:r>
      <w:r w:rsidR="00317B09" w:rsidRPr="00A3505C">
        <w:rPr>
          <w:rFonts w:ascii="Times New Roman" w:hAnsi="Times New Roman" w:cs="Times New Roman"/>
          <w:sz w:val="24"/>
          <w:szCs w:val="24"/>
        </w:rPr>
        <w:t>. Under heightened environmental and regulatory change, resource versatility</w:t>
      </w:r>
      <w:r w:rsidR="00317B09" w:rsidRPr="00A3505C">
        <w:rPr>
          <w:rFonts w:ascii="Times New Roman" w:hAnsi="Times New Roman" w:cs="Times New Roman" w:hint="eastAsia"/>
          <w:sz w:val="24"/>
          <w:szCs w:val="24"/>
        </w:rPr>
        <w:t xml:space="preserve"> </w:t>
      </w:r>
      <w:r w:rsidR="00317B09" w:rsidRPr="00A3505C">
        <w:rPr>
          <w:rFonts w:ascii="Times New Roman" w:hAnsi="Times New Roman" w:cs="Times New Roman"/>
          <w:sz w:val="24"/>
          <w:szCs w:val="24"/>
        </w:rPr>
        <w:t>becomes strategically salient, thereby shaping firms’ capacity to develop and activate green-related capabilities. Our findings complement prior work</w:t>
      </w:r>
      <w:r w:rsidR="00051855" w:rsidRPr="00A3505C">
        <w:rPr>
          <w:rFonts w:ascii="Times New Roman" w:hAnsi="Times New Roman" w:cs="Times New Roman" w:hint="eastAsia"/>
          <w:sz w:val="24"/>
          <w:szCs w:val="24"/>
        </w:rPr>
        <w:t xml:space="preserve">, </w:t>
      </w:r>
      <w:r w:rsidR="00317B09" w:rsidRPr="00A3505C">
        <w:rPr>
          <w:rFonts w:ascii="Times New Roman" w:hAnsi="Times New Roman" w:cs="Times New Roman"/>
          <w:sz w:val="24"/>
          <w:szCs w:val="24"/>
        </w:rPr>
        <w:t xml:space="preserve">such as Zhou and Park (2020) and Zhou </w:t>
      </w:r>
      <w:r w:rsidR="00317B09" w:rsidRPr="00A3505C">
        <w:rPr>
          <w:rFonts w:ascii="Times New Roman" w:hAnsi="Times New Roman" w:cs="Times New Roman"/>
          <w:i/>
          <w:iCs/>
          <w:sz w:val="24"/>
          <w:szCs w:val="24"/>
        </w:rPr>
        <w:t>et al</w:t>
      </w:r>
      <w:r w:rsidR="00317B09" w:rsidRPr="00A3505C">
        <w:rPr>
          <w:rFonts w:ascii="Times New Roman" w:hAnsi="Times New Roman" w:cs="Times New Roman"/>
          <w:sz w:val="24"/>
          <w:szCs w:val="24"/>
        </w:rPr>
        <w:t>. (2025)</w:t>
      </w:r>
      <w:r w:rsidR="00832153" w:rsidRPr="00A3505C">
        <w:rPr>
          <w:rFonts w:ascii="Times New Roman" w:hAnsi="Times New Roman" w:cs="Times New Roman"/>
          <w:sz w:val="24"/>
          <w:szCs w:val="24"/>
        </w:rPr>
        <w:t>,</w:t>
      </w:r>
      <w:r w:rsidR="00317B09" w:rsidRPr="00A3505C">
        <w:rPr>
          <w:rFonts w:ascii="Times New Roman" w:hAnsi="Times New Roman" w:cs="Times New Roman"/>
          <w:sz w:val="24"/>
          <w:szCs w:val="24"/>
        </w:rPr>
        <w:t xml:space="preserve"> by </w:t>
      </w:r>
      <w:r w:rsidR="00051855" w:rsidRPr="00A3505C">
        <w:rPr>
          <w:rFonts w:ascii="Times New Roman" w:hAnsi="Times New Roman" w:cs="Times New Roman" w:hint="eastAsia"/>
          <w:sz w:val="24"/>
          <w:szCs w:val="24"/>
        </w:rPr>
        <w:t>focusing on</w:t>
      </w:r>
      <w:r w:rsidR="00317B09" w:rsidRPr="00A3505C">
        <w:rPr>
          <w:rFonts w:ascii="Times New Roman" w:hAnsi="Times New Roman" w:cs="Times New Roman"/>
          <w:sz w:val="24"/>
          <w:szCs w:val="24"/>
        </w:rPr>
        <w:t xml:space="preserve"> adaptation capability in sustainability transitions</w:t>
      </w:r>
      <w:r w:rsidR="00317B09" w:rsidRPr="00A3505C">
        <w:rPr>
          <w:rFonts w:ascii="Times New Roman" w:hAnsi="Times New Roman" w:cs="Times New Roman" w:hint="eastAsia"/>
          <w:sz w:val="24"/>
          <w:szCs w:val="24"/>
        </w:rPr>
        <w:t xml:space="preserve"> and showing that</w:t>
      </w:r>
      <w:r w:rsidR="00317B09" w:rsidRPr="00A3505C">
        <w:rPr>
          <w:rFonts w:ascii="Times New Roman" w:hAnsi="Times New Roman" w:cs="Times New Roman"/>
          <w:sz w:val="24"/>
          <w:szCs w:val="24"/>
        </w:rPr>
        <w:t xml:space="preserve"> growth-oriented firms exhibit advantages in</w:t>
      </w:r>
      <w:r w:rsidR="0028239D" w:rsidRPr="00A3505C">
        <w:rPr>
          <w:rFonts w:ascii="Times New Roman" w:hAnsi="Times New Roman" w:cs="Times New Roman" w:hint="eastAsia"/>
          <w:sz w:val="24"/>
          <w:szCs w:val="24"/>
        </w:rPr>
        <w:t xml:space="preserve"> </w:t>
      </w:r>
      <w:r w:rsidR="0028239D" w:rsidRPr="00A3505C">
        <w:rPr>
          <w:rFonts w:ascii="Times New Roman" w:hAnsi="Times New Roman" w:cs="Times New Roman"/>
          <w:sz w:val="24"/>
          <w:szCs w:val="24"/>
        </w:rPr>
        <w:t>capitalizing</w:t>
      </w:r>
      <w:r w:rsidR="0028239D" w:rsidRPr="00A3505C">
        <w:rPr>
          <w:rFonts w:ascii="Times New Roman" w:hAnsi="Times New Roman" w:cs="Times New Roman" w:hint="eastAsia"/>
          <w:sz w:val="24"/>
          <w:szCs w:val="24"/>
        </w:rPr>
        <w:t xml:space="preserve"> on</w:t>
      </w:r>
      <w:r w:rsidR="00317B09" w:rsidRPr="00A3505C">
        <w:rPr>
          <w:rFonts w:ascii="Times New Roman" w:hAnsi="Times New Roman" w:cs="Times New Roman"/>
          <w:sz w:val="24"/>
          <w:szCs w:val="24"/>
        </w:rPr>
        <w:t xml:space="preserve"> versatile resources to pursue green revenues</w:t>
      </w:r>
      <w:r w:rsidR="00317B09" w:rsidRPr="00A3505C">
        <w:rPr>
          <w:rFonts w:ascii="Times New Roman" w:hAnsi="Times New Roman" w:cs="Times New Roman" w:hint="eastAsia"/>
          <w:sz w:val="24"/>
          <w:szCs w:val="24"/>
        </w:rPr>
        <w:t>.</w:t>
      </w:r>
    </w:p>
    <w:p w14:paraId="24AF0BD0" w14:textId="74E91150" w:rsidR="006E301A" w:rsidRPr="00A3505C" w:rsidRDefault="00317B09" w:rsidP="006E301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 xml:space="preserve">Second, </w:t>
      </w:r>
      <w:r w:rsidR="006E301A" w:rsidRPr="00A3505C">
        <w:rPr>
          <w:rFonts w:ascii="Times New Roman" w:hAnsi="Times New Roman" w:cs="Times New Roman"/>
          <w:sz w:val="24"/>
          <w:szCs w:val="24"/>
        </w:rPr>
        <w:t xml:space="preserve">we advance green revenues </w:t>
      </w:r>
      <w:r w:rsidR="00051855" w:rsidRPr="00A3505C">
        <w:rPr>
          <w:rFonts w:ascii="Times New Roman" w:hAnsi="Times New Roman" w:cs="Times New Roman" w:hint="eastAsia"/>
          <w:sz w:val="24"/>
          <w:szCs w:val="24"/>
        </w:rPr>
        <w:t xml:space="preserve">research </w:t>
      </w:r>
      <w:r w:rsidR="006E301A" w:rsidRPr="00A3505C">
        <w:rPr>
          <w:rFonts w:ascii="Times New Roman" w:hAnsi="Times New Roman" w:cs="Times New Roman"/>
          <w:sz w:val="24"/>
          <w:szCs w:val="24"/>
        </w:rPr>
        <w:t xml:space="preserve">by offering a theoretically grounded explanation of their strategically aligned determinants. Previous studies highlight that green revenues are determined by the investment in dedicated resources aimed at achieving sustainability outcomes, such as green patents and innovation </w:t>
      </w:r>
      <w:r w:rsidR="006E301A" w:rsidRPr="00A3505C">
        <w:rPr>
          <w:rFonts w:ascii="Times New Roman" w:hAnsi="Times New Roman" w:cs="Times New Roman"/>
          <w:sz w:val="24"/>
          <w:szCs w:val="24"/>
        </w:rPr>
        <w:fldChar w:fldCharType="begin">
          <w:fldData xml:space="preserve">PEVuZE5vdGU+PENpdGU+PEF1dGhvcj5IdWFuZzwvQXV0aG9yPjxZZWFyPjIwMjQ8L1llYXI+PFJl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</w:fldData>
        </w:fldChar>
      </w:r>
      <w:r w:rsidR="006E301A" w:rsidRPr="00A3505C">
        <w:rPr>
          <w:rFonts w:ascii="Times New Roman" w:hAnsi="Times New Roman" w:cs="Times New Roman"/>
          <w:sz w:val="24"/>
          <w:szCs w:val="24"/>
        </w:rPr>
        <w:instrText xml:space="preserve"> ADDIN EN.CITE </w:instrText>
      </w:r>
      <w:r w:rsidR="006E301A" w:rsidRPr="00A3505C">
        <w:rPr>
          <w:rFonts w:ascii="Times New Roman" w:hAnsi="Times New Roman" w:cs="Times New Roman"/>
          <w:sz w:val="24"/>
          <w:szCs w:val="24"/>
        </w:rPr>
        <w:fldChar w:fldCharType="begin">
          <w:fldData xml:space="preserve">PEVuZE5vdGU+PENpdGU+PEF1dGhvcj5IdWFuZzwvQXV0aG9yPjxZZWFyPjIwMjQ8L1llYXI+PFJl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</w:fldData>
        </w:fldChar>
      </w:r>
      <w:r w:rsidR="006E301A" w:rsidRPr="00A3505C">
        <w:rPr>
          <w:rFonts w:ascii="Times New Roman" w:hAnsi="Times New Roman" w:cs="Times New Roman"/>
          <w:sz w:val="24"/>
          <w:szCs w:val="24"/>
        </w:rPr>
        <w:instrText xml:space="preserve"> ADDIN EN.CITE.DATA </w:instrText>
      </w:r>
      <w:r w:rsidR="006E301A" w:rsidRPr="00A3505C">
        <w:rPr>
          <w:rFonts w:ascii="Times New Roman" w:hAnsi="Times New Roman" w:cs="Times New Roman"/>
          <w:sz w:val="24"/>
          <w:szCs w:val="24"/>
        </w:rPr>
      </w:r>
      <w:r w:rsidR="006E301A" w:rsidRPr="00A3505C">
        <w:rPr>
          <w:rFonts w:ascii="Times New Roman" w:hAnsi="Times New Roman" w:cs="Times New Roman"/>
          <w:sz w:val="24"/>
          <w:szCs w:val="24"/>
        </w:rPr>
        <w:fldChar w:fldCharType="end"/>
      </w:r>
      <w:r w:rsidR="006E301A" w:rsidRPr="00A3505C">
        <w:rPr>
          <w:rFonts w:ascii="Times New Roman" w:hAnsi="Times New Roman" w:cs="Times New Roman"/>
          <w:sz w:val="24"/>
          <w:szCs w:val="24"/>
        </w:rPr>
      </w:r>
      <w:r w:rsidR="006E301A" w:rsidRPr="00A3505C">
        <w:rPr>
          <w:rFonts w:ascii="Times New Roman" w:hAnsi="Times New Roman" w:cs="Times New Roman"/>
          <w:sz w:val="24"/>
          <w:szCs w:val="24"/>
        </w:rPr>
        <w:fldChar w:fldCharType="separate"/>
      </w:r>
      <w:r w:rsidR="006E301A" w:rsidRPr="00A3505C">
        <w:rPr>
          <w:rFonts w:ascii="Times New Roman" w:hAnsi="Times New Roman" w:cs="Times New Roman"/>
          <w:noProof/>
          <w:sz w:val="24"/>
          <w:szCs w:val="24"/>
        </w:rPr>
        <w:t>(Klausmann</w:t>
      </w:r>
      <w:r w:rsidR="006E301A" w:rsidRPr="00A3505C">
        <w:rPr>
          <w:rFonts w:ascii="Times New Roman" w:hAnsi="Times New Roman" w:cs="Times New Roman"/>
          <w:i/>
          <w:noProof/>
          <w:sz w:val="24"/>
          <w:szCs w:val="24"/>
        </w:rPr>
        <w:t xml:space="preserve"> et al.</w:t>
      </w:r>
      <w:r w:rsidR="006E301A" w:rsidRPr="00A3505C">
        <w:rPr>
          <w:rFonts w:ascii="Times New Roman" w:hAnsi="Times New Roman" w:cs="Times New Roman"/>
          <w:noProof/>
          <w:sz w:val="24"/>
          <w:szCs w:val="24"/>
        </w:rPr>
        <w:t>, 2024</w:t>
      </w:r>
      <w:r w:rsidR="00861713">
        <w:rPr>
          <w:rFonts w:ascii="Times New Roman" w:hAnsi="Times New Roman" w:cs="Times New Roman"/>
          <w:noProof/>
          <w:sz w:val="24"/>
          <w:szCs w:val="24"/>
        </w:rPr>
        <w:t xml:space="preserve">; </w:t>
      </w:r>
      <w:r w:rsidR="00861713" w:rsidRPr="00A3505C">
        <w:rPr>
          <w:rFonts w:ascii="Times New Roman" w:hAnsi="Times New Roman" w:cs="Times New Roman"/>
          <w:noProof/>
          <w:sz w:val="24"/>
          <w:szCs w:val="24"/>
        </w:rPr>
        <w:t>Cao</w:t>
      </w:r>
      <w:r w:rsidR="00861713" w:rsidRPr="00A3505C">
        <w:rPr>
          <w:rFonts w:ascii="Times New Roman" w:hAnsi="Times New Roman" w:cs="Times New Roman"/>
          <w:i/>
          <w:noProof/>
          <w:sz w:val="24"/>
          <w:szCs w:val="24"/>
        </w:rPr>
        <w:t xml:space="preserve"> et al.</w:t>
      </w:r>
      <w:r w:rsidR="00861713" w:rsidRPr="00A3505C">
        <w:rPr>
          <w:rFonts w:ascii="Times New Roman" w:hAnsi="Times New Roman" w:cs="Times New Roman"/>
          <w:noProof/>
          <w:sz w:val="24"/>
          <w:szCs w:val="24"/>
        </w:rPr>
        <w:t>, 2025c</w:t>
      </w:r>
      <w:r w:rsidR="006E301A" w:rsidRPr="00A3505C">
        <w:rPr>
          <w:rFonts w:ascii="Times New Roman" w:hAnsi="Times New Roman" w:cs="Times New Roman"/>
          <w:noProof/>
          <w:sz w:val="24"/>
          <w:szCs w:val="24"/>
        </w:rPr>
        <w:t>)</w:t>
      </w:r>
      <w:r w:rsidR="006E301A" w:rsidRPr="00A3505C">
        <w:rPr>
          <w:rFonts w:ascii="Times New Roman" w:hAnsi="Times New Roman" w:cs="Times New Roman"/>
          <w:sz w:val="24"/>
          <w:szCs w:val="24"/>
        </w:rPr>
        <w:fldChar w:fldCharType="end"/>
      </w:r>
      <w:r w:rsidR="006E301A" w:rsidRPr="00A3505C">
        <w:rPr>
          <w:rFonts w:ascii="Times New Roman" w:hAnsi="Times New Roman" w:cs="Times New Roman"/>
          <w:sz w:val="24"/>
          <w:szCs w:val="24"/>
        </w:rPr>
        <w:t xml:space="preserve">. We extend this work by introducing resource versatility as an alternative and complementary pathway. Our findings show that firms with growth-oriented strategic postures possess broader, more redeployable resource portfolios that enhance their ability to pursue </w:t>
      </w:r>
      <w:r w:rsidR="006E301A" w:rsidRPr="00A3505C">
        <w:rPr>
          <w:rFonts w:ascii="Times New Roman" w:hAnsi="Times New Roman" w:cs="Times New Roman"/>
          <w:sz w:val="24"/>
          <w:szCs w:val="24"/>
        </w:rPr>
        <w:lastRenderedPageBreak/>
        <w:t xml:space="preserve">green revenue opportunities. This perspective highlights the important role of </w:t>
      </w:r>
      <w:r w:rsidR="006E301A" w:rsidRPr="00A3505C">
        <w:rPr>
          <w:rFonts w:ascii="Times New Roman" w:hAnsi="Times New Roman" w:cs="Times New Roman" w:hint="eastAsia"/>
          <w:sz w:val="24"/>
          <w:szCs w:val="24"/>
        </w:rPr>
        <w:t xml:space="preserve">strategic orientations with </w:t>
      </w:r>
      <w:r w:rsidR="006E301A" w:rsidRPr="00A3505C">
        <w:rPr>
          <w:rFonts w:ascii="Times New Roman" w:hAnsi="Times New Roman" w:cs="Times New Roman"/>
          <w:sz w:val="24"/>
          <w:szCs w:val="24"/>
        </w:rPr>
        <w:t>flexible, multipurpose resources in supporting environmental transitions.</w:t>
      </w:r>
    </w:p>
    <w:p w14:paraId="6209F71B" w14:textId="7290916F" w:rsidR="006E301A" w:rsidRPr="00A3505C" w:rsidRDefault="006E301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 xml:space="preserve">Third, </w:t>
      </w:r>
      <w:r w:rsidRPr="00A3505C">
        <w:rPr>
          <w:rFonts w:ascii="Times New Roman" w:hAnsi="Times New Roman" w:cs="Times New Roman"/>
          <w:sz w:val="24"/>
          <w:szCs w:val="24"/>
        </w:rPr>
        <w:t xml:space="preserve">we contribute to both sustainability strategy and managerial practice by demonstrating that environmental actions and economic goals can be mutually reinforcing rather than conflicting. Previous studies find that greening operational systems typically </w:t>
      </w:r>
      <w:r w:rsidRPr="00A3505C">
        <w:rPr>
          <w:rFonts w:ascii="Times New Roman" w:hAnsi="Times New Roman" w:cs="Times New Roman" w:hint="eastAsia"/>
          <w:sz w:val="24"/>
          <w:szCs w:val="24"/>
        </w:rPr>
        <w:t>entails substantial</w:t>
      </w:r>
      <w:r w:rsidRPr="00A3505C">
        <w:rPr>
          <w:rFonts w:ascii="Times New Roman" w:hAnsi="Times New Roman" w:cs="Times New Roman"/>
          <w:sz w:val="24"/>
          <w:szCs w:val="24"/>
        </w:rPr>
        <w:t xml:space="preserve"> investment</w:t>
      </w:r>
      <w:r w:rsidRPr="00A3505C">
        <w:rPr>
          <w:rFonts w:ascii="Times New Roman" w:hAnsi="Times New Roman" w:cs="Times New Roman" w:hint="eastAsia"/>
          <w:sz w:val="24"/>
          <w:szCs w:val="24"/>
        </w:rPr>
        <w:t>s</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fldData xml:space="preserve">PEVuZE5vdGU+PENpdGU+PEF1dGhvcj5HdW88L0F1dGhvcj48WWVhcj4yMDI1PC9ZZWFyPjxSZWNO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PEVuZE5vdGU+PENpdGU+PEF1dGhvcj5HdW88L0F1dGhvcj48WWVhcj4yMDI1PC9ZZWFyPjxSZWNO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t>
      </w:r>
      <w:r w:rsidR="00861713" w:rsidRPr="00A3505C">
        <w:rPr>
          <w:rFonts w:ascii="Times New Roman" w:hAnsi="Times New Roman" w:cs="Times New Roman"/>
          <w:noProof/>
          <w:sz w:val="24"/>
          <w:szCs w:val="24"/>
        </w:rPr>
        <w:t>Gao</w:t>
      </w:r>
      <w:r w:rsidR="00861713" w:rsidRPr="00A3505C">
        <w:rPr>
          <w:rFonts w:ascii="Times New Roman" w:hAnsi="Times New Roman" w:cs="Times New Roman"/>
          <w:i/>
          <w:noProof/>
          <w:sz w:val="24"/>
          <w:szCs w:val="24"/>
        </w:rPr>
        <w:t xml:space="preserve"> et al.</w:t>
      </w:r>
      <w:r w:rsidR="00861713" w:rsidRPr="00A3505C">
        <w:rPr>
          <w:rFonts w:ascii="Times New Roman" w:hAnsi="Times New Roman" w:cs="Times New Roman"/>
          <w:noProof/>
          <w:sz w:val="24"/>
          <w:szCs w:val="24"/>
        </w:rPr>
        <w:t>, 2024;</w:t>
      </w:r>
      <w:r w:rsidR="00861713">
        <w:rPr>
          <w:rFonts w:ascii="Times New Roman" w:hAnsi="Times New Roman" w:cs="Times New Roman"/>
          <w:noProof/>
          <w:sz w:val="24"/>
          <w:szCs w:val="24"/>
        </w:rPr>
        <w:t xml:space="preserve"> </w:t>
      </w:r>
      <w:r w:rsidRPr="00A3505C">
        <w:rPr>
          <w:rFonts w:ascii="Times New Roman" w:hAnsi="Times New Roman" w:cs="Times New Roman"/>
          <w:noProof/>
          <w:sz w:val="24"/>
          <w:szCs w:val="24"/>
        </w:rPr>
        <w:t>Guo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We </w:t>
      </w:r>
      <w:r w:rsidRPr="00A3505C">
        <w:rPr>
          <w:rFonts w:ascii="Times New Roman" w:hAnsi="Times New Roman" w:cs="Times New Roman" w:hint="eastAsia"/>
          <w:sz w:val="24"/>
          <w:szCs w:val="24"/>
        </w:rPr>
        <w:t>extend</w:t>
      </w:r>
      <w:r w:rsidRPr="00A3505C">
        <w:rPr>
          <w:rFonts w:ascii="Times New Roman" w:hAnsi="Times New Roman" w:cs="Times New Roman"/>
          <w:sz w:val="24"/>
          <w:szCs w:val="24"/>
        </w:rPr>
        <w:t xml:space="preserve"> this discussion by highlighting versatile resources that not only facilitate firms’ adaptability to shifting market and regulatory pressures but also enable them to harmonize economic performance with environmental responsibility through green innovation. By illustrating this mechanism in our conceptual framework (Figure 1)</w:t>
      </w:r>
      <w:r w:rsidRPr="00A3505C">
        <w:rPr>
          <w:rFonts w:ascii="Times New Roman" w:hAnsi="Times New Roman" w:cs="Times New Roman" w:hint="eastAsia"/>
          <w:sz w:val="24"/>
          <w:szCs w:val="24"/>
        </w:rPr>
        <w:t>, w</w:t>
      </w:r>
      <w:r w:rsidRPr="00A3505C">
        <w:rPr>
          <w:rFonts w:ascii="Times New Roman" w:hAnsi="Times New Roman" w:cs="Times New Roman"/>
          <w:sz w:val="24"/>
          <w:szCs w:val="24"/>
        </w:rPr>
        <w:t xml:space="preserve">e provide actionable insights for managers on how </w:t>
      </w:r>
      <w:r w:rsidR="00832153" w:rsidRPr="00A3505C">
        <w:rPr>
          <w:rFonts w:ascii="Times New Roman" w:hAnsi="Times New Roman" w:cs="Times New Roman"/>
          <w:sz w:val="24"/>
          <w:szCs w:val="24"/>
        </w:rPr>
        <w:t xml:space="preserve">to align </w:t>
      </w:r>
      <w:r w:rsidRPr="00A3505C">
        <w:rPr>
          <w:rFonts w:ascii="Times New Roman" w:hAnsi="Times New Roman" w:cs="Times New Roman"/>
          <w:sz w:val="24"/>
          <w:szCs w:val="24"/>
        </w:rPr>
        <w:t xml:space="preserve">strategic orientation with resource management </w:t>
      </w:r>
      <w:r w:rsidR="00051855" w:rsidRPr="00A3505C">
        <w:rPr>
          <w:rFonts w:ascii="Times New Roman" w:hAnsi="Times New Roman" w:cs="Times New Roman" w:hint="eastAsia"/>
          <w:sz w:val="24"/>
          <w:szCs w:val="24"/>
        </w:rPr>
        <w:t>to</w:t>
      </w:r>
      <w:r w:rsidRPr="00A3505C">
        <w:rPr>
          <w:rFonts w:ascii="Times New Roman" w:hAnsi="Times New Roman" w:cs="Times New Roman"/>
          <w:sz w:val="24"/>
          <w:szCs w:val="24"/>
        </w:rPr>
        <w:t xml:space="preserve"> support sustainability. Our findings emphasise that cultivating a portfolio of versatile resources enhances firms’ capacity to generate green revenues while meeting stakeholders’ growing expectations for sustainability.</w:t>
      </w:r>
    </w:p>
    <w:p w14:paraId="0F623084" w14:textId="77777777" w:rsidR="000F7DAA" w:rsidRPr="00A3505C" w:rsidRDefault="000F7DAA" w:rsidP="000F7DAA">
      <w:pPr>
        <w:adjustRightInd w:val="0"/>
        <w:snapToGrid w:val="0"/>
        <w:spacing w:before="240" w:after="120" w:line="24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2. Theoretical Framework and Hypothesis Development</w:t>
      </w:r>
    </w:p>
    <w:p w14:paraId="44EBF1DF" w14:textId="77777777" w:rsidR="000F7DAA" w:rsidRPr="00A3505C" w:rsidRDefault="000F7DAA" w:rsidP="000F7DAA">
      <w:pPr>
        <w:adjustRightInd w:val="0"/>
        <w:snapToGrid w:val="0"/>
        <w:spacing w:after="120" w:line="24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2.1 Resource-based view and stakeholder theory</w:t>
      </w:r>
    </w:p>
    <w:p w14:paraId="2AAAE183" w14:textId="4CB74110" w:rsidR="000F7DAA" w:rsidRPr="00A3505C" w:rsidRDefault="000F7DAA" w:rsidP="000F7DAA">
      <w:pPr>
        <w:spacing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This study </w:t>
      </w:r>
      <w:r w:rsidRPr="00A3505C">
        <w:rPr>
          <w:rFonts w:ascii="Times New Roman" w:hAnsi="Times New Roman" w:cs="Times New Roman" w:hint="eastAsia"/>
          <w:sz w:val="24"/>
          <w:szCs w:val="24"/>
        </w:rPr>
        <w:t>examin</w:t>
      </w:r>
      <w:r w:rsidR="00DA6C9C" w:rsidRPr="00A3505C">
        <w:rPr>
          <w:rFonts w:ascii="Times New Roman" w:hAnsi="Times New Roman" w:cs="Times New Roman" w:hint="eastAsia"/>
          <w:sz w:val="24"/>
          <w:szCs w:val="24"/>
        </w:rPr>
        <w:t xml:space="preserve">es </w:t>
      </w:r>
      <w:r w:rsidRPr="00A3505C">
        <w:rPr>
          <w:rFonts w:ascii="Times New Roman" w:hAnsi="Times New Roman" w:cs="Times New Roman" w:hint="eastAsia"/>
          <w:sz w:val="24"/>
          <w:szCs w:val="24"/>
        </w:rPr>
        <w:t>how firms integrate nonmarket</w:t>
      </w:r>
      <w:r w:rsidRPr="00A3505C">
        <w:rPr>
          <w:rFonts w:ascii="Times New Roman" w:hAnsi="Times New Roman" w:cs="Times New Roman"/>
          <w:sz w:val="24"/>
          <w:szCs w:val="24"/>
        </w:rPr>
        <w:t xml:space="preserve"> strategy</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particularly responses to emerging environmental issues</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into the</w:t>
      </w:r>
      <w:r w:rsidRPr="00A3505C">
        <w:rPr>
          <w:rFonts w:ascii="Times New Roman" w:hAnsi="Times New Roman" w:cs="Times New Roman" w:hint="eastAsia"/>
          <w:sz w:val="24"/>
          <w:szCs w:val="24"/>
        </w:rPr>
        <w:t>ir</w:t>
      </w:r>
      <w:r w:rsidRPr="00A3505C">
        <w:rPr>
          <w:rFonts w:ascii="Times New Roman" w:hAnsi="Times New Roman" w:cs="Times New Roman"/>
          <w:sz w:val="24"/>
          <w:szCs w:val="24"/>
        </w:rPr>
        <w:t xml:space="preserve"> core corporate strategy</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&lt;EndNote&gt;&lt;Cite&gt;&lt;Author&gt;Sun&lt;/Author&gt;&lt;Year&gt;2023&lt;/Year&gt;&lt;RecNum&gt;14092&lt;/RecNum&gt;&lt;DisplayText&gt;(Sun&lt;style face="italic"&gt; et al.&lt;/style&gt;, 2023)&lt;/DisplayText&gt;&lt;record&gt;&lt;rec-number&gt;14092&lt;/rec-number&gt;&lt;foreign-keys&gt;&lt;key app="EN" db-id="tt95vv9zf20xf0ewve7x0fsl990xeeasafzs" timestamp="1753191702"&gt;14092&lt;/key&gt;&lt;/foreign-keys&gt;&lt;ref-type name="Journal Article"&gt;17&lt;/ref-type&gt;&lt;contributors&gt;&lt;authors&gt;&lt;author&gt;Sun, Pei&lt;/author&gt;&lt;author&gt;Doh, Jonathan&lt;/author&gt;&lt;author&gt;Rajwani, Tazeeb&lt;/author&gt;&lt;author&gt;Werner, Timothy&lt;/author&gt;&lt;author&gt;Luo, Xiaowei Rose&lt;/author&gt;&lt;/authors&gt;&lt;/contributors&gt;&lt;titles&gt;&lt;title&gt;The management of socio</w:instrText>
      </w:r>
      <w:r w:rsidRPr="00A3505C">
        <w:rPr>
          <w:rFonts w:ascii="Times New Roman" w:hAnsi="Times New Roman" w:cs="Times New Roman" w:hint="eastAsia"/>
          <w:sz w:val="24"/>
          <w:szCs w:val="24"/>
        </w:rPr>
        <w:instrText>‐</w:instrText>
      </w:r>
      <w:r w:rsidRPr="00A3505C">
        <w:rPr>
          <w:rFonts w:ascii="Times New Roman" w:hAnsi="Times New Roman" w:cs="Times New Roman"/>
          <w:sz w:val="24"/>
          <w:szCs w:val="24"/>
        </w:rPr>
        <w:instrText>political issues and environments: Toward a research agenda for corporate socio</w:instrText>
      </w:r>
      <w:r w:rsidRPr="00A3505C">
        <w:rPr>
          <w:rFonts w:ascii="Times New Roman" w:hAnsi="Times New Roman" w:cs="Times New Roman" w:hint="eastAsia"/>
          <w:sz w:val="24"/>
          <w:szCs w:val="24"/>
        </w:rPr>
        <w:instrText>‐</w:instrText>
      </w:r>
      <w:r w:rsidRPr="00A3505C">
        <w:rPr>
          <w:rFonts w:ascii="Times New Roman" w:hAnsi="Times New Roman" w:cs="Times New Roman"/>
          <w:sz w:val="24"/>
          <w:szCs w:val="24"/>
        </w:rPr>
        <w:instrText>political engagement&lt;/title&gt;&lt;secondary-title&gt;Journal of Management Studies&lt;/secondary-title&gt;&lt;/titles&gt;&lt;periodical&gt;&lt;full-title&gt;Journal of Management Studies&lt;/full-title&gt;&lt;abbr-1&gt;J. Manag. Stud.&lt;/abbr-1&gt;&lt;/periodical&gt;&lt;pages&gt;277-306&lt;/pages&gt;&lt;volume&gt;61&lt;/volume&gt;&lt;number&gt;2&lt;/number&gt;&lt;section&gt;277&lt;/section&gt;&lt;dates&gt;&lt;year&gt;2023&lt;/year&gt;&lt;/dates&gt;&lt;isbn&gt;0022-2380&amp;#xD;1467-6486&lt;/isbn&gt;&lt;urls&gt;&lt;/urls&gt;&lt;electronic-resource-num&gt;10.1111/joms.13002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(Sun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00DA6C9C"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w:t>
      </w:r>
      <w:r w:rsidR="00DA6C9C" w:rsidRPr="00A3505C">
        <w:rPr>
          <w:rFonts w:ascii="Times New Roman" w:hAnsi="Times New Roman" w:cs="Times New Roman"/>
          <w:sz w:val="24"/>
          <w:szCs w:val="24"/>
        </w:rPr>
        <w:t xml:space="preserve">ground </w:t>
      </w:r>
      <w:r w:rsidR="00832153" w:rsidRPr="00A3505C">
        <w:rPr>
          <w:rFonts w:ascii="Times New Roman" w:hAnsi="Times New Roman" w:cs="Times New Roman"/>
          <w:sz w:val="24"/>
          <w:szCs w:val="24"/>
        </w:rPr>
        <w:t xml:space="preserve">our </w:t>
      </w:r>
      <w:r w:rsidR="00DA6C9C" w:rsidRPr="00A3505C">
        <w:rPr>
          <w:rFonts w:ascii="Times New Roman" w:hAnsi="Times New Roman" w:cs="Times New Roman"/>
          <w:sz w:val="24"/>
          <w:szCs w:val="24"/>
        </w:rPr>
        <w:t>theoretical</w:t>
      </w:r>
      <w:r w:rsidRPr="00A3505C">
        <w:rPr>
          <w:rFonts w:ascii="Times New Roman" w:hAnsi="Times New Roman" w:cs="Times New Roman" w:hint="eastAsia"/>
          <w:sz w:val="24"/>
          <w:szCs w:val="24"/>
        </w:rPr>
        <w:t xml:space="preserve"> framework</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in</w:t>
      </w:r>
      <w:r w:rsidRPr="00A3505C">
        <w:rPr>
          <w:rFonts w:ascii="Times New Roman" w:hAnsi="Times New Roman" w:cs="Times New Roman"/>
          <w:sz w:val="24"/>
          <w:szCs w:val="24"/>
        </w:rPr>
        <w:t xml:space="preserve"> the RBV and stakeholder theory. The RBV</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a perspective widely used to explain sources of superior profitability (Barney, 2018)</w:t>
      </w:r>
      <w:r w:rsidRPr="00A3505C">
        <w:rPr>
          <w:rFonts w:ascii="Times New Roman" w:hAnsi="Times New Roman" w:cs="Times New Roman" w:hint="eastAsia"/>
          <w:sz w:val="24"/>
          <w:szCs w:val="24"/>
        </w:rPr>
        <w:t>, posit</w:t>
      </w:r>
      <w:r w:rsidRPr="00A3505C">
        <w:rPr>
          <w:rFonts w:ascii="Times New Roman" w:hAnsi="Times New Roman" w:cs="Times New Roman"/>
          <w:sz w:val="24"/>
          <w:szCs w:val="24"/>
        </w:rPr>
        <w:t xml:space="preserve">s that firms’ competitiveness </w:t>
      </w:r>
      <w:r w:rsidRPr="00A3505C">
        <w:rPr>
          <w:rFonts w:ascii="Times New Roman" w:hAnsi="Times New Roman" w:cs="Times New Roman" w:hint="eastAsia"/>
          <w:sz w:val="24"/>
          <w:szCs w:val="24"/>
        </w:rPr>
        <w:t>derives from</w:t>
      </w:r>
      <w:r w:rsidRPr="00A3505C">
        <w:rPr>
          <w:rFonts w:ascii="Times New Roman" w:hAnsi="Times New Roman" w:cs="Times New Roman"/>
          <w:sz w:val="24"/>
          <w:szCs w:val="24"/>
        </w:rPr>
        <w:t xml:space="preserve"> the</w:t>
      </w:r>
      <w:r w:rsidRPr="00A3505C">
        <w:rPr>
          <w:rFonts w:ascii="Times New Roman" w:hAnsi="Times New Roman" w:cs="Times New Roman" w:hint="eastAsia"/>
          <w:sz w:val="24"/>
          <w:szCs w:val="24"/>
        </w:rPr>
        <w:t>ir</w:t>
      </w:r>
      <w:r w:rsidRPr="00A3505C">
        <w:rPr>
          <w:rFonts w:ascii="Times New Roman" w:hAnsi="Times New Roman" w:cs="Times New Roman"/>
          <w:sz w:val="24"/>
          <w:szCs w:val="24"/>
        </w:rPr>
        <w:t xml:space="preserve"> capabilities to accumulate and utilise firm-specific resources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&lt;EndNote&gt;&lt;Cite&gt;&lt;Author&gt;Wernerfelt&lt;/Author&gt;&lt;Year&gt;1984&lt;/Year&gt;&lt;RecNum&gt;8491&lt;/RecNum&gt;&lt;DisplayText&gt;(Wernerfelt, 1984)&lt;/DisplayText&gt;&lt;record&gt;&lt;rec-number&gt;8491&lt;/rec-number&gt;&lt;foreign-keys&gt;&lt;key app="EN" db-id="tt95vv9zf20xf0ewve7x0fsl990xeeasafzs" timestamp="1706066642"&gt;8491&lt;/key&gt;&lt;/foreign-keys&gt;&lt;ref-type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Journal&lt;/full-title&gt;&lt;abbr-1&gt;Strateg. Manag. J.&lt;/abbr-1&gt;&lt;/periodical&gt;&lt;pages&gt;171-180&lt;/pages&gt;&lt;volume&gt;5&lt;/volume&gt;&lt;number&gt;2&lt;/number&gt;&lt;dates&gt;&lt;year&gt;1984&lt;/year&gt;&lt;/dates&gt;&lt;urls&gt;&lt;related-urls&gt;&lt;url&gt;https://www.jstor.org/stable/2486175&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(Wernerfelt, 1984)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p>
    <w:p w14:paraId="789A2ED6" w14:textId="49031F3A" w:rsidR="000F7DAA" w:rsidRPr="00A3505C" w:rsidRDefault="000F7DAA" w:rsidP="000F7DAA">
      <w:pPr>
        <w:spacing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The RBV</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evolves to </w:t>
      </w:r>
      <w:r w:rsidRPr="00A3505C">
        <w:rPr>
          <w:rFonts w:ascii="Times New Roman" w:hAnsi="Times New Roman" w:cs="Times New Roman" w:hint="eastAsia"/>
          <w:sz w:val="24"/>
          <w:szCs w:val="24"/>
        </w:rPr>
        <w:t>encompass</w:t>
      </w:r>
      <w:r w:rsidRPr="00A3505C">
        <w:rPr>
          <w:rFonts w:ascii="Times New Roman" w:hAnsi="Times New Roman" w:cs="Times New Roman"/>
          <w:sz w:val="24"/>
          <w:szCs w:val="24"/>
        </w:rPr>
        <w:t xml:space="preserve"> a broader concept</w:t>
      </w:r>
      <w:r w:rsidRPr="00A3505C">
        <w:rPr>
          <w:rFonts w:ascii="Times New Roman" w:hAnsi="Times New Roman" w:cs="Times New Roman" w:hint="eastAsia"/>
          <w:sz w:val="24"/>
          <w:szCs w:val="24"/>
        </w:rPr>
        <w:t>ion</w:t>
      </w:r>
      <w:r w:rsidRPr="00A3505C">
        <w:rPr>
          <w:rFonts w:ascii="Times New Roman" w:hAnsi="Times New Roman" w:cs="Times New Roman"/>
          <w:sz w:val="24"/>
          <w:szCs w:val="24"/>
        </w:rPr>
        <w:t xml:space="preserve"> of performance, including competitive advantage, sustained competitiveness, and value creation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&lt;EndNote&gt;&lt;Cite&gt;&lt;Author&gt;Barney&lt;/Author&gt;&lt;Year&gt;2021&lt;/Year&gt;&lt;RecNum&gt;14066&lt;/RecNum&gt;&lt;DisplayText&gt;(Barney&lt;style face="italic"&gt; et al.&lt;/style&gt;, 2021b; Huang&lt;style face="italic"&gt; et al.&lt;/style&gt;, 2015)&lt;/DisplayText&gt;&lt;record&gt;&lt;rec-number&gt;14066&lt;/rec-number&gt;&lt;foreign-keys&gt;&lt;key app="EN" db-id="tt95vv9zf20xf0ewve7x0fsl990xeeasafzs" timestamp="1750297353"&gt;14066&lt;/key&gt;&lt;/foreign-keys&gt;&lt;ref-type name="Journal Article"&gt;17&lt;/ref-type&gt;&lt;contributors&gt;&lt;authors&gt;&lt;author&gt;Barney, J.&lt;/author&gt;&lt;author&gt;Ketchen, David J.&lt;/author&gt;&lt;author&gt;Wright, M.&lt;/author&gt;&lt;/authors&gt;&lt;/contributors&gt;&lt;titles&gt;&lt;title&gt;Resource-based theory and the value creation framework&lt;/title&gt;&lt;secondary-title&gt;Journal of Management&lt;/secondary-title&gt;&lt;/titles&gt;&lt;periodical&gt;&lt;full-title&gt;Journal of Management&lt;/full-title&gt;&lt;abbr-1&gt;J. Manag.&lt;/abbr-1&gt;&lt;/periodical&gt;&lt;volume&gt;47&lt;/volume&gt;&lt;number&gt;7&lt;/number&gt;&lt;dates&gt;&lt;year&gt;2021&lt;/year&gt;&lt;/dates&gt;&lt;urls&gt;&lt;/urls&gt;&lt;electronic-resource-num&gt;10.1177/01492063211021655&lt;/electronic-resource-num&gt;&lt;/record&gt;&lt;/Cite&gt;&lt;Cite&gt;&lt;Author&gt;Huang&lt;/Author&gt;&lt;Year&gt;2015&lt;/Year&gt;&lt;RecNum&gt;14125&lt;/RecNum&gt;&lt;record&gt;&lt;rec-number&gt;14125&lt;/rec-number&gt;&lt;foreign-keys&gt;&lt;key app="EN" db-id="tt95vv9zf20xf0ewve7x0fsl990xeeasafzs" timestamp="1754703228"&gt;14125&lt;/key&gt;&lt;/foreign-keys&gt;&lt;ref-type name="Journal Article"&gt;17&lt;/ref-type&gt;&lt;contributors&gt;&lt;authors&gt;&lt;auth</w:instrText>
      </w:r>
      <w:r w:rsidRPr="00A3505C">
        <w:rPr>
          <w:rFonts w:ascii="Times New Roman" w:hAnsi="Times New Roman" w:cs="Times New Roman" w:hint="eastAsia"/>
          <w:sz w:val="24"/>
          <w:szCs w:val="24"/>
        </w:rPr>
        <w:instrText>or&gt;Huang, Kuo</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Feng&lt;/author&gt;&lt;author&gt;Dyerson, Romano&lt;/author&gt;&lt;author&gt;Wu, Lei</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Yu&lt;/author&gt;&lt;author&gt;Harindranath, G.&lt;/author&gt;&lt;/authors&gt;&lt;/contributors&gt;&lt;titles&gt;&lt;title&gt;From temporary competitive advantage to sustainable competitive advantage&lt;/title&gt;&lt;secondary-titl</w:instrText>
      </w:r>
      <w:r w:rsidRPr="00A3505C">
        <w:rPr>
          <w:rFonts w:ascii="Times New Roman" w:hAnsi="Times New Roman" w:cs="Times New Roman"/>
          <w:sz w:val="24"/>
          <w:szCs w:val="24"/>
        </w:rPr>
        <w:instrText>e&gt;British Journal of Management&lt;/secondary-title&gt;&lt;/titles&gt;&lt;periodical&gt;&lt;full-title&gt;British Journal of Management&lt;/full-title&gt;&lt;abbr-1&gt;Br. J. Manag.&lt;/abbr-1&gt;&lt;/periodical&gt;&lt;pages&gt;617-636&lt;/pages&gt;&lt;volume&gt;26&lt;/volume&gt;&lt;number&gt;4&lt;/number&gt;&lt;section&gt;617&lt;/section&gt;&lt;dates&gt;&lt;year&gt;2015&lt;/year&gt;&lt;/dates&gt;&lt;isbn&gt;1045-3172&amp;#xD;1467-8551&lt;/isbn&gt;&lt;urls&gt;&lt;/urls&gt;&lt;electronic-resource-num&gt;10.1111/1467-8551.12104&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t>
      </w:r>
      <w:r w:rsidR="00400533" w:rsidRPr="00A3505C">
        <w:rPr>
          <w:rFonts w:ascii="Times New Roman" w:hAnsi="Times New Roman" w:cs="Times New Roman"/>
          <w:noProof/>
          <w:sz w:val="24"/>
          <w:szCs w:val="24"/>
        </w:rPr>
        <w:t>Huang</w:t>
      </w:r>
      <w:r w:rsidR="00400533" w:rsidRPr="00A3505C">
        <w:rPr>
          <w:rFonts w:ascii="Times New Roman" w:hAnsi="Times New Roman" w:cs="Times New Roman"/>
          <w:i/>
          <w:noProof/>
          <w:sz w:val="24"/>
          <w:szCs w:val="24"/>
        </w:rPr>
        <w:t xml:space="preserve"> et al.</w:t>
      </w:r>
      <w:r w:rsidR="00400533" w:rsidRPr="00A3505C">
        <w:rPr>
          <w:rFonts w:ascii="Times New Roman" w:hAnsi="Times New Roman" w:cs="Times New Roman"/>
          <w:noProof/>
          <w:sz w:val="24"/>
          <w:szCs w:val="24"/>
        </w:rPr>
        <w:t>, 2015</w:t>
      </w:r>
      <w:r w:rsidR="00400533">
        <w:rPr>
          <w:rFonts w:ascii="Times New Roman" w:hAnsi="Times New Roman" w:cs="Times New Roman"/>
          <w:noProof/>
          <w:sz w:val="24"/>
          <w:szCs w:val="24"/>
        </w:rPr>
        <w:t xml:space="preserve">; </w:t>
      </w:r>
      <w:r w:rsidRPr="00A3505C">
        <w:rPr>
          <w:rFonts w:ascii="Times New Roman" w:hAnsi="Times New Roman" w:cs="Times New Roman"/>
          <w:noProof/>
          <w:sz w:val="24"/>
          <w:szCs w:val="24"/>
        </w:rPr>
        <w:t>Barney</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2021b)</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To achieve</w:t>
      </w:r>
      <w:r w:rsidRPr="00A3505C">
        <w:rPr>
          <w:rFonts w:ascii="Times New Roman" w:hAnsi="Times New Roman" w:cs="Times New Roman"/>
          <w:sz w:val="24"/>
          <w:szCs w:val="24"/>
        </w:rPr>
        <w:t xml:space="preserve"> these objectives, firms leverage their resources to seize opportunities, mitigate external threats, and overcome internal weaknesses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&lt;EndNote&gt;&lt;Cite&gt;&lt;Author&gt;Barney&lt;/Author&gt;&lt;Year&gt;1991&lt;/Year&gt;&lt;RecNum&gt;9002&lt;/RecNum&gt;&lt;DisplayText&gt;(Barney, 1991)&lt;/DisplayText&gt;&lt;record&gt;&lt;rec-number&gt;9002&lt;/rec-number&gt;&lt;foreign-keys&gt;&lt;key app="EN" db-id="tt95vv9zf20xf0ewve7x0fsl990xeeasafzs" timestamp="1708914949"&gt;9002&lt;/key&gt;&lt;/foreign-keys&gt;&lt;ref-type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Management&lt;/full-title&gt;&lt;abbr-1&gt;J. Manag.&lt;/abbr-1&gt;&lt;/periodical&gt;&lt;pages&gt;99-120&lt;/pages&gt;&lt;volume&gt;17&lt;/volume&gt;&lt;number&gt;1&lt;/number&gt;&lt;dates&gt;&lt;year&gt;1991&lt;/year&gt;&lt;/dates&gt;&lt;urls&gt;&lt;/urls&gt;&lt;electronic-resource-num&gt;10.1177/014920639101700108&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(Barney, 1991)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Central to the</w:t>
      </w:r>
      <w:r w:rsidRPr="00A3505C">
        <w:rPr>
          <w:rFonts w:ascii="Times New Roman" w:hAnsi="Times New Roman" w:cs="Times New Roman"/>
          <w:sz w:val="24"/>
          <w:szCs w:val="24"/>
        </w:rPr>
        <w:t xml:space="preserve"> RBV </w:t>
      </w:r>
      <w:r w:rsidRPr="00A3505C">
        <w:rPr>
          <w:rFonts w:ascii="Times New Roman" w:hAnsi="Times New Roman" w:cs="Times New Roman" w:hint="eastAsia"/>
          <w:sz w:val="24"/>
          <w:szCs w:val="24"/>
        </w:rPr>
        <w:t>is the notion of</w:t>
      </w:r>
      <w:r w:rsidRPr="00A3505C">
        <w:rPr>
          <w:rFonts w:ascii="Times New Roman" w:hAnsi="Times New Roman" w:cs="Times New Roman"/>
          <w:sz w:val="24"/>
          <w:szCs w:val="24"/>
        </w:rPr>
        <w:t xml:space="preserve"> strategic resources</w:t>
      </w:r>
      <w:r w:rsidRPr="00A3505C">
        <w:rPr>
          <w:rFonts w:ascii="Times New Roman" w:hAnsi="Times New Roman" w:cs="Times New Roman" w:hint="eastAsia"/>
          <w:sz w:val="24"/>
          <w:szCs w:val="24"/>
        </w:rPr>
        <w:t>, which</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differ</w:t>
      </w:r>
      <w:r w:rsidRPr="00A3505C">
        <w:rPr>
          <w:rFonts w:ascii="Times New Roman" w:hAnsi="Times New Roman" w:cs="Times New Roman"/>
          <w:sz w:val="24"/>
          <w:szCs w:val="24"/>
        </w:rPr>
        <w:t xml:space="preserve"> from general</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resources in </w:t>
      </w:r>
      <w:r w:rsidRPr="00A3505C">
        <w:rPr>
          <w:rFonts w:ascii="Times New Roman" w:hAnsi="Times New Roman" w:cs="Times New Roman" w:hint="eastAsia"/>
          <w:sz w:val="24"/>
          <w:szCs w:val="24"/>
        </w:rPr>
        <w:t>that only those that</w:t>
      </w:r>
      <w:r w:rsidRPr="00A3505C">
        <w:rPr>
          <w:rFonts w:ascii="Times New Roman" w:hAnsi="Times New Roman" w:cs="Times New Roman"/>
          <w:sz w:val="24"/>
          <w:szCs w:val="24"/>
        </w:rPr>
        <w:t xml:space="preserve"> are valuable, rare, inimitable, and non-substitutable (VRIN) contribute to a firm’s competitive advantages </w:t>
      </w:r>
      <w:r w:rsidRPr="00A3505C">
        <w:rPr>
          <w:rFonts w:ascii="Times New Roman" w:hAnsi="Times New Roman" w:cs="Times New Roman"/>
          <w:sz w:val="24"/>
          <w:szCs w:val="24"/>
        </w:rPr>
        <w:fldChar w:fldCharType="begin">
          <w:fldData xml:space="preserve">PEVuZE5vdGU+PENpdGU+PEF1dGhvcj5CYXJuZXk8L0F1dGhvcj48WWVhcj4xOTkxPC9ZZWFyPjxS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PEVuZE5vdGU+PENpdGU+PEF1dGhvcj5CYXJuZXk8L0F1dGhvcj48WWVhcj4xOTkxPC9ZZWFyPjxS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(Peteraf, 1993; Bowman and Ambrosini, 2002)</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These distinctive characteristics </w:t>
      </w:r>
      <w:r w:rsidRPr="00A3505C">
        <w:rPr>
          <w:rFonts w:ascii="Times New Roman" w:hAnsi="Times New Roman" w:cs="Times New Roman" w:hint="eastAsia"/>
          <w:sz w:val="24"/>
          <w:szCs w:val="24"/>
        </w:rPr>
        <w:t xml:space="preserve">underpin </w:t>
      </w:r>
      <w:r w:rsidRPr="00A3505C">
        <w:rPr>
          <w:rFonts w:ascii="Times New Roman" w:hAnsi="Times New Roman" w:cs="Times New Roman"/>
          <w:sz w:val="24"/>
          <w:szCs w:val="24"/>
        </w:rPr>
        <w:t xml:space="preserve">firms’ ability to sustain their performance </w:t>
      </w:r>
      <w:r w:rsidRPr="00A3505C">
        <w:rPr>
          <w:rFonts w:ascii="Times New Roman" w:hAnsi="Times New Roman" w:cs="Times New Roman" w:hint="eastAsia"/>
          <w:sz w:val="24"/>
          <w:szCs w:val="24"/>
        </w:rPr>
        <w:t xml:space="preserve">over time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&lt;EndNote&gt;&lt;Cite&gt;&lt;Author&gt;Barney&lt;/Author&gt;&lt;Year&gt;1991&lt;/Year&gt;&lt;RecNum&gt;9002&lt;/RecNum&gt;&lt;DisplayText&gt;(Barney, 1991)&lt;/DisplayText&gt;&lt;record&gt;&lt;rec-number&gt;9002&lt;/rec-number&gt;&lt;foreign-keys&gt;&lt;key app="EN" db-id="tt95vv9zf20xf0ewve7x0fsl990xeeasafzs" timestamp="1708914949"&gt;9002&lt;/key&gt;&lt;/foreign-keys&gt;&lt;ref-type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Management&lt;/full-title&gt;&lt;abbr-1&gt;J. Manag.&lt;/abbr-1&gt;&lt;/periodical&gt;&lt;pages&gt;99-120&lt;/pages&gt;&lt;volume&gt;17&lt;/volume&gt;&lt;number&gt;1&lt;/number&gt;&lt;dates&gt;&lt;year&gt;1991&lt;/year&gt;&lt;/dates&gt;&lt;urls&gt;&lt;/urls&gt;&lt;electronic-resource-num&gt;10.1177/014920639101700108&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(Barney, 1991)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w:t>
      </w:r>
    </w:p>
    <w:p w14:paraId="4E03B630" w14:textId="0CA22D9E" w:rsidR="000F7DAA" w:rsidRPr="00A3505C" w:rsidRDefault="000F7DAA" w:rsidP="000F7DAA">
      <w:pPr>
        <w:spacing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We further differentiate resource characteristics across firms with distinct strategic orientations: profit- and growth-oriented (Zhou and Park, 2020). Profit-oriented firms primarily </w:t>
      </w:r>
      <w:r w:rsidRPr="00A3505C">
        <w:rPr>
          <w:rFonts w:ascii="Times New Roman" w:hAnsi="Times New Roman" w:cs="Times New Roman"/>
          <w:sz w:val="24"/>
          <w:szCs w:val="24"/>
        </w:rPr>
        <w:lastRenderedPageBreak/>
        <w:t xml:space="preserve">develop firm-specific resources to sustain competitive advantages (Zhou and Park, 2024), but such specialized resources may constrain strategic adaptation and limit opportunities (Nason and Wiklund, 2015). In contrast, growth-oriented firms possess more versatile resources that can be recombined for diverse purposes, enhancing adaptability (Mitrega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2021). This distinction reflects an inherent tension: inimitable, highly specific resources may impede growth due to path dependency and reduced responsiveness to external changes (Huang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2025), whereas versatile resources provide flexibility to navigate dynamic environments (Nason and Wiklund, 2015). </w:t>
      </w:r>
      <w:r w:rsidR="00DA6C9C"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w:t>
      </w:r>
      <w:r w:rsidR="00DA6C9C" w:rsidRPr="00A3505C">
        <w:rPr>
          <w:rFonts w:ascii="Times New Roman" w:hAnsi="Times New Roman" w:cs="Times New Roman" w:hint="eastAsia"/>
          <w:sz w:val="24"/>
          <w:szCs w:val="24"/>
        </w:rPr>
        <w:t>thus posit</w:t>
      </w:r>
      <w:r w:rsidRPr="00A3505C">
        <w:rPr>
          <w:rFonts w:ascii="Times New Roman" w:hAnsi="Times New Roman" w:cs="Times New Roman"/>
          <w:sz w:val="24"/>
          <w:szCs w:val="24"/>
        </w:rPr>
        <w:t xml:space="preserve"> that firms shape such resources to seize opportunities and mitigate threats (Mellahi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2016), with green patents representing a key strategic resource that facilitates the transition toward sustainability.</w:t>
      </w:r>
    </w:p>
    <w:p w14:paraId="7F711F62" w14:textId="6BF75B4C" w:rsidR="000F7DAA" w:rsidRPr="00A3505C" w:rsidRDefault="000F7DAA" w:rsidP="000F7DAA">
      <w:pPr>
        <w:adjustRightInd w:val="0"/>
        <w:snapToGrid w:val="0"/>
        <w:spacing w:after="120"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In line with Barney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(2021a), we emphasize integrating the RBV with stakeholder theory through the lens of sustainability. While the RBV focuses on sustaining competitive advantage via inimitable resources (Barney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2021b), stakeholder theory highlights the management of relationships with diverse stakeholders, through which firms access and exchange critical resources (Barney, 2018). Firms respond to increasing sustainability pressures from nongovernmental stakeholders by engaging in social and environmental initiatives (Sun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2024). </w:t>
      </w:r>
      <w:r w:rsidR="00E67C61" w:rsidRPr="00A3505C">
        <w:rPr>
          <w:rFonts w:ascii="Times New Roman" w:hAnsi="Times New Roman" w:cs="Times New Roman" w:hint="eastAsia"/>
          <w:sz w:val="24"/>
          <w:szCs w:val="24"/>
        </w:rPr>
        <w:t>S</w:t>
      </w:r>
      <w:r w:rsidRPr="00A3505C">
        <w:rPr>
          <w:rFonts w:ascii="Times New Roman" w:hAnsi="Times New Roman" w:cs="Times New Roman"/>
          <w:sz w:val="24"/>
          <w:szCs w:val="24"/>
        </w:rPr>
        <w:t xml:space="preserve">uch relationship management is essential for securing stakeholder support (Mellahi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2016). Integrating RBV and stakeholder theory thus underscores that sustainable competitiveness depends on both developing distinctive resources and cultivating sustainable stakeholder relationships (Freeman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2021).</w:t>
      </w:r>
    </w:p>
    <w:p w14:paraId="31CDEB89" w14:textId="668A28D9" w:rsidR="000F7DAA" w:rsidRPr="00A3505C" w:rsidRDefault="000F7DAA" w:rsidP="000F7DAA">
      <w:pPr>
        <w:adjustRightInd w:val="0"/>
        <w:snapToGrid w:val="0"/>
        <w:spacing w:after="120" w:line="360" w:lineRule="auto"/>
        <w:ind w:firstLine="426"/>
        <w:jc w:val="both"/>
        <w:rPr>
          <w:rFonts w:ascii="Times New Roman" w:hAnsi="Times New Roman" w:cs="Times New Roman"/>
          <w:sz w:val="24"/>
          <w:szCs w:val="24"/>
        </w:rPr>
      </w:pPr>
      <w:r w:rsidRPr="00A3505C">
        <w:rPr>
          <w:rFonts w:ascii="Times New Roman" w:hAnsi="Times New Roman" w:cs="Times New Roman"/>
          <w:sz w:val="24"/>
          <w:szCs w:val="24"/>
        </w:rPr>
        <w:t xml:space="preserve">A sustainable stakeholder relationship is grounded in a firm’s commitment to supporting stakeholders’ well-being (Freeman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2021) and requires consideration </w:t>
      </w:r>
      <w:r w:rsidR="00832153" w:rsidRPr="00A3505C">
        <w:rPr>
          <w:rFonts w:ascii="Times New Roman" w:hAnsi="Times New Roman" w:cs="Times New Roman"/>
          <w:sz w:val="24"/>
          <w:szCs w:val="24"/>
        </w:rPr>
        <w:t xml:space="preserve">of </w:t>
      </w:r>
      <w:r w:rsidRPr="00A3505C">
        <w:rPr>
          <w:rFonts w:ascii="Times New Roman" w:hAnsi="Times New Roman" w:cs="Times New Roman"/>
          <w:sz w:val="24"/>
          <w:szCs w:val="24"/>
        </w:rPr>
        <w:t>ethical and responsible value creation (</w:t>
      </w:r>
      <w:r w:rsidR="00400533" w:rsidRPr="00A3505C">
        <w:rPr>
          <w:rFonts w:ascii="Times New Roman" w:hAnsi="Times New Roman" w:cs="Times New Roman"/>
          <w:sz w:val="24"/>
          <w:szCs w:val="24"/>
        </w:rPr>
        <w:t xml:space="preserve">Parmar </w:t>
      </w:r>
      <w:r w:rsidR="00400533" w:rsidRPr="00A3505C">
        <w:rPr>
          <w:rFonts w:ascii="Times New Roman" w:hAnsi="Times New Roman" w:cs="Times New Roman"/>
          <w:i/>
          <w:iCs/>
          <w:sz w:val="24"/>
          <w:szCs w:val="24"/>
        </w:rPr>
        <w:t>et al</w:t>
      </w:r>
      <w:r w:rsidR="00400533" w:rsidRPr="00A3505C">
        <w:rPr>
          <w:rFonts w:ascii="Times New Roman" w:hAnsi="Times New Roman" w:cs="Times New Roman"/>
          <w:sz w:val="24"/>
          <w:szCs w:val="24"/>
        </w:rPr>
        <w:t xml:space="preserve">., 2010; </w:t>
      </w:r>
      <w:r w:rsidRPr="00A3505C">
        <w:rPr>
          <w:rFonts w:ascii="Times New Roman" w:hAnsi="Times New Roman" w:cs="Times New Roman"/>
          <w:sz w:val="24"/>
          <w:szCs w:val="24"/>
        </w:rPr>
        <w:t xml:space="preserve">Barney, 2018; McPhail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2024). In response to escalating environmental challenges, firms face increasing pressure to integrate sustainability and environmental objectives into their strategic posture (Bouguerra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2022). We conceptualize green revenues as a strategic mechanism to align environmental concerns with economic goals via green transition and revenue diversification (</w:t>
      </w:r>
      <w:r w:rsidR="00400533" w:rsidRPr="00A3505C">
        <w:rPr>
          <w:rFonts w:ascii="Times New Roman" w:hAnsi="Times New Roman" w:cs="Times New Roman"/>
          <w:sz w:val="24"/>
          <w:szCs w:val="24"/>
        </w:rPr>
        <w:t xml:space="preserve">Kruse </w:t>
      </w:r>
      <w:r w:rsidR="00400533" w:rsidRPr="00A3505C">
        <w:rPr>
          <w:rFonts w:ascii="Times New Roman" w:hAnsi="Times New Roman" w:cs="Times New Roman"/>
          <w:i/>
          <w:iCs/>
          <w:sz w:val="24"/>
          <w:szCs w:val="24"/>
        </w:rPr>
        <w:t>et al</w:t>
      </w:r>
      <w:r w:rsidR="00400533" w:rsidRPr="00A3505C">
        <w:rPr>
          <w:rFonts w:ascii="Times New Roman" w:hAnsi="Times New Roman" w:cs="Times New Roman"/>
          <w:sz w:val="24"/>
          <w:szCs w:val="24"/>
        </w:rPr>
        <w:t>., 2020</w:t>
      </w:r>
      <w:r w:rsidR="00400533">
        <w:rPr>
          <w:rFonts w:ascii="Times New Roman" w:hAnsi="Times New Roman" w:cs="Times New Roman"/>
          <w:sz w:val="24"/>
          <w:szCs w:val="24"/>
        </w:rPr>
        <w:t xml:space="preserve">; </w:t>
      </w:r>
      <w:r w:rsidRPr="00A3505C">
        <w:rPr>
          <w:rFonts w:ascii="Times New Roman" w:hAnsi="Times New Roman" w:cs="Times New Roman"/>
          <w:sz w:val="24"/>
          <w:szCs w:val="24"/>
        </w:rPr>
        <w:t xml:space="preserve">Klausmann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2024). Drawing on the RBV, we highlight that differences in resource characteristics shape firms’ capabilities and challenges in pursuing green transition as a driver of green revenues (</w:t>
      </w:r>
      <w:r w:rsidR="00400533" w:rsidRPr="00A3505C">
        <w:rPr>
          <w:rFonts w:ascii="Times New Roman" w:hAnsi="Times New Roman" w:cs="Times New Roman"/>
          <w:sz w:val="24"/>
          <w:szCs w:val="24"/>
        </w:rPr>
        <w:t xml:space="preserve">Klausmann </w:t>
      </w:r>
      <w:r w:rsidR="00400533" w:rsidRPr="00A3505C">
        <w:rPr>
          <w:rFonts w:ascii="Times New Roman" w:hAnsi="Times New Roman" w:cs="Times New Roman"/>
          <w:i/>
          <w:iCs/>
          <w:sz w:val="24"/>
          <w:szCs w:val="24"/>
        </w:rPr>
        <w:t>et al</w:t>
      </w:r>
      <w:r w:rsidR="00400533" w:rsidRPr="00A3505C">
        <w:rPr>
          <w:rFonts w:ascii="Times New Roman" w:hAnsi="Times New Roman" w:cs="Times New Roman"/>
          <w:sz w:val="24"/>
          <w:szCs w:val="24"/>
        </w:rPr>
        <w:t>., 2024</w:t>
      </w:r>
      <w:r w:rsidR="00400533">
        <w:rPr>
          <w:rFonts w:ascii="Times New Roman" w:hAnsi="Times New Roman" w:cs="Times New Roman"/>
          <w:sz w:val="24"/>
          <w:szCs w:val="24"/>
        </w:rPr>
        <w:t xml:space="preserve">; </w:t>
      </w:r>
      <w:r w:rsidRPr="00A3505C">
        <w:rPr>
          <w:rFonts w:ascii="Times New Roman" w:hAnsi="Times New Roman" w:cs="Times New Roman"/>
          <w:sz w:val="24"/>
          <w:szCs w:val="24"/>
        </w:rPr>
        <w:t xml:space="preserve">Lu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2025). This perspective reflects the integration of market and nonmarket components into firms’ overall strategy (Mellahi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2016), aligning with a two-dimensional view of strategy in which firms simultaneously develop internal capabilities and respond to external sustainability pressures (Sun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2024).</w:t>
      </w:r>
    </w:p>
    <w:p w14:paraId="43D1C734" w14:textId="229AC3D8" w:rsidR="000F7DAA" w:rsidRPr="00A3505C" w:rsidRDefault="000F7DAA" w:rsidP="000F7DAA">
      <w:pPr>
        <w:adjustRightInd w:val="0"/>
        <w:snapToGrid w:val="0"/>
        <w:spacing w:after="120" w:line="36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lastRenderedPageBreak/>
        <w:t>2.2 Strategic orientations: growth-oriented versus profit-oriented</w:t>
      </w:r>
      <w:r w:rsidR="00E67C61" w:rsidRPr="00A3505C">
        <w:rPr>
          <w:rFonts w:ascii="Times New Roman" w:hAnsi="Times New Roman" w:cs="Times New Roman" w:hint="eastAsia"/>
          <w:b/>
          <w:bCs/>
          <w:sz w:val="24"/>
          <w:szCs w:val="24"/>
        </w:rPr>
        <w:t xml:space="preserve"> and </w:t>
      </w:r>
      <w:r w:rsidR="00E67C61" w:rsidRPr="00A3505C">
        <w:rPr>
          <w:rFonts w:ascii="Times New Roman" w:hAnsi="Times New Roman" w:cs="Times New Roman"/>
          <w:b/>
          <w:bCs/>
          <w:sz w:val="24"/>
          <w:szCs w:val="24"/>
        </w:rPr>
        <w:t xml:space="preserve">neither-nor firms </w:t>
      </w:r>
    </w:p>
    <w:p w14:paraId="2E3318A5" w14:textId="61088979" w:rsidR="00B96241" w:rsidRPr="00BE2750" w:rsidRDefault="00930EDE" w:rsidP="00BE2750">
      <w:pPr>
        <w:adjustRightInd w:val="0"/>
        <w:snapToGrid w:val="0"/>
        <w:spacing w:after="120" w:line="360" w:lineRule="auto"/>
        <w:ind w:firstLine="425"/>
        <w:jc w:val="both"/>
        <w:rPr>
          <w:rFonts w:ascii="Times New Roman" w:hAnsi="Times New Roman" w:cs="Times New Roman"/>
          <w:color w:val="FF0000"/>
          <w:sz w:val="24"/>
          <w:szCs w:val="24"/>
        </w:rPr>
      </w:pPr>
      <w:r w:rsidRPr="00331C43">
        <w:rPr>
          <w:rFonts w:ascii="Times New Roman" w:hAnsi="Times New Roman" w:cs="Times New Roman"/>
          <w:color w:val="FF0000"/>
          <w:sz w:val="24"/>
          <w:szCs w:val="24"/>
        </w:rPr>
        <w:t>Growth-oriented firms emphasize expanding market share and firm scale, prioritising initiatives that enable expansion (e.g., market development, customer acquisition, and capability deployment)</w:t>
      </w:r>
      <w:r w:rsidR="00066F4D" w:rsidRPr="00331C43">
        <w:rPr>
          <w:rFonts w:ascii="Times New Roman" w:hAnsi="Times New Roman" w:cs="Times New Roman" w:hint="eastAsia"/>
          <w:color w:val="FF0000"/>
          <w:sz w:val="24"/>
          <w:szCs w:val="24"/>
        </w:rPr>
        <w:t xml:space="preserve"> </w:t>
      </w:r>
      <w:r w:rsidR="00066F4D" w:rsidRPr="00331C43">
        <w:rPr>
          <w:rFonts w:ascii="Times New Roman" w:hAnsi="Times New Roman" w:cs="Times New Roman"/>
          <w:color w:val="FF0000"/>
          <w:sz w:val="24"/>
          <w:szCs w:val="24"/>
        </w:rPr>
        <w:fldChar w:fldCharType="begin"/>
      </w:r>
      <w:r w:rsidR="00066F4D" w:rsidRPr="00331C43">
        <w:rPr>
          <w:rFonts w:ascii="Times New Roman" w:hAnsi="Times New Roman" w:cs="Times New Roman"/>
          <w:color w:val="FF0000"/>
          <w:sz w:val="24"/>
          <w:szCs w:val="24"/>
        </w:rPr>
        <w:instrText xml:space="preserve"> ADDIN EN.CITE &lt;EndNote&gt;&lt;Cite&gt;&lt;Author&gt;Penrose&lt;/Author&gt;&lt;Year&gt;1959&lt;/Year&gt;&lt;RecNum&gt;9007&lt;/RecNum&gt;&lt;DisplayText&gt;(Penrose, 1959; Gundry and Welsch, 2001)&lt;/DisplayText&gt;&lt;record&gt;&lt;rec-number&gt;9007&lt;/rec-number&gt;&lt;foreign-keys&gt;&lt;key app="EN" db-id="tt95vv9zf20xf0ewve7x0fsl990xeeasafzs" timestamp="1708925667"&gt;9007&lt;/key&gt;&lt;/foreign-keys&gt;&lt;ref-type name="Book"&gt;6&lt;/ref-type&gt;&lt;contributors&gt;&lt;authors&gt;&lt;author&gt;Penrose, E.T.&lt;/author&gt;&lt;/authors&gt;&lt;/contributors&gt;&lt;titles&gt;&lt;title&gt;The Theory of the Growth of the Firm&lt;/title&gt;&lt;/titles&gt;&lt;dates&gt;&lt;year&gt;1959&lt;/year&gt;&lt;/dates&gt;&lt;pub-location&gt;New York&lt;/pub-location&gt;&lt;publisher&gt;John Wiley and Sons&lt;/publisher&gt;&lt;urls&gt;&lt;/urls&gt;&lt;/record&gt;&lt;/Cite&gt;&lt;Cite&gt;&lt;Author&gt;Gundry&lt;/Author&gt;&lt;Year&gt;2001&lt;/Year&gt;&lt;RecNum&gt;9008&lt;/RecNum&gt;&lt;record&gt;&lt;rec-number&gt;9008&lt;/rec-number&gt;&lt;foreign-keys&gt;&lt;key app="EN" db-id="tt95vv9zf20xf0ewve7x0fsl990xeeasafzs" timestamp="1708925857"&gt;9008&lt;/key&gt;&lt;/foreign-keys&gt;&lt;ref-type name="Journal Article"&gt;17&lt;/ref-type&gt;&lt;contributors&gt;&lt;authors&gt;&lt;author&gt;Gundry, Lisa K.&lt;/author&gt;&lt;author&gt;Welsch, Harold P.&lt;/author&gt;&lt;/authors&gt;&lt;/contributors&gt;&lt;titles&gt;&lt;title&gt;The ambitious entrepreneur: High growth strategies of women-owned enterprises&lt;/title&gt;&lt;secondary-title&gt;Journal of Business Venturing&lt;/secondary-title&gt;&lt;/titles&gt;&lt;periodical&gt;&lt;full-title&gt;Journal of Business Venturing&lt;/full-title&gt;&lt;abbr-1&gt;J. Bus. Ventur.&lt;/abbr-1&gt;&lt;/periodical&gt;&lt;pages&gt;453-470&lt;/pages&gt;&lt;volume&gt;16&lt;/volume&gt;&lt;number&gt;5&lt;/number&gt;&lt;dates&gt;&lt;year&gt;2001&lt;/year&gt;&lt;/dates&gt;&lt;urls&gt;&lt;/urls&gt;&lt;electronic-resource-num&gt;10.1016/S0883-9026(99)00059-2&lt;/electronic-resource-num&gt;&lt;/record&gt;&lt;/Cite&gt;&lt;/EndNote&gt;</w:instrText>
      </w:r>
      <w:r w:rsidR="00066F4D" w:rsidRPr="00331C43">
        <w:rPr>
          <w:rFonts w:ascii="Times New Roman" w:hAnsi="Times New Roman" w:cs="Times New Roman"/>
          <w:color w:val="FF0000"/>
          <w:sz w:val="24"/>
          <w:szCs w:val="24"/>
        </w:rPr>
        <w:fldChar w:fldCharType="separate"/>
      </w:r>
      <w:r w:rsidR="00066F4D" w:rsidRPr="00331C43">
        <w:rPr>
          <w:rFonts w:ascii="Times New Roman" w:hAnsi="Times New Roman" w:cs="Times New Roman"/>
          <w:noProof/>
          <w:color w:val="FF0000"/>
          <w:sz w:val="24"/>
          <w:szCs w:val="24"/>
        </w:rPr>
        <w:t>(Penrose, 1959; Gundry and Welsch, 2001)</w:t>
      </w:r>
      <w:r w:rsidR="00066F4D" w:rsidRPr="00331C43">
        <w:rPr>
          <w:rFonts w:ascii="Times New Roman" w:hAnsi="Times New Roman" w:cs="Times New Roman"/>
          <w:color w:val="FF0000"/>
          <w:sz w:val="24"/>
          <w:szCs w:val="24"/>
        </w:rPr>
        <w:fldChar w:fldCharType="end"/>
      </w:r>
      <w:r w:rsidRPr="00331C43">
        <w:rPr>
          <w:rFonts w:ascii="Times New Roman" w:hAnsi="Times New Roman" w:cs="Times New Roman"/>
          <w:color w:val="FF0000"/>
          <w:sz w:val="24"/>
          <w:szCs w:val="24"/>
        </w:rPr>
        <w:t xml:space="preserve">. </w:t>
      </w:r>
      <w:r w:rsidR="00BE2750">
        <w:rPr>
          <w:rFonts w:ascii="Times New Roman" w:hAnsi="Times New Roman" w:cs="Times New Roman"/>
          <w:color w:val="FF0000"/>
          <w:sz w:val="24"/>
          <w:szCs w:val="24"/>
        </w:rPr>
        <w:t>W</w:t>
      </w:r>
      <w:r w:rsidR="00BE2750">
        <w:rPr>
          <w:rFonts w:ascii="Times New Roman" w:hAnsi="Times New Roman" w:cs="Times New Roman" w:hint="eastAsia"/>
          <w:color w:val="FF0000"/>
          <w:sz w:val="24"/>
          <w:szCs w:val="24"/>
        </w:rPr>
        <w:t xml:space="preserve">e highlight </w:t>
      </w:r>
      <w:r w:rsidR="00BE2750">
        <w:rPr>
          <w:rFonts w:ascii="Times New Roman" w:hAnsi="Times New Roman" w:cs="Times New Roman"/>
          <w:color w:val="FF0000"/>
          <w:sz w:val="24"/>
          <w:szCs w:val="24"/>
        </w:rPr>
        <w:t>that</w:t>
      </w:r>
      <w:r w:rsidR="00BE2750">
        <w:rPr>
          <w:rFonts w:ascii="Times New Roman" w:hAnsi="Times New Roman" w:cs="Times New Roman" w:hint="eastAsia"/>
          <w:color w:val="FF0000"/>
          <w:sz w:val="24"/>
          <w:szCs w:val="24"/>
        </w:rPr>
        <w:t xml:space="preserve"> i</w:t>
      </w:r>
      <w:r w:rsidRPr="00331C43">
        <w:rPr>
          <w:rFonts w:ascii="Times New Roman" w:hAnsi="Times New Roman" w:cs="Times New Roman"/>
          <w:color w:val="FF0000"/>
          <w:sz w:val="24"/>
          <w:szCs w:val="24"/>
        </w:rPr>
        <w:t>nnovation and adaptability may underpin competitive advantage under either growth- or profit-oriented strategies</w:t>
      </w:r>
      <w:r w:rsidR="007866AE">
        <w:rPr>
          <w:rFonts w:ascii="Times New Roman" w:hAnsi="Times New Roman" w:cs="Times New Roman" w:hint="eastAsia"/>
          <w:color w:val="FF0000"/>
          <w:sz w:val="24"/>
          <w:szCs w:val="24"/>
        </w:rPr>
        <w:t>.</w:t>
      </w:r>
      <w:r w:rsidRPr="00331C43">
        <w:rPr>
          <w:rFonts w:ascii="Times New Roman" w:hAnsi="Times New Roman" w:cs="Times New Roman"/>
          <w:color w:val="FF0000"/>
          <w:sz w:val="24"/>
          <w:szCs w:val="24"/>
        </w:rPr>
        <w:t xml:space="preserve"> </w:t>
      </w:r>
      <w:r w:rsidR="007866AE">
        <w:rPr>
          <w:rFonts w:ascii="Times New Roman" w:hAnsi="Times New Roman" w:cs="Times New Roman" w:hint="eastAsia"/>
          <w:color w:val="FF0000"/>
          <w:sz w:val="24"/>
          <w:szCs w:val="24"/>
        </w:rPr>
        <w:t>T</w:t>
      </w:r>
      <w:r w:rsidRPr="00331C43">
        <w:rPr>
          <w:rFonts w:ascii="Times New Roman" w:hAnsi="Times New Roman" w:cs="Times New Roman"/>
          <w:color w:val="FF0000"/>
          <w:sz w:val="24"/>
          <w:szCs w:val="24"/>
        </w:rPr>
        <w:t xml:space="preserve">he distinction lies in strategic </w:t>
      </w:r>
      <w:r w:rsidR="00C11C95" w:rsidRPr="00331C43">
        <w:rPr>
          <w:rFonts w:ascii="Times New Roman" w:hAnsi="Times New Roman" w:cs="Times New Roman" w:hint="eastAsia"/>
          <w:color w:val="FF0000"/>
          <w:sz w:val="24"/>
          <w:szCs w:val="24"/>
        </w:rPr>
        <w:t xml:space="preserve">orientation and </w:t>
      </w:r>
      <w:r w:rsidR="00331C43" w:rsidRPr="00331C43">
        <w:rPr>
          <w:rFonts w:ascii="Times New Roman" w:hAnsi="Times New Roman" w:cs="Times New Roman" w:hint="eastAsia"/>
          <w:color w:val="FF0000"/>
          <w:sz w:val="24"/>
          <w:szCs w:val="24"/>
        </w:rPr>
        <w:t xml:space="preserve">allocation </w:t>
      </w:r>
      <w:r w:rsidRPr="00331C43">
        <w:rPr>
          <w:rFonts w:ascii="Times New Roman" w:hAnsi="Times New Roman" w:cs="Times New Roman"/>
          <w:color w:val="FF0000"/>
          <w:sz w:val="24"/>
          <w:szCs w:val="24"/>
        </w:rPr>
        <w:t>priorities rather than in the presence of innovation capability</w:t>
      </w:r>
      <w:r w:rsidR="00331C43" w:rsidRPr="00331C43">
        <w:rPr>
          <w:rFonts w:ascii="Times New Roman" w:hAnsi="Times New Roman" w:cs="Times New Roman" w:hint="eastAsia"/>
          <w:color w:val="FF0000"/>
          <w:sz w:val="24"/>
          <w:szCs w:val="24"/>
        </w:rPr>
        <w:t xml:space="preserve">. </w:t>
      </w:r>
      <w:r w:rsidR="00CE11C8">
        <w:rPr>
          <w:rFonts w:ascii="Times New Roman" w:hAnsi="Times New Roman" w:cs="Times New Roman" w:hint="eastAsia"/>
          <w:sz w:val="24"/>
          <w:szCs w:val="24"/>
        </w:rPr>
        <w:t>For growth-oriented firms</w:t>
      </w:r>
      <w:r w:rsidR="000F7DAA" w:rsidRPr="00A3505C">
        <w:rPr>
          <w:rFonts w:ascii="Times New Roman" w:hAnsi="Times New Roman" w:cs="Times New Roman"/>
          <w:sz w:val="24"/>
          <w:szCs w:val="24"/>
        </w:rPr>
        <w:t xml:space="preserve">, aggressive expansion incrementally increases managerial cost due to </w:t>
      </w:r>
      <w:r w:rsidR="000F7DAA" w:rsidRPr="00A3505C">
        <w:rPr>
          <w:rFonts w:ascii="Times New Roman" w:hAnsi="Times New Roman" w:cs="Times New Roman" w:hint="eastAsia"/>
          <w:sz w:val="24"/>
          <w:szCs w:val="24"/>
        </w:rPr>
        <w:t>greater</w:t>
      </w:r>
      <w:r w:rsidR="000F7DAA" w:rsidRPr="00A3505C">
        <w:rPr>
          <w:rFonts w:ascii="Times New Roman" w:hAnsi="Times New Roman" w:cs="Times New Roman"/>
          <w:sz w:val="24"/>
          <w:szCs w:val="24"/>
        </w:rPr>
        <w:t xml:space="preserve"> organisational complexity and </w:t>
      </w:r>
      <w:r w:rsidR="000F7DAA" w:rsidRPr="00A3505C">
        <w:rPr>
          <w:rFonts w:ascii="Times New Roman" w:hAnsi="Times New Roman" w:cs="Times New Roman" w:hint="eastAsia"/>
          <w:sz w:val="24"/>
          <w:szCs w:val="24"/>
        </w:rPr>
        <w:t xml:space="preserve">extensive </w:t>
      </w:r>
      <w:r w:rsidR="000F7DAA" w:rsidRPr="00A3505C">
        <w:rPr>
          <w:rFonts w:ascii="Times New Roman" w:hAnsi="Times New Roman" w:cs="Times New Roman"/>
          <w:sz w:val="24"/>
          <w:szCs w:val="24"/>
        </w:rPr>
        <w:t xml:space="preserve">external relationships </w:t>
      </w:r>
      <w:r w:rsidR="000F7DAA" w:rsidRPr="00A3505C">
        <w:rPr>
          <w:rFonts w:ascii="Times New Roman" w:hAnsi="Times New Roman" w:cs="Times New Roman"/>
          <w:sz w:val="24"/>
          <w:szCs w:val="24"/>
        </w:rPr>
        <w:fldChar w:fldCharType="begin"/>
      </w:r>
      <w:r w:rsidR="000F7DAA" w:rsidRPr="00A3505C">
        <w:rPr>
          <w:rFonts w:ascii="Times New Roman" w:hAnsi="Times New Roman" w:cs="Times New Roman"/>
          <w:sz w:val="24"/>
          <w:szCs w:val="24"/>
        </w:rPr>
        <w:instrText xml:space="preserve"> ADDIN EN.CITE &lt;EndNote&gt;&lt;Cite&gt;&lt;Author&gt;Mishina&lt;/Author&gt;&lt;Year&gt;2004&lt;/Year&gt;&lt;RecNum&gt;9005&lt;/RecNum&gt;&lt;DisplayText&gt;(Mishina&lt;style face="italic"&gt; et al.&lt;/style&gt;, 2004; Zhou and Park, 2020)&lt;/DisplayText&gt;&lt;record&gt;&lt;rec-number&gt;9005&lt;/rec-number&gt;&lt;foreign-keys&gt;&lt;key app="EN" db-id="tt95vv9zf20xf0ewve7x0fsl990xeeasafzs" timestamp="1708918054"&gt;9005&lt;/key&gt;&lt;/foreign-keys&gt;&lt;ref-type name="Journal Article"&gt;17&lt;/ref-type&gt;&lt;contributors&gt;&lt;authors&gt;&lt;author&gt;Mishina, Yuri&lt;/author&gt;&lt;author&gt;Pollock, Timothy G.&lt;/author&gt;&lt;author&gt;Porac, Joseph F.&lt;/author&gt;&lt;/authors&gt;&lt;/contributors&gt;&lt;titles&gt;&lt;title&gt;Are more resources always better for growth? Resource stickiness in market and product expansion&lt;/title&gt;&lt;secondary-title&gt;Strategic Management Journal&lt;/secondary-title&gt;&lt;/titles&gt;&lt;periodical&gt;&lt;full-title&gt;Strategic Management Journal&lt;/full-title&gt;&lt;abbr-1&gt;Strateg. Manag. J.&lt;/abbr-1&gt;&lt;/periodical&gt;&lt;pages&gt;1179-1197&lt;/pages&gt;&lt;volume&gt;25&lt;/volume&gt;&lt;number&gt;12&lt;/number&gt;&lt;section&gt;1179&lt;/section&gt;&lt;dates&gt;&lt;year&gt;2004&lt;/year&gt;&lt;/dates&gt;&lt;isbn&gt;0143-2095&amp;#xD;1097-0266&lt;/isbn&gt;&lt;urls&gt;&lt;/urls&gt;&lt;electronic-resource-num&gt;10.1002/smj.424&lt;/electronic-resource-num&gt;&lt;/record&gt;&lt;/Cite&gt;&lt;Cite&gt;&lt;Author&gt;Zhou&lt;/Author&gt;&lt;Year&gt;2020&lt;/Year&gt;&lt;RecNum&gt;8976&lt;/RecNum&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(Mishina</w:t>
      </w:r>
      <w:r w:rsidR="000F7DAA" w:rsidRPr="00A3505C">
        <w:rPr>
          <w:rFonts w:ascii="Times New Roman" w:hAnsi="Times New Roman" w:cs="Times New Roman"/>
          <w:i/>
          <w:noProof/>
          <w:sz w:val="24"/>
          <w:szCs w:val="24"/>
        </w:rPr>
        <w:t xml:space="preserve"> et al.</w:t>
      </w:r>
      <w:r w:rsidR="000F7DAA" w:rsidRPr="00A3505C">
        <w:rPr>
          <w:rFonts w:ascii="Times New Roman" w:hAnsi="Times New Roman" w:cs="Times New Roman"/>
          <w:noProof/>
          <w:sz w:val="24"/>
          <w:szCs w:val="24"/>
        </w:rPr>
        <w:t>, 2004)</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hint="eastAsia"/>
          <w:sz w:val="24"/>
          <w:szCs w:val="24"/>
        </w:rPr>
        <w:t>,</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hint="eastAsia"/>
          <w:sz w:val="24"/>
          <w:szCs w:val="24"/>
        </w:rPr>
        <w:t>potentially eroding</w:t>
      </w:r>
      <w:r w:rsidR="000F7DAA" w:rsidRPr="00A3505C">
        <w:rPr>
          <w:rFonts w:ascii="Times New Roman" w:hAnsi="Times New Roman" w:cs="Times New Roman"/>
          <w:sz w:val="24"/>
          <w:szCs w:val="24"/>
        </w:rPr>
        <w:t xml:space="preserve"> profit</w:t>
      </w:r>
      <w:r w:rsidR="000F7DAA" w:rsidRPr="00A3505C">
        <w:rPr>
          <w:rFonts w:ascii="Times New Roman" w:hAnsi="Times New Roman" w:cs="Times New Roman" w:hint="eastAsia"/>
          <w:sz w:val="24"/>
          <w:szCs w:val="24"/>
        </w:rPr>
        <w:t>s</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sz w:val="24"/>
          <w:szCs w:val="24"/>
        </w:rPr>
        <w:fldChar w:fldCharType="begin"/>
      </w:r>
      <w:r w:rsidR="000F7DAA" w:rsidRPr="00A3505C">
        <w:rPr>
          <w:rFonts w:ascii="Times New Roman" w:hAnsi="Times New Roman" w:cs="Times New Roman"/>
          <w:sz w:val="24"/>
          <w:szCs w:val="24"/>
        </w:rPr>
        <w:instrText xml:space="preserve"> ADDIN EN.CITE &lt;EndNote&gt;&lt;Cite&gt;&lt;Author&gt;Davidsson&lt;/Author&gt;&lt;Year&gt;2009&lt;/Year&gt;&lt;RecNum&gt;9013&lt;/RecNum&gt;&lt;DisplayText&gt;(Davidsson&lt;style face="italic"&gt; et al.&lt;/style&gt;, 2009)&lt;/DisplayText&gt;&lt;record&gt;&lt;rec-number&gt;9013&lt;/rec-number&gt;&lt;foreign-keys&gt;&lt;key app="EN" db-id="tt95vv9zf20xf0ewve7x0fsl990xeeasafzs" timestamp="1708954650"&gt;9013&lt;/key&gt;&lt;/foreign-keys&gt;&lt;ref-type name="Journal Article"&gt;17&lt;/ref-type&gt;&lt;contributors&gt;&lt;authors&gt;&lt;author&gt;Davidsson, Per&lt;/author&gt;&lt;author&gt;Steffens, Paul&lt;/author&gt;&lt;author&gt;Fitzsimmons, Jason&lt;/author&gt;&lt;/authors&gt;&lt;/contributors&gt;&lt;titles&gt;&lt;title&gt;Growing profitable or growing from profits: Putting the horse in front of the cart?&lt;/title&gt;&lt;secondary-title&gt;Journal of Business Venturing&lt;/secondary-title&gt;&lt;/titles&gt;&lt;periodical&gt;&lt;full-title&gt;Journal of Business Venturing&lt;/full-title&gt;&lt;abbr-1&gt;J. Bus. Ventur.&lt;/abbr-1&gt;&lt;/periodical&gt;&lt;pages&gt;388-406&lt;/pages&gt;&lt;volume&gt;24&lt;/volume&gt;&lt;number&gt;4&lt;/number&gt;&lt;dates&gt;&lt;year&gt;2009&lt;/year&gt;&lt;/dates&gt;&lt;urls&gt;&lt;/urls&gt;&lt;electronic-resource-num&gt;10.1016/j.jbusvent.2008.04.003&lt;/electronic-resource-num&gt;&lt;/record&gt;&lt;/Cite&gt;&lt;/EndNote&gt;</w:instrText>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(Davidsson</w:t>
      </w:r>
      <w:r w:rsidR="000F7DAA" w:rsidRPr="00A3505C">
        <w:rPr>
          <w:rFonts w:ascii="Times New Roman" w:hAnsi="Times New Roman" w:cs="Times New Roman"/>
          <w:i/>
          <w:noProof/>
          <w:sz w:val="24"/>
          <w:szCs w:val="24"/>
        </w:rPr>
        <w:t xml:space="preserve"> et al.</w:t>
      </w:r>
      <w:r w:rsidR="000F7DAA" w:rsidRPr="00A3505C">
        <w:rPr>
          <w:rFonts w:ascii="Times New Roman" w:hAnsi="Times New Roman" w:cs="Times New Roman"/>
          <w:noProof/>
          <w:sz w:val="24"/>
          <w:szCs w:val="24"/>
        </w:rPr>
        <w:t>, 2009)</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hint="eastAsia"/>
          <w:sz w:val="24"/>
          <w:szCs w:val="24"/>
        </w:rPr>
        <w:t>In contrast</w:t>
      </w:r>
      <w:r w:rsidR="000F7DAA" w:rsidRPr="00A3505C">
        <w:rPr>
          <w:rFonts w:ascii="Times New Roman" w:hAnsi="Times New Roman" w:cs="Times New Roman"/>
          <w:sz w:val="24"/>
          <w:szCs w:val="24"/>
        </w:rPr>
        <w:t xml:space="preserve">, profit-oriented </w:t>
      </w:r>
      <w:r w:rsidR="000F7DAA" w:rsidRPr="00A3505C">
        <w:rPr>
          <w:rFonts w:ascii="Times New Roman" w:hAnsi="Times New Roman" w:cs="Times New Roman" w:hint="eastAsia"/>
          <w:sz w:val="24"/>
          <w:szCs w:val="24"/>
        </w:rPr>
        <w:t>firm</w:t>
      </w:r>
      <w:r w:rsidR="000F7DAA" w:rsidRPr="00A3505C">
        <w:rPr>
          <w:rFonts w:ascii="Times New Roman" w:hAnsi="Times New Roman" w:cs="Times New Roman"/>
          <w:sz w:val="24"/>
          <w:szCs w:val="24"/>
        </w:rPr>
        <w:t xml:space="preserve">s prioritize profitability through cost reduction and return on investment maximisation </w:t>
      </w:r>
      <w:r w:rsidR="000F7DAA" w:rsidRPr="00A3505C">
        <w:rPr>
          <w:rFonts w:ascii="Times New Roman" w:hAnsi="Times New Roman" w:cs="Times New Roman"/>
          <w:sz w:val="24"/>
          <w:szCs w:val="24"/>
        </w:rPr>
        <w:fldChar w:fldCharType="begin"/>
      </w:r>
      <w:r w:rsidR="000F7DAA" w:rsidRPr="00A3505C">
        <w:rPr>
          <w:rFonts w:ascii="Times New Roman" w:hAnsi="Times New Roman" w:cs="Times New Roman"/>
          <w:sz w:val="24"/>
          <w:szCs w:val="24"/>
        </w:rPr>
        <w:instrText xml:space="preserve"> ADDIN EN.CITE &lt;EndNote&gt;&lt;Cite&gt;&lt;Author&gt;Zhou&lt;/Author&gt;&lt;Year&gt;2020&lt;/Year&gt;&lt;RecNum&gt;8976&lt;/RecNum&gt;&lt;DisplayText&gt;(Zhou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(Zhou and Park, 2020)</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sz w:val="24"/>
          <w:szCs w:val="24"/>
        </w:rPr>
        <w:t xml:space="preserve">. Profit-oriented firms can establish either cost leadership or differentiation as their competitive </w:t>
      </w:r>
      <w:r w:rsidR="007B4ECA" w:rsidRPr="00A3505C">
        <w:rPr>
          <w:rFonts w:ascii="Times New Roman" w:hAnsi="Times New Roman" w:cs="Times New Roman"/>
          <w:sz w:val="24"/>
          <w:szCs w:val="24"/>
        </w:rPr>
        <w:t>advantage</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sz w:val="24"/>
          <w:szCs w:val="24"/>
        </w:rPr>
        <w:fldChar w:fldCharType="begin"/>
      </w:r>
      <w:r w:rsidR="000F7DAA" w:rsidRPr="00A3505C">
        <w:rPr>
          <w:rFonts w:ascii="Times New Roman" w:hAnsi="Times New Roman" w:cs="Times New Roman"/>
          <w:sz w:val="24"/>
          <w:szCs w:val="24"/>
        </w:rPr>
        <w:instrText xml:space="preserve"> ADDIN EN.CITE &lt;EndNote&gt;&lt;Cite&gt;&lt;Author&gt;Zeng&lt;/Author&gt;&lt;Year&gt;2007&lt;/Year&gt;&lt;RecNum&gt;9033&lt;/RecNum&gt;&lt;DisplayText&gt;(Zeng and Williamson, 2007; Dess and Davis, 1984)&lt;/DisplayText&gt;&lt;record&gt;&lt;rec-number&gt;9033&lt;/rec-number&gt;&lt;foreign-keys&gt;&lt;key app="EN" db-id="tt95vv9zf20xf0ewve7x0fsl990xeeasafzs" timestamp="1709347935"&gt;9033&lt;/key&gt;&lt;/foreign-keys&gt;&lt;ref-type name="Book"&gt;6&lt;/ref-type&gt;&lt;contributors&gt;&lt;authors&gt;&lt;author&gt;Zeng, Ming&lt;/author&gt;&lt;author&gt;Williamson, Peter J.&lt;/author&gt;&lt;/authors&gt;&lt;/contributors&gt;&lt;titles&gt;&lt;title&gt;Dragons at Your Door: How Chinese Cost Innovation is Disrupting Global Competition&lt;/title&gt;&lt;/titles&gt;&lt;dates&gt;&lt;year&gt;2007&lt;/year&gt;&lt;/dates&gt;&lt;pub-location&gt;Boston&lt;/pub-location&gt;&lt;publisher&gt;Harvard Business Review Press&lt;/publisher&gt;&lt;urls&gt;&lt;/urls&gt;&lt;/record&gt;&lt;/Cite&gt;&lt;Cite&gt;&lt;Author&gt;Dess&lt;/Author&gt;&lt;Year&gt;1984&lt;/Year&gt;&lt;RecNum&gt;9034&lt;/RecNum&gt;&lt;record&gt;&lt;rec-number&gt;9034&lt;/rec-number&gt;&lt;foreign-keys&gt;&lt;key app="EN" db-id="tt95vv9zf20xf0ewve7x0fsl990xeeasafzs" timestamp="1709348379"&gt;9034&lt;/key&gt;&lt;/foreign-keys&gt;&lt;ref-type name="Journal Article"&gt;17&lt;/ref-type&gt;&lt;contributors&gt;&lt;authors&gt;&lt;author&gt;Dess, Gregory G.&lt;/author&gt;&lt;author&gt;Davis, Peter S.&lt;/author&gt;&lt;/authors&gt;&lt;/contributors&gt;&lt;titles&gt;&lt;title&gt;Porter’s (1980) generic strategies as determinants of strategic group membership and organizational performance&lt;/title&gt;&lt;secondary-title&gt;Academy of Management Journal&lt;/secondary-title&gt;&lt;/titles&gt;&lt;periodical&gt;&lt;full-title&gt;Academy of Management Journal&lt;/full-title&gt;&lt;abbr-1&gt;Acad. Manag. J.&lt;/abbr-1&gt;&lt;/periodical&gt;&lt;pages&gt;467-488&lt;/pages&gt;&lt;volume&gt;27&lt;/volume&gt;&lt;number&gt;3&lt;/number&gt;&lt;dates&gt;&lt;year&gt;1984&lt;/year&gt;&lt;/dates&gt;&lt;urls&gt;&lt;related-urls&gt;&lt;url&gt;https://www.jstor.org/stable/256040&lt;/url&gt;&lt;/related-urls&gt;&lt;/urls&gt;&lt;/record&gt;&lt;/Cite&gt;&lt;/EndNote&gt;</w:instrText>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w:t>
      </w:r>
      <w:r w:rsidR="004060C8" w:rsidRPr="00A3505C">
        <w:rPr>
          <w:rFonts w:ascii="Times New Roman" w:hAnsi="Times New Roman" w:cs="Times New Roman"/>
          <w:noProof/>
          <w:sz w:val="24"/>
          <w:szCs w:val="24"/>
        </w:rPr>
        <w:t>Dess and Davis, 1984</w:t>
      </w:r>
      <w:r w:rsidR="004060C8">
        <w:rPr>
          <w:rFonts w:ascii="Times New Roman" w:hAnsi="Times New Roman" w:cs="Times New Roman"/>
          <w:noProof/>
          <w:sz w:val="24"/>
          <w:szCs w:val="24"/>
        </w:rPr>
        <w:t xml:space="preserve">; </w:t>
      </w:r>
      <w:r w:rsidR="000F7DAA" w:rsidRPr="00A3505C">
        <w:rPr>
          <w:rFonts w:ascii="Times New Roman" w:hAnsi="Times New Roman" w:cs="Times New Roman"/>
          <w:noProof/>
          <w:sz w:val="24"/>
          <w:szCs w:val="24"/>
        </w:rPr>
        <w:t>Zeng and Williamson, 2007)</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hint="eastAsia"/>
          <w:sz w:val="24"/>
          <w:szCs w:val="24"/>
        </w:rPr>
        <w:t xml:space="preserve">They may achieve </w:t>
      </w:r>
      <w:r w:rsidR="00841587" w:rsidRPr="00A3505C">
        <w:rPr>
          <w:rFonts w:ascii="Times New Roman" w:hAnsi="Times New Roman" w:cs="Times New Roman"/>
          <w:sz w:val="24"/>
          <w:szCs w:val="24"/>
        </w:rPr>
        <w:t xml:space="preserve">a </w:t>
      </w:r>
      <w:r w:rsidR="000F7DAA" w:rsidRPr="00A3505C">
        <w:rPr>
          <w:rFonts w:ascii="Times New Roman" w:hAnsi="Times New Roman" w:cs="Times New Roman"/>
          <w:sz w:val="24"/>
          <w:szCs w:val="24"/>
        </w:rPr>
        <w:t>competitive</w:t>
      </w:r>
      <w:r w:rsidR="000F7DAA" w:rsidRPr="00A3505C">
        <w:rPr>
          <w:rFonts w:ascii="Times New Roman" w:hAnsi="Times New Roman" w:cs="Times New Roman" w:hint="eastAsia"/>
          <w:sz w:val="24"/>
          <w:szCs w:val="24"/>
        </w:rPr>
        <w:t xml:space="preserve"> advantage via</w:t>
      </w:r>
      <w:r w:rsidR="000F7DAA" w:rsidRPr="00A3505C">
        <w:rPr>
          <w:rFonts w:ascii="Times New Roman" w:hAnsi="Times New Roman" w:cs="Times New Roman"/>
          <w:sz w:val="24"/>
          <w:szCs w:val="24"/>
        </w:rPr>
        <w:t xml:space="preserve"> cost leadership, </w:t>
      </w:r>
      <w:r w:rsidR="000F7DAA" w:rsidRPr="00A3505C">
        <w:rPr>
          <w:rFonts w:ascii="Times New Roman" w:hAnsi="Times New Roman" w:cs="Times New Roman" w:hint="eastAsia"/>
          <w:sz w:val="24"/>
          <w:szCs w:val="24"/>
        </w:rPr>
        <w:t>focusing on</w:t>
      </w:r>
      <w:r w:rsidR="000F7DAA" w:rsidRPr="00A3505C">
        <w:rPr>
          <w:rFonts w:ascii="Times New Roman" w:hAnsi="Times New Roman" w:cs="Times New Roman"/>
          <w:sz w:val="24"/>
          <w:szCs w:val="24"/>
        </w:rPr>
        <w:t xml:space="preserve"> operational efficiency, competitive pricing, procurement, and production</w:t>
      </w:r>
      <w:r w:rsidR="000F7DAA" w:rsidRPr="00A3505C">
        <w:rPr>
          <w:rFonts w:ascii="Times New Roman" w:hAnsi="Times New Roman" w:cs="Times New Roman" w:hint="eastAsia"/>
          <w:sz w:val="24"/>
          <w:szCs w:val="24"/>
        </w:rPr>
        <w:t xml:space="preserve"> </w:t>
      </w:r>
      <w:r w:rsidR="000F7DAA" w:rsidRPr="00A3505C">
        <w:rPr>
          <w:rFonts w:ascii="Times New Roman" w:hAnsi="Times New Roman" w:cs="Times New Roman"/>
          <w:sz w:val="24"/>
          <w:szCs w:val="24"/>
        </w:rPr>
        <w:t xml:space="preserve">improvement </w:t>
      </w:r>
      <w:r w:rsidR="000F7DAA" w:rsidRPr="00A3505C">
        <w:rPr>
          <w:rFonts w:ascii="Times New Roman" w:hAnsi="Times New Roman" w:cs="Times New Roman"/>
          <w:sz w:val="24"/>
          <w:szCs w:val="24"/>
        </w:rPr>
        <w:fldChar w:fldCharType="begin">
          <w:fldData xml:space="preserve">PEVuZE5vdGU+PENpdGU+PEF1dGhvcj5Qb3J0ZXI8L0F1dGhvcj48WWVhcj4xOTgwPC9ZZWFyPjxS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</w:fldData>
        </w:fldChar>
      </w:r>
      <w:r w:rsidR="000F7DAA" w:rsidRPr="00A3505C">
        <w:rPr>
          <w:rFonts w:ascii="Times New Roman" w:hAnsi="Times New Roman" w:cs="Times New Roman"/>
          <w:sz w:val="24"/>
          <w:szCs w:val="24"/>
        </w:rPr>
        <w:instrText xml:space="preserve"> ADDIN EN.CITE </w:instrText>
      </w:r>
      <w:r w:rsidR="000F7DAA" w:rsidRPr="00A3505C">
        <w:rPr>
          <w:rFonts w:ascii="Times New Roman" w:hAnsi="Times New Roman" w:cs="Times New Roman"/>
          <w:sz w:val="24"/>
          <w:szCs w:val="24"/>
        </w:rPr>
        <w:fldChar w:fldCharType="begin">
          <w:fldData xml:space="preserve">PEVuZE5vdGU+PENpdGU+PEF1dGhvcj5Qb3J0ZXI8L0F1dGhvcj48WWVhcj4xOTgwPC9ZZWFyPjxS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</w:fldData>
        </w:fldChar>
      </w:r>
      <w:r w:rsidR="000F7DAA" w:rsidRPr="00A3505C">
        <w:rPr>
          <w:rFonts w:ascii="Times New Roman" w:hAnsi="Times New Roman" w:cs="Times New Roman"/>
          <w:sz w:val="24"/>
          <w:szCs w:val="24"/>
        </w:rPr>
        <w:instrText xml:space="preserve"> ADDIN EN.CITE.DATA </w:instrText>
      </w:r>
      <w:r w:rsidR="000F7DAA" w:rsidRPr="00A3505C">
        <w:rPr>
          <w:rFonts w:ascii="Times New Roman" w:hAnsi="Times New Roman" w:cs="Times New Roman"/>
          <w:sz w:val="24"/>
          <w:szCs w:val="24"/>
        </w:rPr>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sz w:val="24"/>
          <w:szCs w:val="24"/>
        </w:rPr>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(Porter, 1980; Devaraj</w:t>
      </w:r>
      <w:r w:rsidR="000F7DAA" w:rsidRPr="00A3505C">
        <w:rPr>
          <w:rFonts w:ascii="Times New Roman" w:hAnsi="Times New Roman" w:cs="Times New Roman"/>
          <w:i/>
          <w:noProof/>
          <w:sz w:val="24"/>
          <w:szCs w:val="24"/>
        </w:rPr>
        <w:t xml:space="preserve"> et al.</w:t>
      </w:r>
      <w:r w:rsidR="000F7DAA" w:rsidRPr="00A3505C">
        <w:rPr>
          <w:rFonts w:ascii="Times New Roman" w:hAnsi="Times New Roman" w:cs="Times New Roman"/>
          <w:noProof/>
          <w:sz w:val="24"/>
          <w:szCs w:val="24"/>
        </w:rPr>
        <w:t>, 2004)</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hint="eastAsia"/>
          <w:sz w:val="24"/>
          <w:szCs w:val="24"/>
        </w:rPr>
        <w:t>, or</w:t>
      </w:r>
      <w:r w:rsidR="000F7DAA" w:rsidRPr="00A3505C">
        <w:rPr>
          <w:rFonts w:ascii="Times New Roman" w:hAnsi="Times New Roman" w:cs="Times New Roman"/>
          <w:sz w:val="24"/>
          <w:szCs w:val="24"/>
        </w:rPr>
        <w:t xml:space="preserve"> differentiation</w:t>
      </w:r>
      <w:r w:rsidR="000F7DAA" w:rsidRPr="00A3505C">
        <w:rPr>
          <w:rFonts w:ascii="Times New Roman" w:hAnsi="Times New Roman" w:cs="Times New Roman" w:hint="eastAsia"/>
          <w:sz w:val="24"/>
          <w:szCs w:val="24"/>
        </w:rPr>
        <w:t>,</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hint="eastAsia"/>
          <w:sz w:val="24"/>
          <w:szCs w:val="24"/>
        </w:rPr>
        <w:t>offering unique</w:t>
      </w:r>
      <w:r w:rsidR="000F7DAA" w:rsidRPr="00A3505C">
        <w:rPr>
          <w:rFonts w:ascii="Times New Roman" w:hAnsi="Times New Roman" w:cs="Times New Roman"/>
          <w:sz w:val="24"/>
          <w:szCs w:val="24"/>
        </w:rPr>
        <w:t xml:space="preserve"> products or services </w:t>
      </w:r>
      <w:r w:rsidR="000F7DAA" w:rsidRPr="00A3505C">
        <w:rPr>
          <w:rFonts w:ascii="Times New Roman" w:hAnsi="Times New Roman" w:cs="Times New Roman" w:hint="eastAsia"/>
          <w:sz w:val="24"/>
          <w:szCs w:val="24"/>
        </w:rPr>
        <w:t>features that</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hint="eastAsia"/>
          <w:sz w:val="24"/>
          <w:szCs w:val="24"/>
        </w:rPr>
        <w:t>justify premium pricing</w:t>
      </w:r>
      <w:r w:rsidR="000F7DAA" w:rsidRPr="00A3505C">
        <w:rPr>
          <w:rFonts w:ascii="Times New Roman" w:hAnsi="Times New Roman" w:cs="Times New Roman"/>
          <w:sz w:val="24"/>
          <w:szCs w:val="24"/>
        </w:rPr>
        <w:t xml:space="preserve"> </w:t>
      </w:r>
      <w:r w:rsidR="000F7DAA" w:rsidRPr="00A3505C">
        <w:rPr>
          <w:rFonts w:ascii="Times New Roman" w:hAnsi="Times New Roman" w:cs="Times New Roman"/>
          <w:sz w:val="24"/>
          <w:szCs w:val="24"/>
        </w:rPr>
        <w:fldChar w:fldCharType="begin"/>
      </w:r>
      <w:r w:rsidR="000F7DAA" w:rsidRPr="00A3505C">
        <w:rPr>
          <w:rFonts w:ascii="Times New Roman" w:hAnsi="Times New Roman" w:cs="Times New Roman"/>
          <w:sz w:val="24"/>
          <w:szCs w:val="24"/>
        </w:rPr>
        <w:instrText xml:space="preserve"> ADDIN EN.CITE &lt;EndNote&gt;&lt;Cite&gt;&lt;Author&gt;Dess&lt;/Author&gt;&lt;Year&gt;1984&lt;/Year&gt;&lt;RecNum&gt;9034&lt;/RecNum&gt;&lt;DisplayText&gt;(Dess and Davis, 1984)&lt;/DisplayText&gt;&lt;record&gt;&lt;rec-number&gt;9034&lt;/rec-number&gt;&lt;foreign-keys&gt;&lt;key app="EN" db-id="tt95vv9zf20xf0ewve7x0fsl990xeeasafzs" timestamp="1709348379"&gt;9034&lt;/key&gt;&lt;/foreign-keys&gt;&lt;ref-type name="Journal Article"&gt;17&lt;/ref-type&gt;&lt;contributors&gt;&lt;authors&gt;&lt;author&gt;Dess, Gregory G.&lt;/author&gt;&lt;author&gt;Davis, Peter S.&lt;/author&gt;&lt;/authors&gt;&lt;/contributors&gt;&lt;titles&gt;&lt;title&gt;Porter’s (1980) generic strategies as determinants of strategic group membership and organizational performance&lt;/title&gt;&lt;secondary-title&gt;Academy of Management Journal&lt;/secondary-title&gt;&lt;/titles&gt;&lt;periodical&gt;&lt;full-title&gt;Academy of Management Journal&lt;/full-title&gt;&lt;abbr-1&gt;Acad. Manag. J.&lt;/abbr-1&gt;&lt;/periodical&gt;&lt;pages&gt;467-488&lt;/pages&gt;&lt;volume&gt;27&lt;/volume&gt;&lt;number&gt;3&lt;/number&gt;&lt;dates&gt;&lt;year&gt;1984&lt;/year&gt;&lt;/dates&gt;&lt;urls&gt;&lt;related-urls&gt;&lt;url&gt;https://www.jstor.org/stable/256040&lt;/url&gt;&lt;/related-urls&gt;&lt;/urls&gt;&lt;/record&gt;&lt;/Cite&gt;&lt;/EndNote&gt;</w:instrText>
      </w:r>
      <w:r w:rsidR="000F7DAA" w:rsidRPr="00A3505C">
        <w:rPr>
          <w:rFonts w:ascii="Times New Roman" w:hAnsi="Times New Roman" w:cs="Times New Roman"/>
          <w:sz w:val="24"/>
          <w:szCs w:val="24"/>
        </w:rPr>
        <w:fldChar w:fldCharType="separate"/>
      </w:r>
      <w:r w:rsidR="000F7DAA" w:rsidRPr="00A3505C">
        <w:rPr>
          <w:rFonts w:ascii="Times New Roman" w:hAnsi="Times New Roman" w:cs="Times New Roman"/>
          <w:noProof/>
          <w:sz w:val="24"/>
          <w:szCs w:val="24"/>
        </w:rPr>
        <w:t>(Dess and Davis, 1984)</w:t>
      </w:r>
      <w:r w:rsidR="000F7DAA" w:rsidRPr="00A3505C">
        <w:rPr>
          <w:rFonts w:ascii="Times New Roman" w:hAnsi="Times New Roman" w:cs="Times New Roman"/>
          <w:sz w:val="24"/>
          <w:szCs w:val="24"/>
        </w:rPr>
        <w:fldChar w:fldCharType="end"/>
      </w:r>
      <w:r w:rsidR="000F7DAA" w:rsidRPr="00A3505C">
        <w:rPr>
          <w:rFonts w:ascii="Times New Roman" w:hAnsi="Times New Roman" w:cs="Times New Roman"/>
          <w:sz w:val="24"/>
          <w:szCs w:val="24"/>
        </w:rPr>
        <w:t>.</w:t>
      </w:r>
      <w:r w:rsidR="00E67C61" w:rsidRPr="00A3505C">
        <w:rPr>
          <w:rFonts w:ascii="Times New Roman" w:hAnsi="Times New Roman" w:cs="Times New Roman" w:hint="eastAsia"/>
          <w:sz w:val="24"/>
          <w:szCs w:val="24"/>
        </w:rPr>
        <w:t xml:space="preserve"> </w:t>
      </w:r>
      <w:r w:rsidR="001B690B" w:rsidRPr="00A3505C">
        <w:rPr>
          <w:rFonts w:ascii="Times New Roman" w:hAnsi="Times New Roman" w:cs="Times New Roman" w:hint="eastAsia"/>
          <w:sz w:val="24"/>
          <w:szCs w:val="24"/>
        </w:rPr>
        <w:t>T</w:t>
      </w:r>
      <w:r w:rsidR="00E67C61" w:rsidRPr="00A3505C">
        <w:rPr>
          <w:rFonts w:ascii="Times New Roman" w:hAnsi="Times New Roman" w:cs="Times New Roman" w:hint="eastAsia"/>
          <w:sz w:val="24"/>
          <w:szCs w:val="24"/>
        </w:rPr>
        <w:t xml:space="preserve">here </w:t>
      </w:r>
      <w:r w:rsidR="00A550A2" w:rsidRPr="00A3505C">
        <w:rPr>
          <w:rFonts w:ascii="Times New Roman" w:hAnsi="Times New Roman" w:cs="Times New Roman" w:hint="eastAsia"/>
          <w:sz w:val="24"/>
          <w:szCs w:val="24"/>
        </w:rPr>
        <w:t>may be some</w:t>
      </w:r>
      <w:r w:rsidR="00E67C61" w:rsidRPr="00A3505C">
        <w:rPr>
          <w:rFonts w:ascii="Times New Roman" w:hAnsi="Times New Roman" w:cs="Times New Roman" w:hint="eastAsia"/>
          <w:sz w:val="24"/>
          <w:szCs w:val="24"/>
        </w:rPr>
        <w:t xml:space="preserve"> n</w:t>
      </w:r>
      <w:r w:rsidR="00E67C61" w:rsidRPr="00A3505C">
        <w:rPr>
          <w:rFonts w:ascii="Times New Roman" w:hAnsi="Times New Roman" w:cs="Times New Roman"/>
          <w:sz w:val="24"/>
          <w:szCs w:val="24"/>
        </w:rPr>
        <w:t xml:space="preserve">either-nor-oriented firms </w:t>
      </w:r>
      <w:r w:rsidR="00832153" w:rsidRPr="00A3505C">
        <w:rPr>
          <w:rFonts w:ascii="Times New Roman" w:hAnsi="Times New Roman" w:cs="Times New Roman"/>
          <w:sz w:val="24"/>
          <w:szCs w:val="24"/>
        </w:rPr>
        <w:t>that</w:t>
      </w:r>
      <w:r w:rsidR="00832153" w:rsidRPr="00A3505C">
        <w:rPr>
          <w:rFonts w:ascii="Times New Roman" w:hAnsi="Times New Roman" w:cs="Times New Roman" w:hint="eastAsia"/>
          <w:sz w:val="24"/>
          <w:szCs w:val="24"/>
        </w:rPr>
        <w:t xml:space="preserve"> </w:t>
      </w:r>
      <w:r w:rsidR="00802EBF" w:rsidRPr="00A3505C">
        <w:rPr>
          <w:rFonts w:ascii="Times New Roman" w:hAnsi="Times New Roman" w:cs="Times New Roman"/>
          <w:sz w:val="24"/>
          <w:szCs w:val="24"/>
        </w:rPr>
        <w:t>prioritize</w:t>
      </w:r>
      <w:r w:rsidR="00802EBF" w:rsidRPr="00A3505C">
        <w:rPr>
          <w:rFonts w:ascii="Times New Roman" w:hAnsi="Times New Roman" w:cs="Times New Roman" w:hint="eastAsia"/>
          <w:sz w:val="24"/>
          <w:szCs w:val="24"/>
        </w:rPr>
        <w:t xml:space="preserve"> neither strategy and </w:t>
      </w:r>
      <w:r w:rsidR="00B96241" w:rsidRPr="00A3505C">
        <w:rPr>
          <w:rFonts w:ascii="Times New Roman" w:hAnsi="Times New Roman" w:cs="Times New Roman"/>
          <w:sz w:val="24"/>
          <w:szCs w:val="24"/>
        </w:rPr>
        <w:t>tend to possess neither a strongly VRIN nor a particularly versatile resource configuration</w:t>
      </w:r>
      <w:r w:rsidR="00B96241" w:rsidRPr="00A3505C">
        <w:rPr>
          <w:rFonts w:ascii="Times New Roman" w:hAnsi="Times New Roman" w:cs="Times New Roman" w:hint="eastAsia"/>
          <w:sz w:val="24"/>
          <w:szCs w:val="24"/>
        </w:rPr>
        <w:t xml:space="preserve">. </w:t>
      </w:r>
    </w:p>
    <w:p w14:paraId="195059BD" w14:textId="10DF79D3"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Al</w:t>
      </w:r>
      <w:r w:rsidRPr="00A3505C">
        <w:rPr>
          <w:rFonts w:ascii="Times New Roman" w:hAnsi="Times New Roman" w:cs="Times New Roman"/>
          <w:sz w:val="24"/>
          <w:szCs w:val="24"/>
        </w:rPr>
        <w:t>though tensions exist</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between growth- and profit-oriented strategies,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strategic orientation is </w:t>
      </w:r>
      <w:r w:rsidRPr="00A3505C">
        <w:rPr>
          <w:rFonts w:ascii="Times New Roman" w:hAnsi="Times New Roman" w:cs="Times New Roman" w:hint="eastAsia"/>
          <w:sz w:val="24"/>
          <w:szCs w:val="24"/>
        </w:rPr>
        <w:t>inherently</w:t>
      </w:r>
      <w:r w:rsidRPr="00A3505C">
        <w:rPr>
          <w:rFonts w:ascii="Times New Roman" w:hAnsi="Times New Roman" w:cs="Times New Roman"/>
          <w:sz w:val="24"/>
          <w:szCs w:val="24"/>
        </w:rPr>
        <w:t xml:space="preserve"> dynamic</w:t>
      </w:r>
      <w:r w:rsidRPr="00A3505C">
        <w:rPr>
          <w:rFonts w:ascii="Times New Roman" w:hAnsi="Times New Roman" w:cs="Times New Roman" w:hint="eastAsia"/>
          <w:sz w:val="24"/>
          <w:szCs w:val="24"/>
        </w:rPr>
        <w:t xml:space="preserve">, allowing firms to adjust in response to </w:t>
      </w:r>
      <w:r w:rsidR="00841587" w:rsidRPr="00A3505C">
        <w:rPr>
          <w:rFonts w:ascii="Times New Roman" w:hAnsi="Times New Roman" w:cs="Times New Roman"/>
          <w:sz w:val="24"/>
          <w:szCs w:val="24"/>
        </w:rPr>
        <w:t>environmental</w:t>
      </w:r>
      <w:r w:rsidR="00841587" w:rsidRPr="00A3505C">
        <w:rPr>
          <w:rFonts w:ascii="Times New Roman" w:hAnsi="Times New Roman" w:cs="Times New Roman" w:hint="eastAsia"/>
          <w:sz w:val="24"/>
          <w:szCs w:val="24"/>
        </w:rPr>
        <w:t xml:space="preserve"> </w:t>
      </w:r>
      <w:r w:rsidRPr="00A3505C">
        <w:rPr>
          <w:rFonts w:ascii="Times New Roman" w:hAnsi="Times New Roman" w:cs="Times New Roman" w:hint="eastAsia"/>
          <w:sz w:val="24"/>
          <w:szCs w:val="24"/>
        </w:rPr>
        <w:t>changes</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&lt;EndNote&gt;&lt;Cite&gt;&lt;Author&gt;Dobni&lt;/Author&gt;&lt;Year&gt;2003&lt;/Year&gt;&lt;RecNum&gt;10116&lt;/RecNum&gt;&lt;DisplayText&gt;(Dobni and Luffman, 2003)&lt;/DisplayText&gt;&lt;record&gt;&lt;rec-number&gt;10116&lt;/rec-number&gt;&lt;foreign-keys&gt;&lt;key app="EN" db-id="tt95vv9zf20xf0ewve7x0fsl990xeeasafzs" timestamp="1728395965"&gt;10116&lt;/key&gt;&lt;/foreign-keys&gt;&lt;ref-type name="Journal Article"&gt;17&lt;/ref-type&gt;&lt;contributors&gt;&lt;authors&gt;&lt;author&gt;Dobni, C. Brooke&lt;/author&gt;&lt;author&gt;Luffman, George&lt;/author&gt;&lt;/authors&gt;&lt;/contributors&gt;&lt;titles&gt;&lt;title&gt;Determining the scope and impact of market orientation profiles on strategy implementation and performance&lt;/title&gt;&lt;secondary-title&gt;Strategic Management Journal&lt;/secondary-title&gt;&lt;/titles&gt;&lt;periodical&gt;&lt;full-title&gt;Strategic Management Journal&lt;/full-title&gt;&lt;abbr-1&gt;Strateg. Manag. J.&lt;/abbr-1&gt;&lt;/periodical&gt;&lt;pages&gt;577-585&lt;/pages&gt;&lt;volume&gt;24&lt;/volume&gt;&lt;number&gt;6&lt;/number&gt;&lt;section&gt;577&lt;/section&gt;&lt;dates&gt;&lt;year&gt;2003&lt;/year&gt;&lt;/dates&gt;&lt;isbn&gt;0143-2095&amp;#xD;1097-0266&lt;/isbn&gt;&lt;urls&gt;&lt;/urls&gt;&lt;electronic-resource-num&gt;10.1002/smj.322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(Dobni and Luffman, 2003)</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A</w:t>
      </w:r>
      <w:r w:rsidRPr="00A3505C">
        <w:rPr>
          <w:rFonts w:ascii="Times New Roman" w:hAnsi="Times New Roman" w:cs="Times New Roman"/>
          <w:sz w:val="24"/>
          <w:szCs w:val="24"/>
        </w:rPr>
        <w:t xml:space="preserve"> profit orientation does not </w:t>
      </w:r>
      <w:r w:rsidRPr="00A3505C">
        <w:rPr>
          <w:rFonts w:ascii="Times New Roman" w:hAnsi="Times New Roman" w:cs="Times New Roman" w:hint="eastAsia"/>
          <w:sz w:val="24"/>
          <w:szCs w:val="24"/>
        </w:rPr>
        <w:t>preclude growth</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 xml:space="preserve">nor does a growth orientation preclude </w:t>
      </w:r>
      <w:r w:rsidRPr="00A3505C">
        <w:rPr>
          <w:rFonts w:ascii="Times New Roman" w:hAnsi="Times New Roman" w:cs="Times New Roman"/>
          <w:sz w:val="24"/>
          <w:szCs w:val="24"/>
        </w:rPr>
        <w:t xml:space="preserve">profitability. For instance, profit-oriented firms </w:t>
      </w:r>
      <w:r w:rsidRPr="00A3505C">
        <w:rPr>
          <w:rFonts w:ascii="Times New Roman" w:hAnsi="Times New Roman" w:cs="Times New Roman" w:hint="eastAsia"/>
          <w:sz w:val="24"/>
          <w:szCs w:val="24"/>
        </w:rPr>
        <w:t>can</w:t>
      </w:r>
      <w:r w:rsidRPr="00A3505C">
        <w:rPr>
          <w:rFonts w:ascii="Times New Roman" w:hAnsi="Times New Roman" w:cs="Times New Roman"/>
          <w:sz w:val="24"/>
          <w:szCs w:val="24"/>
        </w:rPr>
        <w:t xml:space="preserve"> accumulate resources to </w:t>
      </w:r>
      <w:r w:rsidRPr="00A3505C">
        <w:rPr>
          <w:rFonts w:ascii="Times New Roman" w:hAnsi="Times New Roman" w:cs="Times New Roman" w:hint="eastAsia"/>
          <w:sz w:val="24"/>
          <w:szCs w:val="24"/>
        </w:rPr>
        <w:t>support</w:t>
      </w:r>
      <w:r w:rsidRPr="00A3505C">
        <w:rPr>
          <w:rFonts w:ascii="Times New Roman" w:hAnsi="Times New Roman" w:cs="Times New Roman"/>
          <w:sz w:val="24"/>
          <w:szCs w:val="24"/>
        </w:rPr>
        <w:t xml:space="preserve"> long-term growth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&lt;EndNote&gt;&lt;Cite&gt;&lt;Author&gt;Yuan&lt;/Author&gt;&lt;Year&gt;2021&lt;/Year&gt;&lt;RecNum&gt;9006&lt;/RecNum&gt;&lt;DisplayText&gt;(Yuan and Nishant, 2021)&lt;/DisplayText&gt;&lt;record&gt;&lt;rec-number&gt;9006&lt;/rec-number&gt;&lt;foreign-keys&gt;&lt;key app="EN" db-id="tt95vv9zf20xf0ewve7x0fsl990xeeasafzs" timestamp="1708923806"&gt;9006&lt;/key&gt;&lt;/foreign-keys&gt;&lt;ref-type name="Journal Article"&gt;17&lt;/ref-type&gt;&lt;contributors&gt;&lt;authors&gt;&lt;author&gt;Yuan, Xuchuan&lt;/author&gt;&lt;author&gt;Nishant, Rohit&lt;/author&gt;&lt;/authors&gt;&lt;/contributors&gt;&lt;titles&gt;&lt;title&gt;Understanding the complex relationship between R&amp;amp;D investment and firm growth: A chaos perspective&lt;/title&gt;&lt;secondary-title&gt;Journal of Business Research&lt;/secondary-title&gt;&lt;/titles&gt;&lt;periodical&gt;&lt;full-title&gt;Journal of Business Research&lt;/full-title&gt;&lt;abbr-1&gt;J. Bus. Res.&lt;/abbr-1&gt;&lt;/periodical&gt;&lt;pages&gt;666-678&lt;/pages&gt;&lt;volume&gt;129&lt;/volume&gt;&lt;section&gt;666&lt;/section&gt;&lt;dates&gt;&lt;year&gt;2021&lt;/year&gt;&lt;/dates&gt;&lt;isbn&gt;01482963&lt;/isbn&gt;&lt;urls&gt;&lt;/urls&gt;&lt;electronic-resource-num&gt;10.1016/j.jbusres.2019.11.043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(Yuan and Nishant, 2021)</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while</w:t>
      </w:r>
      <w:r w:rsidRPr="00A3505C">
        <w:rPr>
          <w:rFonts w:ascii="Times New Roman" w:hAnsi="Times New Roman" w:cs="Times New Roman"/>
          <w:sz w:val="24"/>
          <w:szCs w:val="24"/>
        </w:rPr>
        <w:t xml:space="preserve"> growth </w:t>
      </w:r>
      <w:r w:rsidRPr="00A3505C">
        <w:rPr>
          <w:rFonts w:ascii="Times New Roman" w:hAnsi="Times New Roman" w:cs="Times New Roman" w:hint="eastAsia"/>
          <w:sz w:val="24"/>
          <w:szCs w:val="24"/>
        </w:rPr>
        <w:t>can</w:t>
      </w:r>
      <w:r w:rsidRPr="00A3505C">
        <w:rPr>
          <w:rFonts w:ascii="Times New Roman" w:hAnsi="Times New Roman" w:cs="Times New Roman"/>
          <w:sz w:val="24"/>
          <w:szCs w:val="24"/>
        </w:rPr>
        <w:t xml:space="preserve"> enhanc</w:t>
      </w:r>
      <w:r w:rsidRPr="00A3505C">
        <w:rPr>
          <w:rFonts w:ascii="Times New Roman" w:hAnsi="Times New Roman" w:cs="Times New Roman" w:hint="eastAsia"/>
          <w:sz w:val="24"/>
          <w:szCs w:val="24"/>
        </w:rPr>
        <w:t>e</w:t>
      </w:r>
      <w:r w:rsidRPr="00A3505C">
        <w:rPr>
          <w:rFonts w:ascii="Times New Roman" w:hAnsi="Times New Roman" w:cs="Times New Roman"/>
          <w:sz w:val="24"/>
          <w:szCs w:val="24"/>
        </w:rPr>
        <w:t xml:space="preserve"> profitability</w:t>
      </w:r>
      <w:r w:rsidRPr="00A3505C">
        <w:rPr>
          <w:rFonts w:ascii="Times New Roman" w:hAnsi="Times New Roman" w:cs="Times New Roman" w:hint="eastAsia"/>
          <w:sz w:val="24"/>
          <w:szCs w:val="24"/>
        </w:rPr>
        <w:t xml:space="preserve"> through </w:t>
      </w:r>
      <w:r w:rsidRPr="00A3505C">
        <w:rPr>
          <w:rFonts w:ascii="Times New Roman" w:hAnsi="Times New Roman" w:cs="Times New Roman"/>
          <w:sz w:val="24"/>
          <w:szCs w:val="24"/>
        </w:rPr>
        <w:t xml:space="preserve">economies of scale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&lt;EndNote&gt;&lt;Cite&gt;&lt;Author&gt;Steffens&lt;/Author&gt;&lt;Year&gt;2009&lt;/Year&gt;&lt;RecNum&gt;9011&lt;/RecNum&gt;&lt;DisplayText&gt;(Steffens&lt;style face="italic"&gt; et al.&lt;/style&gt;, 2009)&lt;/DisplayText&gt;&lt;record&gt;&lt;rec-number&gt;9011&lt;/rec-number&gt;&lt;foreign-keys&gt;&lt;key app="EN" db-id="tt95vv9zf20xf0ewve7x0fsl990xeeasafzs" timestamp="1708927869"&gt;9011&lt;/key&gt;&lt;/foreign-keys&gt;&lt;ref-type name="Journal Article"&gt;17&lt;/ref-type&gt;&lt;contributors&gt;&lt;authors&gt;&lt;author&gt;Steffens, Paul&lt;/author&gt;&lt;author&gt;Davidsson, Per&lt;/author&gt;&lt;author&gt;Fitzsimmons, Jason&lt;/author&gt;&lt;/authors&gt;&lt;/contributors&gt;&lt;titles&gt;&lt;title&gt;Performance configurations over time: Implications for growth- and profit-oriented strategies&lt;/title&gt;&lt;secondary-title&gt;Entrepreneurship Theory and Practice&lt;/secondary-title&gt;&lt;/titles&gt;&lt;periodical&gt;&lt;full-title&gt;Entrepreneurship Theory and Practice&lt;/full-title&gt;&lt;/periodical&gt;&lt;pages&gt;125-148&lt;/pages&gt;&lt;volume&gt;33&lt;/volume&gt;&lt;number&gt;1&lt;/number&gt;&lt;dates&gt;&lt;year&gt;2009&lt;/year&gt;&lt;/dates&gt;&lt;urls&gt;&lt;/urls&gt;&lt;electronic-resource-num&gt;10.1111/j.1540-6520.2008.00283.x&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(Steffens</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2009)</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Firms may also pursue a balanced approach, allocating resources to simultaneously support both growth and profit, or, in some cases, prioritize neither strategy.</w:t>
      </w:r>
    </w:p>
    <w:p w14:paraId="3A8F707E" w14:textId="77E19E66" w:rsidR="000F7DAA" w:rsidRPr="00FB24D3" w:rsidRDefault="000F7DAA" w:rsidP="00FB24D3">
      <w:pPr>
        <w:adjustRightInd w:val="0"/>
        <w:snapToGrid w:val="0"/>
        <w:spacing w:after="120" w:line="360" w:lineRule="auto"/>
        <w:ind w:firstLine="425"/>
        <w:jc w:val="both"/>
        <w:rPr>
          <w:rFonts w:ascii="Times New Roman" w:hAnsi="Times New Roman" w:cs="Times New Roman"/>
          <w:color w:val="FF0000"/>
          <w:sz w:val="24"/>
          <w:szCs w:val="24"/>
        </w:rPr>
      </w:pPr>
      <w:r w:rsidRPr="00712FF7">
        <w:rPr>
          <w:rFonts w:ascii="Times New Roman" w:hAnsi="Times New Roman" w:cs="Times New Roman" w:hint="eastAsia"/>
          <w:sz w:val="24"/>
          <w:szCs w:val="24"/>
        </w:rPr>
        <w:t xml:space="preserve">The simultaneous pursuit of </w:t>
      </w:r>
      <w:r w:rsidRPr="00712FF7">
        <w:rPr>
          <w:rFonts w:ascii="Times New Roman" w:hAnsi="Times New Roman" w:cs="Times New Roman"/>
          <w:sz w:val="24"/>
          <w:szCs w:val="24"/>
        </w:rPr>
        <w:t xml:space="preserve">multiple strategies </w:t>
      </w:r>
      <w:r w:rsidRPr="00712FF7">
        <w:rPr>
          <w:rFonts w:ascii="Times New Roman" w:hAnsi="Times New Roman" w:cs="Times New Roman" w:hint="eastAsia"/>
          <w:sz w:val="24"/>
          <w:szCs w:val="24"/>
        </w:rPr>
        <w:t>is often</w:t>
      </w:r>
      <w:r w:rsidRPr="00712FF7">
        <w:rPr>
          <w:rFonts w:ascii="Times New Roman" w:hAnsi="Times New Roman" w:cs="Times New Roman"/>
          <w:sz w:val="24"/>
          <w:szCs w:val="24"/>
        </w:rPr>
        <w:t xml:space="preserve"> constrained by resource availability </w:t>
      </w:r>
      <w:r w:rsidRPr="00712FF7">
        <w:rPr>
          <w:rFonts w:ascii="Times New Roman" w:hAnsi="Times New Roman" w:cs="Times New Roman"/>
          <w:sz w:val="24"/>
          <w:szCs w:val="24"/>
        </w:rPr>
        <w:fldChar w:fldCharType="begin"/>
      </w:r>
      <w:r w:rsidRPr="00712FF7">
        <w:rPr>
          <w:rFonts w:ascii="Times New Roman" w:hAnsi="Times New Roman" w:cs="Times New Roman"/>
          <w:sz w:val="24"/>
          <w:szCs w:val="24"/>
        </w:rPr>
        <w:instrText xml:space="preserve"> ADDIN EN.CITE &lt;EndNote&gt;&lt;Cite&gt;&lt;Author&gt;Zhou&lt;/Author&gt;&lt;Year&gt;2005&lt;/Year&gt;&lt;RecNum&gt;9001&lt;/RecNum&gt;&lt;DisplayText&gt;(Zhou&lt;style face="italic"&gt; et al.&lt;/style&gt;, 2005)&lt;/DisplayText&gt;&lt;record&gt;&lt;rec-number&gt;9001&lt;/rec-number&gt;&lt;foreign-keys&gt;&lt;key app="EN" db-id="tt95vv9zf20xf0ewve7x0fsl990xeeasafzs" timestamp="1708870411"&gt;9001&lt;/key&gt;&lt;/foreign-keys&gt;&lt;ref-type name="Journal Article"&gt;17&lt;/ref-type&gt;&lt;contributors&gt;&lt;authors&gt;&lt;author&gt;Zhou, Kevin Zheng&lt;/author&gt;&lt;author&gt;Yim, Chi Kin (Bennett)&lt;/author&gt;&lt;author&gt;Tse, David K.&lt;/author&gt;&lt;/authors&gt;&lt;/contributors&gt;&lt;titles&gt;&lt;title&gt;The effects of strategic orientations on technology- and market-based breakthrough innovations&lt;/title&gt;&lt;secondary-title&gt;Journal of Marketing&lt;/secondary-title&gt;&lt;/titles&gt;&lt;periodical&gt;&lt;full-title&gt;Journal of Marketing&lt;/full-title&gt;&lt;/periodical&gt;&lt;pages&gt;42-60&lt;/pages&gt;&lt;volume&gt;69&lt;/volume&gt;&lt;number&gt;2&lt;/number&gt;&lt;dates&gt;&lt;year&gt;2005&lt;/year&gt;&lt;/dates&gt;&lt;urls&gt;&lt;/urls&gt;&lt;electronic-resource-num&gt;10.1509/jmkg.69.2.42.60&lt;/electronic-resource-num&gt;&lt;/record&gt;&lt;/Cite&gt;&lt;/EndNote&gt;</w:instrText>
      </w:r>
      <w:r w:rsidRPr="00712FF7">
        <w:rPr>
          <w:rFonts w:ascii="Times New Roman" w:hAnsi="Times New Roman" w:cs="Times New Roman"/>
          <w:sz w:val="24"/>
          <w:szCs w:val="24"/>
        </w:rPr>
        <w:fldChar w:fldCharType="separate"/>
      </w:r>
      <w:r w:rsidRPr="00712FF7">
        <w:rPr>
          <w:rFonts w:ascii="Times New Roman" w:hAnsi="Times New Roman" w:cs="Times New Roman"/>
          <w:noProof/>
          <w:sz w:val="24"/>
          <w:szCs w:val="24"/>
        </w:rPr>
        <w:t>(Zhou</w:t>
      </w:r>
      <w:r w:rsidRPr="00712FF7">
        <w:rPr>
          <w:rFonts w:ascii="Times New Roman" w:hAnsi="Times New Roman" w:cs="Times New Roman"/>
          <w:i/>
          <w:noProof/>
          <w:sz w:val="24"/>
          <w:szCs w:val="24"/>
        </w:rPr>
        <w:t xml:space="preserve"> et al.</w:t>
      </w:r>
      <w:r w:rsidRPr="00712FF7">
        <w:rPr>
          <w:rFonts w:ascii="Times New Roman" w:hAnsi="Times New Roman" w:cs="Times New Roman"/>
          <w:noProof/>
          <w:sz w:val="24"/>
          <w:szCs w:val="24"/>
        </w:rPr>
        <w:t>, 2005)</w:t>
      </w:r>
      <w:r w:rsidRPr="00712FF7">
        <w:rPr>
          <w:rFonts w:ascii="Times New Roman" w:hAnsi="Times New Roman" w:cs="Times New Roman"/>
          <w:sz w:val="24"/>
          <w:szCs w:val="24"/>
        </w:rPr>
        <w:fldChar w:fldCharType="end"/>
      </w:r>
      <w:r w:rsidRPr="00712FF7">
        <w:rPr>
          <w:rFonts w:ascii="Times New Roman" w:hAnsi="Times New Roman" w:cs="Times New Roman" w:hint="eastAsia"/>
          <w:sz w:val="24"/>
          <w:szCs w:val="24"/>
        </w:rPr>
        <w:t xml:space="preserve">, creating inherent </w:t>
      </w:r>
      <w:r w:rsidRPr="00712FF7">
        <w:rPr>
          <w:rFonts w:ascii="Times New Roman" w:hAnsi="Times New Roman" w:cs="Times New Roman"/>
          <w:sz w:val="24"/>
          <w:szCs w:val="24"/>
        </w:rPr>
        <w:t xml:space="preserve">tensions between growth and profit </w:t>
      </w:r>
      <w:r w:rsidRPr="00712FF7">
        <w:rPr>
          <w:rFonts w:ascii="Times New Roman" w:hAnsi="Times New Roman" w:cs="Times New Roman"/>
          <w:sz w:val="24"/>
          <w:szCs w:val="24"/>
        </w:rPr>
        <w:fldChar w:fldCharType="begin"/>
      </w:r>
      <w:r w:rsidRPr="00712FF7">
        <w:rPr>
          <w:rFonts w:ascii="Times New Roman" w:hAnsi="Times New Roman" w:cs="Times New Roman"/>
          <w:sz w:val="24"/>
          <w:szCs w:val="24"/>
        </w:rPr>
        <w:instrText xml:space="preserve"> ADDIN EN.CITE &lt;EndNote&gt;&lt;Cite&gt;&lt;Author&gt;Zhou&lt;/Author&gt;&lt;Year&gt;2020&lt;/Year&gt;&lt;RecNum&gt;8976&lt;/RecNum&gt;&lt;DisplayText&gt;(Zhou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712FF7">
        <w:rPr>
          <w:rFonts w:ascii="Times New Roman" w:hAnsi="Times New Roman" w:cs="Times New Roman"/>
          <w:sz w:val="24"/>
          <w:szCs w:val="24"/>
        </w:rPr>
        <w:fldChar w:fldCharType="separate"/>
      </w:r>
      <w:r w:rsidRPr="00712FF7">
        <w:rPr>
          <w:rFonts w:ascii="Times New Roman" w:hAnsi="Times New Roman" w:cs="Times New Roman"/>
          <w:noProof/>
          <w:sz w:val="24"/>
          <w:szCs w:val="24"/>
        </w:rPr>
        <w:t>(Zhou and Park, 2020)</w:t>
      </w:r>
      <w:r w:rsidRPr="00712FF7">
        <w:rPr>
          <w:rFonts w:ascii="Times New Roman" w:hAnsi="Times New Roman" w:cs="Times New Roman"/>
          <w:sz w:val="24"/>
          <w:szCs w:val="24"/>
        </w:rPr>
        <w:fldChar w:fldCharType="end"/>
      </w:r>
      <w:r w:rsidRPr="00712FF7">
        <w:rPr>
          <w:rFonts w:ascii="Times New Roman" w:hAnsi="Times New Roman" w:cs="Times New Roman"/>
          <w:sz w:val="24"/>
          <w:szCs w:val="24"/>
        </w:rPr>
        <w:t xml:space="preserve">. </w:t>
      </w:r>
      <w:r w:rsidRPr="00FB24D3">
        <w:rPr>
          <w:rFonts w:ascii="Times New Roman" w:hAnsi="Times New Roman" w:cs="Times New Roman"/>
          <w:color w:val="FF0000"/>
          <w:sz w:val="24"/>
          <w:szCs w:val="24"/>
        </w:rPr>
        <w:t>Growth-oriented firms primarily</w:t>
      </w:r>
      <w:r w:rsidRPr="00FB24D3">
        <w:rPr>
          <w:rFonts w:ascii="Times New Roman" w:hAnsi="Times New Roman" w:cs="Times New Roman" w:hint="eastAsia"/>
          <w:color w:val="FF0000"/>
          <w:sz w:val="24"/>
          <w:szCs w:val="24"/>
        </w:rPr>
        <w:t xml:space="preserve"> </w:t>
      </w:r>
      <w:r w:rsidRPr="00FB24D3">
        <w:rPr>
          <w:rFonts w:ascii="Times New Roman" w:hAnsi="Times New Roman" w:cs="Times New Roman"/>
          <w:color w:val="FF0000"/>
          <w:sz w:val="24"/>
          <w:szCs w:val="24"/>
        </w:rPr>
        <w:t>allocate their resources</w:t>
      </w:r>
      <w:r w:rsidR="00326032">
        <w:rPr>
          <w:rFonts w:ascii="Times New Roman" w:hAnsi="Times New Roman" w:cs="Times New Roman" w:hint="eastAsia"/>
          <w:color w:val="FF0000"/>
          <w:sz w:val="24"/>
          <w:szCs w:val="24"/>
        </w:rPr>
        <w:t xml:space="preserve"> </w:t>
      </w:r>
      <w:r w:rsidR="009813BA" w:rsidRPr="00FB24D3">
        <w:rPr>
          <w:rFonts w:ascii="Times New Roman" w:hAnsi="Times New Roman" w:cs="Times New Roman"/>
          <w:color w:val="FF0000"/>
          <w:sz w:val="24"/>
          <w:szCs w:val="24"/>
        </w:rPr>
        <w:t>toward activities that facilitate market expansion (e.g., customer acquisition, scaling, and market development, which may include innovation and brand-building)</w:t>
      </w:r>
      <w:r w:rsidRPr="00FB24D3">
        <w:rPr>
          <w:rFonts w:ascii="Times New Roman" w:hAnsi="Times New Roman" w:cs="Times New Roman"/>
          <w:color w:val="FF0000"/>
          <w:sz w:val="24"/>
          <w:szCs w:val="24"/>
        </w:rPr>
        <w:t xml:space="preserve"> </w:t>
      </w:r>
      <w:r w:rsidRPr="00FB24D3">
        <w:rPr>
          <w:rFonts w:ascii="Times New Roman" w:hAnsi="Times New Roman" w:cs="Times New Roman"/>
          <w:color w:val="FF0000"/>
          <w:sz w:val="24"/>
          <w:szCs w:val="24"/>
        </w:rPr>
        <w:fldChar w:fldCharType="begin">
          <w:fldData xml:space="preserve">PEVuZE5vdGU+PENpdGU+PEF1dGhvcj5IYXZlbWFuPC9BdXRob3I+PFllYXI+MTk5MzwvWWVhcj48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</w:fldData>
        </w:fldChar>
      </w:r>
      <w:r w:rsidRPr="00FB24D3">
        <w:rPr>
          <w:rFonts w:ascii="Times New Roman" w:hAnsi="Times New Roman" w:cs="Times New Roman"/>
          <w:color w:val="FF0000"/>
          <w:sz w:val="24"/>
          <w:szCs w:val="24"/>
        </w:rPr>
        <w:instrText xml:space="preserve"> ADDIN EN.CITE </w:instrText>
      </w:r>
      <w:r w:rsidRPr="00FB24D3">
        <w:rPr>
          <w:rFonts w:ascii="Times New Roman" w:hAnsi="Times New Roman" w:cs="Times New Roman"/>
          <w:color w:val="FF0000"/>
          <w:sz w:val="24"/>
          <w:szCs w:val="24"/>
        </w:rPr>
        <w:fldChar w:fldCharType="begin">
          <w:fldData xml:space="preserve">PEVuZE5vdGU+PENpdGU+PEF1dGhvcj5IYXZlbWFuPC9BdXRob3I+PFllYXI+MTk5MzwvWWVhcj48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</w:fldData>
        </w:fldChar>
      </w:r>
      <w:r w:rsidRPr="00FB24D3">
        <w:rPr>
          <w:rFonts w:ascii="Times New Roman" w:hAnsi="Times New Roman" w:cs="Times New Roman"/>
          <w:color w:val="FF0000"/>
          <w:sz w:val="24"/>
          <w:szCs w:val="24"/>
        </w:rPr>
        <w:instrText xml:space="preserve"> ADDIN EN.CITE.DATA </w:instrText>
      </w:r>
      <w:r w:rsidRPr="00FB24D3">
        <w:rPr>
          <w:rFonts w:ascii="Times New Roman" w:hAnsi="Times New Roman" w:cs="Times New Roman"/>
          <w:color w:val="FF0000"/>
          <w:sz w:val="24"/>
          <w:szCs w:val="24"/>
        </w:rPr>
      </w:r>
      <w:r w:rsidRPr="00FB24D3">
        <w:rPr>
          <w:rFonts w:ascii="Times New Roman" w:hAnsi="Times New Roman" w:cs="Times New Roman"/>
          <w:color w:val="FF0000"/>
          <w:sz w:val="24"/>
          <w:szCs w:val="24"/>
        </w:rPr>
        <w:fldChar w:fldCharType="end"/>
      </w:r>
      <w:r w:rsidRPr="00FB24D3">
        <w:rPr>
          <w:rFonts w:ascii="Times New Roman" w:hAnsi="Times New Roman" w:cs="Times New Roman"/>
          <w:color w:val="FF0000"/>
          <w:sz w:val="24"/>
          <w:szCs w:val="24"/>
        </w:rPr>
      </w:r>
      <w:r w:rsidRPr="00FB24D3">
        <w:rPr>
          <w:rFonts w:ascii="Times New Roman" w:hAnsi="Times New Roman" w:cs="Times New Roman"/>
          <w:color w:val="FF0000"/>
          <w:sz w:val="24"/>
          <w:szCs w:val="24"/>
        </w:rPr>
        <w:fldChar w:fldCharType="separate"/>
      </w:r>
      <w:r w:rsidRPr="00FB24D3">
        <w:rPr>
          <w:rFonts w:ascii="Times New Roman" w:hAnsi="Times New Roman" w:cs="Times New Roman"/>
          <w:noProof/>
          <w:color w:val="FF0000"/>
          <w:sz w:val="24"/>
          <w:szCs w:val="24"/>
        </w:rPr>
        <w:t>(Haveman, 1993; Homburg</w:t>
      </w:r>
      <w:r w:rsidRPr="00FB24D3">
        <w:rPr>
          <w:rFonts w:ascii="Times New Roman" w:hAnsi="Times New Roman" w:cs="Times New Roman"/>
          <w:i/>
          <w:noProof/>
          <w:color w:val="FF0000"/>
          <w:sz w:val="24"/>
          <w:szCs w:val="24"/>
        </w:rPr>
        <w:t xml:space="preserve"> et al.</w:t>
      </w:r>
      <w:r w:rsidRPr="00FB24D3">
        <w:rPr>
          <w:rFonts w:ascii="Times New Roman" w:hAnsi="Times New Roman" w:cs="Times New Roman"/>
          <w:noProof/>
          <w:color w:val="FF0000"/>
          <w:sz w:val="24"/>
          <w:szCs w:val="24"/>
        </w:rPr>
        <w:t>, 1999)</w:t>
      </w:r>
      <w:r w:rsidRPr="00FB24D3">
        <w:rPr>
          <w:rFonts w:ascii="Times New Roman" w:hAnsi="Times New Roman" w:cs="Times New Roman"/>
          <w:color w:val="FF0000"/>
          <w:sz w:val="24"/>
          <w:szCs w:val="24"/>
        </w:rPr>
        <w:fldChar w:fldCharType="end"/>
      </w:r>
      <w:r w:rsidR="00FB24D3" w:rsidRPr="00FB24D3">
        <w:rPr>
          <w:rFonts w:ascii="Times New Roman" w:hAnsi="Times New Roman" w:cs="Times New Roman" w:hint="eastAsia"/>
          <w:color w:val="FF0000"/>
          <w:sz w:val="24"/>
          <w:szCs w:val="24"/>
        </w:rPr>
        <w:t>.</w:t>
      </w:r>
      <w:r w:rsidRPr="00FB24D3">
        <w:rPr>
          <w:rFonts w:ascii="Times New Roman" w:hAnsi="Times New Roman" w:cs="Times New Roman" w:hint="eastAsia"/>
          <w:color w:val="FF0000"/>
          <w:sz w:val="24"/>
          <w:szCs w:val="24"/>
        </w:rPr>
        <w:t xml:space="preserve"> </w:t>
      </w:r>
      <w:r w:rsidR="00FB24D3" w:rsidRPr="00FB24D3">
        <w:rPr>
          <w:rFonts w:ascii="Times New Roman" w:hAnsi="Times New Roman" w:cs="Times New Roman"/>
          <w:color w:val="FF0000"/>
          <w:sz w:val="24"/>
          <w:szCs w:val="24"/>
        </w:rPr>
        <w:t>Profit-oriented firms may also invest in innovation, but their resource allocation is typically guided by margin improvement, efficiency, and value appropriation objectives.</w:t>
      </w:r>
      <w:r w:rsidR="00FB24D3" w:rsidRPr="00FB24D3">
        <w:rPr>
          <w:rFonts w:ascii="Times New Roman" w:hAnsi="Times New Roman" w:cs="Times New Roman" w:hint="eastAsia"/>
          <w:color w:val="FF0000"/>
          <w:sz w:val="24"/>
          <w:szCs w:val="24"/>
        </w:rPr>
        <w:t xml:space="preserve"> </w:t>
      </w:r>
      <w:r w:rsidR="00FB24D3" w:rsidRPr="00FB24D3">
        <w:rPr>
          <w:rFonts w:ascii="Times New Roman" w:hAnsi="Times New Roman" w:cs="Times New Roman"/>
          <w:color w:val="FF0000"/>
          <w:sz w:val="24"/>
          <w:szCs w:val="24"/>
        </w:rPr>
        <w:t>Growth-oriented firms</w:t>
      </w:r>
      <w:r w:rsidR="00FB24D3" w:rsidRPr="00FB24D3">
        <w:rPr>
          <w:rFonts w:ascii="Times New Roman" w:hAnsi="Times New Roman" w:cs="Times New Roman" w:hint="eastAsia"/>
          <w:color w:val="FF0000"/>
          <w:sz w:val="24"/>
          <w:szCs w:val="24"/>
        </w:rPr>
        <w:t xml:space="preserve"> </w:t>
      </w:r>
      <w:r w:rsidRPr="00FB24D3">
        <w:rPr>
          <w:rFonts w:ascii="Times New Roman" w:hAnsi="Times New Roman" w:cs="Times New Roman" w:hint="eastAsia"/>
          <w:color w:val="FF0000"/>
          <w:sz w:val="24"/>
          <w:szCs w:val="24"/>
        </w:rPr>
        <w:t xml:space="preserve">tend </w:t>
      </w:r>
      <w:r w:rsidRPr="00FB24D3">
        <w:rPr>
          <w:rFonts w:ascii="Times New Roman" w:hAnsi="Times New Roman" w:cs="Times New Roman"/>
          <w:color w:val="FF0000"/>
          <w:sz w:val="24"/>
          <w:szCs w:val="24"/>
        </w:rPr>
        <w:t xml:space="preserve">to </w:t>
      </w:r>
      <w:r w:rsidRPr="00FB24D3">
        <w:rPr>
          <w:rFonts w:ascii="Times New Roman" w:hAnsi="Times New Roman" w:cs="Times New Roman"/>
          <w:color w:val="FF0000"/>
          <w:sz w:val="24"/>
          <w:szCs w:val="24"/>
        </w:rPr>
        <w:lastRenderedPageBreak/>
        <w:t xml:space="preserve">invest in versatile resources that offer broad functional flexibility </w:t>
      </w:r>
      <w:r w:rsidRPr="00FB24D3">
        <w:rPr>
          <w:rFonts w:ascii="Times New Roman" w:hAnsi="Times New Roman" w:cs="Times New Roman"/>
          <w:color w:val="FF0000"/>
          <w:sz w:val="24"/>
          <w:szCs w:val="24"/>
        </w:rPr>
        <w:fldChar w:fldCharType="begin">
          <w:fldData xml:space="preserve">PEVuZE5vdGU+PENpdGU+PEF1dGhvcj5OYXNvbjwvQXV0aG9yPjxZZWFyPjIwMTU8L1llYXI+PFJl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</w:fldData>
        </w:fldChar>
      </w:r>
      <w:r w:rsidRPr="00FB24D3">
        <w:rPr>
          <w:rFonts w:ascii="Times New Roman" w:hAnsi="Times New Roman" w:cs="Times New Roman"/>
          <w:color w:val="FF0000"/>
          <w:sz w:val="24"/>
          <w:szCs w:val="24"/>
        </w:rPr>
        <w:instrText xml:space="preserve"> ADDIN EN.CITE </w:instrText>
      </w:r>
      <w:r w:rsidRPr="00FB24D3">
        <w:rPr>
          <w:rFonts w:ascii="Times New Roman" w:hAnsi="Times New Roman" w:cs="Times New Roman"/>
          <w:color w:val="FF0000"/>
          <w:sz w:val="24"/>
          <w:szCs w:val="24"/>
        </w:rPr>
        <w:fldChar w:fldCharType="begin">
          <w:fldData xml:space="preserve">PEVuZE5vdGU+PENpdGU+PEF1dGhvcj5OYXNvbjwvQXV0aG9yPjxZZWFyPjIwMTU8L1llYXI+PFJl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</w:fldData>
        </w:fldChar>
      </w:r>
      <w:r w:rsidRPr="00FB24D3">
        <w:rPr>
          <w:rFonts w:ascii="Times New Roman" w:hAnsi="Times New Roman" w:cs="Times New Roman"/>
          <w:color w:val="FF0000"/>
          <w:sz w:val="24"/>
          <w:szCs w:val="24"/>
        </w:rPr>
        <w:instrText xml:space="preserve"> ADDIN EN.CITE.DATA </w:instrText>
      </w:r>
      <w:r w:rsidRPr="00FB24D3">
        <w:rPr>
          <w:rFonts w:ascii="Times New Roman" w:hAnsi="Times New Roman" w:cs="Times New Roman"/>
          <w:color w:val="FF0000"/>
          <w:sz w:val="24"/>
          <w:szCs w:val="24"/>
        </w:rPr>
      </w:r>
      <w:r w:rsidRPr="00FB24D3">
        <w:rPr>
          <w:rFonts w:ascii="Times New Roman" w:hAnsi="Times New Roman" w:cs="Times New Roman"/>
          <w:color w:val="FF0000"/>
          <w:sz w:val="24"/>
          <w:szCs w:val="24"/>
        </w:rPr>
        <w:fldChar w:fldCharType="end"/>
      </w:r>
      <w:r w:rsidRPr="00FB24D3">
        <w:rPr>
          <w:rFonts w:ascii="Times New Roman" w:hAnsi="Times New Roman" w:cs="Times New Roman"/>
          <w:color w:val="FF0000"/>
          <w:sz w:val="24"/>
          <w:szCs w:val="24"/>
        </w:rPr>
      </w:r>
      <w:r w:rsidRPr="00FB24D3">
        <w:rPr>
          <w:rFonts w:ascii="Times New Roman" w:hAnsi="Times New Roman" w:cs="Times New Roman"/>
          <w:color w:val="FF0000"/>
          <w:sz w:val="24"/>
          <w:szCs w:val="24"/>
        </w:rPr>
        <w:fldChar w:fldCharType="separate"/>
      </w:r>
      <w:r w:rsidRPr="00FB24D3">
        <w:rPr>
          <w:rFonts w:ascii="Times New Roman" w:hAnsi="Times New Roman" w:cs="Times New Roman"/>
          <w:noProof/>
          <w:color w:val="FF0000"/>
          <w:sz w:val="24"/>
          <w:szCs w:val="24"/>
        </w:rPr>
        <w:t>(Mitrega</w:t>
      </w:r>
      <w:r w:rsidRPr="00FB24D3">
        <w:rPr>
          <w:rFonts w:ascii="Times New Roman" w:hAnsi="Times New Roman" w:cs="Times New Roman"/>
          <w:i/>
          <w:noProof/>
          <w:color w:val="FF0000"/>
          <w:sz w:val="24"/>
          <w:szCs w:val="24"/>
        </w:rPr>
        <w:t xml:space="preserve"> et al.</w:t>
      </w:r>
      <w:r w:rsidRPr="00FB24D3">
        <w:rPr>
          <w:rFonts w:ascii="Times New Roman" w:hAnsi="Times New Roman" w:cs="Times New Roman"/>
          <w:noProof/>
          <w:color w:val="FF0000"/>
          <w:sz w:val="24"/>
          <w:szCs w:val="24"/>
        </w:rPr>
        <w:t>, 2021)</w:t>
      </w:r>
      <w:r w:rsidRPr="00FB24D3">
        <w:rPr>
          <w:rFonts w:ascii="Times New Roman" w:hAnsi="Times New Roman" w:cs="Times New Roman"/>
          <w:color w:val="FF0000"/>
          <w:sz w:val="24"/>
          <w:szCs w:val="24"/>
        </w:rPr>
        <w:fldChar w:fldCharType="end"/>
      </w:r>
      <w:r w:rsidRPr="00FB24D3">
        <w:rPr>
          <w:rFonts w:ascii="Times New Roman" w:hAnsi="Times New Roman" w:cs="Times New Roman"/>
          <w:color w:val="FF0000"/>
          <w:sz w:val="24"/>
          <w:szCs w:val="24"/>
        </w:rPr>
        <w:t>.</w:t>
      </w:r>
      <w:r w:rsidR="00FB24D3">
        <w:rPr>
          <w:rFonts w:ascii="Times New Roman" w:hAnsi="Times New Roman" w:cs="Times New Roman" w:hint="eastAsia"/>
          <w:color w:val="FF0000"/>
          <w:sz w:val="24"/>
          <w:szCs w:val="24"/>
        </w:rPr>
        <w:t xml:space="preserve"> </w:t>
      </w:r>
      <w:r w:rsidRPr="00A3505C">
        <w:rPr>
          <w:rFonts w:ascii="Times New Roman" w:hAnsi="Times New Roman" w:cs="Times New Roman"/>
          <w:sz w:val="24"/>
          <w:szCs w:val="24"/>
        </w:rPr>
        <w:t xml:space="preserve">Such versatility enhances adaptability to external dynamics, enabling firms to seize expansion opportunities more effectively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&lt;EndNote&gt;&lt;Cite&gt;&lt;Author&gt;Nason&lt;/Author&gt;&lt;Year&gt;2015&lt;/Year&gt;&lt;RecNum&gt;14058&lt;/RecNum&gt;&lt;DisplayText&gt;(Nason and Wiklund, 2015)&lt;/DisplayText&gt;&lt;record&gt;&lt;rec-number&gt;14058&lt;/rec-number&gt;&lt;foreign-keys&gt;&lt;key app="EN" db-id="tt95vv9zf20xf0ewve7x0fsl990xeeasafzs" timestamp="1750133611"&gt;14058&lt;/key&gt;&lt;/foreign-keys&gt;&lt;ref-type name="Journal Article"&gt;17&lt;/ref-type&gt;&lt;contributors&gt;&lt;authors&gt;&lt;author&gt;Nason, Robert S.&lt;/author&gt;&lt;author&gt;Wiklund, Johan&lt;/author&gt;&lt;/authors&gt;&lt;/contributors&gt;&lt;titles&gt;&lt;title&gt;An assessment of resource-based theorizing on firm growth and suggestions for the future&lt;/title&gt;&lt;secondary-title&gt;Journal of Management&lt;/secondary-title&gt;&lt;/titles&gt;&lt;periodical&gt;&lt;full-title&gt;Journal of Management&lt;/full-title&gt;&lt;abbr-1&gt;J. Manag.&lt;/abbr-1&gt;&lt;/periodical&gt;&lt;pages&gt;32-60&lt;/pages&gt;&lt;volume&gt;44&lt;/volume&gt;&lt;number&gt;1&lt;/number&gt;&lt;section&gt;32&lt;/section&gt;&lt;dates&gt;&lt;year&gt;2015&lt;/year&gt;&lt;/dates&gt;&lt;isbn&gt;0149-2063&amp;#xD;1557-1211&lt;/isbn&gt;&lt;urls&gt;&lt;/urls&gt;&lt;electronic-resource-num&gt;10.1177/0149206315610635&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(Nason and Wiklund, 2015)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In contrast, firms pursuing profit-oriented strategies tend to rely more heavily on VRIN resources to build their competitive advantages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&lt;EndNote&gt;&lt;Cite&gt;&lt;Author&gt;Zhou&lt;/Author&gt;&lt;Year&gt;2024&lt;/Year&gt;&lt;RecNum&gt;14056&lt;/RecNum&gt;&lt;DisplayText&gt;(Zhou and Park, 2024)&lt;/DisplayText&gt;&lt;record&gt;&lt;rec-number&gt;14056&lt;/rec-number&gt;&lt;foreign-keys&gt;&lt;key app="EN" db-id="tt95vv9zf20xf0ewve7x0fsl990xeeasafzs" timestamp="1750124861"&gt;14056&lt;/key&gt;&lt;/foreign-keys&gt;&lt;ref-type name="Journal Article"&gt;17&lt;/ref-type&gt;&lt;contributors&gt;&lt;authors&gt;&lt;author&gt;Zhou, Nan&lt;/author&gt;&lt;author&gt;Park, Seung Ho&lt;/author&gt;&lt;/authors&gt;&lt;/contributors&gt;&lt;titles&gt;&lt;title&gt;Decomposing firm performance in emerging markets: The difference between growth and profit&lt;/title&gt;&lt;secondary-title&gt;Management and Organization Review&lt;/secondary-title&gt;&lt;/titles&gt;&lt;periodical&gt;&lt;full-title&gt;Management and Organization Review&lt;/full-title&gt;&lt;/periodical&gt;&lt;pages&gt;316-335&lt;/pages&gt;&lt;volume&gt;20&lt;/volume&gt;&lt;number&gt;2&lt;/number&gt;&lt;section&gt;316&lt;/section&gt;&lt;dates&gt;&lt;year&gt;2024&lt;/year&gt;&lt;/dates&gt;&lt;isbn&gt;1740-8776&amp;#xD;1740-8784&lt;/isbn&gt;&lt;urls&gt;&lt;/urls&gt;&lt;electronic-resource-num&gt;10.1017/mor.2023.32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Resource portfolios thus differ systematically based on strategic orientation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&lt;EndNote&gt;&lt;Cite&gt;&lt;Author&gt;Nason&lt;/Author&gt;&lt;Year&gt;2015&lt;/Year&gt;&lt;RecNum&gt;14058&lt;/RecNum&gt;&lt;DisplayText&gt;(Nason and Wiklund, 2015)&lt;/DisplayText&gt;&lt;record&gt;&lt;rec-number&gt;14058&lt;/rec-number&gt;&lt;foreign-keys&gt;&lt;key app="EN" db-id="tt95vv9zf20xf0ewve7x0fsl990xeeasafzs" timestamp="1750133611"&gt;14058&lt;/key&gt;&lt;/foreign-keys&gt;&lt;ref-type name="Journal Article"&gt;17&lt;/ref-type&gt;&lt;contributors&gt;&lt;authors&gt;&lt;author&gt;Nason, Robert S.&lt;/author&gt;&lt;author&gt;Wiklund, Johan&lt;/author&gt;&lt;/authors&gt;&lt;/contributors&gt;&lt;titles&gt;&lt;title&gt;An assessment of resource-based theorizing on firm growth and suggestions for the future&lt;/title&gt;&lt;secondary-title&gt;Journal of Management&lt;/secondary-title&gt;&lt;/titles&gt;&lt;periodical&gt;&lt;full-title&gt;Journal of Management&lt;/full-title&gt;&lt;abbr-1&gt;J. Manag.&lt;/abbr-1&gt;&lt;/periodical&gt;&lt;pages&gt;32-60&lt;/pages&gt;&lt;volume&gt;44&lt;/volume&gt;&lt;number&gt;1&lt;/number&gt;&lt;section&gt;32&lt;/section&gt;&lt;dates&gt;&lt;year&gt;2015&lt;/year&gt;&lt;/dates&gt;&lt;isbn&gt;0149-2063&amp;#xD;1557-1211&lt;/isbn&gt;&lt;urls&gt;&lt;/urls&gt;&lt;electronic-resource-num&gt;10.1177/0149206315610635&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(Nason and Wiklund, 2015)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Panel A of Figure 2 presents the definitions and measurement criteria for the different strategic orientation groups</w:t>
      </w:r>
      <w:r w:rsidR="00841587" w:rsidRPr="00A3505C">
        <w:rPr>
          <w:rFonts w:ascii="Times New Roman" w:hAnsi="Times New Roman" w:cs="Times New Roman"/>
          <w:sz w:val="24"/>
          <w:szCs w:val="24"/>
        </w:rPr>
        <w:t>,</w:t>
      </w:r>
      <w:r w:rsidRPr="00A3505C">
        <w:rPr>
          <w:rFonts w:ascii="Times New Roman" w:hAnsi="Times New Roman" w:cs="Times New Roman" w:hint="eastAsia"/>
          <w:sz w:val="24"/>
          <w:szCs w:val="24"/>
        </w:rPr>
        <w:t xml:space="preserve"> and Table 1 </w:t>
      </w:r>
      <w:r w:rsidR="00841587" w:rsidRPr="00A3505C">
        <w:rPr>
          <w:rFonts w:ascii="Times New Roman" w:hAnsi="Times New Roman" w:cs="Times New Roman"/>
          <w:sz w:val="24"/>
          <w:szCs w:val="24"/>
        </w:rPr>
        <w:t>provides</w:t>
      </w:r>
      <w:r w:rsidR="00841587"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a detailed comparison of their resource characteristics.</w:t>
      </w:r>
    </w:p>
    <w:p w14:paraId="2BDB5A88" w14:textId="77777777" w:rsidR="000F7DAA" w:rsidRPr="00A3505C" w:rsidRDefault="000F7DAA" w:rsidP="000F7DAA">
      <w:pPr>
        <w:adjustRightInd w:val="0"/>
        <w:snapToGrid w:val="0"/>
        <w:spacing w:after="120" w:line="24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Figure 2 Here]</w:t>
      </w:r>
    </w:p>
    <w:p w14:paraId="192CD532" w14:textId="77777777" w:rsidR="000F7DAA" w:rsidRPr="00A3505C" w:rsidRDefault="000F7DAA" w:rsidP="000F7DAA">
      <w:pPr>
        <w:adjustRightInd w:val="0"/>
        <w:snapToGrid w:val="0"/>
        <w:spacing w:after="240" w:line="24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1 Here]</w:t>
      </w:r>
    </w:p>
    <w:p w14:paraId="67FBA512" w14:textId="77777777" w:rsidR="000F7DAA" w:rsidRPr="00A3505C" w:rsidRDefault="000F7DAA" w:rsidP="000F7DAA">
      <w:pPr>
        <w:adjustRightInd w:val="0"/>
        <w:snapToGrid w:val="0"/>
        <w:spacing w:before="120" w:after="120" w:line="36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2.3 Strategic orientations and green revenues</w:t>
      </w:r>
    </w:p>
    <w:p w14:paraId="3BF88F70" w14:textId="44D22F16"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From the perspective of stakeholder theory, firms </w:t>
      </w:r>
      <w:r w:rsidRPr="00A3505C">
        <w:rPr>
          <w:rFonts w:ascii="Times New Roman" w:hAnsi="Times New Roman" w:cs="Times New Roman" w:hint="eastAsia"/>
          <w:sz w:val="24"/>
          <w:szCs w:val="24"/>
        </w:rPr>
        <w:t>must</w:t>
      </w:r>
      <w:r w:rsidRPr="00A3505C">
        <w:rPr>
          <w:rFonts w:ascii="Times New Roman" w:hAnsi="Times New Roman" w:cs="Times New Roman"/>
          <w:sz w:val="24"/>
          <w:szCs w:val="24"/>
        </w:rPr>
        <w:t xml:space="preserve"> accommodate the diverse interests of multiple stakeholders </w:t>
      </w:r>
      <w:r w:rsidRPr="00A3505C">
        <w:rPr>
          <w:rFonts w:ascii="Times New Roman" w:hAnsi="Times New Roman" w:cs="Times New Roman"/>
          <w:sz w:val="24"/>
          <w:szCs w:val="24"/>
        </w:rPr>
        <w:fldChar w:fldCharType="begin">
          <w:fldData xml:space="preserve">PEVuZE5vdGU+PENpdGU+PEF1dGhvcj5CYXJuZXk8L0F1dGhvcj48WWVhcj4yMDE4PC9ZZWFyPjxS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PEVuZE5vdGU+PENpdGU+PEF1dGhvcj5CYXJuZXk8L0F1dGhvcj48WWVhcj4yMDE4PC9ZZWFyPjxS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w:t>
      </w:r>
      <w:r w:rsidR="00557530" w:rsidRPr="00A3505C">
        <w:rPr>
          <w:rFonts w:ascii="Times New Roman" w:hAnsi="Times New Roman" w:cs="Times New Roman"/>
          <w:noProof/>
          <w:sz w:val="24"/>
          <w:szCs w:val="24"/>
        </w:rPr>
        <w:t>Parmar</w:t>
      </w:r>
      <w:r w:rsidR="00557530" w:rsidRPr="00A3505C">
        <w:rPr>
          <w:rFonts w:ascii="Times New Roman" w:hAnsi="Times New Roman" w:cs="Times New Roman"/>
          <w:i/>
          <w:noProof/>
          <w:sz w:val="24"/>
          <w:szCs w:val="24"/>
        </w:rPr>
        <w:t xml:space="preserve"> et al.</w:t>
      </w:r>
      <w:r w:rsidR="00557530" w:rsidRPr="00A3505C">
        <w:rPr>
          <w:rFonts w:ascii="Times New Roman" w:hAnsi="Times New Roman" w:cs="Times New Roman"/>
          <w:noProof/>
          <w:sz w:val="24"/>
          <w:szCs w:val="24"/>
        </w:rPr>
        <w:t>, 2010</w:t>
      </w:r>
      <w:r w:rsidR="00557530">
        <w:rPr>
          <w:rFonts w:ascii="Times New Roman" w:hAnsi="Times New Roman" w:cs="Times New Roman"/>
          <w:noProof/>
          <w:sz w:val="24"/>
          <w:szCs w:val="24"/>
        </w:rPr>
        <w:t xml:space="preserve">; </w:t>
      </w:r>
      <w:r w:rsidRPr="00A3505C">
        <w:rPr>
          <w:rFonts w:ascii="Times New Roman" w:hAnsi="Times New Roman" w:cs="Times New Roman"/>
          <w:noProof/>
          <w:sz w:val="24"/>
          <w:szCs w:val="24"/>
        </w:rPr>
        <w:t>Barney, 2018)</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includ</w:t>
      </w:r>
      <w:r w:rsidRPr="00A3505C">
        <w:rPr>
          <w:rFonts w:ascii="Times New Roman" w:hAnsi="Times New Roman" w:cs="Times New Roman" w:hint="eastAsia"/>
          <w:sz w:val="24"/>
          <w:szCs w:val="24"/>
        </w:rPr>
        <w:t>ing</w:t>
      </w:r>
      <w:r w:rsidRPr="00A3505C">
        <w:rPr>
          <w:rFonts w:ascii="Times New Roman" w:hAnsi="Times New Roman" w:cs="Times New Roman"/>
          <w:sz w:val="24"/>
          <w:szCs w:val="24"/>
        </w:rPr>
        <w:t xml:space="preserve"> the growing pressures to operate </w:t>
      </w:r>
      <w:r w:rsidRPr="00A3505C">
        <w:rPr>
          <w:rFonts w:ascii="Times New Roman" w:hAnsi="Times New Roman" w:cs="Times New Roman" w:hint="eastAsia"/>
          <w:sz w:val="24"/>
          <w:szCs w:val="24"/>
        </w:rPr>
        <w:t xml:space="preserve">sustainably and </w:t>
      </w:r>
      <w:r w:rsidRPr="00A3505C">
        <w:rPr>
          <w:rFonts w:ascii="Times New Roman" w:hAnsi="Times New Roman" w:cs="Times New Roman"/>
          <w:sz w:val="24"/>
          <w:szCs w:val="24"/>
        </w:rPr>
        <w:t xml:space="preserve">harmonize </w:t>
      </w:r>
      <w:r w:rsidRPr="00A3505C">
        <w:rPr>
          <w:rFonts w:ascii="Times New Roman" w:hAnsi="Times New Roman" w:cs="Times New Roman" w:hint="eastAsia"/>
          <w:sz w:val="24"/>
          <w:szCs w:val="24"/>
        </w:rPr>
        <w:t>environmental</w:t>
      </w:r>
      <w:r w:rsidRPr="00A3505C">
        <w:rPr>
          <w:rFonts w:ascii="Times New Roman" w:hAnsi="Times New Roman" w:cs="Times New Roman"/>
          <w:sz w:val="24"/>
          <w:szCs w:val="24"/>
        </w:rPr>
        <w:t xml:space="preserve"> and economic measures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&lt;EndNote&gt;&lt;Cite&gt;&lt;Author&gt;Chen&lt;/Author&gt;&lt;Year&gt;2024&lt;/Year&gt;&lt;RecNum&gt;8015&lt;/RecNum&gt;&lt;DisplayText&gt;(Chen&lt;style face="italic"&gt; et al.&lt;/style&gt;, 2024)&lt;/DisplayText&gt;&lt;record&gt;&lt;rec-number&gt;8015&lt;/rec-number&gt;&lt;foreign-keys&gt;&lt;key app="EN" db-id="tt95vv9zf20xf0ewve7x0fsl990xeeasafzs" timestamp="1705768020"&gt;8015&lt;/key&gt;&lt;/foreign-keys&gt;&lt;ref-type name="Journal Article"&gt;17&lt;/ref-type&gt;&lt;contributors&gt;&lt;authors&gt;&lt;author&gt;Chen, Shi&lt;/author&gt;&lt;author&gt;Zhao, Yonghong&lt;/author&gt;&lt;author&gt;Huang, Fu-Wei&lt;/author&gt;&lt;author&gt;Wang, Bin&lt;/author&gt;&lt;author&gt;Lin, Jyh-Horng&lt;/author&gt;&lt;/authors&gt;&lt;/contributors&gt;&lt;titles&gt;&lt;title&gt;Carbon leakage perspective: Unveiling policy dilemmas in emission trading and carbon tariffs under insurer green finance&lt;/title&gt;&lt;secondary-title&gt;Energy Economics&lt;/secondary-title&gt;&lt;/titles&gt;&lt;periodical&gt;&lt;full-title&gt;Energy Economics&lt;/full-title&gt;&lt;abbr-1&gt;Energy Econ.&lt;/abbr-1&gt;&lt;/periodical&gt;&lt;volume&gt;130&lt;/volume&gt;&lt;section&gt;107292&lt;/section&gt;&lt;dates&gt;&lt;year&gt;2024&lt;/year&gt;&lt;/dates&gt;&lt;isbn&gt;01409883&lt;/isbn&gt;&lt;urls&gt;&lt;/urls&gt;&lt;electronic-resource-num&gt;10.1016/j.eneco.2023.107292&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(Chen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 xml:space="preserve">This requires </w:t>
      </w:r>
      <w:r w:rsidRPr="00A3505C">
        <w:rPr>
          <w:rFonts w:ascii="Times New Roman" w:hAnsi="Times New Roman" w:cs="Times New Roman"/>
          <w:sz w:val="24"/>
          <w:szCs w:val="24"/>
        </w:rPr>
        <w:t>structur</w:t>
      </w:r>
      <w:r w:rsidRPr="00A3505C">
        <w:rPr>
          <w:rFonts w:ascii="Times New Roman" w:hAnsi="Times New Roman" w:cs="Times New Roman" w:hint="eastAsia"/>
          <w:sz w:val="24"/>
          <w:szCs w:val="24"/>
        </w:rPr>
        <w:t>ing</w:t>
      </w:r>
      <w:r w:rsidRPr="00A3505C">
        <w:rPr>
          <w:rFonts w:ascii="Times New Roman" w:hAnsi="Times New Roman" w:cs="Times New Roman"/>
          <w:sz w:val="24"/>
          <w:szCs w:val="24"/>
        </w:rPr>
        <w:t xml:space="preserve"> strategies to support the green transition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&lt;EndNote&gt;&lt;Cite&gt;&lt;Author&gt;Li&lt;/Author&gt;&lt;Year&gt;2017&lt;/Year&gt;&lt;RecNum&gt;10065&lt;/RecNum&gt;&lt;DisplayText&gt;(Li and Zhou, 2017)&lt;/DisplayText&gt;&lt;record&gt;&lt;rec-number&gt;10065&lt;/rec-number&gt;&lt;foreign-keys&gt;&lt;key app="EN" db-id="tt95vv9zf20xf0ewve7x0fsl990xeeasafzs" timestamp="1725776646"&gt;10065&lt;/key&gt;&lt;/foreign-keys&gt;&lt;ref-type name="Journal Article"&gt;17&lt;/ref-type&gt;&lt;contributors&gt;&lt;authors&gt;&lt;author&gt;Li, Xiaoyang&lt;/author&gt;&lt;author&gt;Zhou, Yue M.&lt;/author&gt;&lt;/authors&gt;&lt;/contributors&gt;&lt;titles&gt;&lt;title&gt;Offshoring pollution while offshoring production?&lt;/title&gt;&lt;secondary-title&gt;Strategic Management Journal&lt;/secondary-title&gt;&lt;/titles&gt;&lt;periodical&gt;&lt;full-title&gt;Strategic Management Journal&lt;/full-title&gt;&lt;abbr-1&gt;Strateg. Manag. J.&lt;/abbr-1&gt;&lt;/periodical&gt;&lt;pages&gt;2310-2329&lt;/pages&gt;&lt;volume&gt;38&lt;/volume&gt;&lt;number&gt;11&lt;/number&gt;&lt;section&gt;2310&lt;/section&gt;&lt;dates&gt;&lt;year&gt;2017&lt;/year&gt;&lt;/dates&gt;&lt;isbn&gt;0143-2095&amp;#xD;1097-0266&lt;/isbn&gt;&lt;urls&gt;&lt;/urls&gt;&lt;electronic-resource-num&gt;10.1002/smj.2656&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(Li and Zhou, 2017)</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such as embedding sustainability into core strategy through social and environmental initiatives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and green innovations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&lt;EndNote&gt;&lt;Cite&gt;&lt;Author&gt;Flammer&lt;/Author&gt;&lt;Year&gt;2019&lt;/Year&gt;&lt;RecNum&gt;14074&lt;/RecNum&gt;&lt;DisplayText&gt;(Flammer&lt;style face="italic"&gt; et al.&lt;/style&gt;, 2019)&lt;/DisplayText&gt;&lt;record&gt;&lt;rec-number&gt;14074&lt;/rec-number&gt;&lt;foreign-keys&gt;&lt;key app="EN" db-id="tt95vv9zf20xf0ewve7x0fsl990xeeasafzs" timestamp="1751860375"&gt;14074&lt;/key&gt;&lt;/foreign-keys&gt;&lt;ref-type name="Journal Article"&gt;17&lt;/ref-type&gt;&lt;contributors&gt;&lt;authors&gt;&lt;author&gt;Flammer, Caroline&lt;/author&gt;&lt;author&gt;Hong, Bryan&lt;/author&gt;&lt;author&gt;Minor, Dylan&lt;/author&gt;&lt;/authors&gt;&lt;/contributors&gt;&lt;titles&gt;&lt;title&gt;Corporate governance and the rise of integrating corporate social responsibility criteria in executive compensation: Effectiveness and implications for firm outcomes&lt;/title&gt;&lt;secondary-title&gt;Strategic Management Journal&lt;/secondary-title&gt;&lt;/titles&gt;&lt;periodical&gt;&lt;full-title&gt;Strategic Management Journal&lt;/full-title&gt;&lt;abbr-1&gt;Strateg. Manag. J.&lt;/abbr-1&gt;&lt;/periodical&gt;&lt;pages&gt;1097-1122&lt;/pages&gt;&lt;volume&gt;40&lt;/volume&gt;&lt;number&gt;7&lt;/number&gt;&lt;section&gt;1097&lt;/section&gt;&lt;dates&gt;&lt;year&gt;2019&lt;/year&gt;&lt;/dates&gt;&lt;isbn&gt;0143-2095&amp;#xD;1097-0266&lt;/isbn&gt;&lt;urls&gt;&lt;/urls&gt;&lt;electronic-resource-num&gt;10.1002/smj.3018&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(Flammer</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2019)</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Nonetheless, the cost of sustainability initiatives </w:t>
      </w:r>
      <w:r w:rsidR="00841587" w:rsidRPr="00A3505C">
        <w:rPr>
          <w:rFonts w:ascii="Times New Roman" w:hAnsi="Times New Roman" w:cs="Times New Roman"/>
          <w:sz w:val="24"/>
          <w:szCs w:val="24"/>
        </w:rPr>
        <w:t xml:space="preserve">necessitates </w:t>
      </w:r>
      <w:r w:rsidRPr="00A3505C">
        <w:rPr>
          <w:rFonts w:ascii="Times New Roman" w:hAnsi="Times New Roman" w:cs="Times New Roman"/>
          <w:sz w:val="24"/>
          <w:szCs w:val="24"/>
        </w:rPr>
        <w:t xml:space="preserve">careful consideration of their impact on economic performance and corporate legitimacy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&lt;EndNote&gt;&lt;Cite&gt;&lt;Author&gt;Schaltegger&lt;/Author&gt;&lt;Year&gt;2015&lt;/Year&gt;&lt;RecNum&gt;14075&lt;/RecNum&gt;&lt;DisplayText&gt;(Schaltegger and Hörisch, 2015)&lt;/DisplayText&gt;&lt;record&gt;&lt;rec-number&gt;14075&lt;/rec-number&gt;&lt;foreign-keys&gt;&lt;key app="EN" db-id="tt95vv9zf20xf0ewve7x0fsl990xeeasafzs" timestamp="1751863714"&gt;14075&lt;/key&gt;&lt;/foreign-keys&gt;&lt;ref-type name="Journal Article"&gt;17&lt;/ref-type&gt;&lt;contributors&gt;&lt;authors&gt;&lt;author&gt;Schaltegger, Stefan&lt;/author&gt;&lt;author&gt;Hörisch, Jacob&lt;/author&gt;&lt;/authors&gt;&lt;/contributors&gt;&lt;titles&gt;&lt;title&gt;In search of the dominant rationale in sustainability management: Legitimacy- or profit-seeking?&lt;/title&gt;&lt;secondary-title&gt;Journal of Business Ethics&lt;/secondary-title&gt;&lt;/titles&gt;&lt;periodical&gt;&lt;full-title&gt;Journal of Business Ethics&lt;/full-title&gt;&lt;abbr-1&gt;J. Bus. Ethics&lt;/abbr-1&gt;&lt;/periodical&gt;&lt;pages&gt;259-276&lt;/pages&gt;&lt;volume&gt;145&lt;/volume&gt;&lt;number&gt;2&lt;/number&gt;&lt;section&gt;259&lt;/section&gt;&lt;dates&gt;&lt;year&gt;2015&lt;/year&gt;&lt;/dates&gt;&lt;isbn&gt;0167-4544&amp;#xD;1573-0697&lt;/isbn&gt;&lt;urls&gt;&lt;/urls&gt;&lt;electronic-resource-num&gt;10.1007/s10551-015-2854-3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(Schaltegger and Hörisch, 2015)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Green revenues</w:t>
      </w:r>
      <w:r w:rsidRPr="00A3505C">
        <w:rPr>
          <w:rFonts w:ascii="Times New Roman" w:hAnsi="Times New Roman" w:cs="Times New Roman" w:hint="eastAsia"/>
          <w:sz w:val="24"/>
          <w:szCs w:val="24"/>
        </w:rPr>
        <w:t xml:space="preserve">, economic activities that generate </w:t>
      </w:r>
      <w:r w:rsidR="00841587" w:rsidRPr="00A3505C">
        <w:rPr>
          <w:rFonts w:ascii="Times New Roman" w:hAnsi="Times New Roman" w:cs="Times New Roman"/>
          <w:sz w:val="24"/>
          <w:szCs w:val="24"/>
        </w:rPr>
        <w:t xml:space="preserve">a </w:t>
      </w:r>
      <w:r w:rsidRPr="00A3505C">
        <w:rPr>
          <w:rFonts w:ascii="Times New Roman" w:hAnsi="Times New Roman" w:cs="Times New Roman" w:hint="eastAsia"/>
          <w:sz w:val="24"/>
          <w:szCs w:val="24"/>
        </w:rPr>
        <w:t xml:space="preserve">positive </w:t>
      </w:r>
      <w:r w:rsidRPr="00A3505C">
        <w:rPr>
          <w:rFonts w:ascii="Times New Roman" w:hAnsi="Times New Roman" w:cs="Times New Roman"/>
          <w:sz w:val="24"/>
          <w:szCs w:val="24"/>
        </w:rPr>
        <w:t>environmental</w:t>
      </w:r>
      <w:r w:rsidRPr="00A3505C">
        <w:rPr>
          <w:rFonts w:ascii="Times New Roman" w:hAnsi="Times New Roman" w:cs="Times New Roman" w:hint="eastAsia"/>
          <w:sz w:val="24"/>
          <w:szCs w:val="24"/>
        </w:rPr>
        <w:t xml:space="preserve"> impact,</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 xml:space="preserve">serve as a key mechanism for aligning </w:t>
      </w:r>
      <w:r w:rsidRPr="00A3505C">
        <w:rPr>
          <w:rFonts w:ascii="Times New Roman" w:hAnsi="Times New Roman" w:cs="Times New Roman"/>
          <w:sz w:val="24"/>
          <w:szCs w:val="24"/>
        </w:rPr>
        <w:t>sustainability</w:t>
      </w:r>
      <w:r w:rsidRPr="00A3505C">
        <w:rPr>
          <w:rFonts w:ascii="Times New Roman" w:hAnsi="Times New Roman" w:cs="Times New Roman" w:hint="eastAsia"/>
          <w:sz w:val="24"/>
          <w:szCs w:val="24"/>
        </w:rPr>
        <w:t xml:space="preserve"> with financial performance</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fldData xml:space="preserve">PEVuZE5vdGU+PENpdGU+PEF1dGhvcj5LbGF1c21hbm48L0F1dGhvcj48WWVhcj4yMDI0PC9ZZWFy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PEVuZE5vdGU+PENpdGU+PEF1dGhvcj5LbGF1c21hbm48L0F1dGhvcj48WWVhcj4yMDI0PC9ZZWFy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(Klausmann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 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2025c)</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Establishing</w:t>
      </w:r>
      <w:r w:rsidRPr="00A3505C">
        <w:rPr>
          <w:rFonts w:ascii="Times New Roman" w:hAnsi="Times New Roman" w:cs="Times New Roman"/>
          <w:sz w:val="24"/>
          <w:szCs w:val="24"/>
        </w:rPr>
        <w:t xml:space="preserve"> green revenues </w:t>
      </w:r>
      <w:r w:rsidRPr="00A3505C">
        <w:rPr>
          <w:rFonts w:ascii="Times New Roman" w:hAnsi="Times New Roman" w:cs="Times New Roman" w:hint="eastAsia"/>
          <w:sz w:val="24"/>
          <w:szCs w:val="24"/>
        </w:rPr>
        <w:t>requires</w:t>
      </w:r>
      <w:r w:rsidRPr="00A3505C">
        <w:rPr>
          <w:rFonts w:ascii="Times New Roman" w:hAnsi="Times New Roman" w:cs="Times New Roman"/>
          <w:sz w:val="24"/>
          <w:szCs w:val="24"/>
        </w:rPr>
        <w:t xml:space="preserve"> significant </w:t>
      </w:r>
      <w:r w:rsidRPr="00A3505C">
        <w:rPr>
          <w:rFonts w:ascii="Times New Roman" w:hAnsi="Times New Roman" w:cs="Times New Roman" w:hint="eastAsia"/>
          <w:sz w:val="24"/>
          <w:szCs w:val="24"/>
        </w:rPr>
        <w:t>investment</w:t>
      </w:r>
      <w:r w:rsidRPr="00A3505C">
        <w:rPr>
          <w:rFonts w:ascii="Times New Roman" w:hAnsi="Times New Roman" w:cs="Times New Roman"/>
          <w:sz w:val="24"/>
          <w:szCs w:val="24"/>
        </w:rPr>
        <w:t>, commitment, and risk</w:t>
      </w:r>
      <w:r w:rsidRPr="00A3505C">
        <w:rPr>
          <w:rFonts w:ascii="Times New Roman" w:hAnsi="Times New Roman" w:cs="Times New Roman" w:hint="eastAsia"/>
          <w:sz w:val="24"/>
          <w:szCs w:val="24"/>
        </w:rPr>
        <w:t>-taking</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&lt;EndNote&gt;&lt;Cite&gt;&lt;Author&gt;Teng&lt;/Author&gt;&lt;Year&gt;2023&lt;/Year&gt;&lt;RecNum&gt;8507&lt;/RecNum&gt;&lt;DisplayText&gt;(Teng and Tan, 2023; Hildebrandt&lt;style face="italic"&gt; et al.&lt;/style&gt;, 2018)&lt;/DisplayText&gt;&lt;record&gt;&lt;rec-number&gt;8507&lt;/rec-number&gt;&lt;foreign-keys&gt;&lt;key app="EN" db-id="tt95vv9zf20xf0ewve7x0fsl990xeeasafzs" timestamp="1706287272"&gt;8507&lt;/key&gt;&lt;/foreign-keys&gt;&lt;ref-type name="Journal Article"&gt;17&lt;/ref-type&gt;&lt;contributors&gt;&lt;authors&gt;&lt;author&gt;Teng, Mingming&lt;/author&gt;&lt;author&gt;Tan, Weijie&lt;/author&gt;&lt;/authors&gt;&lt;/contributors&gt;&lt;titles&gt;&lt;title&gt;Bank branch agglomeration and corporate green transformation: Evidence from China&lt;/title&gt;&lt;secondary-title&gt;Finance Research Letters&lt;/secondary-title&gt;&lt;/titles&gt;&lt;periodical&gt;&lt;full-title&gt;Finance Research Letters&lt;/full-title&gt;&lt;abbr-1&gt;Financ. Res. Lett.&lt;/abbr-1&gt;&lt;/periodical&gt;&lt;volume&gt;58&lt;/volume&gt;&lt;section&gt;104478&lt;/section&gt;&lt;dates&gt;&lt;year&gt;2023&lt;/year&gt;&lt;/dates&gt;&lt;isbn&gt;15446123&lt;/isbn&gt;&lt;urls&gt;&lt;/urls&gt;&lt;electronic-resource-num&gt;10.1016/j.frl.2023.104478&lt;/electronic-resource-num&gt;&lt;/record&gt;&lt;/Cite&gt;&lt;Cite&gt;&lt;Author&gt;Hildebrandt&lt;/Author&gt;&lt;Year&gt;2018&lt;/Year&gt;&lt;RecNum&gt;8501&lt;/RecNum&gt;&lt;record&gt;&lt;rec-number&gt;8501&lt;/rec-number&gt;&lt;foreign-keys&gt;&lt;key app="EN" db-id="tt95vv9zf20xf0ewve7x0fsl990xeeasafzs" timestamp="1706151592"&gt;8501&lt;/key&gt;&lt;/foreign-keys&gt;&lt;ref-type name="Journal Article"&gt;17&lt;/ref-type&gt;&lt;contributors&gt;&lt;authors&gt;&lt;author&gt;Hildebrandt, Peter&lt;/author&gt;&lt;author&gt;Oehmichen, Jana&lt;/author&gt;&lt;author&gt;Pidun, Ulrich&lt;/author&gt;&lt;author&gt;Wolff, Michael&lt;/author&gt;&lt;/authors&gt;&lt;/contributors&gt;&lt;titles&gt;&lt;title&gt;Multiple recipes for success – A configurational examination of business portfolio restructurings&lt;/title&gt;&lt;secondary-title&gt;European Management Journal&lt;/secondary-title&gt;&lt;/titles&gt;&lt;periodical&gt;&lt;full-title&gt;European Management Journal&lt;/full-title&gt;&lt;abbr-1&gt;Eur. Manag. J.&lt;/abbr-1&gt;&lt;/periodical&gt;&lt;pages&gt;381-391&lt;/pages&gt;&lt;volume&gt;36&lt;/volume&gt;&lt;number&gt;3&lt;/number&gt;&lt;section&gt;381&lt;/section&gt;&lt;dates&gt;&lt;year&gt;2018&lt;/year&gt;&lt;/dates&gt;&lt;isbn&gt;02632373&lt;/isbn&gt;&lt;urls&gt;&lt;/urls&gt;&lt;electronic-resource-num&gt;10.1016/j.emj.2017.05.007&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(Teng and Tan, 2023)</w:t>
      </w:r>
      <w:r w:rsidRPr="00A3505C">
        <w:rPr>
          <w:rFonts w:ascii="Times New Roman" w:hAnsi="Times New Roman" w:cs="Times New Roman"/>
          <w:sz w:val="24"/>
          <w:szCs w:val="24"/>
        </w:rPr>
        <w:fldChar w:fldCharType="end"/>
      </w:r>
      <w:r w:rsidRPr="00A3505C">
        <w:rPr>
          <w:rFonts w:ascii="Times New Roman" w:hAnsi="Times New Roman" w:cs="Times New Roman" w:hint="eastAsia"/>
          <w:sz w:val="24"/>
          <w:szCs w:val="24"/>
        </w:rPr>
        <w:t xml:space="preserve">, as firms </w:t>
      </w:r>
      <w:r w:rsidRPr="00A3505C">
        <w:rPr>
          <w:rFonts w:ascii="Times New Roman" w:hAnsi="Times New Roman" w:cs="Times New Roman"/>
          <w:sz w:val="24"/>
          <w:szCs w:val="24"/>
        </w:rPr>
        <w:t xml:space="preserve">allocate internal resources </w:t>
      </w:r>
      <w:r w:rsidRPr="00A3505C">
        <w:rPr>
          <w:rFonts w:ascii="Times New Roman" w:hAnsi="Times New Roman" w:cs="Times New Roman" w:hint="eastAsia"/>
          <w:sz w:val="24"/>
          <w:szCs w:val="24"/>
        </w:rPr>
        <w:t>to</w:t>
      </w:r>
      <w:r w:rsidRPr="00A3505C">
        <w:rPr>
          <w:rFonts w:ascii="Times New Roman" w:hAnsi="Times New Roman" w:cs="Times New Roman"/>
          <w:sz w:val="24"/>
          <w:szCs w:val="24"/>
        </w:rPr>
        <w:t xml:space="preserve"> transition toward greener business models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&lt;EndNote&gt;&lt;Cite&gt;&lt;Author&gt;Klausmann&lt;/Author&gt;&lt;Year&gt;2024&lt;/Year&gt;&lt;RecNum&gt;10166&lt;/RecNum&gt;&lt;DisplayText&gt;(Klausmann&lt;style face="italic"&gt; et al.&lt;/style&gt;, 2024)&lt;/DisplayText&gt;&lt;record&gt;&lt;rec-number&gt;10166&lt;/rec-number&gt;&lt;foreign-keys&gt;&lt;key app="EN" db-id="tt95vv9zf20xf0ewve7x0fsl990xeeasafzs" timestamp="1730857984"&gt;10166&lt;/key&gt;&lt;/foreign-keys&gt;&lt;ref-type name="Unpublished Work"&gt;34&lt;/ref-type&gt;&lt;contributors&gt;&lt;authors&gt;&lt;author&gt;Klausmann, J.&lt;/author&gt;&lt;author&gt;Krueger, P.&lt;/author&gt;&lt;author&gt;Matos, P.&lt;/author&gt;&lt;/authors&gt;&lt;/contributors&gt;&lt;titles&gt;&lt;title&gt;The green transition: Evidence from corporate green revenues&lt;/title&gt;&lt;/titles&gt;&lt;num-vols&gt;4850449&lt;/num-vols&gt;&lt;dates&gt;&lt;year&gt;2024&lt;/year&gt;&lt;/dates&gt;&lt;publisher&gt;Darden Business School&lt;/publisher&gt;&lt;urls&gt;&lt;related-urls&gt;&lt;url&gt;https://papers.ssrn.com/sol3/papers.cfm?abstract_id=4850449&lt;/url&gt;&lt;/related-urls&gt;&lt;/urls&gt;&lt;electronic-resource-num&gt;10.2139/ssrn.4850449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(Klausmann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w:t>
      </w:r>
    </w:p>
    <w:p w14:paraId="2A831508" w14:textId="3FA6E209" w:rsidR="00B76166" w:rsidRPr="00A3505C" w:rsidRDefault="000F7DAA" w:rsidP="00851BA1">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Given that resource portfolios differ across strategic orientations (Nason and Wiklund, 2015; Zhou and Park, 2024), firms face distinct challenges in transitioning to green revenue generation. Profit-oriented firms, which concentrate on VRIN resources to build firm-specific competitive advantages (Barney, 1991; Peteraf, 1993), </w:t>
      </w:r>
      <w:r w:rsidR="00ED6815" w:rsidRPr="00ED6815">
        <w:rPr>
          <w:rFonts w:ascii="Times New Roman" w:hAnsi="Times New Roman" w:cs="Times New Roman" w:hint="eastAsia"/>
          <w:color w:val="FF0000"/>
          <w:sz w:val="24"/>
          <w:szCs w:val="24"/>
        </w:rPr>
        <w:t xml:space="preserve">often have weaker </w:t>
      </w:r>
      <w:r w:rsidR="00B95243" w:rsidRPr="00F67B78">
        <w:rPr>
          <w:rFonts w:ascii="Times New Roman" w:hAnsi="Times New Roman" w:cs="Times New Roman"/>
          <w:color w:val="FF0000"/>
          <w:sz w:val="24"/>
          <w:szCs w:val="24"/>
        </w:rPr>
        <w:t>incentives to redeploy resources</w:t>
      </w:r>
      <w:r w:rsidR="00F67B78" w:rsidRPr="00F67B78">
        <w:rPr>
          <w:rFonts w:ascii="Times New Roman" w:hAnsi="Times New Roman" w:cs="Times New Roman" w:hint="eastAsia"/>
          <w:color w:val="FF0000"/>
          <w:sz w:val="24"/>
          <w:szCs w:val="24"/>
        </w:rPr>
        <w:t xml:space="preserve"> </w:t>
      </w:r>
      <w:r w:rsidRPr="00F67B78">
        <w:rPr>
          <w:rFonts w:ascii="Times New Roman" w:hAnsi="Times New Roman" w:cs="Times New Roman"/>
          <w:color w:val="FF0000"/>
          <w:sz w:val="24"/>
          <w:szCs w:val="24"/>
        </w:rPr>
        <w:t xml:space="preserve">to external changes, including environmental pressures </w:t>
      </w:r>
      <w:r w:rsidRPr="00A3505C">
        <w:rPr>
          <w:rFonts w:ascii="Times New Roman" w:hAnsi="Times New Roman" w:cs="Times New Roman"/>
          <w:sz w:val="24"/>
          <w:szCs w:val="24"/>
        </w:rPr>
        <w:t xml:space="preserve">(Nason and Wiklund, 2015). While these resources enhance competitive advantage, they can paradoxically constrain exploration of new opportunities and transformation toward greener business models (Combs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201</w:t>
      </w:r>
      <w:r w:rsidR="008422DB" w:rsidRPr="00A3505C">
        <w:rPr>
          <w:rFonts w:ascii="Times New Roman" w:hAnsi="Times New Roman" w:cs="Times New Roman" w:hint="eastAsia"/>
          <w:sz w:val="24"/>
          <w:szCs w:val="24"/>
        </w:rPr>
        <w:t>1</w:t>
      </w:r>
      <w:r w:rsidRPr="00A3505C">
        <w:rPr>
          <w:rFonts w:ascii="Times New Roman" w:hAnsi="Times New Roman" w:cs="Times New Roman"/>
          <w:sz w:val="24"/>
          <w:szCs w:val="24"/>
        </w:rPr>
        <w:t>).</w:t>
      </w:r>
      <w:r w:rsidR="008422DB" w:rsidRPr="00A3505C">
        <w:rPr>
          <w:rFonts w:ascii="Times New Roman" w:hAnsi="Times New Roman" w:cs="Times New Roman" w:hint="eastAsia"/>
          <w:sz w:val="24"/>
          <w:szCs w:val="24"/>
        </w:rPr>
        <w:t xml:space="preserve"> As </w:t>
      </w:r>
      <w:r w:rsidRPr="00A3505C">
        <w:rPr>
          <w:rFonts w:ascii="Times New Roman" w:hAnsi="Times New Roman" w:cs="Times New Roman"/>
          <w:sz w:val="24"/>
          <w:szCs w:val="24"/>
        </w:rPr>
        <w:t xml:space="preserve">generating green revenues requires resources to support sustainable </w:t>
      </w:r>
      <w:r w:rsidRPr="00A3505C">
        <w:rPr>
          <w:rFonts w:ascii="Times New Roman" w:hAnsi="Times New Roman" w:cs="Times New Roman"/>
          <w:sz w:val="24"/>
          <w:szCs w:val="24"/>
        </w:rPr>
        <w:lastRenderedPageBreak/>
        <w:t xml:space="preserve">business models (Klausmann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2024), profit-oriented firms face opportunity costs and risks to profitability in reallocating VRIN resources (Levinthal and Wu, 2010). We therefore posit that profit-oriented firms are less likely to align their resources toward green revenue generation.</w:t>
      </w:r>
      <w:r w:rsidR="00B76166" w:rsidRPr="00A3505C">
        <w:rPr>
          <w:rFonts w:ascii="Times New Roman" w:hAnsi="Times New Roman" w:cs="Times New Roman" w:hint="eastAsia"/>
          <w:sz w:val="24"/>
          <w:szCs w:val="24"/>
        </w:rPr>
        <w:t xml:space="preserve"> </w:t>
      </w:r>
    </w:p>
    <w:p w14:paraId="21284AB0" w14:textId="601DE343" w:rsidR="000F7DAA" w:rsidRPr="00A3505C" w:rsidRDefault="000F7DAA" w:rsidP="005C2D70">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In contrast, growth-oriented firms possess a broader portfolio of versatile resources, enhancing their flexibility to pursue transitions and seize new opportunities (Nason and Wiklund, 2015). </w:t>
      </w:r>
      <w:r w:rsidR="008422DB" w:rsidRPr="00A3505C">
        <w:rPr>
          <w:rFonts w:ascii="Times New Roman" w:hAnsi="Times New Roman" w:cs="Times New Roman" w:hint="eastAsia"/>
          <w:sz w:val="24"/>
          <w:szCs w:val="24"/>
        </w:rPr>
        <w:t>V</w:t>
      </w:r>
      <w:r w:rsidRPr="00A3505C">
        <w:rPr>
          <w:rFonts w:ascii="Times New Roman" w:hAnsi="Times New Roman" w:cs="Times New Roman"/>
          <w:sz w:val="24"/>
          <w:szCs w:val="24"/>
        </w:rPr>
        <w:t xml:space="preserve">ersatile resources are less constrained by path dependence, allowing greater agility in responding to external pressures (Huang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2025). For example, firms with </w:t>
      </w:r>
      <w:r w:rsidR="005C2D70" w:rsidRPr="00A3505C">
        <w:rPr>
          <w:rFonts w:ascii="Times New Roman" w:hAnsi="Times New Roman" w:cs="Times New Roman"/>
          <w:sz w:val="24"/>
          <w:szCs w:val="24"/>
        </w:rPr>
        <w:t>broader knowledge and technology bases, boundary-spanning networks and stakeholder relationships, organisational flexibility and structural slack</w:t>
      </w:r>
      <w:r w:rsidR="00E53E1E" w:rsidRPr="00A3505C">
        <w:rPr>
          <w:rFonts w:ascii="Times New Roman" w:hAnsi="Times New Roman" w:cs="Times New Roman"/>
          <w:sz w:val="24"/>
          <w:szCs w:val="24"/>
        </w:rPr>
        <w:t>,</w:t>
      </w:r>
      <w:r w:rsidR="005C2D70" w:rsidRPr="00A3505C">
        <w:rPr>
          <w:rFonts w:ascii="Times New Roman" w:hAnsi="Times New Roman" w:cs="Times New Roman"/>
          <w:sz w:val="24"/>
          <w:szCs w:val="24"/>
        </w:rPr>
        <w:t xml:space="preserve"> and flexible production processes (Zhou </w:t>
      </w:r>
      <w:r w:rsidR="005C2D70" w:rsidRPr="00A3505C">
        <w:rPr>
          <w:rFonts w:ascii="Times New Roman" w:hAnsi="Times New Roman" w:cs="Times New Roman"/>
          <w:i/>
          <w:iCs/>
          <w:sz w:val="24"/>
          <w:szCs w:val="24"/>
        </w:rPr>
        <w:t>et al</w:t>
      </w:r>
      <w:r w:rsidR="005C2D70" w:rsidRPr="00A3505C">
        <w:rPr>
          <w:rFonts w:ascii="Times New Roman" w:hAnsi="Times New Roman" w:cs="Times New Roman"/>
          <w:sz w:val="24"/>
          <w:szCs w:val="24"/>
        </w:rPr>
        <w:t>.</w:t>
      </w:r>
      <w:r w:rsidR="00E53E1E" w:rsidRPr="00A3505C">
        <w:rPr>
          <w:rFonts w:ascii="Times New Roman" w:hAnsi="Times New Roman" w:cs="Times New Roman"/>
          <w:sz w:val="24"/>
          <w:szCs w:val="24"/>
        </w:rPr>
        <w:t>,</w:t>
      </w:r>
      <w:r w:rsidR="005C2D70" w:rsidRPr="00A3505C">
        <w:rPr>
          <w:rFonts w:ascii="Times New Roman" w:hAnsi="Times New Roman" w:cs="Times New Roman"/>
          <w:sz w:val="24"/>
          <w:szCs w:val="24"/>
        </w:rPr>
        <w:t xml:space="preserve"> 2025)</w:t>
      </w:r>
      <w:r w:rsidR="005C2D70" w:rsidRPr="00A3505C">
        <w:rPr>
          <w:rFonts w:ascii="Times New Roman" w:hAnsi="Times New Roman" w:cs="Times New Roman" w:hint="eastAsia"/>
          <w:sz w:val="24"/>
          <w:szCs w:val="24"/>
        </w:rPr>
        <w:t xml:space="preserve"> better position them to invest in green innovation and generate green revenues. </w:t>
      </w:r>
      <w:r w:rsidRPr="00A3505C">
        <w:rPr>
          <w:rFonts w:ascii="Times New Roman" w:hAnsi="Times New Roman" w:cs="Times New Roman"/>
          <w:sz w:val="24"/>
          <w:szCs w:val="24"/>
        </w:rPr>
        <w:t xml:space="preserve">Similarly, organizational professionalism and network resources enable mature firms to pursue growth through market diversification (Pizzo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2022). Given that green transition drives green revenue generation (Klausmann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2024), growth-oriented firms are better positioned to reconfigure resources and are thus more likely to generate revenues from green-related activities.</w:t>
      </w:r>
      <w:r w:rsidR="00B76166" w:rsidRPr="00A3505C">
        <w:rPr>
          <w:rFonts w:ascii="Times New Roman" w:hAnsi="Times New Roman" w:cs="Times New Roman" w:hint="eastAsia"/>
          <w:sz w:val="24"/>
          <w:szCs w:val="24"/>
        </w:rPr>
        <w:t xml:space="preserve"> However, </w:t>
      </w:r>
      <w:r w:rsidR="00B76166" w:rsidRPr="00030425">
        <w:rPr>
          <w:rFonts w:ascii="Times New Roman" w:hAnsi="Times New Roman" w:cs="Times New Roman"/>
          <w:sz w:val="24"/>
          <w:szCs w:val="24"/>
        </w:rPr>
        <w:t>neither-nor-oriented</w:t>
      </w:r>
      <w:r w:rsidR="00B76166" w:rsidRPr="00A3505C">
        <w:rPr>
          <w:rFonts w:ascii="Times New Roman" w:hAnsi="Times New Roman" w:cs="Times New Roman"/>
          <w:sz w:val="24"/>
          <w:szCs w:val="24"/>
        </w:rPr>
        <w:t xml:space="preserve"> firms tend to possess </w:t>
      </w:r>
      <w:r w:rsidR="00B76166" w:rsidRPr="00030425">
        <w:rPr>
          <w:rFonts w:ascii="Times New Roman" w:hAnsi="Times New Roman" w:cs="Times New Roman"/>
          <w:sz w:val="24"/>
          <w:szCs w:val="24"/>
        </w:rPr>
        <w:t xml:space="preserve">less developed and less strategically structured </w:t>
      </w:r>
      <w:r w:rsidR="00B76166" w:rsidRPr="00A3505C">
        <w:rPr>
          <w:rFonts w:ascii="Times New Roman" w:hAnsi="Times New Roman" w:cs="Times New Roman"/>
          <w:sz w:val="24"/>
          <w:szCs w:val="24"/>
        </w:rPr>
        <w:t>resource configurations that are neither strongly VRIN nor particularly versatile. As a result, they have weaker capabilities to mobilise resources toward emerging opportunities such as green revenue generation</w:t>
      </w:r>
      <w:r w:rsidR="00B76166" w:rsidRPr="00A3505C">
        <w:rPr>
          <w:rFonts w:ascii="Times New Roman" w:hAnsi="Times New Roman" w:cs="Times New Roman" w:hint="eastAsia"/>
          <w:sz w:val="24"/>
          <w:szCs w:val="24"/>
        </w:rPr>
        <w:t xml:space="preserve">. </w:t>
      </w:r>
      <w:r w:rsidR="00B76166" w:rsidRPr="00A3505C">
        <w:rPr>
          <w:rFonts w:ascii="Times New Roman" w:hAnsi="Times New Roman" w:cs="Times New Roman"/>
          <w:sz w:val="24"/>
          <w:szCs w:val="24"/>
        </w:rPr>
        <w:t>W</w:t>
      </w:r>
      <w:r w:rsidR="00B76166" w:rsidRPr="00A3505C">
        <w:rPr>
          <w:rFonts w:ascii="Times New Roman" w:hAnsi="Times New Roman" w:cs="Times New Roman" w:hint="eastAsia"/>
          <w:sz w:val="24"/>
          <w:szCs w:val="24"/>
        </w:rPr>
        <w:t>e thus develop our first hypothesis as follows:</w:t>
      </w:r>
    </w:p>
    <w:p w14:paraId="21C5F75D" w14:textId="77777777" w:rsidR="000F7DAA" w:rsidRPr="00A3505C" w:rsidRDefault="000F7DAA" w:rsidP="000F7DAA">
      <w:pPr>
        <w:adjustRightInd w:val="0"/>
        <w:snapToGrid w:val="0"/>
        <w:spacing w:after="240" w:line="240" w:lineRule="auto"/>
        <w:ind w:left="425"/>
        <w:jc w:val="both"/>
        <w:rPr>
          <w:rFonts w:ascii="Times New Roman" w:hAnsi="Times New Roman" w:cs="Times New Roman"/>
          <w:i/>
          <w:iCs/>
          <w:sz w:val="24"/>
          <w:szCs w:val="24"/>
        </w:rPr>
      </w:pPr>
      <w:r w:rsidRPr="00A3505C">
        <w:rPr>
          <w:rFonts w:ascii="Times New Roman" w:hAnsi="Times New Roman" w:cs="Times New Roman"/>
          <w:b/>
          <w:bCs/>
          <w:i/>
          <w:iCs/>
          <w:sz w:val="24"/>
          <w:szCs w:val="24"/>
        </w:rPr>
        <w:t xml:space="preserve">H1: </w:t>
      </w:r>
      <w:r w:rsidRPr="00A3505C">
        <w:rPr>
          <w:rFonts w:ascii="Times New Roman" w:hAnsi="Times New Roman" w:cs="Times New Roman"/>
          <w:i/>
          <w:iCs/>
          <w:sz w:val="24"/>
          <w:szCs w:val="24"/>
        </w:rPr>
        <w:t>Compared with profit-oriented and neither-</w:t>
      </w:r>
      <w:r w:rsidRPr="00A3505C">
        <w:rPr>
          <w:rFonts w:ascii="Times New Roman" w:hAnsi="Times New Roman" w:cs="Times New Roman" w:hint="eastAsia"/>
          <w:i/>
          <w:iCs/>
          <w:sz w:val="24"/>
          <w:szCs w:val="24"/>
        </w:rPr>
        <w:t>nor</w:t>
      </w:r>
      <w:r w:rsidRPr="00A3505C">
        <w:rPr>
          <w:rFonts w:ascii="Times New Roman" w:hAnsi="Times New Roman" w:cs="Times New Roman"/>
          <w:i/>
          <w:iCs/>
          <w:sz w:val="24"/>
          <w:szCs w:val="24"/>
        </w:rPr>
        <w:t>-oriented firms, growth-oriented firms are more likely to generate green revenues.</w:t>
      </w:r>
    </w:p>
    <w:p w14:paraId="42AF71D1" w14:textId="77777777" w:rsidR="000F7DAA" w:rsidRPr="00A3505C" w:rsidRDefault="000F7DAA" w:rsidP="000F7DAA">
      <w:pPr>
        <w:adjustRightInd w:val="0"/>
        <w:snapToGrid w:val="0"/>
        <w:spacing w:after="120" w:line="36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2.4 Underlying mechanism: green patents</w:t>
      </w:r>
    </w:p>
    <w:p w14:paraId="5FAE4042" w14:textId="38AA49BF" w:rsidR="000F7DAA" w:rsidRPr="00A3505C" w:rsidRDefault="000F7DAA" w:rsidP="000F7DAA">
      <w:pPr>
        <w:adjustRightInd w:val="0"/>
        <w:snapToGrid w:val="0"/>
        <w:spacing w:after="120" w:line="360" w:lineRule="auto"/>
        <w:ind w:firstLine="425"/>
        <w:jc w:val="both"/>
        <w:rPr>
          <w:rFonts w:ascii="Times" w:hAnsi="Times" w:cs="Times New Roman"/>
          <w:sz w:val="24"/>
          <w:szCs w:val="24"/>
        </w:rPr>
      </w:pPr>
      <w:r w:rsidRPr="00A3505C">
        <w:rPr>
          <w:rFonts w:ascii="Times" w:hAnsi="Times" w:cs="Times New Roman"/>
          <w:sz w:val="24"/>
          <w:szCs w:val="24"/>
        </w:rPr>
        <w:t xml:space="preserve">Firms that effectively orchestrate their resources could capitalize on opportunities to innovate and </w:t>
      </w:r>
      <w:r w:rsidRPr="00A3505C">
        <w:rPr>
          <w:rFonts w:ascii="Times" w:hAnsi="Times" w:cs="Times New Roman" w:hint="eastAsia"/>
          <w:sz w:val="24"/>
          <w:szCs w:val="24"/>
        </w:rPr>
        <w:t>develop</w:t>
      </w:r>
      <w:r w:rsidRPr="00A3505C">
        <w:rPr>
          <w:rFonts w:ascii="Times" w:hAnsi="Times" w:cs="Times New Roman"/>
          <w:sz w:val="24"/>
          <w:szCs w:val="24"/>
        </w:rPr>
        <w:t xml:space="preserve"> patents</w:t>
      </w:r>
      <w:r w:rsidR="004A6EB6" w:rsidRPr="00A3505C">
        <w:rPr>
          <w:rFonts w:ascii="Times" w:hAnsi="Times" w:cs="Times New Roman"/>
          <w:sz w:val="24"/>
          <w:szCs w:val="24"/>
        </w:rPr>
        <w:t>,</w:t>
      </w:r>
      <w:r w:rsidRPr="00A3505C">
        <w:rPr>
          <w:rFonts w:ascii="Times" w:hAnsi="Times" w:cs="Times New Roman"/>
          <w:sz w:val="24"/>
          <w:szCs w:val="24"/>
        </w:rPr>
        <w:t xml:space="preserve"> </w:t>
      </w:r>
      <w:r w:rsidRPr="00A3505C">
        <w:rPr>
          <w:rFonts w:ascii="Times" w:hAnsi="Times" w:cs="Times New Roman" w:hint="eastAsia"/>
          <w:sz w:val="24"/>
          <w:szCs w:val="24"/>
        </w:rPr>
        <w:t>promoting</w:t>
      </w:r>
      <w:r w:rsidRPr="00A3505C">
        <w:rPr>
          <w:rFonts w:ascii="Times" w:hAnsi="Times" w:cs="Times New Roman"/>
          <w:sz w:val="24"/>
          <w:szCs w:val="24"/>
        </w:rPr>
        <w:t xml:space="preserve"> sustainable business practices </w:t>
      </w:r>
      <w:r w:rsidRPr="00A3505C">
        <w:rPr>
          <w:rFonts w:ascii="Times" w:hAnsi="Times" w:cs="Times New Roman"/>
          <w:sz w:val="24"/>
          <w:szCs w:val="24"/>
        </w:rPr>
        <w:fldChar w:fldCharType="begin"/>
      </w:r>
      <w:r w:rsidRPr="00A3505C">
        <w:rPr>
          <w:rFonts w:ascii="Times" w:hAnsi="Times" w:cs="Times New Roman"/>
          <w:sz w:val="24"/>
          <w:szCs w:val="24"/>
        </w:rPr>
        <w:instrText xml:space="preserve"> ADDIN EN.CITE &lt;EndNote&gt;&lt;Cite&gt;&lt;Author&gt;Alkaraan&lt;/Author&gt;&lt;Year&gt;2024&lt;/Year&gt;&lt;RecNum&gt;9045&lt;/RecNum&gt;&lt;DisplayText&gt;(Alkaraan&lt;style face="italic"&gt; et al.&lt;/style&gt;, 2024)&lt;/DisplayText&gt;&lt;record&gt;&lt;rec-number&gt;9045&lt;/rec-number&gt;&lt;foreign-keys&gt;&lt;key app="EN" db-id="tt95vv9zf20xf0ewve7x0fsl990xeeasafzs" timestamp="1709460439"&gt;9045&lt;/key&gt;&lt;/foreign-keys&gt;&lt;ref-type name="Journal Article"&gt;17&lt;/ref-type&gt;&lt;contributors&gt;&lt;authors&gt;&lt;author&gt;Alkaraan, Fadi&lt;/author&gt;&lt;author&gt;Elmarzouky, Mahmoud&lt;/author&gt;&lt;author&gt;Hussainey, Khaled&lt;/author&gt;&lt;author&gt;Venkatesh, V. G.&lt;/author&gt;&lt;author&gt;Shi, Yangyan&lt;/author&gt;&lt;author&gt;Gulko, Nadia&lt;/author&gt;&lt;/authors&gt;&lt;/contributors&gt;&lt;titles&gt;&lt;title&gt;Reinforcing green business strategies with Industry 4.0 and governance towards sustainability: Natural</w:instrText>
      </w:r>
      <w:r w:rsidRPr="00A3505C">
        <w:rPr>
          <w:rFonts w:ascii="Cambria Math" w:hAnsi="Cambria Math" w:cs="Cambria Math"/>
          <w:sz w:val="24"/>
          <w:szCs w:val="24"/>
        </w:rPr>
        <w:instrText>‐</w:instrText>
      </w:r>
      <w:r w:rsidRPr="00A3505C">
        <w:rPr>
          <w:rFonts w:ascii="Times" w:hAnsi="Times" w:cs="Times New Roman"/>
          <w:sz w:val="24"/>
          <w:szCs w:val="24"/>
        </w:rPr>
        <w:instrText>resource</w:instrText>
      </w:r>
      <w:r w:rsidRPr="00A3505C">
        <w:rPr>
          <w:rFonts w:ascii="Cambria Math" w:hAnsi="Cambria Math" w:cs="Cambria Math"/>
          <w:sz w:val="24"/>
          <w:szCs w:val="24"/>
        </w:rPr>
        <w:instrText>‐</w:instrText>
      </w:r>
      <w:r w:rsidRPr="00A3505C">
        <w:rPr>
          <w:rFonts w:ascii="Times" w:hAnsi="Times" w:cs="Times New Roman"/>
          <w:sz w:val="24"/>
          <w:szCs w:val="24"/>
        </w:rPr>
        <w:instrText>based view and dynamic capability&lt;/title&gt;&lt;secondary-title&gt;Business Strategy and the Environment&lt;/secondary-title&gt;&lt;/titles&gt;&lt;periodical&gt;&lt;full-title&gt;Business Strategy and the Environment&lt;/full-title&gt;&lt;abbr-1&gt;Bus. Strateg. Environ.&lt;/abbr-1&gt;&lt;/periodical&gt;&lt;dates&gt;&lt;year&gt;2024&lt;/year&gt;&lt;/dates&gt;&lt;isbn&gt;0964-4733&amp;#xD;1099-0836&lt;/isbn&gt;&lt;urls&gt;&lt;/urls&gt;&lt;electronic-resource-num&gt;10.1002/bse.3665&lt;/electronic-resource-num&gt;&lt;/record&gt;&lt;/Cite&gt;&lt;/EndNote&gt;</w:instrText>
      </w:r>
      <w:r w:rsidRPr="00A3505C">
        <w:rPr>
          <w:rFonts w:ascii="Times" w:hAnsi="Times" w:cs="Times New Roman"/>
          <w:sz w:val="24"/>
          <w:szCs w:val="24"/>
        </w:rPr>
        <w:fldChar w:fldCharType="separate"/>
      </w:r>
      <w:r w:rsidRPr="00A3505C">
        <w:rPr>
          <w:rFonts w:ascii="Times" w:hAnsi="Times" w:cs="Times New Roman"/>
          <w:noProof/>
          <w:sz w:val="24"/>
          <w:szCs w:val="24"/>
        </w:rPr>
        <w:t>(Alkaraan</w:t>
      </w:r>
      <w:r w:rsidRPr="00A3505C">
        <w:rPr>
          <w:rFonts w:ascii="Times" w:hAnsi="Times" w:cs="Times New Roman"/>
          <w:i/>
          <w:noProof/>
          <w:sz w:val="24"/>
          <w:szCs w:val="24"/>
        </w:rPr>
        <w:t xml:space="preserve"> et al.</w:t>
      </w:r>
      <w:r w:rsidRPr="00A3505C">
        <w:rPr>
          <w:rFonts w:ascii="Times" w:hAnsi="Times" w:cs="Times New Roman"/>
          <w:noProof/>
          <w:sz w:val="24"/>
          <w:szCs w:val="24"/>
        </w:rPr>
        <w:t>, 2024)</w:t>
      </w:r>
      <w:r w:rsidRPr="00A3505C">
        <w:rPr>
          <w:rFonts w:ascii="Times" w:hAnsi="Times" w:cs="Times New Roman"/>
          <w:sz w:val="24"/>
          <w:szCs w:val="24"/>
        </w:rPr>
        <w:fldChar w:fldCharType="end"/>
      </w:r>
      <w:r w:rsidRPr="00A3505C">
        <w:rPr>
          <w:rFonts w:ascii="Times" w:hAnsi="Times" w:cs="Times New Roman"/>
          <w:sz w:val="24"/>
          <w:szCs w:val="24"/>
        </w:rPr>
        <w:t xml:space="preserve">. Green patents </w:t>
      </w:r>
      <w:r w:rsidRPr="00A3505C">
        <w:rPr>
          <w:rFonts w:ascii="Times" w:hAnsi="Times" w:cs="Times New Roman" w:hint="eastAsia"/>
          <w:sz w:val="24"/>
          <w:szCs w:val="24"/>
        </w:rPr>
        <w:t>represent</w:t>
      </w:r>
      <w:r w:rsidRPr="00A3505C">
        <w:rPr>
          <w:rFonts w:ascii="Times" w:hAnsi="Times" w:cs="Times New Roman"/>
          <w:sz w:val="24"/>
          <w:szCs w:val="24"/>
        </w:rPr>
        <w:t xml:space="preserve"> the outcome</w:t>
      </w:r>
      <w:r w:rsidRPr="00A3505C">
        <w:rPr>
          <w:rFonts w:ascii="Times" w:hAnsi="Times" w:cs="Times New Roman" w:hint="eastAsia"/>
          <w:sz w:val="24"/>
          <w:szCs w:val="24"/>
        </w:rPr>
        <w:t>s</w:t>
      </w:r>
      <w:r w:rsidRPr="00A3505C">
        <w:rPr>
          <w:rFonts w:ascii="Times" w:hAnsi="Times" w:cs="Times New Roman"/>
          <w:sz w:val="24"/>
          <w:szCs w:val="24"/>
        </w:rPr>
        <w:t xml:space="preserve"> of innovative actions of firms aimed at conserving the environment through sustainable business practices, products, or services </w:t>
      </w:r>
      <w:r w:rsidRPr="00A3505C">
        <w:rPr>
          <w:rFonts w:ascii="Times" w:hAnsi="Times" w:cs="Times New Roman"/>
          <w:sz w:val="24"/>
          <w:szCs w:val="24"/>
        </w:rPr>
        <w:fldChar w:fldCharType="begin"/>
      </w:r>
      <w:r w:rsidRPr="00A3505C">
        <w:rPr>
          <w:rFonts w:ascii="Times" w:hAnsi="Times" w:cs="Times New Roman"/>
          <w:sz w:val="24"/>
          <w:szCs w:val="24"/>
        </w:rPr>
        <w:instrText xml:space="preserve"> ADDIN EN.CITE &lt;EndNote&gt;&lt;Cite&gt;&lt;Author&gt;Wang&lt;/Author&gt;&lt;Year&gt;2023&lt;/Year&gt;&lt;RecNum&gt;9044&lt;/RecNum&gt;&lt;DisplayText&gt;(Wang&lt;style face="italic"&gt; et al.&lt;/style&gt;, 2023; Wurlod and Noailly, 2018)&lt;/DisplayText&gt;&lt;record&gt;&lt;rec-number&gt;9044&lt;/rec-number&gt;&lt;foreign-keys&gt;&lt;key app="EN" db-id="tt95vv9zf20xf0ewve7x0fsl990xeeasafzs" timestamp="1709459142"&gt;9044&lt;/key&gt;&lt;/foreign-keys&gt;&lt;ref-type name="Journal Article"&gt;17&lt;/ref-type&gt;&lt;contributors&gt;&lt;authors&gt;&lt;author&gt;Wang, Ailun&lt;/author&gt;&lt;author&gt;Si, Lulu&lt;/author&gt;&lt;author&gt;Hu, Shuo&lt;/author&gt;&lt;/authors&gt;&lt;/contributors&gt;&lt;titles&gt;&lt;title&gt;Can the penalty mechanism of mandatory environmental regulations promote green innovation? Evidence from China&amp;apos;s enterprise data&lt;/title&gt;&lt;secondary-title&gt;Energy Economics&lt;/secondary-title&gt;&lt;/titles&gt;&lt;periodical&gt;&lt;full-title&gt;Energy Economics&lt;/full-title&gt;&lt;abbr-1&gt;Energy Econ.&lt;/abbr-1&gt;&lt;/periodical&gt;&lt;volume&gt;125&lt;/volume&gt;&lt;section&gt;106856&lt;/section&gt;&lt;dates&gt;&lt;year&gt;2023&lt;/year&gt;&lt;/dates&gt;&lt;isbn&gt;01409883&lt;/isbn&gt;&lt;urls&gt;&lt;/urls&gt;&lt;electronic-resource-num&gt;10.1016/j.eneco.2023.106856&lt;/electronic-resource-num&gt;&lt;/record&gt;&lt;/Cite&gt;&lt;Cite&gt;&lt;Author&gt;Wurlod&lt;/Author&gt;&lt;Year&gt;2018&lt;/Year&gt;&lt;RecNum&gt;10118&lt;/RecNum&gt;&lt;record&gt;&lt;rec-number&gt;10118&lt;/rec-number&gt;&lt;foreign-keys&gt;&lt;key app="EN" db-id="tt95vv9zf20xf0ewve7x0fsl990xeeasafzs" timestamp="1728539627"&gt;10118&lt;/key&gt;&lt;/foreign-keys&gt;&lt;ref-type name="Journal Article"&gt;17&lt;/ref-type&gt;&lt;contributors&gt;&lt;authors&gt;&lt;author&gt;Wurlod, Jules-Daniel&lt;/author&gt;&lt;author&gt;Noailly, Joëlle&lt;/author&gt;&lt;/authors&gt;&lt;/contributors&gt;&lt;titles&gt;&lt;title&gt;The impact of green innovation on energy intensity: An empirical analysis for 14 industrial sectors in OECD countries&lt;/title&gt;&lt;secondary-title&gt;Energy Economics&lt;/secondary-title&gt;&lt;/titles&gt;&lt;periodical&gt;&lt;full-title&gt;Energy Economics&lt;/full-title&gt;&lt;abbr-1&gt;Energy Econ.&lt;/abbr-1&gt;&lt;/periodical&gt;&lt;pages&gt;47-61&lt;/pages&gt;&lt;volume&gt;71&lt;/volume&gt;&lt;section&gt;47&lt;/section&gt;&lt;dates&gt;&lt;year&gt;2018&lt;/year&gt;&lt;/dates&gt;&lt;isbn&gt;01409883&lt;/isbn&gt;&lt;urls&gt;&lt;/urls&gt;&lt;electronic-resource-num&gt;10.1016/j.eneco.2017.12.012&lt;/electronic-resource-num&gt;&lt;/record&gt;&lt;/Cite&gt;&lt;/EndNote&gt;</w:instrText>
      </w:r>
      <w:r w:rsidRPr="00A3505C">
        <w:rPr>
          <w:rFonts w:ascii="Times" w:hAnsi="Times" w:cs="Times New Roman"/>
          <w:sz w:val="24"/>
          <w:szCs w:val="24"/>
        </w:rPr>
        <w:fldChar w:fldCharType="separate"/>
      </w:r>
      <w:r w:rsidRPr="00A3505C">
        <w:rPr>
          <w:rFonts w:ascii="Times" w:hAnsi="Times" w:cs="Times New Roman"/>
          <w:noProof/>
          <w:sz w:val="24"/>
          <w:szCs w:val="24"/>
        </w:rPr>
        <w:t>(Wang</w:t>
      </w:r>
      <w:r w:rsidRPr="00A3505C">
        <w:rPr>
          <w:rFonts w:ascii="Times" w:hAnsi="Times" w:cs="Times New Roman"/>
          <w:i/>
          <w:noProof/>
          <w:sz w:val="24"/>
          <w:szCs w:val="24"/>
        </w:rPr>
        <w:t xml:space="preserve"> et al.</w:t>
      </w:r>
      <w:r w:rsidRPr="00A3505C">
        <w:rPr>
          <w:rFonts w:ascii="Times" w:hAnsi="Times" w:cs="Times New Roman"/>
          <w:noProof/>
          <w:sz w:val="24"/>
          <w:szCs w:val="24"/>
        </w:rPr>
        <w:t>, 2023)</w:t>
      </w:r>
      <w:r w:rsidRPr="00A3505C">
        <w:rPr>
          <w:rFonts w:ascii="Times" w:hAnsi="Times" w:cs="Times New Roman"/>
          <w:sz w:val="24"/>
          <w:szCs w:val="24"/>
        </w:rPr>
        <w:fldChar w:fldCharType="end"/>
      </w:r>
      <w:r w:rsidRPr="00A3505C">
        <w:rPr>
          <w:rFonts w:ascii="Times" w:hAnsi="Times" w:cs="Times New Roman"/>
          <w:sz w:val="24"/>
          <w:szCs w:val="24"/>
        </w:rPr>
        <w:t xml:space="preserve">. </w:t>
      </w:r>
      <w:r w:rsidRPr="00A3505C">
        <w:rPr>
          <w:rFonts w:ascii="Times" w:hAnsi="Times" w:cs="Times New Roman" w:hint="eastAsia"/>
          <w:sz w:val="24"/>
          <w:szCs w:val="24"/>
        </w:rPr>
        <w:t>Developing such</w:t>
      </w:r>
      <w:r w:rsidRPr="00A3505C">
        <w:rPr>
          <w:rFonts w:ascii="Times" w:hAnsi="Times" w:cs="Times New Roman"/>
          <w:sz w:val="24"/>
          <w:szCs w:val="24"/>
        </w:rPr>
        <w:t xml:space="preserve"> green patents </w:t>
      </w:r>
      <w:r w:rsidR="00D54F1F" w:rsidRPr="00A3505C">
        <w:rPr>
          <w:rFonts w:ascii="Times" w:hAnsi="Times" w:cs="Times New Roman"/>
          <w:sz w:val="24"/>
          <w:szCs w:val="24"/>
        </w:rPr>
        <w:t xml:space="preserve">requires </w:t>
      </w:r>
      <w:r w:rsidRPr="00A3505C">
        <w:rPr>
          <w:rFonts w:ascii="Times" w:hAnsi="Times" w:cs="Times New Roman" w:hint="eastAsia"/>
          <w:sz w:val="24"/>
          <w:szCs w:val="24"/>
        </w:rPr>
        <w:t>significant</w:t>
      </w:r>
      <w:r w:rsidRPr="00A3505C">
        <w:rPr>
          <w:rFonts w:ascii="Times" w:hAnsi="Times" w:cs="Times New Roman"/>
          <w:sz w:val="24"/>
          <w:szCs w:val="24"/>
        </w:rPr>
        <w:t xml:space="preserve"> resource</w:t>
      </w:r>
      <w:r w:rsidRPr="00A3505C">
        <w:rPr>
          <w:rFonts w:ascii="Times" w:hAnsi="Times" w:cs="Times New Roman" w:hint="eastAsia"/>
          <w:sz w:val="24"/>
          <w:szCs w:val="24"/>
        </w:rPr>
        <w:t xml:space="preserve"> allocation</w:t>
      </w:r>
      <w:r w:rsidRPr="00A3505C">
        <w:rPr>
          <w:rFonts w:ascii="Times" w:hAnsi="Times" w:cs="Times New Roman"/>
          <w:sz w:val="24"/>
          <w:szCs w:val="24"/>
        </w:rPr>
        <w:t xml:space="preserve"> to acquire, internalize, and apply new capabilities </w:t>
      </w:r>
      <w:r w:rsidRPr="00A3505C">
        <w:rPr>
          <w:rFonts w:ascii="Times" w:hAnsi="Times" w:cs="Times New Roman"/>
          <w:sz w:val="24"/>
          <w:szCs w:val="24"/>
        </w:rPr>
        <w:fldChar w:fldCharType="begin"/>
      </w:r>
      <w:r w:rsidRPr="00A3505C">
        <w:rPr>
          <w:rFonts w:ascii="Times" w:hAnsi="Times" w:cs="Times New Roman"/>
          <w:sz w:val="24"/>
          <w:szCs w:val="24"/>
        </w:rPr>
        <w:instrText xml:space="preserve"> ADDIN EN.CITE &lt;EndNote&gt;&lt;Cite&gt;&lt;Author&gt;Ashraf&lt;/Author&gt;&lt;Year&gt;2024&lt;/Year&gt;&lt;RecNum&gt;9046&lt;/RecNum&gt;&lt;DisplayText&gt;(Ashraf&lt;style face="italic"&gt; et al.&lt;/style&gt;, 2024; Wei&lt;style face="italic"&gt; et al.&lt;/style&gt;, 2023)&lt;/DisplayText&gt;&lt;record&gt;&lt;rec-number&gt;9046&lt;/rec-number&gt;&lt;foreign-keys&gt;&lt;key app="EN" db-id="tt95vv9zf20xf0ewve7x0fsl990xeeasafzs" timestamp="1709460780"&gt;9046&lt;/key&gt;&lt;/foreign-keys&gt;&lt;ref-type name="Journal Article"&gt;17&lt;/ref-type&gt;&lt;contributors&gt;&lt;authors&gt;&lt;author&gt;Ashraf, Sheikh Farhan&lt;/author&gt;&lt;author&gt;Li, Cai&lt;/author&gt;&lt;author&gt;Wattoo, Muhammad Umair&lt;/author&gt;&lt;author&gt;Murad, Majid&lt;/author&gt;&lt;author&gt;Mahmood, Babak&lt;/author&gt;&lt;/authors&gt;&lt;/contributors&gt;&lt;titles&gt;&lt;title&gt;Green horizons: Unleashing green innovation through green business strategies and competencies&lt;/title&gt;&lt;secondary-title&gt;Business Strategy and the Environment&lt;/secondary-title&gt;&lt;/titles&gt;&lt;periodical&gt;&lt;full-title&gt;Business Strategy and the Environment&lt;/full-title&gt;&lt;abbr-1&gt;Bus. Strateg. Environ.&lt;/abbr-1&gt;&lt;/periodical&gt;&lt;dates&gt;&lt;year&gt;2024&lt;/year&gt;&lt;/dates&gt;&lt;isbn&gt;0964-4733&amp;#xD;1099-0836&lt;/isbn&gt;&lt;urls&gt;&lt;/urls&gt;&lt;electronic-resource-num&gt;10.1002/bse.3696&lt;/electronic-resource-num&gt;&lt;/record&gt;&lt;/Cite&gt;&lt;Cite&gt;&lt;Author&gt;Wei&lt;/Author&gt;&lt;Year&gt;2023&lt;/Year&gt;&lt;RecNum&gt;9032&lt;/RecNum&gt;&lt;record&gt;&lt;rec-number&gt;9032&lt;/rec-number&gt;&lt;foreign-keys&gt;&lt;key app="EN" db-id="tt95vv9zf20xf0ewve7x0fsl990xeeasafzs" timestamp="1709305983"&gt;9032&lt;/key&gt;&lt;/foreign-keys&gt;&lt;ref-type name="Journal Article"&gt;17&lt;/ref-type&gt;&lt;contributors&gt;&lt;authors&gt;&lt;author&gt;Wei, Xiahai&lt;/author&gt;&lt;author&gt;Wei, Qingfang&lt;/author&gt;&lt;author&gt;Yang, Lisha&lt;/author&gt;&lt;/authors&gt;&lt;/contributors&gt;&lt;titles&gt;&lt;title&gt;Induced green innovation of suppliers: The “green power” from major customers&lt;/title&gt;&lt;secondary-title&gt;Energy Economics&lt;/secondary-title&gt;&lt;/titles&gt;&lt;periodical&gt;&lt;full-title&gt;Energy Economics&lt;/full-title&gt;&lt;abbr-1&gt;Energy Econ.&lt;/abbr-1&gt;&lt;/periodical&gt;&lt;volume&gt;124&lt;/volume&gt;&lt;section&gt;106775&lt;/section&gt;&lt;dates&gt;&lt;year&gt;2023&lt;/year&gt;&lt;/dates&gt;&lt;isbn&gt;01409883&lt;/isbn&gt;&lt;urls&gt;&lt;/urls&gt;&lt;electronic-resource-num&gt;10.1016/j.eneco.2023.106775&lt;/electronic-resource-num&gt;&lt;/record&gt;&lt;/Cite&gt;&lt;/EndNote&gt;</w:instrText>
      </w:r>
      <w:r w:rsidRPr="00A3505C">
        <w:rPr>
          <w:rFonts w:ascii="Times" w:hAnsi="Times" w:cs="Times New Roman"/>
          <w:sz w:val="24"/>
          <w:szCs w:val="24"/>
        </w:rPr>
        <w:fldChar w:fldCharType="separate"/>
      </w:r>
      <w:r w:rsidRPr="00A3505C">
        <w:rPr>
          <w:rFonts w:ascii="Times" w:hAnsi="Times" w:cs="Times New Roman"/>
          <w:noProof/>
          <w:sz w:val="24"/>
          <w:szCs w:val="24"/>
        </w:rPr>
        <w:t>(Ashraf</w:t>
      </w:r>
      <w:r w:rsidRPr="00A3505C">
        <w:rPr>
          <w:rFonts w:ascii="Times" w:hAnsi="Times" w:cs="Times New Roman"/>
          <w:i/>
          <w:noProof/>
          <w:sz w:val="24"/>
          <w:szCs w:val="24"/>
        </w:rPr>
        <w:t xml:space="preserve"> et al.</w:t>
      </w:r>
      <w:r w:rsidRPr="00A3505C">
        <w:rPr>
          <w:rFonts w:ascii="Times" w:hAnsi="Times" w:cs="Times New Roman"/>
          <w:noProof/>
          <w:sz w:val="24"/>
          <w:szCs w:val="24"/>
        </w:rPr>
        <w:t>, 2024)</w:t>
      </w:r>
      <w:r w:rsidRPr="00A3505C">
        <w:rPr>
          <w:rFonts w:ascii="Times" w:hAnsi="Times" w:cs="Times New Roman"/>
          <w:sz w:val="24"/>
          <w:szCs w:val="24"/>
        </w:rPr>
        <w:fldChar w:fldCharType="end"/>
      </w:r>
      <w:r w:rsidR="003D605D" w:rsidRPr="00A3505C">
        <w:rPr>
          <w:rFonts w:ascii="Times" w:hAnsi="Times" w:cs="Times New Roman" w:hint="eastAsia"/>
          <w:sz w:val="24"/>
          <w:szCs w:val="24"/>
        </w:rPr>
        <w:t xml:space="preserve"> and </w:t>
      </w:r>
      <w:r w:rsidRPr="00A3505C">
        <w:rPr>
          <w:rFonts w:ascii="Times" w:hAnsi="Times" w:cs="Times New Roman" w:hint="eastAsia"/>
          <w:sz w:val="24"/>
          <w:szCs w:val="24"/>
        </w:rPr>
        <w:t>manag</w:t>
      </w:r>
      <w:r w:rsidR="003D605D" w:rsidRPr="00A3505C">
        <w:rPr>
          <w:rFonts w:ascii="Times" w:hAnsi="Times" w:cs="Times New Roman" w:hint="eastAsia"/>
          <w:sz w:val="24"/>
          <w:szCs w:val="24"/>
        </w:rPr>
        <w:t xml:space="preserve">e </w:t>
      </w:r>
      <w:r w:rsidRPr="00A3505C">
        <w:rPr>
          <w:rFonts w:ascii="Times" w:hAnsi="Times" w:cs="Times New Roman" w:hint="eastAsia"/>
          <w:sz w:val="24"/>
          <w:szCs w:val="24"/>
        </w:rPr>
        <w:t xml:space="preserve">the </w:t>
      </w:r>
      <w:r w:rsidRPr="00A3505C">
        <w:rPr>
          <w:rFonts w:ascii="Times" w:hAnsi="Times" w:cs="Times New Roman"/>
          <w:sz w:val="24"/>
          <w:szCs w:val="24"/>
        </w:rPr>
        <w:t>complex</w:t>
      </w:r>
      <w:r w:rsidRPr="00A3505C">
        <w:rPr>
          <w:rFonts w:ascii="Times" w:hAnsi="Times" w:cs="Times New Roman" w:hint="eastAsia"/>
          <w:sz w:val="24"/>
          <w:szCs w:val="24"/>
        </w:rPr>
        <w:t>ity</w:t>
      </w:r>
      <w:r w:rsidRPr="00A3505C">
        <w:rPr>
          <w:rFonts w:ascii="Times" w:hAnsi="Times" w:cs="Times New Roman"/>
          <w:sz w:val="24"/>
          <w:szCs w:val="24"/>
        </w:rPr>
        <w:t xml:space="preserve"> and </w:t>
      </w:r>
      <w:r w:rsidRPr="00A3505C">
        <w:rPr>
          <w:rFonts w:ascii="Times" w:hAnsi="Times" w:cs="Times New Roman" w:hint="eastAsia"/>
          <w:sz w:val="24"/>
          <w:szCs w:val="24"/>
        </w:rPr>
        <w:t>intensity of innovation processes</w:t>
      </w:r>
      <w:r w:rsidRPr="00A3505C">
        <w:rPr>
          <w:rFonts w:ascii="Times" w:hAnsi="Times" w:cs="Times New Roman"/>
          <w:sz w:val="24"/>
          <w:szCs w:val="24"/>
        </w:rPr>
        <w:t xml:space="preserve"> </w:t>
      </w:r>
      <w:r w:rsidRPr="00A3505C">
        <w:rPr>
          <w:rFonts w:ascii="Times" w:hAnsi="Times" w:cs="Times New Roman"/>
          <w:sz w:val="24"/>
          <w:szCs w:val="24"/>
        </w:rPr>
        <w:fldChar w:fldCharType="begin"/>
      </w:r>
      <w:r w:rsidRPr="00A3505C">
        <w:rPr>
          <w:rFonts w:ascii="Times" w:hAnsi="Times" w:cs="Times New Roman"/>
          <w:sz w:val="24"/>
          <w:szCs w:val="24"/>
        </w:rPr>
        <w:instrText xml:space="preserve"> ADDIN EN.CITE &lt;EndNote&gt;&lt;Cite&gt;&lt;Author&gt;Arnold&lt;/Author&gt;&lt;Year&gt;2019&lt;/Year&gt;&lt;RecNum&gt;9055&lt;/RecNum&gt;&lt;DisplayText&gt;(Arnold&lt;style face="italic"&gt; et al.&lt;/style&gt;, 2019)&lt;/DisplayText&gt;&lt;record&gt;&lt;rec-number&gt;9055&lt;/rec-number&gt;&lt;foreign-keys&gt;&lt;key app="EN" db-id="tt95vv9zf20xf0ewve7x0fsl990xeeasafzs" timestamp="1709866339"&gt;9055&lt;/key&gt;&lt;/foreign-keys&gt;&lt;ref-type name="Journal Article"&gt;17&lt;/ref-type&gt;&lt;contributors&gt;&lt;authors&gt;&lt;author&gt;Arnold, Michelle&lt;/author&gt;&lt;author&gt;Tainter, Joseph A.&lt;/author&gt;&lt;author&gt;Strumsky, Deborah&lt;/author&gt;&lt;/authors&gt;&lt;/contributors&gt;&lt;titles&gt;&lt;title&gt;Productivity of innovation in biofuel technologies&lt;/title&gt;&lt;secondary-title&gt;Energy Policy&lt;/secondary-title&gt;&lt;/titles&gt;&lt;periodical&gt;&lt;full-title&gt;Energy Policy&lt;/full-title&gt;&lt;/periodical&gt;&lt;pages&gt;54-62&lt;/pages&gt;&lt;volume&gt;124&lt;/volume&gt;&lt;dates&gt;&lt;year&gt;2019&lt;/year&gt;&lt;/dates&gt;&lt;isbn&gt;03014215&lt;/isbn&gt;&lt;urls&gt;&lt;/urls&gt;&lt;electronic-resource-num&gt;10.1016/j.enpol.2018.09.005&lt;/electronic-resource-num&gt;&lt;/record&gt;&lt;/Cite&gt;&lt;/EndNote&gt;</w:instrText>
      </w:r>
      <w:r w:rsidRPr="00A3505C">
        <w:rPr>
          <w:rFonts w:ascii="Times" w:hAnsi="Times" w:cs="Times New Roman"/>
          <w:sz w:val="24"/>
          <w:szCs w:val="24"/>
        </w:rPr>
        <w:fldChar w:fldCharType="separate"/>
      </w:r>
      <w:r w:rsidRPr="00A3505C">
        <w:rPr>
          <w:rFonts w:ascii="Times" w:hAnsi="Times" w:cs="Times New Roman"/>
          <w:noProof/>
          <w:sz w:val="24"/>
          <w:szCs w:val="24"/>
        </w:rPr>
        <w:t>(Arnold</w:t>
      </w:r>
      <w:r w:rsidRPr="00A3505C">
        <w:rPr>
          <w:rFonts w:ascii="Times" w:hAnsi="Times" w:cs="Times New Roman"/>
          <w:i/>
          <w:noProof/>
          <w:sz w:val="24"/>
          <w:szCs w:val="24"/>
        </w:rPr>
        <w:t xml:space="preserve"> et al.</w:t>
      </w:r>
      <w:r w:rsidRPr="00A3505C">
        <w:rPr>
          <w:rFonts w:ascii="Times" w:hAnsi="Times" w:cs="Times New Roman"/>
          <w:noProof/>
          <w:sz w:val="24"/>
          <w:szCs w:val="24"/>
        </w:rPr>
        <w:t>, 2019)</w:t>
      </w:r>
      <w:r w:rsidRPr="00A3505C">
        <w:rPr>
          <w:rFonts w:ascii="Times" w:hAnsi="Times" w:cs="Times New Roman"/>
          <w:sz w:val="24"/>
          <w:szCs w:val="24"/>
        </w:rPr>
        <w:fldChar w:fldCharType="end"/>
      </w:r>
      <w:r w:rsidRPr="00A3505C">
        <w:rPr>
          <w:rFonts w:ascii="Times" w:hAnsi="Times" w:cs="Times New Roman"/>
          <w:sz w:val="24"/>
          <w:szCs w:val="24"/>
        </w:rPr>
        <w:t xml:space="preserve">. Therefore, we posit that strategic orientations </w:t>
      </w:r>
      <w:r w:rsidRPr="00A3505C">
        <w:rPr>
          <w:rFonts w:ascii="Times" w:hAnsi="Times" w:cs="Times New Roman" w:hint="eastAsia"/>
          <w:sz w:val="24"/>
          <w:szCs w:val="24"/>
        </w:rPr>
        <w:t>shape firms</w:t>
      </w:r>
      <w:r w:rsidRPr="00A3505C">
        <w:rPr>
          <w:rFonts w:ascii="Times" w:hAnsi="Times" w:cs="Times New Roman"/>
          <w:sz w:val="24"/>
          <w:szCs w:val="24"/>
        </w:rPr>
        <w:t xml:space="preserve">’ resource portfolios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&lt;EndNote&gt;&lt;Cite&gt;&lt;Author&gt;Nason&lt;/Author&gt;&lt;Year&gt;2015&lt;/Year&gt;&lt;RecNum&gt;14058&lt;/RecNum&gt;&lt;DisplayText&gt;(Nason and Wiklund, 2015)&lt;/DisplayText&gt;&lt;record&gt;&lt;rec-number&gt;14058&lt;/rec-number&gt;&lt;foreign-keys&gt;&lt;key app="EN" db-id="tt95vv9zf20xf0ewve7x0fsl990xeeasafzs" timestamp="1750133611"&gt;14058&lt;/key&gt;&lt;/foreign-keys&gt;&lt;ref-type name="Journal Article"&gt;17&lt;/ref-type&gt;&lt;contributors&gt;&lt;authors&gt;&lt;author&gt;Nason, Robert S.&lt;/author&gt;&lt;author&gt;Wiklund, Johan&lt;/author&gt;&lt;/authors&gt;&lt;/contributors&gt;&lt;titles&gt;&lt;title&gt;An assessment of resource-based theorizing on firm growth and suggestions for the future&lt;/title&gt;&lt;secondary-title&gt;Journal of Management&lt;/secondary-title&gt;&lt;/titles&gt;&lt;periodical&gt;&lt;full-title&gt;Journal of Management&lt;/full-title&gt;&lt;abbr-1&gt;J. Manag.&lt;/abbr-1&gt;&lt;/periodical&gt;&lt;pages&gt;32-60&lt;/pages&gt;&lt;volume&gt;44&lt;/volume&gt;&lt;number&gt;1&lt;/number&gt;&lt;section&gt;32&lt;/section&gt;&lt;dates&gt;&lt;year&gt;2015&lt;/year&gt;&lt;/dates&gt;&lt;isbn&gt;0149-2063&amp;#xD;1557-1211&lt;/isbn&gt;&lt;urls&gt;&lt;/urls&gt;&lt;electronic-resource-num&gt;10.1177/0149206315610635&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(Nason and Wiklund, 2015)</w:t>
      </w:r>
      <w:r w:rsidRPr="00A3505C">
        <w:rPr>
          <w:rFonts w:ascii="Times New Roman" w:hAnsi="Times New Roman" w:cs="Times New Roman"/>
          <w:sz w:val="24"/>
          <w:szCs w:val="24"/>
        </w:rPr>
        <w:fldChar w:fldCharType="end"/>
      </w:r>
      <w:r w:rsidRPr="00A3505C">
        <w:rPr>
          <w:rFonts w:ascii="Times" w:hAnsi="Times" w:cs="Times New Roman" w:hint="eastAsia"/>
          <w:sz w:val="24"/>
          <w:szCs w:val="24"/>
        </w:rPr>
        <w:t>, which in turn determines their propensity</w:t>
      </w:r>
      <w:r w:rsidRPr="00A3505C">
        <w:rPr>
          <w:rFonts w:ascii="Times" w:hAnsi="Times" w:cs="Times New Roman"/>
          <w:sz w:val="24"/>
          <w:szCs w:val="24"/>
        </w:rPr>
        <w:t xml:space="preserve"> to foster green patents.</w:t>
      </w:r>
    </w:p>
    <w:p w14:paraId="3AE3FBF1" w14:textId="7543837B" w:rsidR="000F7DAA" w:rsidRPr="00A3505C" w:rsidRDefault="003D605D" w:rsidP="000F7DAA">
      <w:pPr>
        <w:adjustRightInd w:val="0"/>
        <w:snapToGrid w:val="0"/>
        <w:spacing w:after="120" w:line="360" w:lineRule="auto"/>
        <w:ind w:firstLine="425"/>
        <w:jc w:val="both"/>
        <w:rPr>
          <w:rFonts w:ascii="Times" w:hAnsi="Times" w:cs="Times New Roman"/>
          <w:sz w:val="24"/>
          <w:szCs w:val="24"/>
        </w:rPr>
      </w:pPr>
      <w:r w:rsidRPr="00A3505C">
        <w:rPr>
          <w:rFonts w:ascii="Times" w:hAnsi="Times" w:cs="Times New Roman" w:hint="eastAsia"/>
          <w:sz w:val="24"/>
          <w:szCs w:val="24"/>
        </w:rPr>
        <w:lastRenderedPageBreak/>
        <w:t>G</w:t>
      </w:r>
      <w:r w:rsidR="000F7DAA" w:rsidRPr="00A3505C">
        <w:rPr>
          <w:rFonts w:ascii="Times" w:hAnsi="Times" w:cs="Times New Roman"/>
          <w:sz w:val="24"/>
          <w:szCs w:val="24"/>
        </w:rPr>
        <w:t xml:space="preserve">rowth-oriented </w:t>
      </w:r>
      <w:r w:rsidR="00D54F1F" w:rsidRPr="00A3505C">
        <w:rPr>
          <w:rFonts w:ascii="Times" w:hAnsi="Times" w:cs="Times New Roman"/>
          <w:sz w:val="24"/>
          <w:szCs w:val="24"/>
        </w:rPr>
        <w:t xml:space="preserve">companies </w:t>
      </w:r>
      <w:r w:rsidR="000F7DAA" w:rsidRPr="00A3505C">
        <w:rPr>
          <w:rFonts w:ascii="Times" w:hAnsi="Times" w:cs="Times New Roman"/>
          <w:sz w:val="24"/>
          <w:szCs w:val="24"/>
        </w:rPr>
        <w:t xml:space="preserve">are particularly well-positioned to pursue green patents as a pathway to generating green revenues. Compared with profit-oriented firms, they </w:t>
      </w:r>
      <w:r w:rsidR="00AF0689">
        <w:rPr>
          <w:rFonts w:ascii="Times" w:hAnsi="Times" w:cs="Times New Roman" w:hint="eastAsia"/>
          <w:sz w:val="24"/>
          <w:szCs w:val="24"/>
        </w:rPr>
        <w:t>may</w:t>
      </w:r>
      <w:r w:rsidR="00023E46">
        <w:rPr>
          <w:rFonts w:ascii="Times" w:hAnsi="Times" w:cs="Times New Roman" w:hint="eastAsia"/>
          <w:sz w:val="24"/>
          <w:szCs w:val="24"/>
        </w:rPr>
        <w:t xml:space="preserve"> </w:t>
      </w:r>
      <w:r w:rsidR="000F7DAA" w:rsidRPr="00A3505C">
        <w:rPr>
          <w:rFonts w:ascii="Times" w:hAnsi="Times" w:cs="Times New Roman"/>
          <w:sz w:val="24"/>
          <w:szCs w:val="24"/>
        </w:rPr>
        <w:t xml:space="preserve">allocate </w:t>
      </w:r>
      <w:r w:rsidR="00023E46">
        <w:rPr>
          <w:rFonts w:ascii="Times" w:hAnsi="Times" w:cs="Times New Roman" w:hint="eastAsia"/>
          <w:sz w:val="24"/>
          <w:szCs w:val="24"/>
        </w:rPr>
        <w:t xml:space="preserve">relatively more </w:t>
      </w:r>
      <w:r w:rsidR="000F7DAA" w:rsidRPr="00A3505C">
        <w:rPr>
          <w:rFonts w:ascii="Times" w:hAnsi="Times" w:cs="Times New Roman"/>
          <w:sz w:val="24"/>
          <w:szCs w:val="24"/>
        </w:rPr>
        <w:t xml:space="preserve">toward </w:t>
      </w:r>
      <w:r w:rsidR="00B34EE3">
        <w:rPr>
          <w:rFonts w:ascii="Times" w:hAnsi="Times" w:cs="Times New Roman"/>
          <w:sz w:val="24"/>
          <w:szCs w:val="24"/>
        </w:rPr>
        <w:t>expansion-related</w:t>
      </w:r>
      <w:r w:rsidR="00DD3905">
        <w:rPr>
          <w:rFonts w:ascii="Times" w:hAnsi="Times" w:cs="Times New Roman" w:hint="eastAsia"/>
          <w:sz w:val="24"/>
          <w:szCs w:val="24"/>
        </w:rPr>
        <w:t xml:space="preserve"> initiatives</w:t>
      </w:r>
      <w:r w:rsidR="001C27E6">
        <w:rPr>
          <w:rFonts w:ascii="Times" w:hAnsi="Times" w:cs="Times New Roman"/>
          <w:sz w:val="24"/>
          <w:szCs w:val="24"/>
        </w:rPr>
        <w:t>,</w:t>
      </w:r>
      <w:r w:rsidR="00DD3905">
        <w:rPr>
          <w:rFonts w:ascii="Times" w:hAnsi="Times" w:cs="Times New Roman" w:hint="eastAsia"/>
          <w:sz w:val="24"/>
          <w:szCs w:val="24"/>
        </w:rPr>
        <w:t xml:space="preserve"> which can include</w:t>
      </w:r>
      <w:r w:rsidR="00E42D47">
        <w:rPr>
          <w:rFonts w:ascii="Times" w:hAnsi="Times" w:cs="Times New Roman" w:hint="eastAsia"/>
          <w:sz w:val="24"/>
          <w:szCs w:val="24"/>
        </w:rPr>
        <w:t xml:space="preserve"> </w:t>
      </w:r>
      <w:r w:rsidR="000F7DAA" w:rsidRPr="00A3505C">
        <w:rPr>
          <w:rFonts w:ascii="Times" w:hAnsi="Times" w:cs="Times New Roman"/>
          <w:sz w:val="24"/>
          <w:szCs w:val="24"/>
        </w:rPr>
        <w:t xml:space="preserve">innovation </w:t>
      </w:r>
      <w:r w:rsidR="00E42D47" w:rsidRPr="00E42D47">
        <w:rPr>
          <w:rFonts w:ascii="Times" w:hAnsi="Times" w:cs="Times New Roman"/>
          <w:color w:val="FF0000"/>
          <w:sz w:val="24"/>
          <w:szCs w:val="24"/>
        </w:rPr>
        <w:t>when aligned with growth objectives</w:t>
      </w:r>
      <w:r w:rsidR="000F7DAA" w:rsidRPr="00A3505C">
        <w:rPr>
          <w:rFonts w:ascii="Times" w:hAnsi="Times" w:cs="Times New Roman"/>
          <w:sz w:val="24"/>
          <w:szCs w:val="24"/>
        </w:rPr>
        <w:t xml:space="preserve"> (Penrose, 1959; Gundry and Welsch, 2001)</w:t>
      </w:r>
      <w:r w:rsidRPr="00A3505C">
        <w:rPr>
          <w:rFonts w:ascii="Times" w:hAnsi="Times" w:cs="Times New Roman" w:hint="eastAsia"/>
          <w:sz w:val="24"/>
          <w:szCs w:val="24"/>
        </w:rPr>
        <w:t>. This is</w:t>
      </w:r>
      <w:r w:rsidR="000F7DAA" w:rsidRPr="00A3505C">
        <w:rPr>
          <w:rFonts w:ascii="Times" w:hAnsi="Times" w:cs="Times New Roman"/>
          <w:sz w:val="24"/>
          <w:szCs w:val="24"/>
        </w:rPr>
        <w:t xml:space="preserve"> consistent with their tendency to hold versatile resources with broad functionality (Nason and Wiklund, 2015). </w:t>
      </w:r>
      <w:r w:rsidR="000F7DAA" w:rsidRPr="002253F8">
        <w:rPr>
          <w:rFonts w:ascii="Times" w:hAnsi="Times" w:cs="Times New Roman"/>
          <w:color w:val="FF0000"/>
          <w:sz w:val="24"/>
          <w:szCs w:val="24"/>
        </w:rPr>
        <w:t xml:space="preserve">This resource base </w:t>
      </w:r>
      <w:r w:rsidR="00B71D97" w:rsidRPr="002253F8">
        <w:rPr>
          <w:rFonts w:ascii="Times" w:hAnsi="Times" w:cs="Times New Roman"/>
          <w:color w:val="FF0000"/>
          <w:sz w:val="24"/>
          <w:szCs w:val="24"/>
        </w:rPr>
        <w:t>can facilitate capability development</w:t>
      </w:r>
      <w:r w:rsidR="00B71D97" w:rsidRPr="002253F8">
        <w:rPr>
          <w:rFonts w:ascii="Times" w:hAnsi="Times" w:cs="Times New Roman" w:hint="eastAsia"/>
          <w:color w:val="FF0000"/>
          <w:sz w:val="24"/>
          <w:szCs w:val="24"/>
        </w:rPr>
        <w:t xml:space="preserve">, </w:t>
      </w:r>
      <w:r w:rsidR="00B71D97" w:rsidRPr="002253F8">
        <w:rPr>
          <w:rFonts w:ascii="Times" w:hAnsi="Times" w:cs="Times New Roman"/>
          <w:color w:val="FF0000"/>
          <w:sz w:val="24"/>
          <w:szCs w:val="24"/>
        </w:rPr>
        <w:t>including innovation</w:t>
      </w:r>
      <w:r w:rsidR="00B71D97" w:rsidRPr="002253F8">
        <w:rPr>
          <w:rFonts w:ascii="Times" w:hAnsi="Times" w:cs="Times New Roman" w:hint="eastAsia"/>
          <w:color w:val="FF0000"/>
          <w:sz w:val="24"/>
          <w:szCs w:val="24"/>
        </w:rPr>
        <w:t xml:space="preserve"> </w:t>
      </w:r>
      <w:r w:rsidR="000F7DAA" w:rsidRPr="00A3505C">
        <w:rPr>
          <w:rFonts w:ascii="Times" w:hAnsi="Times" w:cs="Times New Roman"/>
          <w:sz w:val="24"/>
          <w:szCs w:val="24"/>
        </w:rPr>
        <w:t xml:space="preserve">(Haveman, 1993; Homburg </w:t>
      </w:r>
      <w:r w:rsidR="000F7DAA" w:rsidRPr="00A3505C">
        <w:rPr>
          <w:rFonts w:ascii="Times" w:hAnsi="Times" w:cs="Times New Roman"/>
          <w:i/>
          <w:iCs/>
          <w:sz w:val="24"/>
          <w:szCs w:val="24"/>
        </w:rPr>
        <w:t>et al</w:t>
      </w:r>
      <w:r w:rsidR="000F7DAA" w:rsidRPr="00A3505C">
        <w:rPr>
          <w:rFonts w:ascii="Times" w:hAnsi="Times" w:cs="Times New Roman"/>
          <w:sz w:val="24"/>
          <w:szCs w:val="24"/>
        </w:rPr>
        <w:t xml:space="preserve">., 1999). In an era of rising environmental consciousness, environmental legitimacy contributes to market reputation (Li </w:t>
      </w:r>
      <w:r w:rsidR="000F7DAA" w:rsidRPr="00A3505C">
        <w:rPr>
          <w:rFonts w:ascii="Times" w:hAnsi="Times" w:cs="Times New Roman"/>
          <w:i/>
          <w:iCs/>
          <w:sz w:val="24"/>
          <w:szCs w:val="24"/>
        </w:rPr>
        <w:t>et al</w:t>
      </w:r>
      <w:r w:rsidR="000F7DAA" w:rsidRPr="00A3505C">
        <w:rPr>
          <w:rFonts w:ascii="Times" w:hAnsi="Times" w:cs="Times New Roman"/>
          <w:sz w:val="24"/>
          <w:szCs w:val="24"/>
        </w:rPr>
        <w:t xml:space="preserve">., 2016, 2017), making green innovation a critical component. </w:t>
      </w:r>
      <w:r w:rsidRPr="00A3505C">
        <w:rPr>
          <w:rFonts w:ascii="Times" w:hAnsi="Times" w:cs="Times New Roman" w:hint="eastAsia"/>
          <w:sz w:val="24"/>
          <w:szCs w:val="24"/>
        </w:rPr>
        <w:t>F</w:t>
      </w:r>
      <w:r w:rsidR="000F7DAA" w:rsidRPr="00A3505C">
        <w:rPr>
          <w:rFonts w:ascii="Times" w:hAnsi="Times" w:cs="Times New Roman"/>
          <w:sz w:val="24"/>
          <w:szCs w:val="24"/>
        </w:rPr>
        <w:t xml:space="preserve">irms can leverage green patents to generate green revenues, which helps them ease environmental regulation </w:t>
      </w:r>
      <w:r w:rsidRPr="00A3505C">
        <w:rPr>
          <w:rFonts w:ascii="Times" w:hAnsi="Times" w:cs="Times New Roman" w:hint="eastAsia"/>
          <w:sz w:val="24"/>
          <w:szCs w:val="24"/>
        </w:rPr>
        <w:t xml:space="preserve">pressure </w:t>
      </w:r>
      <w:r w:rsidR="000F7DAA" w:rsidRPr="00A3505C">
        <w:rPr>
          <w:rFonts w:ascii="Times" w:hAnsi="Times" w:cs="Times New Roman"/>
          <w:sz w:val="24"/>
          <w:szCs w:val="24"/>
        </w:rPr>
        <w:fldChar w:fldCharType="begin"/>
      </w:r>
      <w:r w:rsidR="000F7DAA" w:rsidRPr="00A3505C">
        <w:rPr>
          <w:rFonts w:ascii="Times" w:hAnsi="Times" w:cs="Times New Roman"/>
          <w:sz w:val="24"/>
          <w:szCs w:val="24"/>
        </w:rPr>
        <w:instrText xml:space="preserve"> ADDIN EN.CITE &lt;EndNote&gt;&lt;Cite&gt;&lt;Author&gt;Bassen&lt;/Author&gt;&lt;Year&gt;2023&lt;/Year&gt;&lt;RecNum&gt;2992&lt;/RecNum&gt;&lt;DisplayText&gt;(Bassen&lt;style face="italic"&gt; et al.&lt;/style&gt;, 2023; Mohnen&lt;style face="italic"&gt; et al.&lt;/style&gt;, 2023)&lt;/DisplayText&gt;&lt;record&gt;&lt;rec-number&gt;2992&lt;/rec-number&gt;&lt;foreign-keys&gt;&lt;key app="EN" db-id="tt95vv9zf20xf0ewve7x0fsl990xeeasafzs" timestamp="1703231458"&gt;2992&lt;/key&gt;&lt;/foreign-keys&gt;&lt;ref-type name="Journal Article"&gt;17&lt;/ref-type&gt;&lt;contributors&gt;&lt;authors&gt;&lt;author&gt;Bassen, Alexander&lt;/author&gt;&lt;author&gt;Shu, Hao&lt;/author&gt;&lt;author&gt;Tan, Weiqiang&lt;/author&gt;&lt;/authors&gt;&lt;/contributors&gt;&lt;titles&gt;&lt;title&gt;Green revenues and stock returns: Cross-market evidence&lt;/title&gt;&lt;secondary-title&gt;Finance Research Letters&lt;/secondary-title&gt;&lt;/titles&gt;&lt;periodical&gt;&lt;full-title&gt;Finance Research Letters&lt;/full-title&gt;&lt;abbr-1&gt;Financ. Res. Lett.&lt;/abbr-1&gt;&lt;/periodical&gt;&lt;volume&gt;52&lt;/volume&gt;&lt;number&gt;C&lt;/number&gt;&lt;dates&gt;&lt;year&gt;2023&lt;/year&gt;&lt;/dates&gt;&lt;urls&gt;&lt;/urls&gt;&lt;custom7&gt;103550&lt;/custom7&gt;&lt;electronic-resource-num&gt;10.1016/j.frl.2022.103550&lt;/electronic-resource-num&gt;&lt;/record&gt;&lt;/Cite&gt;&lt;Cite&gt;&lt;Author&gt;Mohnen&lt;/Author&gt;&lt;Year&gt;2023&lt;/Year&gt;&lt;RecNum&gt;2990&lt;/RecNum&gt;&lt;record&gt;&lt;rec-number&gt;2990&lt;/rec-number&gt;&lt;foreign-keys&gt;&lt;key app="EN" db-id="tt95vv9zf20xf0ewve7x0fsl990xeeasafzs" timestamp="1703231458"&gt;2990&lt;/key&gt;&lt;/foreign-keys&gt;&lt;ref-type name="Unpublished Work"&gt;34&lt;/ref-type&gt;&lt;contributors&gt;&lt;authors&gt;&lt;author&gt;Mohnen, Myra&lt;/author&gt;&lt;author&gt;Sato, Misato&lt;/author&gt;&lt;author&gt;Zheng, Yang&lt;/author&gt;&lt;/authors&gt;&lt;/contributors&gt;&lt;titles&gt;&lt;title&gt;Green revenues, clean innovation and technology spillover: Evidence from global firm level data&lt;/title&gt;&lt;/titles&gt;&lt;dates&gt;&lt;year&gt;2023&lt;/year&gt;&lt;/dates&gt;&lt;urls&gt;&lt;related-urls&gt;&lt;url&gt;https://yz-yangzheng.github.io/files/FTSE_GR_CleanTech.pdf&lt;/url&gt;&lt;/related-urls&gt;&lt;/urls&gt;&lt;/record&gt;&lt;/Cite&gt;&lt;/EndNote&gt;</w:instrText>
      </w:r>
      <w:r w:rsidR="000F7DAA" w:rsidRPr="00A3505C">
        <w:rPr>
          <w:rFonts w:ascii="Times" w:hAnsi="Times" w:cs="Times New Roman"/>
          <w:sz w:val="24"/>
          <w:szCs w:val="24"/>
        </w:rPr>
        <w:fldChar w:fldCharType="separate"/>
      </w:r>
      <w:r w:rsidR="000F7DAA" w:rsidRPr="00A3505C">
        <w:rPr>
          <w:rFonts w:ascii="Times" w:hAnsi="Times" w:cs="Times New Roman"/>
          <w:sz w:val="24"/>
          <w:szCs w:val="24"/>
        </w:rPr>
        <w:t xml:space="preserve">(Bassen </w:t>
      </w:r>
      <w:r w:rsidR="000F7DAA" w:rsidRPr="00A3505C">
        <w:rPr>
          <w:rFonts w:ascii="Times" w:hAnsi="Times" w:cs="Times New Roman"/>
          <w:i/>
          <w:iCs/>
          <w:sz w:val="24"/>
          <w:szCs w:val="24"/>
        </w:rPr>
        <w:t>et al</w:t>
      </w:r>
      <w:r w:rsidR="000F7DAA" w:rsidRPr="00A3505C">
        <w:rPr>
          <w:rFonts w:ascii="Times" w:hAnsi="Times" w:cs="Times New Roman"/>
          <w:sz w:val="24"/>
          <w:szCs w:val="24"/>
        </w:rPr>
        <w:t xml:space="preserve">., 2023; Mohnen </w:t>
      </w:r>
      <w:r w:rsidR="000F7DAA" w:rsidRPr="00A3505C">
        <w:rPr>
          <w:rFonts w:ascii="Times" w:hAnsi="Times" w:cs="Times New Roman"/>
          <w:i/>
          <w:iCs/>
          <w:sz w:val="24"/>
          <w:szCs w:val="24"/>
        </w:rPr>
        <w:t>et al</w:t>
      </w:r>
      <w:r w:rsidR="000F7DAA" w:rsidRPr="00A3505C">
        <w:rPr>
          <w:rFonts w:ascii="Times" w:hAnsi="Times" w:cs="Times New Roman"/>
          <w:sz w:val="24"/>
          <w:szCs w:val="24"/>
        </w:rPr>
        <w:t>., 2023)</w:t>
      </w:r>
      <w:r w:rsidR="000F7DAA" w:rsidRPr="00A3505C">
        <w:rPr>
          <w:rFonts w:ascii="Times" w:hAnsi="Times" w:cs="Times New Roman"/>
          <w:sz w:val="24"/>
          <w:szCs w:val="24"/>
        </w:rPr>
        <w:fldChar w:fldCharType="end"/>
      </w:r>
      <w:r w:rsidR="000F7DAA" w:rsidRPr="00A3505C">
        <w:rPr>
          <w:rFonts w:ascii="Times" w:hAnsi="Times" w:cs="Times New Roman"/>
          <w:sz w:val="24"/>
          <w:szCs w:val="24"/>
        </w:rPr>
        <w:t xml:space="preserve">. Therefore, growth-oriented firms are more likely to </w:t>
      </w:r>
      <w:r w:rsidRPr="00A3505C">
        <w:rPr>
          <w:rFonts w:ascii="Times" w:hAnsi="Times" w:cs="Times New Roman" w:hint="eastAsia"/>
          <w:sz w:val="24"/>
          <w:szCs w:val="24"/>
        </w:rPr>
        <w:t>invest</w:t>
      </w:r>
      <w:r w:rsidR="000F7DAA" w:rsidRPr="00A3505C">
        <w:rPr>
          <w:rFonts w:ascii="Times" w:hAnsi="Times" w:cs="Times New Roman"/>
          <w:sz w:val="24"/>
          <w:szCs w:val="24"/>
        </w:rPr>
        <w:t xml:space="preserve"> </w:t>
      </w:r>
      <w:r w:rsidR="00E53E1E" w:rsidRPr="00A3505C">
        <w:rPr>
          <w:rFonts w:ascii="Times" w:hAnsi="Times" w:cs="Times New Roman"/>
          <w:sz w:val="24"/>
          <w:szCs w:val="24"/>
        </w:rPr>
        <w:t xml:space="preserve">in </w:t>
      </w:r>
      <w:r w:rsidR="000F7DAA" w:rsidRPr="00A3505C">
        <w:rPr>
          <w:rFonts w:ascii="Times" w:hAnsi="Times" w:cs="Times New Roman"/>
          <w:sz w:val="24"/>
          <w:szCs w:val="24"/>
        </w:rPr>
        <w:t>green patents, which can help them generate greater green revenue.</w:t>
      </w:r>
    </w:p>
    <w:p w14:paraId="57452FD4" w14:textId="77777777" w:rsidR="000F7DAA" w:rsidRPr="00A3505C" w:rsidRDefault="000F7DAA" w:rsidP="000F7DAA">
      <w:pPr>
        <w:adjustRightInd w:val="0"/>
        <w:snapToGrid w:val="0"/>
        <w:spacing w:after="120" w:line="240" w:lineRule="auto"/>
        <w:ind w:left="850" w:hanging="425"/>
        <w:jc w:val="both"/>
        <w:rPr>
          <w:rFonts w:ascii="Times New Roman" w:hAnsi="Times New Roman" w:cs="Times New Roman"/>
          <w:i/>
          <w:iCs/>
          <w:sz w:val="24"/>
          <w:szCs w:val="24"/>
        </w:rPr>
      </w:pPr>
      <w:r w:rsidRPr="00A3505C">
        <w:rPr>
          <w:rFonts w:ascii="Times New Roman" w:hAnsi="Times New Roman" w:cs="Times New Roman"/>
          <w:b/>
          <w:bCs/>
          <w:i/>
          <w:iCs/>
          <w:sz w:val="24"/>
          <w:szCs w:val="24"/>
        </w:rPr>
        <w:t xml:space="preserve">H2: </w:t>
      </w:r>
      <w:r w:rsidRPr="00A3505C">
        <w:rPr>
          <w:rFonts w:ascii="Times New Roman" w:hAnsi="Times New Roman" w:cs="Times New Roman"/>
          <w:i/>
          <w:iCs/>
          <w:sz w:val="24"/>
          <w:szCs w:val="24"/>
        </w:rPr>
        <w:t>Growth-oriented firms generate greater green revenues through fostering green patents.</w:t>
      </w:r>
    </w:p>
    <w:p w14:paraId="1448CBB5" w14:textId="77777777" w:rsidR="000F7DAA" w:rsidRPr="00A3505C" w:rsidRDefault="000F7DAA" w:rsidP="000F7DAA">
      <w:pPr>
        <w:adjustRightInd w:val="0"/>
        <w:snapToGrid w:val="0"/>
        <w:spacing w:before="360"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3. Sample, Data, and Research Design</w:t>
      </w:r>
    </w:p>
    <w:p w14:paraId="47BBA39D" w14:textId="77777777" w:rsidR="000F7DAA" w:rsidRPr="00A3505C" w:rsidRDefault="000F7DAA" w:rsidP="000F7DAA">
      <w:pPr>
        <w:adjustRightInd w:val="0"/>
        <w:snapToGrid w:val="0"/>
        <w:spacing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3.1 Sample and data</w:t>
      </w:r>
    </w:p>
    <w:p w14:paraId="0480951B" w14:textId="1D5B4E5F"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obtain data on China’s A-share listed firms from 2009 to 2022. </w:t>
      </w:r>
      <w:r w:rsidRPr="00A3505C">
        <w:rPr>
          <w:rFonts w:ascii="Times New Roman" w:hAnsi="Times New Roman" w:cs="Times New Roman" w:hint="eastAsia"/>
          <w:sz w:val="24"/>
          <w:szCs w:val="24"/>
        </w:rPr>
        <w:t>Our</w:t>
      </w:r>
      <w:r w:rsidRPr="00A3505C">
        <w:rPr>
          <w:rFonts w:ascii="Times New Roman" w:hAnsi="Times New Roman" w:cs="Times New Roman"/>
          <w:sz w:val="24"/>
          <w:szCs w:val="24"/>
        </w:rPr>
        <w:t xml:space="preserve"> sample</w:t>
      </w:r>
      <w:r w:rsidRPr="00A3505C">
        <w:rPr>
          <w:rFonts w:ascii="Times New Roman" w:hAnsi="Times New Roman" w:cs="Times New Roman" w:hint="eastAsia"/>
          <w:sz w:val="24"/>
          <w:szCs w:val="24"/>
        </w:rPr>
        <w:t xml:space="preserve"> starts</w:t>
      </w:r>
      <w:r w:rsidRPr="00A3505C">
        <w:rPr>
          <w:rFonts w:ascii="Times New Roman" w:hAnsi="Times New Roman" w:cs="Times New Roman"/>
          <w:sz w:val="24"/>
          <w:szCs w:val="24"/>
        </w:rPr>
        <w:t xml:space="preserve"> in 2009 to mitigate the impact of the </w:t>
      </w:r>
      <w:r w:rsidRPr="00A3505C">
        <w:rPr>
          <w:rFonts w:ascii="Times New Roman" w:hAnsi="Times New Roman" w:cs="Times New Roman" w:hint="eastAsia"/>
          <w:sz w:val="24"/>
          <w:szCs w:val="24"/>
        </w:rPr>
        <w:t xml:space="preserve">2008 </w:t>
      </w:r>
      <w:r w:rsidRPr="00A3505C">
        <w:rPr>
          <w:rFonts w:ascii="Times New Roman" w:hAnsi="Times New Roman" w:cs="Times New Roman"/>
          <w:sz w:val="24"/>
          <w:szCs w:val="24"/>
        </w:rPr>
        <w:t>global financial crisis</w:t>
      </w:r>
      <w:r w:rsidRPr="00A3505C">
        <w:rPr>
          <w:rFonts w:ascii="Times New Roman" w:hAnsi="Times New Roman" w:cs="Times New Roman" w:hint="eastAsia"/>
          <w:sz w:val="24"/>
          <w:szCs w:val="24"/>
        </w:rPr>
        <w:t xml:space="preserve"> and</w:t>
      </w:r>
      <w:r w:rsidRPr="00A3505C">
        <w:rPr>
          <w:rFonts w:ascii="Times New Roman" w:hAnsi="Times New Roman" w:cs="Times New Roman"/>
          <w:sz w:val="24"/>
          <w:szCs w:val="24"/>
        </w:rPr>
        <w:t xml:space="preserve"> end</w:t>
      </w:r>
      <w:r w:rsidRPr="00A3505C">
        <w:rPr>
          <w:rFonts w:ascii="Times New Roman" w:hAnsi="Times New Roman" w:cs="Times New Roman" w:hint="eastAsia"/>
          <w:sz w:val="24"/>
          <w:szCs w:val="24"/>
        </w:rPr>
        <w:t>s</w:t>
      </w:r>
      <w:r w:rsidRPr="00A3505C">
        <w:rPr>
          <w:rFonts w:ascii="Times New Roman" w:hAnsi="Times New Roman" w:cs="Times New Roman"/>
          <w:sz w:val="24"/>
          <w:szCs w:val="24"/>
        </w:rPr>
        <w:t xml:space="preserve"> in 2022 because of the </w:t>
      </w:r>
      <w:r w:rsidRPr="00A3505C">
        <w:rPr>
          <w:rFonts w:ascii="Times New Roman" w:hAnsi="Times New Roman" w:cs="Times New Roman" w:hint="eastAsia"/>
          <w:sz w:val="24"/>
          <w:szCs w:val="24"/>
        </w:rPr>
        <w:t>unavailability</w:t>
      </w:r>
      <w:r w:rsidRPr="00A3505C">
        <w:rPr>
          <w:rFonts w:ascii="Times New Roman" w:hAnsi="Times New Roman" w:cs="Times New Roman"/>
          <w:sz w:val="24"/>
          <w:szCs w:val="24"/>
        </w:rPr>
        <w:t xml:space="preserve"> of post-2022</w:t>
      </w:r>
      <w:r w:rsidRPr="00A3505C">
        <w:rPr>
          <w:rFonts w:ascii="Times New Roman" w:hAnsi="Times New Roman" w:cs="Times New Roman" w:hint="eastAsia"/>
          <w:sz w:val="24"/>
          <w:szCs w:val="24"/>
        </w:rPr>
        <w:t xml:space="preserve"> financial and firm-level data</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F</w:t>
      </w:r>
      <w:r w:rsidRPr="00A3505C">
        <w:rPr>
          <w:rFonts w:ascii="Times New Roman" w:hAnsi="Times New Roman" w:cs="Times New Roman"/>
          <w:sz w:val="24"/>
          <w:szCs w:val="24"/>
        </w:rPr>
        <w:t xml:space="preserve">irms’ revenues from various business activities </w:t>
      </w:r>
      <w:r w:rsidRPr="00A3505C">
        <w:rPr>
          <w:rFonts w:ascii="Times New Roman" w:hAnsi="Times New Roman" w:cs="Times New Roman" w:hint="eastAsia"/>
          <w:sz w:val="24"/>
          <w:szCs w:val="24"/>
        </w:rPr>
        <w:t xml:space="preserve">are </w:t>
      </w:r>
      <w:r w:rsidRPr="00A3505C">
        <w:rPr>
          <w:rFonts w:ascii="Times New Roman" w:hAnsi="Times New Roman" w:cs="Times New Roman"/>
          <w:sz w:val="24"/>
          <w:szCs w:val="24"/>
        </w:rPr>
        <w:t xml:space="preserve">sourced from the WIND database, </w:t>
      </w:r>
      <w:r w:rsidRPr="00A3505C">
        <w:rPr>
          <w:rFonts w:ascii="Times New Roman" w:hAnsi="Times New Roman" w:cs="Times New Roman" w:hint="eastAsia"/>
          <w:sz w:val="24"/>
          <w:szCs w:val="24"/>
        </w:rPr>
        <w:t xml:space="preserve">with </w:t>
      </w:r>
      <w:r w:rsidRPr="00A3505C">
        <w:rPr>
          <w:rFonts w:ascii="Times New Roman" w:hAnsi="Times New Roman" w:cs="Times New Roman"/>
          <w:sz w:val="24"/>
          <w:szCs w:val="24"/>
        </w:rPr>
        <w:t xml:space="preserve">green revenues </w:t>
      </w:r>
      <w:r w:rsidRPr="00A3505C">
        <w:rPr>
          <w:rFonts w:ascii="Times New Roman" w:hAnsi="Times New Roman" w:cs="Times New Roman" w:hint="eastAsia"/>
          <w:sz w:val="24"/>
          <w:szCs w:val="24"/>
        </w:rPr>
        <w:t>classified following</w:t>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AuthorYear="1"&gt;&lt;Author&gt;Cao&lt;/Author&gt;&lt;Year&gt;2025&lt;/Year&gt;&lt;RecNum&gt;13859&lt;/RecNum&gt;&lt;DisplayText&gt;Cao&lt;style face="italic"&gt; et al.&lt;/style&gt; (2025c)&lt;/DisplayText&gt;&lt;record&gt;&lt;rec-number&gt;13859&lt;/rec-number&gt;&lt;foreign-keys&gt;&lt;key app="EN" db-id="tt95vv9zf20xf0ewve7x0fsl990xeeasafzs" timestamp="1745900592"&gt;13859&lt;/key&gt;&lt;/foreign-keys&gt;&lt;ref-type name="Journal Article"&gt;17&lt;/ref-type&gt;&lt;contributors&gt;&lt;authors&gt;&lt;author&gt;Cao, J.&lt;/author&gt;&lt;author&gt;Huang, Z.&lt;/author&gt;&lt;author&gt;Liew, M.&lt;/author&gt;&lt;/authors&gt;&lt;/contributors&gt;&lt;titles&gt;&lt;title&gt;The environmental-financial nexus: Centralized environmental monitoring, eco-consciousness, and green revenues&lt;/title&gt;&lt;secondary-title&gt;Journal of Economic Behavior &amp;amp; Organization&lt;/secondary-title&gt;&lt;/titles&gt;&lt;periodical&gt;&lt;full-title&gt;Journal of Economic Behavior &amp;amp; Organization&lt;/full-title&gt;&lt;abbr-1&gt;J. Econ. Behav. Organ.&lt;/abbr-1&gt;&lt;/periodical&gt;&lt;volume&gt;231&lt;/volume&gt;&lt;section&gt;106929&lt;/section&gt;&lt;dates&gt;&lt;year&gt;2025&lt;/year&gt;&lt;/dates&gt;&lt;isbn&gt;01672681&lt;/isbn&gt;&lt;urls&gt;&lt;/urls&gt;&lt;electronic-resource-num&gt;10.1016/j.jebo.2025.106929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Cao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(2025c)</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We</w:t>
      </w:r>
      <w:r w:rsidR="005D2ED8" w:rsidRPr="00A3505C">
        <w:rPr>
          <w:rFonts w:ascii="Times New Roman" w:hAnsi="Times New Roman" w:cs="Times New Roman" w:hint="eastAsia"/>
          <w:sz w:val="24"/>
          <w:szCs w:val="24"/>
        </w:rPr>
        <w:t xml:space="preserve"> utilize</w:t>
      </w:r>
      <w:r w:rsidRPr="00A3505C">
        <w:rPr>
          <w:rFonts w:ascii="Times New Roman" w:hAnsi="Times New Roman" w:cs="Times New Roman"/>
          <w:sz w:val="24"/>
          <w:szCs w:val="24"/>
        </w:rPr>
        <w:t xml:space="preserve"> machine learning and textual analyses</w:t>
      </w:r>
      <w:r w:rsidR="005D2ED8" w:rsidRPr="00A3505C">
        <w:rPr>
          <w:rFonts w:ascii="Times New Roman" w:hAnsi="Times New Roman" w:cs="Times New Roman" w:hint="eastAsia"/>
          <w:sz w:val="24"/>
          <w:szCs w:val="24"/>
        </w:rPr>
        <w:t xml:space="preserve"> on annual and CSR reports to </w:t>
      </w:r>
      <w:r w:rsidRPr="00A3505C">
        <w:rPr>
          <w:rFonts w:ascii="Times New Roman" w:hAnsi="Times New Roman" w:cs="Times New Roman" w:hint="eastAsia"/>
          <w:sz w:val="24"/>
          <w:szCs w:val="24"/>
        </w:rPr>
        <w:t>captur</w:t>
      </w:r>
      <w:r w:rsidR="005D2ED8" w:rsidRPr="00A3505C">
        <w:rPr>
          <w:rFonts w:ascii="Times New Roman" w:hAnsi="Times New Roman" w:cs="Times New Roman" w:hint="eastAsia"/>
          <w:sz w:val="24"/>
          <w:szCs w:val="24"/>
        </w:rPr>
        <w:t xml:space="preserve">e </w:t>
      </w:r>
      <w:r w:rsidRPr="00A3505C">
        <w:rPr>
          <w:rFonts w:ascii="Times New Roman" w:hAnsi="Times New Roman" w:cs="Times New Roman" w:hint="eastAsia"/>
          <w:sz w:val="24"/>
          <w:szCs w:val="24"/>
        </w:rPr>
        <w:t>firms</w:t>
      </w:r>
      <w:r w:rsidRPr="00A3505C">
        <w:rPr>
          <w:rFonts w:ascii="Times New Roman" w:hAnsi="Times New Roman" w:cs="Times New Roman"/>
          <w:sz w:val="24"/>
          <w:szCs w:val="24"/>
        </w:rPr>
        <w:t xml:space="preserve">’ environmental transformation. </w:t>
      </w:r>
      <w:r w:rsidRPr="00A3505C">
        <w:rPr>
          <w:rFonts w:ascii="Times New Roman" w:hAnsi="Times New Roman" w:cs="Times New Roman" w:hint="eastAsia"/>
          <w:sz w:val="24"/>
          <w:szCs w:val="24"/>
        </w:rPr>
        <w:t>F</w:t>
      </w:r>
      <w:r w:rsidRPr="00A3505C">
        <w:rPr>
          <w:rFonts w:ascii="Times New Roman" w:hAnsi="Times New Roman" w:cs="Times New Roman"/>
          <w:sz w:val="24"/>
          <w:szCs w:val="24"/>
        </w:rPr>
        <w:t xml:space="preserve">inancial data </w:t>
      </w:r>
      <w:r w:rsidRPr="00A3505C">
        <w:rPr>
          <w:rFonts w:ascii="Times New Roman" w:hAnsi="Times New Roman" w:cs="Times New Roman" w:hint="eastAsia"/>
          <w:sz w:val="24"/>
          <w:szCs w:val="24"/>
        </w:rPr>
        <w:t>are collected</w:t>
      </w:r>
      <w:r w:rsidRPr="00A3505C">
        <w:rPr>
          <w:rFonts w:ascii="Times New Roman" w:hAnsi="Times New Roman" w:cs="Times New Roman"/>
          <w:sz w:val="24"/>
          <w:szCs w:val="24"/>
        </w:rPr>
        <w:t xml:space="preserve"> from the China Stock Market and Accounting Research Database</w:t>
      </w:r>
      <w:r w:rsidR="005D2ED8" w:rsidRPr="00A3505C">
        <w:rPr>
          <w:rFonts w:ascii="Times New Roman" w:hAnsi="Times New Roman" w:cs="Times New Roman" w:hint="eastAsia"/>
          <w:sz w:val="24"/>
          <w:szCs w:val="24"/>
        </w:rPr>
        <w:t xml:space="preserve"> (</w:t>
      </w:r>
      <w:r w:rsidR="005D2ED8" w:rsidRPr="00A3505C">
        <w:rPr>
          <w:rFonts w:ascii="Times New Roman" w:hAnsi="Times New Roman" w:cs="Times New Roman"/>
          <w:sz w:val="24"/>
          <w:szCs w:val="24"/>
        </w:rPr>
        <w:t>CSMAR</w:t>
      </w:r>
      <w:r w:rsidR="005D2ED8" w:rsidRPr="00A3505C">
        <w:rPr>
          <w:rFonts w:ascii="Times New Roman" w:hAnsi="Times New Roman" w:cs="Times New Roman" w:hint="eastAsia"/>
          <w:sz w:val="24"/>
          <w:szCs w:val="24"/>
        </w:rPr>
        <w:t>)</w:t>
      </w:r>
      <w:r w:rsidRPr="00A3505C">
        <w:rPr>
          <w:rFonts w:ascii="Times New Roman" w:hAnsi="Times New Roman" w:cs="Times New Roman"/>
          <w:sz w:val="24"/>
          <w:szCs w:val="24"/>
        </w:rPr>
        <w:t>.</w:t>
      </w:r>
    </w:p>
    <w:p w14:paraId="53E4E2D5" w14:textId="38246B90"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We employ a four-step process to determine our final sample. First, we exclude 2,850 observations of specially treated (ST)</w:t>
      </w:r>
      <w:r w:rsidRPr="00A3505C">
        <w:rPr>
          <w:rStyle w:val="FootnoteReference"/>
          <w:rFonts w:ascii="Times New Roman" w:hAnsi="Times New Roman" w:cs="Times New Roman"/>
          <w:sz w:val="24"/>
          <w:szCs w:val="24"/>
        </w:rPr>
        <w:footnoteReference w:id="3"/>
      </w:r>
      <w:r w:rsidRPr="00A3505C">
        <w:rPr>
          <w:rFonts w:ascii="Times New Roman" w:hAnsi="Times New Roman" w:cs="Times New Roman"/>
          <w:sz w:val="24"/>
          <w:szCs w:val="24"/>
        </w:rPr>
        <w:t xml:space="preserve"> firms from the initial sample comprising 44,169 firm-year observations. Second, we e</w:t>
      </w:r>
      <w:r w:rsidRPr="00A3505C">
        <w:rPr>
          <w:rFonts w:ascii="Times New Roman" w:hAnsi="Times New Roman" w:cs="Times New Roman" w:hint="eastAsia"/>
          <w:sz w:val="24"/>
          <w:szCs w:val="24"/>
        </w:rPr>
        <w:t>xclude</w:t>
      </w:r>
      <w:r w:rsidRPr="00A3505C">
        <w:rPr>
          <w:rFonts w:ascii="Times New Roman" w:hAnsi="Times New Roman" w:cs="Times New Roman"/>
          <w:sz w:val="24"/>
          <w:szCs w:val="24"/>
        </w:rPr>
        <w:t xml:space="preserve"> 1,188 observations of financial firms </w:t>
      </w:r>
      <w:r w:rsidR="00E53E1E" w:rsidRPr="00A3505C">
        <w:rPr>
          <w:rFonts w:ascii="Times New Roman" w:hAnsi="Times New Roman" w:cs="Times New Roman"/>
          <w:sz w:val="24"/>
          <w:szCs w:val="24"/>
        </w:rPr>
        <w:t xml:space="preserve">due to </w:t>
      </w:r>
      <w:r w:rsidRPr="00A3505C">
        <w:rPr>
          <w:rFonts w:ascii="Times New Roman" w:hAnsi="Times New Roman" w:cs="Times New Roman"/>
          <w:sz w:val="24"/>
          <w:szCs w:val="24"/>
        </w:rPr>
        <w:t xml:space="preserve">their different accounting fundamentals. Third, we </w:t>
      </w:r>
      <w:r w:rsidRPr="00A3505C">
        <w:rPr>
          <w:rFonts w:ascii="Times New Roman" w:hAnsi="Times New Roman" w:cs="Times New Roman" w:hint="eastAsia"/>
          <w:sz w:val="24"/>
          <w:szCs w:val="24"/>
        </w:rPr>
        <w:t>drop</w:t>
      </w:r>
      <w:r w:rsidRPr="00A3505C">
        <w:rPr>
          <w:rFonts w:ascii="Times New Roman" w:hAnsi="Times New Roman" w:cs="Times New Roman"/>
          <w:sz w:val="24"/>
          <w:szCs w:val="24"/>
        </w:rPr>
        <w:t xml:space="preserve"> 11,777 observations that lack essential financial variable data. Fourth, we delete 1,625 observations with the missing value of green revenues. Fifth, we delete 1,660 observations with the missing value of strategic orientations. </w:t>
      </w:r>
      <w:r w:rsidRPr="00A3505C">
        <w:rPr>
          <w:rFonts w:ascii="Times New Roman" w:hAnsi="Times New Roman" w:cs="Times New Roman" w:hint="eastAsia"/>
          <w:sz w:val="24"/>
          <w:szCs w:val="24"/>
        </w:rPr>
        <w:t xml:space="preserve">The </w:t>
      </w:r>
      <w:r w:rsidRPr="00A3505C">
        <w:rPr>
          <w:rFonts w:ascii="Times New Roman" w:hAnsi="Times New Roman" w:cs="Times New Roman"/>
          <w:sz w:val="24"/>
          <w:szCs w:val="24"/>
        </w:rPr>
        <w:t xml:space="preserve">final valid sample </w:t>
      </w:r>
      <w:r w:rsidRPr="00A3505C">
        <w:rPr>
          <w:rFonts w:ascii="Times New Roman" w:hAnsi="Times New Roman" w:cs="Times New Roman" w:hint="eastAsia"/>
          <w:sz w:val="24"/>
          <w:szCs w:val="24"/>
        </w:rPr>
        <w:t>includes</w:t>
      </w:r>
      <w:r w:rsidRPr="00A3505C">
        <w:rPr>
          <w:rFonts w:ascii="Times New Roman" w:hAnsi="Times New Roman" w:cs="Times New Roman"/>
          <w:sz w:val="24"/>
          <w:szCs w:val="24"/>
        </w:rPr>
        <w:t xml:space="preserve"> 25,069 firm-year observations</w:t>
      </w:r>
      <w:r w:rsidRPr="00A3505C">
        <w:rPr>
          <w:rFonts w:ascii="Times New Roman" w:hAnsi="Times New Roman" w:cs="Times New Roman" w:hint="eastAsia"/>
          <w:sz w:val="24"/>
          <w:szCs w:val="24"/>
        </w:rPr>
        <w:t xml:space="preserve"> from</w:t>
      </w:r>
      <w:r w:rsidRPr="00A3505C">
        <w:rPr>
          <w:rFonts w:ascii="Times New Roman" w:hAnsi="Times New Roman" w:cs="Times New Roman"/>
          <w:sz w:val="24"/>
          <w:szCs w:val="24"/>
        </w:rPr>
        <w:t xml:space="preserve"> 3,042 unique firms across </w:t>
      </w:r>
      <w:r w:rsidRPr="00A3505C">
        <w:rPr>
          <w:rFonts w:ascii="Times New Roman" w:hAnsi="Times New Roman" w:cs="Times New Roman"/>
          <w:sz w:val="24"/>
          <w:szCs w:val="24"/>
        </w:rPr>
        <w:lastRenderedPageBreak/>
        <w:t>76 industries.</w:t>
      </w:r>
      <w:r w:rsidRPr="00A3505C">
        <w:rPr>
          <w:rStyle w:val="FootnoteReference"/>
          <w:rFonts w:ascii="Times New Roman" w:hAnsi="Times New Roman" w:cs="Times New Roman"/>
          <w:sz w:val="24"/>
          <w:szCs w:val="24"/>
        </w:rPr>
        <w:footnoteReference w:id="4"/>
      </w:r>
      <w:r w:rsidRPr="00A3505C">
        <w:rPr>
          <w:rFonts w:ascii="Times New Roman" w:hAnsi="Times New Roman" w:cs="Times New Roman"/>
          <w:sz w:val="24"/>
          <w:szCs w:val="24"/>
        </w:rPr>
        <w:t xml:space="preserve"> Panel A of Table 2 shows the details of this four-step selection process. Panel B of Table 2 presents the sample distribution by year. We observe that the percentage of observations of growth-oriented (</w:t>
      </w:r>
      <w:r w:rsidRPr="00A3505C">
        <w:rPr>
          <w:rFonts w:ascii="Times New Roman" w:hAnsi="Times New Roman" w:cs="Times New Roman"/>
          <w:i/>
          <w:sz w:val="24"/>
          <w:szCs w:val="24"/>
        </w:rPr>
        <w:t xml:space="preserve">N_1 </w:t>
      </w:r>
      <w:r w:rsidRPr="00A3505C">
        <w:rPr>
          <w:rFonts w:ascii="Times New Roman" w:hAnsi="Times New Roman" w:cs="Times New Roman"/>
          <w:sz w:val="24"/>
          <w:szCs w:val="24"/>
        </w:rPr>
        <w:t>/</w:t>
      </w:r>
      <w:r w:rsidRPr="00A3505C">
        <w:rPr>
          <w:rFonts w:ascii="Times New Roman" w:hAnsi="Times New Roman" w:cs="Times New Roman"/>
          <w:i/>
          <w:sz w:val="24"/>
          <w:szCs w:val="24"/>
        </w:rPr>
        <w:t xml:space="preserve"> N</w:t>
      </w:r>
      <w:r w:rsidRPr="00A3505C">
        <w:rPr>
          <w:rFonts w:ascii="Times New Roman" w:hAnsi="Times New Roman" w:cs="Times New Roman"/>
          <w:sz w:val="24"/>
          <w:szCs w:val="24"/>
        </w:rPr>
        <w:t>), those of profit-oriented (</w:t>
      </w:r>
      <w:r w:rsidRPr="00A3505C">
        <w:rPr>
          <w:rFonts w:ascii="Times New Roman" w:hAnsi="Times New Roman" w:cs="Times New Roman"/>
          <w:i/>
          <w:sz w:val="24"/>
          <w:szCs w:val="24"/>
        </w:rPr>
        <w:t xml:space="preserve">N_2 </w:t>
      </w:r>
      <w:r w:rsidRPr="00A3505C">
        <w:rPr>
          <w:rFonts w:ascii="Times New Roman" w:hAnsi="Times New Roman" w:cs="Times New Roman"/>
          <w:sz w:val="24"/>
          <w:szCs w:val="24"/>
        </w:rPr>
        <w:t>/</w:t>
      </w:r>
      <w:r w:rsidRPr="00A3505C">
        <w:rPr>
          <w:rFonts w:ascii="Times New Roman" w:hAnsi="Times New Roman" w:cs="Times New Roman"/>
          <w:i/>
          <w:sz w:val="24"/>
          <w:szCs w:val="24"/>
        </w:rPr>
        <w:t xml:space="preserve"> N</w:t>
      </w:r>
      <w:r w:rsidRPr="00A3505C">
        <w:rPr>
          <w:rFonts w:ascii="Times New Roman" w:hAnsi="Times New Roman" w:cs="Times New Roman"/>
          <w:sz w:val="24"/>
          <w:szCs w:val="24"/>
        </w:rPr>
        <w:t>), and those of neither-nor-oriented firm-years (</w:t>
      </w:r>
      <w:r w:rsidRPr="00A3505C">
        <w:rPr>
          <w:rFonts w:ascii="Times New Roman" w:hAnsi="Times New Roman" w:cs="Times New Roman"/>
          <w:i/>
          <w:sz w:val="24"/>
          <w:szCs w:val="24"/>
        </w:rPr>
        <w:t xml:space="preserve">N_3 </w:t>
      </w:r>
      <w:r w:rsidRPr="00A3505C">
        <w:rPr>
          <w:rFonts w:ascii="Times New Roman" w:hAnsi="Times New Roman" w:cs="Times New Roman"/>
          <w:sz w:val="24"/>
          <w:szCs w:val="24"/>
        </w:rPr>
        <w:t>/</w:t>
      </w:r>
      <w:r w:rsidRPr="00A3505C">
        <w:rPr>
          <w:rFonts w:ascii="Times New Roman" w:hAnsi="Times New Roman" w:cs="Times New Roman"/>
          <w:i/>
          <w:sz w:val="24"/>
          <w:szCs w:val="24"/>
        </w:rPr>
        <w:t xml:space="preserve"> N</w:t>
      </w:r>
      <w:r w:rsidRPr="00A3505C">
        <w:rPr>
          <w:rFonts w:ascii="Times New Roman" w:hAnsi="Times New Roman" w:cs="Times New Roman"/>
          <w:sz w:val="24"/>
          <w:szCs w:val="24"/>
        </w:rPr>
        <w:t>) exhibit stable trends across the time period.</w:t>
      </w:r>
      <w:r w:rsidRPr="00A3505C">
        <w:rPr>
          <w:rFonts w:ascii="Times New Roman" w:hAnsi="Times New Roman" w:cs="Times New Roman" w:hint="eastAsia"/>
          <w:sz w:val="24"/>
          <w:szCs w:val="24"/>
        </w:rPr>
        <w:t xml:space="preserve"> </w:t>
      </w:r>
    </w:p>
    <w:p w14:paraId="0EDEDDCC" w14:textId="77777777" w:rsidR="000F7DAA" w:rsidRPr="00A3505C" w:rsidRDefault="000F7DAA" w:rsidP="000F7DAA">
      <w:pPr>
        <w:adjustRightInd w:val="0"/>
        <w:snapToGrid w:val="0"/>
        <w:spacing w:after="12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2 Here]</w:t>
      </w:r>
    </w:p>
    <w:p w14:paraId="16EF9B7A" w14:textId="77777777" w:rsidR="000F7DAA" w:rsidRPr="00A3505C" w:rsidRDefault="000F7DAA" w:rsidP="000F7DAA">
      <w:pPr>
        <w:adjustRightInd w:val="0"/>
        <w:snapToGrid w:val="0"/>
        <w:spacing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3.2 Research design</w:t>
      </w:r>
    </w:p>
    <w:p w14:paraId="012C4BED" w14:textId="77777777" w:rsidR="000F7DAA" w:rsidRPr="00A3505C" w:rsidRDefault="000F7DAA" w:rsidP="000F7DAA">
      <w:pPr>
        <w:adjustRightInd w:val="0"/>
        <w:snapToGrid w:val="0"/>
        <w:spacing w:after="120" w:line="240" w:lineRule="auto"/>
        <w:jc w:val="both"/>
        <w:rPr>
          <w:rFonts w:ascii="Times New Roman" w:hAnsi="Times New Roman" w:cs="Times New Roman"/>
          <w:i/>
          <w:sz w:val="24"/>
          <w:szCs w:val="24"/>
        </w:rPr>
      </w:pPr>
      <w:r w:rsidRPr="00A3505C">
        <w:rPr>
          <w:rFonts w:ascii="Times New Roman" w:hAnsi="Times New Roman" w:cs="Times New Roman"/>
          <w:i/>
          <w:sz w:val="24"/>
          <w:szCs w:val="24"/>
        </w:rPr>
        <w:t>3.2.1 Model specification</w:t>
      </w:r>
    </w:p>
    <w:p w14:paraId="1B6963D8"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We adopt the following regression model to investigate the impact of strategic orientations on firms’ green revenues:</w:t>
      </w:r>
    </w:p>
    <w:p w14:paraId="35281768" w14:textId="77777777" w:rsidR="000F7DAA" w:rsidRPr="00A3505C" w:rsidRDefault="000F7DAA" w:rsidP="000F7DAA">
      <w:pPr>
        <w:adjustRightInd w:val="0"/>
        <w:snapToGrid w:val="0"/>
        <w:spacing w:after="120" w:line="360" w:lineRule="auto"/>
        <w:jc w:val="both"/>
        <w:rPr>
          <w:rFonts w:ascii="Times New Roman" w:hAnsi="Times New Roman" w:cs="Times New Roman"/>
          <w:sz w:val="24"/>
          <w:szCs w:val="24"/>
        </w:rPr>
      </w:pPr>
      <w:r w:rsidRPr="00A3505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Times New Roman" w:hAnsi="Times New Roman" w:cs="Times New Roman"/>
                <w:i/>
                <w:sz w:val="24"/>
                <w:szCs w:val="24"/>
              </w:rPr>
              <m:t>Green Revenues</m:t>
            </m:r>
          </m:e>
          <m:sub>
            <m:r>
              <m:rPr>
                <m:nor/>
              </m:rPr>
              <w:rPr>
                <w:rFonts w:ascii="Times New Roman" w:hAnsi="Times New Roman" w:cs="Times New Roman"/>
                <w:i/>
                <w:sz w:val="24"/>
                <w:szCs w:val="24"/>
              </w:rPr>
              <m:t>i,t</m:t>
            </m:r>
          </m:sub>
        </m:sSub>
        <m:r>
          <m:rPr>
            <m:nor/>
          </m:rPr>
          <w:rPr>
            <w:rFonts w:ascii="Times New Roman" w:hAnsi="Times New Roman" w:cs="Times New Roman"/>
            <w:i/>
            <w:sz w:val="24"/>
            <w:szCs w:val="24"/>
          </w:rPr>
          <m:t xml:space="preserve"> = α + β</m:t>
        </m:r>
        <m:sSub>
          <m:sSubPr>
            <m:ctrlPr>
              <w:rPr>
                <w:rFonts w:ascii="Cambria Math" w:hAnsi="Cambria Math" w:cs="Times New Roman"/>
                <w:i/>
                <w:sz w:val="24"/>
                <w:szCs w:val="24"/>
              </w:rPr>
            </m:ctrlPr>
          </m:sSubPr>
          <m:e>
            <m:r>
              <m:rPr>
                <m:nor/>
              </m:rPr>
              <w:rPr>
                <w:rFonts w:ascii="Times New Roman" w:hAnsi="Times New Roman" w:cs="Times New Roman"/>
                <w:i/>
                <w:sz w:val="24"/>
                <w:szCs w:val="24"/>
              </w:rPr>
              <m:t>Strategic Orientations</m:t>
            </m:r>
          </m:e>
          <m:sub>
            <m:r>
              <m:rPr>
                <m:nor/>
              </m:rPr>
              <w:rPr>
                <w:rFonts w:ascii="Times New Roman" w:hAnsi="Times New Roman" w:cs="Times New Roman"/>
                <w:i/>
                <w:sz w:val="24"/>
                <w:szCs w:val="24"/>
              </w:rPr>
              <m:t>i,t</m:t>
            </m:r>
          </m:sub>
        </m:sSub>
        <m:r>
          <m:rPr>
            <m:nor/>
          </m:rPr>
          <w:rPr>
            <w:rFonts w:ascii="Times New Roman" w:hAnsi="Times New Roman" w:cs="Times New Roman"/>
            <w:i/>
            <w:sz w:val="24"/>
            <w:szCs w:val="24"/>
          </w:rPr>
          <m:t xml:space="preserve"> + δ</m:t>
        </m:r>
        <m:sSub>
          <m:sSubPr>
            <m:ctrlPr>
              <w:rPr>
                <w:rFonts w:ascii="Cambria Math" w:hAnsi="Cambria Math" w:cs="Times New Roman"/>
                <w:i/>
                <w:sz w:val="24"/>
                <w:szCs w:val="24"/>
              </w:rPr>
            </m:ctrlPr>
          </m:sSubPr>
          <m:e>
            <m:r>
              <m:rPr>
                <m:nor/>
              </m:rPr>
              <w:rPr>
                <w:rFonts w:ascii="Times New Roman" w:hAnsi="Times New Roman" w:cs="Times New Roman"/>
                <w:i/>
                <w:sz w:val="24"/>
                <w:szCs w:val="24"/>
              </w:rPr>
              <m:t>Control</m:t>
            </m:r>
          </m:e>
          <m:sub>
            <m:r>
              <m:rPr>
                <m:nor/>
              </m:rPr>
              <w:rPr>
                <w:rFonts w:ascii="Times New Roman" w:hAnsi="Times New Roman" w:cs="Times New Roman"/>
                <w:i/>
                <w:sz w:val="24"/>
                <w:szCs w:val="24"/>
              </w:rPr>
              <m:t>i,t</m:t>
            </m:r>
          </m:sub>
        </m:sSub>
        <m:r>
          <m:rPr>
            <m:nor/>
          </m:rPr>
          <w:rPr>
            <w:rFonts w:ascii="Times New Roman" w:hAnsi="Times New Roman" w:cs="Times New Roman"/>
            <w:i/>
            <w:sz w:val="24"/>
            <w:szCs w:val="24"/>
          </w:rPr>
          <m:t xml:space="preserve"> + </m:t>
        </m:r>
        <m:sSub>
          <m:sSubPr>
            <m:ctrlPr>
              <w:rPr>
                <w:rFonts w:ascii="Cambria Math" w:hAnsi="Cambria Math" w:cs="Times New Roman"/>
                <w:i/>
                <w:sz w:val="24"/>
                <w:szCs w:val="24"/>
              </w:rPr>
            </m:ctrlPr>
          </m:sSubPr>
          <m:e>
            <m:r>
              <m:rPr>
                <m:nor/>
              </m:rPr>
              <w:rPr>
                <w:rFonts w:ascii="Times New Roman" w:hAnsi="Times New Roman" w:cs="Times New Roman"/>
                <w:i/>
                <w:sz w:val="24"/>
                <w:szCs w:val="24"/>
              </w:rPr>
              <m:t>ν</m:t>
            </m:r>
          </m:e>
          <m:sub>
            <m:r>
              <m:rPr>
                <m:nor/>
              </m:rPr>
              <w:rPr>
                <w:rFonts w:ascii="Times New Roman" w:hAnsi="Times New Roman" w:cs="Times New Roman"/>
                <w:i/>
                <w:sz w:val="24"/>
                <w:szCs w:val="24"/>
              </w:rPr>
              <m:t>j</m:t>
            </m:r>
          </m:sub>
        </m:sSub>
        <m:r>
          <m:rPr>
            <m:nor/>
          </m:rPr>
          <w:rPr>
            <w:rFonts w:ascii="Times New Roman" w:hAnsi="Times New Roman" w:cs="Times New Roman"/>
            <w:i/>
            <w:sz w:val="24"/>
            <w:szCs w:val="24"/>
          </w:rPr>
          <m:t xml:space="preserve"> + </m:t>
        </m:r>
        <m:sSub>
          <m:sSubPr>
            <m:ctrlPr>
              <w:rPr>
                <w:rFonts w:ascii="Cambria Math" w:hAnsi="Cambria Math" w:cs="Times New Roman"/>
                <w:i/>
                <w:sz w:val="24"/>
                <w:szCs w:val="24"/>
              </w:rPr>
            </m:ctrlPr>
          </m:sSubPr>
          <m:e>
            <m:r>
              <m:rPr>
                <m:nor/>
              </m:rPr>
              <w:rPr>
                <w:rFonts w:ascii="Times New Roman" w:hAnsi="Times New Roman" w:cs="Times New Roman"/>
                <w:i/>
                <w:sz w:val="24"/>
                <w:szCs w:val="24"/>
              </w:rPr>
              <m:t>ν</m:t>
            </m:r>
          </m:e>
          <m:sub>
            <m:r>
              <m:rPr>
                <m:nor/>
              </m:rPr>
              <w:rPr>
                <w:rFonts w:ascii="Times New Roman" w:hAnsi="Times New Roman" w:cs="Times New Roman"/>
                <w:i/>
                <w:sz w:val="24"/>
                <w:szCs w:val="24"/>
              </w:rPr>
              <m:t>r</m:t>
            </m:r>
          </m:sub>
        </m:sSub>
        <m:r>
          <m:rPr>
            <m:nor/>
          </m:rPr>
          <w:rPr>
            <w:rFonts w:ascii="Cambria Math" w:hAnsi="Times New Roman" w:cs="Times New Roman"/>
            <w:i/>
            <w:sz w:val="24"/>
            <w:szCs w:val="24"/>
          </w:rPr>
          <m:t xml:space="preserve"> </m:t>
        </m:r>
        <m:r>
          <m:rPr>
            <m:nor/>
          </m:rPr>
          <w:rPr>
            <w:rFonts w:ascii="Times New Roman" w:hAnsi="Times New Roman" w:cs="Times New Roman"/>
            <w:i/>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i/>
                <w:sz w:val="24"/>
                <w:szCs w:val="24"/>
              </w:rPr>
              <m:t>ν</m:t>
            </m:r>
          </m:e>
          <m:sub>
            <m:r>
              <m:rPr>
                <m:nor/>
              </m:rPr>
              <w:rPr>
                <w:rFonts w:ascii="Times New Roman" w:hAnsi="Times New Roman" w:cs="Times New Roman"/>
                <w:i/>
                <w:sz w:val="24"/>
                <w:szCs w:val="24"/>
              </w:rPr>
              <m:t>t</m:t>
            </m:r>
          </m:sub>
        </m:sSub>
        <m:r>
          <m:rPr>
            <m:nor/>
          </m:rPr>
          <w:rPr>
            <w:rFonts w:ascii="Times New Roman" w:hAnsi="Times New Roman" w:cs="Times New Roman"/>
            <w:i/>
            <w:sz w:val="24"/>
            <w:szCs w:val="24"/>
          </w:rPr>
          <m:t xml:space="preserve"> + </m:t>
        </m:r>
        <m:sSub>
          <m:sSubPr>
            <m:ctrlPr>
              <w:rPr>
                <w:rFonts w:ascii="Cambria Math" w:hAnsi="Cambria Math" w:cs="Times New Roman"/>
                <w:i/>
                <w:sz w:val="24"/>
                <w:szCs w:val="24"/>
              </w:rPr>
            </m:ctrlPr>
          </m:sSubPr>
          <m:e>
            <m:r>
              <m:rPr>
                <m:nor/>
              </m:rPr>
              <w:rPr>
                <w:rFonts w:ascii="Times New Roman" w:hAnsi="Times New Roman" w:cs="Times New Roman"/>
                <w:i/>
                <w:sz w:val="24"/>
                <w:szCs w:val="24"/>
              </w:rPr>
              <m:t>ε</m:t>
            </m:r>
          </m:e>
          <m:sub>
            <m:r>
              <m:rPr>
                <m:nor/>
              </m:rPr>
              <w:rPr>
                <w:rFonts w:ascii="Times New Roman" w:hAnsi="Times New Roman" w:cs="Times New Roman"/>
                <w:i/>
                <w:sz w:val="24"/>
                <w:szCs w:val="24"/>
              </w:rPr>
              <m:t>i,t</m:t>
            </m:r>
          </m:sub>
        </m:sSub>
      </m:oMath>
      <w:r w:rsidRPr="00A3505C">
        <w:rPr>
          <w:rFonts w:ascii="Times New Roman" w:hAnsi="Times New Roman" w:cs="Times New Roman"/>
          <w:sz w:val="24"/>
          <w:szCs w:val="24"/>
        </w:rPr>
        <w:t xml:space="preserve">   (1)</w:t>
      </w:r>
    </w:p>
    <w:p w14:paraId="5E16D020" w14:textId="77777777" w:rsidR="000F7DAA" w:rsidRPr="00A3505C" w:rsidRDefault="000F7DAA" w:rsidP="000F7DAA">
      <w:pPr>
        <w:adjustRightInd w:val="0"/>
        <w:snapToGrid w:val="0"/>
        <w:spacing w:after="120" w:line="360" w:lineRule="auto"/>
        <w:jc w:val="both"/>
        <w:rPr>
          <w:rFonts w:ascii="Times New Roman" w:hAnsi="Times New Roman" w:cs="Times New Roman"/>
          <w:sz w:val="24"/>
          <w:szCs w:val="24"/>
        </w:rPr>
      </w:pPr>
      <w:r w:rsidRPr="00A3505C">
        <w:rPr>
          <w:rFonts w:ascii="Times New Roman" w:hAnsi="Times New Roman" w:cs="Times New Roman"/>
          <w:sz w:val="24"/>
          <w:szCs w:val="24"/>
        </w:rPr>
        <w:t xml:space="preserve">The subscripts </w:t>
      </w:r>
      <w:r w:rsidRPr="00A3505C">
        <w:rPr>
          <w:rFonts w:ascii="Times New Roman" w:hAnsi="Times New Roman" w:cs="Times New Roman"/>
          <w:i/>
          <w:sz w:val="24"/>
          <w:szCs w:val="24"/>
        </w:rPr>
        <w:t>i</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j</w:t>
      </w:r>
      <w:r w:rsidRPr="00A3505C">
        <w:rPr>
          <w:rFonts w:ascii="Times New Roman" w:hAnsi="Times New Roman" w:cs="Times New Roman"/>
          <w:sz w:val="24"/>
          <w:szCs w:val="24"/>
        </w:rPr>
        <w:t xml:space="preserve">, </w:t>
      </w:r>
      <w:r w:rsidRPr="00A3505C">
        <w:rPr>
          <w:rFonts w:ascii="Times New Roman" w:hAnsi="Times New Roman" w:cs="Times New Roman"/>
          <w:i/>
          <w:iCs/>
          <w:sz w:val="24"/>
          <w:szCs w:val="24"/>
        </w:rPr>
        <w:t>r</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t</w:t>
      </w:r>
      <w:r w:rsidRPr="00A3505C">
        <w:rPr>
          <w:rFonts w:ascii="Times New Roman" w:hAnsi="Times New Roman" w:cs="Times New Roman"/>
          <w:sz w:val="24"/>
          <w:szCs w:val="24"/>
        </w:rPr>
        <w:t xml:space="preserve"> represent firm, industry, province, and year, respectively. The outcome variable </w:t>
      </w:r>
      <w:r w:rsidRPr="00A3505C">
        <w:rPr>
          <w:rFonts w:ascii="Times New Roman" w:hAnsi="Times New Roman" w:cs="Times New Roman"/>
          <w:i/>
          <w:iCs/>
          <w:sz w:val="24"/>
          <w:szCs w:val="24"/>
        </w:rPr>
        <w:t>Green Revenues</w:t>
      </w:r>
      <w:r w:rsidRPr="00A3505C">
        <w:rPr>
          <w:rFonts w:ascii="Times New Roman" w:hAnsi="Times New Roman" w:cs="Times New Roman"/>
          <w:sz w:val="24"/>
          <w:szCs w:val="24"/>
        </w:rPr>
        <w:t xml:space="preserve"> denotes firms’ green revenues, quantified either by the existence of green revenues for firm </w:t>
      </w:r>
      <w:r w:rsidRPr="00A3505C">
        <w:rPr>
          <w:rFonts w:ascii="Times New Roman" w:hAnsi="Times New Roman" w:cs="Times New Roman"/>
          <w:i/>
          <w:sz w:val="24"/>
          <w:szCs w:val="24"/>
        </w:rPr>
        <w:t>i</w:t>
      </w:r>
      <w:r w:rsidRPr="00A3505C">
        <w:rPr>
          <w:rFonts w:ascii="Times New Roman" w:hAnsi="Times New Roman" w:cs="Times New Roman"/>
          <w:sz w:val="24"/>
          <w:szCs w:val="24"/>
        </w:rPr>
        <w:t xml:space="preserve"> in year </w:t>
      </w:r>
      <w:r w:rsidRPr="00A3505C">
        <w:rPr>
          <w:rFonts w:ascii="Times New Roman" w:hAnsi="Times New Roman" w:cs="Times New Roman"/>
          <w:i/>
          <w:sz w:val="24"/>
          <w:szCs w:val="24"/>
        </w:rPr>
        <w:t>t</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or by the proportion of revenues obtained from green-related businesses relative to total revenues (</w:t>
      </w:r>
      <w:r w:rsidRPr="00A3505C">
        <w:rPr>
          <w:rFonts w:ascii="Times New Roman" w:hAnsi="Times New Roman" w:cs="Times New Roman"/>
          <w:i/>
          <w:sz w:val="24"/>
          <w:szCs w:val="24"/>
        </w:rPr>
        <w:t>Green Revenues Ratio</w:t>
      </w:r>
      <w:r w:rsidRPr="00A3505C">
        <w:rPr>
          <w:rFonts w:ascii="Times New Roman" w:hAnsi="Times New Roman" w:cs="Times New Roman"/>
          <w:sz w:val="24"/>
          <w:szCs w:val="24"/>
        </w:rPr>
        <w:t xml:space="preserve">). The indicator variable </w:t>
      </w:r>
      <w:r w:rsidRPr="00A3505C">
        <w:rPr>
          <w:rFonts w:ascii="Times New Roman" w:hAnsi="Times New Roman" w:cs="Times New Roman"/>
          <w:i/>
          <w:iCs/>
          <w:sz w:val="24"/>
          <w:szCs w:val="24"/>
        </w:rPr>
        <w:t>Strategic Orientations</w:t>
      </w:r>
      <w:r w:rsidRPr="00A3505C">
        <w:rPr>
          <w:rFonts w:ascii="Times New Roman" w:hAnsi="Times New Roman" w:cs="Times New Roman"/>
          <w:sz w:val="24"/>
          <w:szCs w:val="24"/>
        </w:rPr>
        <w:t xml:space="preserve"> refers to the firms’ strategic orientations (growth-oriented or profit-oriented strategies).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variable </w:t>
      </w:r>
      <w:r w:rsidRPr="00A3505C">
        <w:rPr>
          <w:rFonts w:ascii="Times New Roman" w:hAnsi="Times New Roman" w:cs="Times New Roman"/>
          <w:i/>
          <w:iCs/>
          <w:sz w:val="24"/>
          <w:szCs w:val="24"/>
        </w:rPr>
        <w:t>Growth vs. Profit and Neither-Nor</w:t>
      </w:r>
      <w:r w:rsidRPr="00A3505C">
        <w:rPr>
          <w:rFonts w:ascii="Times New Roman" w:hAnsi="Times New Roman" w:cs="Times New Roman"/>
          <w:sz w:val="24"/>
          <w:szCs w:val="24"/>
        </w:rPr>
        <w:t xml:space="preserve"> is assigned a value of one if a firm-year exhibits a growth-oriented strategy, and zero if it reflects either a profit-oriented or neither-nor-oriented strategy. The variable </w:t>
      </w:r>
      <w:r w:rsidRPr="00A3505C">
        <w:rPr>
          <w:rFonts w:ascii="Times New Roman" w:hAnsi="Times New Roman" w:cs="Times New Roman"/>
          <w:i/>
          <w:iCs/>
          <w:sz w:val="24"/>
          <w:szCs w:val="24"/>
        </w:rPr>
        <w:t>Profit vs. Growth and Neither-Nor</w:t>
      </w:r>
      <w:r w:rsidRPr="00A3505C">
        <w:rPr>
          <w:rFonts w:ascii="Times New Roman" w:hAnsi="Times New Roman" w:cs="Times New Roman"/>
          <w:sz w:val="24"/>
          <w:szCs w:val="24"/>
        </w:rPr>
        <w:t xml:space="preserve"> equals one when a firm-year adopts a profit-oriented strategy, and zero when it adopts either a growth-oriented or neither-nor-oriented strategy.</w:t>
      </w:r>
    </w:p>
    <w:p w14:paraId="2C3B4DEE" w14:textId="6C7ACCD2"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vector </w:t>
      </w:r>
      <m:oMath>
        <m:sSub>
          <m:sSubPr>
            <m:ctrlPr>
              <w:rPr>
                <w:rFonts w:ascii="Cambria Math" w:hAnsi="Cambria Math" w:cs="Times New Roman"/>
                <w:i/>
                <w:sz w:val="24"/>
                <w:szCs w:val="24"/>
              </w:rPr>
            </m:ctrlPr>
          </m:sSubPr>
          <m:e>
            <m:r>
              <m:rPr>
                <m:nor/>
              </m:rPr>
              <w:rPr>
                <w:rFonts w:ascii="Times New Roman" w:hAnsi="Times New Roman" w:cs="Times New Roman"/>
                <w:i/>
                <w:sz w:val="24"/>
                <w:szCs w:val="24"/>
              </w:rPr>
              <m:t>Control</m:t>
            </m:r>
          </m:e>
          <m:sub>
            <m:r>
              <m:rPr>
                <m:nor/>
              </m:rPr>
              <w:rPr>
                <w:rFonts w:ascii="Times New Roman" w:hAnsi="Times New Roman" w:cs="Times New Roman"/>
                <w:i/>
                <w:sz w:val="24"/>
                <w:szCs w:val="24"/>
              </w:rPr>
              <m:t>i,t</m:t>
            </m:r>
          </m:sub>
        </m:sSub>
      </m:oMath>
      <w:r w:rsidRPr="00A3505C">
        <w:rPr>
          <w:rFonts w:ascii="Times New Roman" w:hAnsi="Times New Roman" w:cs="Times New Roman"/>
          <w:sz w:val="24"/>
          <w:szCs w:val="24"/>
        </w:rPr>
        <w:t xml:space="preserve"> serves as a set of control variables. Following previous studies, we incorporate several control variables in our regression model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&lt;EndNote&gt;&lt;Cite&gt;&lt;Author&gt;Huang&lt;/Author&gt;&lt;Year&gt;2024&lt;/Year&gt;&lt;RecNum&gt;8547&lt;/RecNum&gt;&lt;DisplayText&gt;(Huang&lt;style face="italic"&gt; et al.&lt;/style&gt;, 2024; Zhou and Park, 2020)&lt;/DisplayText&gt;&lt;record&gt;&lt;rec-number&gt;8547&lt;/rec-number&gt;&lt;foreign-keys&gt;&lt;key app="EN" db-id="tt95vv9zf20xf0ewve7x0fsl990xeeasafzs" timestamp="1706677257"&gt;8547&lt;/key&gt;&lt;/foreign-keys&gt;&lt;ref-type name="Journal Article"&gt;17&lt;/ref-type&gt;&lt;contributors&gt;&lt;authors&gt;&lt;author&gt;Huang, Zijie&lt;/author&gt;&lt;author&gt;Cao, June&lt;/author&gt;&lt;author&gt;Pan, Lei&lt;/author&gt;&lt;/authors&gt;&lt;/contributors&gt;&lt;titles&gt;&lt;title&gt;Greening your way to profits: Green strategies and green revenues&lt;/title&gt;&lt;secondary-title&gt;Finance Research Letters&lt;/secondary-title&gt;&lt;/titles&gt;&lt;periodical&gt;&lt;full-title&gt;Finance Research Letters&lt;/full-title&gt;&lt;abbr-1&gt;Financ. Res. Lett.&lt;/abbr-1&gt;&lt;/periodical&gt;&lt;volume&gt;61&lt;/volume&gt;&lt;section&gt;105029&lt;/section&gt;&lt;dates&gt;&lt;year&gt;2024&lt;/year&gt;&lt;/dates&gt;&lt;isbn&gt;15446123&lt;/isbn&gt;&lt;urls&gt;&lt;/urls&gt;&lt;electronic-resource-num&gt;10.1016/j.frl.2024.105029&lt;/electronic-resource-num&gt;&lt;/record&gt;&lt;/Cite&gt;&lt;Cite&gt;&lt;Author&gt;Zhou&lt;/Author&gt;&lt;Year&gt;2020&lt;/Year&gt;&lt;RecNum&gt;8976&lt;/RecNum&gt;&lt;record&gt;&lt;rec-number&gt;8976&lt;/rec-number&gt;&lt;foreign-keys&gt;&lt;key app="EN" db-id="tt95vv9zf20xf0ewve7x0fsl990xeeasafzs" timestamp="1708848648"&gt;8976&lt;/key&gt;&lt;/foreign-keys&gt;&lt;ref-type name="Journal Article"&gt;17&lt;/ref-type&gt;&lt;contributors&gt;&lt;autho</w:instrText>
      </w:r>
      <w:r w:rsidRPr="00A3505C">
        <w:rPr>
          <w:rFonts w:ascii="Times New Roman" w:hAnsi="Times New Roman" w:cs="Times New Roman" w:hint="eastAsia"/>
          <w:sz w:val="24"/>
          <w:szCs w:val="24"/>
        </w:rPr>
        <w:instrText>rs&gt;&lt;author&gt;Zhou, Nan&lt;/author&gt;&lt;author&gt;Park, Seung H.&lt;/author&gt;&lt;/authors&gt;&lt;/contributors&gt;&lt;titles&gt;&lt;title&gt;Growth or profit? Strategic orientations and long</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term performance in China&lt;/title&gt;&lt;secondary-title&gt;Strategic Management Journal&lt;/secondary-title&gt;&lt;/titles&gt;</w:instrText>
      </w:r>
      <w:r w:rsidRPr="00A3505C">
        <w:rPr>
          <w:rFonts w:ascii="Times New Roman" w:hAnsi="Times New Roman" w:cs="Times New Roman"/>
          <w:sz w:val="24"/>
          <w:szCs w:val="24"/>
        </w:rPr>
        <w:instrTex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00FE59F7">
        <w:rPr>
          <w:rFonts w:ascii="Times New Roman" w:hAnsi="Times New Roman" w:cs="Times New Roman"/>
          <w:noProof/>
          <w:sz w:val="24"/>
          <w:szCs w:val="24"/>
        </w:rPr>
        <w:t xml:space="preserve">; </w:t>
      </w:r>
      <w:r w:rsidR="00FE59F7" w:rsidRPr="00A3505C">
        <w:rPr>
          <w:rFonts w:ascii="Times New Roman" w:hAnsi="Times New Roman" w:cs="Times New Roman"/>
          <w:noProof/>
          <w:sz w:val="24"/>
          <w:szCs w:val="24"/>
        </w:rPr>
        <w:t>Huang</w:t>
      </w:r>
      <w:r w:rsidR="00FE59F7" w:rsidRPr="00A3505C">
        <w:rPr>
          <w:rFonts w:ascii="Times New Roman" w:hAnsi="Times New Roman" w:cs="Times New Roman"/>
          <w:i/>
          <w:noProof/>
          <w:sz w:val="24"/>
          <w:szCs w:val="24"/>
        </w:rPr>
        <w:t xml:space="preserve"> et al.</w:t>
      </w:r>
      <w:r w:rsidR="00FE59F7" w:rsidRPr="00A3505C">
        <w:rPr>
          <w:rFonts w:ascii="Times New Roman" w:hAnsi="Times New Roman" w:cs="Times New Roman"/>
          <w:noProof/>
          <w:sz w:val="24"/>
          <w:szCs w:val="24"/>
        </w:rPr>
        <w:t>, 2024</w:t>
      </w:r>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Specifically, the vector </w:t>
      </w:r>
      <m:oMath>
        <m:sSub>
          <m:sSubPr>
            <m:ctrlPr>
              <w:rPr>
                <w:rFonts w:ascii="Cambria Math" w:hAnsi="Cambria Math" w:cs="Times New Roman"/>
                <w:i/>
                <w:sz w:val="24"/>
                <w:szCs w:val="24"/>
              </w:rPr>
            </m:ctrlPr>
          </m:sSubPr>
          <m:e>
            <m:r>
              <m:rPr>
                <m:nor/>
              </m:rPr>
              <w:rPr>
                <w:rFonts w:ascii="Times New Roman" w:hAnsi="Times New Roman" w:cs="Times New Roman"/>
                <w:i/>
                <w:sz w:val="24"/>
                <w:szCs w:val="24"/>
              </w:rPr>
              <m:t>Control</m:t>
            </m:r>
          </m:e>
          <m:sub>
            <m:r>
              <m:rPr>
                <m:nor/>
              </m:rPr>
              <w:rPr>
                <w:rFonts w:ascii="Times New Roman" w:hAnsi="Times New Roman" w:cs="Times New Roman"/>
                <w:i/>
                <w:sz w:val="24"/>
                <w:szCs w:val="24"/>
              </w:rPr>
              <m:t>i,t</m:t>
            </m:r>
          </m:sub>
        </m:sSub>
      </m:oMath>
      <w:r w:rsidRPr="00A3505C">
        <w:rPr>
          <w:rFonts w:ascii="Times New Roman" w:hAnsi="Times New Roman" w:cs="Times New Roman"/>
          <w:sz w:val="24"/>
          <w:szCs w:val="24"/>
        </w:rPr>
        <w:t xml:space="preserve"> includes firms’ size (</w:t>
      </w:r>
      <w:r w:rsidRPr="00A3505C">
        <w:rPr>
          <w:rFonts w:ascii="Times New Roman" w:hAnsi="Times New Roman" w:cs="Times New Roman"/>
          <w:i/>
          <w:sz w:val="24"/>
          <w:szCs w:val="24"/>
        </w:rPr>
        <w:t>Size</w:t>
      </w:r>
      <w:r w:rsidRPr="00A3505C">
        <w:rPr>
          <w:rFonts w:ascii="Times New Roman" w:hAnsi="Times New Roman" w:cs="Times New Roman"/>
          <w:sz w:val="24"/>
          <w:szCs w:val="24"/>
        </w:rPr>
        <w:t>), ownership structure (</w:t>
      </w:r>
      <w:r w:rsidRPr="00A3505C">
        <w:rPr>
          <w:rFonts w:ascii="Times New Roman" w:hAnsi="Times New Roman" w:cs="Times New Roman"/>
          <w:i/>
          <w:sz w:val="24"/>
          <w:szCs w:val="24"/>
        </w:rPr>
        <w:t>SOE</w:t>
      </w:r>
      <w:r w:rsidRPr="00A3505C">
        <w:rPr>
          <w:rFonts w:ascii="Times New Roman" w:hAnsi="Times New Roman" w:cs="Times New Roman"/>
          <w:sz w:val="24"/>
          <w:szCs w:val="24"/>
        </w:rPr>
        <w:t>), book-to-market ratio (</w:t>
      </w:r>
      <w:r w:rsidRPr="00A3505C">
        <w:rPr>
          <w:rFonts w:ascii="Times New Roman" w:hAnsi="Times New Roman" w:cs="Times New Roman"/>
          <w:i/>
          <w:sz w:val="24"/>
          <w:szCs w:val="24"/>
        </w:rPr>
        <w:t>BTM</w:t>
      </w:r>
      <w:r w:rsidRPr="00A3505C">
        <w:rPr>
          <w:rFonts w:ascii="Times New Roman" w:hAnsi="Times New Roman" w:cs="Times New Roman"/>
          <w:sz w:val="24"/>
          <w:szCs w:val="24"/>
        </w:rPr>
        <w:t>), net working capital (</w:t>
      </w:r>
      <w:r w:rsidRPr="00A3505C">
        <w:rPr>
          <w:rFonts w:ascii="Times New Roman" w:hAnsi="Times New Roman" w:cs="Times New Roman"/>
          <w:i/>
          <w:sz w:val="24"/>
          <w:szCs w:val="24"/>
        </w:rPr>
        <w:t>NWC</w:t>
      </w:r>
      <w:r w:rsidRPr="00A3505C">
        <w:rPr>
          <w:rFonts w:ascii="Times New Roman" w:hAnsi="Times New Roman" w:cs="Times New Roman"/>
          <w:sz w:val="24"/>
          <w:szCs w:val="24"/>
        </w:rPr>
        <w:t>), return on assets (</w:t>
      </w:r>
      <w:r w:rsidRPr="00A3505C">
        <w:rPr>
          <w:rFonts w:ascii="Times New Roman" w:hAnsi="Times New Roman" w:cs="Times New Roman"/>
          <w:i/>
          <w:sz w:val="24"/>
          <w:szCs w:val="24"/>
        </w:rPr>
        <w:t>ROA</w:t>
      </w:r>
      <w:r w:rsidRPr="00A3505C">
        <w:rPr>
          <w:rFonts w:ascii="Times New Roman" w:hAnsi="Times New Roman" w:cs="Times New Roman"/>
          <w:sz w:val="24"/>
          <w:szCs w:val="24"/>
        </w:rPr>
        <w:t>), cash and cash equivalent (</w:t>
      </w:r>
      <w:r w:rsidRPr="00A3505C">
        <w:rPr>
          <w:rFonts w:ascii="Times New Roman" w:hAnsi="Times New Roman" w:cs="Times New Roman"/>
          <w:i/>
          <w:sz w:val="24"/>
          <w:szCs w:val="24"/>
        </w:rPr>
        <w:t>Cash</w:t>
      </w:r>
      <w:r w:rsidRPr="00A3505C">
        <w:rPr>
          <w:rFonts w:ascii="Times New Roman" w:hAnsi="Times New Roman" w:cs="Times New Roman"/>
          <w:sz w:val="24"/>
          <w:szCs w:val="24"/>
        </w:rPr>
        <w:t>), tangible assets (</w:t>
      </w:r>
      <w:r w:rsidRPr="00A3505C">
        <w:rPr>
          <w:rFonts w:ascii="Times New Roman" w:hAnsi="Times New Roman" w:cs="Times New Roman"/>
          <w:i/>
          <w:sz w:val="24"/>
          <w:szCs w:val="24"/>
        </w:rPr>
        <w:t>Tangible</w:t>
      </w:r>
      <w:r w:rsidRPr="00A3505C">
        <w:rPr>
          <w:rFonts w:ascii="Times New Roman" w:hAnsi="Times New Roman" w:cs="Times New Roman"/>
          <w:sz w:val="24"/>
          <w:szCs w:val="24"/>
        </w:rPr>
        <w:t>), market share ratio (</w:t>
      </w:r>
      <w:r w:rsidRPr="00A3505C">
        <w:rPr>
          <w:rFonts w:ascii="Times New Roman" w:hAnsi="Times New Roman" w:cs="Times New Roman"/>
          <w:i/>
          <w:sz w:val="24"/>
          <w:szCs w:val="24"/>
        </w:rPr>
        <w:t>Market Share</w:t>
      </w:r>
      <w:r w:rsidRPr="00A3505C">
        <w:rPr>
          <w:rFonts w:ascii="Times New Roman" w:hAnsi="Times New Roman" w:cs="Times New Roman"/>
          <w:sz w:val="24"/>
          <w:szCs w:val="24"/>
        </w:rPr>
        <w:t>), WW index representing the level of product market competition (</w:t>
      </w:r>
      <w:r w:rsidRPr="00A3505C">
        <w:rPr>
          <w:rFonts w:ascii="Times New Roman" w:hAnsi="Times New Roman" w:cs="Times New Roman"/>
          <w:i/>
          <w:sz w:val="24"/>
          <w:szCs w:val="24"/>
        </w:rPr>
        <w:t>WW Index</w:t>
      </w:r>
      <w:r w:rsidRPr="00A3505C">
        <w:rPr>
          <w:rFonts w:ascii="Times New Roman" w:hAnsi="Times New Roman" w:cs="Times New Roman"/>
          <w:sz w:val="24"/>
          <w:szCs w:val="24"/>
        </w:rPr>
        <w:t>), institutional shareholdings (</w:t>
      </w:r>
      <w:r w:rsidRPr="00A3505C">
        <w:rPr>
          <w:rFonts w:ascii="Times New Roman" w:hAnsi="Times New Roman" w:cs="Times New Roman"/>
          <w:i/>
          <w:sz w:val="24"/>
          <w:szCs w:val="24"/>
        </w:rPr>
        <w:t>InstitutionInv</w:t>
      </w:r>
      <w:r w:rsidRPr="00A3505C">
        <w:rPr>
          <w:rFonts w:ascii="Times New Roman" w:hAnsi="Times New Roman" w:cs="Times New Roman"/>
          <w:sz w:val="24"/>
          <w:szCs w:val="24"/>
        </w:rPr>
        <w:t>). Appendix A provides detailed definitions of the variables used in this study.</w:t>
      </w:r>
      <w:r w:rsidRPr="00A3505C">
        <w:rPr>
          <w:rFonts w:ascii="Times New Roman" w:hAnsi="Times New Roman" w:cs="Times New Roman" w:hint="eastAsia"/>
          <w:sz w:val="24"/>
          <w:szCs w:val="24"/>
        </w:rPr>
        <w:t xml:space="preserve"> </w:t>
      </w:r>
      <w:r w:rsidRPr="00A3505C">
        <w:rPr>
          <w:rFonts w:ascii="Times New Roman" w:hAnsi="Times New Roman" w:cs="Times New Roman"/>
          <w:i/>
          <w:iCs/>
          <w:sz w:val="24"/>
          <w:szCs w:val="24"/>
        </w:rPr>
        <w:t>Strategic Orientations</w:t>
      </w:r>
      <w:r w:rsidRPr="00A3505C">
        <w:rPr>
          <w:rFonts w:ascii="Times New Roman" w:hAnsi="Times New Roman" w:cs="Times New Roman"/>
          <w:sz w:val="24"/>
          <w:szCs w:val="24"/>
        </w:rPr>
        <w:t xml:space="preserve"> is a firm-year indicator constructed relative to the industry average</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follow Zhou and Park (2020) and include industry fixed effects to control for </w:t>
      </w:r>
      <w:r w:rsidRPr="00A3505C">
        <w:rPr>
          <w:rFonts w:ascii="Times New Roman" w:hAnsi="Times New Roman" w:cs="Times New Roman"/>
          <w:sz w:val="24"/>
          <w:szCs w:val="24"/>
        </w:rPr>
        <w:lastRenderedPageBreak/>
        <w:t>unobserved time-invariant heterogeneity across industries.</w:t>
      </w:r>
      <w:r w:rsidR="00034E3E" w:rsidRPr="00A3505C">
        <w:rPr>
          <w:rStyle w:val="FootnoteReference"/>
          <w:rFonts w:ascii="Times New Roman" w:hAnsi="Times New Roman" w:cs="Times New Roman"/>
          <w:sz w:val="24"/>
          <w:szCs w:val="24"/>
        </w:rPr>
        <w:footnoteReference w:id="5"/>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also incorporate province and year fixed effects to control for unobserved time-invariant heterogeneity in regions and the influence of time trend. </w:t>
      </w:r>
      <w:r w:rsidRPr="00A3505C">
        <w:rPr>
          <w:rFonts w:ascii="Times New Roman" w:hAnsi="Times New Roman" w:cs="Times New Roman" w:hint="eastAsia"/>
          <w:sz w:val="24"/>
          <w:szCs w:val="24"/>
        </w:rPr>
        <w:t xml:space="preserve">We </w:t>
      </w:r>
      <w:r w:rsidRPr="00A3505C">
        <w:rPr>
          <w:rFonts w:ascii="Times New Roman" w:hAnsi="Times New Roman" w:cs="Times New Roman"/>
          <w:sz w:val="24"/>
          <w:szCs w:val="24"/>
        </w:rPr>
        <w:t xml:space="preserve">adopt robust standard errors clustered at the firm level.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coefficient </w:t>
      </w:r>
      <w:r w:rsidRPr="00A3505C">
        <w:rPr>
          <w:rFonts w:ascii="Times New Roman" w:hAnsi="Times New Roman" w:cs="Times New Roman"/>
          <w:i/>
          <w:iCs/>
          <w:sz w:val="24"/>
          <w:szCs w:val="24"/>
        </w:rPr>
        <w:t>β</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captures the change in firms’ green revenues for firm-years adopting growth-oriented (or profit-oriented) strategies relative to those adopting profit-oriented (or growth-oriented) and neither-nor-oriented strategies.</w:t>
      </w:r>
      <w:r w:rsidRPr="00A3505C">
        <w:rPr>
          <w:rStyle w:val="FootnoteReference"/>
          <w:rFonts w:ascii="Times New Roman" w:hAnsi="Times New Roman" w:cs="Times New Roman"/>
          <w:sz w:val="24"/>
          <w:szCs w:val="24"/>
        </w:rPr>
        <w:footnoteReference w:id="6"/>
      </w:r>
      <w:r w:rsidRPr="00A3505C">
        <w:rPr>
          <w:rFonts w:ascii="Times New Roman" w:hAnsi="Times New Roman" w:cs="Times New Roman"/>
          <w:sz w:val="24"/>
          <w:szCs w:val="24"/>
        </w:rPr>
        <w:t xml:space="preserve"> </w:t>
      </w:r>
    </w:p>
    <w:p w14:paraId="7A296DA3" w14:textId="77777777" w:rsidR="000F7DAA" w:rsidRPr="00A3505C" w:rsidRDefault="000F7DAA" w:rsidP="000F7DAA">
      <w:pPr>
        <w:adjustRightInd w:val="0"/>
        <w:snapToGrid w:val="0"/>
        <w:spacing w:after="120" w:line="360" w:lineRule="auto"/>
        <w:jc w:val="both"/>
        <w:rPr>
          <w:rFonts w:ascii="Times New Roman" w:hAnsi="Times New Roman" w:cs="Times New Roman"/>
          <w:i/>
          <w:sz w:val="24"/>
          <w:szCs w:val="24"/>
        </w:rPr>
      </w:pPr>
      <w:r w:rsidRPr="00A3505C">
        <w:rPr>
          <w:rFonts w:ascii="Times New Roman" w:hAnsi="Times New Roman" w:cs="Times New Roman"/>
          <w:i/>
          <w:sz w:val="24"/>
          <w:szCs w:val="24"/>
        </w:rPr>
        <w:t>3.2.2 Measures of green revenues</w:t>
      </w:r>
    </w:p>
    <w:p w14:paraId="225FFFAD" w14:textId="5F3C3329"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Firms’ green revenues are defined as revenues derived from green-related business activities (FTSE Russell, 2018). This definition </w:t>
      </w:r>
      <w:r w:rsidRPr="00A3505C">
        <w:rPr>
          <w:rFonts w:ascii="Times New Roman" w:hAnsi="Times New Roman" w:cs="Times New Roman" w:hint="eastAsia"/>
          <w:sz w:val="24"/>
          <w:szCs w:val="24"/>
        </w:rPr>
        <w:t>captur</w:t>
      </w:r>
      <w:r w:rsidRPr="00A3505C">
        <w:rPr>
          <w:rFonts w:ascii="Times New Roman" w:hAnsi="Times New Roman" w:cs="Times New Roman"/>
          <w:sz w:val="24"/>
          <w:szCs w:val="24"/>
        </w:rPr>
        <w:t>es two dimensions: the share of green activities in the firm’s overall revenue structure and the nature of those activities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Green-related businesses reflect strategic choices across sectors</w:t>
      </w:r>
      <w:r w:rsidR="00E53E1E" w:rsidRPr="00A3505C">
        <w:rPr>
          <w:rFonts w:ascii="Times New Roman" w:hAnsi="Times New Roman" w:cs="Times New Roman"/>
          <w:sz w:val="24"/>
          <w:szCs w:val="24"/>
        </w:rPr>
        <w:t>,</w:t>
      </w:r>
      <w:r w:rsidRPr="00A3505C">
        <w:rPr>
          <w:rFonts w:ascii="Times New Roman" w:hAnsi="Times New Roman" w:cs="Times New Roman"/>
          <w:sz w:val="24"/>
          <w:szCs w:val="24"/>
        </w:rPr>
        <w:t xml:space="preserve"> such as renewable energy, waste management, eco-friendly products, and sustainable resource utilization. Consequently, green revenues serve as a key indicator of firms’ environmental strategies,</w:t>
      </w:r>
      <w:r w:rsidRPr="00A3505C">
        <w:rPr>
          <w:rFonts w:ascii="Times New Roman" w:hAnsi="Times New Roman" w:cs="Times New Roman" w:hint="eastAsia"/>
          <w:sz w:val="24"/>
          <w:szCs w:val="24"/>
        </w:rPr>
        <w:t xml:space="preserve"> reflecting </w:t>
      </w:r>
      <w:r w:rsidRPr="00A3505C">
        <w:rPr>
          <w:rFonts w:ascii="Times New Roman" w:hAnsi="Times New Roman" w:cs="Times New Roman"/>
          <w:sz w:val="24"/>
          <w:szCs w:val="24"/>
        </w:rPr>
        <w:t xml:space="preserve">both their commitment to and investment in practices aligned with ecological preservation and sustainable development (Cao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2025c).</w:t>
      </w:r>
    </w:p>
    <w:p w14:paraId="57E05442" w14:textId="276DC062"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Following previous studies </w:t>
      </w:r>
      <w:r w:rsidRPr="00A3505C">
        <w:rPr>
          <w:rFonts w:ascii="Times New Roman" w:hAnsi="Times New Roman" w:cs="Times New Roman"/>
          <w:sz w:val="24"/>
          <w:szCs w:val="24"/>
        </w:rPr>
        <w:fldChar w:fldCharType="begin">
          <w:fldData xml:space="preserve">PEVuZE5vdGU+PENpdGU+PEF1dGhvcj5DYW88L0F1dGhvcj48WWVhcj4yMDI1PC9ZZWFyPjxSZWNO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PEVuZE5vdGU+PENpdGU+PEF1dGhvcj5DYW88L0F1dGhvcj48WWVhcj4yMDI1PC9ZZWFyPjxSZWNO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(e.g., Kruse</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00D60FDC">
        <w:rPr>
          <w:rFonts w:ascii="Times New Roman" w:hAnsi="Times New Roman" w:cs="Times New Roman"/>
          <w:noProof/>
          <w:sz w:val="24"/>
          <w:szCs w:val="24"/>
        </w:rPr>
        <w:t xml:space="preserve">; </w:t>
      </w:r>
      <w:r w:rsidR="00D60FDC" w:rsidRPr="00A3505C">
        <w:rPr>
          <w:rFonts w:ascii="Times New Roman" w:hAnsi="Times New Roman" w:cs="Times New Roman"/>
          <w:noProof/>
          <w:sz w:val="24"/>
          <w:szCs w:val="24"/>
        </w:rPr>
        <w:t>Cao</w:t>
      </w:r>
      <w:r w:rsidR="00D60FDC" w:rsidRPr="00A3505C">
        <w:rPr>
          <w:rFonts w:ascii="Times New Roman" w:hAnsi="Times New Roman" w:cs="Times New Roman"/>
          <w:i/>
          <w:noProof/>
          <w:sz w:val="24"/>
          <w:szCs w:val="24"/>
        </w:rPr>
        <w:t xml:space="preserve"> et al.</w:t>
      </w:r>
      <w:r w:rsidR="00D60FDC" w:rsidRPr="00A3505C">
        <w:rPr>
          <w:rFonts w:ascii="Times New Roman" w:hAnsi="Times New Roman" w:cs="Times New Roman"/>
          <w:noProof/>
          <w:sz w:val="24"/>
          <w:szCs w:val="24"/>
        </w:rPr>
        <w:t>, 2025c</w:t>
      </w:r>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we measure firms’ green revenues based on revenues generated from their diverse business activities related to green and environmental sustainability. Further, we identify firms’ revenues as generated from green-related business activities based on the </w:t>
      </w:r>
      <w:r w:rsidRPr="00A3505C">
        <w:rPr>
          <w:rFonts w:ascii="Times New Roman" w:hAnsi="Times New Roman" w:cs="Times New Roman"/>
          <w:i/>
          <w:iCs/>
          <w:sz w:val="24"/>
          <w:szCs w:val="24"/>
        </w:rPr>
        <w:t>2019 Green Industry Guiding Catalogue</w:t>
      </w:r>
      <w:r w:rsidRPr="00A3505C">
        <w:rPr>
          <w:rFonts w:ascii="Times New Roman" w:hAnsi="Times New Roman" w:cs="Times New Roman"/>
          <w:sz w:val="24"/>
          <w:szCs w:val="24"/>
        </w:rPr>
        <w:t xml:space="preserve"> (hereafter, GIGC),</w:t>
      </w:r>
      <w:r w:rsidRPr="00A3505C">
        <w:rPr>
          <w:rStyle w:val="FootnoteReference"/>
          <w:rFonts w:ascii="Times New Roman" w:hAnsi="Times New Roman" w:cs="Times New Roman"/>
          <w:sz w:val="24"/>
          <w:szCs w:val="24"/>
        </w:rPr>
        <w:footnoteReference w:id="7"/>
      </w:r>
      <w:r w:rsidRPr="00A3505C">
        <w:rPr>
          <w:rFonts w:ascii="Times New Roman" w:hAnsi="Times New Roman" w:cs="Times New Roman"/>
          <w:sz w:val="24"/>
          <w:szCs w:val="24"/>
        </w:rPr>
        <w:t xml:space="preserve"> issued by China’s National Development and Reform Commission. The GIGC includes six main categories of green-related businesses, further divided into 211 sub-categories. We classify firms’ revenue categories according to the green-related businesses outlined in the GIGC to identify their green revenue generation and calculate the extent of green revenues.</w:t>
      </w:r>
      <w:r w:rsidRPr="00A3505C">
        <w:rPr>
          <w:rStyle w:val="FootnoteReference"/>
          <w:rFonts w:ascii="Times New Roman" w:hAnsi="Times New Roman" w:cs="Times New Roman"/>
          <w:sz w:val="24"/>
          <w:szCs w:val="24"/>
        </w:rPr>
        <w:footnoteReference w:id="8"/>
      </w:r>
    </w:p>
    <w:p w14:paraId="540D3B98" w14:textId="16686AD0"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lastRenderedPageBreak/>
        <w:t xml:space="preserve">We adopt the indicator variable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which is assigned a value of one when a firm generates green revenues in a given year, and zero otherwise. This variable aids in assessing the probability of a firm generating revenues from green-related businesses. In addition, we also quantify the firms’ green revenues as the ratio of total green revenues to total revenues (</w:t>
      </w:r>
      <w:r w:rsidRPr="00A3505C">
        <w:rPr>
          <w:rFonts w:ascii="Times New Roman" w:hAnsi="Times New Roman" w:cs="Times New Roman"/>
          <w:i/>
          <w:sz w:val="24"/>
          <w:szCs w:val="24"/>
        </w:rPr>
        <w:t>Green Revenues</w:t>
      </w:r>
      <w:r w:rsidRPr="00A3505C">
        <w:rPr>
          <w:rFonts w:ascii="Times New Roman" w:hAnsi="Times New Roman" w:cs="Times New Roman"/>
          <w:i/>
          <w:sz w:val="24"/>
          <w:szCs w:val="24"/>
          <w:vertAlign w:val="superscript"/>
        </w:rPr>
        <w:t xml:space="preserve"> </w:t>
      </w:r>
      <w:r w:rsidRPr="00A3505C">
        <w:rPr>
          <w:rFonts w:ascii="Times New Roman" w:hAnsi="Times New Roman" w:cs="Times New Roman"/>
          <w:i/>
          <w:sz w:val="24"/>
          <w:szCs w:val="24"/>
        </w:rPr>
        <w:t>Ratio</w:t>
      </w:r>
      <w:r w:rsidRPr="00A3505C">
        <w:rPr>
          <w:rFonts w:ascii="Times New Roman" w:hAnsi="Times New Roman" w:cs="Times New Roman"/>
          <w:sz w:val="24"/>
          <w:szCs w:val="24"/>
        </w:rPr>
        <w:t xml:space="preserve">). This variable, therefore, indicates the extent of a firm’s revenues derived from green-related businesses. </w:t>
      </w:r>
      <w:r w:rsidR="00C97E8C">
        <w:rPr>
          <w:rFonts w:ascii="Times New Roman" w:hAnsi="Times New Roman" w:cs="Times New Roman" w:hint="eastAsia"/>
          <w:sz w:val="24"/>
          <w:szCs w:val="24"/>
        </w:rPr>
        <w:t xml:space="preserve">Online </w:t>
      </w:r>
      <w:r w:rsidRPr="00A3505C">
        <w:rPr>
          <w:rFonts w:ascii="Times New Roman" w:hAnsi="Times New Roman" w:cs="Times New Roman"/>
          <w:sz w:val="24"/>
          <w:szCs w:val="24"/>
        </w:rPr>
        <w:t xml:space="preserve">Appendix </w:t>
      </w:r>
      <w:r w:rsidR="00C97E8C">
        <w:rPr>
          <w:rFonts w:ascii="Times New Roman" w:hAnsi="Times New Roman" w:cs="Times New Roman" w:hint="eastAsia"/>
          <w:sz w:val="24"/>
          <w:szCs w:val="24"/>
        </w:rPr>
        <w:t>A2</w:t>
      </w:r>
      <w:r w:rsidRPr="00A3505C">
        <w:rPr>
          <w:rFonts w:ascii="Times New Roman" w:hAnsi="Times New Roman" w:cs="Times New Roman"/>
          <w:sz w:val="24"/>
          <w:szCs w:val="24"/>
        </w:rPr>
        <w:t xml:space="preserve"> shows two real examples </w:t>
      </w:r>
      <w:r w:rsidRPr="00A3505C">
        <w:rPr>
          <w:rFonts w:ascii="Times New Roman" w:hAnsi="Times New Roman" w:cs="Times New Roman" w:hint="eastAsia"/>
          <w:sz w:val="24"/>
          <w:szCs w:val="24"/>
        </w:rPr>
        <w:t>of</w:t>
      </w:r>
      <w:r w:rsidRPr="00A3505C">
        <w:rPr>
          <w:rFonts w:ascii="Times New Roman" w:hAnsi="Times New Roman" w:cs="Times New Roman"/>
          <w:sz w:val="24"/>
          <w:szCs w:val="24"/>
        </w:rPr>
        <w:t xml:space="preserve"> the construction of green revenues.</w:t>
      </w:r>
    </w:p>
    <w:p w14:paraId="1AB42B56" w14:textId="77777777" w:rsidR="000F7DAA" w:rsidRPr="00A3505C" w:rsidRDefault="000F7DAA" w:rsidP="000F7DAA">
      <w:pPr>
        <w:adjustRightInd w:val="0"/>
        <w:snapToGrid w:val="0"/>
        <w:spacing w:after="120" w:line="360" w:lineRule="auto"/>
        <w:jc w:val="both"/>
        <w:rPr>
          <w:rFonts w:ascii="Times New Roman" w:hAnsi="Times New Roman" w:cs="Times New Roman"/>
          <w:i/>
          <w:sz w:val="24"/>
          <w:szCs w:val="24"/>
        </w:rPr>
      </w:pPr>
      <w:r w:rsidRPr="00A3505C">
        <w:rPr>
          <w:rFonts w:ascii="Times New Roman" w:hAnsi="Times New Roman" w:cs="Times New Roman"/>
          <w:i/>
          <w:sz w:val="24"/>
          <w:szCs w:val="24"/>
        </w:rPr>
        <w:t>3.2.3 Measures of strategic orientations</w:t>
      </w:r>
    </w:p>
    <w:p w14:paraId="0CEF320D" w14:textId="1B3C566C"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Following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we construct firms’ strategic orientations (i.e., growth-oriented and profit-oriented) using sales growth and pretax ROA. Sales growth, calculated as the annual percentage change in sales, captures firm expansion (Baumol, 1962), while pretax ROA, defined as net profit relative to total sales, measures profitability (McGahan and Porter, 1997).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define firms adopting a growth-oriented strategy as those that prioritize growth </w:t>
      </w:r>
      <w:r w:rsidRPr="00A3505C">
        <w:rPr>
          <w:rFonts w:ascii="Times New Roman" w:hAnsi="Times New Roman" w:cs="Times New Roman"/>
          <w:i/>
          <w:iCs/>
          <w:sz w:val="24"/>
          <w:szCs w:val="24"/>
        </w:rPr>
        <w:t>over</w:t>
      </w:r>
      <w:r w:rsidRPr="00A3505C">
        <w:rPr>
          <w:rFonts w:ascii="Times New Roman" w:hAnsi="Times New Roman" w:cs="Times New Roman"/>
          <w:sz w:val="24"/>
          <w:szCs w:val="24"/>
        </w:rPr>
        <w:t xml:space="preserve"> profitability, while firms adopting a profit-oriented strategy place greater emphasis on profitability than on growth. Therefore, firms identified as growth-oriented or profit-oriented do not include those that assign equal importance to both growth and profitability</w:t>
      </w:r>
      <w:r w:rsidR="0022059E" w:rsidRPr="00A3505C">
        <w:rPr>
          <w:rFonts w:ascii="Times New Roman" w:hAnsi="Times New Roman" w:cs="Times New Roman"/>
          <w:sz w:val="24"/>
          <w:szCs w:val="24"/>
        </w:rPr>
        <w:t>,</w:t>
      </w:r>
      <w:r w:rsidRPr="00A3505C">
        <w:rPr>
          <w:rFonts w:ascii="Times New Roman" w:hAnsi="Times New Roman" w:cs="Times New Roman"/>
          <w:sz w:val="24"/>
          <w:szCs w:val="24"/>
        </w:rPr>
        <w:t xml:space="preserve"> nor those that prioritize neither growth nor profitability. Firms assigning equal importance to both objectives or neither are categorized as neither-nor-oriented, reflecting a neutral strategic stance. Thus, our sample comprises three groups: (1) growth-oriented firms, (2) profit-oriented firms, and (3) neither-nor-oriented firms. Panel A of Figure 2 illustrates these groups.</w:t>
      </w:r>
    </w:p>
    <w:p w14:paraId="4F5FCBDA"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This classification method offers greater comprehensiveness and accuracy by employing </w:t>
      </w:r>
      <w:r w:rsidRPr="00A3505C">
        <w:rPr>
          <w:rFonts w:ascii="Times New Roman" w:hAnsi="Times New Roman" w:cs="Times New Roman"/>
          <w:i/>
          <w:iCs/>
          <w:sz w:val="24"/>
          <w:szCs w:val="24"/>
        </w:rPr>
        <w:t>dual</w:t>
      </w:r>
      <w:r w:rsidRPr="00A3505C">
        <w:rPr>
          <w:rFonts w:ascii="Times New Roman" w:hAnsi="Times New Roman" w:cs="Times New Roman"/>
          <w:sz w:val="24"/>
          <w:szCs w:val="24"/>
        </w:rPr>
        <w:t xml:space="preserve"> criteria to define firms’ strategic orientations, rather than relying exclusively on a single dimension of either growth or profitability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term performance in China&lt;/title&gt;&lt;secondary-title&gt;Strategic Management Journal&lt;/secondary-title&gt;&lt;/titles&gt;&lt;periodical&gt;&lt;full-title&gt;Strategic Management Journal&lt;/full-title&gt;&lt;abbr-1&gt;Strateg. Manag. J.&lt;/abbr-1&gt;&lt;/periodical&gt;&lt;pages&gt;2050-2071&lt;/pages&gt;&lt;volume&gt;41&lt;/</w:instrText>
      </w:r>
      <w:r w:rsidRPr="00A3505C">
        <w:rPr>
          <w:rFonts w:ascii="Times New Roman" w:hAnsi="Times New Roman" w:cs="Times New Roman"/>
          <w:sz w:val="24"/>
          <w:szCs w:val="24"/>
        </w:rPr>
        <w:instrTex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Firms with high growth may also exhibit strong profitability simultaneously. This makes it challenging to categorize their orientation definitively when only one dimension is considered. By applying two restrictions (i.e., growth prioritized over profit or profit prioritized over growth), this approach provides a clearer and more precise framework for defining firms’ orientations.</w:t>
      </w:r>
    </w:p>
    <w:p w14:paraId="291C4DB4"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lastRenderedPageBreak/>
        <w:t>A</w:t>
      </w:r>
      <w:r w:rsidRPr="00A3505C">
        <w:rPr>
          <w:rFonts w:ascii="Times New Roman" w:hAnsi="Times New Roman" w:cs="Times New Roman"/>
          <w:sz w:val="24"/>
          <w:szCs w:val="24"/>
        </w:rPr>
        <w:t xml:space="preserve">ligning with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Zhou and Park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we compare a firm’s sales growth and profit with the average value of peers in the same industry to determine whether a firm employs growth-oriented, profit-oriented, or neither-nor-oriented strategies. First, we define growth-oriented firms by the indicator variable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which equals one when their sales growth exceeds the industry average based on </w:t>
      </w:r>
      <w:r w:rsidRPr="00A3505C">
        <w:rPr>
          <w:rFonts w:ascii="Times New Roman" w:hAnsi="Times New Roman" w:cs="Times New Roman" w:hint="eastAsia"/>
          <w:sz w:val="24"/>
          <w:szCs w:val="24"/>
        </w:rPr>
        <w:t xml:space="preserve">the </w:t>
      </w:r>
      <w:r w:rsidRPr="00A3505C">
        <w:rPr>
          <w:rFonts w:ascii="Times New Roman" w:hAnsi="Times New Roman" w:cs="Times New Roman"/>
          <w:sz w:val="24"/>
          <w:szCs w:val="24"/>
        </w:rPr>
        <w:t xml:space="preserve">three-digit CSRC 2012 Industry Classification, while their profit falls below the industry average, and zero otherwise. We compare changes in green revenues between growth-oriented firms (where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 1, which prioritizes growth </w:t>
      </w:r>
      <w:r w:rsidRPr="00A3505C">
        <w:rPr>
          <w:rFonts w:ascii="Times New Roman" w:hAnsi="Times New Roman" w:cs="Times New Roman"/>
          <w:i/>
          <w:iCs/>
          <w:sz w:val="24"/>
          <w:szCs w:val="24"/>
        </w:rPr>
        <w:t>over</w:t>
      </w:r>
      <w:r w:rsidRPr="00A3505C">
        <w:rPr>
          <w:rFonts w:ascii="Times New Roman" w:hAnsi="Times New Roman" w:cs="Times New Roman"/>
          <w:sz w:val="24"/>
          <w:szCs w:val="24"/>
        </w:rPr>
        <w:t xml:space="preserve"> profitability) and their counterparts</w:t>
      </w:r>
      <w:r w:rsidRPr="00A3505C">
        <w:rPr>
          <w:rStyle w:val="FootnoteReference"/>
          <w:rFonts w:ascii="Times New Roman" w:hAnsi="Times New Roman" w:cs="Times New Roman"/>
          <w:sz w:val="24"/>
          <w:szCs w:val="24"/>
        </w:rPr>
        <w:footnoteReference w:id="9"/>
      </w:r>
      <w:r w:rsidRPr="00A3505C">
        <w:rPr>
          <w:rFonts w:ascii="Times New Roman" w:hAnsi="Times New Roman" w:cs="Times New Roman"/>
          <w:sz w:val="24"/>
          <w:szCs w:val="24"/>
        </w:rPr>
        <w:t xml:space="preserve"> (firms adopting profit-oriented and neither-nor-oriented strategies). Panel B of Figure 2 shows this comparison. </w:t>
      </w:r>
    </w:p>
    <w:p w14:paraId="3DDDAE42" w14:textId="365B2CC4"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Second, profit-oriented firms are defined as those where the indicator variable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equals one if their profit is above the industry average based on the three-digit CSRC 2012 Industry Classification, while their sales growth remains below the industry average, and zero otherwise. We compare changes in green revenues between profit-oriented firms (where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w:t>
      </w:r>
      <w:r w:rsidRPr="00A3505C">
        <w:rPr>
          <w:rFonts w:ascii="Times New Roman" w:hAnsi="Times New Roman" w:cs="Times New Roman"/>
          <w:iCs/>
          <w:sz w:val="24"/>
          <w:szCs w:val="24"/>
        </w:rPr>
        <w:t xml:space="preserve">= 1, which </w:t>
      </w:r>
      <w:r w:rsidRPr="00A3505C">
        <w:rPr>
          <w:rFonts w:ascii="Times New Roman" w:hAnsi="Times New Roman" w:cs="Times New Roman"/>
          <w:sz w:val="24"/>
          <w:szCs w:val="24"/>
        </w:rPr>
        <w:t xml:space="preserve">prioritizes profitability </w:t>
      </w:r>
      <w:r w:rsidRPr="00A3505C">
        <w:rPr>
          <w:rFonts w:ascii="Times New Roman" w:hAnsi="Times New Roman" w:cs="Times New Roman"/>
          <w:i/>
          <w:iCs/>
          <w:sz w:val="24"/>
          <w:szCs w:val="24"/>
        </w:rPr>
        <w:t>over</w:t>
      </w:r>
      <w:r w:rsidRPr="00A3505C">
        <w:rPr>
          <w:rFonts w:ascii="Times New Roman" w:hAnsi="Times New Roman" w:cs="Times New Roman"/>
          <w:sz w:val="24"/>
          <w:szCs w:val="24"/>
        </w:rPr>
        <w:t xml:space="preserve"> growth</w:t>
      </w:r>
      <w:r w:rsidRPr="00A3505C">
        <w:rPr>
          <w:rFonts w:ascii="Times New Roman" w:hAnsi="Times New Roman" w:cs="Times New Roman"/>
          <w:iCs/>
          <w:sz w:val="24"/>
          <w:szCs w:val="24"/>
        </w:rPr>
        <w:t xml:space="preserve">) and </w:t>
      </w:r>
      <w:r w:rsidRPr="00A3505C">
        <w:rPr>
          <w:rFonts w:ascii="Times New Roman" w:hAnsi="Times New Roman" w:cs="Times New Roman"/>
          <w:sz w:val="24"/>
          <w:szCs w:val="24"/>
        </w:rPr>
        <w:t>their counterparts</w:t>
      </w:r>
      <w:r w:rsidRPr="00A3505C">
        <w:rPr>
          <w:rStyle w:val="FootnoteReference"/>
          <w:rFonts w:ascii="Times New Roman" w:hAnsi="Times New Roman" w:cs="Times New Roman"/>
          <w:iCs/>
          <w:sz w:val="24"/>
          <w:szCs w:val="24"/>
        </w:rPr>
        <w:footnoteReference w:id="10"/>
      </w:r>
      <w:r w:rsidRPr="00A3505C">
        <w:rPr>
          <w:rFonts w:ascii="Times New Roman" w:hAnsi="Times New Roman" w:cs="Times New Roman"/>
          <w:iCs/>
          <w:sz w:val="24"/>
          <w:szCs w:val="24"/>
        </w:rPr>
        <w:t xml:space="preserve"> (firms adopting growth-oriented and neither-nor-oriented strategies)</w:t>
      </w:r>
      <w:r w:rsidRPr="00A3505C">
        <w:rPr>
          <w:rFonts w:ascii="Times New Roman" w:hAnsi="Times New Roman" w:cs="Times New Roman"/>
          <w:sz w:val="24"/>
          <w:szCs w:val="24"/>
        </w:rPr>
        <w:t>. Panel C of Figure 2 shows this comparison.</w:t>
      </w:r>
      <w:r w:rsidRPr="00A3505C">
        <w:rPr>
          <w:rFonts w:ascii="Times New Roman" w:hAnsi="Times New Roman" w:cs="Times New Roman" w:hint="eastAsia"/>
          <w:sz w:val="24"/>
          <w:szCs w:val="24"/>
        </w:rPr>
        <w:t xml:space="preserve"> Appendix </w:t>
      </w:r>
      <w:r w:rsidR="007975DD">
        <w:rPr>
          <w:rFonts w:ascii="Times New Roman" w:hAnsi="Times New Roman" w:cs="Times New Roman" w:hint="eastAsia"/>
          <w:sz w:val="24"/>
          <w:szCs w:val="24"/>
        </w:rPr>
        <w:t>B</w:t>
      </w:r>
      <w:r w:rsidRPr="00A3505C">
        <w:rPr>
          <w:rFonts w:ascii="Times New Roman" w:hAnsi="Times New Roman" w:cs="Times New Roman" w:hint="eastAsia"/>
          <w:sz w:val="24"/>
          <w:szCs w:val="24"/>
        </w:rPr>
        <w:t xml:space="preserve"> provide</w:t>
      </w:r>
      <w:r w:rsidR="00D54F1F" w:rsidRPr="00A3505C">
        <w:rPr>
          <w:rFonts w:ascii="Times New Roman" w:hAnsi="Times New Roman" w:cs="Times New Roman" w:hint="eastAsia"/>
          <w:sz w:val="24"/>
          <w:szCs w:val="24"/>
        </w:rPr>
        <w:t>s</w:t>
      </w:r>
      <w:r w:rsidRPr="00A3505C">
        <w:rPr>
          <w:rFonts w:ascii="Times New Roman" w:hAnsi="Times New Roman" w:cs="Times New Roman" w:hint="eastAsia"/>
          <w:sz w:val="24"/>
          <w:szCs w:val="24"/>
        </w:rPr>
        <w:t xml:space="preserve"> two real examples for </w:t>
      </w:r>
      <w:r w:rsidRPr="00A3505C">
        <w:rPr>
          <w:rFonts w:ascii="Times New Roman" w:hAnsi="Times New Roman" w:cs="Times New Roman"/>
          <w:sz w:val="24"/>
          <w:szCs w:val="24"/>
        </w:rPr>
        <w:t>strategy</w:t>
      </w:r>
      <w:r w:rsidRPr="00A3505C">
        <w:rPr>
          <w:rFonts w:ascii="Times New Roman" w:hAnsi="Times New Roman" w:cs="Times New Roman" w:hint="eastAsia"/>
          <w:sz w:val="24"/>
          <w:szCs w:val="24"/>
        </w:rPr>
        <w:t xml:space="preserve"> classification. </w:t>
      </w:r>
    </w:p>
    <w:p w14:paraId="7C72F8D5"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o mitigate measurement bias, we utilize alternative measures of strategic orientations for robustness checks. First, </w:t>
      </w:r>
      <w:r w:rsidRPr="00A3505C">
        <w:rPr>
          <w:rFonts w:ascii="Times New Roman" w:hAnsi="Times New Roman" w:cs="Times New Roman"/>
          <w:i/>
          <w:iCs/>
          <w:sz w:val="24"/>
          <w:szCs w:val="24"/>
        </w:rPr>
        <w:t>Growth-oriented2</w:t>
      </w:r>
      <w:r w:rsidRPr="00A3505C">
        <w:rPr>
          <w:rFonts w:ascii="Times New Roman" w:hAnsi="Times New Roman" w:cs="Times New Roman"/>
          <w:sz w:val="24"/>
          <w:szCs w:val="24"/>
        </w:rPr>
        <w:t xml:space="preserve"> equal</w:t>
      </w:r>
      <w:r w:rsidRPr="00A3505C">
        <w:rPr>
          <w:rFonts w:ascii="Times New Roman" w:hAnsi="Times New Roman" w:cs="Times New Roman" w:hint="eastAsia"/>
          <w:sz w:val="24"/>
          <w:szCs w:val="24"/>
        </w:rPr>
        <w:t xml:space="preserve">s </w:t>
      </w:r>
      <w:r w:rsidRPr="00A3505C">
        <w:rPr>
          <w:rFonts w:ascii="Times New Roman" w:hAnsi="Times New Roman" w:cs="Times New Roman"/>
          <w:sz w:val="24"/>
          <w:szCs w:val="24"/>
        </w:rPr>
        <w:t>one if firms’ sales growth is above the sample median</w:t>
      </w:r>
      <w:r w:rsidRPr="00A3505C">
        <w:rPr>
          <w:rFonts w:ascii="Times New Roman" w:hAnsi="Times New Roman" w:cs="Times New Roman" w:hint="eastAsia"/>
          <w:sz w:val="24"/>
          <w:szCs w:val="24"/>
        </w:rPr>
        <w:t xml:space="preserve"> and</w:t>
      </w:r>
      <w:r w:rsidRPr="00A3505C">
        <w:rPr>
          <w:rFonts w:ascii="Times New Roman" w:hAnsi="Times New Roman" w:cs="Times New Roman"/>
          <w:sz w:val="24"/>
          <w:szCs w:val="24"/>
        </w:rPr>
        <w:t xml:space="preserve"> their profit is below the sample median, and zero otherwise. </w:t>
      </w:r>
      <w:r w:rsidRPr="00A3505C">
        <w:rPr>
          <w:rFonts w:ascii="Times New Roman" w:hAnsi="Times New Roman" w:cs="Times New Roman"/>
          <w:i/>
          <w:iCs/>
          <w:sz w:val="24"/>
          <w:szCs w:val="24"/>
        </w:rPr>
        <w:t>Profit-oriented2</w:t>
      </w:r>
      <w:r w:rsidRPr="00A3505C">
        <w:rPr>
          <w:rFonts w:ascii="Times New Roman" w:hAnsi="Times New Roman" w:cs="Times New Roman"/>
          <w:sz w:val="24"/>
          <w:szCs w:val="24"/>
        </w:rPr>
        <w:t xml:space="preserve"> equals one </w:t>
      </w:r>
      <w:r w:rsidRPr="00A3505C">
        <w:rPr>
          <w:rFonts w:ascii="Times New Roman" w:hAnsi="Times New Roman" w:cs="Times New Roman" w:hint="eastAsia"/>
          <w:sz w:val="24"/>
          <w:szCs w:val="24"/>
        </w:rPr>
        <w:t>if</w:t>
      </w:r>
      <w:r w:rsidRPr="00A3505C">
        <w:rPr>
          <w:rFonts w:ascii="Times New Roman" w:hAnsi="Times New Roman" w:cs="Times New Roman"/>
          <w:sz w:val="24"/>
          <w:szCs w:val="24"/>
        </w:rPr>
        <w:t xml:space="preserve"> firms’ profit exceeds the sample median while their sales growth falls below the median, and zero otherwise. Second, </w:t>
      </w:r>
      <w:r w:rsidRPr="00A3505C">
        <w:rPr>
          <w:rFonts w:ascii="Times New Roman" w:hAnsi="Times New Roman" w:cs="Times New Roman"/>
          <w:i/>
          <w:iCs/>
          <w:sz w:val="24"/>
          <w:szCs w:val="24"/>
        </w:rPr>
        <w:t>Growth-oriented3</w:t>
      </w:r>
      <w:r w:rsidRPr="00A3505C">
        <w:rPr>
          <w:rFonts w:ascii="Times New Roman" w:hAnsi="Times New Roman" w:cs="Times New Roman"/>
          <w:sz w:val="24"/>
          <w:szCs w:val="24"/>
        </w:rPr>
        <w:t xml:space="preserve"> equals one </w:t>
      </w:r>
      <w:r w:rsidRPr="00A3505C">
        <w:rPr>
          <w:rFonts w:ascii="Times New Roman" w:hAnsi="Times New Roman" w:cs="Times New Roman" w:hint="eastAsia"/>
          <w:sz w:val="24"/>
          <w:szCs w:val="24"/>
        </w:rPr>
        <w:t>if</w:t>
      </w:r>
      <w:r w:rsidRPr="00A3505C">
        <w:rPr>
          <w:rFonts w:ascii="Times New Roman" w:hAnsi="Times New Roman" w:cs="Times New Roman"/>
          <w:sz w:val="24"/>
          <w:szCs w:val="24"/>
        </w:rPr>
        <w:t xml:space="preserve"> a firm’s sales growth exceeds the industry average </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based on one-digit CSRC 2012 Industry Classification</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and</w:t>
      </w:r>
      <w:r w:rsidRPr="00A3505C">
        <w:rPr>
          <w:rFonts w:ascii="Times New Roman" w:hAnsi="Times New Roman" w:cs="Times New Roman"/>
          <w:sz w:val="24"/>
          <w:szCs w:val="24"/>
        </w:rPr>
        <w:t xml:space="preserve"> profit </w:t>
      </w:r>
      <w:r w:rsidRPr="00A3505C">
        <w:rPr>
          <w:rFonts w:ascii="Times New Roman" w:hAnsi="Times New Roman" w:cs="Times New Roman" w:hint="eastAsia"/>
          <w:sz w:val="24"/>
          <w:szCs w:val="24"/>
        </w:rPr>
        <w:t>is</w:t>
      </w:r>
      <w:r w:rsidRPr="00A3505C">
        <w:rPr>
          <w:rFonts w:ascii="Times New Roman" w:hAnsi="Times New Roman" w:cs="Times New Roman"/>
          <w:sz w:val="24"/>
          <w:szCs w:val="24"/>
        </w:rPr>
        <w:t xml:space="preserve"> below the industry average, and zero otherwise; </w:t>
      </w:r>
      <w:r w:rsidRPr="00A3505C">
        <w:rPr>
          <w:rFonts w:ascii="Times New Roman" w:hAnsi="Times New Roman" w:cs="Times New Roman"/>
          <w:i/>
          <w:iCs/>
          <w:sz w:val="24"/>
          <w:szCs w:val="24"/>
        </w:rPr>
        <w:t>Profit-oriented3</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 xml:space="preserve">equals </w:t>
      </w:r>
      <w:r w:rsidRPr="00A3505C">
        <w:rPr>
          <w:rFonts w:ascii="Times New Roman" w:hAnsi="Times New Roman" w:cs="Times New Roman"/>
          <w:sz w:val="24"/>
          <w:szCs w:val="24"/>
        </w:rPr>
        <w:t xml:space="preserve">one </w:t>
      </w:r>
      <w:r w:rsidRPr="00A3505C">
        <w:rPr>
          <w:rFonts w:ascii="Times New Roman" w:hAnsi="Times New Roman" w:cs="Times New Roman" w:hint="eastAsia"/>
          <w:sz w:val="24"/>
          <w:szCs w:val="24"/>
        </w:rPr>
        <w:t>if</w:t>
      </w:r>
      <w:r w:rsidRPr="00A3505C">
        <w:rPr>
          <w:rFonts w:ascii="Times New Roman" w:hAnsi="Times New Roman" w:cs="Times New Roman"/>
          <w:sz w:val="24"/>
          <w:szCs w:val="24"/>
        </w:rPr>
        <w:t xml:space="preserve"> a firm’s profit exceeds the industry average based on one-digit CSRC 2012 Industry Classification while its sales growth falls below the industry average, and zero otherwise. These alternative measures are </w:t>
      </w:r>
      <w:r w:rsidRPr="00A3505C">
        <w:rPr>
          <w:rFonts w:ascii="Times New Roman" w:hAnsi="Times New Roman" w:cs="Times New Roman" w:hint="eastAsia"/>
          <w:sz w:val="24"/>
          <w:szCs w:val="24"/>
        </w:rPr>
        <w:t>us</w:t>
      </w:r>
      <w:r w:rsidRPr="00A3505C">
        <w:rPr>
          <w:rFonts w:ascii="Times New Roman" w:hAnsi="Times New Roman" w:cs="Times New Roman"/>
          <w:sz w:val="24"/>
          <w:szCs w:val="24"/>
        </w:rPr>
        <w:t>ed in robustness tests.</w:t>
      </w:r>
    </w:p>
    <w:p w14:paraId="61C101EE" w14:textId="77777777" w:rsidR="000F7DAA" w:rsidRPr="00A3505C" w:rsidRDefault="000F7DAA" w:rsidP="000F7DAA">
      <w:pPr>
        <w:adjustRightInd w:val="0"/>
        <w:snapToGrid w:val="0"/>
        <w:spacing w:after="120" w:line="360" w:lineRule="auto"/>
        <w:jc w:val="both"/>
        <w:rPr>
          <w:rFonts w:ascii="Times New Roman" w:hAnsi="Times New Roman" w:cs="Times New Roman"/>
          <w:i/>
          <w:sz w:val="24"/>
          <w:szCs w:val="24"/>
        </w:rPr>
      </w:pPr>
      <w:r w:rsidRPr="00A3505C">
        <w:rPr>
          <w:rFonts w:ascii="Times New Roman" w:hAnsi="Times New Roman" w:cs="Times New Roman"/>
          <w:i/>
          <w:sz w:val="24"/>
          <w:szCs w:val="24"/>
        </w:rPr>
        <w:lastRenderedPageBreak/>
        <w:t>3.2.4 Entropy balancing and Heckman selection model</w:t>
      </w:r>
    </w:p>
    <w:p w14:paraId="4473FFB9" w14:textId="0F47629B" w:rsidR="000F7DAA" w:rsidRPr="00A3505C" w:rsidRDefault="000F7DAA" w:rsidP="000F7DAA">
      <w:pPr>
        <w:adjustRightInd w:val="0"/>
        <w:snapToGrid w:val="0"/>
        <w:spacing w:after="0" w:line="360" w:lineRule="auto"/>
        <w:ind w:firstLine="425"/>
        <w:jc w:val="both"/>
        <w:rPr>
          <w:rFonts w:ascii="Times New Roman" w:hAnsi="Times New Roman" w:cs="Times New Roman"/>
          <w:sz w:val="24"/>
          <w:szCs w:val="24"/>
          <w:lang w:val="en-US"/>
        </w:rPr>
      </w:pPr>
      <w:r w:rsidRPr="00A3505C">
        <w:rPr>
          <w:rFonts w:ascii="Times New Roman" w:hAnsi="Times New Roman" w:cs="Times New Roman"/>
          <w:sz w:val="24"/>
          <w:szCs w:val="24"/>
        </w:rPr>
        <w:t>To mitigate concerns that our results may be driven by fundamental differences in firm characteristics or self-selection bias, we employ two approaches</w:t>
      </w:r>
      <w:r w:rsidRPr="00A3505C">
        <w:rPr>
          <w:rFonts w:ascii="Times New Roman" w:hAnsi="Times New Roman" w:cs="Times New Roman"/>
          <w:sz w:val="24"/>
          <w:szCs w:val="24"/>
          <w:lang w:val="en-US"/>
        </w:rPr>
        <w:t xml:space="preserve">. First, to address the concern that variations in green revenues may be attributable to fundamental differences in firm characteristics rather than to the adoption of diverse strategic orientations, we employ an entropy balancing approach, following prior studies </w:t>
      </w:r>
      <w:r w:rsidRPr="00A3505C">
        <w:rPr>
          <w:rFonts w:ascii="Times New Roman" w:hAnsi="Times New Roman" w:cs="Times New Roman"/>
          <w:sz w:val="24"/>
          <w:szCs w:val="24"/>
          <w:lang w:val="en-US"/>
        </w:rPr>
        <w:fldChar w:fldCharType="begin">
          <w:fldData xml:space="preserve">PEVuZE5vdGU+PENpdGU+PEF1dGhvcj5XaWxkZTwvQXV0aG9yPjxZZWFyPjIwMTc8L1llYXI+PFJl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</w:fldData>
        </w:fldChar>
      </w:r>
      <w:r w:rsidRPr="00A3505C">
        <w:rPr>
          <w:rFonts w:ascii="Times New Roman" w:hAnsi="Times New Roman" w:cs="Times New Roman"/>
          <w:sz w:val="24"/>
          <w:szCs w:val="24"/>
          <w:lang w:val="en-US"/>
        </w:rPr>
        <w:instrText xml:space="preserve"> ADDIN EN.CITE </w:instrText>
      </w:r>
      <w:r w:rsidRPr="00A3505C">
        <w:rPr>
          <w:rFonts w:ascii="Times New Roman" w:hAnsi="Times New Roman" w:cs="Times New Roman"/>
          <w:sz w:val="24"/>
          <w:szCs w:val="24"/>
          <w:lang w:val="en-US"/>
        </w:rPr>
        <w:fldChar w:fldCharType="begin">
          <w:fldData xml:space="preserve">PEVuZE5vdGU+PENpdGU+PEF1dGhvcj5XaWxkZTwvQXV0aG9yPjxZZWFyPjIwMTc8L1llYXI+PFJl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</w:fldData>
        </w:fldChar>
      </w:r>
      <w:r w:rsidRPr="00A3505C">
        <w:rPr>
          <w:rFonts w:ascii="Times New Roman" w:hAnsi="Times New Roman" w:cs="Times New Roman"/>
          <w:sz w:val="24"/>
          <w:szCs w:val="24"/>
          <w:lang w:val="en-US"/>
        </w:rPr>
        <w:instrText xml:space="preserve"> ADDIN EN.CITE.DATA </w:instrText>
      </w:r>
      <w:r w:rsidRPr="00A3505C">
        <w:rPr>
          <w:rFonts w:ascii="Times New Roman" w:hAnsi="Times New Roman" w:cs="Times New Roman"/>
          <w:sz w:val="24"/>
          <w:szCs w:val="24"/>
          <w:lang w:val="en-US"/>
        </w:rPr>
      </w:r>
      <w:r w:rsidRPr="00A3505C">
        <w:rPr>
          <w:rFonts w:ascii="Times New Roman" w:hAnsi="Times New Roman" w:cs="Times New Roman"/>
          <w:sz w:val="24"/>
          <w:szCs w:val="24"/>
          <w:lang w:val="en-US"/>
        </w:rPr>
        <w:fldChar w:fldCharType="end"/>
      </w:r>
      <w:r w:rsidRPr="00A3505C">
        <w:rPr>
          <w:rFonts w:ascii="Times New Roman" w:hAnsi="Times New Roman" w:cs="Times New Roman"/>
          <w:sz w:val="24"/>
          <w:szCs w:val="24"/>
          <w:lang w:val="en-US"/>
        </w:rPr>
      </w:r>
      <w:r w:rsidRPr="00A3505C">
        <w:rPr>
          <w:rFonts w:ascii="Times New Roman" w:hAnsi="Times New Roman" w:cs="Times New Roman"/>
          <w:sz w:val="24"/>
          <w:szCs w:val="24"/>
          <w:lang w:val="en-US"/>
        </w:rPr>
        <w:fldChar w:fldCharType="separate"/>
      </w:r>
      <w:r w:rsidRPr="00A3505C">
        <w:rPr>
          <w:rFonts w:ascii="Times New Roman" w:hAnsi="Times New Roman" w:cs="Times New Roman"/>
          <w:noProof/>
          <w:sz w:val="24"/>
          <w:szCs w:val="24"/>
          <w:lang w:val="en-US"/>
        </w:rPr>
        <w:t>(e.g., Baker</w:t>
      </w:r>
      <w:r w:rsidRPr="00A3505C">
        <w:rPr>
          <w:rFonts w:ascii="Times New Roman" w:hAnsi="Times New Roman" w:cs="Times New Roman"/>
          <w:i/>
          <w:noProof/>
          <w:sz w:val="24"/>
          <w:szCs w:val="24"/>
          <w:lang w:val="en-US"/>
        </w:rPr>
        <w:t xml:space="preserve"> et al.</w:t>
      </w:r>
      <w:r w:rsidRPr="00A3505C">
        <w:rPr>
          <w:rFonts w:ascii="Times New Roman" w:hAnsi="Times New Roman" w:cs="Times New Roman"/>
          <w:noProof/>
          <w:sz w:val="24"/>
          <w:szCs w:val="24"/>
          <w:lang w:val="en-US"/>
        </w:rPr>
        <w:t xml:space="preserve">, 2024; </w:t>
      </w:r>
      <w:r w:rsidRPr="00A3505C">
        <w:rPr>
          <w:rFonts w:ascii="Times New Roman" w:hAnsi="Times New Roman" w:cs="Times New Roman"/>
          <w:sz w:val="24"/>
          <w:szCs w:val="24"/>
        </w:rPr>
        <w:t xml:space="preserve">Choi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2025</w:t>
      </w:r>
      <w:r w:rsidRPr="00A3505C">
        <w:rPr>
          <w:rFonts w:ascii="Times New Roman" w:hAnsi="Times New Roman" w:cs="Times New Roman"/>
          <w:noProof/>
          <w:sz w:val="24"/>
          <w:szCs w:val="24"/>
          <w:lang w:val="en-US"/>
        </w:rPr>
        <w:t>)</w:t>
      </w:r>
      <w:r w:rsidRPr="00A3505C">
        <w:rPr>
          <w:rFonts w:ascii="Times New Roman" w:hAnsi="Times New Roman" w:cs="Times New Roman"/>
          <w:sz w:val="24"/>
          <w:szCs w:val="24"/>
          <w:lang w:val="en-US"/>
        </w:rPr>
        <w:fldChar w:fldCharType="end"/>
      </w:r>
      <w:r w:rsidRPr="00A3505C">
        <w:rPr>
          <w:rFonts w:ascii="Times New Roman" w:hAnsi="Times New Roman" w:cs="Times New Roman"/>
          <w:sz w:val="24"/>
          <w:szCs w:val="24"/>
          <w:lang w:val="en-US"/>
        </w:rPr>
        <w:t xml:space="preserve">. </w:t>
      </w:r>
      <w:r w:rsidRPr="00A3505C">
        <w:rPr>
          <w:rFonts w:ascii="Times New Roman" w:hAnsi="Times New Roman" w:cs="Times New Roman"/>
          <w:sz w:val="24"/>
          <w:szCs w:val="24"/>
        </w:rPr>
        <w:t xml:space="preserve">Entropy balancing reweights control observations so that covariate distributions match those of the treatment group, ensuring balance between firms generating green revenues </w:t>
      </w:r>
      <w:r w:rsidRPr="00A3505C">
        <w:rPr>
          <w:rFonts w:ascii="Times New Roman" w:hAnsi="Times New Roman" w:cs="Times New Roman"/>
          <w:sz w:val="24"/>
          <w:szCs w:val="24"/>
          <w:lang w:val="en-US"/>
        </w:rPr>
        <w:t>(</w:t>
      </w:r>
      <w:r w:rsidRPr="00A3505C">
        <w:rPr>
          <w:rFonts w:ascii="Times New Roman" w:hAnsi="Times New Roman" w:cs="Times New Roman"/>
          <w:i/>
          <w:sz w:val="24"/>
          <w:szCs w:val="24"/>
        </w:rPr>
        <w:t>Green Revenues Dummy</w:t>
      </w:r>
      <w:r w:rsidRPr="00A3505C">
        <w:rPr>
          <w:rFonts w:ascii="Times New Roman" w:hAnsi="Times New Roman" w:cs="Times New Roman"/>
          <w:iCs/>
          <w:sz w:val="24"/>
          <w:szCs w:val="24"/>
          <w:lang w:val="en-US"/>
        </w:rPr>
        <w:t xml:space="preserve"> = 1) and those not generating green revenues (</w:t>
      </w:r>
      <w:r w:rsidRPr="00A3505C">
        <w:rPr>
          <w:rFonts w:ascii="Times New Roman" w:hAnsi="Times New Roman" w:cs="Times New Roman"/>
          <w:i/>
          <w:sz w:val="24"/>
          <w:szCs w:val="24"/>
        </w:rPr>
        <w:t xml:space="preserve">Green Revenues Dummy </w:t>
      </w:r>
      <w:r w:rsidRPr="00A3505C">
        <w:rPr>
          <w:rFonts w:ascii="Times New Roman" w:hAnsi="Times New Roman" w:cs="Times New Roman"/>
          <w:iCs/>
          <w:sz w:val="24"/>
          <w:szCs w:val="24"/>
        </w:rPr>
        <w:t>= 0</w:t>
      </w:r>
      <w:r w:rsidRPr="00A3505C">
        <w:rPr>
          <w:rFonts w:ascii="Times New Roman" w:hAnsi="Times New Roman" w:cs="Times New Roman"/>
          <w:sz w:val="24"/>
          <w:szCs w:val="24"/>
          <w:lang w:val="en-US"/>
        </w:rPr>
        <w:t>).</w:t>
      </w:r>
      <w:r w:rsidRPr="00A3505C">
        <w:rPr>
          <w:rFonts w:ascii="Times New Roman" w:hAnsi="Times New Roman" w:cs="Times New Roman" w:hint="eastAsia"/>
          <w:sz w:val="24"/>
          <w:szCs w:val="24"/>
          <w:lang w:val="en-US"/>
        </w:rPr>
        <w:t xml:space="preserve">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o further assess robustness and address concerns regarding the choice of matching method and underlying differences in firm characteristics, we implement propensity score matching as an alternative, as discussed in Section </w:t>
      </w:r>
      <w:r w:rsidR="00A22B69" w:rsidRPr="00A3505C">
        <w:rPr>
          <w:rFonts w:ascii="Times New Roman" w:hAnsi="Times New Roman" w:cs="Times New Roman" w:hint="eastAsia"/>
          <w:sz w:val="24"/>
          <w:szCs w:val="24"/>
        </w:rPr>
        <w:t>6</w:t>
      </w:r>
      <w:r w:rsidRPr="00A3505C">
        <w:rPr>
          <w:rFonts w:ascii="Times New Roman" w:hAnsi="Times New Roman" w:cs="Times New Roman"/>
          <w:sz w:val="24"/>
          <w:szCs w:val="24"/>
        </w:rPr>
        <w:t>.</w:t>
      </w:r>
    </w:p>
    <w:p w14:paraId="31262424" w14:textId="3DC0DF4B"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lang w:val="en-US"/>
        </w:rPr>
        <w:t xml:space="preserve">Second, </w:t>
      </w:r>
      <w:r w:rsidRPr="00A3505C">
        <w:rPr>
          <w:rFonts w:ascii="Times New Roman" w:hAnsi="Times New Roman" w:cs="Times New Roman"/>
          <w:sz w:val="24"/>
          <w:szCs w:val="24"/>
        </w:rPr>
        <w:t xml:space="preserve">our results </w:t>
      </w:r>
      <w:r w:rsidRPr="00A3505C">
        <w:rPr>
          <w:rFonts w:ascii="Times New Roman" w:hAnsi="Times New Roman" w:cs="Times New Roman" w:hint="eastAsia"/>
          <w:sz w:val="24"/>
          <w:szCs w:val="24"/>
        </w:rPr>
        <w:t>may</w:t>
      </w:r>
      <w:r w:rsidRPr="00A3505C">
        <w:rPr>
          <w:rFonts w:ascii="Times New Roman" w:hAnsi="Times New Roman" w:cs="Times New Roman"/>
          <w:sz w:val="24"/>
          <w:szCs w:val="24"/>
        </w:rPr>
        <w:t xml:space="preserve"> be influenced by sample selection bias. This arises from the possibility that firms with higher (lower) green revenues may be more inclined to adopt growth-oriented (profit-oriented) strategies.</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Such non-random strategic choices can introduce endogeneity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&lt;EndNote&gt;&lt;Cite&gt;&lt;Author&gt;Certo&lt;/Author&gt;&lt;Year&gt;2016&lt;/Year&gt;&lt;RecNum&gt;9108&lt;/RecNum&gt;&lt;DisplayText&gt;(Certo&lt;style face="italic"&gt; et al.&lt;/style&gt;, 2016)&lt;/DisplayText&gt;&lt;record&gt;&lt;rec-number&gt;9108&lt;/rec-number&gt;&lt;foreign-keys&gt;&lt;key app="EN" db-id="tt95vv9zf20xf0ewv</w:instrText>
      </w:r>
      <w:r w:rsidRPr="00A3505C">
        <w:rPr>
          <w:rFonts w:ascii="Times New Roman" w:hAnsi="Times New Roman" w:cs="Times New Roman" w:hint="eastAsia"/>
          <w:sz w:val="24"/>
          <w:szCs w:val="24"/>
        </w:rPr>
        <w:instrText>e7x0fsl990xeeasafzs" timestamp="1710068115"&gt;9108&lt;/key&gt;&lt;/foreign-keys&gt;&lt;ref-type name="Journal Article"&gt;17&lt;/ref-type&gt;&lt;contributors&gt;&lt;authors&gt;&lt;author&gt;Certo, S. T.&lt;/author&gt;&lt;author&gt;Busenbark, J. R.&lt;/author&gt;&lt;author&gt;Woo, Hyun</w:instrText>
      </w:r>
      <w:r w:rsidRPr="00A3505C">
        <w:rPr>
          <w:rFonts w:ascii="Times New Roman" w:hAnsi="Times New Roman" w:cs="Times New Roman" w:hint="eastAsia"/>
          <w:sz w:val="24"/>
          <w:szCs w:val="24"/>
        </w:rPr>
        <w:instrText>‐</w:instrText>
      </w:r>
      <w:r w:rsidRPr="00A3505C">
        <w:rPr>
          <w:rFonts w:ascii="Times New Roman" w:hAnsi="Times New Roman" w:cs="Times New Roman" w:hint="eastAsia"/>
          <w:sz w:val="24"/>
          <w:szCs w:val="24"/>
        </w:rPr>
        <w:instrText>Soo&lt;/author&gt;&lt;author&gt;Semadeni, M.&lt;/aut</w:instrText>
      </w:r>
      <w:r w:rsidRPr="00A3505C">
        <w:rPr>
          <w:rFonts w:ascii="Times New Roman" w:hAnsi="Times New Roman" w:cs="Times New Roman"/>
          <w:sz w:val="24"/>
          <w:szCs w:val="24"/>
        </w:rPr>
        <w:instrText>hor&gt;&lt;/authors&gt;&lt;/contributors&gt;&lt;titles&gt;&lt;title&gt;Sample selection bias and Heckman models in strategic management research&lt;/title&gt;&lt;secondary-title&gt;Strategic Management Journal&lt;/secondary-title&gt;&lt;/titles&gt;&lt;periodical&gt;&lt;full-title&gt;Strategic Management Journal&lt;/full-title&gt;&lt;abbr-1&gt;Strateg. Manag. J.&lt;/abbr-1&gt;&lt;/periodical&gt;&lt;pages&gt;2639-2657&lt;/pages&gt;&lt;volume&gt;37&lt;/volume&gt;&lt;number&gt;13&lt;/number&gt;&lt;section&gt;2639&lt;/section&gt;&lt;dates&gt;&lt;year&gt;2016&lt;/year&gt;&lt;/dates&gt;&lt;isbn&gt;0143-2095&amp;#xD;1097-0266&lt;/isbn&gt;&lt;urls&gt;&lt;/urls&gt;&lt;electronic-resource-num&gt;10.1002/smj.2475&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(Certo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2016)</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To address this, </w:t>
      </w:r>
      <w:r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conduct Heckman selection model tests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&lt;EndNote&gt;&lt;Cite&gt;&lt;Author&gt;Heckman&lt;/Author&gt;&lt;Year&gt;1979&lt;/Year&gt;&lt;RecNum&gt;9075&lt;/RecNum&gt;&lt;DisplayText&gt;(Heckman, 1979)&lt;/DisplayText&gt;&lt;record&gt;&lt;rec-number&gt;9075&lt;/rec-number&gt;&lt;foreign-keys&gt;&lt;key app="EN" db-id="tt95vv9zf20xf0ewve7x0fsl990xeeasafzs" timestamp="1710062724"&gt;9075&lt;/key&gt;&lt;/foreign-keys&gt;&lt;ref-type name="Journal Article"&gt;17&lt;/ref-type&gt;&lt;contributors&gt;&lt;authors&gt;&lt;author&gt;Heckman, J.J.&lt;/author&gt;&lt;/authors&gt;&lt;/contributors&gt;&lt;titles&gt;&lt;title&gt;Sample selection bias as a specification error&lt;/title&gt;&lt;secondary-title&gt;Econometrica&lt;/secondary-title&gt;&lt;/titles&gt;&lt;periodical&gt;&lt;full-title&gt;Econometrica&lt;/full-title&gt;&lt;/periodical&gt;&lt;pages&gt;153-161&lt;/pages&gt;&lt;volume&gt;47&lt;/volume&gt;&lt;number&gt;1&lt;/number&gt;&lt;dates&gt;&lt;year&gt;1979&lt;/year&gt;&lt;/dates&gt;&lt;urls&gt;&lt;related-urls&gt;&lt;url&gt;https://www.jstor.org/stable/1912352&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sz w:val="24"/>
          <w:szCs w:val="24"/>
        </w:rPr>
        <w:t>(Heckman, 1979)</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Given that the Heckman selection model needs the exogenous variables in the analysis, we use </w:t>
      </w:r>
      <w:r w:rsidRPr="00A3505C">
        <w:rPr>
          <w:rFonts w:ascii="Times New Roman" w:hAnsi="Times New Roman" w:cs="Times New Roman"/>
          <w:i/>
          <w:sz w:val="24"/>
          <w:szCs w:val="24"/>
        </w:rPr>
        <w:t>Historic peer Growth-oriented</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Historic peer Profit-oriented</w:t>
      </w:r>
      <w:r w:rsidRPr="00A3505C">
        <w:rPr>
          <w:rFonts w:ascii="Times New Roman" w:hAnsi="Times New Roman" w:cs="Times New Roman"/>
          <w:sz w:val="24"/>
          <w:szCs w:val="24"/>
        </w:rPr>
        <w:t xml:space="preserve"> to fulfil this requirement. We adopt the probit model to investigate the impact of </w:t>
      </w:r>
      <w:r w:rsidRPr="00A3505C">
        <w:rPr>
          <w:rFonts w:ascii="Times New Roman" w:hAnsi="Times New Roman" w:cs="Times New Roman"/>
          <w:i/>
          <w:sz w:val="24"/>
          <w:szCs w:val="24"/>
        </w:rPr>
        <w:t>Historic peer Growth-oriented</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Historic peer Profit-oriented</w:t>
      </w:r>
      <w:r w:rsidRPr="00A3505C">
        <w:rPr>
          <w:rFonts w:ascii="Times New Roman" w:hAnsi="Times New Roman" w:cs="Times New Roman"/>
          <w:sz w:val="24"/>
          <w:szCs w:val="24"/>
        </w:rPr>
        <w:t xml:space="preserve">) on firms’ strategic </w:t>
      </w:r>
      <w:r w:rsidRPr="00A3505C">
        <w:rPr>
          <w:rFonts w:ascii="Times New Roman" w:hAnsi="Times New Roman" w:cs="Times New Roman"/>
          <w:iCs/>
          <w:sz w:val="24"/>
          <w:szCs w:val="24"/>
        </w:rPr>
        <w:t>orientations in</w:t>
      </w:r>
      <w:r w:rsidRPr="00A3505C">
        <w:rPr>
          <w:rFonts w:ascii="Times New Roman" w:hAnsi="Times New Roman" w:cs="Times New Roman"/>
          <w:sz w:val="24"/>
          <w:szCs w:val="24"/>
        </w:rPr>
        <w:t xml:space="preserve"> the first stage regressions, shown in Online Appendix </w:t>
      </w:r>
      <w:r w:rsidR="00744543">
        <w:rPr>
          <w:rFonts w:ascii="Times New Roman" w:hAnsi="Times New Roman" w:cs="Times New Roman" w:hint="eastAsia"/>
          <w:sz w:val="24"/>
          <w:szCs w:val="24"/>
        </w:rPr>
        <w:t>B</w:t>
      </w:r>
      <w:r w:rsidRPr="00A3505C">
        <w:rPr>
          <w:rFonts w:ascii="Times New Roman" w:hAnsi="Times New Roman" w:cs="Times New Roman"/>
          <w:sz w:val="24"/>
          <w:szCs w:val="24"/>
        </w:rPr>
        <w:t xml:space="preserve">. Then, we generate the selection parameters, representing the Inverse Mills Ratio. We incorporate </w:t>
      </w:r>
      <w:r w:rsidRPr="00A3505C">
        <w:rPr>
          <w:rFonts w:ascii="Times New Roman" w:hAnsi="Times New Roman" w:cs="Times New Roman"/>
          <w:i/>
          <w:iCs/>
          <w:sz w:val="24"/>
          <w:szCs w:val="24"/>
        </w:rPr>
        <w:t>Inverse Mills Ratio1</w:t>
      </w:r>
      <w:r w:rsidRPr="00A3505C">
        <w:rPr>
          <w:rFonts w:ascii="Times New Roman" w:hAnsi="Times New Roman" w:cs="Times New Roman"/>
          <w:sz w:val="24"/>
          <w:szCs w:val="24"/>
        </w:rPr>
        <w:t xml:space="preserve"> for growth-oriented firms and </w:t>
      </w:r>
      <w:r w:rsidRPr="00A3505C">
        <w:rPr>
          <w:rFonts w:ascii="Times New Roman" w:hAnsi="Times New Roman" w:cs="Times New Roman"/>
          <w:i/>
          <w:iCs/>
          <w:sz w:val="24"/>
          <w:szCs w:val="24"/>
        </w:rPr>
        <w:t>Inverse Mills Ratio2</w:t>
      </w:r>
      <w:r w:rsidRPr="00A3505C">
        <w:rPr>
          <w:rFonts w:ascii="Times New Roman" w:hAnsi="Times New Roman" w:cs="Times New Roman"/>
          <w:sz w:val="24"/>
          <w:szCs w:val="24"/>
        </w:rPr>
        <w:t xml:space="preserve"> for profit-oriented firms in the second-stage regressions to control self-selection bias.</w:t>
      </w:r>
    </w:p>
    <w:p w14:paraId="1F453AF1" w14:textId="77777777" w:rsidR="000F7DAA" w:rsidRPr="00A3505C" w:rsidRDefault="000F7DAA" w:rsidP="000F7DAA">
      <w:pPr>
        <w:adjustRightInd w:val="0"/>
        <w:snapToGrid w:val="0"/>
        <w:spacing w:before="240"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4. Empirical Results</w:t>
      </w:r>
    </w:p>
    <w:p w14:paraId="3DF2FC6D" w14:textId="77777777" w:rsidR="000F7DAA" w:rsidRPr="00A3505C" w:rsidRDefault="000F7DAA" w:rsidP="000F7DAA">
      <w:pPr>
        <w:adjustRightInd w:val="0"/>
        <w:snapToGrid w:val="0"/>
        <w:spacing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4.1 Descriptive statistics</w:t>
      </w:r>
    </w:p>
    <w:p w14:paraId="2DCAC960"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Table 3 shows the descriptive statistics for our key variables. Panel A reports the results of the summary statistics of the full sample. For growth-oriented firm-years, the mean values of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Green Revenues</w:t>
      </w:r>
      <w:r w:rsidRPr="00A3505C">
        <w:rPr>
          <w:rFonts w:ascii="Times New Roman" w:hAnsi="Times New Roman" w:cs="Times New Roman"/>
          <w:i/>
          <w:sz w:val="24"/>
          <w:szCs w:val="24"/>
          <w:vertAlign w:val="superscript"/>
        </w:rPr>
        <w:t xml:space="preserve"> </w:t>
      </w:r>
      <w:r w:rsidRPr="00A3505C">
        <w:rPr>
          <w:rFonts w:ascii="Times New Roman" w:hAnsi="Times New Roman" w:cs="Times New Roman"/>
          <w:i/>
          <w:sz w:val="24"/>
          <w:szCs w:val="24"/>
        </w:rPr>
        <w:t>Ratio</w:t>
      </w:r>
      <w:r w:rsidRPr="00A3505C">
        <w:rPr>
          <w:rFonts w:ascii="Times New Roman" w:hAnsi="Times New Roman" w:cs="Times New Roman"/>
          <w:sz w:val="24"/>
          <w:szCs w:val="24"/>
        </w:rPr>
        <w:t xml:space="preserve"> are 0.199 and 0.078. This indicates that 19.9% growth-oriented firm-years in our sample generate revenues from green-related businesses. On average, the extent of green revenues accounts for 7.8% of total revenues among these firms in the sample. For profit-oriented firm-years, the mean values of </w:t>
      </w:r>
      <w:r w:rsidRPr="00A3505C">
        <w:rPr>
          <w:rFonts w:ascii="Times New Roman" w:hAnsi="Times New Roman" w:cs="Times New Roman"/>
          <w:i/>
          <w:sz w:val="24"/>
          <w:szCs w:val="24"/>
        </w:rPr>
        <w:t xml:space="preserve">Green Revenues </w:t>
      </w:r>
      <w:r w:rsidRPr="00A3505C">
        <w:rPr>
          <w:rFonts w:ascii="Times New Roman" w:hAnsi="Times New Roman" w:cs="Times New Roman"/>
          <w:i/>
          <w:sz w:val="24"/>
          <w:szCs w:val="24"/>
        </w:rPr>
        <w:lastRenderedPageBreak/>
        <w:t>Dummy</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Green Revenues</w:t>
      </w:r>
      <w:r w:rsidRPr="00A3505C">
        <w:rPr>
          <w:rFonts w:ascii="Times New Roman" w:hAnsi="Times New Roman" w:cs="Times New Roman"/>
          <w:i/>
          <w:sz w:val="24"/>
          <w:szCs w:val="24"/>
          <w:vertAlign w:val="superscript"/>
        </w:rPr>
        <w:t xml:space="preserve"> </w:t>
      </w:r>
      <w:r w:rsidRPr="00A3505C">
        <w:rPr>
          <w:rFonts w:ascii="Times New Roman" w:hAnsi="Times New Roman" w:cs="Times New Roman"/>
          <w:i/>
          <w:sz w:val="24"/>
          <w:szCs w:val="24"/>
        </w:rPr>
        <w:t>Ratio</w:t>
      </w:r>
      <w:r w:rsidRPr="00A3505C">
        <w:rPr>
          <w:rFonts w:ascii="Times New Roman" w:hAnsi="Times New Roman" w:cs="Times New Roman"/>
          <w:sz w:val="24"/>
          <w:szCs w:val="24"/>
        </w:rPr>
        <w:t xml:space="preserve"> are 0.089 and 0.024. This denotes that only 8.9% profit-oriented firm-years in our sample generate green revenues.</w:t>
      </w:r>
    </w:p>
    <w:p w14:paraId="579C314E" w14:textId="03566E13"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On average, green revenues constitute 2.4% of total revenues among profit-oriented firm-years in our sample. For neither-nor-oriented firm-years, the mean values of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Green Revenues</w:t>
      </w:r>
      <w:r w:rsidRPr="00A3505C">
        <w:rPr>
          <w:rFonts w:ascii="Times New Roman" w:hAnsi="Times New Roman" w:cs="Times New Roman"/>
          <w:i/>
          <w:sz w:val="24"/>
          <w:szCs w:val="24"/>
          <w:vertAlign w:val="superscript"/>
        </w:rPr>
        <w:t xml:space="preserve"> </w:t>
      </w:r>
      <w:r w:rsidRPr="00A3505C">
        <w:rPr>
          <w:rFonts w:ascii="Times New Roman" w:hAnsi="Times New Roman" w:cs="Times New Roman"/>
          <w:i/>
          <w:sz w:val="24"/>
          <w:szCs w:val="24"/>
        </w:rPr>
        <w:t>Ratio</w:t>
      </w:r>
      <w:r w:rsidRPr="00A3505C">
        <w:rPr>
          <w:rFonts w:ascii="Times New Roman" w:hAnsi="Times New Roman" w:cs="Times New Roman"/>
          <w:sz w:val="24"/>
          <w:szCs w:val="24"/>
        </w:rPr>
        <w:t xml:space="preserve"> are 0.130 and 0.037. This indicates that 13.0% neither-nor-oriented firms generate green revenues, and, on average, green revenues represent 3.7% of total revenues among these firms. These are consistent with previous studies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&lt;EndNote&gt;&lt;Cite&gt;&lt;Author&gt;Cao&lt;/Author&gt;&lt;Year&gt;2025&lt;/Year&gt;&lt;RecNum&gt;13859&lt;/RecNum&gt;&lt;Prefix&gt;e.g.`, &lt;/Prefix&gt;&lt;DisplayText&gt;(e.g., Cao&lt;style face="italic"&gt; et al.&lt;/style&gt;, 2025c; Klausmann&lt;style face="italic"&gt; et al.&lt;/style&gt;, 2024)&lt;/DisplayText&gt;&lt;record&gt;&lt;rec-number&gt;13859&lt;/rec-number&gt;&lt;foreign-keys&gt;&lt;key app="EN" db-id="tt95vv9zf20xf0ewve7x0fsl990xeeasafzs" timestamp="1745900592"&gt;13859&lt;/key&gt;&lt;/foreign-keys&gt;&lt;ref-type name="Journal Article"&gt;17&lt;/ref-type&gt;&lt;contributors&gt;&lt;authors&gt;&lt;author&gt;Cao, J.&lt;/author&gt;&lt;author&gt;Huang, Z.&lt;/author&gt;&lt;author&gt;Liew, M.&lt;/author&gt;&lt;/authors&gt;&lt;/contributors&gt;&lt;titles&gt;&lt;title&gt;The environmental-financial nexus: Centralized environmental monitoring, eco-consciousness, and green revenues&lt;/title&gt;&lt;secondary-title&gt;Journal of Economic Behavior &amp;amp; Organization&lt;/secondary-title&gt;&lt;/titles&gt;&lt;periodical&gt;&lt;full-title&gt;Journal of Economic Behavior &amp;amp; Organization&lt;/full-title&gt;&lt;abbr-1&gt;J. Econ. Behav. Organ.&lt;/abbr-1&gt;&lt;/periodical&gt;&lt;volume&gt;231&lt;/volume&gt;&lt;section&gt;106929&lt;/section&gt;&lt;dates&gt;&lt;year&gt;2025&lt;/year&gt;&lt;/dates&gt;&lt;isbn&gt;01672681&lt;/isbn&gt;&lt;urls&gt;&lt;/urls&gt;&lt;electronic-resource-num&gt;10.1016/j.jebo.2025.106929&lt;/electronic-resource-num&gt;&lt;/record&gt;&lt;/Cite&gt;&lt;Cite&gt;&lt;Author&gt;Klausmann&lt;/Author&gt;&lt;Year&gt;2024&lt;/Year&gt;&lt;RecNum&gt;10166&lt;/RecNum&gt;&lt;record&gt;&lt;rec-number&gt;10166&lt;/rec-number&gt;&lt;foreign-keys&gt;&lt;key app="EN" db-id="tt95vv9zf20xf0ewve7x0fsl990xeeasafzs" timestamp="1730857984"&gt;10166&lt;/key&gt;&lt;/foreign-keys&gt;&lt;ref-type name="Unpublished Work"&gt;34&lt;/ref-type&gt;&lt;contributors&gt;&lt;authors&gt;&lt;author&gt;Klausmann, J.&lt;/author&gt;&lt;author&gt;Krueger, P.&lt;/author&gt;&lt;author&gt;Matos, P.&lt;/author&gt;&lt;/authors&gt;&lt;/contributors&gt;&lt;titles&gt;&lt;title&gt;The green transition: Evidence from corporate green revenues&lt;/title&gt;&lt;/titles&gt;&lt;num-vols&gt;4850449&lt;/num-vols&gt;&lt;dates&gt;&lt;year&gt;2024&lt;/year&gt;&lt;/dates&gt;&lt;publisher&gt;Darden Business School&lt;/publisher&gt;&lt;urls&gt;&lt;related-urls&gt;&lt;url&gt;https://papers.ssrn.com/sol3/papers.cfm?abstract_id=4850449&lt;/url&gt;&lt;/related-urls&gt;&lt;/urls&gt;&lt;electronic-resource-num&gt;10.2139/ssrn.4850449&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(e.g., Klausmann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2024</w:t>
      </w:r>
      <w:r w:rsidR="00786262">
        <w:rPr>
          <w:rFonts w:ascii="Times New Roman" w:hAnsi="Times New Roman" w:cs="Times New Roman"/>
          <w:noProof/>
          <w:sz w:val="24"/>
          <w:szCs w:val="24"/>
        </w:rPr>
        <w:t xml:space="preserve">; </w:t>
      </w:r>
      <w:r w:rsidR="00786262" w:rsidRPr="00A3505C">
        <w:rPr>
          <w:rFonts w:ascii="Times New Roman" w:hAnsi="Times New Roman" w:cs="Times New Roman"/>
          <w:noProof/>
          <w:sz w:val="24"/>
          <w:szCs w:val="24"/>
        </w:rPr>
        <w:t>Cao</w:t>
      </w:r>
      <w:r w:rsidR="00786262" w:rsidRPr="00A3505C">
        <w:rPr>
          <w:rFonts w:ascii="Times New Roman" w:hAnsi="Times New Roman" w:cs="Times New Roman"/>
          <w:i/>
          <w:noProof/>
          <w:sz w:val="24"/>
          <w:szCs w:val="24"/>
        </w:rPr>
        <w:t xml:space="preserve"> et al.</w:t>
      </w:r>
      <w:r w:rsidR="00786262" w:rsidRPr="00A3505C">
        <w:rPr>
          <w:rFonts w:ascii="Times New Roman" w:hAnsi="Times New Roman" w:cs="Times New Roman"/>
          <w:noProof/>
          <w:sz w:val="24"/>
          <w:szCs w:val="24"/>
        </w:rPr>
        <w:t>, 2025c</w:t>
      </w:r>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lang w:val="en-AU"/>
        </w:rPr>
        <w:t xml:space="preserve">. </w:t>
      </w:r>
      <w:r w:rsidRPr="00A3505C">
        <w:rPr>
          <w:rFonts w:ascii="Times New Roman" w:hAnsi="Times New Roman" w:cs="Times New Roman"/>
          <w:sz w:val="24"/>
          <w:szCs w:val="24"/>
        </w:rPr>
        <w:t>Consistent with our hypothesis, the descriptive statistics show that growth-oriented firms are most likely to generate green revenues, followed by neither-nor-oriented firms and, lastly, profit-oriented firms. In addition, growth-oriented firms have a higher proportion of green revenues compared to neither-nor-oriented and profit-oriented firms. Thus, we preliminar</w:t>
      </w:r>
      <w:r w:rsidRPr="00A3505C">
        <w:rPr>
          <w:rFonts w:ascii="Times New Roman" w:hAnsi="Times New Roman" w:cs="Times New Roman" w:hint="eastAsia"/>
          <w:sz w:val="24"/>
          <w:szCs w:val="24"/>
        </w:rPr>
        <w:t>ily</w:t>
      </w:r>
      <w:r w:rsidRPr="00A3505C">
        <w:rPr>
          <w:rFonts w:ascii="Times New Roman" w:hAnsi="Times New Roman" w:cs="Times New Roman"/>
          <w:sz w:val="24"/>
          <w:szCs w:val="24"/>
        </w:rPr>
        <w:t xml:space="preserve"> conclude that growth-oriented firms are more inclined to derive green revenues </w:t>
      </w:r>
      <w:r w:rsidRPr="00A3505C">
        <w:rPr>
          <w:rFonts w:ascii="Times New Roman" w:hAnsi="Times New Roman" w:cs="Times New Roman" w:hint="eastAsia"/>
          <w:sz w:val="24"/>
          <w:szCs w:val="24"/>
        </w:rPr>
        <w:t>than</w:t>
      </w:r>
      <w:r w:rsidRPr="00A3505C">
        <w:rPr>
          <w:rFonts w:ascii="Times New Roman" w:hAnsi="Times New Roman" w:cs="Times New Roman"/>
          <w:sz w:val="24"/>
          <w:szCs w:val="24"/>
        </w:rPr>
        <w:t xml:space="preserve"> profit-oriented firms.</w:t>
      </w:r>
    </w:p>
    <w:p w14:paraId="1E1C577A" w14:textId="25C97352"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Panels B and C of Table 3 present descriptive statistics for the control variables before and after entropy balancing. These panels </w:t>
      </w:r>
      <w:r w:rsidRPr="00A3505C">
        <w:rPr>
          <w:rFonts w:ascii="Times New Roman" w:hAnsi="Times New Roman" w:cs="Times New Roman" w:hint="eastAsia"/>
          <w:sz w:val="24"/>
          <w:szCs w:val="24"/>
        </w:rPr>
        <w:t>present</w:t>
      </w:r>
      <w:r w:rsidRPr="00A3505C">
        <w:rPr>
          <w:rFonts w:ascii="Times New Roman" w:hAnsi="Times New Roman" w:cs="Times New Roman"/>
          <w:sz w:val="24"/>
          <w:szCs w:val="24"/>
        </w:rPr>
        <w:t xml:space="preserve"> diagnostic tests </w:t>
      </w:r>
      <w:r w:rsidRPr="00A3505C">
        <w:rPr>
          <w:rFonts w:ascii="Times New Roman" w:hAnsi="Times New Roman" w:cs="Times New Roman" w:hint="eastAsia"/>
          <w:sz w:val="24"/>
          <w:szCs w:val="24"/>
        </w:rPr>
        <w:t>for</w:t>
      </w:r>
      <w:r w:rsidRPr="00A3505C">
        <w:rPr>
          <w:rFonts w:ascii="Times New Roman" w:hAnsi="Times New Roman" w:cs="Times New Roman"/>
          <w:sz w:val="24"/>
          <w:szCs w:val="24"/>
        </w:rPr>
        <w:t xml:space="preserve"> mean, variance, and skewness </w:t>
      </w:r>
      <w:r w:rsidRPr="00A3505C">
        <w:rPr>
          <w:rFonts w:ascii="Times New Roman" w:hAnsi="Times New Roman" w:cs="Times New Roman" w:hint="eastAsia"/>
          <w:sz w:val="24"/>
          <w:szCs w:val="24"/>
        </w:rPr>
        <w:t>across</w:t>
      </w:r>
      <w:r w:rsidRPr="00A3505C">
        <w:rPr>
          <w:rFonts w:ascii="Times New Roman" w:hAnsi="Times New Roman" w:cs="Times New Roman"/>
          <w:sz w:val="24"/>
          <w:szCs w:val="24"/>
        </w:rPr>
        <w:t xml:space="preserve"> the two groups. </w:t>
      </w:r>
      <w:r w:rsidRPr="00A3505C">
        <w:rPr>
          <w:rFonts w:ascii="Times New Roman" w:hAnsi="Times New Roman" w:cs="Times New Roman" w:hint="eastAsia"/>
          <w:sz w:val="24"/>
          <w:szCs w:val="24"/>
        </w:rPr>
        <w:t>After</w:t>
      </w:r>
      <w:r w:rsidRPr="00A3505C">
        <w:rPr>
          <w:rFonts w:ascii="Times New Roman" w:hAnsi="Times New Roman" w:cs="Times New Roman"/>
          <w:sz w:val="24"/>
          <w:szCs w:val="24"/>
        </w:rPr>
        <w:t xml:space="preserve"> entropy balancing, standardized </w:t>
      </w:r>
      <w:r w:rsidRPr="00A3505C">
        <w:rPr>
          <w:rFonts w:ascii="Times New Roman" w:hAnsi="Times New Roman" w:cs="Times New Roman" w:hint="eastAsia"/>
          <w:sz w:val="24"/>
          <w:szCs w:val="24"/>
        </w:rPr>
        <w:t xml:space="preserve">covariate </w:t>
      </w:r>
      <w:r w:rsidRPr="00A3505C">
        <w:rPr>
          <w:rFonts w:ascii="Times New Roman" w:hAnsi="Times New Roman" w:cs="Times New Roman"/>
          <w:sz w:val="24"/>
          <w:szCs w:val="24"/>
        </w:rPr>
        <w:t>differences reduce to zero</w:t>
      </w:r>
      <w:r w:rsidR="00786262">
        <w:rPr>
          <w:rFonts w:ascii="Times New Roman" w:hAnsi="Times New Roman" w:cs="Times New Roman"/>
          <w:sz w:val="24"/>
          <w:szCs w:val="24"/>
        </w:rPr>
        <w:t>,</w:t>
      </w:r>
      <w:r w:rsidRPr="00A3505C">
        <w:rPr>
          <w:rFonts w:ascii="Times New Roman" w:hAnsi="Times New Roman" w:cs="Times New Roman"/>
          <w:sz w:val="24"/>
          <w:szCs w:val="24"/>
        </w:rPr>
        <w:t xml:space="preserve"> and variance ratios converge to one, indicating that covariate balance has been successfully achieved.</w:t>
      </w:r>
    </w:p>
    <w:p w14:paraId="4054AA81" w14:textId="77777777" w:rsidR="000F7DAA" w:rsidRPr="00A3505C" w:rsidRDefault="000F7DAA" w:rsidP="000F7DAA">
      <w:pPr>
        <w:adjustRightInd w:val="0"/>
        <w:snapToGrid w:val="0"/>
        <w:spacing w:after="12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3 Here]</w:t>
      </w:r>
    </w:p>
    <w:p w14:paraId="0B1DDFC6" w14:textId="77777777" w:rsidR="000F7DAA" w:rsidRPr="00A3505C" w:rsidRDefault="000F7DAA" w:rsidP="000F7DAA">
      <w:pPr>
        <w:adjustRightInd w:val="0"/>
        <w:snapToGrid w:val="0"/>
        <w:spacing w:after="120" w:line="360" w:lineRule="auto"/>
        <w:jc w:val="both"/>
        <w:rPr>
          <w:rFonts w:ascii="Times New Roman" w:hAnsi="Times New Roman" w:cs="Times New Roman"/>
          <w:b/>
          <w:sz w:val="24"/>
          <w:szCs w:val="24"/>
        </w:rPr>
      </w:pPr>
      <w:r w:rsidRPr="00A3505C">
        <w:rPr>
          <w:rFonts w:ascii="Times New Roman" w:hAnsi="Times New Roman" w:cs="Times New Roman"/>
          <w:b/>
          <w:sz w:val="24"/>
          <w:szCs w:val="24"/>
        </w:rPr>
        <w:t>4.2 Baseline results</w:t>
      </w:r>
    </w:p>
    <w:p w14:paraId="141E584B"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Table 4 reports the results of the impact of strategic orientations on firms’ green revenues. Columns (1) to (6) present the results of the impact of diverse strategic orientations on the likelihood of generating green revenues. Columns (7) to (12) show the results of the impact of different strategic orientations on the ratio of green revenues to total revenues. Columns (1), (2), (7), and (8) include all control variables and fixed effects. Columns (3), (4), (9), and (10) incorporate all control variables and fixed effects using an entropy-balanced sample. In addition, Columns (5), (6), (11), and (12) include </w:t>
      </w:r>
      <w:r w:rsidRPr="00A3505C">
        <w:rPr>
          <w:rFonts w:ascii="Times New Roman" w:hAnsi="Times New Roman" w:cs="Times New Roman"/>
          <w:i/>
          <w:iCs/>
          <w:sz w:val="24"/>
          <w:szCs w:val="24"/>
        </w:rPr>
        <w:t>Inverse Mills Ratios</w:t>
      </w:r>
      <w:r w:rsidRPr="00A3505C">
        <w:rPr>
          <w:rFonts w:ascii="Times New Roman" w:hAnsi="Times New Roman" w:cs="Times New Roman"/>
          <w:sz w:val="24"/>
          <w:szCs w:val="24"/>
        </w:rPr>
        <w:t xml:space="preserve"> to control for the influence of self-selection bias.</w:t>
      </w:r>
    </w:p>
    <w:p w14:paraId="6B2DF2E9"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document that the impacts of strategic orientations on firms’ green revenues are statistically significant. Columns (1), (3), and (5) show that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for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xml:space="preserve"> (0.057, 0.074, and 0.087) are all positive and significant at the 1% level. This indicates that growth-oriented firms are more likely to generate </w:t>
      </w:r>
      <w:r w:rsidRPr="00A3505C">
        <w:rPr>
          <w:rFonts w:ascii="Times New Roman" w:hAnsi="Times New Roman" w:cs="Times New Roman"/>
          <w:sz w:val="24"/>
          <w:szCs w:val="24"/>
        </w:rPr>
        <w:lastRenderedPageBreak/>
        <w:t xml:space="preserve">green revenues compared to firms adopting profit-oriented and neither-nor-oriented strategies. Columns (7), (9), and (11) present that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for </w:t>
      </w:r>
      <w:r w:rsidRPr="00A3505C">
        <w:rPr>
          <w:rFonts w:ascii="Times New Roman" w:hAnsi="Times New Roman" w:cs="Times New Roman"/>
          <w:i/>
          <w:sz w:val="24"/>
          <w:szCs w:val="24"/>
        </w:rPr>
        <w:t>Green Revenues Ratio</w:t>
      </w:r>
      <w:r w:rsidRPr="00A3505C">
        <w:rPr>
          <w:rFonts w:ascii="Times New Roman" w:hAnsi="Times New Roman" w:cs="Times New Roman"/>
          <w:sz w:val="24"/>
          <w:szCs w:val="24"/>
        </w:rPr>
        <w:t xml:space="preserve"> (0.035, 0.058, and 0.065) are all positive and significant at the 1% level. This implies that growth-oriented firms are more inclined to increase the proportion of green revenues in their total revenues relative to profit-oriented and neither-nor-oriented firms. However, Columns (2), (4), and (6) exhibit that the coefficients on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for </w:t>
      </w:r>
      <w:r w:rsidRPr="00A3505C">
        <w:rPr>
          <w:rFonts w:ascii="Times New Roman" w:hAnsi="Times New Roman" w:cs="Times New Roman"/>
          <w:i/>
          <w:sz w:val="24"/>
          <w:szCs w:val="24"/>
        </w:rPr>
        <w:t>Green Revenues Dummy</w:t>
      </w:r>
      <w:r w:rsidRPr="00A3505C">
        <w:rPr>
          <w:rFonts w:ascii="Times New Roman" w:hAnsi="Times New Roman" w:cs="Times New Roman"/>
          <w:sz w:val="24"/>
          <w:szCs w:val="24"/>
        </w:rPr>
        <w:t xml:space="preserve"> (-0.041, -0.062, and -0.069) are all negative and significant at the 1% level. Columns (8), (10), and (12) show that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for </w:t>
      </w:r>
      <w:r w:rsidRPr="00A3505C">
        <w:rPr>
          <w:rFonts w:ascii="Times New Roman" w:hAnsi="Times New Roman" w:cs="Times New Roman"/>
          <w:i/>
          <w:sz w:val="24"/>
          <w:szCs w:val="24"/>
        </w:rPr>
        <w:t>Green Revenues Ratio</w:t>
      </w:r>
      <w:r w:rsidRPr="00A3505C">
        <w:rPr>
          <w:rFonts w:ascii="Times New Roman" w:hAnsi="Times New Roman" w:cs="Times New Roman"/>
          <w:sz w:val="24"/>
          <w:szCs w:val="24"/>
        </w:rPr>
        <w:t xml:space="preserve"> (-0.015, -0.027, and -0.030) are all negative and significant at the 1% level. These results imply that profit-oriented firms are less likely to generate green revenues and enhance the proportion of green revenues compared to growth-oriented and neither-nor-oriented firms.</w:t>
      </w:r>
    </w:p>
    <w:p w14:paraId="5CCCC14A"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These impacts are economically significant. Our findings reveal that firms with growth-oriented strategies have an 8.7% higher likelihood of generating green revenues compared to profit-oriented and neither-nor-oriented firms. These firms also demonstrate a 6.5% higher ratio of green revenues to total revenues compared to their counterparts. In contrast, firms following profit-oriented strategies exhibit a 6.9% lower probability of generating green revenues and show a 3.0% lower ratio of green revenues to total revenues relative to growth-oriented and neither-nor-oriented firms. These results support our </w:t>
      </w:r>
      <w:r w:rsidRPr="00A3505C">
        <w:rPr>
          <w:rFonts w:ascii="Times New Roman" w:hAnsi="Times New Roman" w:cs="Times New Roman"/>
          <w:b/>
          <w:i/>
          <w:sz w:val="24"/>
          <w:szCs w:val="24"/>
        </w:rPr>
        <w:t>H1</w:t>
      </w:r>
      <w:r w:rsidRPr="00A3505C">
        <w:rPr>
          <w:rFonts w:ascii="Times New Roman" w:hAnsi="Times New Roman" w:cs="Times New Roman"/>
          <w:sz w:val="24"/>
          <w:szCs w:val="24"/>
        </w:rPr>
        <w:t>.</w:t>
      </w:r>
    </w:p>
    <w:p w14:paraId="36201C69" w14:textId="77777777" w:rsidR="000F7DAA" w:rsidRPr="00A3505C" w:rsidRDefault="000F7DAA" w:rsidP="000F7DAA">
      <w:pPr>
        <w:adjustRightInd w:val="0"/>
        <w:snapToGrid w:val="0"/>
        <w:spacing w:after="12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4 Here]</w:t>
      </w:r>
    </w:p>
    <w:p w14:paraId="08EEAA89" w14:textId="77777777" w:rsidR="000F7DAA" w:rsidRPr="00A3505C" w:rsidRDefault="000F7DAA" w:rsidP="000F7DAA">
      <w:pPr>
        <w:adjustRightInd w:val="0"/>
        <w:snapToGrid w:val="0"/>
        <w:spacing w:after="120" w:line="360" w:lineRule="auto"/>
        <w:jc w:val="both"/>
        <w:rPr>
          <w:rFonts w:ascii="Times New Roman" w:hAnsi="Times New Roman" w:cs="Times New Roman"/>
          <w:b/>
          <w:sz w:val="24"/>
          <w:szCs w:val="24"/>
        </w:rPr>
      </w:pPr>
      <w:r w:rsidRPr="00A3505C">
        <w:rPr>
          <w:rFonts w:ascii="Times New Roman" w:hAnsi="Times New Roman" w:cs="Times New Roman"/>
          <w:b/>
          <w:sz w:val="24"/>
          <w:szCs w:val="24"/>
        </w:rPr>
        <w:t>4.3 Reasoning behind the impact of strategic orientations on green revenues</w:t>
      </w:r>
    </w:p>
    <w:p w14:paraId="4710FAB3" w14:textId="3DD2E87C"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W</w:t>
      </w:r>
      <w:r w:rsidRPr="00A3505C">
        <w:rPr>
          <w:rFonts w:ascii="Times New Roman" w:hAnsi="Times New Roman" w:cs="Times New Roman"/>
          <w:sz w:val="24"/>
          <w:szCs w:val="24"/>
        </w:rPr>
        <w:t xml:space="preserve">e </w:t>
      </w:r>
      <w:r w:rsidRPr="00A3505C">
        <w:rPr>
          <w:rFonts w:ascii="Times New Roman" w:hAnsi="Times New Roman" w:cs="Times New Roman" w:hint="eastAsia"/>
          <w:sz w:val="24"/>
          <w:szCs w:val="24"/>
        </w:rPr>
        <w:t xml:space="preserve">here </w:t>
      </w:r>
      <w:r w:rsidRPr="00A3505C">
        <w:rPr>
          <w:rFonts w:ascii="Times New Roman" w:hAnsi="Times New Roman" w:cs="Times New Roman"/>
          <w:sz w:val="24"/>
          <w:szCs w:val="24"/>
        </w:rPr>
        <w:t>investigate the underlying mechanism of the impact of strategic orientations on green revenues, specifically focusing on investing in green patents.</w:t>
      </w:r>
      <w:r w:rsidRPr="00A3505C">
        <w:rPr>
          <w:rStyle w:val="FootnoteReference"/>
          <w:rFonts w:ascii="Times New Roman" w:hAnsi="Times New Roman" w:cs="Times New Roman"/>
          <w:sz w:val="24"/>
          <w:szCs w:val="24"/>
        </w:rPr>
        <w:footnoteReference w:id="11"/>
      </w:r>
      <w:r w:rsidRPr="00A3505C">
        <w:rPr>
          <w:rFonts w:ascii="Times New Roman" w:hAnsi="Times New Roman" w:cs="Times New Roman"/>
          <w:sz w:val="24"/>
          <w:szCs w:val="24"/>
        </w:rPr>
        <w:t xml:space="preserve"> We use the number of green patent applications to proxy the intensity of corporate green patents (</w:t>
      </w:r>
      <w:r w:rsidRPr="00A3505C">
        <w:rPr>
          <w:rFonts w:ascii="Times New Roman" w:hAnsi="Times New Roman" w:cs="Times New Roman"/>
          <w:i/>
          <w:sz w:val="24"/>
          <w:szCs w:val="24"/>
        </w:rPr>
        <w:t>Green patents</w:t>
      </w:r>
      <w:r w:rsidRPr="00A3505C">
        <w:rPr>
          <w:rFonts w:ascii="Times New Roman" w:hAnsi="Times New Roman" w:cs="Times New Roman"/>
          <w:sz w:val="24"/>
          <w:szCs w:val="24"/>
        </w:rPr>
        <w:t>)</w:t>
      </w:r>
      <w:r w:rsidR="00445A0F" w:rsidRPr="00A3505C">
        <w:rPr>
          <w:rFonts w:ascii="Times New Roman" w:hAnsi="Times New Roman" w:cs="Times New Roman"/>
          <w:sz w:val="24"/>
          <w:szCs w:val="24"/>
        </w:rPr>
        <w:t>,</w:t>
      </w:r>
      <w:r w:rsidRPr="00A3505C">
        <w:rPr>
          <w:rFonts w:ascii="Times New Roman" w:hAnsi="Times New Roman" w:cs="Times New Roman"/>
          <w:sz w:val="24"/>
          <w:szCs w:val="24"/>
        </w:rPr>
        <w:t xml:space="preserve"> following</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AuthorYear="1"&gt;&lt;Author&gt;Kim&lt;/Author&gt;&lt;Year&gt;2021&lt;/Year&gt;&lt;RecNum&gt;2949&lt;/RecNum&gt;&lt;DisplayText&gt;Kim and Valentine (2021)&lt;/DisplayText&gt;&lt;record&gt;&lt;rec-number&gt;2949&lt;/rec-number&gt;&lt;foreign-keys&gt;&lt;key app="EN" db-id="tt95vv9zf20xf0ewve7x0fsl990xeeasafzs" timestamp="1703231458"&gt;2949&lt;/key&gt;&lt;/foreign-keys&gt;&lt;ref-type name="Journal Article"&gt;17&lt;/ref-type&gt;&lt;contributors&gt;&lt;authors&gt;&lt;author&gt;Kim, Jinhwan&lt;/author&gt;&lt;author&gt;Valentine, Kristen&lt;/author&gt;&lt;/authors&gt;&lt;/contributors&gt;&lt;titles&gt;&lt;title&gt;The innovation consequences of mandatory patent disclosures&lt;/title&gt;&lt;secondary-title&gt;Journal of Accounting and Economics&lt;/secondary-title&gt;&lt;/titles&gt;&lt;periodical&gt;&lt;full-title&gt;Journal of Accounting and Economics&lt;/full-title&gt;&lt;abbr-1&gt;J. Acc. &amp;amp; Econ.&lt;/abbr-1&gt;&lt;/periodical&gt;&lt;volume&gt;71&lt;/volume&gt;&lt;dates&gt;&lt;year&gt;2021&lt;/year&gt;&lt;/dates&gt;&lt;urls&gt;&lt;/urls&gt;&lt;custom7&gt;101381&lt;/custom7&gt;&lt;electronic-resource-num&gt;10.1016/j.jacceco.2020.101381&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sz w:val="24"/>
          <w:szCs w:val="24"/>
        </w:rPr>
        <w:t>Kim and Valentine (2021)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This is because patent applications offer comprehensive details on the core attributes of the underlying invention, serving as a valuable resource for classifying innovations and the technological strategies of firms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&lt;EndNote&gt;&lt;Cite&gt;&lt;Author&gt;Amore&lt;/Author&gt;&lt;Year&gt;2016&lt;/Year&gt;&lt;RecNum&gt;2877&lt;/RecNum&gt;&lt;DisplayText&gt;(Amore and Bennedsen, 2016)&lt;/DisplayText&gt;&lt;record&gt;&lt;rec-number&gt;2877&lt;/rec-number&gt;&lt;foreign-keys&gt;&lt;key app="EN" db-id="tt95vv9zf20xf0ewve7x0fsl990xeeasafzs" timestamp="1703231458"&gt;2877&lt;/key&gt;&lt;/foreign-keys&gt;&lt;ref-type name="Journal Article"&gt;17&lt;/ref-type&gt;&lt;contributors&gt;&lt;authors&gt;&lt;author&gt;Amore, M.D.&lt;/author&gt;&lt;author&gt;Bennedsen, M.&lt;/author&gt;&lt;/authors&gt;&lt;/contributors&gt;&lt;titles&gt;&lt;title&gt;Corporate governance and green innovation&lt;/title&gt;&lt;secondary-title&gt;Journal of Environmental Economics and Management&lt;/secondary-title&gt;&lt;/titles&gt;&lt;periodical&gt;&lt;full-title&gt;Journal of Environmental Economics and Management&lt;/full-title&gt;&lt;abbr-1&gt;J. Environ. Econ. Manag.&lt;/abbr-1&gt;&lt;/periodical&gt;&lt;pages&gt;54-72&lt;/pages&gt;&lt;volume&gt;75&lt;/volume&gt;&lt;dates&gt;&lt;year&gt;2016&lt;/year&gt;&lt;/dates&gt;&lt;urls&gt;&lt;/urls&gt;&lt;electronic-resource-num&gt;10.1016/j.jeem.2015.11.003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(Amore and Bennedsen, 2016)</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lastRenderedPageBreak/>
        <w:t>W</w:t>
      </w:r>
      <w:r w:rsidRPr="00A3505C">
        <w:rPr>
          <w:rFonts w:ascii="Times New Roman" w:hAnsi="Times New Roman" w:cs="Times New Roman"/>
          <w:sz w:val="24"/>
          <w:szCs w:val="24"/>
        </w:rPr>
        <w:t>e define firms with high green patents (</w:t>
      </w:r>
      <w:r w:rsidRPr="00A3505C">
        <w:rPr>
          <w:rFonts w:ascii="Times New Roman" w:hAnsi="Times New Roman" w:cs="Times New Roman"/>
          <w:iCs/>
          <w:sz w:val="24"/>
          <w:szCs w:val="24"/>
        </w:rPr>
        <w:t>High</w:t>
      </w:r>
      <w:r w:rsidRPr="00A3505C">
        <w:rPr>
          <w:rFonts w:ascii="Times New Roman" w:hAnsi="Times New Roman" w:cs="Times New Roman"/>
          <w:i/>
          <w:sz w:val="24"/>
          <w:szCs w:val="24"/>
        </w:rPr>
        <w:t xml:space="preserve"> green patents</w:t>
      </w:r>
      <w:r w:rsidRPr="00A3505C">
        <w:rPr>
          <w:rFonts w:ascii="Times New Roman" w:hAnsi="Times New Roman" w:cs="Times New Roman"/>
          <w:sz w:val="24"/>
          <w:szCs w:val="24"/>
        </w:rPr>
        <w:t>) or low green patents (</w:t>
      </w:r>
      <w:r w:rsidRPr="00A3505C">
        <w:rPr>
          <w:rFonts w:ascii="Times New Roman" w:hAnsi="Times New Roman" w:cs="Times New Roman"/>
          <w:iCs/>
          <w:sz w:val="24"/>
          <w:szCs w:val="24"/>
        </w:rPr>
        <w:t>Low</w:t>
      </w:r>
      <w:r w:rsidRPr="00A3505C">
        <w:rPr>
          <w:rFonts w:ascii="Times New Roman" w:hAnsi="Times New Roman" w:cs="Times New Roman"/>
          <w:i/>
          <w:sz w:val="24"/>
          <w:szCs w:val="24"/>
        </w:rPr>
        <w:t xml:space="preserve"> green patents</w:t>
      </w:r>
      <w:r w:rsidRPr="00A3505C">
        <w:rPr>
          <w:rFonts w:ascii="Times New Roman" w:hAnsi="Times New Roman" w:cs="Times New Roman"/>
          <w:sz w:val="24"/>
          <w:szCs w:val="24"/>
        </w:rPr>
        <w:t>) when the number of applications of green patents is above or below the sample median.</w:t>
      </w:r>
    </w:p>
    <w:p w14:paraId="716E6FF4"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Table 5 reports the results of the analysis examining the green patents channel. Column (1) shows that firms adopting growth-oriented strategies are more inclined to generate green innovation patents compared to other firms. Columns (2) and (5) indicate that the coefficients on </w:t>
      </w:r>
      <w:r w:rsidRPr="00A3505C">
        <w:rPr>
          <w:rFonts w:ascii="Times New Roman" w:hAnsi="Times New Roman" w:cs="Times New Roman"/>
          <w:i/>
          <w:iCs/>
          <w:sz w:val="24"/>
          <w:szCs w:val="24"/>
        </w:rPr>
        <w:t>Growth v. Profit and Neither-Nor</w:t>
      </w:r>
      <w:r w:rsidRPr="00A3505C">
        <w:rPr>
          <w:rFonts w:ascii="Times New Roman" w:hAnsi="Times New Roman" w:cs="Times New Roman"/>
          <w:sz w:val="24"/>
          <w:szCs w:val="24"/>
        </w:rPr>
        <w:t xml:space="preserve"> × </w:t>
      </w:r>
      <w:r w:rsidRPr="00A3505C">
        <w:rPr>
          <w:rFonts w:ascii="Times New Roman" w:hAnsi="Times New Roman" w:cs="Times New Roman"/>
          <w:i/>
          <w:iCs/>
          <w:sz w:val="24"/>
          <w:szCs w:val="24"/>
        </w:rPr>
        <w:t>Green Patents</w:t>
      </w:r>
      <w:r w:rsidRPr="00A3505C">
        <w:rPr>
          <w:rFonts w:ascii="Times New Roman" w:hAnsi="Times New Roman" w:cs="Times New Roman"/>
          <w:sz w:val="24"/>
          <w:szCs w:val="24"/>
        </w:rPr>
        <w:t xml:space="preserve"> (0.017 and 0.029) are positive and significant. This implies that growth-oriented firms with a greater number of green patents are more inclined to generate green revenues. Columns (3) and (6) show that the coefficients on </w:t>
      </w:r>
      <w:r w:rsidRPr="00A3505C">
        <w:rPr>
          <w:rFonts w:ascii="Times New Roman" w:hAnsi="Times New Roman" w:cs="Times New Roman"/>
          <w:i/>
          <w:iCs/>
          <w:sz w:val="24"/>
          <w:szCs w:val="24"/>
        </w:rPr>
        <w:t>Growth v. Profit and Neither-Nor</w:t>
      </w:r>
      <w:r w:rsidRPr="00A3505C">
        <w:rPr>
          <w:rFonts w:ascii="Times New Roman" w:hAnsi="Times New Roman" w:cs="Times New Roman"/>
          <w:sz w:val="24"/>
          <w:szCs w:val="24"/>
        </w:rPr>
        <w:t xml:space="preserve"> (0.086 and 0.086) for the subsamples of firm-years with greater green patents are positive and significant. However, Columns (4) and (7)</w:t>
      </w:r>
      <w:r w:rsidRPr="00A3505C">
        <w:rPr>
          <w:rFonts w:ascii="Times New Roman" w:hAnsi="Times New Roman" w:cs="Times New Roman" w:hint="eastAsia"/>
          <w:sz w:val="24"/>
          <w:szCs w:val="24"/>
        </w:rPr>
        <w:t xml:space="preserve"> reveal that</w:t>
      </w:r>
      <w:r w:rsidRPr="00A3505C">
        <w:rPr>
          <w:rFonts w:ascii="Times New Roman" w:hAnsi="Times New Roman" w:cs="Times New Roman"/>
          <w:sz w:val="24"/>
          <w:szCs w:val="24"/>
        </w:rPr>
        <w:t xml:space="preserve"> the coefficients for firm-years with fewer green patents are statistically insignificant and </w:t>
      </w:r>
      <w:r w:rsidRPr="00A3505C">
        <w:rPr>
          <w:rFonts w:ascii="Times New Roman" w:hAnsi="Times New Roman" w:cs="Times New Roman" w:hint="eastAsia"/>
          <w:sz w:val="24"/>
          <w:szCs w:val="24"/>
        </w:rPr>
        <w:t>economically smaller</w:t>
      </w:r>
      <w:r w:rsidRPr="00A3505C">
        <w:rPr>
          <w:rFonts w:ascii="Times New Roman" w:hAnsi="Times New Roman" w:cs="Times New Roman"/>
          <w:sz w:val="24"/>
          <w:szCs w:val="24"/>
        </w:rPr>
        <w:t xml:space="preserve">. This implies that growth-oriented firms are more inclined to intensify their green patents, thereby enhancing green revenues. These results support our </w:t>
      </w:r>
      <w:r w:rsidRPr="00A3505C">
        <w:rPr>
          <w:rFonts w:ascii="Times New Roman" w:hAnsi="Times New Roman" w:cs="Times New Roman"/>
          <w:b/>
          <w:i/>
          <w:sz w:val="24"/>
          <w:szCs w:val="24"/>
        </w:rPr>
        <w:t>H2</w:t>
      </w:r>
      <w:r w:rsidRPr="00A3505C">
        <w:rPr>
          <w:rFonts w:ascii="Times New Roman" w:hAnsi="Times New Roman" w:cs="Times New Roman"/>
          <w:sz w:val="24"/>
          <w:szCs w:val="24"/>
        </w:rPr>
        <w:t>.</w:t>
      </w:r>
    </w:p>
    <w:p w14:paraId="34C9D60F" w14:textId="77777777" w:rsidR="000F7DAA" w:rsidRPr="00A3505C" w:rsidRDefault="000F7DAA" w:rsidP="000F7DAA">
      <w:pPr>
        <w:adjustRightInd w:val="0"/>
        <w:snapToGrid w:val="0"/>
        <w:spacing w:after="24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5 Here]</w:t>
      </w:r>
    </w:p>
    <w:p w14:paraId="073EED5F" w14:textId="37787B48" w:rsidR="009064A4" w:rsidRPr="00A3505C" w:rsidRDefault="000F7DAA" w:rsidP="000F7DAA">
      <w:pPr>
        <w:adjustRightInd w:val="0"/>
        <w:snapToGrid w:val="0"/>
        <w:spacing w:before="120"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 xml:space="preserve">5. </w:t>
      </w:r>
      <w:r w:rsidR="009064A4" w:rsidRPr="00A3505C">
        <w:rPr>
          <w:rFonts w:ascii="Times New Roman" w:hAnsi="Times New Roman" w:cs="Times New Roman"/>
          <w:b/>
          <w:sz w:val="24"/>
          <w:szCs w:val="24"/>
        </w:rPr>
        <w:t>Additional Tests</w:t>
      </w:r>
    </w:p>
    <w:p w14:paraId="3E25BF03" w14:textId="0C2C21A0" w:rsidR="000F7DAA" w:rsidRPr="00A3505C" w:rsidRDefault="009064A4" w:rsidP="000F7DAA">
      <w:pPr>
        <w:adjustRightInd w:val="0"/>
        <w:snapToGrid w:val="0"/>
        <w:spacing w:before="120"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 xml:space="preserve">5.1 </w:t>
      </w:r>
      <w:r w:rsidR="000F7DAA" w:rsidRPr="00A3505C">
        <w:rPr>
          <w:rFonts w:ascii="Times New Roman" w:hAnsi="Times New Roman" w:cs="Times New Roman"/>
          <w:b/>
          <w:sz w:val="24"/>
          <w:szCs w:val="24"/>
        </w:rPr>
        <w:t xml:space="preserve">Which </w:t>
      </w:r>
      <w:r w:rsidR="00D17A2A" w:rsidRPr="00A3505C">
        <w:rPr>
          <w:rFonts w:ascii="Times New Roman" w:hAnsi="Times New Roman" w:cs="Times New Roman"/>
          <w:b/>
          <w:sz w:val="24"/>
          <w:szCs w:val="24"/>
        </w:rPr>
        <w:t>firms are more or less likely to enhance green revenues</w:t>
      </w:r>
      <w:r w:rsidR="000F7DAA" w:rsidRPr="00A3505C">
        <w:rPr>
          <w:rFonts w:ascii="Times New Roman" w:hAnsi="Times New Roman" w:cs="Times New Roman"/>
          <w:b/>
          <w:sz w:val="24"/>
          <w:szCs w:val="24"/>
        </w:rPr>
        <w:t>?</w:t>
      </w:r>
    </w:p>
    <w:p w14:paraId="491DAD75" w14:textId="1CF99D28" w:rsidR="000F7DAA" w:rsidRPr="00D17A2A" w:rsidRDefault="000F7DAA" w:rsidP="000F7DAA">
      <w:pPr>
        <w:adjustRightInd w:val="0"/>
        <w:snapToGrid w:val="0"/>
        <w:spacing w:after="120" w:line="240" w:lineRule="auto"/>
        <w:jc w:val="both"/>
        <w:rPr>
          <w:rFonts w:ascii="Times New Roman" w:hAnsi="Times New Roman" w:cs="Times New Roman"/>
          <w:bCs/>
          <w:i/>
          <w:iCs/>
          <w:sz w:val="24"/>
          <w:szCs w:val="24"/>
        </w:rPr>
      </w:pPr>
      <w:r w:rsidRPr="00D17A2A">
        <w:rPr>
          <w:rFonts w:ascii="Times New Roman" w:hAnsi="Times New Roman" w:cs="Times New Roman"/>
          <w:bCs/>
          <w:i/>
          <w:iCs/>
          <w:sz w:val="24"/>
          <w:szCs w:val="24"/>
        </w:rPr>
        <w:t>5.1</w:t>
      </w:r>
      <w:r w:rsidR="009064A4" w:rsidRPr="00D17A2A">
        <w:rPr>
          <w:rFonts w:ascii="Times New Roman" w:hAnsi="Times New Roman" w:cs="Times New Roman"/>
          <w:bCs/>
          <w:i/>
          <w:iCs/>
          <w:sz w:val="24"/>
          <w:szCs w:val="24"/>
        </w:rPr>
        <w:t>.1</w:t>
      </w:r>
      <w:r w:rsidRPr="00D17A2A">
        <w:rPr>
          <w:rFonts w:ascii="Times New Roman" w:hAnsi="Times New Roman" w:cs="Times New Roman"/>
          <w:bCs/>
          <w:i/>
          <w:iCs/>
          <w:sz w:val="24"/>
          <w:szCs w:val="24"/>
        </w:rPr>
        <w:t xml:space="preserve"> Growth-oriented firms with greater environmental transformation</w:t>
      </w:r>
    </w:p>
    <w:p w14:paraId="12943367" w14:textId="45EEE3D2"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Growth-oriented firms are likely to recognize and exploit growth and opportunities in sustainable markets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&lt;EndNote&gt;&lt;Cite&gt;&lt;Author&gt;Barney&lt;/Author&gt;&lt;Year&gt;2019&lt;/Year&gt;&lt;RecNum&gt;9065&lt;/RecNum&gt;&lt;DisplayText&gt;(Barney and Hesterly, 2019)&lt;/DisplayText&gt;&lt;record&gt;&lt;rec-number&gt;9065&lt;/rec-number&gt;&lt;foreign-keys&gt;&lt;key app="EN" db-id="tt95vv9zf20xf0ewve7x0fsl990xeeasafzs" timestamp="1710060700"&gt;9065&lt;/key&gt;&lt;/foreign-keys&gt;&lt;ref-type name="Book"&gt;6&lt;/ref-type&gt;&lt;contributors&gt;&lt;authors&gt;&lt;author&gt;Barney, Jay B.&lt;/author&gt;&lt;author&gt;Hesterly, William S.&lt;/author&gt;&lt;/authors&gt;&lt;/contributors&gt;&lt;titles&gt;&lt;title&gt;Strategic Management and Competitive Advantage: Concepts and Cases&lt;/title&gt;&lt;/titles&gt;&lt;dates&gt;&lt;year&gt;2019&lt;/year&gt;&lt;/dates&gt;&lt;publisher&gt;Pearson&lt;/publisher&gt;&lt;urls&gt;&lt;/urls&gt;&lt;/record&gt;&lt;/Cite&gt;&lt;/EndNote&gt;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(Barney and Hesterly, 2019)</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Thus, these firms proficient in environmental transformation </w:t>
      </w:r>
      <w:r w:rsidRPr="00C12FB6">
        <w:rPr>
          <w:rFonts w:ascii="Times New Roman" w:hAnsi="Times New Roman" w:cs="Times New Roman"/>
          <w:sz w:val="24"/>
          <w:szCs w:val="24"/>
        </w:rPr>
        <w:t xml:space="preserve">capitalize on their </w:t>
      </w:r>
      <w:r w:rsidR="00174FEF" w:rsidRPr="00C12FB6">
        <w:rPr>
          <w:rFonts w:ascii="Times New Roman" w:hAnsi="Times New Roman" w:cs="Times New Roman"/>
          <w:sz w:val="24"/>
          <w:szCs w:val="24"/>
        </w:rPr>
        <w:t xml:space="preserve">flexible resource deployment </w:t>
      </w:r>
      <w:r w:rsidRPr="00A3505C">
        <w:rPr>
          <w:rFonts w:ascii="Times New Roman" w:hAnsi="Times New Roman" w:cs="Times New Roman"/>
          <w:sz w:val="24"/>
          <w:szCs w:val="24"/>
        </w:rPr>
        <w:t>and adaptability skills, thereby boosting their ability to produce eco-friendly products and services to generate green revenues. We predict that growth-oriented firms with greater environmental transformation are more likely to enhance their green revenues than those with lower environmental transformation.</w:t>
      </w:r>
    </w:p>
    <w:p w14:paraId="5A84BE59"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We employ textual analysis to assess firms’ environmental transformation (</w:t>
      </w:r>
      <w:r w:rsidRPr="00A3505C">
        <w:rPr>
          <w:rFonts w:ascii="Times New Roman" w:hAnsi="Times New Roman" w:cs="Times New Roman"/>
          <w:i/>
          <w:sz w:val="24"/>
          <w:szCs w:val="24"/>
        </w:rPr>
        <w:t>EnvTran</w:t>
      </w:r>
      <w:r w:rsidRPr="00A3505C">
        <w:rPr>
          <w:rFonts w:ascii="Times New Roman" w:hAnsi="Times New Roman" w:cs="Times New Roman"/>
          <w:sz w:val="24"/>
          <w:szCs w:val="24"/>
        </w:rPr>
        <w:t xml:space="preserve">), utilizing the dictionary approach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&lt;EndNote&gt;&lt;Cite&gt;&lt;Author&gt;Loughran&lt;/Author&gt;&lt;Year&gt;2011&lt;/Year&gt;&lt;RecNum&gt;2857&lt;/RecNum&gt;&lt;DisplayText&gt;(Loughran and McDonald, 2011)&lt;/DisplayText&gt;&lt;record&gt;&lt;rec-number&gt;2857&lt;/rec-number&gt;&lt;foreign-keys&gt;&lt;key app="EN" db-id="tt95vv9zf20xf0ewve7x0fsl990xeeasafzs" timestamp="1703231458"&gt;2857&lt;/key&gt;&lt;/foreign-keys&gt;&lt;ref-type name="Journal Article"&gt;17&lt;/ref-type&gt;&lt;contributors&gt;&lt;authors&gt;&lt;author&gt;Loughran, T.&lt;/author&gt;&lt;author&gt;McDonald, B.&lt;/author&gt;&lt;/authors&gt;&lt;/contributors&gt;&lt;titles&gt;&lt;title&gt;When is a liability not a liability? Textual analysis, dictionaries, and 10-Ks’&lt;/title&gt;&lt;secondary-title&gt;The Journal of Finance&lt;/secondary-title&gt;&lt;/titles&gt;&lt;periodical&gt;&lt;full-title&gt;The Journal of Finance&lt;/full-title&gt;&lt;abbr-1&gt;J. Financ.&lt;/abbr-1&gt;&lt;/periodical&gt;&lt;pages&gt;35-65&lt;/pages&gt;&lt;volume&gt;66&lt;/volume&gt;&lt;number&gt;1&lt;/number&gt;&lt;dates&gt;&lt;year&gt;2011&lt;/year&gt;&lt;/dates&gt;&lt;urls&gt;&lt;/urls&gt;&lt;electronic-resource-num&gt;10.1111/j.1540-6261.2010.01625.x&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(Loughran and McDonald, 2011)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to identify the prevalence of environmentally transformative terms within annual and CSR reports. Our analysis is guided by the </w:t>
      </w:r>
      <w:r w:rsidRPr="00A3505C">
        <w:rPr>
          <w:rFonts w:ascii="Times New Roman" w:hAnsi="Times New Roman" w:cs="Times New Roman"/>
          <w:i/>
          <w:sz w:val="24"/>
          <w:szCs w:val="24"/>
        </w:rPr>
        <w:t>Guidelines for Environmental Performance Assessment Techniques in Enterprises</w:t>
      </w:r>
      <w:r w:rsidRPr="00A3505C">
        <w:rPr>
          <w:rFonts w:ascii="Times New Roman" w:hAnsi="Times New Roman" w:cs="Times New Roman"/>
          <w:sz w:val="24"/>
          <w:szCs w:val="24"/>
        </w:rPr>
        <w:t xml:space="preserve"> issued by China’s Ministry of Ecology and Environment, focusing on four key dimensions.</w:t>
      </w:r>
      <w:r w:rsidRPr="00A3505C">
        <w:rPr>
          <w:rStyle w:val="FootnoteReference"/>
          <w:rFonts w:ascii="Times New Roman" w:hAnsi="Times New Roman" w:cs="Times New Roman"/>
          <w:sz w:val="24"/>
          <w:szCs w:val="24"/>
        </w:rPr>
        <w:footnoteReference w:id="12"/>
      </w:r>
      <w:r w:rsidRPr="00A3505C">
        <w:rPr>
          <w:rFonts w:ascii="Times New Roman" w:hAnsi="Times New Roman" w:cs="Times New Roman"/>
          <w:sz w:val="24"/>
          <w:szCs w:val="24"/>
        </w:rPr>
        <w:t xml:space="preserve"> Panel A of Table 6 shows the results of the heterogeneity analysis of firms’ environmental transformation. We define firms with high environmental transformation (low environmental </w:t>
      </w:r>
      <w:r w:rsidRPr="00A3505C">
        <w:rPr>
          <w:rFonts w:ascii="Times New Roman" w:hAnsi="Times New Roman" w:cs="Times New Roman"/>
          <w:sz w:val="24"/>
          <w:szCs w:val="24"/>
        </w:rPr>
        <w:lastRenderedPageBreak/>
        <w:t xml:space="preserve">transformation) when </w:t>
      </w:r>
      <w:r w:rsidRPr="00A3505C">
        <w:rPr>
          <w:rFonts w:ascii="Times New Roman" w:hAnsi="Times New Roman" w:cs="Times New Roman"/>
          <w:i/>
          <w:sz w:val="24"/>
          <w:szCs w:val="24"/>
        </w:rPr>
        <w:t>EnvTran</w:t>
      </w:r>
      <w:r w:rsidRPr="00A3505C">
        <w:rPr>
          <w:rFonts w:ascii="Times New Roman" w:hAnsi="Times New Roman" w:cs="Times New Roman"/>
          <w:sz w:val="24"/>
          <w:szCs w:val="24"/>
        </w:rPr>
        <w:t xml:space="preserve"> is above (below) the median. We find that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(0.104 and 0.073) for firms with high </w:t>
      </w:r>
      <w:r w:rsidRPr="00A3505C">
        <w:rPr>
          <w:rFonts w:ascii="Times New Roman" w:hAnsi="Times New Roman" w:cs="Times New Roman"/>
          <w:i/>
          <w:sz w:val="24"/>
          <w:szCs w:val="24"/>
        </w:rPr>
        <w:t>EnvTran</w:t>
      </w:r>
      <w:r w:rsidRPr="00A3505C">
        <w:rPr>
          <w:rFonts w:ascii="Times New Roman" w:hAnsi="Times New Roman" w:cs="Times New Roman"/>
          <w:sz w:val="24"/>
          <w:szCs w:val="24"/>
        </w:rPr>
        <w:t xml:space="preserve"> are significantly higher than those with low </w:t>
      </w:r>
      <w:r w:rsidRPr="00A3505C">
        <w:rPr>
          <w:rFonts w:ascii="Times New Roman" w:hAnsi="Times New Roman" w:cs="Times New Roman"/>
          <w:i/>
          <w:sz w:val="24"/>
          <w:szCs w:val="24"/>
        </w:rPr>
        <w:t>EnvTran</w:t>
      </w:r>
      <w:r w:rsidRPr="00A3505C">
        <w:rPr>
          <w:rFonts w:ascii="Times New Roman" w:hAnsi="Times New Roman" w:cs="Times New Roman" w:hint="eastAsia"/>
          <w:i/>
          <w:sz w:val="24"/>
          <w:szCs w:val="24"/>
        </w:rPr>
        <w:t xml:space="preserve"> </w:t>
      </w:r>
      <w:r w:rsidRPr="00A3505C">
        <w:rPr>
          <w:rFonts w:ascii="Times New Roman" w:hAnsi="Times New Roman" w:cs="Times New Roman"/>
          <w:sz w:val="24"/>
          <w:szCs w:val="24"/>
        </w:rPr>
        <w:t>(0.064 and 0.049). This indicates that growth-oriented firms with high environmental transformation are more inclined to generate green revenues and enhance the proportion of green revenues in total revenues.</w:t>
      </w:r>
    </w:p>
    <w:p w14:paraId="3187448F" w14:textId="7E7FA849" w:rsidR="000F7DAA" w:rsidRPr="00D17A2A" w:rsidRDefault="000F7DAA" w:rsidP="000F7DAA">
      <w:pPr>
        <w:adjustRightInd w:val="0"/>
        <w:snapToGrid w:val="0"/>
        <w:spacing w:after="120" w:line="360" w:lineRule="auto"/>
        <w:jc w:val="both"/>
        <w:rPr>
          <w:rFonts w:ascii="Times New Roman" w:hAnsi="Times New Roman" w:cs="Times New Roman"/>
          <w:bCs/>
          <w:i/>
          <w:iCs/>
          <w:sz w:val="24"/>
          <w:szCs w:val="24"/>
        </w:rPr>
      </w:pPr>
      <w:r w:rsidRPr="00D17A2A">
        <w:rPr>
          <w:rFonts w:ascii="Times New Roman" w:hAnsi="Times New Roman" w:cs="Times New Roman"/>
          <w:bCs/>
          <w:i/>
          <w:iCs/>
          <w:sz w:val="24"/>
          <w:szCs w:val="24"/>
        </w:rPr>
        <w:t>5.</w:t>
      </w:r>
      <w:r w:rsidR="00AF5D92" w:rsidRPr="00D17A2A">
        <w:rPr>
          <w:rFonts w:ascii="Times New Roman" w:hAnsi="Times New Roman" w:cs="Times New Roman"/>
          <w:bCs/>
          <w:i/>
          <w:iCs/>
          <w:sz w:val="24"/>
          <w:szCs w:val="24"/>
        </w:rPr>
        <w:t>1.</w:t>
      </w:r>
      <w:r w:rsidRPr="00D17A2A">
        <w:rPr>
          <w:rFonts w:ascii="Times New Roman" w:hAnsi="Times New Roman" w:cs="Times New Roman"/>
          <w:bCs/>
          <w:i/>
          <w:iCs/>
          <w:sz w:val="24"/>
          <w:szCs w:val="24"/>
        </w:rPr>
        <w:t>2 Profit-oriented firms in regions with non-strict environmental regulations</w:t>
      </w:r>
    </w:p>
    <w:p w14:paraId="2D5DEED4"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Stringent environmental regulations can reduce investment uncertainty and stimulate innovations, thereby enhancing resource productivity and achieving win-win situations between environmental and economic performance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&lt;EndNote&gt;&lt;Cite&gt;&lt;Author&gt;Porter&lt;/Author&gt;&lt;Year&gt;1995&lt;/Year&gt;&lt;RecNum&gt;2855&lt;/RecNum&gt;&lt;DisplayText&gt;(Porter and van der Linde, 1995)&lt;/DisplayText&gt;&lt;record&gt;&lt;rec-number&gt;2855&lt;/rec-number&gt;&lt;foreign-keys&gt;&lt;key app="EN" db-id="tt95vv9zf20xf0ewve7x0fsl990xeeasafzs" timestamp="1703231458"&gt;2855&lt;/key&gt;&lt;/foreign-keys&gt;&lt;ref-type name="Journal Article"&gt;17&lt;/ref-type&gt;&lt;contributors&gt;&lt;authors&gt;&lt;author&gt;Porter, M.E.&lt;/author&gt;&lt;author&gt;van der Linde, C.&lt;/author&gt;&lt;/authors&gt;&lt;/contributors&gt;&lt;titles&gt;&lt;title&gt;Toward a new conception of the environment-competitiveness relationship&lt;/title&gt;&lt;secondary-title&gt;Journal of Economic Perspectives&lt;/secondary-title&gt;&lt;/titles&gt;&lt;periodical&gt;&lt;full-title&gt;Journal of Economic Perspectives&lt;/full-title&gt;&lt;abbr-1&gt;J. Econ. Perspect.&lt;/abbr-1&gt;&lt;/periodical&gt;&lt;pages&gt;97-118&lt;/pages&gt;&lt;volume&gt;9&lt;/volume&gt;&lt;number&gt;4&lt;/number&gt;&lt;dates&gt;&lt;year&gt;1995&lt;/year&gt;&lt;/dates&gt;&lt;urls&gt;&lt;related-urls&gt;&lt;url&gt;https://www.jstor.org/stable/2138392&lt;/url&gt;&lt;/related-urls&gt;&lt;/urls&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(Porter and van der Linde, 1995)</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However, firms operating in regions with lax environmental regulations face less regulatory pressure to adopt green-related investments and practices. The absence of stringent regulatory intensity reduces the external pressure for compliance and diminishes the incentive for firms to invest in green patents or practices, thereby reducing green revenues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&lt;EndNote&gt;&lt;Cite&gt;&lt;Author&gt;Qiu&lt;/Author&gt;&lt;Year&gt;2020&lt;/Year&gt;&lt;RecNum&gt;9097&lt;/RecNum&gt;&lt;DisplayText&gt;(Qiu&lt;style face="italic"&gt; et al.&lt;/style&gt;, 2020)&lt;/DisplayText&gt;&lt;record&gt;&lt;rec-number&gt;9097&lt;/rec-number&gt;&lt;foreign-keys&gt;&lt;key app="EN" db-id="tt95vv9zf20xf0ewve7x0fsl990xeeasafzs" timestamp="1710066827"&gt;9097&lt;/key&gt;&lt;/foreign-keys&gt;&lt;ref-type name="Journal Article"&gt;17&lt;/ref-type&gt;&lt;contributors&gt;&lt;authors&gt;&lt;author&gt;Qiu, Lu&lt;/author&gt;&lt;author&gt;Hu, Die&lt;/author&gt;&lt;author&gt;Wang, Yu&lt;/author&gt;&lt;/authors&gt;&lt;/contributors&gt;&lt;titles&gt;&lt;title&gt;How do firms achieve sustainability through green innovation under external pressures of environmental regulation and market turbulence?&lt;/title&gt;&lt;secondary-title&gt;Business Strategy and the Environment&lt;/secondary-title&gt;&lt;/titles&gt;&lt;periodical&gt;&lt;full-title&gt;Business Strategy and the Environment&lt;/full-title&gt;&lt;abbr-1&gt;Bus. Strateg. Environ.&lt;/abbr-1&gt;&lt;/periodical&gt;&lt;pages&gt;2695-2714&lt;/pages&gt;&lt;volume&gt;29&lt;/volume&gt;&lt;number&gt;6&lt;/number&gt;&lt;section&gt;2695&lt;/section&gt;&lt;dates&gt;&lt;year&gt;2020&lt;/year&gt;&lt;/dates&gt;&lt;isbn&gt;0964-4733&amp;#xD;1099-0836&lt;/isbn&gt;&lt;urls&gt;&lt;/urls&gt;&lt;electronic-resource-num&gt;10.1002/bse.2530&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(Qiu</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2020)</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Therefore, we predict that profit-oriented firms headquartered in regions with non-strict environmental regulations are more likely to reduce green revenues than those constrained by strict environmental regulations.</w:t>
      </w:r>
    </w:p>
    <w:p w14:paraId="079FFC6F"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follow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AuthorYear="1"&gt;&lt;Author&gt;Dagestani&lt;/Author&gt;&lt;Year&gt;2023&lt;/Year&gt;&lt;RecNum&gt;9184&lt;/RecNum&gt;&lt;DisplayText&gt;Dagestani&lt;style face="italic"&gt; et al.&lt;/style&gt; (2023)&lt;/DisplayText&gt;&lt;record&gt;&lt;rec-number&gt;9184&lt;/rec-number&gt;&lt;foreign-keys&gt;&lt;key app="EN" db-id="tt95vv9zf20xf0ewve7x0fsl990xeeasafzs" timestamp="1713288239"&gt;9184&lt;/key&gt;&lt;/foreign-keys&gt;&lt;ref-type name="Journal Article"&gt;17&lt;/ref-type&gt;&lt;contributors&gt;&lt;authors&gt;&lt;author&gt;Dagestani, Abd Alwahed&lt;/author&gt;&lt;author&gt;Shang, Yuping&lt;/author&gt;&lt;author&gt;Schneider, Nicolas&lt;/author&gt;&lt;author&gt;Cifuentes-Faura, Javier&lt;/author&gt;&lt;author&gt;Zhao, Xin&lt;/author&gt;&lt;/authors&gt;&lt;/contributors&gt;&lt;titles&gt;&lt;title&gt;Porter in China: A quasi-experimental view of market-based environmental regulation effects on firm performance&lt;/title&gt;&lt;secondary-title&gt;Energy Economics&lt;/secondary-title&gt;&lt;/titles&gt;&lt;periodical&gt;&lt;full-title&gt;Energy Economics&lt;/full-title&gt;&lt;abbr-1&gt;Energy Econ.&lt;/abbr-1&gt;&lt;/periodical&gt;&lt;volume&gt;126&lt;/volume&gt;&lt;section&gt;106966&lt;/section&gt;&lt;dates&gt;&lt;year&gt;2023&lt;/year&gt;&lt;/dates&gt;&lt;isbn&gt;01409883&lt;/isbn&gt;&lt;urls&gt;&lt;/urls&gt;&lt;electronic-resource-num&gt;10.1016/j.eneco.2023.106966&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Dagestani</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(2023)</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to obtain data on the frequency of keywords pertinent to environmental regulations from government annual working reports across diverse jurisdictions. This is a dataset at the province-year level to quantify the intensity of environmental regulation (</w:t>
      </w:r>
      <w:r w:rsidRPr="00A3505C">
        <w:rPr>
          <w:rFonts w:ascii="Times New Roman" w:hAnsi="Times New Roman" w:cs="Times New Roman"/>
          <w:i/>
          <w:sz w:val="24"/>
          <w:szCs w:val="24"/>
        </w:rPr>
        <w:t>ENV</w:t>
      </w:r>
      <w:r w:rsidRPr="00A3505C">
        <w:rPr>
          <w:rFonts w:ascii="Times New Roman" w:hAnsi="Times New Roman" w:cs="Times New Roman"/>
          <w:sz w:val="24"/>
          <w:szCs w:val="24"/>
        </w:rPr>
        <w:t xml:space="preserve">) of different regions. We define regions with high (low) intensity of environmental regulations </w:t>
      </w:r>
      <w:r w:rsidRPr="00A3505C">
        <w:rPr>
          <w:rFonts w:ascii="Times New Roman" w:hAnsi="Times New Roman" w:cs="Times New Roman" w:hint="eastAsia"/>
          <w:sz w:val="24"/>
          <w:szCs w:val="24"/>
        </w:rPr>
        <w:t>if</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ENV</w:t>
      </w:r>
      <w:r w:rsidRPr="00A3505C">
        <w:rPr>
          <w:rFonts w:ascii="Times New Roman" w:hAnsi="Times New Roman" w:cs="Times New Roman"/>
          <w:sz w:val="24"/>
          <w:szCs w:val="24"/>
        </w:rPr>
        <w:t xml:space="preserve"> is above (below) the median. Panel B of Table 6 shows the results of heterogeneity in the intensity of environmental regulations in different regions. We find that the coefficients for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(-0.094 and -0.046) for low </w:t>
      </w:r>
      <w:r w:rsidRPr="00A3505C">
        <w:rPr>
          <w:rFonts w:ascii="Times New Roman" w:hAnsi="Times New Roman" w:cs="Times New Roman"/>
          <w:i/>
          <w:sz w:val="24"/>
          <w:szCs w:val="24"/>
        </w:rPr>
        <w:t>ENV</w:t>
      </w:r>
      <w:r w:rsidRPr="00A3505C">
        <w:rPr>
          <w:rFonts w:ascii="Times New Roman" w:hAnsi="Times New Roman" w:cs="Times New Roman"/>
          <w:sz w:val="24"/>
          <w:szCs w:val="24"/>
        </w:rPr>
        <w:t xml:space="preserve"> are significantly lower than those for high </w:t>
      </w:r>
      <w:r w:rsidRPr="00A3505C">
        <w:rPr>
          <w:rFonts w:ascii="Times New Roman" w:hAnsi="Times New Roman" w:cs="Times New Roman"/>
          <w:i/>
          <w:sz w:val="24"/>
          <w:szCs w:val="24"/>
        </w:rPr>
        <w:t>ENV</w:t>
      </w:r>
      <w:r w:rsidRPr="00A3505C">
        <w:rPr>
          <w:rFonts w:ascii="Times New Roman" w:hAnsi="Times New Roman" w:cs="Times New Roman"/>
          <w:sz w:val="24"/>
          <w:szCs w:val="24"/>
        </w:rPr>
        <w:t xml:space="preserve">. This indicates that profit-oriented firms headquartered in regions with non-strict environmental regulations are less likely to generate green revenues </w:t>
      </w:r>
      <w:r w:rsidRPr="00A3505C">
        <w:rPr>
          <w:rFonts w:ascii="Times New Roman" w:hAnsi="Times New Roman" w:cs="Times New Roman" w:hint="eastAsia"/>
          <w:sz w:val="24"/>
          <w:szCs w:val="24"/>
        </w:rPr>
        <w:t xml:space="preserve">than </w:t>
      </w:r>
      <w:r w:rsidRPr="00A3505C">
        <w:rPr>
          <w:rFonts w:ascii="Times New Roman" w:hAnsi="Times New Roman" w:cs="Times New Roman"/>
          <w:sz w:val="24"/>
          <w:szCs w:val="24"/>
        </w:rPr>
        <w:t>their</w:t>
      </w:r>
      <w:r w:rsidRPr="00A3505C">
        <w:rPr>
          <w:rFonts w:ascii="Times New Roman" w:hAnsi="Times New Roman" w:cs="Times New Roman" w:hint="eastAsia"/>
          <w:sz w:val="24"/>
          <w:szCs w:val="24"/>
        </w:rPr>
        <w:t xml:space="preserve"> counterpart</w:t>
      </w:r>
      <w:r w:rsidRPr="00A3505C">
        <w:rPr>
          <w:rFonts w:ascii="Times New Roman" w:hAnsi="Times New Roman" w:cs="Times New Roman"/>
          <w:sz w:val="24"/>
          <w:szCs w:val="24"/>
        </w:rPr>
        <w:t>.</w:t>
      </w:r>
    </w:p>
    <w:p w14:paraId="1FA3D165" w14:textId="77777777" w:rsidR="000F7DAA" w:rsidRPr="00A3505C" w:rsidRDefault="000F7DAA" w:rsidP="000F7DAA">
      <w:pPr>
        <w:adjustRightInd w:val="0"/>
        <w:snapToGrid w:val="0"/>
        <w:spacing w:after="24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6 Here]</w:t>
      </w:r>
    </w:p>
    <w:p w14:paraId="6AA4C377" w14:textId="1ABCF83D" w:rsidR="000F7DAA" w:rsidRPr="00A3505C" w:rsidRDefault="009C183B" w:rsidP="000F7DAA">
      <w:pPr>
        <w:adjustRightInd w:val="0"/>
        <w:snapToGrid w:val="0"/>
        <w:spacing w:before="120"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5.2</w:t>
      </w:r>
      <w:r w:rsidR="000F7DAA" w:rsidRPr="00A3505C">
        <w:rPr>
          <w:rFonts w:ascii="Times New Roman" w:hAnsi="Times New Roman" w:cs="Times New Roman"/>
          <w:b/>
          <w:sz w:val="24"/>
          <w:szCs w:val="24"/>
        </w:rPr>
        <w:t xml:space="preserve"> </w:t>
      </w:r>
      <w:r w:rsidR="00774702" w:rsidRPr="00A3505C">
        <w:rPr>
          <w:rFonts w:ascii="Times New Roman" w:hAnsi="Times New Roman" w:cs="Times New Roman" w:hint="eastAsia"/>
          <w:b/>
          <w:sz w:val="24"/>
          <w:szCs w:val="24"/>
        </w:rPr>
        <w:t xml:space="preserve">Reputational </w:t>
      </w:r>
      <w:r w:rsidR="00D17A2A" w:rsidRPr="00A3505C">
        <w:rPr>
          <w:rFonts w:ascii="Times New Roman" w:hAnsi="Times New Roman" w:cs="Times New Roman"/>
          <w:b/>
          <w:sz w:val="24"/>
          <w:szCs w:val="24"/>
        </w:rPr>
        <w:t>social outcomes and CSR performance</w:t>
      </w:r>
    </w:p>
    <w:p w14:paraId="4DEB99C6" w14:textId="7E2DBC69" w:rsidR="000F7DAA" w:rsidRPr="00D17A2A" w:rsidRDefault="009C183B" w:rsidP="000F7DAA">
      <w:pPr>
        <w:adjustRightInd w:val="0"/>
        <w:snapToGrid w:val="0"/>
        <w:spacing w:before="120" w:after="120" w:line="240" w:lineRule="auto"/>
        <w:jc w:val="both"/>
        <w:rPr>
          <w:rFonts w:ascii="Times New Roman" w:hAnsi="Times New Roman" w:cs="Times New Roman"/>
          <w:bCs/>
          <w:i/>
          <w:iCs/>
          <w:sz w:val="24"/>
          <w:szCs w:val="24"/>
        </w:rPr>
      </w:pPr>
      <w:r w:rsidRPr="00D17A2A">
        <w:rPr>
          <w:rFonts w:ascii="Times New Roman" w:hAnsi="Times New Roman" w:cs="Times New Roman"/>
          <w:bCs/>
          <w:i/>
          <w:iCs/>
          <w:sz w:val="24"/>
          <w:szCs w:val="24"/>
        </w:rPr>
        <w:t>5.2</w:t>
      </w:r>
      <w:r w:rsidR="000F7DAA" w:rsidRPr="00D17A2A">
        <w:rPr>
          <w:rFonts w:ascii="Times New Roman" w:hAnsi="Times New Roman" w:cs="Times New Roman"/>
          <w:bCs/>
          <w:i/>
          <w:iCs/>
          <w:sz w:val="24"/>
          <w:szCs w:val="24"/>
        </w:rPr>
        <w:t xml:space="preserve">.1 Green revenues, growth-oriented firms, and </w:t>
      </w:r>
      <w:r w:rsidR="00C04851" w:rsidRPr="00D17A2A">
        <w:rPr>
          <w:rFonts w:ascii="Times New Roman" w:hAnsi="Times New Roman" w:cs="Times New Roman" w:hint="eastAsia"/>
          <w:bCs/>
          <w:i/>
          <w:iCs/>
          <w:sz w:val="24"/>
          <w:szCs w:val="24"/>
        </w:rPr>
        <w:t xml:space="preserve">reputational </w:t>
      </w:r>
      <w:r w:rsidR="000F7DAA" w:rsidRPr="00D17A2A">
        <w:rPr>
          <w:rFonts w:ascii="Times New Roman" w:hAnsi="Times New Roman" w:cs="Times New Roman"/>
          <w:bCs/>
          <w:i/>
          <w:iCs/>
          <w:sz w:val="24"/>
          <w:szCs w:val="24"/>
        </w:rPr>
        <w:t xml:space="preserve">social </w:t>
      </w:r>
      <w:r w:rsidR="00C04851" w:rsidRPr="00D17A2A">
        <w:rPr>
          <w:rFonts w:ascii="Times New Roman" w:hAnsi="Times New Roman" w:cs="Times New Roman" w:hint="eastAsia"/>
          <w:bCs/>
          <w:i/>
          <w:iCs/>
          <w:sz w:val="24"/>
          <w:szCs w:val="24"/>
        </w:rPr>
        <w:t>outcomes</w:t>
      </w:r>
      <w:r w:rsidR="000F7DAA" w:rsidRPr="00D17A2A">
        <w:rPr>
          <w:rFonts w:ascii="Times New Roman" w:hAnsi="Times New Roman" w:cs="Times New Roman"/>
          <w:bCs/>
          <w:i/>
          <w:iCs/>
          <w:sz w:val="24"/>
          <w:szCs w:val="24"/>
        </w:rPr>
        <w:t xml:space="preserve"> </w:t>
      </w:r>
    </w:p>
    <w:p w14:paraId="62773032" w14:textId="14CBDED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hint="eastAsia"/>
          <w:sz w:val="24"/>
          <w:szCs w:val="24"/>
        </w:rPr>
        <w:t>F</w:t>
      </w:r>
      <w:r w:rsidRPr="00A3505C">
        <w:rPr>
          <w:rFonts w:ascii="Times New Roman" w:hAnsi="Times New Roman" w:cs="Times New Roman"/>
          <w:sz w:val="24"/>
          <w:szCs w:val="24"/>
        </w:rPr>
        <w:t xml:space="preserve">irms with different strategic orientations vary in their ability to generate green revenues, which constitute a critical link between economic and environmental performance (Cao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xml:space="preserve">., 2025c). Building on the view that sustainable development is unattainable if any </w:t>
      </w:r>
      <w:r w:rsidR="0070617C" w:rsidRPr="00A3505C">
        <w:rPr>
          <w:rFonts w:ascii="Times New Roman" w:hAnsi="Times New Roman" w:cs="Times New Roman"/>
          <w:sz w:val="24"/>
          <w:szCs w:val="24"/>
        </w:rPr>
        <w:t xml:space="preserve">of the </w:t>
      </w:r>
      <w:r w:rsidRPr="00A3505C">
        <w:rPr>
          <w:rFonts w:ascii="Times New Roman" w:hAnsi="Times New Roman" w:cs="Times New Roman"/>
          <w:sz w:val="24"/>
          <w:szCs w:val="24"/>
        </w:rPr>
        <w:t xml:space="preserve">three </w:t>
      </w:r>
      <w:r w:rsidRPr="00A3505C">
        <w:rPr>
          <w:rFonts w:ascii="Times New Roman" w:hAnsi="Times New Roman" w:cs="Times New Roman"/>
          <w:sz w:val="24"/>
          <w:szCs w:val="24"/>
        </w:rPr>
        <w:lastRenderedPageBreak/>
        <w:t xml:space="preserve">pillars: environmental integrity, social equity, or economic prosperity is compromised (Bansal, 2005), </w:t>
      </w:r>
      <w:r w:rsidRPr="00A3505C">
        <w:rPr>
          <w:rFonts w:ascii="Times New Roman" w:hAnsi="Times New Roman" w:cs="Times New Roman" w:hint="eastAsia"/>
          <w:sz w:val="24"/>
          <w:szCs w:val="24"/>
        </w:rPr>
        <w:t>we thus</w:t>
      </w:r>
      <w:r w:rsidRPr="00A3505C">
        <w:rPr>
          <w:rFonts w:ascii="Times New Roman" w:hAnsi="Times New Roman" w:cs="Times New Roman"/>
          <w:sz w:val="24"/>
          <w:szCs w:val="24"/>
        </w:rPr>
        <w:t xml:space="preserve"> investigate how green revenues generated by growth-oriented firms influence their social performance.</w:t>
      </w:r>
    </w:p>
    <w:p w14:paraId="1180E441" w14:textId="78C61C8B"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measure the firm’s </w:t>
      </w:r>
      <w:r w:rsidR="00774702" w:rsidRPr="00A3505C">
        <w:rPr>
          <w:rFonts w:ascii="Times New Roman" w:hAnsi="Times New Roman" w:cs="Times New Roman" w:hint="eastAsia"/>
          <w:sz w:val="24"/>
          <w:szCs w:val="24"/>
        </w:rPr>
        <w:t xml:space="preserve">reputational </w:t>
      </w:r>
      <w:r w:rsidRPr="00A3505C">
        <w:rPr>
          <w:rFonts w:ascii="Times New Roman" w:hAnsi="Times New Roman" w:cs="Times New Roman"/>
          <w:sz w:val="24"/>
          <w:szCs w:val="24"/>
        </w:rPr>
        <w:t xml:space="preserve">social performance </w:t>
      </w:r>
      <w:r w:rsidR="00EF581D">
        <w:rPr>
          <w:rFonts w:ascii="Times New Roman" w:hAnsi="Times New Roman" w:cs="Times New Roman" w:hint="eastAsia"/>
          <w:sz w:val="24"/>
          <w:szCs w:val="24"/>
        </w:rPr>
        <w:t>using</w:t>
      </w:r>
      <w:r w:rsidRPr="00A3505C">
        <w:rPr>
          <w:rFonts w:ascii="Times New Roman" w:hAnsi="Times New Roman" w:cs="Times New Roman"/>
          <w:sz w:val="24"/>
          <w:szCs w:val="24"/>
        </w:rPr>
        <w:t xml:space="preserve"> the number of annual positive news reports</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Hidden="1"&gt;&lt;Author&gt;Dorobantu&lt;/Author&gt;&lt;Year&gt;2017&lt;/Year&gt;&lt;RecNum&gt;9185&lt;/RecNum&gt;&lt;record&gt;&lt;rec-number&gt;9185&lt;/rec-number&gt;&lt;foreign-keys&gt;&lt;key app="EN" db-id="tt95vv9zf20xf0ewve7x0fsl990xeeasafzs" timestamp="1713288414"&gt;9185&lt;/key&gt;&lt;/foreign-keys&gt;&lt;ref-type name="Journal Article"&gt;17&lt;/ref-type&gt;&lt;contributors&gt;&lt;authors&gt;&lt;author&gt;Dorobantu, Sinziana&lt;/author&gt;&lt;author&gt;Henisz, Witold J.&lt;/author&gt;&lt;author&gt;Nartey, Lite&lt;/author&gt;&lt;/authors&gt;&lt;/contributors&gt;&lt;titles&gt;&lt;title&gt;Not all sparks light a fire: Stakeholder and shareholder reactions to critical events in contested markets&lt;/title&gt;&lt;secondary-title&gt;Administrative Science Quarterly&lt;/secondary-title&gt;&lt;/titles&gt;&lt;periodical&gt;&lt;full-title&gt;Administrative Science Quarterly&lt;/full-title&gt;&lt;abbr-1&gt;Admin. Sci. Q.&lt;/abbr-1&gt;&lt;/periodical&gt;&lt;pages&gt;561-597&lt;/pages&gt;&lt;volume&gt;62&lt;/volume&gt;&lt;number&gt;3&lt;/number&gt;&lt;section&gt;561&lt;/section&gt;&lt;dates&gt;&lt;year&gt;2017&lt;/year&gt;&lt;/dates&gt;&lt;isbn&gt;0001-8392&amp;#xD;1930-3815&lt;/isbn&gt;&lt;urls&gt;&lt;/urls&gt;&lt;electronic-resource-num&gt;10.1177/0001839216687743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sz w:val="24"/>
          <w:szCs w:val="24"/>
        </w:rPr>
        <w:fldChar w:fldCharType="end"/>
      </w:r>
      <w:r w:rsidRPr="00A3505C">
        <w:rPr>
          <w:rStyle w:val="FootnoteReference"/>
          <w:rFonts w:ascii="Times New Roman" w:hAnsi="Times New Roman" w:cs="Times New Roman"/>
          <w:sz w:val="24"/>
          <w:szCs w:val="24"/>
        </w:rPr>
        <w:footnoteReference w:id="13"/>
      </w:r>
      <w:r w:rsidRPr="00A3505C">
        <w:rPr>
          <w:rFonts w:ascii="Times New Roman" w:hAnsi="Times New Roman" w:cs="Times New Roman"/>
          <w:sz w:val="24"/>
          <w:szCs w:val="24"/>
        </w:rPr>
        <w:t xml:space="preserve"> </w:t>
      </w:r>
      <w:r w:rsidR="00774702" w:rsidRPr="00A3505C">
        <w:rPr>
          <w:rFonts w:ascii="Times New Roman" w:hAnsi="Times New Roman" w:cs="Times New Roman" w:hint="eastAsia"/>
          <w:sz w:val="24"/>
          <w:szCs w:val="24"/>
        </w:rPr>
        <w:t>as</w:t>
      </w:r>
      <w:r w:rsidRPr="00A3505C">
        <w:rPr>
          <w:rFonts w:ascii="Times New Roman" w:hAnsi="Times New Roman" w:cs="Times New Roman"/>
          <w:sz w:val="24"/>
          <w:szCs w:val="24"/>
        </w:rPr>
        <w:t xml:space="preserve"> </w:t>
      </w:r>
      <w:r w:rsidR="00774702" w:rsidRPr="00A3505C">
        <w:rPr>
          <w:rFonts w:ascii="Times New Roman" w:hAnsi="Times New Roman" w:cs="Times New Roman"/>
          <w:sz w:val="24"/>
          <w:szCs w:val="24"/>
        </w:rPr>
        <w:t xml:space="preserve">media coverage influences public trust within local communities by shaping perceptions and heightening emotional engagement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&lt;EndNote&gt;&lt;Cite&gt;&lt;Author&gt;Engdahl&lt;/Author&gt;&lt;Year&gt;2014&lt;/Year&gt;&lt;RecNum&gt;9186&lt;/RecNum&gt;&lt;DisplayText&gt;(Engdahl and Lidskog, 2014)&lt;/DisplayText&gt;&lt;record&gt;&lt;rec-number&gt;9186&lt;/rec-number&gt;&lt;foreign-keys&gt;&lt;key app="EN" db-id="tt95vv9zf20xf0ewve7x0fsl990xeeasafzs" timestamp="1713288621"&gt;9186&lt;/key&gt;&lt;/foreign-keys&gt;&lt;ref-type name="Journal Article"&gt;17&lt;/ref-type&gt;&lt;contributors&gt;&lt;authors&gt;&lt;author&gt;Engdahl, E.&lt;/author&gt;&lt;author&gt;Lidskog, R.&lt;/author&gt;&lt;/authors&gt;&lt;/contributors&gt;&lt;titles&gt;&lt;title&gt;Risk, communication and trust: Towards an emotional understanding of trust&lt;/title&gt;&lt;secondary-title&gt;Public Understanding of Science&lt;/secondary-title&gt;&lt;/titles&gt;&lt;periodical&gt;&lt;full-title&gt;Public Understanding of Science&lt;/full-title&gt;&lt;/periodical&gt;&lt;pages&gt;703-17&lt;/pages&gt;&lt;volume&gt;23&lt;/volume&gt;&lt;number&gt;6&lt;/number&gt;&lt;keywords&gt;&lt;keyword&gt;*Communication&lt;/keyword&gt;&lt;keyword&gt;*Emotions&lt;/keyword&gt;&lt;keyword&gt;Humans&lt;/keyword&gt;&lt;keyword&gt;*Risk&lt;/keyword&gt;&lt;keyword&gt;*Trust&lt;/keyword&gt;&lt;/keywords&gt;&lt;dates&gt;&lt;year&gt;2014&lt;/year&gt;&lt;pub-dates&gt;&lt;date&gt;Aug&lt;/date&gt;&lt;/pub-dates&gt;&lt;/dates&gt;&lt;isbn&gt;0963-6625 (Print)&amp;#xD;0963-6625 (Linking)&lt;/isbn&gt;&lt;accession-num&gt;25414929&lt;/accession-num&gt;&lt;urls&gt;&lt;related-urls&gt;&lt;url&gt;https://www.ncbi.nlm.nih.gov/pubmed/25414929&lt;/url&gt;&lt;/related-urls&gt;&lt;/urls&gt;&lt;electronic-resource-num&gt;10.1177/0963662512460953&lt;/electronic-resource-num&gt;&lt;remote-database-name&gt;Medline&lt;/remote-database-name&gt;&lt;remote-database-provider&gt;NLM&lt;/remote-database-provider&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(Engdahl and Lidskog, 2014)</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w:t>
      </w:r>
      <w:r w:rsidRPr="00A3505C">
        <w:rPr>
          <w:rStyle w:val="FootnoteReference"/>
          <w:rFonts w:ascii="Times New Roman" w:hAnsi="Times New Roman" w:cs="Times New Roman"/>
          <w:sz w:val="24"/>
          <w:szCs w:val="24"/>
        </w:rPr>
        <w:footnoteReference w:id="14"/>
      </w:r>
      <w:r w:rsidRPr="00A3505C">
        <w:rPr>
          <w:rFonts w:ascii="Times New Roman" w:hAnsi="Times New Roman" w:cs="Times New Roman"/>
          <w:sz w:val="24"/>
          <w:szCs w:val="24"/>
        </w:rPr>
        <w:t xml:space="preserve">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AuthorYear="1"&gt;&lt;Author&gt;Ho&lt;/Author&gt;&lt;Year&gt;2022&lt;/Year&gt;&lt;RecNum&gt;9187&lt;/RecNum&gt;&lt;DisplayText&gt;Ho&lt;style face="italic"&gt; et al.&lt;/style&gt; (2022)&lt;/DisplayText&gt;&lt;record&gt;&lt;rec-number&gt;9187&lt;/rec-number&gt;&lt;foreign-keys&gt;&lt;key app="EN" db-id="tt95vv9zf20xf0ewve7x0fsl990xeeasafzs" timestamp="1713288726"&gt;9187&lt;/key&gt;&lt;/foreign-keys&gt;&lt;ref-type name="Journal Article"&gt;17&lt;/ref-type&gt;&lt;contributors&gt;&lt;authors&gt;&lt;author&gt;Ho, Shuna Shu Ham&lt;/author&gt;&lt;author&gt;Oh, Chang Hoon&lt;/author&gt;&lt;author&gt;Shapiro, Daniel&lt;/author&gt;&lt;/authors&gt;&lt;/contributors&gt;&lt;titles&gt;&lt;title&gt;Can corporate social responsibility lead to social license? A sentiment and emotion analysis&lt;/title&gt;&lt;secondary-title&gt;Journal of Management Studies&lt;/secondary-title&gt;&lt;/titles&gt;&lt;periodical&gt;&lt;full-title&gt;Journal of Management Studies&lt;/full-title&gt;&lt;abbr-1&gt;J. Manag. Stud.&lt;/abbr-1&gt;&lt;/periodical&gt;&lt;pages&gt;445-476&lt;/pages&gt;&lt;volume&gt;61&lt;/volume&gt;&lt;number&gt;2&lt;/number&gt;&lt;section&gt;445&lt;/section&gt;&lt;dates&gt;&lt;year&gt;2022&lt;/year&gt;&lt;/dates&gt;&lt;isbn&gt;0022-2380&amp;#xD;1467-6486&lt;/isbn&gt;&lt;urls&gt;&lt;/urls&gt;&lt;electronic-resource-num&gt;10.1111/joms.12863&lt;/electronic-resource-num&gt;&lt;/record&gt;&lt;/Cite&gt;&lt;/EndNote&gt;</w:instrText>
      </w:r>
      <w:r w:rsidRPr="00A3505C">
        <w:rPr>
          <w:rFonts w:ascii="Times New Roman" w:hAnsi="Times New Roman" w:cs="Times New Roman"/>
          <w:sz w:val="24"/>
          <w:szCs w:val="24"/>
        </w:rPr>
        <w:fldChar w:fldCharType="separate"/>
      </w:r>
      <w:bookmarkStart w:id="3" w:name="_Hlk215578061"/>
      <w:r w:rsidRPr="00A3505C">
        <w:rPr>
          <w:rFonts w:ascii="Times New Roman" w:hAnsi="Times New Roman" w:cs="Times New Roman"/>
          <w:noProof/>
          <w:sz w:val="24"/>
          <w:szCs w:val="24"/>
        </w:rPr>
        <w:t>Ho</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(2022</w:t>
      </w:r>
      <w:bookmarkEnd w:id="3"/>
      <w:r w:rsidRPr="00A3505C">
        <w:rPr>
          <w:rFonts w:ascii="Times New Roman" w:hAnsi="Times New Roman" w:cs="Times New Roman"/>
          <w:noProof/>
          <w:sz w:val="24"/>
          <w:szCs w:val="24"/>
        </w:rPr>
        <w:t>)</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employ the emotional intensity within news articles as a proxy for firms’ social performance. </w:t>
      </w:r>
      <w:r w:rsidR="0075684A">
        <w:rPr>
          <w:rFonts w:ascii="Times New Roman" w:hAnsi="Times New Roman" w:cs="Times New Roman" w:hint="eastAsia"/>
          <w:sz w:val="24"/>
          <w:szCs w:val="24"/>
        </w:rPr>
        <w:t>V</w:t>
      </w:r>
      <w:r w:rsidRPr="00A3505C">
        <w:rPr>
          <w:rFonts w:ascii="Times New Roman" w:hAnsi="Times New Roman" w:cs="Times New Roman"/>
          <w:sz w:val="24"/>
          <w:szCs w:val="24"/>
        </w:rPr>
        <w:t xml:space="preserve">arious shareholders consider news articles as an important source of information when assessing a firm’s business practices and operating procedures </w:t>
      </w:r>
      <w:r w:rsidRPr="00A3505C">
        <w:rPr>
          <w:rFonts w:ascii="Times New Roman" w:hAnsi="Times New Roman" w:cs="Times New Roman"/>
          <w:sz w:val="24"/>
          <w:szCs w:val="24"/>
        </w:rPr>
        <w:fldChar w:fldCharType="begin">
          <w:fldData xml:space="preserve">PEVuZE5vdGU+PENpdGU+PEF1dGhvcj5Gb21icnVuPC9BdXRob3I+PFllYXI+MTk5MDwvWWVhcj48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==
</w:fldData>
        </w:fldChar>
      </w:r>
      <w:r w:rsidRPr="00A3505C">
        <w:rPr>
          <w:rFonts w:ascii="Times New Roman" w:hAnsi="Times New Roman" w:cs="Times New Roman"/>
          <w:sz w:val="24"/>
          <w:szCs w:val="24"/>
        </w:rPr>
        <w:instrText xml:space="preserve"> ADDIN EN.CITE </w:instrText>
      </w:r>
      <w:r w:rsidRPr="00A3505C">
        <w:rPr>
          <w:rFonts w:ascii="Times New Roman" w:hAnsi="Times New Roman" w:cs="Times New Roman"/>
          <w:sz w:val="24"/>
          <w:szCs w:val="24"/>
        </w:rPr>
        <w:fldChar w:fldCharType="begin">
          <w:fldData xml:space="preserve">PEVuZE5vdGU+PENpdGU+PEF1dGhvcj5Gb21icnVuPC9BdXRob3I+PFllYXI+MTk5MDwvWWVhcj48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==
</w:fldData>
        </w:fldChar>
      </w:r>
      <w:r w:rsidRPr="00A3505C">
        <w:rPr>
          <w:rFonts w:ascii="Times New Roman" w:hAnsi="Times New Roman" w:cs="Times New Roman"/>
          <w:sz w:val="24"/>
          <w:szCs w:val="24"/>
        </w:rPr>
        <w:instrText xml:space="preserve"> ADDIN EN.CITE.DATA </w:instrText>
      </w:r>
      <w:r w:rsidRPr="00A3505C">
        <w:rPr>
          <w:rFonts w:ascii="Times New Roman" w:hAnsi="Times New Roman" w:cs="Times New Roman"/>
          <w:sz w:val="24"/>
          <w:szCs w:val="24"/>
        </w:rPr>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(Dyck</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2008; Ang</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2021)</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The sentiments expressed on news article platforms can provide real-time insights into public perceptions and emerging issues that might reflect a firm’s social performance.</w:t>
      </w:r>
      <w:r w:rsidR="00774702" w:rsidRPr="00A3505C">
        <w:rPr>
          <w:rStyle w:val="FootnoteReference"/>
          <w:rFonts w:ascii="Times New Roman" w:hAnsi="Times New Roman" w:cs="Times New Roman"/>
          <w:sz w:val="24"/>
          <w:szCs w:val="24"/>
        </w:rPr>
        <w:footnoteReference w:id="15"/>
      </w:r>
      <w:r w:rsidRPr="00A3505C">
        <w:rPr>
          <w:rFonts w:ascii="Times New Roman" w:hAnsi="Times New Roman" w:cs="Times New Roman"/>
          <w:sz w:val="24"/>
          <w:szCs w:val="24"/>
        </w:rPr>
        <w:t xml:space="preserve"> </w:t>
      </w:r>
    </w:p>
    <w:p w14:paraId="18C14F48" w14:textId="0A434DC8"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w:t>
      </w:r>
      <w:r w:rsidRPr="00A3505C">
        <w:rPr>
          <w:rFonts w:ascii="Times New Roman" w:hAnsi="Times New Roman" w:cs="Times New Roman" w:hint="eastAsia"/>
          <w:sz w:val="24"/>
          <w:szCs w:val="24"/>
        </w:rPr>
        <w:t>capture</w:t>
      </w:r>
      <w:r w:rsidRPr="00A3505C">
        <w:rPr>
          <w:rFonts w:ascii="Times New Roman" w:hAnsi="Times New Roman" w:cs="Times New Roman"/>
          <w:sz w:val="24"/>
          <w:szCs w:val="24"/>
        </w:rPr>
        <w:t xml:space="preserve"> a firm’s positive news reports (</w:t>
      </w:r>
      <w:r w:rsidRPr="00A3505C">
        <w:rPr>
          <w:rFonts w:ascii="Times New Roman" w:hAnsi="Times New Roman" w:cs="Times New Roman"/>
          <w:i/>
          <w:sz w:val="24"/>
          <w:szCs w:val="24"/>
        </w:rPr>
        <w:t>News Reports</w:t>
      </w:r>
      <w:r w:rsidRPr="00A3505C">
        <w:rPr>
          <w:rFonts w:ascii="Times New Roman" w:hAnsi="Times New Roman" w:cs="Times New Roman"/>
          <w:sz w:val="24"/>
          <w:szCs w:val="24"/>
        </w:rPr>
        <w:t xml:space="preserve">) as the logarithmic value of one plus the number of original positive news </w:t>
      </w:r>
      <w:r w:rsidR="006B22FA">
        <w:rPr>
          <w:rFonts w:ascii="Times New Roman" w:hAnsi="Times New Roman" w:cs="Times New Roman"/>
          <w:sz w:val="24"/>
          <w:szCs w:val="24"/>
        </w:rPr>
        <w:t xml:space="preserve">reports </w:t>
      </w:r>
      <w:r w:rsidRPr="00A3505C">
        <w:rPr>
          <w:rFonts w:ascii="Times New Roman" w:hAnsi="Times New Roman" w:cs="Times New Roman"/>
          <w:sz w:val="24"/>
          <w:szCs w:val="24"/>
        </w:rPr>
        <w:t>about the firm in financial newspapers and social media platforms. We obtain firms’ annual positive news from the China Economic News Library in China Inforbank.</w:t>
      </w:r>
      <w:r w:rsidRPr="00A3505C">
        <w:rPr>
          <w:rStyle w:val="FootnoteReference"/>
          <w:rFonts w:ascii="Times New Roman" w:hAnsi="Times New Roman" w:cs="Times New Roman"/>
          <w:sz w:val="24"/>
          <w:szCs w:val="24"/>
        </w:rPr>
        <w:footnoteReference w:id="16"/>
      </w:r>
      <w:r w:rsidRPr="00A3505C">
        <w:rPr>
          <w:rFonts w:ascii="Times New Roman" w:hAnsi="Times New Roman" w:cs="Times New Roman"/>
          <w:sz w:val="24"/>
          <w:szCs w:val="24"/>
        </w:rPr>
        <w:t xml:space="preserve"> Thus, the higher values of </w:t>
      </w:r>
      <w:r w:rsidRPr="00A3505C">
        <w:rPr>
          <w:rFonts w:ascii="Times New Roman" w:hAnsi="Times New Roman" w:cs="Times New Roman"/>
          <w:i/>
          <w:sz w:val="24"/>
          <w:szCs w:val="24"/>
        </w:rPr>
        <w:t>News Reports</w:t>
      </w:r>
      <w:r w:rsidRPr="00A3505C">
        <w:rPr>
          <w:rFonts w:ascii="Times New Roman" w:hAnsi="Times New Roman" w:cs="Times New Roman"/>
          <w:sz w:val="24"/>
          <w:szCs w:val="24"/>
        </w:rPr>
        <w:t xml:space="preserve"> signify the greater social performance related to public views.</w:t>
      </w:r>
    </w:p>
    <w:p w14:paraId="4B0B4370"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Column (1) of Table 7 reports the results of the impact of growth-oriented firms and their augmented green revenues on social performance related to public news. We find that the coefficient on the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 </w:t>
      </w:r>
      <w:r w:rsidRPr="00A3505C">
        <w:rPr>
          <w:rFonts w:ascii="Times New Roman" w:hAnsi="Times New Roman" w:cs="Times New Roman"/>
          <w:i/>
          <w:sz w:val="24"/>
          <w:szCs w:val="24"/>
        </w:rPr>
        <w:t xml:space="preserve">Green </w:t>
      </w:r>
      <w:r w:rsidRPr="00A3505C">
        <w:rPr>
          <w:rFonts w:ascii="Times New Roman" w:hAnsi="Times New Roman" w:cs="Times New Roman"/>
          <w:i/>
          <w:iCs/>
          <w:sz w:val="24"/>
          <w:szCs w:val="24"/>
        </w:rPr>
        <w:t>Revenues Ratio</w:t>
      </w:r>
      <w:r w:rsidRPr="00A3505C">
        <w:rPr>
          <w:rFonts w:ascii="Times New Roman" w:hAnsi="Times New Roman" w:cs="Times New Roman"/>
          <w:sz w:val="24"/>
          <w:szCs w:val="24"/>
        </w:rPr>
        <w:t xml:space="preserve"> is positive and significant at the 1% and 5% levels.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coefficient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 </w:t>
      </w:r>
      <w:r w:rsidRPr="00A3505C">
        <w:rPr>
          <w:rFonts w:ascii="Times New Roman" w:hAnsi="Times New Roman" w:cs="Times New Roman"/>
          <w:i/>
          <w:sz w:val="24"/>
          <w:szCs w:val="24"/>
        </w:rPr>
        <w:t xml:space="preserve">Green </w:t>
      </w:r>
      <w:r w:rsidRPr="00A3505C">
        <w:rPr>
          <w:rFonts w:ascii="Times New Roman" w:hAnsi="Times New Roman" w:cs="Times New Roman"/>
          <w:i/>
          <w:iCs/>
          <w:sz w:val="24"/>
          <w:szCs w:val="24"/>
        </w:rPr>
        <w:t>Revenues Ratio</w:t>
      </w:r>
      <w:r w:rsidRPr="00A3505C">
        <w:rPr>
          <w:rFonts w:ascii="Times New Roman" w:hAnsi="Times New Roman" w:cs="Times New Roman"/>
          <w:sz w:val="24"/>
          <w:szCs w:val="24"/>
        </w:rPr>
        <w:t xml:space="preserve"> is significantly larger than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These findings indicate that, relative to profit-oriented and neither-nor-oriented firms, growth-oriented firms are generally less likely to achieve higher levels of social </w:t>
      </w:r>
      <w:r w:rsidRPr="00A3505C">
        <w:rPr>
          <w:rFonts w:ascii="Times New Roman" w:hAnsi="Times New Roman" w:cs="Times New Roman"/>
          <w:sz w:val="24"/>
          <w:szCs w:val="24"/>
        </w:rPr>
        <w:lastRenderedPageBreak/>
        <w:t>performance. However, growth-oriented firms that generate green revenues or have a higher proportion of green revenues are more likely to exhibit superior social performance.</w:t>
      </w:r>
    </w:p>
    <w:p w14:paraId="0A270811" w14:textId="73A0CFB4" w:rsidR="000F7DAA" w:rsidRPr="00D17A2A" w:rsidRDefault="009C183B" w:rsidP="000F7DAA">
      <w:pPr>
        <w:adjustRightInd w:val="0"/>
        <w:snapToGrid w:val="0"/>
        <w:spacing w:before="120" w:after="120" w:line="240" w:lineRule="auto"/>
        <w:jc w:val="both"/>
        <w:rPr>
          <w:rFonts w:ascii="Times New Roman" w:hAnsi="Times New Roman" w:cs="Times New Roman"/>
          <w:bCs/>
          <w:i/>
          <w:iCs/>
          <w:sz w:val="24"/>
          <w:szCs w:val="24"/>
        </w:rPr>
      </w:pPr>
      <w:r w:rsidRPr="00D17A2A">
        <w:rPr>
          <w:rFonts w:ascii="Times New Roman" w:hAnsi="Times New Roman" w:cs="Times New Roman"/>
          <w:bCs/>
          <w:i/>
          <w:iCs/>
          <w:sz w:val="24"/>
          <w:szCs w:val="24"/>
        </w:rPr>
        <w:t>5</w:t>
      </w:r>
      <w:r w:rsidR="000F7DAA" w:rsidRPr="00D17A2A">
        <w:rPr>
          <w:rFonts w:ascii="Times New Roman" w:hAnsi="Times New Roman" w:cs="Times New Roman"/>
          <w:bCs/>
          <w:i/>
          <w:iCs/>
          <w:sz w:val="24"/>
          <w:szCs w:val="24"/>
        </w:rPr>
        <w:t>.2</w:t>
      </w:r>
      <w:r w:rsidRPr="00D17A2A">
        <w:rPr>
          <w:rFonts w:ascii="Times New Roman" w:hAnsi="Times New Roman" w:cs="Times New Roman"/>
          <w:bCs/>
          <w:i/>
          <w:iCs/>
          <w:sz w:val="24"/>
          <w:szCs w:val="24"/>
        </w:rPr>
        <w:t>.2</w:t>
      </w:r>
      <w:r w:rsidR="000F7DAA" w:rsidRPr="00D17A2A">
        <w:rPr>
          <w:rFonts w:ascii="Times New Roman" w:hAnsi="Times New Roman" w:cs="Times New Roman"/>
          <w:bCs/>
          <w:i/>
          <w:iCs/>
          <w:sz w:val="24"/>
          <w:szCs w:val="24"/>
        </w:rPr>
        <w:t xml:space="preserve"> Green revenues, growth-oriented firms, and firms’ overall CSR performance </w:t>
      </w:r>
    </w:p>
    <w:p w14:paraId="74BC61A8" w14:textId="198B85D7" w:rsidR="000F7DAA" w:rsidRPr="00A3505C" w:rsidRDefault="000F7DAA" w:rsidP="005D2ED8">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We further investigate how green revenues generated by growth-oriented firms comprehensively influence their overall CSR performance. We first construct the variables of firms’ CSR performance by using eleven indicator variables. Each dummy variable equals one if firm-year observations disclose specific information, and zero otherwise. </w:t>
      </w:r>
      <w:r w:rsidRPr="00A3505C">
        <w:rPr>
          <w:rFonts w:ascii="Times New Roman" w:hAnsi="Times New Roman" w:cs="Times New Roman"/>
          <w:i/>
          <w:iCs/>
          <w:sz w:val="24"/>
          <w:szCs w:val="24"/>
        </w:rPr>
        <w:t xml:space="preserve">CSR Performance </w:t>
      </w:r>
      <w:r w:rsidRPr="00A3505C">
        <w:rPr>
          <w:rFonts w:ascii="Times New Roman" w:hAnsi="Times New Roman" w:cs="Times New Roman"/>
          <w:sz w:val="24"/>
          <w:szCs w:val="24"/>
        </w:rPr>
        <w:t>is equivalent to the accumulated value of these dummy variables. Second, we construct the variable of firms’ real sustainable activities. We obtain data on diverse CSR activities from the CSMAR database, which provides twelve distinct CSR activities undertaken by firms. Each variable is assigned a value of one if the firm engages in the activity during a given year, and zero otherwise. We construct a comprehensive CSR activities index (</w:t>
      </w:r>
      <w:r w:rsidRPr="00A3505C">
        <w:rPr>
          <w:rFonts w:ascii="Times New Roman" w:hAnsi="Times New Roman" w:cs="Times New Roman"/>
          <w:i/>
          <w:iCs/>
          <w:sz w:val="24"/>
          <w:szCs w:val="24"/>
        </w:rPr>
        <w:t>CSR Activities</w:t>
      </w:r>
      <w:r w:rsidRPr="00A3505C">
        <w:rPr>
          <w:rFonts w:ascii="Times New Roman" w:hAnsi="Times New Roman" w:cs="Times New Roman"/>
          <w:sz w:val="24"/>
          <w:szCs w:val="24"/>
        </w:rPr>
        <w:t xml:space="preserve">) by summing these twelve indicators, providing an overall measure of firms’ actual commitment to sustainable activities. The higher values of </w:t>
      </w:r>
      <w:r w:rsidRPr="00A3505C">
        <w:rPr>
          <w:rFonts w:ascii="Times New Roman" w:hAnsi="Times New Roman" w:cs="Times New Roman"/>
          <w:i/>
          <w:iCs/>
          <w:sz w:val="24"/>
          <w:szCs w:val="24"/>
        </w:rPr>
        <w:t>CSR Activities</w:t>
      </w:r>
      <w:r w:rsidRPr="00A3505C">
        <w:rPr>
          <w:rFonts w:ascii="Times New Roman" w:hAnsi="Times New Roman" w:cs="Times New Roman"/>
          <w:sz w:val="24"/>
          <w:szCs w:val="24"/>
        </w:rPr>
        <w:t xml:space="preserve"> imply greater social performance related to real CSR activities.</w:t>
      </w:r>
    </w:p>
    <w:p w14:paraId="79FB5A92" w14:textId="7777777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Third, we </w:t>
      </w:r>
      <w:r w:rsidRPr="00A3505C">
        <w:rPr>
          <w:rFonts w:ascii="Times New Roman" w:hAnsi="Times New Roman" w:cs="Times New Roman" w:hint="eastAsia"/>
          <w:sz w:val="24"/>
          <w:szCs w:val="24"/>
        </w:rPr>
        <w:t>further</w:t>
      </w:r>
      <w:r w:rsidRPr="00A3505C">
        <w:rPr>
          <w:rFonts w:ascii="Times New Roman" w:hAnsi="Times New Roman" w:cs="Times New Roman"/>
          <w:sz w:val="24"/>
          <w:szCs w:val="24"/>
        </w:rPr>
        <w:t xml:space="preserve"> use the CSR performance scores (</w:t>
      </w:r>
      <w:r w:rsidRPr="00A3505C">
        <w:rPr>
          <w:rFonts w:ascii="Times New Roman" w:hAnsi="Times New Roman" w:cs="Times New Roman"/>
          <w:i/>
          <w:iCs/>
          <w:sz w:val="24"/>
          <w:szCs w:val="24"/>
        </w:rPr>
        <w:t>CSR Scores</w:t>
      </w:r>
      <w:r w:rsidRPr="00A3505C">
        <w:rPr>
          <w:rFonts w:ascii="Times New Roman" w:hAnsi="Times New Roman" w:cs="Times New Roman"/>
          <w:sz w:val="24"/>
          <w:szCs w:val="24"/>
        </w:rPr>
        <w:t>) evaluated by the Rankins CSR Ratings (RKS)</w:t>
      </w:r>
      <w:r w:rsidRPr="00A3505C">
        <w:rPr>
          <w:rStyle w:val="FootnoteReference"/>
          <w:rFonts w:ascii="Times New Roman" w:hAnsi="Times New Roman" w:cs="Times New Roman"/>
          <w:sz w:val="24"/>
          <w:szCs w:val="24"/>
        </w:rPr>
        <w:footnoteReference w:id="17"/>
      </w:r>
      <w:r w:rsidRPr="00A3505C">
        <w:rPr>
          <w:rFonts w:ascii="Times New Roman" w:hAnsi="Times New Roman" w:cs="Times New Roman"/>
          <w:sz w:val="24"/>
          <w:szCs w:val="24"/>
        </w:rPr>
        <w:t xml:space="preserve"> to capture firms’ social performance. The higher values of </w:t>
      </w:r>
      <w:r w:rsidRPr="00A3505C">
        <w:rPr>
          <w:rFonts w:ascii="Times New Roman" w:hAnsi="Times New Roman" w:cs="Times New Roman"/>
          <w:i/>
          <w:iCs/>
          <w:sz w:val="24"/>
          <w:szCs w:val="24"/>
        </w:rPr>
        <w:t>CSR Scores</w:t>
      </w:r>
      <w:r w:rsidRPr="00A3505C">
        <w:rPr>
          <w:rFonts w:ascii="Times New Roman" w:hAnsi="Times New Roman" w:cs="Times New Roman"/>
          <w:sz w:val="24"/>
          <w:szCs w:val="24"/>
        </w:rPr>
        <w:t xml:space="preserve"> imply greater social performance related to CSR performance evaluated by a third-party institution. Appendix A details the definition of these variables.</w:t>
      </w:r>
    </w:p>
    <w:p w14:paraId="3ACE8CA6" w14:textId="5EADCC4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Columns (2)-(4) of Table 7 report the results of the impact of growth-oriented firms and their augmented green revenues on CSR performance, an</w:t>
      </w:r>
      <w:r w:rsidRPr="00A3505C">
        <w:rPr>
          <w:rFonts w:ascii="Times New Roman" w:hAnsi="Times New Roman" w:cs="Times New Roman" w:hint="eastAsia"/>
          <w:sz w:val="24"/>
          <w:szCs w:val="24"/>
        </w:rPr>
        <w:t>d</w:t>
      </w:r>
      <w:r w:rsidRPr="00A3505C">
        <w:rPr>
          <w:rFonts w:ascii="Times New Roman" w:hAnsi="Times New Roman" w:cs="Times New Roman"/>
          <w:sz w:val="24"/>
          <w:szCs w:val="24"/>
        </w:rPr>
        <w:t xml:space="preserve"> CSR activities and </w:t>
      </w:r>
      <w:r w:rsidRPr="00A3505C">
        <w:rPr>
          <w:rFonts w:ascii="Times New Roman" w:hAnsi="Times New Roman" w:cs="Times New Roman" w:hint="eastAsia"/>
          <w:sz w:val="24"/>
          <w:szCs w:val="24"/>
        </w:rPr>
        <w:t>scores</w:t>
      </w:r>
      <w:r w:rsidRPr="00A3505C">
        <w:rPr>
          <w:rFonts w:ascii="Times New Roman" w:hAnsi="Times New Roman" w:cs="Times New Roman"/>
          <w:sz w:val="24"/>
          <w:szCs w:val="24"/>
        </w:rPr>
        <w:t xml:space="preserve">. We find that the coefficients on the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 </w:t>
      </w:r>
      <w:r w:rsidRPr="00A3505C">
        <w:rPr>
          <w:rFonts w:ascii="Times New Roman" w:hAnsi="Times New Roman" w:cs="Times New Roman"/>
          <w:i/>
          <w:sz w:val="24"/>
          <w:szCs w:val="24"/>
        </w:rPr>
        <w:t xml:space="preserve">Green </w:t>
      </w:r>
      <w:r w:rsidRPr="00A3505C">
        <w:rPr>
          <w:rFonts w:ascii="Times New Roman" w:hAnsi="Times New Roman" w:cs="Times New Roman"/>
          <w:i/>
          <w:iCs/>
          <w:sz w:val="24"/>
          <w:szCs w:val="24"/>
        </w:rPr>
        <w:t>Revenues Ratio</w:t>
      </w:r>
      <w:r w:rsidRPr="00A3505C">
        <w:rPr>
          <w:rFonts w:ascii="Times New Roman" w:hAnsi="Times New Roman" w:cs="Times New Roman"/>
          <w:sz w:val="24"/>
          <w:szCs w:val="24"/>
        </w:rPr>
        <w:t xml:space="preserve"> are all positive and significant at the 1% and 5% levels across all columns.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 </w:t>
      </w:r>
      <w:r w:rsidRPr="00A3505C">
        <w:rPr>
          <w:rFonts w:ascii="Times New Roman" w:hAnsi="Times New Roman" w:cs="Times New Roman"/>
          <w:i/>
          <w:sz w:val="24"/>
          <w:szCs w:val="24"/>
        </w:rPr>
        <w:t xml:space="preserve">Green </w:t>
      </w:r>
      <w:r w:rsidRPr="00A3505C">
        <w:rPr>
          <w:rFonts w:ascii="Times New Roman" w:hAnsi="Times New Roman" w:cs="Times New Roman"/>
          <w:i/>
          <w:iCs/>
          <w:sz w:val="24"/>
          <w:szCs w:val="24"/>
        </w:rPr>
        <w:t>Revenues Ratio</w:t>
      </w:r>
      <w:r w:rsidRPr="00A3505C">
        <w:rPr>
          <w:rFonts w:ascii="Times New Roman" w:hAnsi="Times New Roman" w:cs="Times New Roman"/>
          <w:sz w:val="24"/>
          <w:szCs w:val="24"/>
        </w:rPr>
        <w:t xml:space="preserve"> are all significantly larger than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We also find that the coefficients on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for the firm’s CSR performance and real CSR activities are negative and significant. These findings indicate that, relative to profit-oriented and neither-nor-oriented firms, growth-oriented firms are generally less likely to achieve higher levels of CSR </w:t>
      </w:r>
      <w:r w:rsidRPr="00A3505C">
        <w:rPr>
          <w:rFonts w:ascii="Times New Roman" w:hAnsi="Times New Roman" w:cs="Times New Roman"/>
          <w:sz w:val="24"/>
          <w:szCs w:val="24"/>
        </w:rPr>
        <w:lastRenderedPageBreak/>
        <w:t xml:space="preserve">performance. </w:t>
      </w:r>
      <w:r w:rsidR="005D2ED8" w:rsidRPr="00A3505C">
        <w:rPr>
          <w:rFonts w:ascii="Times New Roman" w:hAnsi="Times New Roman" w:cs="Times New Roman" w:hint="eastAsia"/>
          <w:sz w:val="24"/>
          <w:szCs w:val="24"/>
        </w:rPr>
        <w:t>G</w:t>
      </w:r>
      <w:r w:rsidRPr="00A3505C">
        <w:rPr>
          <w:rFonts w:ascii="Times New Roman" w:hAnsi="Times New Roman" w:cs="Times New Roman"/>
          <w:sz w:val="24"/>
          <w:szCs w:val="24"/>
        </w:rPr>
        <w:t>rowth-oriented firms</w:t>
      </w:r>
      <w:r w:rsidR="005D2ED8" w:rsidRPr="00A3505C">
        <w:rPr>
          <w:rFonts w:ascii="Times New Roman" w:hAnsi="Times New Roman" w:cs="Times New Roman" w:hint="eastAsia"/>
          <w:sz w:val="24"/>
          <w:szCs w:val="24"/>
        </w:rPr>
        <w:t xml:space="preserve"> </w:t>
      </w:r>
      <w:r w:rsidR="0022059E" w:rsidRPr="00A3505C">
        <w:rPr>
          <w:rFonts w:ascii="Times New Roman" w:hAnsi="Times New Roman" w:cs="Times New Roman"/>
          <w:sz w:val="24"/>
          <w:szCs w:val="24"/>
        </w:rPr>
        <w:t>that</w:t>
      </w:r>
      <w:r w:rsidR="0022059E"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generate green revenues or have a higher proportion of green revenues are more likely to exhibit superior CSR performance. </w:t>
      </w:r>
    </w:p>
    <w:p w14:paraId="20F68EA7" w14:textId="77777777" w:rsidR="000F7DAA" w:rsidRPr="00A3505C" w:rsidRDefault="000F7DAA" w:rsidP="000F7DAA">
      <w:pPr>
        <w:adjustRightInd w:val="0"/>
        <w:snapToGrid w:val="0"/>
        <w:spacing w:after="120" w:line="360" w:lineRule="auto"/>
        <w:ind w:firstLine="425"/>
        <w:jc w:val="center"/>
        <w:rPr>
          <w:rFonts w:ascii="Times New Roman" w:hAnsi="Times New Roman" w:cs="Times New Roman"/>
          <w:sz w:val="24"/>
          <w:szCs w:val="24"/>
        </w:rPr>
      </w:pPr>
      <w:r w:rsidRPr="00A3505C">
        <w:rPr>
          <w:rFonts w:ascii="Times New Roman" w:hAnsi="Times New Roman" w:cs="Times New Roman"/>
          <w:sz w:val="24"/>
          <w:szCs w:val="24"/>
        </w:rPr>
        <w:t>[Please Insert Table 7 Here]</w:t>
      </w:r>
    </w:p>
    <w:p w14:paraId="2DCB680C" w14:textId="5B558DB9" w:rsidR="000F7DAA" w:rsidRPr="00A3505C" w:rsidRDefault="009C183B" w:rsidP="005D690F">
      <w:pPr>
        <w:adjustRightInd w:val="0"/>
        <w:snapToGrid w:val="0"/>
        <w:spacing w:before="120" w:after="120" w:line="360" w:lineRule="auto"/>
        <w:jc w:val="both"/>
        <w:rPr>
          <w:rFonts w:ascii="Times New Roman" w:hAnsi="Times New Roman" w:cs="Times New Roman"/>
          <w:b/>
          <w:sz w:val="24"/>
          <w:szCs w:val="24"/>
        </w:rPr>
      </w:pPr>
      <w:r w:rsidRPr="00A3505C">
        <w:rPr>
          <w:rFonts w:ascii="Times New Roman" w:hAnsi="Times New Roman" w:cs="Times New Roman"/>
          <w:b/>
          <w:sz w:val="24"/>
          <w:szCs w:val="24"/>
        </w:rPr>
        <w:t>6</w:t>
      </w:r>
      <w:r w:rsidR="000F7DAA" w:rsidRPr="00A3505C">
        <w:rPr>
          <w:rFonts w:ascii="Times New Roman" w:hAnsi="Times New Roman" w:cs="Times New Roman"/>
          <w:b/>
          <w:sz w:val="24"/>
          <w:szCs w:val="24"/>
        </w:rPr>
        <w:t xml:space="preserve">. Robustness </w:t>
      </w:r>
      <w:r w:rsidR="000F7DAA" w:rsidRPr="00A3505C">
        <w:rPr>
          <w:rFonts w:ascii="Times New Roman" w:hAnsi="Times New Roman" w:cs="Times New Roman" w:hint="eastAsia"/>
          <w:b/>
          <w:sz w:val="24"/>
          <w:szCs w:val="24"/>
        </w:rPr>
        <w:t>T</w:t>
      </w:r>
      <w:r w:rsidR="000F7DAA" w:rsidRPr="00A3505C">
        <w:rPr>
          <w:rFonts w:ascii="Times New Roman" w:hAnsi="Times New Roman" w:cs="Times New Roman"/>
          <w:b/>
          <w:sz w:val="24"/>
          <w:szCs w:val="24"/>
        </w:rPr>
        <w:t>ests</w:t>
      </w:r>
    </w:p>
    <w:p w14:paraId="07FBBC88" w14:textId="27884F77" w:rsidR="00214513"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Online Appendix C presents a comprehensive discussion of these tests</w:t>
      </w:r>
      <w:r w:rsidR="007727FB">
        <w:rPr>
          <w:rFonts w:ascii="Times New Roman" w:hAnsi="Times New Roman" w:cs="Times New Roman" w:hint="eastAsia"/>
          <w:sz w:val="24"/>
          <w:szCs w:val="24"/>
        </w:rPr>
        <w:t xml:space="preserve"> to </w:t>
      </w:r>
      <w:r w:rsidR="007727FB" w:rsidRPr="00A3505C">
        <w:rPr>
          <w:rFonts w:ascii="Times New Roman" w:hAnsi="Times New Roman" w:cs="Times New Roman"/>
          <w:sz w:val="24"/>
          <w:szCs w:val="24"/>
        </w:rPr>
        <w:t>address the potential endogeneity issues</w:t>
      </w:r>
      <w:r w:rsidRPr="00A3505C">
        <w:rPr>
          <w:rFonts w:ascii="Times New Roman" w:hAnsi="Times New Roman" w:cs="Times New Roman"/>
          <w:sz w:val="24"/>
          <w:szCs w:val="24"/>
        </w:rPr>
        <w:t>. First, in Panel A of Table 8, we adopt the instrumental variable approach to mitigate the potential endogeneity of reverse causality, and the concerns of unobservable variables drive our estimations. We assess several instrumental validity tests to ensure our instrumental variables are correctly identified</w:t>
      </w:r>
      <w:r w:rsidR="00A227F7">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and valid. </w:t>
      </w:r>
    </w:p>
    <w:p w14:paraId="6F6363DB" w14:textId="7B30D3A7"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Second, another endogeneity issue may be raised from </w:t>
      </w:r>
      <w:r w:rsidRPr="00A3505C">
        <w:rPr>
          <w:rFonts w:ascii="Times New Roman" w:hAnsi="Times New Roman" w:cs="Times New Roman"/>
          <w:iCs/>
          <w:sz w:val="24"/>
          <w:szCs w:val="24"/>
        </w:rPr>
        <w:t>non-random mutual selection and other forms of functional misspecification</w:t>
      </w:r>
      <w:r w:rsidRPr="00A3505C">
        <w:rPr>
          <w:rFonts w:ascii="Times New Roman" w:hAnsi="Times New Roman" w:cs="Times New Roman"/>
          <w:sz w:val="24"/>
          <w:szCs w:val="24"/>
        </w:rPr>
        <w:t xml:space="preserve">. To tackle this problem, in Panel B of Table 8, we use the propensity score matching (PSM) approach developed by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AuthorYear="1"&gt;&lt;Author&gt;Heckman&lt;/Author&gt;&lt;Year&gt;1998&lt;/Year&gt;&lt;RecNum&gt;2860&lt;/RecNum&gt;&lt;DisplayText&gt;Heckman&lt;style face="italic"&gt; et al.&lt;/style&gt; (1998)&lt;/DisplayText&gt;&lt;record&gt;&lt;rec-number&gt;2860&lt;/rec-number&gt;&lt;foreign-keys&gt;&lt;key app="EN" db-id="tt95vv9zf20xf0ewve7x0fsl990xeeasafzs" timestamp="1703231458"&gt;2860&lt;/key&gt;&lt;/foreign-keys&gt;&lt;ref-type name="Journal Article"&gt;17&lt;/ref-type&gt;&lt;contributors&gt;&lt;authors&gt;&lt;author&gt;Heckman, J.J.&lt;/author&gt;&lt;author&gt;Ichimura, H.&lt;/author&gt;&lt;author&gt;Todd, P.&lt;/author&gt;&lt;/authors&gt;&lt;/contributors&gt;&lt;titles&gt;&lt;title&gt;Matching as an econometric evaluation estimator&lt;/title&gt;&lt;secondary-title&gt;Review of Economic Studies&lt;/secondary-title&gt;&lt;/titles&gt;&lt;periodical&gt;&lt;full-title&gt;Review of Economic Studies&lt;/full-title&gt;&lt;abbr-1&gt;Rev. Econ. Stud.&lt;/abbr-1&gt;&lt;/periodical&gt;&lt;pages&gt;261–294&lt;/pages&gt;&lt;volume&gt;65&lt;/volume&gt;&lt;number&gt;2&lt;/number&gt;&lt;dates&gt;&lt;year&gt;1998&lt;/year&gt;&lt;/dates&gt;&lt;urls&gt;&lt;/urls&gt;&lt;electronic-resource-num&gt;10.2307/2971733&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noProof/>
          <w:sz w:val="24"/>
          <w:szCs w:val="24"/>
        </w:rPr>
        <w:t>Heckman</w:t>
      </w:r>
      <w:r w:rsidRPr="00A3505C">
        <w:rPr>
          <w:rFonts w:ascii="Times New Roman" w:hAnsi="Times New Roman" w:cs="Times New Roman"/>
          <w:i/>
          <w:noProof/>
          <w:sz w:val="24"/>
          <w:szCs w:val="24"/>
        </w:rPr>
        <w:t xml:space="preserve"> et al.</w:t>
      </w:r>
      <w:r w:rsidRPr="00A3505C">
        <w:rPr>
          <w:rFonts w:ascii="Times New Roman" w:hAnsi="Times New Roman" w:cs="Times New Roman"/>
          <w:noProof/>
          <w:sz w:val="24"/>
          <w:szCs w:val="24"/>
        </w:rPr>
        <w:t xml:space="preserve"> (1998)</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We further address other endogeneity issues. The results are provided in the Online Appendix </w:t>
      </w:r>
      <w:r w:rsidR="00B63CAD">
        <w:rPr>
          <w:rFonts w:ascii="Times New Roman" w:hAnsi="Times New Roman" w:cs="Times New Roman" w:hint="eastAsia"/>
          <w:sz w:val="24"/>
          <w:szCs w:val="24"/>
        </w:rPr>
        <w:t>B</w:t>
      </w:r>
      <w:r w:rsidRPr="00A3505C">
        <w:rPr>
          <w:rFonts w:ascii="Times New Roman" w:hAnsi="Times New Roman" w:cs="Times New Roman"/>
          <w:sz w:val="24"/>
          <w:szCs w:val="24"/>
        </w:rPr>
        <w:t>.</w:t>
      </w:r>
    </w:p>
    <w:p w14:paraId="52FABE0C" w14:textId="416FF523" w:rsidR="000F7DAA" w:rsidRPr="00A3505C" w:rsidRDefault="000F7DAA"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Third, to mitigate the measurement bias, we employ alternative measures of strategic orientations. We use </w:t>
      </w:r>
      <w:r w:rsidRPr="00A3505C">
        <w:rPr>
          <w:rFonts w:ascii="Times New Roman" w:hAnsi="Times New Roman" w:cs="Times New Roman"/>
          <w:bCs/>
          <w:i/>
          <w:sz w:val="24"/>
          <w:szCs w:val="24"/>
        </w:rPr>
        <w:t>Growth</w:t>
      </w:r>
      <w:r w:rsidRPr="00A3505C">
        <w:rPr>
          <w:rFonts w:ascii="Times New Roman" w:hAnsi="Times New Roman" w:cs="Times New Roman"/>
          <w:bCs/>
          <w:i/>
          <w:iCs/>
          <w:sz w:val="24"/>
          <w:szCs w:val="24"/>
        </w:rPr>
        <w:t xml:space="preserve"> v. Profit and </w:t>
      </w:r>
      <w:r w:rsidRPr="00A3505C">
        <w:rPr>
          <w:rFonts w:ascii="Times New Roman" w:hAnsi="Times New Roman" w:cs="Times New Roman"/>
          <w:i/>
          <w:iCs/>
          <w:sz w:val="24"/>
          <w:szCs w:val="24"/>
        </w:rPr>
        <w:t>Neither-Nor</w:t>
      </w:r>
      <w:r w:rsidRPr="00A3505C">
        <w:rPr>
          <w:rFonts w:ascii="Times New Roman" w:hAnsi="Times New Roman" w:cs="Times New Roman"/>
          <w:bCs/>
          <w:i/>
          <w:iCs/>
          <w:sz w:val="24"/>
          <w:szCs w:val="24"/>
        </w:rPr>
        <w:t>2</w:t>
      </w:r>
      <w:r w:rsidRPr="00A3505C">
        <w:rPr>
          <w:rFonts w:ascii="Times New Roman" w:hAnsi="Times New Roman" w:cs="Times New Roman"/>
          <w:sz w:val="24"/>
          <w:szCs w:val="24"/>
        </w:rPr>
        <w:t xml:space="preserve">, </w:t>
      </w:r>
      <w:r w:rsidRPr="00A3505C">
        <w:rPr>
          <w:rFonts w:ascii="Times New Roman" w:hAnsi="Times New Roman" w:cs="Times New Roman"/>
          <w:bCs/>
          <w:i/>
          <w:sz w:val="24"/>
          <w:szCs w:val="24"/>
        </w:rPr>
        <w:t xml:space="preserve">Profit v. Growth and </w:t>
      </w:r>
      <w:r w:rsidRPr="00A3505C">
        <w:rPr>
          <w:rFonts w:ascii="Times New Roman" w:hAnsi="Times New Roman" w:cs="Times New Roman"/>
          <w:i/>
          <w:iCs/>
          <w:sz w:val="24"/>
          <w:szCs w:val="24"/>
        </w:rPr>
        <w:t>Neither-Nor</w:t>
      </w:r>
      <w:r w:rsidR="005020FC">
        <w:rPr>
          <w:rFonts w:ascii="Times New Roman" w:hAnsi="Times New Roman" w:cs="Times New Roman" w:hint="eastAsia"/>
          <w:bCs/>
          <w:i/>
          <w:sz w:val="24"/>
          <w:szCs w:val="24"/>
        </w:rPr>
        <w:t>2</w:t>
      </w:r>
      <w:r w:rsidRPr="00A3505C">
        <w:rPr>
          <w:rFonts w:ascii="Times New Roman" w:hAnsi="Times New Roman" w:cs="Times New Roman"/>
          <w:sz w:val="24"/>
          <w:szCs w:val="24"/>
        </w:rPr>
        <w:t xml:space="preserve">, </w:t>
      </w:r>
      <w:r w:rsidRPr="00A3505C">
        <w:rPr>
          <w:rFonts w:ascii="Times New Roman" w:hAnsi="Times New Roman" w:cs="Times New Roman"/>
          <w:bCs/>
          <w:i/>
          <w:sz w:val="24"/>
          <w:szCs w:val="24"/>
        </w:rPr>
        <w:t>Growth</w:t>
      </w:r>
      <w:r w:rsidRPr="00A3505C">
        <w:rPr>
          <w:rFonts w:ascii="Times New Roman" w:hAnsi="Times New Roman" w:cs="Times New Roman"/>
          <w:bCs/>
          <w:i/>
          <w:iCs/>
          <w:sz w:val="24"/>
          <w:szCs w:val="24"/>
        </w:rPr>
        <w:t xml:space="preserve"> v. Profit and </w:t>
      </w:r>
      <w:r w:rsidRPr="00A3505C">
        <w:rPr>
          <w:rFonts w:ascii="Times New Roman" w:hAnsi="Times New Roman" w:cs="Times New Roman"/>
          <w:i/>
          <w:iCs/>
          <w:sz w:val="24"/>
          <w:szCs w:val="24"/>
        </w:rPr>
        <w:t>Neither-Nor</w:t>
      </w:r>
      <w:r w:rsidRPr="00A3505C">
        <w:rPr>
          <w:rFonts w:ascii="Times New Roman" w:hAnsi="Times New Roman" w:cs="Times New Roman"/>
          <w:bCs/>
          <w:i/>
          <w:iCs/>
          <w:sz w:val="24"/>
          <w:szCs w:val="24"/>
        </w:rPr>
        <w:t>3</w:t>
      </w:r>
      <w:r w:rsidRPr="00A3505C">
        <w:rPr>
          <w:rFonts w:ascii="Times New Roman" w:hAnsi="Times New Roman" w:cs="Times New Roman"/>
          <w:sz w:val="24"/>
          <w:szCs w:val="24"/>
        </w:rPr>
        <w:t>,</w:t>
      </w:r>
      <w:r w:rsidRPr="00A3505C">
        <w:rPr>
          <w:rFonts w:ascii="Times New Roman" w:hAnsi="Times New Roman" w:cs="Times New Roman"/>
          <w:i/>
          <w:iCs/>
          <w:sz w:val="24"/>
          <w:szCs w:val="24"/>
        </w:rPr>
        <w:t xml:space="preserve"> </w:t>
      </w:r>
      <w:r w:rsidRPr="00A3505C">
        <w:rPr>
          <w:rFonts w:ascii="Times New Roman" w:hAnsi="Times New Roman" w:cs="Times New Roman"/>
          <w:sz w:val="24"/>
          <w:szCs w:val="24"/>
        </w:rPr>
        <w:t xml:space="preserve">and </w:t>
      </w:r>
      <w:r w:rsidRPr="00A3505C">
        <w:rPr>
          <w:rFonts w:ascii="Times New Roman" w:hAnsi="Times New Roman" w:cs="Times New Roman"/>
          <w:bCs/>
          <w:i/>
          <w:sz w:val="24"/>
          <w:szCs w:val="24"/>
        </w:rPr>
        <w:t xml:space="preserve">Profit v. Growth and </w:t>
      </w:r>
      <w:r w:rsidRPr="00A3505C">
        <w:rPr>
          <w:rFonts w:ascii="Times New Roman" w:hAnsi="Times New Roman" w:cs="Times New Roman"/>
          <w:i/>
          <w:iCs/>
          <w:sz w:val="24"/>
          <w:szCs w:val="24"/>
        </w:rPr>
        <w:t>Neither-Nor</w:t>
      </w:r>
      <w:r w:rsidRPr="00A3505C">
        <w:rPr>
          <w:rFonts w:ascii="Times New Roman" w:hAnsi="Times New Roman" w:cs="Times New Roman"/>
          <w:bCs/>
          <w:i/>
          <w:sz w:val="24"/>
          <w:szCs w:val="24"/>
        </w:rPr>
        <w:t>3</w:t>
      </w:r>
      <w:r w:rsidRPr="00A3505C">
        <w:rPr>
          <w:rFonts w:ascii="Times New Roman" w:hAnsi="Times New Roman" w:cs="Times New Roman"/>
          <w:bCs/>
          <w:iCs/>
          <w:sz w:val="24"/>
          <w:szCs w:val="24"/>
        </w:rPr>
        <w:t xml:space="preserve"> </w:t>
      </w:r>
      <w:r w:rsidRPr="00A3505C">
        <w:rPr>
          <w:rFonts w:ascii="Times New Roman" w:hAnsi="Times New Roman" w:cs="Times New Roman"/>
          <w:iCs/>
          <w:sz w:val="24"/>
          <w:szCs w:val="24"/>
        </w:rPr>
        <w:t>as</w:t>
      </w:r>
      <w:r w:rsidRPr="00A3505C">
        <w:rPr>
          <w:rFonts w:ascii="Times New Roman" w:hAnsi="Times New Roman" w:cs="Times New Roman"/>
          <w:sz w:val="24"/>
          <w:szCs w:val="24"/>
        </w:rPr>
        <w:t xml:space="preserve"> alternative independent variables to rerun our regression models. Fourth, we further examine the effects of changes in strategic orientations on firms’ green revenues. Fifth, we adopt placebo tests to mitigate the concerns regarding the impact of confounding factors. Sixth, omitted variable bias</w:t>
      </w:r>
      <w:r w:rsidR="0028414A">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may </w:t>
      </w:r>
      <w:r w:rsidR="0028414A">
        <w:rPr>
          <w:rFonts w:ascii="Times New Roman" w:hAnsi="Times New Roman" w:cs="Times New Roman" w:hint="eastAsia"/>
          <w:sz w:val="24"/>
          <w:szCs w:val="24"/>
        </w:rPr>
        <w:t xml:space="preserve">alter </w:t>
      </w:r>
      <w:r w:rsidRPr="00A3505C">
        <w:rPr>
          <w:rFonts w:ascii="Times New Roman" w:hAnsi="Times New Roman" w:cs="Times New Roman"/>
          <w:sz w:val="24"/>
          <w:szCs w:val="24"/>
        </w:rPr>
        <w:t xml:space="preserve">our estimates. To assess this bias, we apply the bound estimate approach proposed by </w:t>
      </w:r>
      <w:r w:rsidRPr="00A3505C">
        <w:rPr>
          <w:rFonts w:ascii="Times New Roman" w:hAnsi="Times New Roman" w:cs="Times New Roman"/>
          <w:sz w:val="24"/>
          <w:szCs w:val="24"/>
        </w:rPr>
        <w:fldChar w:fldCharType="begin"/>
      </w:r>
      <w:r w:rsidRPr="00A3505C">
        <w:rPr>
          <w:rFonts w:ascii="Times New Roman" w:hAnsi="Times New Roman" w:cs="Times New Roman"/>
          <w:sz w:val="24"/>
          <w:szCs w:val="24"/>
        </w:rPr>
        <w:instrText xml:space="preserve"> ADDIN EN.CITE &lt;EndNote&gt;&lt;Cite AuthorYear="1"&gt;&lt;Author&gt;Oster&lt;/Author&gt;&lt;Year&gt;2019&lt;/Year&gt;&lt;RecNum&gt;5258&lt;/RecNum&gt;&lt;DisplayText&gt;Oster (2019)&lt;/DisplayText&gt;&lt;record&gt;&lt;rec-number&gt;5258&lt;/rec-number&gt;&lt;foreign-keys&gt;&lt;key app="EN" db-id="tt95vv9zf20xf0ewve7x0fsl990xeeasafzs" timestamp="1703231459"&gt;5258&lt;/key&gt;&lt;/foreign-keys&gt;&lt;ref-type name="Journal Article"&gt;17&lt;/ref-type&gt;&lt;contributors&gt;&lt;authors&gt;&lt;author&gt;Oster, Emily&lt;/author&gt;&lt;/authors&gt;&lt;/contributors&gt;&lt;titles&gt;&lt;title&gt;Unobservable selection and coefficient stability: Theory and evidence&lt;/title&gt;&lt;secondary-title&gt;Journal of Business &amp;amp; Economic Statistics&lt;/secondary-title&gt;&lt;/titles&gt;&lt;periodical&gt;&lt;full-title&gt;Journal of Business &amp;amp; Economic Statistics&lt;/full-title&gt;&lt;abbr-1&gt;J. Bus. Econ. Stat.&lt;/abbr-1&gt;&lt;/periodical&gt;&lt;volume&gt;37&lt;/volume&gt;&lt;number&gt;2&lt;/number&gt;&lt;dates&gt;&lt;year&gt;2019&lt;/year&gt;&lt;/dates&gt;&lt;urls&gt;&lt;/urls&gt;&lt;electronic-resource-num&gt;.1080/07350015.2016.1227711&lt;/electronic-resource-num&gt;&lt;/record&gt;&lt;/Cite&gt;&lt;/EndNote&gt;</w:instrText>
      </w:r>
      <w:r w:rsidRPr="00A3505C">
        <w:rPr>
          <w:rFonts w:ascii="Times New Roman" w:hAnsi="Times New Roman" w:cs="Times New Roman"/>
          <w:sz w:val="24"/>
          <w:szCs w:val="24"/>
        </w:rPr>
        <w:fldChar w:fldCharType="separate"/>
      </w:r>
      <w:r w:rsidRPr="00A3505C">
        <w:rPr>
          <w:rFonts w:ascii="Times New Roman" w:hAnsi="Times New Roman" w:cs="Times New Roman"/>
          <w:sz w:val="24"/>
          <w:szCs w:val="24"/>
        </w:rPr>
        <w:t>Oster (2019)</w:t>
      </w:r>
      <w:r w:rsidRPr="00A3505C">
        <w:rPr>
          <w:rFonts w:ascii="Times New Roman" w:hAnsi="Times New Roman" w:cs="Times New Roman"/>
          <w:sz w:val="24"/>
          <w:szCs w:val="24"/>
        </w:rPr>
        <w:fldChar w:fldCharType="end"/>
      </w:r>
      <w:r w:rsidRPr="00A3505C">
        <w:rPr>
          <w:rFonts w:ascii="Times New Roman" w:hAnsi="Times New Roman" w:cs="Times New Roman"/>
          <w:sz w:val="24"/>
          <w:szCs w:val="24"/>
        </w:rPr>
        <w:t xml:space="preserve">, evaluating the sensitivity of estimated coefficients and the change in R-squared between regressions conducted with and without control variables. </w:t>
      </w:r>
      <w:r w:rsidR="0090027C">
        <w:rPr>
          <w:rFonts w:ascii="Times New Roman" w:hAnsi="Times New Roman" w:cs="Times New Roman" w:hint="eastAsia"/>
          <w:sz w:val="24"/>
          <w:szCs w:val="24"/>
        </w:rPr>
        <w:t>O</w:t>
      </w:r>
      <w:r w:rsidRPr="00A3505C">
        <w:rPr>
          <w:rFonts w:ascii="Times New Roman" w:hAnsi="Times New Roman" w:cs="Times New Roman"/>
          <w:sz w:val="24"/>
          <w:szCs w:val="24"/>
        </w:rPr>
        <w:t xml:space="preserve">ur results remain consistent and robust </w:t>
      </w:r>
      <w:r w:rsidR="0090027C">
        <w:rPr>
          <w:rFonts w:ascii="Times New Roman" w:hAnsi="Times New Roman" w:cs="Times New Roman" w:hint="eastAsia"/>
          <w:sz w:val="24"/>
          <w:szCs w:val="24"/>
        </w:rPr>
        <w:t>across all</w:t>
      </w:r>
      <w:r w:rsidRPr="00A3505C">
        <w:rPr>
          <w:rFonts w:ascii="Times New Roman" w:hAnsi="Times New Roman" w:cs="Times New Roman"/>
          <w:sz w:val="24"/>
          <w:szCs w:val="24"/>
        </w:rPr>
        <w:t xml:space="preserve"> these tests.</w:t>
      </w:r>
    </w:p>
    <w:p w14:paraId="7859A501" w14:textId="77777777" w:rsidR="000F7DAA" w:rsidRPr="00A3505C" w:rsidRDefault="000F7DAA" w:rsidP="000F7DAA">
      <w:pPr>
        <w:adjustRightInd w:val="0"/>
        <w:snapToGrid w:val="0"/>
        <w:spacing w:after="120" w:line="360" w:lineRule="auto"/>
        <w:jc w:val="center"/>
        <w:rPr>
          <w:rFonts w:ascii="Times New Roman" w:hAnsi="Times New Roman" w:cs="Times New Roman"/>
          <w:sz w:val="24"/>
          <w:szCs w:val="24"/>
        </w:rPr>
      </w:pPr>
      <w:r w:rsidRPr="00A3505C">
        <w:rPr>
          <w:rFonts w:ascii="Times New Roman" w:hAnsi="Times New Roman" w:cs="Times New Roman"/>
          <w:sz w:val="24"/>
          <w:szCs w:val="24"/>
        </w:rPr>
        <w:t>[Please Insert Table 8 Here]</w:t>
      </w:r>
    </w:p>
    <w:p w14:paraId="221BFE9E" w14:textId="21687DAF" w:rsidR="000F7DAA" w:rsidRPr="00A3505C" w:rsidRDefault="009C183B" w:rsidP="00B61B21">
      <w:pPr>
        <w:adjustRightInd w:val="0"/>
        <w:snapToGrid w:val="0"/>
        <w:spacing w:after="120" w:line="240" w:lineRule="auto"/>
        <w:jc w:val="both"/>
        <w:rPr>
          <w:rFonts w:ascii="Times New Roman" w:hAnsi="Times New Roman" w:cs="Times New Roman"/>
          <w:b/>
          <w:sz w:val="24"/>
          <w:szCs w:val="24"/>
        </w:rPr>
      </w:pPr>
      <w:r w:rsidRPr="00A3505C">
        <w:rPr>
          <w:rFonts w:ascii="Times New Roman" w:hAnsi="Times New Roman" w:cs="Times New Roman"/>
          <w:b/>
          <w:sz w:val="24"/>
          <w:szCs w:val="24"/>
        </w:rPr>
        <w:t>7</w:t>
      </w:r>
      <w:r w:rsidR="000F7DAA" w:rsidRPr="00A3505C">
        <w:rPr>
          <w:rFonts w:ascii="Times New Roman" w:hAnsi="Times New Roman" w:cs="Times New Roman"/>
          <w:b/>
          <w:sz w:val="24"/>
          <w:szCs w:val="24"/>
        </w:rPr>
        <w:t>. Conclusion</w:t>
      </w:r>
      <w:r w:rsidR="00A11FC2" w:rsidRPr="00A3505C">
        <w:rPr>
          <w:rFonts w:ascii="Times New Roman" w:hAnsi="Times New Roman" w:cs="Times New Roman"/>
          <w:b/>
          <w:sz w:val="24"/>
          <w:szCs w:val="24"/>
        </w:rPr>
        <w:t xml:space="preserve"> and Implications </w:t>
      </w:r>
    </w:p>
    <w:p w14:paraId="18800D87" w14:textId="77777777" w:rsidR="00A11FC2" w:rsidRPr="00A3505C" w:rsidRDefault="00A11FC2" w:rsidP="00B61B21">
      <w:pPr>
        <w:adjustRightInd w:val="0"/>
        <w:snapToGrid w:val="0"/>
        <w:spacing w:after="120" w:line="24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7.1 Conclusion</w:t>
      </w:r>
    </w:p>
    <w:p w14:paraId="2703B291" w14:textId="5FFED51E" w:rsidR="000F7DAA" w:rsidRPr="00A3505C" w:rsidRDefault="000F7DAA" w:rsidP="00B828AE">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This study </w:t>
      </w:r>
      <w:r w:rsidR="002A1530">
        <w:rPr>
          <w:rFonts w:ascii="Times New Roman" w:hAnsi="Times New Roman" w:cs="Times New Roman" w:hint="eastAsia"/>
          <w:sz w:val="24"/>
          <w:szCs w:val="24"/>
        </w:rPr>
        <w:t xml:space="preserve">investigates </w:t>
      </w:r>
      <w:r w:rsidRPr="00A3505C">
        <w:rPr>
          <w:rFonts w:ascii="Times New Roman" w:hAnsi="Times New Roman" w:cs="Times New Roman"/>
          <w:sz w:val="24"/>
          <w:szCs w:val="24"/>
        </w:rPr>
        <w:t xml:space="preserve">whether and how strategic orientations shape firms’ dynamic green capabilities. We </w:t>
      </w:r>
      <w:r w:rsidRPr="00A3505C">
        <w:rPr>
          <w:rFonts w:ascii="Times New Roman" w:hAnsi="Times New Roman" w:cs="Times New Roman" w:hint="eastAsia"/>
          <w:sz w:val="24"/>
          <w:szCs w:val="24"/>
        </w:rPr>
        <w:t>find</w:t>
      </w:r>
      <w:r w:rsidRPr="00A3505C">
        <w:rPr>
          <w:rFonts w:ascii="Times New Roman" w:hAnsi="Times New Roman" w:cs="Times New Roman"/>
          <w:sz w:val="24"/>
          <w:szCs w:val="24"/>
        </w:rPr>
        <w:t xml:space="preserve"> that firms with growth-oriented (profit-oriented) strategies are more (less) likely to generate green revenues</w:t>
      </w:r>
      <w:r w:rsidR="00D54F1F" w:rsidRPr="00A3505C">
        <w:rPr>
          <w:rFonts w:ascii="Times New Roman" w:hAnsi="Times New Roman" w:cs="Times New Roman"/>
          <w:sz w:val="24"/>
          <w:szCs w:val="24"/>
        </w:rPr>
        <w:t>,</w:t>
      </w:r>
      <w:r w:rsidRPr="00A3505C">
        <w:rPr>
          <w:rFonts w:ascii="Times New Roman" w:hAnsi="Times New Roman" w:cs="Times New Roman" w:hint="eastAsia"/>
          <w:sz w:val="24"/>
          <w:szCs w:val="24"/>
        </w:rPr>
        <w:t xml:space="preserve"> and </w:t>
      </w:r>
      <w:r w:rsidRPr="00A3505C">
        <w:rPr>
          <w:rFonts w:ascii="Times New Roman" w:hAnsi="Times New Roman" w:cs="Times New Roman"/>
          <w:sz w:val="24"/>
          <w:szCs w:val="24"/>
        </w:rPr>
        <w:t xml:space="preserve">green patents are the underlying mechanism. In addition,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 xml:space="preserve">he impact of growth orientations on green revenues is stronger for firms establishing environmental transformations. These findings highlight that the endowment of versatile resources among growth-oriented firms enables them to adapt to the stakeholder pressures for </w:t>
      </w:r>
      <w:r w:rsidRPr="00A3505C">
        <w:rPr>
          <w:rFonts w:ascii="Times New Roman" w:hAnsi="Times New Roman" w:cs="Times New Roman"/>
          <w:sz w:val="24"/>
          <w:szCs w:val="24"/>
        </w:rPr>
        <w:lastRenderedPageBreak/>
        <w:t>greener operations</w:t>
      </w:r>
      <w:r w:rsidRPr="0074689D">
        <w:rPr>
          <w:rFonts w:ascii="Times New Roman" w:hAnsi="Times New Roman" w:cs="Times New Roman"/>
          <w:sz w:val="24"/>
          <w:szCs w:val="24"/>
        </w:rPr>
        <w:t>.</w:t>
      </w:r>
      <w:r w:rsidRPr="00B828AE">
        <w:rPr>
          <w:rFonts w:ascii="Times New Roman" w:hAnsi="Times New Roman" w:cs="Times New Roman"/>
          <w:color w:val="FF0000"/>
          <w:sz w:val="24"/>
          <w:szCs w:val="24"/>
        </w:rPr>
        <w:t xml:space="preserve"> </w:t>
      </w:r>
      <w:r w:rsidR="004F4649" w:rsidRPr="00B828AE">
        <w:rPr>
          <w:rFonts w:ascii="Times New Roman" w:hAnsi="Times New Roman" w:cs="Times New Roman"/>
          <w:color w:val="FF0000"/>
          <w:sz w:val="24"/>
          <w:szCs w:val="24"/>
        </w:rPr>
        <w:t xml:space="preserve">Growth orientation may </w:t>
      </w:r>
      <w:r w:rsidR="00DF2BA1">
        <w:rPr>
          <w:rFonts w:ascii="Times New Roman" w:hAnsi="Times New Roman" w:cs="Times New Roman"/>
          <w:color w:val="FF0000"/>
          <w:sz w:val="24"/>
          <w:szCs w:val="24"/>
        </w:rPr>
        <w:t>strategically</w:t>
      </w:r>
      <w:r w:rsidR="00DF2BA1">
        <w:rPr>
          <w:rFonts w:ascii="Times New Roman" w:hAnsi="Times New Roman" w:cs="Times New Roman" w:hint="eastAsia"/>
          <w:color w:val="FF0000"/>
          <w:sz w:val="24"/>
          <w:szCs w:val="24"/>
        </w:rPr>
        <w:t xml:space="preserve"> </w:t>
      </w:r>
      <w:r w:rsidR="004F4649" w:rsidRPr="00B828AE">
        <w:rPr>
          <w:rFonts w:ascii="Times New Roman" w:hAnsi="Times New Roman" w:cs="Times New Roman"/>
          <w:color w:val="FF0000"/>
          <w:sz w:val="24"/>
          <w:szCs w:val="24"/>
        </w:rPr>
        <w:t>pursue expansion opportunities, including green innovation, although innovation capability may be present under any strategic orientation.</w:t>
      </w:r>
      <w:r w:rsidR="00B828AE">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These mechanisms also signify the crucial role of versatile resources in developing green capabilities to harmonize environmental pressures and economic goals. Further analysis finds that growth-oriented firms generating green revenues are more likely to gain a social reputation. </w:t>
      </w:r>
    </w:p>
    <w:p w14:paraId="322F9285" w14:textId="3F1391D1" w:rsidR="00300298" w:rsidRPr="00A3505C" w:rsidRDefault="00A11FC2" w:rsidP="00A11FC2">
      <w:pPr>
        <w:adjustRightInd w:val="0"/>
        <w:snapToGrid w:val="0"/>
        <w:spacing w:after="120" w:line="360" w:lineRule="auto"/>
        <w:jc w:val="both"/>
        <w:rPr>
          <w:rFonts w:ascii="Times New Roman" w:hAnsi="Times New Roman" w:cs="Times New Roman"/>
          <w:b/>
          <w:bCs/>
          <w:sz w:val="24"/>
          <w:szCs w:val="24"/>
        </w:rPr>
      </w:pPr>
      <w:r w:rsidRPr="00A3505C">
        <w:rPr>
          <w:rFonts w:ascii="Times New Roman" w:hAnsi="Times New Roman" w:cs="Times New Roman"/>
          <w:b/>
          <w:bCs/>
          <w:sz w:val="24"/>
          <w:szCs w:val="24"/>
        </w:rPr>
        <w:t>7.2</w:t>
      </w:r>
      <w:r w:rsidR="00300298" w:rsidRPr="00A3505C">
        <w:rPr>
          <w:rFonts w:ascii="Times New Roman" w:hAnsi="Times New Roman" w:cs="Times New Roman"/>
          <w:b/>
          <w:bCs/>
          <w:sz w:val="24"/>
          <w:szCs w:val="24"/>
        </w:rPr>
        <w:t xml:space="preserve"> Implications </w:t>
      </w:r>
    </w:p>
    <w:p w14:paraId="47CD8783" w14:textId="16A47EE8" w:rsidR="00300298" w:rsidRPr="0099282E" w:rsidRDefault="00300298" w:rsidP="00A11FC2">
      <w:pPr>
        <w:adjustRightInd w:val="0"/>
        <w:snapToGrid w:val="0"/>
        <w:spacing w:after="120" w:line="360" w:lineRule="auto"/>
        <w:jc w:val="both"/>
        <w:rPr>
          <w:rFonts w:ascii="Times New Roman" w:hAnsi="Times New Roman" w:cs="Times New Roman"/>
          <w:i/>
          <w:iCs/>
          <w:sz w:val="24"/>
          <w:szCs w:val="24"/>
        </w:rPr>
      </w:pPr>
      <w:r w:rsidRPr="0099282E">
        <w:rPr>
          <w:rFonts w:ascii="Times New Roman" w:hAnsi="Times New Roman" w:cs="Times New Roman"/>
          <w:i/>
          <w:iCs/>
          <w:sz w:val="24"/>
          <w:szCs w:val="24"/>
        </w:rPr>
        <w:t>7.2.1</w:t>
      </w:r>
      <w:r w:rsidR="00F04AF8" w:rsidRPr="0099282E">
        <w:rPr>
          <w:rFonts w:ascii="Times New Roman" w:hAnsi="Times New Roman" w:cs="Times New Roman"/>
          <w:i/>
          <w:iCs/>
          <w:sz w:val="24"/>
          <w:szCs w:val="24"/>
        </w:rPr>
        <w:t xml:space="preserve"> Implications for Theor</w:t>
      </w:r>
      <w:r w:rsidR="00EF637F" w:rsidRPr="0099282E">
        <w:rPr>
          <w:rFonts w:ascii="Times New Roman" w:hAnsi="Times New Roman" w:cs="Times New Roman" w:hint="eastAsia"/>
          <w:i/>
          <w:iCs/>
          <w:sz w:val="24"/>
          <w:szCs w:val="24"/>
        </w:rPr>
        <w:t>ies</w:t>
      </w:r>
    </w:p>
    <w:p w14:paraId="62E8E306" w14:textId="59B0F723" w:rsidR="00CC3186" w:rsidRPr="00A3505C" w:rsidRDefault="00CC3186" w:rsidP="00CC3186">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This study reflects both theoretical and managerial implications, particularly to ease the pressures of environmental responsibility while maintaining economic goals. First, we extend stakeholder theory by demonstrating that the efficacy of stakeholder responsiveness is contingent upon underlying strategic orientation, thereby integrating strategic posture into the theorisation of stakeholder-driven environmental action. Our work complements existing nonmarket strategy research by identifying resource- and orientation-based conditions under which stakeholder pressures translate into environmental revenue outcomes.</w:t>
      </w:r>
    </w:p>
    <w:p w14:paraId="67D2B570" w14:textId="5D818A6E" w:rsidR="00D4697D" w:rsidRPr="00A3505C" w:rsidRDefault="00CC3186" w:rsidP="00D4697D">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Second, we extend RBV by demonstrating that the value of resource types is context-dependent, and that adaptability and redeployability may become strategically critical under conditions of heightened environmental change. Our findings offer an important complement to RBV extensions by showing how strategic orientation shapes the formation and activation of green-related capabilities.</w:t>
      </w:r>
    </w:p>
    <w:p w14:paraId="287C3A86" w14:textId="727B3B92" w:rsidR="00D4697D" w:rsidRPr="00A3505C" w:rsidRDefault="00D4697D" w:rsidP="00D4697D">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Our findings do not imply that firms must adopt growth-oriented strategies to develop green revenues; rather, green revenues can be pursued under any strategic orientation as a means of aligning environmental responsibility with economic goals. While Zhou and Park (2020) show that growth-oriented firms may face non</w:t>
      </w:r>
      <w:r w:rsidR="00745A05" w:rsidRPr="00A3505C">
        <w:rPr>
          <w:rFonts w:ascii="Times New Roman" w:hAnsi="Times New Roman" w:cs="Times New Roman"/>
          <w:sz w:val="24"/>
          <w:szCs w:val="24"/>
        </w:rPr>
        <w:t>-</w:t>
      </w:r>
      <w:r w:rsidRPr="00A3505C">
        <w:rPr>
          <w:rFonts w:ascii="Times New Roman" w:hAnsi="Times New Roman" w:cs="Times New Roman"/>
          <w:sz w:val="24"/>
          <w:szCs w:val="24"/>
        </w:rPr>
        <w:t>scale-free resource strain that affects survival, our results highlight that their exploratory posture, broader knowledge base, and externally oriented capabilities can enhance adaptation and responsiveness to environmental opportunities and stakeholder pressures. Thus, our findings complement</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rather than contradict</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 xml:space="preserve">Zhou and Park (2020) and Zhou </w:t>
      </w:r>
      <w:r w:rsidRPr="00A3505C">
        <w:rPr>
          <w:rFonts w:ascii="Times New Roman" w:hAnsi="Times New Roman" w:cs="Times New Roman"/>
          <w:i/>
          <w:iCs/>
          <w:sz w:val="24"/>
          <w:szCs w:val="24"/>
        </w:rPr>
        <w:t>et al</w:t>
      </w:r>
      <w:r w:rsidRPr="00A3505C">
        <w:rPr>
          <w:rFonts w:ascii="Times New Roman" w:hAnsi="Times New Roman" w:cs="Times New Roman"/>
          <w:sz w:val="24"/>
          <w:szCs w:val="24"/>
        </w:rPr>
        <w:t>. (2025) by shifting the focus from survival capability to adaptive capability in sustainability transitions. Firms of all strategic orientations can learn from growth-oriented firms by leveraging versatile resources to support green revenue generation, and profit-oriented firms may integrate environmental responsibility by pursuing green opportunities that offer immediate or efficiency-enhancing economic returns.</w:t>
      </w:r>
    </w:p>
    <w:p w14:paraId="296AD71B" w14:textId="5A2F1E2E" w:rsidR="00F04AF8" w:rsidRPr="0099282E" w:rsidRDefault="00F04AF8" w:rsidP="00E80A2F">
      <w:pPr>
        <w:adjustRightInd w:val="0"/>
        <w:snapToGrid w:val="0"/>
        <w:spacing w:after="120" w:line="360" w:lineRule="auto"/>
        <w:jc w:val="both"/>
        <w:rPr>
          <w:rFonts w:ascii="Times New Roman" w:hAnsi="Times New Roman" w:cs="Times New Roman"/>
          <w:i/>
          <w:iCs/>
          <w:sz w:val="24"/>
          <w:szCs w:val="24"/>
        </w:rPr>
      </w:pPr>
      <w:r w:rsidRPr="0099282E">
        <w:rPr>
          <w:rFonts w:ascii="Times New Roman" w:hAnsi="Times New Roman" w:cs="Times New Roman"/>
          <w:i/>
          <w:iCs/>
          <w:sz w:val="24"/>
          <w:szCs w:val="24"/>
        </w:rPr>
        <w:lastRenderedPageBreak/>
        <w:t xml:space="preserve">7.2.2 Implications for </w:t>
      </w:r>
      <w:r w:rsidR="0099282E" w:rsidRPr="0099282E">
        <w:rPr>
          <w:rFonts w:ascii="Times New Roman" w:hAnsi="Times New Roman" w:cs="Times New Roman"/>
          <w:i/>
          <w:iCs/>
          <w:sz w:val="24"/>
          <w:szCs w:val="24"/>
        </w:rPr>
        <w:t>practice and policy</w:t>
      </w:r>
    </w:p>
    <w:p w14:paraId="3DEE79B1" w14:textId="21B39007" w:rsidR="000F7DAA" w:rsidRPr="00A3505C" w:rsidRDefault="00214513" w:rsidP="000F7DAA">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O</w:t>
      </w:r>
      <w:r w:rsidR="000F7DAA" w:rsidRPr="00A3505C">
        <w:rPr>
          <w:rFonts w:ascii="Times New Roman" w:hAnsi="Times New Roman" w:cs="Times New Roman"/>
          <w:sz w:val="24"/>
          <w:szCs w:val="24"/>
        </w:rPr>
        <w:t>ur findings highlight the practical implications to managers and regulators that strategic orientations to pursue economic goals can be aligned with environmental sustainability. Accordingly, managers of profit-oriented firms may consider maintaining versatile resources in their portfolio. Their focus on building competitive advantages through building VRIN resources needs to be balanced with the capability to adapt to dynamic changes. According to our findings, regulators can consider developing a regulatory framework that enables green innovation and drives environmental transformation. This supportive regulatory framework is expected to foster a sustainability agenda while ensuring continued economic prosperity. The lessons learned from China’s setting are relevant to other countries since the tension between environmental issues and economic goals is prevalent around the globe.</w:t>
      </w:r>
    </w:p>
    <w:p w14:paraId="4A856BEE" w14:textId="58D1D077" w:rsidR="002B6866" w:rsidRPr="0099282E" w:rsidRDefault="002B6866" w:rsidP="002B6866">
      <w:pPr>
        <w:adjustRightInd w:val="0"/>
        <w:snapToGrid w:val="0"/>
        <w:spacing w:after="120" w:line="360" w:lineRule="auto"/>
        <w:jc w:val="both"/>
        <w:rPr>
          <w:rFonts w:ascii="Times New Roman" w:hAnsi="Times New Roman" w:cs="Times New Roman"/>
          <w:i/>
          <w:iCs/>
          <w:sz w:val="24"/>
          <w:szCs w:val="24"/>
        </w:rPr>
      </w:pPr>
      <w:r w:rsidRPr="0099282E">
        <w:rPr>
          <w:rFonts w:ascii="Times New Roman" w:hAnsi="Times New Roman" w:cs="Times New Roman"/>
          <w:i/>
          <w:iCs/>
          <w:sz w:val="24"/>
          <w:szCs w:val="24"/>
        </w:rPr>
        <w:t xml:space="preserve">7.2.3 Limitations and </w:t>
      </w:r>
      <w:r w:rsidR="0099282E" w:rsidRPr="0099282E">
        <w:rPr>
          <w:rFonts w:ascii="Times New Roman" w:hAnsi="Times New Roman" w:cs="Times New Roman"/>
          <w:i/>
          <w:iCs/>
          <w:sz w:val="24"/>
          <w:szCs w:val="24"/>
        </w:rPr>
        <w:t>future research trajectories</w:t>
      </w:r>
    </w:p>
    <w:p w14:paraId="4876E923" w14:textId="1FC12BF6" w:rsidR="000F7DAA" w:rsidRPr="00A3505C" w:rsidRDefault="000F7DAA" w:rsidP="000F7DAA">
      <w:pPr>
        <w:adjustRightInd w:val="0"/>
        <w:snapToGrid w:val="0"/>
        <w:spacing w:after="120" w:line="360" w:lineRule="auto"/>
        <w:ind w:firstLine="425"/>
        <w:jc w:val="both"/>
      </w:pPr>
      <w:r w:rsidRPr="00A3505C">
        <w:rPr>
          <w:rFonts w:ascii="Times New Roman" w:hAnsi="Times New Roman" w:cs="Times New Roman"/>
          <w:sz w:val="24"/>
          <w:szCs w:val="24"/>
        </w:rPr>
        <w:t xml:space="preserve">Despite significant contributions, our study </w:t>
      </w:r>
      <w:r w:rsidRPr="00A3505C">
        <w:rPr>
          <w:rFonts w:ascii="Times New Roman" w:hAnsi="Times New Roman" w:cs="Times New Roman" w:hint="eastAsia"/>
          <w:sz w:val="24"/>
          <w:szCs w:val="24"/>
        </w:rPr>
        <w:t>may have potential</w:t>
      </w:r>
      <w:r w:rsidRPr="00A3505C">
        <w:rPr>
          <w:rFonts w:ascii="Times New Roman" w:hAnsi="Times New Roman" w:cs="Times New Roman"/>
          <w:sz w:val="24"/>
          <w:szCs w:val="24"/>
        </w:rPr>
        <w:t xml:space="preserve"> limitations that open the avenues for future </w:t>
      </w:r>
      <w:r w:rsidRPr="00A3505C">
        <w:rPr>
          <w:rFonts w:ascii="Times New Roman" w:hAnsi="Times New Roman" w:cs="Times New Roman" w:hint="eastAsia"/>
          <w:sz w:val="24"/>
          <w:szCs w:val="24"/>
        </w:rPr>
        <w:t>research</w:t>
      </w:r>
      <w:r w:rsidRPr="00A3505C">
        <w:rPr>
          <w:rFonts w:ascii="Times New Roman" w:hAnsi="Times New Roman" w:cs="Times New Roman"/>
          <w:sz w:val="24"/>
          <w:szCs w:val="24"/>
        </w:rPr>
        <w:t xml:space="preserve"> on aligning sustainability with business</w:t>
      </w:r>
      <w:r w:rsidRPr="00A3505C">
        <w:rPr>
          <w:rFonts w:ascii="Times New Roman" w:hAnsi="Times New Roman" w:cs="Times New Roman" w:hint="eastAsia"/>
          <w:sz w:val="24"/>
          <w:szCs w:val="24"/>
        </w:rPr>
        <w:t xml:space="preserve"> strategies</w:t>
      </w:r>
      <w:r w:rsidRPr="00A3505C">
        <w:rPr>
          <w:rFonts w:ascii="Times New Roman" w:hAnsi="Times New Roman" w:cs="Times New Roman"/>
          <w:sz w:val="24"/>
          <w:szCs w:val="24"/>
        </w:rPr>
        <w:t xml:space="preserve">. </w:t>
      </w:r>
      <w:r w:rsidR="00654574" w:rsidRPr="00A3505C">
        <w:rPr>
          <w:rFonts w:ascii="Times New Roman" w:hAnsi="Times New Roman" w:cs="Times New Roman"/>
          <w:sz w:val="24"/>
          <w:szCs w:val="24"/>
        </w:rPr>
        <w:t>Strategic orientations can be conceptualized through multiple theoretical lenses, including</w:t>
      </w:r>
      <w:r w:rsidR="00654574" w:rsidRPr="00A3505C">
        <w:rPr>
          <w:rFonts w:ascii="Times New Roman" w:hAnsi="Times New Roman" w:cs="Times New Roman" w:hint="eastAsia"/>
          <w:sz w:val="24"/>
          <w:szCs w:val="24"/>
        </w:rPr>
        <w:t xml:space="preserve"> analyzer</w:t>
      </w:r>
      <w:r w:rsidR="00654574" w:rsidRPr="00A3505C">
        <w:rPr>
          <w:rFonts w:ascii="Times New Roman" w:hAnsi="Times New Roman" w:cs="Times New Roman"/>
          <w:sz w:val="24"/>
          <w:szCs w:val="24"/>
          <w:lang w:val="en-US"/>
        </w:rPr>
        <w:t>-</w:t>
      </w:r>
      <w:r w:rsidR="00654574" w:rsidRPr="00A3505C">
        <w:rPr>
          <w:rFonts w:ascii="Times New Roman" w:hAnsi="Times New Roman" w:cs="Times New Roman" w:hint="eastAsia"/>
          <w:sz w:val="24"/>
          <w:szCs w:val="24"/>
        </w:rPr>
        <w:t>defender</w:t>
      </w:r>
      <w:r w:rsidR="00654574" w:rsidRPr="00A3505C">
        <w:rPr>
          <w:rFonts w:ascii="Times New Roman" w:hAnsi="Times New Roman" w:cs="Times New Roman"/>
          <w:sz w:val="24"/>
          <w:szCs w:val="24"/>
          <w:lang w:val="en-US"/>
        </w:rPr>
        <w:t>-</w:t>
      </w:r>
      <w:r w:rsidR="00654574" w:rsidRPr="00A3505C">
        <w:rPr>
          <w:rFonts w:ascii="Times New Roman" w:hAnsi="Times New Roman" w:cs="Times New Roman" w:hint="eastAsia"/>
          <w:sz w:val="24"/>
          <w:szCs w:val="24"/>
        </w:rPr>
        <w:t xml:space="preserve">prospector typologies (Rajagopalan, 1997; </w:t>
      </w:r>
      <w:r w:rsidR="00654574" w:rsidRPr="00A3505C">
        <w:rPr>
          <w:rFonts w:ascii="Times New Roman" w:hAnsi="Times New Roman" w:cs="Times New Roman"/>
          <w:sz w:val="24"/>
          <w:szCs w:val="24"/>
        </w:rPr>
        <w:t>Escribá‐Esteve</w:t>
      </w:r>
      <w:r w:rsidR="00654574" w:rsidRPr="00A3505C">
        <w:rPr>
          <w:rFonts w:ascii="Times New Roman" w:hAnsi="Times New Roman" w:cs="Times New Roman" w:hint="eastAsia"/>
          <w:sz w:val="24"/>
          <w:szCs w:val="24"/>
        </w:rPr>
        <w:t xml:space="preserve"> </w:t>
      </w:r>
      <w:r w:rsidR="00654574" w:rsidRPr="00A3505C">
        <w:rPr>
          <w:rFonts w:ascii="Times New Roman" w:hAnsi="Times New Roman" w:cs="Times New Roman" w:hint="eastAsia"/>
          <w:i/>
          <w:iCs/>
          <w:sz w:val="24"/>
          <w:szCs w:val="24"/>
        </w:rPr>
        <w:t>et al</w:t>
      </w:r>
      <w:r w:rsidR="00654574" w:rsidRPr="00A3505C">
        <w:rPr>
          <w:rFonts w:ascii="Times New Roman" w:hAnsi="Times New Roman" w:cs="Times New Roman" w:hint="eastAsia"/>
          <w:sz w:val="24"/>
          <w:szCs w:val="24"/>
        </w:rPr>
        <w:t xml:space="preserve">., 2009), low-cost versus differentiation strategies (Canina </w:t>
      </w:r>
      <w:r w:rsidR="00654574" w:rsidRPr="00A3505C">
        <w:rPr>
          <w:rFonts w:ascii="Times New Roman" w:hAnsi="Times New Roman" w:cs="Times New Roman" w:hint="eastAsia"/>
          <w:i/>
          <w:iCs/>
          <w:sz w:val="24"/>
          <w:szCs w:val="24"/>
        </w:rPr>
        <w:t>et al</w:t>
      </w:r>
      <w:r w:rsidR="00654574" w:rsidRPr="00A3505C">
        <w:rPr>
          <w:rFonts w:ascii="Times New Roman" w:hAnsi="Times New Roman" w:cs="Times New Roman" w:hint="eastAsia"/>
          <w:sz w:val="24"/>
          <w:szCs w:val="24"/>
        </w:rPr>
        <w:t xml:space="preserve">., 2005; Zhao </w:t>
      </w:r>
      <w:r w:rsidR="00654574" w:rsidRPr="00A3505C">
        <w:rPr>
          <w:rFonts w:ascii="Times New Roman" w:hAnsi="Times New Roman" w:cs="Times New Roman" w:hint="eastAsia"/>
          <w:i/>
          <w:iCs/>
          <w:sz w:val="24"/>
          <w:szCs w:val="24"/>
        </w:rPr>
        <w:t>et al</w:t>
      </w:r>
      <w:r w:rsidR="00654574" w:rsidRPr="00A3505C">
        <w:rPr>
          <w:rFonts w:ascii="Times New Roman" w:hAnsi="Times New Roman" w:cs="Times New Roman" w:hint="eastAsia"/>
          <w:sz w:val="24"/>
          <w:szCs w:val="24"/>
        </w:rPr>
        <w:t xml:space="preserve">., 2024), and entrepreneurial, market, and learning-oriented strategies (Schweiger </w:t>
      </w:r>
      <w:r w:rsidR="00654574" w:rsidRPr="00A3505C">
        <w:rPr>
          <w:rFonts w:ascii="Times New Roman" w:hAnsi="Times New Roman" w:cs="Times New Roman" w:hint="eastAsia"/>
          <w:i/>
          <w:iCs/>
          <w:sz w:val="24"/>
          <w:szCs w:val="24"/>
        </w:rPr>
        <w:t>et al</w:t>
      </w:r>
      <w:r w:rsidR="00654574" w:rsidRPr="00A3505C">
        <w:rPr>
          <w:rFonts w:ascii="Times New Roman" w:hAnsi="Times New Roman" w:cs="Times New Roman" w:hint="eastAsia"/>
          <w:sz w:val="24"/>
          <w:szCs w:val="24"/>
        </w:rPr>
        <w:t>.,</w:t>
      </w:r>
      <w:r w:rsidR="00654574" w:rsidRPr="00A3505C">
        <w:rPr>
          <w:rFonts w:ascii="Times New Roman" w:hAnsi="Times New Roman" w:cs="Times New Roman"/>
          <w:sz w:val="24"/>
          <w:szCs w:val="24"/>
        </w:rPr>
        <w:t xml:space="preserve"> 2019). </w:t>
      </w:r>
      <w:r w:rsidRPr="00A3505C">
        <w:rPr>
          <w:rFonts w:ascii="Times New Roman" w:hAnsi="Times New Roman" w:cs="Times New Roman" w:hint="eastAsia"/>
          <w:sz w:val="24"/>
          <w:szCs w:val="24"/>
        </w:rPr>
        <w:t>Our</w:t>
      </w:r>
      <w:r w:rsidRPr="00A3505C">
        <w:rPr>
          <w:rFonts w:ascii="Times New Roman" w:hAnsi="Times New Roman" w:cs="Times New Roman"/>
          <w:sz w:val="24"/>
          <w:szCs w:val="24"/>
        </w:rPr>
        <w:t xml:space="preserve"> study focuses on growth and profit-oriented strategies</w:t>
      </w:r>
      <w:r w:rsidRPr="00A3505C">
        <w:rPr>
          <w:rFonts w:ascii="Times New Roman" w:hAnsi="Times New Roman" w:cs="Times New Roman" w:hint="eastAsia"/>
          <w:sz w:val="24"/>
          <w:szCs w:val="24"/>
        </w:rPr>
        <w:t xml:space="preserve">, </w:t>
      </w:r>
      <w:r w:rsidR="00654574" w:rsidRPr="00A3505C">
        <w:rPr>
          <w:rFonts w:ascii="Times New Roman" w:hAnsi="Times New Roman" w:cs="Times New Roman" w:hint="eastAsia"/>
          <w:sz w:val="24"/>
          <w:szCs w:val="24"/>
        </w:rPr>
        <w:t>and</w:t>
      </w:r>
      <w:r w:rsidRPr="00A3505C">
        <w:rPr>
          <w:rFonts w:ascii="Times New Roman" w:hAnsi="Times New Roman" w:cs="Times New Roman"/>
          <w:sz w:val="24"/>
          <w:szCs w:val="24"/>
        </w:rPr>
        <w:t xml:space="preserve"> </w:t>
      </w:r>
      <w:r w:rsidR="00654574" w:rsidRPr="00A3505C">
        <w:rPr>
          <w:rFonts w:ascii="Times New Roman" w:hAnsi="Times New Roman" w:cs="Times New Roman" w:hint="eastAsia"/>
          <w:sz w:val="24"/>
          <w:szCs w:val="24"/>
        </w:rPr>
        <w:t>f</w:t>
      </w:r>
      <w:r w:rsidRPr="00A3505C">
        <w:rPr>
          <w:rFonts w:ascii="Times New Roman" w:hAnsi="Times New Roman" w:cs="Times New Roman" w:hint="eastAsia"/>
          <w:sz w:val="24"/>
          <w:szCs w:val="24"/>
        </w:rPr>
        <w:t xml:space="preserve">uture research could expand this line of inquiry by investigating the impact of </w:t>
      </w:r>
      <w:r w:rsidRPr="00A3505C">
        <w:rPr>
          <w:rFonts w:ascii="Times New Roman" w:hAnsi="Times New Roman" w:cs="Times New Roman"/>
          <w:sz w:val="24"/>
          <w:szCs w:val="24"/>
        </w:rPr>
        <w:t xml:space="preserve">more diverse business </w:t>
      </w:r>
      <w:r w:rsidRPr="00A3505C">
        <w:rPr>
          <w:rFonts w:ascii="Times New Roman" w:hAnsi="Times New Roman" w:cs="Times New Roman" w:hint="eastAsia"/>
          <w:sz w:val="24"/>
          <w:szCs w:val="24"/>
        </w:rPr>
        <w:t>strategic archetypes</w:t>
      </w:r>
      <w:r w:rsidRPr="00A3505C">
        <w:rPr>
          <w:rFonts w:ascii="Times New Roman" w:hAnsi="Times New Roman" w:cs="Times New Roman"/>
          <w:sz w:val="24"/>
          <w:szCs w:val="24"/>
        </w:rPr>
        <w:t xml:space="preserve"> </w:t>
      </w:r>
      <w:r w:rsidRPr="00A3505C">
        <w:rPr>
          <w:rFonts w:ascii="Times New Roman" w:hAnsi="Times New Roman" w:cs="Times New Roman" w:hint="eastAsia"/>
          <w:sz w:val="24"/>
          <w:szCs w:val="24"/>
        </w:rPr>
        <w:t>on</w:t>
      </w:r>
      <w:r w:rsidRPr="00A3505C">
        <w:rPr>
          <w:rFonts w:ascii="Times New Roman" w:hAnsi="Times New Roman" w:cs="Times New Roman"/>
          <w:sz w:val="24"/>
          <w:szCs w:val="24"/>
        </w:rPr>
        <w:t xml:space="preserve"> their long-term performance and social legitimacy. Further, </w:t>
      </w:r>
      <w:r w:rsidRPr="00A3505C">
        <w:rPr>
          <w:rFonts w:ascii="Times New Roman" w:hAnsi="Times New Roman" w:cs="Times New Roman" w:hint="eastAsia"/>
          <w:sz w:val="24"/>
          <w:szCs w:val="24"/>
        </w:rPr>
        <w:t xml:space="preserve">a deeper investigation into the mechanisms </w:t>
      </w:r>
      <w:r w:rsidRPr="00A3505C">
        <w:rPr>
          <w:rFonts w:ascii="Times New Roman" w:hAnsi="Times New Roman" w:cs="Times New Roman"/>
          <w:sz w:val="24"/>
          <w:szCs w:val="24"/>
        </w:rPr>
        <w:t>through</w:t>
      </w:r>
      <w:r w:rsidRPr="00A3505C">
        <w:rPr>
          <w:rFonts w:ascii="Times New Roman" w:hAnsi="Times New Roman" w:cs="Times New Roman" w:hint="eastAsia"/>
          <w:sz w:val="24"/>
          <w:szCs w:val="24"/>
        </w:rPr>
        <w:t xml:space="preserve"> which</w:t>
      </w:r>
      <w:r w:rsidRPr="00A3505C">
        <w:rPr>
          <w:rFonts w:ascii="Times New Roman" w:hAnsi="Times New Roman" w:cs="Times New Roman"/>
          <w:sz w:val="24"/>
          <w:szCs w:val="24"/>
        </w:rPr>
        <w:t xml:space="preserve"> resources </w:t>
      </w:r>
      <w:r w:rsidRPr="00A3505C">
        <w:rPr>
          <w:rFonts w:ascii="Times New Roman" w:hAnsi="Times New Roman" w:cs="Times New Roman" w:hint="eastAsia"/>
          <w:sz w:val="24"/>
          <w:szCs w:val="24"/>
        </w:rPr>
        <w:t xml:space="preserve">are reallocated to </w:t>
      </w:r>
      <w:r w:rsidRPr="00A3505C">
        <w:rPr>
          <w:rFonts w:ascii="Times New Roman" w:hAnsi="Times New Roman" w:cs="Times New Roman"/>
          <w:sz w:val="24"/>
          <w:szCs w:val="24"/>
        </w:rPr>
        <w:t xml:space="preserve">build firms’ </w:t>
      </w:r>
      <w:r w:rsidRPr="00A3505C">
        <w:rPr>
          <w:rFonts w:ascii="Times New Roman" w:hAnsi="Times New Roman" w:cs="Times New Roman" w:hint="eastAsia"/>
          <w:sz w:val="24"/>
          <w:szCs w:val="24"/>
        </w:rPr>
        <w:t xml:space="preserve">adaptive </w:t>
      </w:r>
      <w:r w:rsidRPr="00A3505C">
        <w:rPr>
          <w:rFonts w:ascii="Times New Roman" w:hAnsi="Times New Roman" w:cs="Times New Roman"/>
          <w:sz w:val="24"/>
          <w:szCs w:val="24"/>
        </w:rPr>
        <w:t xml:space="preserve">capabilities to respond to the dynamic environment. Therefore, future studies may consider the dynamic </w:t>
      </w:r>
      <w:r w:rsidR="004E3401" w:rsidRPr="00A3505C">
        <w:rPr>
          <w:rFonts w:ascii="Times New Roman" w:hAnsi="Times New Roman" w:cs="Times New Roman" w:hint="eastAsia"/>
          <w:sz w:val="24"/>
          <w:szCs w:val="24"/>
        </w:rPr>
        <w:t xml:space="preserve">green </w:t>
      </w:r>
      <w:r w:rsidRPr="00A3505C">
        <w:rPr>
          <w:rFonts w:ascii="Times New Roman" w:hAnsi="Times New Roman" w:cs="Times New Roman"/>
          <w:sz w:val="24"/>
          <w:szCs w:val="24"/>
        </w:rPr>
        <w:t xml:space="preserve">capabilities </w:t>
      </w:r>
      <w:r w:rsidRPr="00A3505C">
        <w:rPr>
          <w:rFonts w:ascii="Times New Roman" w:hAnsi="Times New Roman" w:cs="Times New Roman" w:hint="eastAsia"/>
          <w:sz w:val="24"/>
          <w:szCs w:val="24"/>
        </w:rPr>
        <w:t>framework</w:t>
      </w:r>
      <w:r w:rsidRPr="00A3505C">
        <w:rPr>
          <w:rFonts w:ascii="Times New Roman" w:hAnsi="Times New Roman" w:cs="Times New Roman"/>
          <w:sz w:val="24"/>
          <w:szCs w:val="24"/>
        </w:rPr>
        <w:t xml:space="preserve"> to portray the wider picture of how firms generate green revenues</w:t>
      </w:r>
      <w:r w:rsidRPr="00A3505C">
        <w:rPr>
          <w:rFonts w:ascii="Times New Roman" w:hAnsi="Times New Roman" w:cs="Times New Roman" w:hint="eastAsia"/>
          <w:sz w:val="24"/>
          <w:szCs w:val="24"/>
        </w:rPr>
        <w:t xml:space="preserve"> over time</w:t>
      </w:r>
      <w:r w:rsidR="004E3401" w:rsidRPr="00A3505C">
        <w:rPr>
          <w:rFonts w:ascii="Times New Roman" w:hAnsi="Times New Roman" w:cs="Times New Roman" w:hint="eastAsia"/>
          <w:sz w:val="24"/>
          <w:szCs w:val="24"/>
        </w:rPr>
        <w:t xml:space="preserve"> and across countries</w:t>
      </w:r>
      <w:r w:rsidRPr="00A3505C">
        <w:rPr>
          <w:rFonts w:ascii="Times New Roman" w:hAnsi="Times New Roman" w:cs="Times New Roman"/>
          <w:sz w:val="24"/>
          <w:szCs w:val="24"/>
        </w:rPr>
        <w:t>.</w:t>
      </w:r>
    </w:p>
    <w:p w14:paraId="342E5A77" w14:textId="2C8FEFC1" w:rsidR="005462C7" w:rsidRPr="00A3505C" w:rsidRDefault="005462C7" w:rsidP="00064A5B">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br w:type="page"/>
      </w:r>
    </w:p>
    <w:p w14:paraId="4EA4AE3A" w14:textId="766D7A2C" w:rsidR="00823894" w:rsidRPr="00A3505C" w:rsidRDefault="00823894" w:rsidP="00782EA7">
      <w:pPr>
        <w:rPr>
          <w:rFonts w:ascii="Times New Roman" w:hAnsi="Times New Roman" w:cs="Times New Roman"/>
        </w:rPr>
      </w:pPr>
      <w:r w:rsidRPr="00A3505C">
        <w:rPr>
          <w:rFonts w:ascii="Times New Roman" w:hAnsi="Times New Roman" w:cs="Times New Roman"/>
          <w:b/>
          <w:bCs/>
          <w:sz w:val="24"/>
          <w:szCs w:val="24"/>
        </w:rPr>
        <w:lastRenderedPageBreak/>
        <w:t>References</w:t>
      </w:r>
    </w:p>
    <w:p w14:paraId="57953072" w14:textId="11A919B6" w:rsidR="00E53248" w:rsidRPr="00A3505C" w:rsidRDefault="00016FE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noProof w:val="0"/>
          <w:sz w:val="24"/>
          <w:szCs w:val="24"/>
        </w:rPr>
        <w:fldChar w:fldCharType="begin"/>
      </w:r>
      <w:r w:rsidRPr="00A3505C">
        <w:rPr>
          <w:rFonts w:ascii="Times New Roman" w:hAnsi="Times New Roman" w:cs="Times New Roman"/>
          <w:noProof w:val="0"/>
          <w:sz w:val="24"/>
          <w:szCs w:val="24"/>
        </w:rPr>
        <w:instrText xml:space="preserve"> ADDIN EN.REFLIST </w:instrText>
      </w:r>
      <w:r w:rsidRPr="00A3505C">
        <w:rPr>
          <w:rFonts w:ascii="Times New Roman" w:hAnsi="Times New Roman" w:cs="Times New Roman"/>
          <w:noProof w:val="0"/>
          <w:sz w:val="24"/>
          <w:szCs w:val="24"/>
        </w:rPr>
        <w:fldChar w:fldCharType="separate"/>
      </w:r>
      <w:r w:rsidR="00E53248" w:rsidRPr="00A3505C">
        <w:rPr>
          <w:rFonts w:ascii="Times New Roman" w:hAnsi="Times New Roman" w:cs="Times New Roman"/>
          <w:sz w:val="24"/>
          <w:szCs w:val="24"/>
        </w:rPr>
        <w:t xml:space="preserve">Adomako, S., C. Simms, D. Vazquez‐Brust and H. T. T. Nguyen (2022). </w:t>
      </w:r>
      <w:r w:rsidR="001568D3" w:rsidRPr="00A3505C">
        <w:rPr>
          <w:rFonts w:ascii="Times New Roman" w:hAnsi="Times New Roman" w:cs="Times New Roman"/>
          <w:sz w:val="24"/>
          <w:szCs w:val="24"/>
        </w:rPr>
        <w:t>‘</w:t>
      </w:r>
      <w:r w:rsidR="00E53248" w:rsidRPr="00A3505C">
        <w:rPr>
          <w:rFonts w:ascii="Times New Roman" w:hAnsi="Times New Roman" w:cs="Times New Roman"/>
          <w:sz w:val="24"/>
          <w:szCs w:val="24"/>
        </w:rPr>
        <w:t>Stakeholder green pressure and new product performance in emerging countries: A cross‐country study</w:t>
      </w:r>
      <w:r w:rsidR="001568D3" w:rsidRPr="00A3505C">
        <w:rPr>
          <w:rFonts w:ascii="Times New Roman" w:hAnsi="Times New Roman" w:cs="Times New Roman"/>
          <w:sz w:val="24"/>
          <w:szCs w:val="24"/>
        </w:rPr>
        <w:t>’</w:t>
      </w:r>
      <w:r w:rsidR="00E53248" w:rsidRPr="00A3505C">
        <w:rPr>
          <w:rFonts w:ascii="Times New Roman" w:hAnsi="Times New Roman" w:cs="Times New Roman"/>
          <w:sz w:val="24"/>
          <w:szCs w:val="24"/>
        </w:rPr>
        <w:t xml:space="preserve">, </w:t>
      </w:r>
      <w:r w:rsidR="00E53248" w:rsidRPr="00A3505C">
        <w:rPr>
          <w:rFonts w:ascii="Times New Roman" w:hAnsi="Times New Roman" w:cs="Times New Roman"/>
          <w:i/>
          <w:sz w:val="24"/>
          <w:szCs w:val="24"/>
        </w:rPr>
        <w:t>British Journal of Management</w:t>
      </w:r>
      <w:r w:rsidR="00E53248" w:rsidRPr="00A3505C">
        <w:rPr>
          <w:rFonts w:ascii="Times New Roman" w:hAnsi="Times New Roman" w:cs="Times New Roman"/>
          <w:sz w:val="24"/>
          <w:szCs w:val="24"/>
        </w:rPr>
        <w:t xml:space="preserve">, </w:t>
      </w:r>
      <w:r w:rsidR="00E53248" w:rsidRPr="00A3505C">
        <w:rPr>
          <w:rFonts w:ascii="Times New Roman" w:hAnsi="Times New Roman" w:cs="Times New Roman"/>
          <w:b/>
          <w:sz w:val="24"/>
          <w:szCs w:val="24"/>
        </w:rPr>
        <w:t>34</w:t>
      </w:r>
      <w:r w:rsidR="00E53248" w:rsidRPr="00A3505C">
        <w:rPr>
          <w:rFonts w:ascii="Times New Roman" w:hAnsi="Times New Roman" w:cs="Times New Roman"/>
          <w:sz w:val="24"/>
          <w:szCs w:val="24"/>
        </w:rPr>
        <w:t xml:space="preserve">(1), pp. 299-320, </w:t>
      </w:r>
      <w:hyperlink r:id="rId13" w:history="1">
        <w:r w:rsidR="00E53248" w:rsidRPr="00A3505C">
          <w:rPr>
            <w:rStyle w:val="Hyperlink"/>
            <w:rFonts w:ascii="Times New Roman" w:hAnsi="Times New Roman" w:cs="Times New Roman"/>
            <w:color w:val="auto"/>
            <w:sz w:val="24"/>
            <w:szCs w:val="24"/>
            <w:u w:val="none"/>
          </w:rPr>
          <w:t>https://doi.org/10.1111/1467-8551.12595</w:t>
        </w:r>
      </w:hyperlink>
      <w:r w:rsidR="00E53248" w:rsidRPr="00A3505C">
        <w:rPr>
          <w:rFonts w:ascii="Times New Roman" w:hAnsi="Times New Roman" w:cs="Times New Roman"/>
          <w:sz w:val="24"/>
          <w:szCs w:val="24"/>
        </w:rPr>
        <w:t>.</w:t>
      </w:r>
    </w:p>
    <w:p w14:paraId="5DA20271" w14:textId="2C8BFE5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Alkaraan, F., M. Elmarzouky, K. Hussainey, V. G. Venkatesh, Y. Shi and N. Gulko (2024).</w:t>
      </w:r>
      <w:r w:rsidR="001568D3" w:rsidRPr="00A3505C">
        <w:rPr>
          <w:rFonts w:ascii="Times New Roman" w:hAnsi="Times New Roman" w:cs="Times New Roman"/>
          <w:sz w:val="24"/>
          <w:szCs w:val="24"/>
        </w:rPr>
        <w:t xml:space="preserve"> ‘</w:t>
      </w:r>
      <w:r w:rsidRPr="00A3505C">
        <w:rPr>
          <w:rFonts w:ascii="Times New Roman" w:hAnsi="Times New Roman" w:cs="Times New Roman"/>
          <w:sz w:val="24"/>
          <w:szCs w:val="24"/>
        </w:rPr>
        <w:t>Reinforcing green business strategies with Industry 4.0 and governance towards sustainability: Natural‐resource‐based view and dynamic capability</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Business Strategy and the Environment</w:t>
      </w:r>
      <w:r w:rsidRPr="00A3505C">
        <w:rPr>
          <w:rFonts w:ascii="Times New Roman" w:hAnsi="Times New Roman" w:cs="Times New Roman"/>
          <w:sz w:val="24"/>
          <w:szCs w:val="24"/>
        </w:rPr>
        <w:t xml:space="preserve">, </w:t>
      </w:r>
      <w:hyperlink r:id="rId14" w:history="1">
        <w:r w:rsidRPr="00A3505C">
          <w:rPr>
            <w:rStyle w:val="Hyperlink"/>
            <w:rFonts w:ascii="Times New Roman" w:hAnsi="Times New Roman" w:cs="Times New Roman"/>
            <w:color w:val="auto"/>
            <w:sz w:val="24"/>
            <w:szCs w:val="24"/>
            <w:u w:val="none"/>
          </w:rPr>
          <w:t>https://doi.org/10.1002/bse.3665</w:t>
        </w:r>
      </w:hyperlink>
      <w:r w:rsidRPr="00A3505C">
        <w:rPr>
          <w:rFonts w:ascii="Times New Roman" w:hAnsi="Times New Roman" w:cs="Times New Roman"/>
          <w:sz w:val="24"/>
          <w:szCs w:val="24"/>
        </w:rPr>
        <w:t>.</w:t>
      </w:r>
    </w:p>
    <w:p w14:paraId="6B7EF180" w14:textId="792B36F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Amore, M. D. and M. Bennedsen (2016). ‘Corporate governance and green innovation’, </w:t>
      </w:r>
      <w:r w:rsidRPr="00A3505C">
        <w:rPr>
          <w:rFonts w:ascii="Times New Roman" w:hAnsi="Times New Roman" w:cs="Times New Roman"/>
          <w:i/>
          <w:sz w:val="24"/>
          <w:szCs w:val="24"/>
        </w:rPr>
        <w:t>Journal of Environmental Economics and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75</w:t>
      </w:r>
      <w:r w:rsidRPr="00A3505C">
        <w:rPr>
          <w:rFonts w:ascii="Times New Roman" w:hAnsi="Times New Roman" w:cs="Times New Roman"/>
          <w:sz w:val="24"/>
          <w:szCs w:val="24"/>
        </w:rPr>
        <w:t xml:space="preserve">, pp. 54-72, </w:t>
      </w:r>
      <w:hyperlink r:id="rId15" w:history="1">
        <w:r w:rsidRPr="00A3505C">
          <w:rPr>
            <w:rStyle w:val="Hyperlink"/>
            <w:rFonts w:ascii="Times New Roman" w:hAnsi="Times New Roman" w:cs="Times New Roman"/>
            <w:color w:val="auto"/>
            <w:sz w:val="24"/>
            <w:szCs w:val="24"/>
            <w:u w:val="none"/>
          </w:rPr>
          <w:t>https://doi.org/10.1016/j.jeem.2015.11.003</w:t>
        </w:r>
      </w:hyperlink>
      <w:r w:rsidRPr="00A3505C">
        <w:rPr>
          <w:rFonts w:ascii="Times New Roman" w:hAnsi="Times New Roman" w:cs="Times New Roman"/>
          <w:sz w:val="24"/>
          <w:szCs w:val="24"/>
        </w:rPr>
        <w:t>.</w:t>
      </w:r>
    </w:p>
    <w:p w14:paraId="281CD2F8" w14:textId="3624603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Ang, J. S., C. Hsu, D. Tang and C. Wu (2021). ‘The role of social media in corporate governance’, </w:t>
      </w:r>
      <w:r w:rsidRPr="00A3505C">
        <w:rPr>
          <w:rFonts w:ascii="Times New Roman" w:hAnsi="Times New Roman" w:cs="Times New Roman"/>
          <w:i/>
          <w:sz w:val="24"/>
          <w:szCs w:val="24"/>
        </w:rPr>
        <w:t>The Accounting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96</w:t>
      </w:r>
      <w:r w:rsidRPr="00A3505C">
        <w:rPr>
          <w:rFonts w:ascii="Times New Roman" w:hAnsi="Times New Roman" w:cs="Times New Roman"/>
          <w:sz w:val="24"/>
          <w:szCs w:val="24"/>
        </w:rPr>
        <w:t xml:space="preserve">(2), pp. 1-32, </w:t>
      </w:r>
      <w:hyperlink r:id="rId16" w:history="1">
        <w:r w:rsidRPr="00A3505C">
          <w:rPr>
            <w:rStyle w:val="Hyperlink"/>
            <w:rFonts w:ascii="Times New Roman" w:hAnsi="Times New Roman" w:cs="Times New Roman"/>
            <w:color w:val="auto"/>
            <w:sz w:val="24"/>
            <w:szCs w:val="24"/>
            <w:u w:val="none"/>
          </w:rPr>
          <w:t>https://doi.org/10.2308/tar-2018-0144</w:t>
        </w:r>
      </w:hyperlink>
      <w:r w:rsidRPr="00A3505C">
        <w:rPr>
          <w:rFonts w:ascii="Times New Roman" w:hAnsi="Times New Roman" w:cs="Times New Roman"/>
          <w:sz w:val="24"/>
          <w:szCs w:val="24"/>
        </w:rPr>
        <w:t>.</w:t>
      </w:r>
    </w:p>
    <w:p w14:paraId="61231A2F" w14:textId="37B50242"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Arnold, M., J. A. Tainter and D. Strumsky (2019). ‘Productivity of innovation in biofuel technologies’, </w:t>
      </w:r>
      <w:r w:rsidRPr="00A3505C">
        <w:rPr>
          <w:rFonts w:ascii="Times New Roman" w:hAnsi="Times New Roman" w:cs="Times New Roman"/>
          <w:i/>
          <w:sz w:val="24"/>
          <w:szCs w:val="24"/>
        </w:rPr>
        <w:t>Energy Policy</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124</w:t>
      </w:r>
      <w:r w:rsidRPr="00A3505C">
        <w:rPr>
          <w:rFonts w:ascii="Times New Roman" w:hAnsi="Times New Roman" w:cs="Times New Roman"/>
          <w:sz w:val="24"/>
          <w:szCs w:val="24"/>
        </w:rPr>
        <w:t xml:space="preserve">, pp. 54-62, </w:t>
      </w:r>
      <w:hyperlink r:id="rId17" w:history="1">
        <w:r w:rsidRPr="00A3505C">
          <w:rPr>
            <w:rStyle w:val="Hyperlink"/>
            <w:rFonts w:ascii="Times New Roman" w:hAnsi="Times New Roman" w:cs="Times New Roman"/>
            <w:color w:val="auto"/>
            <w:sz w:val="24"/>
            <w:szCs w:val="24"/>
            <w:u w:val="none"/>
          </w:rPr>
          <w:t>https://doi.org/10.1016/j.enpol.2018.09.005</w:t>
        </w:r>
      </w:hyperlink>
      <w:r w:rsidRPr="00A3505C">
        <w:rPr>
          <w:rFonts w:ascii="Times New Roman" w:hAnsi="Times New Roman" w:cs="Times New Roman"/>
          <w:sz w:val="24"/>
          <w:szCs w:val="24"/>
        </w:rPr>
        <w:t>.</w:t>
      </w:r>
    </w:p>
    <w:p w14:paraId="670F8DC5" w14:textId="031E2D1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lang w:val="fr-FR"/>
        </w:rPr>
        <w:t xml:space="preserve">Arranz, N., M. Arroyabe, J. Li and J. C. Fernandez de Arroyabe (2020). </w:t>
      </w:r>
      <w:r w:rsidRPr="00A3505C">
        <w:rPr>
          <w:rFonts w:ascii="Times New Roman" w:hAnsi="Times New Roman" w:cs="Times New Roman"/>
          <w:sz w:val="24"/>
          <w:szCs w:val="24"/>
        </w:rPr>
        <w:t xml:space="preserve">‘Innovation as a driver of eco‐innovation in the firm: An approach from the dynamic capabilities theory’, </w:t>
      </w:r>
      <w:r w:rsidRPr="00A3505C">
        <w:rPr>
          <w:rFonts w:ascii="Times New Roman" w:hAnsi="Times New Roman" w:cs="Times New Roman"/>
          <w:i/>
          <w:sz w:val="24"/>
          <w:szCs w:val="24"/>
        </w:rPr>
        <w:t>Business Strategy and the Environment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29</w:t>
      </w:r>
      <w:r w:rsidRPr="00A3505C">
        <w:rPr>
          <w:rFonts w:ascii="Times New Roman" w:hAnsi="Times New Roman" w:cs="Times New Roman"/>
          <w:sz w:val="24"/>
          <w:szCs w:val="24"/>
        </w:rPr>
        <w:t xml:space="preserve">(3), pp. 1494-1503, </w:t>
      </w:r>
      <w:hyperlink r:id="rId18" w:history="1">
        <w:r w:rsidRPr="00A3505C">
          <w:rPr>
            <w:rStyle w:val="Hyperlink"/>
            <w:rFonts w:ascii="Times New Roman" w:hAnsi="Times New Roman" w:cs="Times New Roman"/>
            <w:color w:val="auto"/>
            <w:sz w:val="24"/>
            <w:szCs w:val="24"/>
            <w:u w:val="none"/>
          </w:rPr>
          <w:t>https://doi.org/10.1002/bse.2448</w:t>
        </w:r>
      </w:hyperlink>
      <w:r w:rsidRPr="00A3505C">
        <w:rPr>
          <w:rFonts w:ascii="Times New Roman" w:hAnsi="Times New Roman" w:cs="Times New Roman"/>
          <w:sz w:val="24"/>
          <w:szCs w:val="24"/>
        </w:rPr>
        <w:t>.</w:t>
      </w:r>
    </w:p>
    <w:p w14:paraId="5BE6AF59" w14:textId="0B09696D"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Ashraf, S. F., C. Li, M. U. Wattoo, M. Murad and B. Mahmood (2024). ‘Green horizons: Unleashing green innovation through green business strategies and competencies’, </w:t>
      </w:r>
      <w:r w:rsidRPr="00A3505C">
        <w:rPr>
          <w:rFonts w:ascii="Times New Roman" w:hAnsi="Times New Roman" w:cs="Times New Roman"/>
          <w:i/>
          <w:sz w:val="24"/>
          <w:szCs w:val="24"/>
        </w:rPr>
        <w:t>Business Strategy and the Environment</w:t>
      </w:r>
      <w:r w:rsidRPr="00A3505C">
        <w:rPr>
          <w:rFonts w:ascii="Times New Roman" w:hAnsi="Times New Roman" w:cs="Times New Roman"/>
          <w:sz w:val="24"/>
          <w:szCs w:val="24"/>
        </w:rPr>
        <w:t xml:space="preserve">, </w:t>
      </w:r>
      <w:hyperlink r:id="rId19" w:history="1">
        <w:r w:rsidRPr="00A3505C">
          <w:rPr>
            <w:rStyle w:val="Hyperlink"/>
            <w:rFonts w:ascii="Times New Roman" w:hAnsi="Times New Roman" w:cs="Times New Roman"/>
            <w:color w:val="auto"/>
            <w:sz w:val="24"/>
            <w:szCs w:val="24"/>
            <w:u w:val="none"/>
          </w:rPr>
          <w:t>https://doi.org/10.1002/bse.3696</w:t>
        </w:r>
      </w:hyperlink>
      <w:r w:rsidRPr="00A3505C">
        <w:rPr>
          <w:rFonts w:ascii="Times New Roman" w:hAnsi="Times New Roman" w:cs="Times New Roman"/>
          <w:sz w:val="24"/>
          <w:szCs w:val="24"/>
        </w:rPr>
        <w:t>.</w:t>
      </w:r>
    </w:p>
    <w:p w14:paraId="4B1AD573" w14:textId="6558643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Baik, D., C. X. Chen and D. Godsell (2024). ‘Board gender diversity and investment efficiency: Global evidence from 83 country-level interventions’, </w:t>
      </w:r>
      <w:r w:rsidRPr="00A3505C">
        <w:rPr>
          <w:rFonts w:ascii="Times New Roman" w:hAnsi="Times New Roman" w:cs="Times New Roman"/>
          <w:i/>
          <w:sz w:val="24"/>
          <w:szCs w:val="24"/>
        </w:rPr>
        <w:t>The Accounting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99</w:t>
      </w:r>
      <w:r w:rsidRPr="00A3505C">
        <w:rPr>
          <w:rFonts w:ascii="Times New Roman" w:hAnsi="Times New Roman" w:cs="Times New Roman"/>
          <w:sz w:val="24"/>
          <w:szCs w:val="24"/>
        </w:rPr>
        <w:t xml:space="preserve">(3), pp. 1-36, </w:t>
      </w:r>
      <w:hyperlink r:id="rId20" w:history="1">
        <w:r w:rsidRPr="00A3505C">
          <w:rPr>
            <w:rStyle w:val="Hyperlink"/>
            <w:rFonts w:ascii="Times New Roman" w:hAnsi="Times New Roman" w:cs="Times New Roman"/>
            <w:color w:val="auto"/>
            <w:sz w:val="24"/>
            <w:szCs w:val="24"/>
            <w:u w:val="none"/>
          </w:rPr>
          <w:t>https://doi.org/10.2308/tar-2022-0251</w:t>
        </w:r>
      </w:hyperlink>
      <w:r w:rsidRPr="00A3505C">
        <w:rPr>
          <w:rFonts w:ascii="Times New Roman" w:hAnsi="Times New Roman" w:cs="Times New Roman"/>
          <w:sz w:val="24"/>
          <w:szCs w:val="24"/>
        </w:rPr>
        <w:t>.</w:t>
      </w:r>
    </w:p>
    <w:p w14:paraId="2195F9A3" w14:textId="22BDC5C2"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Baker, A. C., D. F. Larcker, C. G. McClure, D. Saraph and E. M. Watts (2024). ‘Diversity washing’, </w:t>
      </w:r>
      <w:r w:rsidRPr="00A3505C">
        <w:rPr>
          <w:rFonts w:ascii="Times New Roman" w:hAnsi="Times New Roman" w:cs="Times New Roman"/>
          <w:i/>
          <w:sz w:val="24"/>
          <w:szCs w:val="24"/>
        </w:rPr>
        <w:t>Journal of Accounting Research</w:t>
      </w:r>
      <w:r w:rsidRPr="00A3505C">
        <w:rPr>
          <w:rFonts w:ascii="Times New Roman" w:hAnsi="Times New Roman" w:cs="Times New Roman"/>
          <w:sz w:val="24"/>
          <w:szCs w:val="24"/>
        </w:rPr>
        <w:t xml:space="preserve">, </w:t>
      </w:r>
      <w:hyperlink r:id="rId21" w:history="1">
        <w:r w:rsidRPr="00A3505C">
          <w:rPr>
            <w:rStyle w:val="Hyperlink"/>
            <w:rFonts w:ascii="Times New Roman" w:hAnsi="Times New Roman" w:cs="Times New Roman"/>
            <w:color w:val="auto"/>
            <w:sz w:val="24"/>
            <w:szCs w:val="24"/>
            <w:u w:val="none"/>
          </w:rPr>
          <w:t>https://doi.org/10.1111/1475-679x.12542</w:t>
        </w:r>
      </w:hyperlink>
      <w:r w:rsidRPr="00A3505C">
        <w:rPr>
          <w:rFonts w:ascii="Times New Roman" w:hAnsi="Times New Roman" w:cs="Times New Roman"/>
          <w:sz w:val="24"/>
          <w:szCs w:val="24"/>
        </w:rPr>
        <w:t>.</w:t>
      </w:r>
    </w:p>
    <w:p w14:paraId="25F8E9F6" w14:textId="100EA098" w:rsidR="000733E1" w:rsidRPr="00A3505C" w:rsidRDefault="000733E1" w:rsidP="00E53248">
      <w:pPr>
        <w:pStyle w:val="EndNoteBibliography"/>
        <w:spacing w:after="0"/>
        <w:ind w:left="720" w:hanging="720"/>
        <w:rPr>
          <w:rFonts w:ascii="Times New Roman" w:hAnsi="Times New Roman" w:cs="Times New Roman"/>
          <w:sz w:val="24"/>
          <w:szCs w:val="24"/>
        </w:rPr>
      </w:pPr>
      <w:bookmarkStart w:id="4" w:name="_Hlk215579565"/>
      <w:r w:rsidRPr="00A3505C">
        <w:rPr>
          <w:rFonts w:ascii="Times New Roman" w:hAnsi="Times New Roman" w:cs="Times New Roman"/>
          <w:sz w:val="24"/>
          <w:szCs w:val="24"/>
        </w:rPr>
        <w:t xml:space="preserve">Bansal, P. (2005). ‘Evolving sustainably: A longitudinal study of corporate sustainable development’, </w:t>
      </w:r>
      <w:r w:rsidRPr="00A3505C">
        <w:rPr>
          <w:rFonts w:ascii="Times New Roman" w:hAnsi="Times New Roman" w:cs="Times New Roman"/>
          <w:i/>
          <w:iCs/>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bCs/>
          <w:sz w:val="24"/>
          <w:szCs w:val="24"/>
        </w:rPr>
        <w:t>26</w:t>
      </w:r>
      <w:r w:rsidRPr="00A3505C">
        <w:rPr>
          <w:rFonts w:ascii="Times New Roman" w:hAnsi="Times New Roman" w:cs="Times New Roman"/>
          <w:sz w:val="24"/>
          <w:szCs w:val="24"/>
        </w:rPr>
        <w:t xml:space="preserve">(3), </w:t>
      </w:r>
      <w:r w:rsidR="003528CF" w:rsidRPr="00A3505C">
        <w:rPr>
          <w:rFonts w:ascii="Times New Roman" w:hAnsi="Times New Roman" w:cs="Times New Roman" w:hint="eastAsia"/>
          <w:sz w:val="24"/>
          <w:szCs w:val="24"/>
        </w:rPr>
        <w:t>pp.</w:t>
      </w:r>
      <w:r w:rsidRPr="00A3505C">
        <w:rPr>
          <w:rFonts w:ascii="Times New Roman" w:hAnsi="Times New Roman" w:cs="Times New Roman"/>
          <w:sz w:val="24"/>
          <w:szCs w:val="24"/>
        </w:rPr>
        <w:t>197</w:t>
      </w:r>
      <w:r w:rsidR="00D547F5" w:rsidRPr="00A3505C">
        <w:rPr>
          <w:rFonts w:ascii="Times New Roman" w:hAnsi="Times New Roman" w:cs="Times New Roman"/>
          <w:sz w:val="24"/>
          <w:szCs w:val="24"/>
        </w:rPr>
        <w:t>-</w:t>
      </w:r>
      <w:r w:rsidRPr="00A3505C">
        <w:rPr>
          <w:rFonts w:ascii="Times New Roman" w:hAnsi="Times New Roman" w:cs="Times New Roman"/>
          <w:sz w:val="24"/>
          <w:szCs w:val="24"/>
        </w:rPr>
        <w:t xml:space="preserve">218. </w:t>
      </w:r>
      <w:r w:rsidRPr="00A3505C">
        <w:rPr>
          <w:rStyle w:val="Hyperlink"/>
          <w:rFonts w:ascii="Times New Roman" w:hAnsi="Times New Roman" w:cs="Times New Roman"/>
          <w:color w:val="auto"/>
          <w:u w:val="none"/>
        </w:rPr>
        <w:t xml:space="preserve">https://doi.org/10.1002/smj.441 </w:t>
      </w:r>
    </w:p>
    <w:bookmarkEnd w:id="4"/>
    <w:p w14:paraId="4BC03ACB" w14:textId="3B9233A3"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Barney, J. (1991). ‘Firm resources and sustained competitive advantage’,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17</w:t>
      </w:r>
      <w:r w:rsidRPr="00A3505C">
        <w:rPr>
          <w:rFonts w:ascii="Times New Roman" w:hAnsi="Times New Roman" w:cs="Times New Roman"/>
          <w:sz w:val="24"/>
          <w:szCs w:val="24"/>
        </w:rPr>
        <w:t xml:space="preserve">(1), pp. 99-120, </w:t>
      </w:r>
      <w:hyperlink r:id="rId22" w:history="1">
        <w:r w:rsidRPr="00A3505C">
          <w:rPr>
            <w:rStyle w:val="Hyperlink"/>
            <w:rFonts w:ascii="Times New Roman" w:hAnsi="Times New Roman" w:cs="Times New Roman"/>
            <w:color w:val="auto"/>
            <w:sz w:val="24"/>
            <w:szCs w:val="24"/>
            <w:u w:val="none"/>
          </w:rPr>
          <w:t>https://doi.org/10.1177/014920639101700108</w:t>
        </w:r>
      </w:hyperlink>
      <w:r w:rsidRPr="00A3505C">
        <w:rPr>
          <w:rFonts w:ascii="Times New Roman" w:hAnsi="Times New Roman" w:cs="Times New Roman"/>
          <w:sz w:val="24"/>
          <w:szCs w:val="24"/>
        </w:rPr>
        <w:t>.</w:t>
      </w:r>
    </w:p>
    <w:p w14:paraId="3C72BF4C" w14:textId="177FF3E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Barney, J., D. J. Ketchen and M. Wright (2021a). ‘Bold voices and new opportunities: An expanded research agenda for the resource-based view’,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47</w:t>
      </w:r>
      <w:r w:rsidRPr="00A3505C">
        <w:rPr>
          <w:rFonts w:ascii="Times New Roman" w:hAnsi="Times New Roman" w:cs="Times New Roman"/>
          <w:sz w:val="24"/>
          <w:szCs w:val="24"/>
        </w:rPr>
        <w:t xml:space="preserve">(7), pp. 1677-1683, </w:t>
      </w:r>
      <w:hyperlink r:id="rId23" w:history="1">
        <w:r w:rsidRPr="00A3505C">
          <w:rPr>
            <w:rStyle w:val="Hyperlink"/>
            <w:rFonts w:ascii="Times New Roman" w:hAnsi="Times New Roman" w:cs="Times New Roman"/>
            <w:color w:val="auto"/>
            <w:sz w:val="24"/>
            <w:szCs w:val="24"/>
            <w:u w:val="none"/>
          </w:rPr>
          <w:t>https://doi.org/10.1177/01492063211014276</w:t>
        </w:r>
      </w:hyperlink>
      <w:r w:rsidRPr="00A3505C">
        <w:rPr>
          <w:rFonts w:ascii="Times New Roman" w:hAnsi="Times New Roman" w:cs="Times New Roman"/>
          <w:sz w:val="24"/>
          <w:szCs w:val="24"/>
        </w:rPr>
        <w:t>.</w:t>
      </w:r>
    </w:p>
    <w:p w14:paraId="0CA42F54" w14:textId="29A0C3B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Barney, J., D. J. Ketchen and M. Wright (2021b). ‘Resource-based theory and the value creation framework’,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47</w:t>
      </w:r>
      <w:r w:rsidRPr="00A3505C">
        <w:rPr>
          <w:rFonts w:ascii="Times New Roman" w:hAnsi="Times New Roman" w:cs="Times New Roman"/>
          <w:sz w:val="24"/>
          <w:szCs w:val="24"/>
        </w:rPr>
        <w:t xml:space="preserve">(7), </w:t>
      </w:r>
      <w:hyperlink r:id="rId24" w:history="1">
        <w:r w:rsidRPr="00A3505C">
          <w:rPr>
            <w:rStyle w:val="Hyperlink"/>
            <w:rFonts w:ascii="Times New Roman" w:hAnsi="Times New Roman" w:cs="Times New Roman"/>
            <w:color w:val="auto"/>
            <w:sz w:val="24"/>
            <w:szCs w:val="24"/>
            <w:u w:val="none"/>
          </w:rPr>
          <w:t>https://doi.org/10.1177/01492063211021655</w:t>
        </w:r>
      </w:hyperlink>
      <w:r w:rsidRPr="00A3505C">
        <w:rPr>
          <w:rFonts w:ascii="Times New Roman" w:hAnsi="Times New Roman" w:cs="Times New Roman"/>
          <w:sz w:val="24"/>
          <w:szCs w:val="24"/>
        </w:rPr>
        <w:t>.</w:t>
      </w:r>
    </w:p>
    <w:p w14:paraId="6EDEBF09" w14:textId="5633E778"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Barney, J. B. (2018). ‘Why resource‐based theory</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 xml:space="preserve">s model of profit appropriation must incorporate a stakeholder perspective’,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39</w:t>
      </w:r>
      <w:r w:rsidRPr="00A3505C">
        <w:rPr>
          <w:rFonts w:ascii="Times New Roman" w:hAnsi="Times New Roman" w:cs="Times New Roman"/>
          <w:sz w:val="24"/>
          <w:szCs w:val="24"/>
        </w:rPr>
        <w:t xml:space="preserve">(13), pp. 3305-3325, </w:t>
      </w:r>
      <w:hyperlink r:id="rId25" w:history="1">
        <w:r w:rsidRPr="00A3505C">
          <w:rPr>
            <w:rStyle w:val="Hyperlink"/>
            <w:rFonts w:ascii="Times New Roman" w:hAnsi="Times New Roman" w:cs="Times New Roman"/>
            <w:color w:val="auto"/>
            <w:sz w:val="24"/>
            <w:szCs w:val="24"/>
            <w:u w:val="none"/>
          </w:rPr>
          <w:t>https://doi.org/10.1002/smj.2949</w:t>
        </w:r>
      </w:hyperlink>
      <w:r w:rsidRPr="00A3505C">
        <w:rPr>
          <w:rFonts w:ascii="Times New Roman" w:hAnsi="Times New Roman" w:cs="Times New Roman"/>
          <w:sz w:val="24"/>
          <w:szCs w:val="24"/>
        </w:rPr>
        <w:t>.</w:t>
      </w:r>
    </w:p>
    <w:p w14:paraId="0E4D63EB"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Barney, J. B. and W. S. Hesterly (2019). </w:t>
      </w:r>
      <w:r w:rsidRPr="00A3505C">
        <w:rPr>
          <w:rFonts w:ascii="Times New Roman" w:hAnsi="Times New Roman" w:cs="Times New Roman"/>
          <w:i/>
          <w:sz w:val="24"/>
          <w:szCs w:val="24"/>
        </w:rPr>
        <w:t>Strategic Management and Competitive Advantage: Concepts and Cases</w:t>
      </w:r>
      <w:r w:rsidRPr="00A3505C">
        <w:rPr>
          <w:rFonts w:ascii="Times New Roman" w:hAnsi="Times New Roman" w:cs="Times New Roman"/>
          <w:sz w:val="24"/>
          <w:szCs w:val="24"/>
        </w:rPr>
        <w:t>. Pearson.</w:t>
      </w:r>
    </w:p>
    <w:p w14:paraId="7CCD0741" w14:textId="1DF06008"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Bassen, A., H. Shu and W. Tan (2023). ‘Green revenues and stock returns: Cross-market evidence’, </w:t>
      </w:r>
      <w:r w:rsidRPr="00A3505C">
        <w:rPr>
          <w:rFonts w:ascii="Times New Roman" w:hAnsi="Times New Roman" w:cs="Times New Roman"/>
          <w:i/>
          <w:sz w:val="24"/>
          <w:szCs w:val="24"/>
        </w:rPr>
        <w:t>Finance Research Letters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52</w:t>
      </w:r>
      <w:r w:rsidRPr="00A3505C">
        <w:rPr>
          <w:rFonts w:ascii="Times New Roman" w:hAnsi="Times New Roman" w:cs="Times New Roman"/>
          <w:sz w:val="24"/>
          <w:szCs w:val="24"/>
        </w:rPr>
        <w:t xml:space="preserve">(C), </w:t>
      </w:r>
      <w:hyperlink r:id="rId26" w:history="1">
        <w:r w:rsidRPr="00A3505C">
          <w:rPr>
            <w:rStyle w:val="Hyperlink"/>
            <w:rFonts w:ascii="Times New Roman" w:hAnsi="Times New Roman" w:cs="Times New Roman"/>
            <w:color w:val="auto"/>
            <w:sz w:val="24"/>
            <w:szCs w:val="24"/>
            <w:u w:val="none"/>
          </w:rPr>
          <w:t>https://doi.org/10.1016/j.frl.2022.103550</w:t>
        </w:r>
      </w:hyperlink>
      <w:r w:rsidRPr="00A3505C">
        <w:rPr>
          <w:rFonts w:ascii="Times New Roman" w:hAnsi="Times New Roman" w:cs="Times New Roman"/>
          <w:sz w:val="24"/>
          <w:szCs w:val="24"/>
        </w:rPr>
        <w:t>.</w:t>
      </w:r>
    </w:p>
    <w:p w14:paraId="6654AF16" w14:textId="6779B34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Baumol, W. J. (1962). ‘On the theory of expansion of the firm’, </w:t>
      </w:r>
      <w:r w:rsidRPr="00A3505C">
        <w:rPr>
          <w:rFonts w:ascii="Times New Roman" w:hAnsi="Times New Roman" w:cs="Times New Roman"/>
          <w:i/>
          <w:sz w:val="24"/>
          <w:szCs w:val="24"/>
        </w:rPr>
        <w:t>American Economic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52</w:t>
      </w:r>
      <w:r w:rsidRPr="00A3505C">
        <w:rPr>
          <w:rFonts w:ascii="Times New Roman" w:hAnsi="Times New Roman" w:cs="Times New Roman"/>
          <w:sz w:val="24"/>
          <w:szCs w:val="24"/>
        </w:rPr>
        <w:t xml:space="preserve">(5), pp. 1078-1087,  </w:t>
      </w:r>
      <w:hyperlink r:id="rId27" w:history="1">
        <w:r w:rsidRPr="00A3505C">
          <w:rPr>
            <w:rStyle w:val="Hyperlink"/>
            <w:rFonts w:ascii="Times New Roman" w:hAnsi="Times New Roman" w:cs="Times New Roman"/>
            <w:color w:val="auto"/>
            <w:sz w:val="24"/>
            <w:szCs w:val="24"/>
            <w:u w:val="none"/>
          </w:rPr>
          <w:t>https://www.jstor.org/stable/1812183</w:t>
        </w:r>
      </w:hyperlink>
      <w:r w:rsidRPr="00A3505C">
        <w:rPr>
          <w:rFonts w:ascii="Times New Roman" w:hAnsi="Times New Roman" w:cs="Times New Roman"/>
          <w:sz w:val="24"/>
          <w:szCs w:val="24"/>
        </w:rPr>
        <w:t>.</w:t>
      </w:r>
    </w:p>
    <w:p w14:paraId="48E1215D" w14:textId="6F68AE3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Bouguerra, A., M. Hughes, M. S. Cakir and E. Tatoglu (2022). ‘Linking entrepreneurial orientation to environmental collaboration: A stakeholder theory and evidence from multinational companies in an emerging market’,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34</w:t>
      </w:r>
      <w:r w:rsidRPr="00A3505C">
        <w:rPr>
          <w:rFonts w:ascii="Times New Roman" w:hAnsi="Times New Roman" w:cs="Times New Roman"/>
          <w:sz w:val="24"/>
          <w:szCs w:val="24"/>
        </w:rPr>
        <w:t xml:space="preserve">(1), pp. 487-511, </w:t>
      </w:r>
      <w:hyperlink r:id="rId28" w:history="1">
        <w:r w:rsidRPr="00A3505C">
          <w:rPr>
            <w:rStyle w:val="Hyperlink"/>
            <w:rFonts w:ascii="Times New Roman" w:hAnsi="Times New Roman" w:cs="Times New Roman"/>
            <w:color w:val="auto"/>
            <w:sz w:val="24"/>
            <w:szCs w:val="24"/>
            <w:u w:val="none"/>
          </w:rPr>
          <w:t>https://doi.org/10.1111/1467-8551.12590</w:t>
        </w:r>
      </w:hyperlink>
      <w:r w:rsidRPr="00A3505C">
        <w:rPr>
          <w:rFonts w:ascii="Times New Roman" w:hAnsi="Times New Roman" w:cs="Times New Roman"/>
          <w:sz w:val="24"/>
          <w:szCs w:val="24"/>
        </w:rPr>
        <w:t>.</w:t>
      </w:r>
    </w:p>
    <w:p w14:paraId="781368C6" w14:textId="51389CF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Bowman, C. and V. Ambrosini (2002). ‘Value creation versus value capture: Towards a coherent definition of value in strategy’,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11</w:t>
      </w:r>
      <w:r w:rsidRPr="00A3505C">
        <w:rPr>
          <w:rFonts w:ascii="Times New Roman" w:hAnsi="Times New Roman" w:cs="Times New Roman"/>
          <w:sz w:val="24"/>
          <w:szCs w:val="24"/>
        </w:rPr>
        <w:t xml:space="preserve">(1), pp. 1-15, </w:t>
      </w:r>
      <w:hyperlink r:id="rId29" w:history="1">
        <w:r w:rsidRPr="00A3505C">
          <w:rPr>
            <w:rStyle w:val="Hyperlink"/>
            <w:rFonts w:ascii="Times New Roman" w:hAnsi="Times New Roman" w:cs="Times New Roman"/>
            <w:color w:val="auto"/>
            <w:sz w:val="24"/>
            <w:szCs w:val="24"/>
            <w:u w:val="none"/>
          </w:rPr>
          <w:t>https://doi.org/10.1111/1467-8551.00147</w:t>
        </w:r>
      </w:hyperlink>
      <w:r w:rsidRPr="00A3505C">
        <w:rPr>
          <w:rFonts w:ascii="Times New Roman" w:hAnsi="Times New Roman" w:cs="Times New Roman"/>
          <w:sz w:val="24"/>
          <w:szCs w:val="24"/>
        </w:rPr>
        <w:t>.</w:t>
      </w:r>
    </w:p>
    <w:p w14:paraId="4B6B128F" w14:textId="2444687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Canina, L., C. A. Enz and J. S. Harrison (2005). ‘Agglomeration effects and strategic orientations: Evidence from the U.S. lodging industry’, </w:t>
      </w:r>
      <w:r w:rsidRPr="00A3505C">
        <w:rPr>
          <w:rFonts w:ascii="Times New Roman" w:hAnsi="Times New Roman" w:cs="Times New Roman"/>
          <w:i/>
          <w:sz w:val="24"/>
          <w:szCs w:val="24"/>
        </w:rPr>
        <w:t>Academy of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48</w:t>
      </w:r>
      <w:r w:rsidRPr="00A3505C">
        <w:rPr>
          <w:rFonts w:ascii="Times New Roman" w:hAnsi="Times New Roman" w:cs="Times New Roman"/>
          <w:sz w:val="24"/>
          <w:szCs w:val="24"/>
        </w:rPr>
        <w:t xml:space="preserve">(4), pp. 565-581,  </w:t>
      </w:r>
      <w:hyperlink r:id="rId30" w:history="1">
        <w:r w:rsidRPr="00A3505C">
          <w:rPr>
            <w:rStyle w:val="Hyperlink"/>
            <w:rFonts w:ascii="Times New Roman" w:hAnsi="Times New Roman" w:cs="Times New Roman"/>
            <w:color w:val="auto"/>
            <w:sz w:val="24"/>
            <w:szCs w:val="24"/>
            <w:u w:val="none"/>
          </w:rPr>
          <w:t>https://www.jstor.org/stable/20159679</w:t>
        </w:r>
      </w:hyperlink>
      <w:r w:rsidRPr="00A3505C">
        <w:rPr>
          <w:rFonts w:ascii="Times New Roman" w:hAnsi="Times New Roman" w:cs="Times New Roman"/>
          <w:sz w:val="24"/>
          <w:szCs w:val="24"/>
        </w:rPr>
        <w:t>.</w:t>
      </w:r>
    </w:p>
    <w:p w14:paraId="1A30B74B" w14:textId="690FF55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Cao, J., Z. Huang and A. B. Kristanto (2025a). ‘Brightening the dark side of environmental regulation: Evidence from green revenues and greenwashing behaviors’, </w:t>
      </w:r>
      <w:r w:rsidRPr="00A3505C">
        <w:rPr>
          <w:rFonts w:ascii="Times New Roman" w:hAnsi="Times New Roman" w:cs="Times New Roman"/>
          <w:i/>
          <w:sz w:val="24"/>
          <w:szCs w:val="24"/>
        </w:rPr>
        <w:t>Journal of International Accounting Research</w:t>
      </w:r>
      <w:r w:rsidRPr="00A3505C">
        <w:rPr>
          <w:rFonts w:ascii="Times New Roman" w:hAnsi="Times New Roman" w:cs="Times New Roman"/>
          <w:sz w:val="24"/>
          <w:szCs w:val="24"/>
        </w:rPr>
        <w:t xml:space="preserve">, </w:t>
      </w:r>
      <w:hyperlink r:id="rId31" w:history="1">
        <w:r w:rsidRPr="00A3505C">
          <w:rPr>
            <w:rStyle w:val="Hyperlink"/>
            <w:rFonts w:ascii="Times New Roman" w:hAnsi="Times New Roman" w:cs="Times New Roman"/>
            <w:color w:val="auto"/>
            <w:sz w:val="24"/>
            <w:szCs w:val="24"/>
            <w:u w:val="none"/>
          </w:rPr>
          <w:t>https://doi.org/10.2308/JIAR-2024-025</w:t>
        </w:r>
      </w:hyperlink>
      <w:r w:rsidRPr="00A3505C">
        <w:rPr>
          <w:rFonts w:ascii="Times New Roman" w:hAnsi="Times New Roman" w:cs="Times New Roman"/>
          <w:sz w:val="24"/>
          <w:szCs w:val="24"/>
        </w:rPr>
        <w:t>.</w:t>
      </w:r>
    </w:p>
    <w:p w14:paraId="6FCE2A72" w14:textId="02BEB41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Cao, J., Z. Huang and A. B. Kristanto (2025b). ‘From bytes to blooms: Tech-driven transformation and green revenues’,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144</w:t>
      </w:r>
      <w:r w:rsidRPr="00A3505C">
        <w:rPr>
          <w:rFonts w:ascii="Times New Roman" w:hAnsi="Times New Roman" w:cs="Times New Roman"/>
          <w:sz w:val="24"/>
          <w:szCs w:val="24"/>
        </w:rPr>
        <w:t xml:space="preserve">, </w:t>
      </w:r>
      <w:hyperlink r:id="rId32" w:history="1">
        <w:r w:rsidRPr="00A3505C">
          <w:rPr>
            <w:rStyle w:val="Hyperlink"/>
            <w:rFonts w:ascii="Times New Roman" w:hAnsi="Times New Roman" w:cs="Times New Roman"/>
            <w:color w:val="auto"/>
            <w:sz w:val="24"/>
            <w:szCs w:val="24"/>
            <w:u w:val="none"/>
          </w:rPr>
          <w:t>https://doi.org/10.1016/j.eneco.2025.108312</w:t>
        </w:r>
      </w:hyperlink>
      <w:r w:rsidRPr="00A3505C">
        <w:rPr>
          <w:rFonts w:ascii="Times New Roman" w:hAnsi="Times New Roman" w:cs="Times New Roman"/>
          <w:sz w:val="24"/>
          <w:szCs w:val="24"/>
        </w:rPr>
        <w:t>.</w:t>
      </w:r>
    </w:p>
    <w:p w14:paraId="3C64966F" w14:textId="19F262A3"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Cao, J., Z. Huang and M. Liew (2025c). ‘The environmental-financial nexus: Centralized environmental monitoring, eco-consciousness, and green revenues’, </w:t>
      </w:r>
      <w:r w:rsidRPr="00A3505C">
        <w:rPr>
          <w:rFonts w:ascii="Times New Roman" w:hAnsi="Times New Roman" w:cs="Times New Roman"/>
          <w:i/>
          <w:sz w:val="24"/>
          <w:szCs w:val="24"/>
        </w:rPr>
        <w:t>Journal of Economic Behavior &amp; Organization</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231</w:t>
      </w:r>
      <w:r w:rsidRPr="00A3505C">
        <w:rPr>
          <w:rFonts w:ascii="Times New Roman" w:hAnsi="Times New Roman" w:cs="Times New Roman"/>
          <w:sz w:val="24"/>
          <w:szCs w:val="24"/>
        </w:rPr>
        <w:t xml:space="preserve">, </w:t>
      </w:r>
      <w:hyperlink r:id="rId33" w:history="1">
        <w:r w:rsidRPr="00A3505C">
          <w:rPr>
            <w:rStyle w:val="Hyperlink"/>
            <w:rFonts w:ascii="Times New Roman" w:hAnsi="Times New Roman" w:cs="Times New Roman"/>
            <w:color w:val="auto"/>
            <w:sz w:val="24"/>
            <w:szCs w:val="24"/>
            <w:u w:val="none"/>
          </w:rPr>
          <w:t>https://doi.org/10.1016/j.jebo.2025.106929</w:t>
        </w:r>
      </w:hyperlink>
      <w:r w:rsidRPr="00A3505C">
        <w:rPr>
          <w:rFonts w:ascii="Times New Roman" w:hAnsi="Times New Roman" w:cs="Times New Roman"/>
          <w:sz w:val="24"/>
          <w:szCs w:val="24"/>
        </w:rPr>
        <w:t>.</w:t>
      </w:r>
    </w:p>
    <w:p w14:paraId="37492F62" w14:textId="069EECE3"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Certo, S. T., J. R. Busenbark, H. S. Woo and M. Semadeni (2016). ‘Sample selection bias and Heckman models in strategic management research’,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37</w:t>
      </w:r>
      <w:r w:rsidRPr="00A3505C">
        <w:rPr>
          <w:rFonts w:ascii="Times New Roman" w:hAnsi="Times New Roman" w:cs="Times New Roman"/>
          <w:sz w:val="24"/>
          <w:szCs w:val="24"/>
        </w:rPr>
        <w:t xml:space="preserve">(13), pp. 2639-2657, </w:t>
      </w:r>
      <w:hyperlink r:id="rId34" w:history="1">
        <w:r w:rsidRPr="00A3505C">
          <w:rPr>
            <w:rStyle w:val="Hyperlink"/>
            <w:rFonts w:ascii="Times New Roman" w:hAnsi="Times New Roman" w:cs="Times New Roman"/>
            <w:color w:val="auto"/>
            <w:sz w:val="24"/>
            <w:szCs w:val="24"/>
            <w:u w:val="none"/>
          </w:rPr>
          <w:t>https://doi.org/10.1002/smj.2475</w:t>
        </w:r>
      </w:hyperlink>
      <w:r w:rsidRPr="00A3505C">
        <w:rPr>
          <w:rFonts w:ascii="Times New Roman" w:hAnsi="Times New Roman" w:cs="Times New Roman"/>
          <w:sz w:val="24"/>
          <w:szCs w:val="24"/>
        </w:rPr>
        <w:t>.</w:t>
      </w:r>
    </w:p>
    <w:p w14:paraId="33C42717" w14:textId="18EAE6A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Chen, S., Y. Zhao, F.-W. Huang, B. Wang and J.-H. Lin (2024). ‘Carbon leakage perspective: Unveiling policy dilemmas in emission trading and carbon tariffs under insurer green finance’,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130</w:t>
      </w:r>
      <w:r w:rsidRPr="00A3505C">
        <w:rPr>
          <w:rFonts w:ascii="Times New Roman" w:hAnsi="Times New Roman" w:cs="Times New Roman"/>
          <w:sz w:val="24"/>
          <w:szCs w:val="24"/>
        </w:rPr>
        <w:t xml:space="preserve">, </w:t>
      </w:r>
      <w:hyperlink r:id="rId35" w:history="1">
        <w:r w:rsidRPr="00A3505C">
          <w:rPr>
            <w:rStyle w:val="Hyperlink"/>
            <w:rFonts w:ascii="Times New Roman" w:hAnsi="Times New Roman" w:cs="Times New Roman"/>
            <w:color w:val="auto"/>
            <w:sz w:val="24"/>
            <w:szCs w:val="24"/>
            <w:u w:val="none"/>
          </w:rPr>
          <w:t>https://doi.org/10.1016/j.eneco.2023.107292</w:t>
        </w:r>
      </w:hyperlink>
      <w:r w:rsidRPr="00A3505C">
        <w:rPr>
          <w:rFonts w:ascii="Times New Roman" w:hAnsi="Times New Roman" w:cs="Times New Roman"/>
          <w:sz w:val="24"/>
          <w:szCs w:val="24"/>
        </w:rPr>
        <w:t>.</w:t>
      </w:r>
    </w:p>
    <w:p w14:paraId="67440B4B"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Chesbrough, H. W. (2003). </w:t>
      </w:r>
      <w:r w:rsidRPr="00A3505C">
        <w:rPr>
          <w:rFonts w:ascii="Times New Roman" w:hAnsi="Times New Roman" w:cs="Times New Roman"/>
          <w:i/>
          <w:sz w:val="24"/>
          <w:szCs w:val="24"/>
        </w:rPr>
        <w:t>Open Innovation: The New Imperative for Creating and Profiting from Technology</w:t>
      </w:r>
      <w:r w:rsidRPr="00A3505C">
        <w:rPr>
          <w:rFonts w:ascii="Times New Roman" w:hAnsi="Times New Roman" w:cs="Times New Roman"/>
          <w:sz w:val="24"/>
          <w:szCs w:val="24"/>
        </w:rPr>
        <w:t>. Boston: Harvard Business School Press.</w:t>
      </w:r>
    </w:p>
    <w:p w14:paraId="5729363A" w14:textId="0EF7F1F1" w:rsidR="00176461" w:rsidRPr="00A3505C" w:rsidRDefault="00176461" w:rsidP="00354A2F">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Choi, H.-K., D. Cumming, Q. Du and J. H. Lee (2025). ‘The agency costs of side-by-side management: Evidence from the hedge fund and private equity industry’, </w:t>
      </w:r>
      <w:r w:rsidRPr="00A3505C">
        <w:rPr>
          <w:rFonts w:ascii="Times New Roman" w:hAnsi="Times New Roman" w:cs="Times New Roman"/>
          <w:i/>
          <w:iCs/>
          <w:sz w:val="24"/>
          <w:szCs w:val="24"/>
        </w:rPr>
        <w:t>British Journal of Management</w:t>
      </w:r>
      <w:r w:rsidR="00223962"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https://doi.org/10.1111/1467-8551.70006 </w:t>
      </w:r>
    </w:p>
    <w:p w14:paraId="121392E7" w14:textId="513D2B15"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Cleary, S. (1999). ‘The relationship between firm investment and financial status’, </w:t>
      </w:r>
      <w:r w:rsidRPr="00A3505C">
        <w:rPr>
          <w:rFonts w:ascii="Times New Roman" w:hAnsi="Times New Roman" w:cs="Times New Roman"/>
          <w:i/>
          <w:sz w:val="24"/>
          <w:szCs w:val="24"/>
        </w:rPr>
        <w:t>The Journal of Finance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54</w:t>
      </w:r>
      <w:r w:rsidRPr="00A3505C">
        <w:rPr>
          <w:rFonts w:ascii="Times New Roman" w:hAnsi="Times New Roman" w:cs="Times New Roman"/>
          <w:sz w:val="24"/>
          <w:szCs w:val="24"/>
        </w:rPr>
        <w:t xml:space="preserve">(2), pp. 673-692, </w:t>
      </w:r>
      <w:hyperlink r:id="rId36" w:history="1">
        <w:r w:rsidRPr="00A3505C">
          <w:rPr>
            <w:rStyle w:val="Hyperlink"/>
            <w:rFonts w:ascii="Times New Roman" w:hAnsi="Times New Roman" w:cs="Times New Roman"/>
            <w:color w:val="auto"/>
            <w:sz w:val="24"/>
            <w:szCs w:val="24"/>
            <w:u w:val="none"/>
          </w:rPr>
          <w:t>https://doi.org/10.1111/0022-1082.00121</w:t>
        </w:r>
      </w:hyperlink>
      <w:r w:rsidRPr="00A3505C">
        <w:rPr>
          <w:rFonts w:ascii="Times New Roman" w:hAnsi="Times New Roman" w:cs="Times New Roman"/>
          <w:sz w:val="24"/>
          <w:szCs w:val="24"/>
        </w:rPr>
        <w:t>.</w:t>
      </w:r>
    </w:p>
    <w:p w14:paraId="3AAFD6CF" w14:textId="130E90A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Combs, J. G., J. D. J. Ketchen, R. D. Ireland and J. W. Webb (2011). ‘The role of resource flexibility in leveraging strategic resources’, </w:t>
      </w:r>
      <w:r w:rsidRPr="00A3505C">
        <w:rPr>
          <w:rFonts w:ascii="Times New Roman" w:hAnsi="Times New Roman" w:cs="Times New Roman"/>
          <w:i/>
          <w:sz w:val="24"/>
          <w:szCs w:val="24"/>
        </w:rPr>
        <w:t>Journal of Management Studies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48</w:t>
      </w:r>
      <w:r w:rsidRPr="00A3505C">
        <w:rPr>
          <w:rFonts w:ascii="Times New Roman" w:hAnsi="Times New Roman" w:cs="Times New Roman"/>
          <w:sz w:val="24"/>
          <w:szCs w:val="24"/>
        </w:rPr>
        <w:t xml:space="preserve">(5), pp. 1098-1125, </w:t>
      </w:r>
      <w:hyperlink r:id="rId37" w:history="1">
        <w:r w:rsidRPr="00A3505C">
          <w:rPr>
            <w:rStyle w:val="Hyperlink"/>
            <w:rFonts w:ascii="Times New Roman" w:hAnsi="Times New Roman" w:cs="Times New Roman"/>
            <w:color w:val="auto"/>
            <w:sz w:val="24"/>
            <w:szCs w:val="24"/>
            <w:u w:val="none"/>
          </w:rPr>
          <w:t>https://doi.org/10.1111/j.1467-6486.2009.00912.x</w:t>
        </w:r>
      </w:hyperlink>
      <w:r w:rsidRPr="00A3505C">
        <w:rPr>
          <w:rFonts w:ascii="Times New Roman" w:hAnsi="Times New Roman" w:cs="Times New Roman"/>
          <w:sz w:val="24"/>
          <w:szCs w:val="24"/>
        </w:rPr>
        <w:t>.</w:t>
      </w:r>
    </w:p>
    <w:p w14:paraId="60CC5FCD" w14:textId="3ACAD9B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Dagestani, A. A., Y. Shang, N. Schneider, J. Cifuentes-Faura and X. Zhao (2023). ‘Porter in China: A quasi-experimental view of market-based environmental regulation effects on firm performance’,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126</w:t>
      </w:r>
      <w:r w:rsidRPr="00A3505C">
        <w:rPr>
          <w:rFonts w:ascii="Times New Roman" w:hAnsi="Times New Roman" w:cs="Times New Roman"/>
          <w:sz w:val="24"/>
          <w:szCs w:val="24"/>
        </w:rPr>
        <w:t xml:space="preserve">, </w:t>
      </w:r>
      <w:hyperlink r:id="rId38" w:history="1">
        <w:r w:rsidRPr="00A3505C">
          <w:rPr>
            <w:rStyle w:val="Hyperlink"/>
            <w:rFonts w:ascii="Times New Roman" w:hAnsi="Times New Roman" w:cs="Times New Roman"/>
            <w:color w:val="auto"/>
            <w:sz w:val="24"/>
            <w:szCs w:val="24"/>
            <w:u w:val="none"/>
          </w:rPr>
          <w:t>https://doi.org/10.1016/j.eneco.2023.106966</w:t>
        </w:r>
      </w:hyperlink>
      <w:r w:rsidRPr="00A3505C">
        <w:rPr>
          <w:rFonts w:ascii="Times New Roman" w:hAnsi="Times New Roman" w:cs="Times New Roman"/>
          <w:sz w:val="24"/>
          <w:szCs w:val="24"/>
        </w:rPr>
        <w:t>.</w:t>
      </w:r>
    </w:p>
    <w:p w14:paraId="4705B80A" w14:textId="2334C73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Dai, L., J. T. Parwada and B. Zhang (2015). ‘The governance effect of the media’s news dissemination role: Evidence from insider trading’, </w:t>
      </w:r>
      <w:r w:rsidRPr="00A3505C">
        <w:rPr>
          <w:rFonts w:ascii="Times New Roman" w:hAnsi="Times New Roman" w:cs="Times New Roman"/>
          <w:i/>
          <w:sz w:val="24"/>
          <w:szCs w:val="24"/>
        </w:rPr>
        <w:t>Journal of Accounting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53</w:t>
      </w:r>
      <w:r w:rsidRPr="00A3505C">
        <w:rPr>
          <w:rFonts w:ascii="Times New Roman" w:hAnsi="Times New Roman" w:cs="Times New Roman"/>
          <w:sz w:val="24"/>
          <w:szCs w:val="24"/>
        </w:rPr>
        <w:t xml:space="preserve">(2), pp. 331-366, </w:t>
      </w:r>
      <w:hyperlink r:id="rId39" w:history="1">
        <w:r w:rsidRPr="00A3505C">
          <w:rPr>
            <w:rStyle w:val="Hyperlink"/>
            <w:rFonts w:ascii="Times New Roman" w:hAnsi="Times New Roman" w:cs="Times New Roman"/>
            <w:color w:val="auto"/>
            <w:sz w:val="24"/>
            <w:szCs w:val="24"/>
            <w:u w:val="none"/>
          </w:rPr>
          <w:t>https://doi.org/10.1111/1475-679x.12073</w:t>
        </w:r>
      </w:hyperlink>
      <w:r w:rsidRPr="00A3505C">
        <w:rPr>
          <w:rFonts w:ascii="Times New Roman" w:hAnsi="Times New Roman" w:cs="Times New Roman"/>
          <w:sz w:val="24"/>
          <w:szCs w:val="24"/>
        </w:rPr>
        <w:t>.</w:t>
      </w:r>
    </w:p>
    <w:p w14:paraId="3B52E98E" w14:textId="228D564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Davidsson, P., P. Steffens and J. Fitzsimmons (2009). ‘Growing profitable or growing from profits: Putting the horse in front of the cart?’, </w:t>
      </w:r>
      <w:r w:rsidRPr="00A3505C">
        <w:rPr>
          <w:rFonts w:ascii="Times New Roman" w:hAnsi="Times New Roman" w:cs="Times New Roman"/>
          <w:i/>
          <w:sz w:val="24"/>
          <w:szCs w:val="24"/>
        </w:rPr>
        <w:t>Journal of Business Venturing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24</w:t>
      </w:r>
      <w:r w:rsidRPr="00A3505C">
        <w:rPr>
          <w:rFonts w:ascii="Times New Roman" w:hAnsi="Times New Roman" w:cs="Times New Roman"/>
          <w:sz w:val="24"/>
          <w:szCs w:val="24"/>
        </w:rPr>
        <w:t xml:space="preserve">(4), pp. 388-406, </w:t>
      </w:r>
      <w:hyperlink r:id="rId40" w:history="1">
        <w:r w:rsidRPr="00A3505C">
          <w:rPr>
            <w:rStyle w:val="Hyperlink"/>
            <w:rFonts w:ascii="Times New Roman" w:hAnsi="Times New Roman" w:cs="Times New Roman"/>
            <w:color w:val="auto"/>
            <w:sz w:val="24"/>
            <w:szCs w:val="24"/>
            <w:u w:val="none"/>
          </w:rPr>
          <w:t>https://doi.org/10.1016/j.jbusvent.2008.04.003</w:t>
        </w:r>
      </w:hyperlink>
      <w:r w:rsidRPr="00A3505C">
        <w:rPr>
          <w:rFonts w:ascii="Times New Roman" w:hAnsi="Times New Roman" w:cs="Times New Roman"/>
          <w:sz w:val="24"/>
          <w:szCs w:val="24"/>
        </w:rPr>
        <w:t>.</w:t>
      </w:r>
    </w:p>
    <w:p w14:paraId="35FADAEB" w14:textId="298C637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Demuijnck, G. and B. Fasterling (2016). ‘The social license to operate’, </w:t>
      </w:r>
      <w:r w:rsidRPr="00A3505C">
        <w:rPr>
          <w:rFonts w:ascii="Times New Roman" w:hAnsi="Times New Roman" w:cs="Times New Roman"/>
          <w:i/>
          <w:sz w:val="24"/>
          <w:szCs w:val="24"/>
        </w:rPr>
        <w:t>Journal of Business Ethics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136</w:t>
      </w:r>
      <w:r w:rsidRPr="00A3505C">
        <w:rPr>
          <w:rFonts w:ascii="Times New Roman" w:hAnsi="Times New Roman" w:cs="Times New Roman"/>
          <w:sz w:val="24"/>
          <w:szCs w:val="24"/>
        </w:rPr>
        <w:t xml:space="preserve">(4), pp. 675-685, </w:t>
      </w:r>
      <w:hyperlink r:id="rId41" w:history="1">
        <w:r w:rsidRPr="00A3505C">
          <w:rPr>
            <w:rStyle w:val="Hyperlink"/>
            <w:rFonts w:ascii="Times New Roman" w:hAnsi="Times New Roman" w:cs="Times New Roman"/>
            <w:color w:val="auto"/>
            <w:sz w:val="24"/>
            <w:szCs w:val="24"/>
            <w:u w:val="none"/>
          </w:rPr>
          <w:t>https://doi.org/10.1007/s10551-015-2976-7</w:t>
        </w:r>
      </w:hyperlink>
      <w:r w:rsidRPr="00A3505C">
        <w:rPr>
          <w:rFonts w:ascii="Times New Roman" w:hAnsi="Times New Roman" w:cs="Times New Roman"/>
          <w:sz w:val="24"/>
          <w:szCs w:val="24"/>
        </w:rPr>
        <w:t>.</w:t>
      </w:r>
    </w:p>
    <w:p w14:paraId="58A4E40A" w14:textId="0B7747F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Dess, G. G. and P. S. Davis (1984). ‘Porter’s (1980) generic strategies as determinants of strategic group membership and organizational performance’, </w:t>
      </w:r>
      <w:r w:rsidRPr="00A3505C">
        <w:rPr>
          <w:rFonts w:ascii="Times New Roman" w:hAnsi="Times New Roman" w:cs="Times New Roman"/>
          <w:i/>
          <w:sz w:val="24"/>
          <w:szCs w:val="24"/>
        </w:rPr>
        <w:t>Academy of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27</w:t>
      </w:r>
      <w:r w:rsidRPr="00A3505C">
        <w:rPr>
          <w:rFonts w:ascii="Times New Roman" w:hAnsi="Times New Roman" w:cs="Times New Roman"/>
          <w:sz w:val="24"/>
          <w:szCs w:val="24"/>
        </w:rPr>
        <w:t xml:space="preserve">(3), pp. 467-488,  </w:t>
      </w:r>
      <w:hyperlink r:id="rId42" w:history="1">
        <w:r w:rsidRPr="00A3505C">
          <w:rPr>
            <w:rStyle w:val="Hyperlink"/>
            <w:rFonts w:ascii="Times New Roman" w:hAnsi="Times New Roman" w:cs="Times New Roman"/>
            <w:color w:val="auto"/>
            <w:sz w:val="24"/>
            <w:szCs w:val="24"/>
            <w:u w:val="none"/>
          </w:rPr>
          <w:t>https://www.jstor.org/stable/256040</w:t>
        </w:r>
      </w:hyperlink>
      <w:r w:rsidRPr="00A3505C">
        <w:rPr>
          <w:rFonts w:ascii="Times New Roman" w:hAnsi="Times New Roman" w:cs="Times New Roman"/>
          <w:sz w:val="24"/>
          <w:szCs w:val="24"/>
        </w:rPr>
        <w:t>.</w:t>
      </w:r>
    </w:p>
    <w:p w14:paraId="06A0EBFA" w14:textId="42BB328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Devaraj, S., D. G. Hollingworth and R. G. Schroeder (2004). ‘Generic manufacturing strategies and plant performance’, </w:t>
      </w:r>
      <w:r w:rsidRPr="00A3505C">
        <w:rPr>
          <w:rFonts w:ascii="Times New Roman" w:hAnsi="Times New Roman" w:cs="Times New Roman"/>
          <w:i/>
          <w:sz w:val="24"/>
          <w:szCs w:val="24"/>
        </w:rPr>
        <w:t>Journal of Operations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22</w:t>
      </w:r>
      <w:r w:rsidRPr="00A3505C">
        <w:rPr>
          <w:rFonts w:ascii="Times New Roman" w:hAnsi="Times New Roman" w:cs="Times New Roman"/>
          <w:sz w:val="24"/>
          <w:szCs w:val="24"/>
        </w:rPr>
        <w:t xml:space="preserve">(3), pp. 313-333, </w:t>
      </w:r>
      <w:hyperlink r:id="rId43" w:history="1">
        <w:r w:rsidRPr="00A3505C">
          <w:rPr>
            <w:rStyle w:val="Hyperlink"/>
            <w:rFonts w:ascii="Times New Roman" w:hAnsi="Times New Roman" w:cs="Times New Roman"/>
            <w:color w:val="auto"/>
            <w:sz w:val="24"/>
            <w:szCs w:val="24"/>
            <w:u w:val="none"/>
          </w:rPr>
          <w:t>https://doi.org/10.1016/j.jom.2004.03.001</w:t>
        </w:r>
      </w:hyperlink>
      <w:r w:rsidRPr="00A3505C">
        <w:rPr>
          <w:rFonts w:ascii="Times New Roman" w:hAnsi="Times New Roman" w:cs="Times New Roman"/>
          <w:sz w:val="24"/>
          <w:szCs w:val="24"/>
        </w:rPr>
        <w:t>.</w:t>
      </w:r>
    </w:p>
    <w:p w14:paraId="5AF62341" w14:textId="10588ED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Dobni, C. B. and G. Luffman (2003). ‘Determining the scope and impact of market orientation profiles on strategy implementation and performance’,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24</w:t>
      </w:r>
      <w:r w:rsidRPr="00A3505C">
        <w:rPr>
          <w:rFonts w:ascii="Times New Roman" w:hAnsi="Times New Roman" w:cs="Times New Roman"/>
          <w:sz w:val="24"/>
          <w:szCs w:val="24"/>
        </w:rPr>
        <w:t xml:space="preserve">(6), pp. 577-585, </w:t>
      </w:r>
      <w:hyperlink r:id="rId44" w:history="1">
        <w:r w:rsidRPr="00A3505C">
          <w:rPr>
            <w:rStyle w:val="Hyperlink"/>
            <w:rFonts w:ascii="Times New Roman" w:hAnsi="Times New Roman" w:cs="Times New Roman"/>
            <w:color w:val="auto"/>
            <w:sz w:val="24"/>
            <w:szCs w:val="24"/>
            <w:u w:val="none"/>
          </w:rPr>
          <w:t>https://doi.org/10.1002/smj.322</w:t>
        </w:r>
      </w:hyperlink>
      <w:r w:rsidRPr="00A3505C">
        <w:rPr>
          <w:rFonts w:ascii="Times New Roman" w:hAnsi="Times New Roman" w:cs="Times New Roman"/>
          <w:sz w:val="24"/>
          <w:szCs w:val="24"/>
        </w:rPr>
        <w:t>.</w:t>
      </w:r>
    </w:p>
    <w:p w14:paraId="0FED7BE4" w14:textId="1B6D1494" w:rsidR="00E53248" w:rsidRPr="00A3505C" w:rsidRDefault="00E53248" w:rsidP="00E53248">
      <w:pPr>
        <w:pStyle w:val="EndNoteBibliography"/>
        <w:spacing w:after="0"/>
        <w:ind w:left="720" w:hanging="720"/>
        <w:rPr>
          <w:rFonts w:ascii="Times New Roman" w:hAnsi="Times New Roman" w:cs="Times New Roman"/>
          <w:sz w:val="24"/>
          <w:szCs w:val="24"/>
        </w:rPr>
      </w:pPr>
      <w:bookmarkStart w:id="5" w:name="_Hlk215579583"/>
      <w:r w:rsidRPr="00A3505C">
        <w:rPr>
          <w:rFonts w:ascii="Times New Roman" w:hAnsi="Times New Roman" w:cs="Times New Roman"/>
          <w:sz w:val="24"/>
          <w:szCs w:val="24"/>
        </w:rPr>
        <w:t xml:space="preserve">Dorobantu, S., W. J. Henisz and L. Nartey (2017). ‘Not all sparks light a fire: Stakeholder and shareholder reactions to critical events in contested markets’, </w:t>
      </w:r>
      <w:r w:rsidRPr="00A3505C">
        <w:rPr>
          <w:rFonts w:ascii="Times New Roman" w:hAnsi="Times New Roman" w:cs="Times New Roman"/>
          <w:i/>
          <w:sz w:val="24"/>
          <w:szCs w:val="24"/>
        </w:rPr>
        <w:t>Administrative Science Quarterly</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62</w:t>
      </w:r>
      <w:r w:rsidRPr="00A3505C">
        <w:rPr>
          <w:rFonts w:ascii="Times New Roman" w:hAnsi="Times New Roman" w:cs="Times New Roman"/>
          <w:sz w:val="24"/>
          <w:szCs w:val="24"/>
        </w:rPr>
        <w:t xml:space="preserve">(3), pp. 561-597, </w:t>
      </w:r>
      <w:hyperlink r:id="rId45" w:history="1">
        <w:r w:rsidRPr="00A3505C">
          <w:rPr>
            <w:rStyle w:val="Hyperlink"/>
            <w:rFonts w:ascii="Times New Roman" w:hAnsi="Times New Roman" w:cs="Times New Roman"/>
            <w:color w:val="auto"/>
            <w:sz w:val="24"/>
            <w:szCs w:val="24"/>
            <w:u w:val="none"/>
          </w:rPr>
          <w:t>https://doi.org/10.1177/0001839216687743</w:t>
        </w:r>
      </w:hyperlink>
      <w:r w:rsidRPr="00A3505C">
        <w:rPr>
          <w:rFonts w:ascii="Times New Roman" w:hAnsi="Times New Roman" w:cs="Times New Roman"/>
          <w:sz w:val="24"/>
          <w:szCs w:val="24"/>
        </w:rPr>
        <w:t>.</w:t>
      </w:r>
    </w:p>
    <w:bookmarkEnd w:id="5"/>
    <w:p w14:paraId="73CC19B0" w14:textId="4AE3ACE8"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Dyck, A., N. Volchkova and L. Zingales (2008). ‘The corporate governance role of the media: Evidence from Russia’, </w:t>
      </w:r>
      <w:r w:rsidRPr="00A3505C">
        <w:rPr>
          <w:rFonts w:ascii="Times New Roman" w:hAnsi="Times New Roman" w:cs="Times New Roman"/>
          <w:i/>
          <w:sz w:val="24"/>
          <w:szCs w:val="24"/>
        </w:rPr>
        <w:t>The Journal of Finance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63</w:t>
      </w:r>
      <w:r w:rsidRPr="00A3505C">
        <w:rPr>
          <w:rFonts w:ascii="Times New Roman" w:hAnsi="Times New Roman" w:cs="Times New Roman"/>
          <w:sz w:val="24"/>
          <w:szCs w:val="24"/>
        </w:rPr>
        <w:t xml:space="preserve">(3), pp. 1093-1135, </w:t>
      </w:r>
      <w:hyperlink r:id="rId46" w:history="1">
        <w:r w:rsidRPr="00A3505C">
          <w:rPr>
            <w:rStyle w:val="Hyperlink"/>
            <w:rFonts w:ascii="Times New Roman" w:hAnsi="Times New Roman" w:cs="Times New Roman"/>
            <w:color w:val="auto"/>
            <w:sz w:val="24"/>
            <w:szCs w:val="24"/>
            <w:u w:val="none"/>
          </w:rPr>
          <w:t>https://doi.org/10.1111/j.1540-6261.2008.01353.x</w:t>
        </w:r>
      </w:hyperlink>
      <w:r w:rsidRPr="00A3505C">
        <w:rPr>
          <w:rFonts w:ascii="Times New Roman" w:hAnsi="Times New Roman" w:cs="Times New Roman"/>
          <w:sz w:val="24"/>
          <w:szCs w:val="24"/>
        </w:rPr>
        <w:t>.</w:t>
      </w:r>
    </w:p>
    <w:p w14:paraId="6492BBFA" w14:textId="21199990" w:rsidR="00E53248" w:rsidRPr="00A3505C" w:rsidRDefault="00E53248" w:rsidP="00E53248">
      <w:pPr>
        <w:pStyle w:val="EndNoteBibliography"/>
        <w:spacing w:after="0"/>
        <w:ind w:left="720" w:hanging="720"/>
        <w:rPr>
          <w:rFonts w:ascii="Times New Roman" w:hAnsi="Times New Roman" w:cs="Times New Roman"/>
          <w:sz w:val="24"/>
          <w:szCs w:val="24"/>
        </w:rPr>
      </w:pPr>
      <w:bookmarkStart w:id="6" w:name="_Hlk215579593"/>
      <w:r w:rsidRPr="00A3505C">
        <w:rPr>
          <w:rFonts w:ascii="Times New Roman" w:hAnsi="Times New Roman" w:cs="Times New Roman"/>
          <w:sz w:val="24"/>
          <w:szCs w:val="24"/>
        </w:rPr>
        <w:t xml:space="preserve">Engdahl, E. and R. Lidskog (2014). ‘Risk, communication and trust: Towards an emotional understanding of trust’, </w:t>
      </w:r>
      <w:r w:rsidRPr="00A3505C">
        <w:rPr>
          <w:rFonts w:ascii="Times New Roman" w:hAnsi="Times New Roman" w:cs="Times New Roman"/>
          <w:i/>
          <w:sz w:val="24"/>
          <w:szCs w:val="24"/>
        </w:rPr>
        <w:t>Public Understanding of Science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23</w:t>
      </w:r>
      <w:r w:rsidRPr="00A3505C">
        <w:rPr>
          <w:rFonts w:ascii="Times New Roman" w:hAnsi="Times New Roman" w:cs="Times New Roman"/>
          <w:sz w:val="24"/>
          <w:szCs w:val="24"/>
        </w:rPr>
        <w:t xml:space="preserve">(6), pp. 703-17, </w:t>
      </w:r>
      <w:hyperlink r:id="rId47" w:history="1">
        <w:r w:rsidRPr="00A3505C">
          <w:rPr>
            <w:rStyle w:val="Hyperlink"/>
            <w:rFonts w:ascii="Times New Roman" w:hAnsi="Times New Roman" w:cs="Times New Roman"/>
            <w:color w:val="auto"/>
            <w:sz w:val="24"/>
            <w:szCs w:val="24"/>
            <w:u w:val="none"/>
          </w:rPr>
          <w:t>https://doi.org/10.1177/0963662512460953</w:t>
        </w:r>
      </w:hyperlink>
      <w:r w:rsidRPr="00A3505C">
        <w:rPr>
          <w:rFonts w:ascii="Times New Roman" w:hAnsi="Times New Roman" w:cs="Times New Roman"/>
          <w:sz w:val="24"/>
          <w:szCs w:val="24"/>
        </w:rPr>
        <w:t>.</w:t>
      </w:r>
    </w:p>
    <w:bookmarkEnd w:id="6"/>
    <w:p w14:paraId="77109940" w14:textId="6D50AC02"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Escribá‐Esteve, A., L. Sánchez‐Peinado and E. Sánchez‐Peinado (2009). ‘The influence of</w:t>
      </w:r>
      <w:r w:rsidR="00110982" w:rsidRPr="00A3505C">
        <w:rPr>
          <w:rFonts w:ascii="Times New Roman" w:hAnsi="Times New Roman" w:cs="Times New Roman"/>
          <w:sz w:val="24"/>
          <w:szCs w:val="24"/>
        </w:rPr>
        <w:t xml:space="preserve"> </w:t>
      </w:r>
      <w:r w:rsidRPr="00A3505C">
        <w:rPr>
          <w:rFonts w:ascii="Times New Roman" w:hAnsi="Times New Roman" w:cs="Times New Roman"/>
          <w:sz w:val="24"/>
          <w:szCs w:val="24"/>
        </w:rPr>
        <w:t xml:space="preserve">top management teams in the strategic orientation and performance of small and medium‐sized enterprises’,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20</w:t>
      </w:r>
      <w:r w:rsidRPr="00A3505C">
        <w:rPr>
          <w:rFonts w:ascii="Times New Roman" w:hAnsi="Times New Roman" w:cs="Times New Roman"/>
          <w:sz w:val="24"/>
          <w:szCs w:val="24"/>
        </w:rPr>
        <w:t xml:space="preserve">(4), pp. 581-597, </w:t>
      </w:r>
      <w:hyperlink r:id="rId48" w:history="1">
        <w:r w:rsidRPr="00A3505C">
          <w:rPr>
            <w:rStyle w:val="Hyperlink"/>
            <w:rFonts w:ascii="Times New Roman" w:hAnsi="Times New Roman" w:cs="Times New Roman"/>
            <w:color w:val="auto"/>
            <w:sz w:val="24"/>
            <w:szCs w:val="24"/>
            <w:u w:val="none"/>
          </w:rPr>
          <w:t>https://doi.org/10.1111/j.1467-8551.2008.00606.x</w:t>
        </w:r>
      </w:hyperlink>
      <w:r w:rsidRPr="00A3505C">
        <w:rPr>
          <w:rFonts w:ascii="Times New Roman" w:hAnsi="Times New Roman" w:cs="Times New Roman"/>
          <w:sz w:val="24"/>
          <w:szCs w:val="24"/>
        </w:rPr>
        <w:t>.</w:t>
      </w:r>
    </w:p>
    <w:p w14:paraId="4C8E24C7" w14:textId="5D99B8B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Flammer, C., B. Hong and D. Minor (2019). ‘Corporate governance and the rise of integrating corporate social responsibility criteria in executive compensation: Effectiveness and implications for firm outcomes’,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40</w:t>
      </w:r>
      <w:r w:rsidRPr="00A3505C">
        <w:rPr>
          <w:rFonts w:ascii="Times New Roman" w:hAnsi="Times New Roman" w:cs="Times New Roman"/>
          <w:sz w:val="24"/>
          <w:szCs w:val="24"/>
        </w:rPr>
        <w:t xml:space="preserve">(7), pp. 1097-1122, </w:t>
      </w:r>
      <w:hyperlink r:id="rId49" w:history="1">
        <w:r w:rsidRPr="00A3505C">
          <w:rPr>
            <w:rStyle w:val="Hyperlink"/>
            <w:rFonts w:ascii="Times New Roman" w:hAnsi="Times New Roman" w:cs="Times New Roman"/>
            <w:color w:val="auto"/>
            <w:sz w:val="24"/>
            <w:szCs w:val="24"/>
            <w:u w:val="none"/>
          </w:rPr>
          <w:t>https://doi.org/10.1002/smj.3018</w:t>
        </w:r>
      </w:hyperlink>
      <w:r w:rsidRPr="00A3505C">
        <w:rPr>
          <w:rFonts w:ascii="Times New Roman" w:hAnsi="Times New Roman" w:cs="Times New Roman"/>
          <w:sz w:val="24"/>
          <w:szCs w:val="24"/>
        </w:rPr>
        <w:t>.</w:t>
      </w:r>
    </w:p>
    <w:p w14:paraId="07BA6CA9" w14:textId="67CCDE9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Fombrun, C. and M. Shanley (1990). ‘What’s in a name? Reputation building and corporate strategy’, </w:t>
      </w:r>
      <w:r w:rsidRPr="00A3505C">
        <w:rPr>
          <w:rFonts w:ascii="Times New Roman" w:hAnsi="Times New Roman" w:cs="Times New Roman"/>
          <w:i/>
          <w:sz w:val="24"/>
          <w:szCs w:val="24"/>
        </w:rPr>
        <w:t>Academy of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33</w:t>
      </w:r>
      <w:r w:rsidRPr="00A3505C">
        <w:rPr>
          <w:rFonts w:ascii="Times New Roman" w:hAnsi="Times New Roman" w:cs="Times New Roman"/>
          <w:sz w:val="24"/>
          <w:szCs w:val="24"/>
        </w:rPr>
        <w:t xml:space="preserve">(2), pp. 233-258, </w:t>
      </w:r>
      <w:hyperlink r:id="rId50" w:history="1">
        <w:r w:rsidRPr="00A3505C">
          <w:rPr>
            <w:rStyle w:val="Hyperlink"/>
            <w:rFonts w:ascii="Times New Roman" w:hAnsi="Times New Roman" w:cs="Times New Roman"/>
            <w:color w:val="auto"/>
            <w:sz w:val="24"/>
            <w:szCs w:val="24"/>
            <w:u w:val="none"/>
          </w:rPr>
          <w:t>https://doi.org/10.2307/256324</w:t>
        </w:r>
      </w:hyperlink>
      <w:r w:rsidRPr="00A3505C">
        <w:rPr>
          <w:rFonts w:ascii="Times New Roman" w:hAnsi="Times New Roman" w:cs="Times New Roman"/>
          <w:sz w:val="24"/>
          <w:szCs w:val="24"/>
        </w:rPr>
        <w:t>.</w:t>
      </w:r>
    </w:p>
    <w:p w14:paraId="1F63BB65" w14:textId="07C2F76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Freeman, R. E., S. D. Dmytriyev and R. A. Phillips (2021). ‘Stakeholder theory and the resource based view of the firm’,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47</w:t>
      </w:r>
      <w:r w:rsidRPr="00A3505C">
        <w:rPr>
          <w:rFonts w:ascii="Times New Roman" w:hAnsi="Times New Roman" w:cs="Times New Roman"/>
          <w:sz w:val="24"/>
          <w:szCs w:val="24"/>
        </w:rPr>
        <w:t xml:space="preserve">(7), pp. 1757-1770, </w:t>
      </w:r>
      <w:hyperlink r:id="rId51" w:history="1">
        <w:r w:rsidRPr="00A3505C">
          <w:rPr>
            <w:rStyle w:val="Hyperlink"/>
            <w:rFonts w:ascii="Times New Roman" w:hAnsi="Times New Roman" w:cs="Times New Roman"/>
            <w:color w:val="auto"/>
            <w:sz w:val="24"/>
            <w:szCs w:val="24"/>
            <w:u w:val="none"/>
          </w:rPr>
          <w:t>https://doi.org/10.4119727/016439201639291939535776</w:t>
        </w:r>
      </w:hyperlink>
      <w:r w:rsidRPr="00A3505C">
        <w:rPr>
          <w:rFonts w:ascii="Times New Roman" w:hAnsi="Times New Roman" w:cs="Times New Roman"/>
          <w:sz w:val="24"/>
          <w:szCs w:val="24"/>
        </w:rPr>
        <w:t>.</w:t>
      </w:r>
    </w:p>
    <w:p w14:paraId="63E036CE"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Friedman, M. (1970). </w:t>
      </w:r>
      <w:r w:rsidRPr="00A3505C">
        <w:rPr>
          <w:rFonts w:ascii="Times New Roman" w:hAnsi="Times New Roman" w:cs="Times New Roman"/>
          <w:i/>
          <w:sz w:val="24"/>
          <w:szCs w:val="24"/>
        </w:rPr>
        <w:t>The Social Responsibility of Business is to Increase its Profits</w:t>
      </w:r>
      <w:r w:rsidRPr="00A3505C">
        <w:rPr>
          <w:rFonts w:ascii="Times New Roman" w:hAnsi="Times New Roman" w:cs="Times New Roman"/>
          <w:sz w:val="24"/>
          <w:szCs w:val="24"/>
        </w:rPr>
        <w:t>. The New York Times.</w:t>
      </w:r>
    </w:p>
    <w:p w14:paraId="260163F0" w14:textId="07F2DB5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FTSE Russel</w:t>
      </w:r>
      <w:r w:rsidR="00126C6B">
        <w:rPr>
          <w:rFonts w:ascii="Times New Roman" w:hAnsi="Times New Roman" w:cs="Times New Roman" w:hint="eastAsia"/>
          <w:sz w:val="24"/>
          <w:szCs w:val="24"/>
        </w:rPr>
        <w:t>l</w:t>
      </w:r>
      <w:r w:rsidRPr="00A3505C">
        <w:rPr>
          <w:rFonts w:ascii="Times New Roman" w:hAnsi="Times New Roman" w:cs="Times New Roman"/>
          <w:sz w:val="24"/>
          <w:szCs w:val="24"/>
        </w:rPr>
        <w:t xml:space="preserve"> (2018). ‘</w:t>
      </w:r>
      <w:r w:rsidRPr="00A3505C">
        <w:rPr>
          <w:rFonts w:ascii="Times New Roman" w:hAnsi="Times New Roman" w:cs="Times New Roman"/>
          <w:i/>
          <w:sz w:val="24"/>
          <w:szCs w:val="24"/>
        </w:rPr>
        <w:t>Investing in the Global Green Economy: Busting Common Myths</w:t>
      </w:r>
      <w:r w:rsidRPr="00A3505C">
        <w:rPr>
          <w:rFonts w:ascii="Times New Roman" w:hAnsi="Times New Roman" w:cs="Times New Roman"/>
          <w:sz w:val="24"/>
          <w:szCs w:val="24"/>
        </w:rPr>
        <w:t xml:space="preserve">’. Available at: </w:t>
      </w:r>
      <w:hyperlink r:id="rId52" w:history="1">
        <w:r w:rsidRPr="00A3505C">
          <w:rPr>
            <w:rStyle w:val="Hyperlink"/>
            <w:rFonts w:ascii="Times New Roman" w:hAnsi="Times New Roman" w:cs="Times New Roman"/>
            <w:color w:val="auto"/>
            <w:sz w:val="24"/>
            <w:szCs w:val="24"/>
            <w:u w:val="none"/>
          </w:rPr>
          <w:t>https://www.lseg.com/en/ftse-russell/research/investing-in-global-green-economy</w:t>
        </w:r>
      </w:hyperlink>
      <w:r w:rsidRPr="00A3505C">
        <w:rPr>
          <w:rFonts w:ascii="Times New Roman" w:hAnsi="Times New Roman" w:cs="Times New Roman"/>
          <w:sz w:val="24"/>
          <w:szCs w:val="24"/>
        </w:rPr>
        <w:t xml:space="preserve"> (accessed: 10 March 2024).</w:t>
      </w:r>
    </w:p>
    <w:p w14:paraId="6346A166" w14:textId="7116839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Gao, Y., X. Wang and D. Li (2024). ‘A study on the impact of the degree of mixed ownership reform of state-owned enterprises on corporate environmental response’, </w:t>
      </w:r>
      <w:r w:rsidRPr="00A3505C">
        <w:rPr>
          <w:rFonts w:ascii="Times New Roman" w:hAnsi="Times New Roman" w:cs="Times New Roman"/>
          <w:i/>
          <w:sz w:val="24"/>
          <w:szCs w:val="24"/>
        </w:rPr>
        <w:t>Sustainability Accounting, Management and Policy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15</w:t>
      </w:r>
      <w:r w:rsidRPr="00A3505C">
        <w:rPr>
          <w:rFonts w:ascii="Times New Roman" w:hAnsi="Times New Roman" w:cs="Times New Roman"/>
          <w:sz w:val="24"/>
          <w:szCs w:val="24"/>
        </w:rPr>
        <w:t xml:space="preserve">(4), pp. 934-960, </w:t>
      </w:r>
      <w:hyperlink r:id="rId53" w:history="1">
        <w:r w:rsidRPr="00A3505C">
          <w:rPr>
            <w:rStyle w:val="Hyperlink"/>
            <w:rFonts w:ascii="Times New Roman" w:hAnsi="Times New Roman" w:cs="Times New Roman"/>
            <w:color w:val="auto"/>
            <w:sz w:val="24"/>
            <w:szCs w:val="24"/>
            <w:u w:val="none"/>
          </w:rPr>
          <w:t>https://doi.org/10.1108/sampj-07-2023-0496</w:t>
        </w:r>
      </w:hyperlink>
      <w:r w:rsidRPr="00A3505C">
        <w:rPr>
          <w:rFonts w:ascii="Times New Roman" w:hAnsi="Times New Roman" w:cs="Times New Roman"/>
          <w:sz w:val="24"/>
          <w:szCs w:val="24"/>
        </w:rPr>
        <w:t>.</w:t>
      </w:r>
    </w:p>
    <w:p w14:paraId="72373FDF" w14:textId="04910EF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Gundry, L. K. and H. P. Welsch (2001). ‘The ambitious entrepreneur: High growth strategies of women-owned enterprises’, </w:t>
      </w:r>
      <w:r w:rsidRPr="00A3505C">
        <w:rPr>
          <w:rFonts w:ascii="Times New Roman" w:hAnsi="Times New Roman" w:cs="Times New Roman"/>
          <w:i/>
          <w:sz w:val="24"/>
          <w:szCs w:val="24"/>
        </w:rPr>
        <w:t>Journal of Business Venturing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16</w:t>
      </w:r>
      <w:r w:rsidRPr="00A3505C">
        <w:rPr>
          <w:rFonts w:ascii="Times New Roman" w:hAnsi="Times New Roman" w:cs="Times New Roman"/>
          <w:sz w:val="24"/>
          <w:szCs w:val="24"/>
        </w:rPr>
        <w:t xml:space="preserve">(5), pp. 453-470, </w:t>
      </w:r>
      <w:hyperlink r:id="rId54" w:history="1">
        <w:r w:rsidRPr="00A3505C">
          <w:rPr>
            <w:rStyle w:val="Hyperlink"/>
            <w:rFonts w:ascii="Times New Roman" w:hAnsi="Times New Roman" w:cs="Times New Roman"/>
            <w:color w:val="auto"/>
            <w:sz w:val="24"/>
            <w:szCs w:val="24"/>
            <w:u w:val="none"/>
          </w:rPr>
          <w:t>https://doi.org/10.1016/S0883-9026(99)00059-2</w:t>
        </w:r>
      </w:hyperlink>
      <w:r w:rsidRPr="00A3505C">
        <w:rPr>
          <w:rFonts w:ascii="Times New Roman" w:hAnsi="Times New Roman" w:cs="Times New Roman"/>
          <w:sz w:val="24"/>
          <w:szCs w:val="24"/>
        </w:rPr>
        <w:t>.</w:t>
      </w:r>
    </w:p>
    <w:p w14:paraId="35BCD6CB" w14:textId="62E472D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Guo, Y., G. Nenkov and S. Li (2025). ‘Cutting or offsetting emissions: How political ideology shapes consumer preferences for firms’ carbon emission mitigation strategies’, </w:t>
      </w:r>
      <w:r w:rsidRPr="00A3505C">
        <w:rPr>
          <w:rFonts w:ascii="Times New Roman" w:hAnsi="Times New Roman" w:cs="Times New Roman"/>
          <w:i/>
          <w:sz w:val="24"/>
          <w:szCs w:val="24"/>
        </w:rPr>
        <w:t>Journal of Business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198</w:t>
      </w:r>
      <w:r w:rsidRPr="00A3505C">
        <w:rPr>
          <w:rFonts w:ascii="Times New Roman" w:hAnsi="Times New Roman" w:cs="Times New Roman"/>
          <w:sz w:val="24"/>
          <w:szCs w:val="24"/>
        </w:rPr>
        <w:t xml:space="preserve">, </w:t>
      </w:r>
      <w:hyperlink r:id="rId55" w:history="1">
        <w:r w:rsidRPr="00A3505C">
          <w:rPr>
            <w:rStyle w:val="Hyperlink"/>
            <w:rFonts w:ascii="Times New Roman" w:hAnsi="Times New Roman" w:cs="Times New Roman"/>
            <w:color w:val="auto"/>
            <w:sz w:val="24"/>
            <w:szCs w:val="24"/>
            <w:u w:val="none"/>
          </w:rPr>
          <w:t>https://doi.org/10.1016/j.jbusres.2025.115489</w:t>
        </w:r>
      </w:hyperlink>
      <w:r w:rsidRPr="00A3505C">
        <w:rPr>
          <w:rFonts w:ascii="Times New Roman" w:hAnsi="Times New Roman" w:cs="Times New Roman"/>
          <w:sz w:val="24"/>
          <w:szCs w:val="24"/>
        </w:rPr>
        <w:t>.</w:t>
      </w:r>
    </w:p>
    <w:p w14:paraId="42842C4C" w14:textId="3F99D15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Hall, B. H. (2002). ‘The financing of research and development’, </w:t>
      </w:r>
      <w:r w:rsidRPr="00A3505C">
        <w:rPr>
          <w:rFonts w:ascii="Times New Roman" w:hAnsi="Times New Roman" w:cs="Times New Roman"/>
          <w:i/>
          <w:sz w:val="24"/>
          <w:szCs w:val="24"/>
        </w:rPr>
        <w:t>Oxford Review of Economic Policy</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18</w:t>
      </w:r>
      <w:r w:rsidRPr="00A3505C">
        <w:rPr>
          <w:rFonts w:ascii="Times New Roman" w:hAnsi="Times New Roman" w:cs="Times New Roman"/>
          <w:sz w:val="24"/>
          <w:szCs w:val="24"/>
        </w:rPr>
        <w:t xml:space="preserve">(1), pp. 35-51,  </w:t>
      </w:r>
      <w:hyperlink r:id="rId56" w:history="1">
        <w:r w:rsidRPr="00A3505C">
          <w:rPr>
            <w:rStyle w:val="Hyperlink"/>
            <w:rFonts w:ascii="Times New Roman" w:hAnsi="Times New Roman" w:cs="Times New Roman"/>
            <w:color w:val="auto"/>
            <w:sz w:val="24"/>
            <w:szCs w:val="24"/>
            <w:u w:val="none"/>
          </w:rPr>
          <w:t>https://www.jstor.org/stable/23606869</w:t>
        </w:r>
      </w:hyperlink>
      <w:r w:rsidRPr="00A3505C">
        <w:rPr>
          <w:rFonts w:ascii="Times New Roman" w:hAnsi="Times New Roman" w:cs="Times New Roman"/>
          <w:sz w:val="24"/>
          <w:szCs w:val="24"/>
        </w:rPr>
        <w:t>.</w:t>
      </w:r>
    </w:p>
    <w:p w14:paraId="621CC386"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Hall, B. H. and J. Lerner (2010). ‘The financing of R&amp;D and innovation’,  </w:t>
      </w:r>
      <w:r w:rsidRPr="00A3505C">
        <w:rPr>
          <w:rFonts w:ascii="Times New Roman" w:hAnsi="Times New Roman" w:cs="Times New Roman"/>
          <w:i/>
          <w:sz w:val="24"/>
          <w:szCs w:val="24"/>
        </w:rPr>
        <w:t>Handbook of The Economics of Innovation, Vol. 1</w:t>
      </w:r>
      <w:r w:rsidRPr="00A3505C">
        <w:rPr>
          <w:rFonts w:ascii="Times New Roman" w:hAnsi="Times New Roman" w:cs="Times New Roman"/>
          <w:sz w:val="24"/>
          <w:szCs w:val="24"/>
        </w:rPr>
        <w:t xml:space="preserve"> Handbook of the Economics of Innovation, pp. 609-639.</w:t>
      </w:r>
    </w:p>
    <w:p w14:paraId="1FD1191F" w14:textId="6F5F58F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Hart, S. L. (1995). ‘A natural-resource-based view of the firm’, </w:t>
      </w:r>
      <w:r w:rsidRPr="00A3505C">
        <w:rPr>
          <w:rFonts w:ascii="Times New Roman" w:hAnsi="Times New Roman" w:cs="Times New Roman"/>
          <w:i/>
          <w:sz w:val="24"/>
          <w:szCs w:val="24"/>
        </w:rPr>
        <w:t>Academy of Management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20</w:t>
      </w:r>
      <w:r w:rsidRPr="00A3505C">
        <w:rPr>
          <w:rFonts w:ascii="Times New Roman" w:hAnsi="Times New Roman" w:cs="Times New Roman"/>
          <w:sz w:val="24"/>
          <w:szCs w:val="24"/>
        </w:rPr>
        <w:t xml:space="preserve">(4), pp. 986-1014, </w:t>
      </w:r>
      <w:hyperlink r:id="rId57" w:history="1">
        <w:r w:rsidRPr="00A3505C">
          <w:rPr>
            <w:rStyle w:val="Hyperlink"/>
            <w:rFonts w:ascii="Times New Roman" w:hAnsi="Times New Roman" w:cs="Times New Roman"/>
            <w:color w:val="auto"/>
            <w:sz w:val="24"/>
            <w:szCs w:val="24"/>
            <w:u w:val="none"/>
          </w:rPr>
          <w:t>https://doi.org/10.2307/258963</w:t>
        </w:r>
      </w:hyperlink>
      <w:r w:rsidRPr="00A3505C">
        <w:rPr>
          <w:rFonts w:ascii="Times New Roman" w:hAnsi="Times New Roman" w:cs="Times New Roman"/>
          <w:sz w:val="24"/>
          <w:szCs w:val="24"/>
        </w:rPr>
        <w:t>.</w:t>
      </w:r>
    </w:p>
    <w:p w14:paraId="3E8E82B0" w14:textId="5BD9973D"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Haveman, H. A. (1993). ‘Organizational size and change: Diversification in the savings and loan industry after deregulation’, </w:t>
      </w:r>
      <w:r w:rsidRPr="00A3505C">
        <w:rPr>
          <w:rFonts w:ascii="Times New Roman" w:hAnsi="Times New Roman" w:cs="Times New Roman"/>
          <w:i/>
          <w:sz w:val="24"/>
          <w:szCs w:val="24"/>
        </w:rPr>
        <w:t>Administrative Science Quarterly</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38</w:t>
      </w:r>
      <w:r w:rsidRPr="00A3505C">
        <w:rPr>
          <w:rFonts w:ascii="Times New Roman" w:hAnsi="Times New Roman" w:cs="Times New Roman"/>
          <w:sz w:val="24"/>
          <w:szCs w:val="24"/>
        </w:rPr>
        <w:t xml:space="preserve">(1), pp. 20-50, </w:t>
      </w:r>
      <w:hyperlink r:id="rId58" w:history="1">
        <w:r w:rsidRPr="00A3505C">
          <w:rPr>
            <w:rStyle w:val="Hyperlink"/>
            <w:rFonts w:ascii="Times New Roman" w:hAnsi="Times New Roman" w:cs="Times New Roman"/>
            <w:color w:val="auto"/>
            <w:sz w:val="24"/>
            <w:szCs w:val="24"/>
            <w:u w:val="none"/>
          </w:rPr>
          <w:t>https://doi.org/10.2307/2393253</w:t>
        </w:r>
      </w:hyperlink>
      <w:r w:rsidRPr="00A3505C">
        <w:rPr>
          <w:rFonts w:ascii="Times New Roman" w:hAnsi="Times New Roman" w:cs="Times New Roman"/>
          <w:sz w:val="24"/>
          <w:szCs w:val="24"/>
        </w:rPr>
        <w:t>.</w:t>
      </w:r>
    </w:p>
    <w:p w14:paraId="3AD13B2C" w14:textId="76BDE39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Heckman, J. J. (1979). ‘Sample selection bias as a specification error’, </w:t>
      </w:r>
      <w:r w:rsidRPr="00A3505C">
        <w:rPr>
          <w:rFonts w:ascii="Times New Roman" w:hAnsi="Times New Roman" w:cs="Times New Roman"/>
          <w:i/>
          <w:sz w:val="24"/>
          <w:szCs w:val="24"/>
        </w:rPr>
        <w:t>Econometrica</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47</w:t>
      </w:r>
      <w:r w:rsidRPr="00A3505C">
        <w:rPr>
          <w:rFonts w:ascii="Times New Roman" w:hAnsi="Times New Roman" w:cs="Times New Roman"/>
          <w:sz w:val="24"/>
          <w:szCs w:val="24"/>
        </w:rPr>
        <w:t xml:space="preserve">(1), pp. 153-161,  </w:t>
      </w:r>
      <w:hyperlink r:id="rId59" w:history="1">
        <w:r w:rsidRPr="00A3505C">
          <w:rPr>
            <w:rStyle w:val="Hyperlink"/>
            <w:rFonts w:ascii="Times New Roman" w:hAnsi="Times New Roman" w:cs="Times New Roman"/>
            <w:color w:val="auto"/>
            <w:sz w:val="24"/>
            <w:szCs w:val="24"/>
            <w:u w:val="none"/>
          </w:rPr>
          <w:t>https://www.jstor.org/stable/1912352</w:t>
        </w:r>
      </w:hyperlink>
      <w:r w:rsidRPr="00A3505C">
        <w:rPr>
          <w:rFonts w:ascii="Times New Roman" w:hAnsi="Times New Roman" w:cs="Times New Roman"/>
          <w:sz w:val="24"/>
          <w:szCs w:val="24"/>
        </w:rPr>
        <w:t>.</w:t>
      </w:r>
    </w:p>
    <w:p w14:paraId="35E9103F" w14:textId="54FC01F8"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Heckman, J. J., H. Ichimura and P. Todd (1998). ‘Matching as an econometric evaluation estimator’, </w:t>
      </w:r>
      <w:r w:rsidRPr="00A3505C">
        <w:rPr>
          <w:rFonts w:ascii="Times New Roman" w:hAnsi="Times New Roman" w:cs="Times New Roman"/>
          <w:i/>
          <w:sz w:val="24"/>
          <w:szCs w:val="24"/>
        </w:rPr>
        <w:t>Review of Economic Studies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65</w:t>
      </w:r>
      <w:r w:rsidRPr="00A3505C">
        <w:rPr>
          <w:rFonts w:ascii="Times New Roman" w:hAnsi="Times New Roman" w:cs="Times New Roman"/>
          <w:sz w:val="24"/>
          <w:szCs w:val="24"/>
        </w:rPr>
        <w:t>(2), pp. 261</w:t>
      </w:r>
      <w:r w:rsidR="001D6042" w:rsidRPr="00A3505C">
        <w:rPr>
          <w:rFonts w:ascii="Times New Roman" w:hAnsi="Times New Roman" w:cs="Times New Roman"/>
          <w:sz w:val="24"/>
          <w:szCs w:val="24"/>
        </w:rPr>
        <w:t>-</w:t>
      </w:r>
      <w:r w:rsidRPr="00A3505C">
        <w:rPr>
          <w:rFonts w:ascii="Times New Roman" w:hAnsi="Times New Roman" w:cs="Times New Roman"/>
          <w:sz w:val="24"/>
          <w:szCs w:val="24"/>
        </w:rPr>
        <w:t xml:space="preserve">294, </w:t>
      </w:r>
      <w:hyperlink r:id="rId60" w:history="1">
        <w:r w:rsidRPr="00A3505C">
          <w:rPr>
            <w:rStyle w:val="Hyperlink"/>
            <w:rFonts w:ascii="Times New Roman" w:hAnsi="Times New Roman" w:cs="Times New Roman"/>
            <w:color w:val="auto"/>
            <w:sz w:val="24"/>
            <w:szCs w:val="24"/>
            <w:u w:val="none"/>
          </w:rPr>
          <w:t>https://doi.org/10.2307/2971733</w:t>
        </w:r>
      </w:hyperlink>
      <w:r w:rsidRPr="00A3505C">
        <w:rPr>
          <w:rFonts w:ascii="Times New Roman" w:hAnsi="Times New Roman" w:cs="Times New Roman"/>
          <w:sz w:val="24"/>
          <w:szCs w:val="24"/>
        </w:rPr>
        <w:t>.</w:t>
      </w:r>
    </w:p>
    <w:p w14:paraId="320E1DA2" w14:textId="6C163F6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Hildebrandt, P., J. Oehmichen, U. Pidun and M. Wolff (2018). ‘Multiple recipes for success – A configurational examination of business portfolio restructurings’, </w:t>
      </w:r>
      <w:r w:rsidRPr="00A3505C">
        <w:rPr>
          <w:rFonts w:ascii="Times New Roman" w:hAnsi="Times New Roman" w:cs="Times New Roman"/>
          <w:i/>
          <w:sz w:val="24"/>
          <w:szCs w:val="24"/>
        </w:rPr>
        <w:t>European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36</w:t>
      </w:r>
      <w:r w:rsidRPr="00A3505C">
        <w:rPr>
          <w:rFonts w:ascii="Times New Roman" w:hAnsi="Times New Roman" w:cs="Times New Roman"/>
          <w:sz w:val="24"/>
          <w:szCs w:val="24"/>
        </w:rPr>
        <w:t xml:space="preserve">(3), pp. 381-391, </w:t>
      </w:r>
      <w:hyperlink r:id="rId61" w:history="1">
        <w:r w:rsidRPr="00A3505C">
          <w:rPr>
            <w:rStyle w:val="Hyperlink"/>
            <w:rFonts w:ascii="Times New Roman" w:hAnsi="Times New Roman" w:cs="Times New Roman"/>
            <w:color w:val="auto"/>
            <w:sz w:val="24"/>
            <w:szCs w:val="24"/>
            <w:u w:val="none"/>
          </w:rPr>
          <w:t>https://doi.org/10.1016/j.emj.2017.05.007</w:t>
        </w:r>
      </w:hyperlink>
      <w:r w:rsidRPr="00A3505C">
        <w:rPr>
          <w:rFonts w:ascii="Times New Roman" w:hAnsi="Times New Roman" w:cs="Times New Roman"/>
          <w:sz w:val="24"/>
          <w:szCs w:val="24"/>
        </w:rPr>
        <w:t>.</w:t>
      </w:r>
    </w:p>
    <w:p w14:paraId="515E30F6" w14:textId="75201D70" w:rsidR="00E53248" w:rsidRPr="00A3505C" w:rsidRDefault="00E53248" w:rsidP="00E53248">
      <w:pPr>
        <w:pStyle w:val="EndNoteBibliography"/>
        <w:spacing w:after="0"/>
        <w:ind w:left="720" w:hanging="720"/>
        <w:rPr>
          <w:rFonts w:ascii="Times New Roman" w:hAnsi="Times New Roman" w:cs="Times New Roman"/>
          <w:sz w:val="24"/>
          <w:szCs w:val="24"/>
        </w:rPr>
      </w:pPr>
      <w:bookmarkStart w:id="7" w:name="_Hlk215579614"/>
      <w:r w:rsidRPr="00A3505C">
        <w:rPr>
          <w:rFonts w:ascii="Times New Roman" w:hAnsi="Times New Roman" w:cs="Times New Roman"/>
          <w:sz w:val="24"/>
          <w:szCs w:val="24"/>
        </w:rPr>
        <w:t xml:space="preserve">Ho, S. S. H., C. H. Oh and D. Shapiro (2022). ‘Can corporate social responsibility lead to social license? A sentiment and emotion analysis’, </w:t>
      </w:r>
      <w:r w:rsidRPr="00A3505C">
        <w:rPr>
          <w:rFonts w:ascii="Times New Roman" w:hAnsi="Times New Roman" w:cs="Times New Roman"/>
          <w:i/>
          <w:sz w:val="24"/>
          <w:szCs w:val="24"/>
        </w:rPr>
        <w:t>Journal of Management Studies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61</w:t>
      </w:r>
      <w:r w:rsidRPr="00A3505C">
        <w:rPr>
          <w:rFonts w:ascii="Times New Roman" w:hAnsi="Times New Roman" w:cs="Times New Roman"/>
          <w:sz w:val="24"/>
          <w:szCs w:val="24"/>
        </w:rPr>
        <w:t xml:space="preserve">(2), pp. 445-476, </w:t>
      </w:r>
      <w:hyperlink r:id="rId62" w:history="1">
        <w:r w:rsidRPr="00A3505C">
          <w:rPr>
            <w:rStyle w:val="Hyperlink"/>
            <w:rFonts w:ascii="Times New Roman" w:hAnsi="Times New Roman" w:cs="Times New Roman"/>
            <w:color w:val="auto"/>
            <w:sz w:val="24"/>
            <w:szCs w:val="24"/>
            <w:u w:val="none"/>
          </w:rPr>
          <w:t>https://doi.org/10.1111/joms.12863</w:t>
        </w:r>
      </w:hyperlink>
      <w:r w:rsidRPr="00A3505C">
        <w:rPr>
          <w:rFonts w:ascii="Times New Roman" w:hAnsi="Times New Roman" w:cs="Times New Roman"/>
          <w:sz w:val="24"/>
          <w:szCs w:val="24"/>
        </w:rPr>
        <w:t>.</w:t>
      </w:r>
    </w:p>
    <w:bookmarkEnd w:id="7"/>
    <w:p w14:paraId="4235DCDE" w14:textId="3989C38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Homburg, C., J. P. J. Workman and H. Krohmer (1999). ‘Marketing’s influence within the firm’, </w:t>
      </w:r>
      <w:r w:rsidRPr="00A3505C">
        <w:rPr>
          <w:rFonts w:ascii="Times New Roman" w:hAnsi="Times New Roman" w:cs="Times New Roman"/>
          <w:i/>
          <w:sz w:val="24"/>
          <w:szCs w:val="24"/>
        </w:rPr>
        <w:t>Journal of Marketing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63</w:t>
      </w:r>
      <w:r w:rsidRPr="00A3505C">
        <w:rPr>
          <w:rFonts w:ascii="Times New Roman" w:hAnsi="Times New Roman" w:cs="Times New Roman"/>
          <w:sz w:val="24"/>
          <w:szCs w:val="24"/>
        </w:rPr>
        <w:t xml:space="preserve">(2), pp. 1-17, </w:t>
      </w:r>
      <w:hyperlink r:id="rId63" w:history="1">
        <w:r w:rsidRPr="00A3505C">
          <w:rPr>
            <w:rStyle w:val="Hyperlink"/>
            <w:rFonts w:ascii="Times New Roman" w:hAnsi="Times New Roman" w:cs="Times New Roman"/>
            <w:color w:val="auto"/>
            <w:sz w:val="24"/>
            <w:szCs w:val="24"/>
            <w:u w:val="none"/>
          </w:rPr>
          <w:t>https://doi.org/10.2307/1251942</w:t>
        </w:r>
      </w:hyperlink>
      <w:r w:rsidRPr="00A3505C">
        <w:rPr>
          <w:rFonts w:ascii="Times New Roman" w:hAnsi="Times New Roman" w:cs="Times New Roman"/>
          <w:sz w:val="24"/>
          <w:szCs w:val="24"/>
        </w:rPr>
        <w:t>.</w:t>
      </w:r>
    </w:p>
    <w:p w14:paraId="544D2CD6" w14:textId="72C6391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Hu, G., X. Wang and Y. Wang (2021). ‘Can the green credit policy stimulate green innovation in heavily polluting enterprises? Evidence from a quasi-natural experiment in China’,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98</w:t>
      </w:r>
      <w:r w:rsidRPr="00A3505C">
        <w:rPr>
          <w:rFonts w:ascii="Times New Roman" w:hAnsi="Times New Roman" w:cs="Times New Roman"/>
          <w:sz w:val="24"/>
          <w:szCs w:val="24"/>
        </w:rPr>
        <w:t xml:space="preserve">, </w:t>
      </w:r>
      <w:hyperlink r:id="rId64" w:history="1">
        <w:r w:rsidRPr="00A3505C">
          <w:rPr>
            <w:rStyle w:val="Hyperlink"/>
            <w:rFonts w:ascii="Times New Roman" w:hAnsi="Times New Roman" w:cs="Times New Roman"/>
            <w:color w:val="auto"/>
            <w:sz w:val="24"/>
            <w:szCs w:val="24"/>
            <w:u w:val="none"/>
          </w:rPr>
          <w:t>https://doi.org/10.1016/j.eneco.2021.105134</w:t>
        </w:r>
      </w:hyperlink>
      <w:r w:rsidRPr="00A3505C">
        <w:rPr>
          <w:rFonts w:ascii="Times New Roman" w:hAnsi="Times New Roman" w:cs="Times New Roman"/>
          <w:sz w:val="24"/>
          <w:szCs w:val="24"/>
        </w:rPr>
        <w:t>.</w:t>
      </w:r>
    </w:p>
    <w:p w14:paraId="2EBD22F7" w14:textId="310C54F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Huang, K. F., R. Dyerson, L. Y. Wu and G. Harindranath (2015). ‘From temporary competitive advantage to sustainable competitive advantage’,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26</w:t>
      </w:r>
      <w:r w:rsidRPr="00A3505C">
        <w:rPr>
          <w:rFonts w:ascii="Times New Roman" w:hAnsi="Times New Roman" w:cs="Times New Roman"/>
          <w:sz w:val="24"/>
          <w:szCs w:val="24"/>
        </w:rPr>
        <w:t xml:space="preserve">(4), pp. 617-636, </w:t>
      </w:r>
      <w:hyperlink r:id="rId65" w:history="1">
        <w:r w:rsidRPr="00A3505C">
          <w:rPr>
            <w:rStyle w:val="Hyperlink"/>
            <w:rFonts w:ascii="Times New Roman" w:hAnsi="Times New Roman" w:cs="Times New Roman"/>
            <w:color w:val="auto"/>
            <w:sz w:val="24"/>
            <w:szCs w:val="24"/>
            <w:u w:val="none"/>
          </w:rPr>
          <w:t>https://doi.org/10.1111/1467-8551.12104</w:t>
        </w:r>
      </w:hyperlink>
      <w:r w:rsidRPr="00A3505C">
        <w:rPr>
          <w:rFonts w:ascii="Times New Roman" w:hAnsi="Times New Roman" w:cs="Times New Roman"/>
          <w:sz w:val="24"/>
          <w:szCs w:val="24"/>
        </w:rPr>
        <w:t>.</w:t>
      </w:r>
    </w:p>
    <w:p w14:paraId="54C710EE" w14:textId="60EE4CF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Huang, S., X. Wang and M. Battisti (2025). ‘Exploring resource synergies: Strategic and versatile resources in venture growth’, </w:t>
      </w:r>
      <w:r w:rsidRPr="00A3505C">
        <w:rPr>
          <w:rFonts w:ascii="Times New Roman" w:hAnsi="Times New Roman" w:cs="Times New Roman"/>
          <w:i/>
          <w:sz w:val="24"/>
          <w:szCs w:val="24"/>
        </w:rPr>
        <w:t>Small Business Economics</w:t>
      </w:r>
      <w:r w:rsidRPr="00A3505C">
        <w:rPr>
          <w:rFonts w:ascii="Times New Roman" w:hAnsi="Times New Roman" w:cs="Times New Roman"/>
          <w:sz w:val="24"/>
          <w:szCs w:val="24"/>
        </w:rPr>
        <w:t xml:space="preserve">, </w:t>
      </w:r>
      <w:hyperlink r:id="rId66" w:history="1">
        <w:r w:rsidRPr="00A3505C">
          <w:rPr>
            <w:rStyle w:val="Hyperlink"/>
            <w:rFonts w:ascii="Times New Roman" w:hAnsi="Times New Roman" w:cs="Times New Roman"/>
            <w:color w:val="auto"/>
            <w:sz w:val="24"/>
            <w:szCs w:val="24"/>
            <w:u w:val="none"/>
          </w:rPr>
          <w:t>https://doi.org/10.1007/s11187-025-01049-8</w:t>
        </w:r>
      </w:hyperlink>
      <w:r w:rsidRPr="00A3505C">
        <w:rPr>
          <w:rFonts w:ascii="Times New Roman" w:hAnsi="Times New Roman" w:cs="Times New Roman"/>
          <w:sz w:val="24"/>
          <w:szCs w:val="24"/>
        </w:rPr>
        <w:t>.</w:t>
      </w:r>
    </w:p>
    <w:p w14:paraId="278B52B7" w14:textId="38D510B2"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Huang, Z., J. Cao and L. Pan (2024). ‘Greening your way to profits: Green strategies and green revenues’, </w:t>
      </w:r>
      <w:r w:rsidRPr="00A3505C">
        <w:rPr>
          <w:rFonts w:ascii="Times New Roman" w:hAnsi="Times New Roman" w:cs="Times New Roman"/>
          <w:i/>
          <w:sz w:val="24"/>
          <w:szCs w:val="24"/>
        </w:rPr>
        <w:t>Finance Research Letters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61</w:t>
      </w:r>
      <w:r w:rsidRPr="00A3505C">
        <w:rPr>
          <w:rFonts w:ascii="Times New Roman" w:hAnsi="Times New Roman" w:cs="Times New Roman"/>
          <w:sz w:val="24"/>
          <w:szCs w:val="24"/>
        </w:rPr>
        <w:t xml:space="preserve">, </w:t>
      </w:r>
      <w:hyperlink r:id="rId67" w:history="1">
        <w:r w:rsidRPr="00A3505C">
          <w:rPr>
            <w:rStyle w:val="Hyperlink"/>
            <w:rFonts w:ascii="Times New Roman" w:hAnsi="Times New Roman" w:cs="Times New Roman"/>
            <w:color w:val="auto"/>
            <w:sz w:val="24"/>
            <w:szCs w:val="24"/>
            <w:u w:val="none"/>
          </w:rPr>
          <w:t>https://doi.org/10.1016/j.frl.2024.105029</w:t>
        </w:r>
      </w:hyperlink>
      <w:r w:rsidRPr="00A3505C">
        <w:rPr>
          <w:rFonts w:ascii="Times New Roman" w:hAnsi="Times New Roman" w:cs="Times New Roman"/>
          <w:sz w:val="24"/>
          <w:szCs w:val="24"/>
        </w:rPr>
        <w:t>.</w:t>
      </w:r>
    </w:p>
    <w:p w14:paraId="3FB6113E" w14:textId="2CC98E8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Jensen, M. C. (1986). ‘Agency costs of free cash flow, corporate finance, and takeovers’, </w:t>
      </w:r>
      <w:r w:rsidRPr="00A3505C">
        <w:rPr>
          <w:rFonts w:ascii="Times New Roman" w:hAnsi="Times New Roman" w:cs="Times New Roman"/>
          <w:i/>
          <w:sz w:val="24"/>
          <w:szCs w:val="24"/>
        </w:rPr>
        <w:t>The American Economic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76</w:t>
      </w:r>
      <w:r w:rsidRPr="00A3505C">
        <w:rPr>
          <w:rFonts w:ascii="Times New Roman" w:hAnsi="Times New Roman" w:cs="Times New Roman"/>
          <w:sz w:val="24"/>
          <w:szCs w:val="24"/>
        </w:rPr>
        <w:t>(2), pp. 323-329, https://www.jstor.org/stable/1818789.</w:t>
      </w:r>
    </w:p>
    <w:p w14:paraId="42DBECD8" w14:textId="167F9DC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Jibril, H., E. Kesidou and S. Roper (2024). ‘Do digital technologies enable firms that prioritize sustainability goals to innovate? Empirical evidence from established UK micro‐businesses</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35</w:t>
      </w:r>
      <w:r w:rsidRPr="00A3505C">
        <w:rPr>
          <w:rFonts w:ascii="Times New Roman" w:hAnsi="Times New Roman" w:cs="Times New Roman"/>
          <w:sz w:val="24"/>
          <w:szCs w:val="24"/>
        </w:rPr>
        <w:t xml:space="preserve">(4), pp. 2155-2173, </w:t>
      </w:r>
      <w:hyperlink r:id="rId68" w:history="1">
        <w:r w:rsidRPr="00A3505C">
          <w:rPr>
            <w:rStyle w:val="Hyperlink"/>
            <w:rFonts w:ascii="Times New Roman" w:hAnsi="Times New Roman" w:cs="Times New Roman"/>
            <w:color w:val="auto"/>
            <w:sz w:val="24"/>
            <w:szCs w:val="24"/>
            <w:u w:val="none"/>
          </w:rPr>
          <w:t>https://doi.org/10.1111/1467-8551.12821</w:t>
        </w:r>
      </w:hyperlink>
      <w:r w:rsidRPr="00A3505C">
        <w:rPr>
          <w:rFonts w:ascii="Times New Roman" w:hAnsi="Times New Roman" w:cs="Times New Roman"/>
          <w:sz w:val="24"/>
          <w:szCs w:val="24"/>
        </w:rPr>
        <w:t>.</w:t>
      </w:r>
    </w:p>
    <w:p w14:paraId="609485A0" w14:textId="6DD16E4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Jung, C., J. N. Foege and S. Nüesch (2020). ‘Cash for contingencies: How the organizational task environment shapes the cash-performance relationship’, </w:t>
      </w:r>
      <w:r w:rsidRPr="00A3505C">
        <w:rPr>
          <w:rFonts w:ascii="Times New Roman" w:hAnsi="Times New Roman" w:cs="Times New Roman"/>
          <w:i/>
          <w:sz w:val="24"/>
          <w:szCs w:val="24"/>
        </w:rPr>
        <w:t>Long Range Planning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53</w:t>
      </w:r>
      <w:r w:rsidRPr="00A3505C">
        <w:rPr>
          <w:rFonts w:ascii="Times New Roman" w:hAnsi="Times New Roman" w:cs="Times New Roman"/>
          <w:sz w:val="24"/>
          <w:szCs w:val="24"/>
        </w:rPr>
        <w:t xml:space="preserve">(3), </w:t>
      </w:r>
      <w:hyperlink r:id="rId69" w:history="1">
        <w:r w:rsidRPr="00A3505C">
          <w:rPr>
            <w:rStyle w:val="Hyperlink"/>
            <w:rFonts w:ascii="Times New Roman" w:hAnsi="Times New Roman" w:cs="Times New Roman"/>
            <w:color w:val="auto"/>
            <w:sz w:val="24"/>
            <w:szCs w:val="24"/>
            <w:u w:val="none"/>
          </w:rPr>
          <w:t>https://doi.org/10.1016/j.lrp.2019.05.005</w:t>
        </w:r>
      </w:hyperlink>
      <w:r w:rsidRPr="00A3505C">
        <w:rPr>
          <w:rFonts w:ascii="Times New Roman" w:hAnsi="Times New Roman" w:cs="Times New Roman"/>
          <w:sz w:val="24"/>
          <w:szCs w:val="24"/>
        </w:rPr>
        <w:t>.</w:t>
      </w:r>
    </w:p>
    <w:p w14:paraId="2C2D2B5F"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Kaplan, R. S. and D. Norton (1992). ‘The balanced scorecard: Measures that drive performance’, </w:t>
      </w:r>
      <w:r w:rsidRPr="00A3505C">
        <w:rPr>
          <w:rFonts w:ascii="Times New Roman" w:hAnsi="Times New Roman" w:cs="Times New Roman"/>
          <w:i/>
          <w:sz w:val="24"/>
          <w:szCs w:val="24"/>
        </w:rPr>
        <w:t>Harvard Business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70</w:t>
      </w:r>
      <w:r w:rsidRPr="00A3505C">
        <w:rPr>
          <w:rFonts w:ascii="Times New Roman" w:hAnsi="Times New Roman" w:cs="Times New Roman"/>
          <w:sz w:val="24"/>
          <w:szCs w:val="24"/>
        </w:rPr>
        <w:t>(1), pp. 71-79.</w:t>
      </w:r>
    </w:p>
    <w:p w14:paraId="168D8DD1" w14:textId="788D473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Kim, J. and K. Valentine (2021). ‘The innovation consequences of mandatory patent disclosures’, </w:t>
      </w:r>
      <w:r w:rsidRPr="00A3505C">
        <w:rPr>
          <w:rFonts w:ascii="Times New Roman" w:hAnsi="Times New Roman" w:cs="Times New Roman"/>
          <w:i/>
          <w:sz w:val="24"/>
          <w:szCs w:val="24"/>
        </w:rPr>
        <w:t>Journal of Accounting and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71</w:t>
      </w:r>
      <w:r w:rsidRPr="00A3505C">
        <w:rPr>
          <w:rFonts w:ascii="Times New Roman" w:hAnsi="Times New Roman" w:cs="Times New Roman"/>
          <w:sz w:val="24"/>
          <w:szCs w:val="24"/>
        </w:rPr>
        <w:t xml:space="preserve">, </w:t>
      </w:r>
      <w:hyperlink r:id="rId70" w:history="1">
        <w:r w:rsidRPr="00A3505C">
          <w:rPr>
            <w:rStyle w:val="Hyperlink"/>
            <w:rFonts w:ascii="Times New Roman" w:hAnsi="Times New Roman" w:cs="Times New Roman"/>
            <w:color w:val="auto"/>
            <w:sz w:val="24"/>
            <w:szCs w:val="24"/>
            <w:u w:val="none"/>
          </w:rPr>
          <w:t>https://doi.org/10.1016/j.jacceco.2020.101381</w:t>
        </w:r>
      </w:hyperlink>
      <w:r w:rsidRPr="00A3505C">
        <w:rPr>
          <w:rFonts w:ascii="Times New Roman" w:hAnsi="Times New Roman" w:cs="Times New Roman"/>
          <w:sz w:val="24"/>
          <w:szCs w:val="24"/>
        </w:rPr>
        <w:t>.</w:t>
      </w:r>
    </w:p>
    <w:p w14:paraId="2A9EAB9B" w14:textId="2FB881A1" w:rsidR="00E53248" w:rsidRPr="00A3505C" w:rsidRDefault="00E53248" w:rsidP="00E53248">
      <w:pPr>
        <w:pStyle w:val="EndNoteBibliography"/>
        <w:spacing w:after="0"/>
        <w:ind w:left="720" w:hanging="720"/>
        <w:rPr>
          <w:rFonts w:ascii="Times New Roman" w:hAnsi="Times New Roman" w:cs="Times New Roman"/>
          <w:i/>
          <w:sz w:val="24"/>
          <w:szCs w:val="24"/>
        </w:rPr>
      </w:pPr>
      <w:r w:rsidRPr="00A3505C">
        <w:rPr>
          <w:rFonts w:ascii="Times New Roman" w:hAnsi="Times New Roman" w:cs="Times New Roman"/>
          <w:sz w:val="24"/>
          <w:szCs w:val="24"/>
        </w:rPr>
        <w:t xml:space="preserve">Klausmann, J., P. Krueger and P. Matos (2024), ‘The green transition: Evidence from corporate green revenues’, </w:t>
      </w:r>
      <w:r w:rsidRPr="00A3505C">
        <w:rPr>
          <w:rFonts w:ascii="Times New Roman" w:hAnsi="Times New Roman" w:cs="Times New Roman"/>
          <w:i/>
          <w:sz w:val="24"/>
          <w:szCs w:val="24"/>
        </w:rPr>
        <w:t xml:space="preserve">Working </w:t>
      </w:r>
      <w:r w:rsidR="00FD37AD" w:rsidRPr="00A3505C">
        <w:rPr>
          <w:rFonts w:ascii="Times New Roman" w:hAnsi="Times New Roman" w:cs="Times New Roman"/>
          <w:i/>
          <w:sz w:val="24"/>
          <w:szCs w:val="24"/>
        </w:rPr>
        <w:t>Paper</w:t>
      </w:r>
      <w:r w:rsidRPr="00A3505C">
        <w:rPr>
          <w:rFonts w:ascii="Times New Roman" w:hAnsi="Times New Roman" w:cs="Times New Roman"/>
          <w:i/>
          <w:sz w:val="24"/>
          <w:szCs w:val="24"/>
        </w:rPr>
        <w:t>.</w:t>
      </w:r>
    </w:p>
    <w:p w14:paraId="7D58BFC1" w14:textId="23FE4CB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Kooroshy, J., L. Dai and L. Clements (2020). </w:t>
      </w:r>
      <w:r w:rsidRPr="00A3505C">
        <w:rPr>
          <w:rFonts w:ascii="Times New Roman" w:hAnsi="Times New Roman" w:cs="Times New Roman"/>
          <w:i/>
          <w:sz w:val="24"/>
          <w:szCs w:val="24"/>
        </w:rPr>
        <w:t>Sizing the green economy: Green revenues and the EU taxonomy</w:t>
      </w:r>
      <w:r w:rsidRPr="00A3505C">
        <w:rPr>
          <w:rFonts w:ascii="Times New Roman" w:hAnsi="Times New Roman" w:cs="Times New Roman"/>
          <w:sz w:val="24"/>
          <w:szCs w:val="24"/>
        </w:rPr>
        <w:t>. FTSE Russell.</w:t>
      </w:r>
    </w:p>
    <w:p w14:paraId="7E449E90" w14:textId="4A33101F" w:rsidR="00E53248" w:rsidRPr="00A3505C" w:rsidRDefault="00E53248" w:rsidP="00E53248">
      <w:pPr>
        <w:pStyle w:val="EndNoteBibliography"/>
        <w:spacing w:after="0"/>
        <w:ind w:left="720" w:hanging="720"/>
        <w:rPr>
          <w:rFonts w:ascii="Times New Roman" w:hAnsi="Times New Roman" w:cs="Times New Roman"/>
          <w:i/>
          <w:sz w:val="24"/>
          <w:szCs w:val="24"/>
        </w:rPr>
      </w:pPr>
      <w:r w:rsidRPr="00A3505C">
        <w:rPr>
          <w:rFonts w:ascii="Times New Roman" w:hAnsi="Times New Roman" w:cs="Times New Roman"/>
          <w:sz w:val="24"/>
          <w:szCs w:val="24"/>
        </w:rPr>
        <w:t xml:space="preserve">Kruse, T., M. Mohnen, P. Pope and M. Sato (2020), ‘Green revenues, profitability and market valuation: Evidence from a global firm level dataset’, </w:t>
      </w:r>
      <w:r w:rsidRPr="00A3505C">
        <w:rPr>
          <w:rFonts w:ascii="Times New Roman" w:hAnsi="Times New Roman" w:cs="Times New Roman"/>
          <w:i/>
          <w:sz w:val="24"/>
          <w:szCs w:val="24"/>
        </w:rPr>
        <w:t xml:space="preserve">Working </w:t>
      </w:r>
      <w:r w:rsidR="00FD37AD" w:rsidRPr="00A3505C">
        <w:rPr>
          <w:rFonts w:ascii="Times New Roman" w:hAnsi="Times New Roman" w:cs="Times New Roman"/>
          <w:i/>
          <w:sz w:val="24"/>
          <w:szCs w:val="24"/>
        </w:rPr>
        <w:t>Paper</w:t>
      </w:r>
      <w:r w:rsidRPr="00A3505C">
        <w:rPr>
          <w:rFonts w:ascii="Times New Roman" w:hAnsi="Times New Roman" w:cs="Times New Roman"/>
          <w:i/>
          <w:sz w:val="24"/>
          <w:szCs w:val="24"/>
        </w:rPr>
        <w:t>.</w:t>
      </w:r>
    </w:p>
    <w:p w14:paraId="39988472" w14:textId="3D5392C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Kruse, T., M. Mohnen and M. Sato (2024). ‘Do financial markets respond to green opportunities?’, </w:t>
      </w:r>
      <w:r w:rsidRPr="00A3505C">
        <w:rPr>
          <w:rFonts w:ascii="Times New Roman" w:hAnsi="Times New Roman" w:cs="Times New Roman"/>
          <w:i/>
          <w:sz w:val="24"/>
          <w:szCs w:val="24"/>
        </w:rPr>
        <w:t>Journal of the Association of Environmental and Resource Economists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11</w:t>
      </w:r>
      <w:r w:rsidRPr="00A3505C">
        <w:rPr>
          <w:rFonts w:ascii="Times New Roman" w:hAnsi="Times New Roman" w:cs="Times New Roman"/>
          <w:sz w:val="24"/>
          <w:szCs w:val="24"/>
        </w:rPr>
        <w:t xml:space="preserve">(3), pp. 549-576, </w:t>
      </w:r>
      <w:hyperlink r:id="rId71" w:history="1">
        <w:r w:rsidRPr="00A3505C">
          <w:rPr>
            <w:rStyle w:val="Hyperlink"/>
            <w:rFonts w:ascii="Times New Roman" w:hAnsi="Times New Roman" w:cs="Times New Roman"/>
            <w:color w:val="auto"/>
            <w:sz w:val="24"/>
            <w:szCs w:val="24"/>
            <w:u w:val="none"/>
          </w:rPr>
          <w:t>https://doi.org/10.1086/727370</w:t>
        </w:r>
      </w:hyperlink>
      <w:r w:rsidRPr="00A3505C">
        <w:rPr>
          <w:rFonts w:ascii="Times New Roman" w:hAnsi="Times New Roman" w:cs="Times New Roman"/>
          <w:sz w:val="24"/>
          <w:szCs w:val="24"/>
        </w:rPr>
        <w:t>.</w:t>
      </w:r>
    </w:p>
    <w:p w14:paraId="041C9D30" w14:textId="26E5149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Kutaula, S., S. Chowdhury, A. Gillani, P. S. Budhwar and P. K. Dey (2024). ‘Linking HRM with sustainability performance through sustainability practices: Unlocking the black box’,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36</w:t>
      </w:r>
      <w:r w:rsidRPr="00A3505C">
        <w:rPr>
          <w:rFonts w:ascii="Times New Roman" w:hAnsi="Times New Roman" w:cs="Times New Roman"/>
          <w:sz w:val="24"/>
          <w:szCs w:val="24"/>
        </w:rPr>
        <w:t xml:space="preserve">(2), pp. 615-632, </w:t>
      </w:r>
      <w:hyperlink r:id="rId72" w:history="1">
        <w:r w:rsidRPr="00A3505C">
          <w:rPr>
            <w:rStyle w:val="Hyperlink"/>
            <w:rFonts w:ascii="Times New Roman" w:hAnsi="Times New Roman" w:cs="Times New Roman"/>
            <w:color w:val="auto"/>
            <w:sz w:val="24"/>
            <w:szCs w:val="24"/>
            <w:u w:val="none"/>
          </w:rPr>
          <w:t>https://doi.org/10.1111/1467-8551.12861</w:t>
        </w:r>
      </w:hyperlink>
      <w:r w:rsidRPr="00A3505C">
        <w:rPr>
          <w:rFonts w:ascii="Times New Roman" w:hAnsi="Times New Roman" w:cs="Times New Roman"/>
          <w:sz w:val="24"/>
          <w:szCs w:val="24"/>
        </w:rPr>
        <w:t>.</w:t>
      </w:r>
    </w:p>
    <w:p w14:paraId="02FBC8F8" w14:textId="29FFD3B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Lev, B. and S. R. Thiagarajan (1993). ‘Fundamental information analysis’, </w:t>
      </w:r>
      <w:r w:rsidRPr="00A3505C">
        <w:rPr>
          <w:rFonts w:ascii="Times New Roman" w:hAnsi="Times New Roman" w:cs="Times New Roman"/>
          <w:i/>
          <w:sz w:val="24"/>
          <w:szCs w:val="24"/>
        </w:rPr>
        <w:t>Journal of Accounting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31</w:t>
      </w:r>
      <w:r w:rsidRPr="00A3505C">
        <w:rPr>
          <w:rFonts w:ascii="Times New Roman" w:hAnsi="Times New Roman" w:cs="Times New Roman"/>
          <w:sz w:val="24"/>
          <w:szCs w:val="24"/>
        </w:rPr>
        <w:t xml:space="preserve">(2), pp. 190-215, </w:t>
      </w:r>
      <w:hyperlink r:id="rId73" w:history="1">
        <w:r w:rsidRPr="00A3505C">
          <w:rPr>
            <w:rStyle w:val="Hyperlink"/>
            <w:rFonts w:ascii="Times New Roman" w:hAnsi="Times New Roman" w:cs="Times New Roman"/>
            <w:color w:val="auto"/>
            <w:sz w:val="24"/>
            <w:szCs w:val="24"/>
            <w:u w:val="none"/>
          </w:rPr>
          <w:t>https://doi.org/10.2307/2491270</w:t>
        </w:r>
      </w:hyperlink>
      <w:r w:rsidRPr="00A3505C">
        <w:rPr>
          <w:rFonts w:ascii="Times New Roman" w:hAnsi="Times New Roman" w:cs="Times New Roman"/>
          <w:sz w:val="24"/>
          <w:szCs w:val="24"/>
        </w:rPr>
        <w:t>.</w:t>
      </w:r>
    </w:p>
    <w:p w14:paraId="525826E4" w14:textId="271D850E"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Levinthal, D. A. and B. Wu (2010). </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Opportunity costs and non‐scale free capabilities: Profit maximization, corporate scope, and profit margins</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31</w:t>
      </w:r>
      <w:r w:rsidRPr="00A3505C">
        <w:rPr>
          <w:rFonts w:ascii="Times New Roman" w:hAnsi="Times New Roman" w:cs="Times New Roman"/>
          <w:sz w:val="24"/>
          <w:szCs w:val="24"/>
        </w:rPr>
        <w:t xml:space="preserve">(7), pp. 780-801, </w:t>
      </w:r>
      <w:hyperlink r:id="rId74" w:history="1">
        <w:r w:rsidRPr="00A3505C">
          <w:rPr>
            <w:rStyle w:val="Hyperlink"/>
            <w:rFonts w:ascii="Times New Roman" w:hAnsi="Times New Roman" w:cs="Times New Roman"/>
            <w:color w:val="auto"/>
            <w:sz w:val="24"/>
            <w:szCs w:val="24"/>
            <w:u w:val="none"/>
          </w:rPr>
          <w:t>https://doi.org/10.1002/smj.845</w:t>
        </w:r>
      </w:hyperlink>
      <w:r w:rsidRPr="00A3505C">
        <w:rPr>
          <w:rFonts w:ascii="Times New Roman" w:hAnsi="Times New Roman" w:cs="Times New Roman"/>
          <w:sz w:val="24"/>
          <w:szCs w:val="24"/>
        </w:rPr>
        <w:t>.</w:t>
      </w:r>
    </w:p>
    <w:p w14:paraId="5CF440F5" w14:textId="72F6F40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Li, D., M. Huang, S. Ren, X. Chen and L. Ning (2016). ‘Environmental legitimacy, green innovation, and corporate carbon disclosure: Evidence from CDP China 100’, </w:t>
      </w:r>
      <w:r w:rsidRPr="00A3505C">
        <w:rPr>
          <w:rFonts w:ascii="Times New Roman" w:hAnsi="Times New Roman" w:cs="Times New Roman"/>
          <w:i/>
          <w:sz w:val="24"/>
          <w:szCs w:val="24"/>
        </w:rPr>
        <w:t>Journal of Business Ethics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150</w:t>
      </w:r>
      <w:r w:rsidRPr="00A3505C">
        <w:rPr>
          <w:rFonts w:ascii="Times New Roman" w:hAnsi="Times New Roman" w:cs="Times New Roman"/>
          <w:sz w:val="24"/>
          <w:szCs w:val="24"/>
        </w:rPr>
        <w:t xml:space="preserve">(4), pp. 1089-1104, </w:t>
      </w:r>
      <w:hyperlink r:id="rId75" w:history="1">
        <w:r w:rsidRPr="00A3505C">
          <w:rPr>
            <w:rStyle w:val="Hyperlink"/>
            <w:rFonts w:ascii="Times New Roman" w:hAnsi="Times New Roman" w:cs="Times New Roman"/>
            <w:color w:val="auto"/>
            <w:sz w:val="24"/>
            <w:szCs w:val="24"/>
            <w:u w:val="none"/>
          </w:rPr>
          <w:t>https://doi.org/10.1007/s10551-016-3187-6</w:t>
        </w:r>
      </w:hyperlink>
      <w:r w:rsidRPr="00A3505C">
        <w:rPr>
          <w:rFonts w:ascii="Times New Roman" w:hAnsi="Times New Roman" w:cs="Times New Roman"/>
          <w:sz w:val="24"/>
          <w:szCs w:val="24"/>
        </w:rPr>
        <w:t>.</w:t>
      </w:r>
    </w:p>
    <w:p w14:paraId="0E7AB194" w14:textId="2AFACF7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Li, J., H. He, H. Liu and C. Su (2017). ‘Consumer responses to corporate environmental actions in China: An environmental legitimacy perspective’, </w:t>
      </w:r>
      <w:r w:rsidRPr="00A3505C">
        <w:rPr>
          <w:rFonts w:ascii="Times New Roman" w:hAnsi="Times New Roman" w:cs="Times New Roman"/>
          <w:i/>
          <w:sz w:val="24"/>
          <w:szCs w:val="24"/>
        </w:rPr>
        <w:t>Journal of Business Ethics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143</w:t>
      </w:r>
      <w:r w:rsidRPr="00A3505C">
        <w:rPr>
          <w:rFonts w:ascii="Times New Roman" w:hAnsi="Times New Roman" w:cs="Times New Roman"/>
          <w:sz w:val="24"/>
          <w:szCs w:val="24"/>
        </w:rPr>
        <w:t xml:space="preserve">, pp. 589-602, </w:t>
      </w:r>
      <w:hyperlink r:id="rId76" w:history="1">
        <w:r w:rsidRPr="00A3505C">
          <w:rPr>
            <w:rStyle w:val="Hyperlink"/>
            <w:rFonts w:ascii="Times New Roman" w:hAnsi="Times New Roman" w:cs="Times New Roman"/>
            <w:color w:val="auto"/>
            <w:sz w:val="24"/>
            <w:szCs w:val="24"/>
            <w:u w:val="none"/>
          </w:rPr>
          <w:t>https://doi.org/10.1007/s10551-015-2807-x</w:t>
        </w:r>
      </w:hyperlink>
      <w:r w:rsidRPr="00A3505C">
        <w:rPr>
          <w:rFonts w:ascii="Times New Roman" w:hAnsi="Times New Roman" w:cs="Times New Roman"/>
          <w:sz w:val="24"/>
          <w:szCs w:val="24"/>
        </w:rPr>
        <w:t>.</w:t>
      </w:r>
    </w:p>
    <w:p w14:paraId="36F415E0" w14:textId="256E7DD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Li, X. and Y. M. Zhou (2017). ‘Offshoring pollution while offshoring production?’,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38</w:t>
      </w:r>
      <w:r w:rsidRPr="00A3505C">
        <w:rPr>
          <w:rFonts w:ascii="Times New Roman" w:hAnsi="Times New Roman" w:cs="Times New Roman"/>
          <w:sz w:val="24"/>
          <w:szCs w:val="24"/>
        </w:rPr>
        <w:t xml:space="preserve">(11), pp. 2310-2329, </w:t>
      </w:r>
      <w:hyperlink r:id="rId77" w:history="1">
        <w:r w:rsidRPr="00A3505C">
          <w:rPr>
            <w:rStyle w:val="Hyperlink"/>
            <w:rFonts w:ascii="Times New Roman" w:hAnsi="Times New Roman" w:cs="Times New Roman"/>
            <w:color w:val="auto"/>
            <w:sz w:val="24"/>
            <w:szCs w:val="24"/>
            <w:u w:val="none"/>
          </w:rPr>
          <w:t>https://doi.org/10.1002/smj.2656</w:t>
        </w:r>
      </w:hyperlink>
      <w:r w:rsidRPr="00A3505C">
        <w:rPr>
          <w:rFonts w:ascii="Times New Roman" w:hAnsi="Times New Roman" w:cs="Times New Roman"/>
          <w:sz w:val="24"/>
          <w:szCs w:val="24"/>
        </w:rPr>
        <w:t>.</w:t>
      </w:r>
    </w:p>
    <w:p w14:paraId="24E6BD07" w14:textId="350DFEC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Loughran, T. and B. McDonald (2011). ‘When is a liability not a liability? Textual analysis, dictionaries, and 10-Ks’’, </w:t>
      </w:r>
      <w:r w:rsidRPr="00A3505C">
        <w:rPr>
          <w:rFonts w:ascii="Times New Roman" w:hAnsi="Times New Roman" w:cs="Times New Roman"/>
          <w:i/>
          <w:sz w:val="24"/>
          <w:szCs w:val="24"/>
        </w:rPr>
        <w:t>The Journal of Finance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66</w:t>
      </w:r>
      <w:r w:rsidRPr="00A3505C">
        <w:rPr>
          <w:rFonts w:ascii="Times New Roman" w:hAnsi="Times New Roman" w:cs="Times New Roman"/>
          <w:sz w:val="24"/>
          <w:szCs w:val="24"/>
        </w:rPr>
        <w:t xml:space="preserve">(1), pp. 35-65, </w:t>
      </w:r>
      <w:hyperlink r:id="rId78" w:history="1">
        <w:r w:rsidRPr="00A3505C">
          <w:rPr>
            <w:rStyle w:val="Hyperlink"/>
            <w:rFonts w:ascii="Times New Roman" w:hAnsi="Times New Roman" w:cs="Times New Roman"/>
            <w:color w:val="auto"/>
            <w:sz w:val="24"/>
            <w:szCs w:val="24"/>
            <w:u w:val="none"/>
          </w:rPr>
          <w:t>https://doi.org/10.1111/j.1540-6261.2010.01625.x</w:t>
        </w:r>
      </w:hyperlink>
      <w:r w:rsidRPr="00A3505C">
        <w:rPr>
          <w:rFonts w:ascii="Times New Roman" w:hAnsi="Times New Roman" w:cs="Times New Roman"/>
          <w:sz w:val="24"/>
          <w:szCs w:val="24"/>
        </w:rPr>
        <w:t>.</w:t>
      </w:r>
    </w:p>
    <w:p w14:paraId="7B39696B" w14:textId="226E071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Lu, H., Y. Pan, R. Fan and W. Guan (2025). ‘Green credit policy and heavily polluting enterprises’ green transition’, </w:t>
      </w:r>
      <w:r w:rsidRPr="00A3505C">
        <w:rPr>
          <w:rFonts w:ascii="Times New Roman" w:hAnsi="Times New Roman" w:cs="Times New Roman"/>
          <w:i/>
          <w:sz w:val="24"/>
          <w:szCs w:val="24"/>
        </w:rPr>
        <w:t>International Review of Financial Analysis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103</w:t>
      </w:r>
      <w:r w:rsidRPr="00A3505C">
        <w:rPr>
          <w:rFonts w:ascii="Times New Roman" w:hAnsi="Times New Roman" w:cs="Times New Roman"/>
          <w:sz w:val="24"/>
          <w:szCs w:val="24"/>
        </w:rPr>
        <w:t xml:space="preserve">, </w:t>
      </w:r>
      <w:hyperlink r:id="rId79" w:history="1">
        <w:r w:rsidRPr="00A3505C">
          <w:rPr>
            <w:rStyle w:val="Hyperlink"/>
            <w:rFonts w:ascii="Times New Roman" w:hAnsi="Times New Roman" w:cs="Times New Roman"/>
            <w:color w:val="auto"/>
            <w:sz w:val="24"/>
            <w:szCs w:val="24"/>
            <w:u w:val="none"/>
          </w:rPr>
          <w:t>https://doi.org/10.1016/j.irfa.2025.104162</w:t>
        </w:r>
      </w:hyperlink>
      <w:r w:rsidRPr="00A3505C">
        <w:rPr>
          <w:rFonts w:ascii="Times New Roman" w:hAnsi="Times New Roman" w:cs="Times New Roman"/>
          <w:sz w:val="24"/>
          <w:szCs w:val="24"/>
        </w:rPr>
        <w:t>.</w:t>
      </w:r>
    </w:p>
    <w:p w14:paraId="3A40BCA7" w14:textId="281E48A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Luo, Y. and S. H. Park (2001). ‘Strategic alignment and performance of market-seeking MNCs in China’,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22</w:t>
      </w:r>
      <w:r w:rsidRPr="00A3505C">
        <w:rPr>
          <w:rFonts w:ascii="Times New Roman" w:hAnsi="Times New Roman" w:cs="Times New Roman"/>
          <w:sz w:val="24"/>
          <w:szCs w:val="24"/>
        </w:rPr>
        <w:t xml:space="preserve">(2), pp. 141-155, </w:t>
      </w:r>
      <w:hyperlink r:id="rId80" w:history="1">
        <w:r w:rsidRPr="00A3505C">
          <w:rPr>
            <w:rStyle w:val="Hyperlink"/>
            <w:rFonts w:ascii="Times New Roman" w:hAnsi="Times New Roman" w:cs="Times New Roman"/>
            <w:color w:val="auto"/>
            <w:sz w:val="24"/>
            <w:szCs w:val="24"/>
            <w:u w:val="none"/>
          </w:rPr>
          <w:t>https://doi.org/10.1002/1097-0266(200101)22:2</w:t>
        </w:r>
      </w:hyperlink>
      <w:r w:rsidRPr="00A3505C">
        <w:rPr>
          <w:rFonts w:ascii="Times New Roman" w:hAnsi="Times New Roman" w:cs="Times New Roman"/>
          <w:sz w:val="24"/>
          <w:szCs w:val="24"/>
        </w:rPr>
        <w:t>&lt;141::Aid-smj151&gt;3.0.Co;2-o.</w:t>
      </w:r>
    </w:p>
    <w:p w14:paraId="634682F3" w14:textId="34275A7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Mansfield, E. (1980). ‘Basic research and productivity increase in manufacturing’, </w:t>
      </w:r>
      <w:r w:rsidRPr="00A3505C">
        <w:rPr>
          <w:rFonts w:ascii="Times New Roman" w:hAnsi="Times New Roman" w:cs="Times New Roman"/>
          <w:i/>
          <w:sz w:val="24"/>
          <w:szCs w:val="24"/>
        </w:rPr>
        <w:t>American Economic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70</w:t>
      </w:r>
      <w:r w:rsidRPr="00A3505C">
        <w:rPr>
          <w:rFonts w:ascii="Times New Roman" w:hAnsi="Times New Roman" w:cs="Times New Roman"/>
          <w:sz w:val="24"/>
          <w:szCs w:val="24"/>
        </w:rPr>
        <w:t xml:space="preserve">(5), pp. 863-873,  </w:t>
      </w:r>
      <w:hyperlink r:id="rId81" w:history="1">
        <w:r w:rsidRPr="00A3505C">
          <w:rPr>
            <w:rStyle w:val="Hyperlink"/>
            <w:rFonts w:ascii="Times New Roman" w:hAnsi="Times New Roman" w:cs="Times New Roman"/>
            <w:color w:val="auto"/>
            <w:sz w:val="24"/>
            <w:szCs w:val="24"/>
            <w:u w:val="none"/>
          </w:rPr>
          <w:t>https://www.jstor.org/stable/1805767</w:t>
        </w:r>
      </w:hyperlink>
      <w:r w:rsidRPr="00A3505C">
        <w:rPr>
          <w:rFonts w:ascii="Times New Roman" w:hAnsi="Times New Roman" w:cs="Times New Roman"/>
          <w:sz w:val="24"/>
          <w:szCs w:val="24"/>
        </w:rPr>
        <w:t>.</w:t>
      </w:r>
    </w:p>
    <w:p w14:paraId="79B9A5CD" w14:textId="44C8733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McGahan, A. M. and M. E. Porter (1997). ‘How much does industry matter, really?’,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18</w:t>
      </w:r>
      <w:r w:rsidRPr="00A3505C">
        <w:rPr>
          <w:rFonts w:ascii="Times New Roman" w:hAnsi="Times New Roman" w:cs="Times New Roman"/>
          <w:sz w:val="24"/>
          <w:szCs w:val="24"/>
        </w:rPr>
        <w:t xml:space="preserve">(Special Issue), pp. 15-30,  </w:t>
      </w:r>
      <w:hyperlink r:id="rId82" w:history="1">
        <w:r w:rsidRPr="00A3505C">
          <w:rPr>
            <w:rStyle w:val="Hyperlink"/>
            <w:rFonts w:ascii="Times New Roman" w:hAnsi="Times New Roman" w:cs="Times New Roman"/>
            <w:color w:val="auto"/>
            <w:sz w:val="24"/>
            <w:szCs w:val="24"/>
            <w:u w:val="none"/>
          </w:rPr>
          <w:t>https://www.jstor.org/stable/3088208</w:t>
        </w:r>
      </w:hyperlink>
      <w:r w:rsidRPr="00A3505C">
        <w:rPr>
          <w:rFonts w:ascii="Times New Roman" w:hAnsi="Times New Roman" w:cs="Times New Roman"/>
          <w:sz w:val="24"/>
          <w:szCs w:val="24"/>
        </w:rPr>
        <w:t>.</w:t>
      </w:r>
    </w:p>
    <w:p w14:paraId="717B0488" w14:textId="01D7BE5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McGuinness, P. B., J. P. Vieito and M. Wang (2017). ‘The role of board gender and foreign ownership in the CSR performance of Chinese listed firms’, </w:t>
      </w:r>
      <w:r w:rsidRPr="00A3505C">
        <w:rPr>
          <w:rFonts w:ascii="Times New Roman" w:hAnsi="Times New Roman" w:cs="Times New Roman"/>
          <w:i/>
          <w:sz w:val="24"/>
          <w:szCs w:val="24"/>
        </w:rPr>
        <w:t>Journal of Corporate Finance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42</w:t>
      </w:r>
      <w:r w:rsidRPr="00A3505C">
        <w:rPr>
          <w:rFonts w:ascii="Times New Roman" w:hAnsi="Times New Roman" w:cs="Times New Roman"/>
          <w:sz w:val="24"/>
          <w:szCs w:val="24"/>
        </w:rPr>
        <w:t xml:space="preserve">, pp. 75-99, </w:t>
      </w:r>
      <w:hyperlink r:id="rId83" w:history="1">
        <w:r w:rsidRPr="00A3505C">
          <w:rPr>
            <w:rStyle w:val="Hyperlink"/>
            <w:rFonts w:ascii="Times New Roman" w:hAnsi="Times New Roman" w:cs="Times New Roman"/>
            <w:color w:val="auto"/>
            <w:sz w:val="24"/>
            <w:szCs w:val="24"/>
            <w:u w:val="none"/>
          </w:rPr>
          <w:t>https://doi.org/10.1016/j.jcorpfin.2016.11.001</w:t>
        </w:r>
      </w:hyperlink>
      <w:r w:rsidRPr="00A3505C">
        <w:rPr>
          <w:rFonts w:ascii="Times New Roman" w:hAnsi="Times New Roman" w:cs="Times New Roman"/>
          <w:sz w:val="24"/>
          <w:szCs w:val="24"/>
        </w:rPr>
        <w:t>.</w:t>
      </w:r>
    </w:p>
    <w:p w14:paraId="1F43D050" w14:textId="029AA5D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McPhail, K., M. Kafouros, P. McKiernan and N. Cornelius (2024). ‘Reimagining business and management as a force for good’,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35</w:t>
      </w:r>
      <w:r w:rsidRPr="00A3505C">
        <w:rPr>
          <w:rFonts w:ascii="Times New Roman" w:hAnsi="Times New Roman" w:cs="Times New Roman"/>
          <w:sz w:val="24"/>
          <w:szCs w:val="24"/>
        </w:rPr>
        <w:t xml:space="preserve">(3), pp. 1099-1112, </w:t>
      </w:r>
      <w:hyperlink r:id="rId84" w:history="1">
        <w:r w:rsidRPr="00A3505C">
          <w:rPr>
            <w:rStyle w:val="Hyperlink"/>
            <w:rFonts w:ascii="Times New Roman" w:hAnsi="Times New Roman" w:cs="Times New Roman"/>
            <w:color w:val="auto"/>
            <w:sz w:val="24"/>
            <w:szCs w:val="24"/>
            <w:u w:val="none"/>
          </w:rPr>
          <w:t>https://doi.org/10.1111/1467-8551.12846</w:t>
        </w:r>
      </w:hyperlink>
      <w:r w:rsidRPr="00A3505C">
        <w:rPr>
          <w:rFonts w:ascii="Times New Roman" w:hAnsi="Times New Roman" w:cs="Times New Roman"/>
          <w:sz w:val="24"/>
          <w:szCs w:val="24"/>
        </w:rPr>
        <w:t>.</w:t>
      </w:r>
    </w:p>
    <w:p w14:paraId="420BDEAC" w14:textId="2A617CA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Mellahi, K., J. G. Frynas, P. Sun and D. Siegel (2016). ‘A review of the nonmarket strategy literature’,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42</w:t>
      </w:r>
      <w:r w:rsidRPr="00A3505C">
        <w:rPr>
          <w:rFonts w:ascii="Times New Roman" w:hAnsi="Times New Roman" w:cs="Times New Roman"/>
          <w:sz w:val="24"/>
          <w:szCs w:val="24"/>
        </w:rPr>
        <w:t xml:space="preserve">(1), pp. 143-173, </w:t>
      </w:r>
      <w:hyperlink r:id="rId85" w:history="1">
        <w:r w:rsidRPr="00A3505C">
          <w:rPr>
            <w:rStyle w:val="Hyperlink"/>
            <w:rFonts w:ascii="Times New Roman" w:hAnsi="Times New Roman" w:cs="Times New Roman"/>
            <w:color w:val="auto"/>
            <w:sz w:val="24"/>
            <w:szCs w:val="24"/>
            <w:u w:val="none"/>
          </w:rPr>
          <w:t>https://doi.org/10.1177/0149206315617241</w:t>
        </w:r>
      </w:hyperlink>
      <w:r w:rsidRPr="00A3505C">
        <w:rPr>
          <w:rFonts w:ascii="Times New Roman" w:hAnsi="Times New Roman" w:cs="Times New Roman"/>
          <w:sz w:val="24"/>
          <w:szCs w:val="24"/>
        </w:rPr>
        <w:t>.</w:t>
      </w:r>
    </w:p>
    <w:p w14:paraId="716C8E9A" w14:textId="1502E03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Mishina, Y., T. G. Pollock and J. F. Porac (2004). ‘Are more resources always better for growth? Resource stickiness in market and product expansion’,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25</w:t>
      </w:r>
      <w:r w:rsidRPr="00A3505C">
        <w:rPr>
          <w:rFonts w:ascii="Times New Roman" w:hAnsi="Times New Roman" w:cs="Times New Roman"/>
          <w:sz w:val="24"/>
          <w:szCs w:val="24"/>
        </w:rPr>
        <w:t xml:space="preserve">(12), pp. 1179-1197, </w:t>
      </w:r>
      <w:hyperlink r:id="rId86" w:history="1">
        <w:r w:rsidRPr="00A3505C">
          <w:rPr>
            <w:rStyle w:val="Hyperlink"/>
            <w:rFonts w:ascii="Times New Roman" w:hAnsi="Times New Roman" w:cs="Times New Roman"/>
            <w:color w:val="auto"/>
            <w:sz w:val="24"/>
            <w:szCs w:val="24"/>
            <w:u w:val="none"/>
          </w:rPr>
          <w:t>https://doi.org/10.1002/smj.424</w:t>
        </w:r>
      </w:hyperlink>
      <w:r w:rsidRPr="00A3505C">
        <w:rPr>
          <w:rFonts w:ascii="Times New Roman" w:hAnsi="Times New Roman" w:cs="Times New Roman"/>
          <w:sz w:val="24"/>
          <w:szCs w:val="24"/>
        </w:rPr>
        <w:t>.</w:t>
      </w:r>
    </w:p>
    <w:p w14:paraId="760519F2" w14:textId="510A58F0" w:rsidR="00E53248" w:rsidRPr="00A3505C" w:rsidRDefault="00E53248" w:rsidP="00E53248">
      <w:pPr>
        <w:pStyle w:val="EndNoteBibliography"/>
        <w:spacing w:after="0"/>
        <w:ind w:left="720" w:hanging="720"/>
        <w:rPr>
          <w:rFonts w:ascii="Times New Roman" w:hAnsi="Times New Roman" w:cs="Times New Roman"/>
          <w:sz w:val="24"/>
          <w:szCs w:val="24"/>
        </w:rPr>
      </w:pPr>
      <w:bookmarkStart w:id="8" w:name="_Hlk215569311"/>
      <w:r w:rsidRPr="00A3505C">
        <w:rPr>
          <w:rFonts w:ascii="Times New Roman" w:hAnsi="Times New Roman" w:cs="Times New Roman"/>
          <w:sz w:val="24"/>
          <w:szCs w:val="24"/>
        </w:rPr>
        <w:t xml:space="preserve">Mitrega, M., D. Siemieniako, H. Makkonen, K. Kubacki and S. Bresciani (2021). ‘Versatile capabilities for growth in the context of transforming countries: Evidence from Polish manufacturing companies’, </w:t>
      </w:r>
      <w:r w:rsidRPr="00A3505C">
        <w:rPr>
          <w:rFonts w:ascii="Times New Roman" w:hAnsi="Times New Roman" w:cs="Times New Roman"/>
          <w:i/>
          <w:sz w:val="24"/>
          <w:szCs w:val="24"/>
        </w:rPr>
        <w:t>Journal of Business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134</w:t>
      </w:r>
      <w:r w:rsidRPr="00A3505C">
        <w:rPr>
          <w:rFonts w:ascii="Times New Roman" w:hAnsi="Times New Roman" w:cs="Times New Roman"/>
          <w:sz w:val="24"/>
          <w:szCs w:val="24"/>
        </w:rPr>
        <w:t xml:space="preserve">, pp. 156-170, </w:t>
      </w:r>
      <w:hyperlink r:id="rId87" w:history="1">
        <w:r w:rsidRPr="00A3505C">
          <w:rPr>
            <w:rStyle w:val="Hyperlink"/>
            <w:rFonts w:ascii="Times New Roman" w:hAnsi="Times New Roman" w:cs="Times New Roman"/>
            <w:color w:val="auto"/>
            <w:sz w:val="24"/>
            <w:szCs w:val="24"/>
            <w:u w:val="none"/>
          </w:rPr>
          <w:t>https://doi.org/10.1016/j.jbusres.2021.05.038</w:t>
        </w:r>
      </w:hyperlink>
      <w:r w:rsidRPr="00A3505C">
        <w:rPr>
          <w:rFonts w:ascii="Times New Roman" w:hAnsi="Times New Roman" w:cs="Times New Roman"/>
          <w:sz w:val="24"/>
          <w:szCs w:val="24"/>
        </w:rPr>
        <w:t>.</w:t>
      </w:r>
    </w:p>
    <w:bookmarkEnd w:id="8"/>
    <w:p w14:paraId="5E7C5D20" w14:textId="133E9924"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Modigliani, F. and M. H. Miller (1958). ‘The cost of capital, corporation finance and the theory of investment’, </w:t>
      </w:r>
      <w:r w:rsidRPr="00A3505C">
        <w:rPr>
          <w:rFonts w:ascii="Times New Roman" w:hAnsi="Times New Roman" w:cs="Times New Roman"/>
          <w:i/>
          <w:sz w:val="24"/>
          <w:szCs w:val="24"/>
        </w:rPr>
        <w:t>American Economic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48</w:t>
      </w:r>
      <w:r w:rsidRPr="00A3505C">
        <w:rPr>
          <w:rFonts w:ascii="Times New Roman" w:hAnsi="Times New Roman" w:cs="Times New Roman"/>
          <w:sz w:val="24"/>
          <w:szCs w:val="24"/>
        </w:rPr>
        <w:t xml:space="preserve">(3), pp. 261-297,  </w:t>
      </w:r>
      <w:hyperlink r:id="rId88" w:history="1">
        <w:r w:rsidRPr="00A3505C">
          <w:rPr>
            <w:rStyle w:val="Hyperlink"/>
            <w:rFonts w:ascii="Times New Roman" w:hAnsi="Times New Roman" w:cs="Times New Roman"/>
            <w:color w:val="auto"/>
            <w:sz w:val="24"/>
            <w:szCs w:val="24"/>
            <w:u w:val="none"/>
          </w:rPr>
          <w:t>https://www.jstor.org/stable/1809766</w:t>
        </w:r>
      </w:hyperlink>
      <w:r w:rsidRPr="00A3505C">
        <w:rPr>
          <w:rFonts w:ascii="Times New Roman" w:hAnsi="Times New Roman" w:cs="Times New Roman"/>
          <w:sz w:val="24"/>
          <w:szCs w:val="24"/>
        </w:rPr>
        <w:t>.</w:t>
      </w:r>
    </w:p>
    <w:p w14:paraId="5EA97CCE" w14:textId="007CDBD6" w:rsidR="00E53248" w:rsidRPr="00A3505C" w:rsidRDefault="00E53248" w:rsidP="00E53248">
      <w:pPr>
        <w:pStyle w:val="EndNoteBibliography"/>
        <w:spacing w:after="0"/>
        <w:ind w:left="720" w:hanging="720"/>
        <w:rPr>
          <w:rFonts w:ascii="Times New Roman" w:hAnsi="Times New Roman" w:cs="Times New Roman"/>
          <w:i/>
          <w:sz w:val="24"/>
          <w:szCs w:val="24"/>
        </w:rPr>
      </w:pPr>
      <w:r w:rsidRPr="00A3505C">
        <w:rPr>
          <w:rFonts w:ascii="Times New Roman" w:hAnsi="Times New Roman" w:cs="Times New Roman"/>
          <w:sz w:val="24"/>
          <w:szCs w:val="24"/>
        </w:rPr>
        <w:t xml:space="preserve">Mohnen, M., M. Sato and Y. Zheng (2023), ‘Green revenues, clean innovation and technology spillover: Evidence from global firm level data’, </w:t>
      </w:r>
      <w:r w:rsidRPr="00A3505C">
        <w:rPr>
          <w:rFonts w:ascii="Times New Roman" w:hAnsi="Times New Roman" w:cs="Times New Roman"/>
          <w:i/>
          <w:sz w:val="24"/>
          <w:szCs w:val="24"/>
        </w:rPr>
        <w:t xml:space="preserve">Working </w:t>
      </w:r>
      <w:r w:rsidR="004A4DA3" w:rsidRPr="00A3505C">
        <w:rPr>
          <w:rFonts w:ascii="Times New Roman" w:hAnsi="Times New Roman" w:cs="Times New Roman"/>
          <w:i/>
          <w:sz w:val="24"/>
          <w:szCs w:val="24"/>
        </w:rPr>
        <w:t>Paper</w:t>
      </w:r>
      <w:r w:rsidRPr="00A3505C">
        <w:rPr>
          <w:rFonts w:ascii="Times New Roman" w:hAnsi="Times New Roman" w:cs="Times New Roman"/>
          <w:i/>
          <w:sz w:val="24"/>
          <w:szCs w:val="24"/>
        </w:rPr>
        <w:t>.</w:t>
      </w:r>
    </w:p>
    <w:p w14:paraId="4160FC18" w14:textId="574E53F1" w:rsidR="00E53248" w:rsidRPr="00A3505C" w:rsidRDefault="00E53248" w:rsidP="00E53248">
      <w:pPr>
        <w:pStyle w:val="EndNoteBibliography"/>
        <w:spacing w:after="0"/>
        <w:ind w:left="720" w:hanging="720"/>
        <w:rPr>
          <w:rFonts w:ascii="Times New Roman" w:hAnsi="Times New Roman" w:cs="Times New Roman"/>
          <w:sz w:val="24"/>
          <w:szCs w:val="24"/>
        </w:rPr>
      </w:pPr>
      <w:bookmarkStart w:id="9" w:name="_Hlk215569336"/>
      <w:r w:rsidRPr="00A3505C">
        <w:rPr>
          <w:rFonts w:ascii="Times New Roman" w:hAnsi="Times New Roman" w:cs="Times New Roman"/>
          <w:sz w:val="24"/>
          <w:szCs w:val="24"/>
        </w:rPr>
        <w:t xml:space="preserve">Nason, R. S. and J. Wiklund (2015). ‘An assessment of resource-based theorizing on firm growth and suggestions for the future’, </w:t>
      </w:r>
      <w:r w:rsidRPr="00A3505C">
        <w:rPr>
          <w:rFonts w:ascii="Times New Roman" w:hAnsi="Times New Roman" w:cs="Times New Roman"/>
          <w:i/>
          <w:sz w:val="24"/>
          <w:szCs w:val="24"/>
        </w:rPr>
        <w:t>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44</w:t>
      </w:r>
      <w:r w:rsidRPr="00A3505C">
        <w:rPr>
          <w:rFonts w:ascii="Times New Roman" w:hAnsi="Times New Roman" w:cs="Times New Roman"/>
          <w:sz w:val="24"/>
          <w:szCs w:val="24"/>
        </w:rPr>
        <w:t xml:space="preserve">(1), pp. 32-60, </w:t>
      </w:r>
      <w:hyperlink r:id="rId89" w:history="1">
        <w:r w:rsidRPr="00A3505C">
          <w:rPr>
            <w:rStyle w:val="Hyperlink"/>
            <w:rFonts w:ascii="Times New Roman" w:hAnsi="Times New Roman" w:cs="Times New Roman"/>
            <w:color w:val="auto"/>
            <w:sz w:val="24"/>
            <w:szCs w:val="24"/>
            <w:u w:val="none"/>
          </w:rPr>
          <w:t>https://doi.org/10.1177/0149206315610635</w:t>
        </w:r>
      </w:hyperlink>
      <w:r w:rsidRPr="00A3505C">
        <w:rPr>
          <w:rFonts w:ascii="Times New Roman" w:hAnsi="Times New Roman" w:cs="Times New Roman"/>
          <w:sz w:val="24"/>
          <w:szCs w:val="24"/>
        </w:rPr>
        <w:t>.</w:t>
      </w:r>
    </w:p>
    <w:bookmarkEnd w:id="9"/>
    <w:p w14:paraId="2A0866DF" w14:textId="5392728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Oster, E. (2019). ‘Unobservable selection and coefficient stability: Theory and evidence’, </w:t>
      </w:r>
      <w:r w:rsidRPr="00A3505C">
        <w:rPr>
          <w:rFonts w:ascii="Times New Roman" w:hAnsi="Times New Roman" w:cs="Times New Roman"/>
          <w:i/>
          <w:sz w:val="24"/>
          <w:szCs w:val="24"/>
        </w:rPr>
        <w:t>Journal of Business &amp; Economic Statistics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37</w:t>
      </w:r>
      <w:r w:rsidRPr="00A3505C">
        <w:rPr>
          <w:rFonts w:ascii="Times New Roman" w:hAnsi="Times New Roman" w:cs="Times New Roman"/>
          <w:sz w:val="24"/>
          <w:szCs w:val="24"/>
        </w:rPr>
        <w:t xml:space="preserve">(2), </w:t>
      </w:r>
      <w:hyperlink r:id="rId90" w:history="1">
        <w:r w:rsidRPr="00A3505C">
          <w:rPr>
            <w:rStyle w:val="Hyperlink"/>
            <w:rFonts w:ascii="Times New Roman" w:hAnsi="Times New Roman" w:cs="Times New Roman"/>
            <w:color w:val="auto"/>
            <w:sz w:val="24"/>
            <w:szCs w:val="24"/>
            <w:u w:val="none"/>
          </w:rPr>
          <w:t>https://doi.org/.1080/07350015.2016.1227711</w:t>
        </w:r>
      </w:hyperlink>
      <w:r w:rsidRPr="00A3505C">
        <w:rPr>
          <w:rFonts w:ascii="Times New Roman" w:hAnsi="Times New Roman" w:cs="Times New Roman"/>
          <w:sz w:val="24"/>
          <w:szCs w:val="24"/>
        </w:rPr>
        <w:t>.</w:t>
      </w:r>
    </w:p>
    <w:p w14:paraId="26EBE784" w14:textId="2E8AC803"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Parmar, B. L., R. E. Freeman, J. S. Harrison, A. C. Wicks, L. Purnell and S. de Colle (2010). ‘Stakeholder theory: The state of the art’, </w:t>
      </w:r>
      <w:r w:rsidRPr="00A3505C">
        <w:rPr>
          <w:rFonts w:ascii="Times New Roman" w:hAnsi="Times New Roman" w:cs="Times New Roman"/>
          <w:i/>
          <w:sz w:val="24"/>
          <w:szCs w:val="24"/>
        </w:rPr>
        <w:t>The Academy of Management Annals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w:t>
      </w:r>
      <w:r w:rsidRPr="00A3505C">
        <w:rPr>
          <w:rFonts w:ascii="Times New Roman" w:hAnsi="Times New Roman" w:cs="Times New Roman"/>
          <w:sz w:val="24"/>
          <w:szCs w:val="24"/>
        </w:rPr>
        <w:t xml:space="preserve">(1), pp. 403-445, </w:t>
      </w:r>
      <w:hyperlink r:id="rId91" w:history="1">
        <w:r w:rsidRPr="00A3505C">
          <w:rPr>
            <w:rStyle w:val="Hyperlink"/>
            <w:rFonts w:ascii="Times New Roman" w:hAnsi="Times New Roman" w:cs="Times New Roman"/>
            <w:color w:val="auto"/>
            <w:sz w:val="24"/>
            <w:szCs w:val="24"/>
            <w:u w:val="none"/>
          </w:rPr>
          <w:t>https://doi.org/10.5465/19416520.2010.495581</w:t>
        </w:r>
      </w:hyperlink>
      <w:r w:rsidRPr="00A3505C">
        <w:rPr>
          <w:rFonts w:ascii="Times New Roman" w:hAnsi="Times New Roman" w:cs="Times New Roman"/>
          <w:sz w:val="24"/>
          <w:szCs w:val="24"/>
        </w:rPr>
        <w:t>.</w:t>
      </w:r>
    </w:p>
    <w:p w14:paraId="2E9873D5"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Penrose, E. T. (1959). </w:t>
      </w:r>
      <w:r w:rsidRPr="00A3505C">
        <w:rPr>
          <w:rFonts w:ascii="Times New Roman" w:hAnsi="Times New Roman" w:cs="Times New Roman"/>
          <w:i/>
          <w:sz w:val="24"/>
          <w:szCs w:val="24"/>
        </w:rPr>
        <w:t>The Theory of the Growth of the Firm</w:t>
      </w:r>
      <w:r w:rsidRPr="00A3505C">
        <w:rPr>
          <w:rFonts w:ascii="Times New Roman" w:hAnsi="Times New Roman" w:cs="Times New Roman"/>
          <w:sz w:val="24"/>
          <w:szCs w:val="24"/>
        </w:rPr>
        <w:t>. New York: John Wiley and Sons.</w:t>
      </w:r>
    </w:p>
    <w:p w14:paraId="3704DEAD" w14:textId="566BE67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Peteraf, M. A. (1993). ‘The cornerstones of competitive advantage: A resource-based view’,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13</w:t>
      </w:r>
      <w:r w:rsidRPr="00A3505C">
        <w:rPr>
          <w:rFonts w:ascii="Times New Roman" w:hAnsi="Times New Roman" w:cs="Times New Roman"/>
          <w:sz w:val="24"/>
          <w:szCs w:val="24"/>
        </w:rPr>
        <w:t xml:space="preserve">(3), pp. 179-191, </w:t>
      </w:r>
      <w:hyperlink r:id="rId92" w:history="1">
        <w:r w:rsidRPr="00A3505C">
          <w:rPr>
            <w:rStyle w:val="Hyperlink"/>
            <w:rFonts w:ascii="Times New Roman" w:hAnsi="Times New Roman" w:cs="Times New Roman"/>
            <w:color w:val="auto"/>
            <w:sz w:val="24"/>
            <w:szCs w:val="24"/>
            <w:u w:val="none"/>
          </w:rPr>
          <w:t>https://doi.org/10.1002/smj.4250140303</w:t>
        </w:r>
      </w:hyperlink>
      <w:r w:rsidRPr="00A3505C">
        <w:rPr>
          <w:rFonts w:ascii="Times New Roman" w:hAnsi="Times New Roman" w:cs="Times New Roman"/>
          <w:sz w:val="24"/>
          <w:szCs w:val="24"/>
        </w:rPr>
        <w:t>.</w:t>
      </w:r>
    </w:p>
    <w:p w14:paraId="79D07737" w14:textId="31DA681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Pizzo, A. D., T. Kunkel, G. J. Jones, B. J. Baker and D. C. Funk (2022). ‘The strategic advantage of mature-stage firms: Digitalization and the diversification of professional sport into esports’, </w:t>
      </w:r>
      <w:r w:rsidRPr="00A3505C">
        <w:rPr>
          <w:rFonts w:ascii="Times New Roman" w:hAnsi="Times New Roman" w:cs="Times New Roman"/>
          <w:i/>
          <w:sz w:val="24"/>
          <w:szCs w:val="24"/>
        </w:rPr>
        <w:t>Journal of Business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139</w:t>
      </w:r>
      <w:r w:rsidRPr="00A3505C">
        <w:rPr>
          <w:rFonts w:ascii="Times New Roman" w:hAnsi="Times New Roman" w:cs="Times New Roman"/>
          <w:sz w:val="24"/>
          <w:szCs w:val="24"/>
        </w:rPr>
        <w:t xml:space="preserve">, pp. 257-266, </w:t>
      </w:r>
      <w:hyperlink r:id="rId93" w:history="1">
        <w:r w:rsidRPr="00A3505C">
          <w:rPr>
            <w:rStyle w:val="Hyperlink"/>
            <w:rFonts w:ascii="Times New Roman" w:hAnsi="Times New Roman" w:cs="Times New Roman"/>
            <w:color w:val="auto"/>
            <w:sz w:val="24"/>
            <w:szCs w:val="24"/>
            <w:u w:val="none"/>
          </w:rPr>
          <w:t>https://doi.org/10.1016/j.jbusres.2021.09.057</w:t>
        </w:r>
      </w:hyperlink>
      <w:r w:rsidRPr="00A3505C">
        <w:rPr>
          <w:rFonts w:ascii="Times New Roman" w:hAnsi="Times New Roman" w:cs="Times New Roman"/>
          <w:sz w:val="24"/>
          <w:szCs w:val="24"/>
        </w:rPr>
        <w:t>.</w:t>
      </w:r>
    </w:p>
    <w:p w14:paraId="70313EAE"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Porter, M. E. (1980). </w:t>
      </w:r>
      <w:r w:rsidRPr="00A3505C">
        <w:rPr>
          <w:rFonts w:ascii="Times New Roman" w:hAnsi="Times New Roman" w:cs="Times New Roman"/>
          <w:i/>
          <w:sz w:val="24"/>
          <w:szCs w:val="24"/>
        </w:rPr>
        <w:t>Competitive strategy</w:t>
      </w:r>
      <w:r w:rsidRPr="00A3505C">
        <w:rPr>
          <w:rFonts w:ascii="Times New Roman" w:hAnsi="Times New Roman" w:cs="Times New Roman"/>
          <w:sz w:val="24"/>
          <w:szCs w:val="24"/>
        </w:rPr>
        <w:t>. New York: Free Press.</w:t>
      </w:r>
    </w:p>
    <w:p w14:paraId="74601991"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Porter, M. E. (1985). </w:t>
      </w:r>
      <w:r w:rsidRPr="00A3505C">
        <w:rPr>
          <w:rFonts w:ascii="Times New Roman" w:hAnsi="Times New Roman" w:cs="Times New Roman"/>
          <w:i/>
          <w:sz w:val="24"/>
          <w:szCs w:val="24"/>
        </w:rPr>
        <w:t>The Competitive Advantage: Creating and Sustaining Superior Performance</w:t>
      </w:r>
      <w:r w:rsidRPr="00A3505C">
        <w:rPr>
          <w:rFonts w:ascii="Times New Roman" w:hAnsi="Times New Roman" w:cs="Times New Roman"/>
          <w:sz w:val="24"/>
          <w:szCs w:val="24"/>
        </w:rPr>
        <w:t>. New York: Free Press.</w:t>
      </w:r>
    </w:p>
    <w:p w14:paraId="1FADC7C0" w14:textId="1A164F1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Porter, M. E. (1991). ‘Towards a dynamic theory of strategy’,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w:t>
      </w:r>
      <w:r w:rsidRPr="00A3505C">
        <w:rPr>
          <w:rFonts w:ascii="Times New Roman" w:hAnsi="Times New Roman" w:cs="Times New Roman"/>
          <w:sz w:val="24"/>
          <w:szCs w:val="24"/>
        </w:rPr>
        <w:t xml:space="preserve">(S2), pp. 95-117, </w:t>
      </w:r>
      <w:hyperlink r:id="rId94" w:history="1">
        <w:r w:rsidRPr="00A3505C">
          <w:rPr>
            <w:rStyle w:val="Hyperlink"/>
            <w:rFonts w:ascii="Times New Roman" w:hAnsi="Times New Roman" w:cs="Times New Roman"/>
            <w:color w:val="auto"/>
            <w:sz w:val="24"/>
            <w:szCs w:val="24"/>
            <w:u w:val="none"/>
          </w:rPr>
          <w:t>https://doi.org/10.1002/smj.4250121008</w:t>
        </w:r>
      </w:hyperlink>
      <w:r w:rsidRPr="00A3505C">
        <w:rPr>
          <w:rFonts w:ascii="Times New Roman" w:hAnsi="Times New Roman" w:cs="Times New Roman"/>
          <w:sz w:val="24"/>
          <w:szCs w:val="24"/>
        </w:rPr>
        <w:t>.</w:t>
      </w:r>
    </w:p>
    <w:p w14:paraId="20FEB3D5" w14:textId="1FF5F64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Porter, M. E. and C. van der Linde (1995). ‘Toward a new conception of the environment-competitiveness relationship’, </w:t>
      </w:r>
      <w:r w:rsidRPr="00A3505C">
        <w:rPr>
          <w:rFonts w:ascii="Times New Roman" w:hAnsi="Times New Roman" w:cs="Times New Roman"/>
          <w:i/>
          <w:sz w:val="24"/>
          <w:szCs w:val="24"/>
        </w:rPr>
        <w:t>Journal of Economic Perspectives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9</w:t>
      </w:r>
      <w:r w:rsidRPr="00A3505C">
        <w:rPr>
          <w:rFonts w:ascii="Times New Roman" w:hAnsi="Times New Roman" w:cs="Times New Roman"/>
          <w:sz w:val="24"/>
          <w:szCs w:val="24"/>
        </w:rPr>
        <w:t xml:space="preserve">(4), pp. 97-118,  </w:t>
      </w:r>
      <w:hyperlink r:id="rId95" w:history="1">
        <w:r w:rsidRPr="00A3505C">
          <w:rPr>
            <w:rStyle w:val="Hyperlink"/>
            <w:rFonts w:ascii="Times New Roman" w:hAnsi="Times New Roman" w:cs="Times New Roman"/>
            <w:color w:val="auto"/>
            <w:sz w:val="24"/>
            <w:szCs w:val="24"/>
            <w:u w:val="none"/>
          </w:rPr>
          <w:t>https://www.jstor.org/stable/2138392</w:t>
        </w:r>
      </w:hyperlink>
      <w:r w:rsidRPr="00A3505C">
        <w:rPr>
          <w:rFonts w:ascii="Times New Roman" w:hAnsi="Times New Roman" w:cs="Times New Roman"/>
          <w:sz w:val="24"/>
          <w:szCs w:val="24"/>
        </w:rPr>
        <w:t>.</w:t>
      </w:r>
    </w:p>
    <w:p w14:paraId="0AE618D3" w14:textId="03EB4691"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PwC (2017). ‘</w:t>
      </w:r>
      <w:r w:rsidRPr="00A3505C">
        <w:rPr>
          <w:rFonts w:ascii="Times New Roman" w:hAnsi="Times New Roman" w:cs="Times New Roman"/>
          <w:i/>
          <w:sz w:val="24"/>
          <w:szCs w:val="24"/>
        </w:rPr>
        <w:t>The Long View: How Will the Global Economic Order Change by 2050?</w:t>
      </w:r>
      <w:r w:rsidRPr="00A3505C">
        <w:rPr>
          <w:rFonts w:ascii="Times New Roman" w:hAnsi="Times New Roman" w:cs="Times New Roman"/>
          <w:sz w:val="24"/>
          <w:szCs w:val="24"/>
        </w:rPr>
        <w:t xml:space="preserve">’. Available at: </w:t>
      </w:r>
      <w:hyperlink r:id="rId96" w:history="1">
        <w:r w:rsidRPr="00A3505C">
          <w:rPr>
            <w:rStyle w:val="Hyperlink"/>
            <w:rFonts w:ascii="Times New Roman" w:hAnsi="Times New Roman" w:cs="Times New Roman"/>
            <w:color w:val="auto"/>
            <w:sz w:val="24"/>
            <w:szCs w:val="24"/>
            <w:u w:val="none"/>
          </w:rPr>
          <w:t>https://www.pwc.com/gx/en/world-2050/assets/pwc-the-world-in-2050-full-report-feb-2017.pdf</w:t>
        </w:r>
      </w:hyperlink>
      <w:r w:rsidRPr="00A3505C">
        <w:rPr>
          <w:rFonts w:ascii="Times New Roman" w:hAnsi="Times New Roman" w:cs="Times New Roman"/>
          <w:sz w:val="24"/>
          <w:szCs w:val="24"/>
        </w:rPr>
        <w:t xml:space="preserve"> (accessed: 18 Nov 2023).</w:t>
      </w:r>
    </w:p>
    <w:p w14:paraId="7BB89CA7" w14:textId="388236F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Qiu, L., D. Hu and Y. Wang (2020). ‘How do firms achieve sustainability through green innovation under external pressures of environmental regulation and market turbulence?’, </w:t>
      </w:r>
      <w:r w:rsidRPr="00A3505C">
        <w:rPr>
          <w:rFonts w:ascii="Times New Roman" w:hAnsi="Times New Roman" w:cs="Times New Roman"/>
          <w:i/>
          <w:sz w:val="24"/>
          <w:szCs w:val="24"/>
        </w:rPr>
        <w:t>Business Strategy and the Environment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29</w:t>
      </w:r>
      <w:r w:rsidRPr="00A3505C">
        <w:rPr>
          <w:rFonts w:ascii="Times New Roman" w:hAnsi="Times New Roman" w:cs="Times New Roman"/>
          <w:sz w:val="24"/>
          <w:szCs w:val="24"/>
        </w:rPr>
        <w:t xml:space="preserve">(6), pp. 2695-2714, </w:t>
      </w:r>
      <w:hyperlink r:id="rId97" w:history="1">
        <w:r w:rsidRPr="00A3505C">
          <w:rPr>
            <w:rStyle w:val="Hyperlink"/>
            <w:rFonts w:ascii="Times New Roman" w:hAnsi="Times New Roman" w:cs="Times New Roman"/>
            <w:color w:val="auto"/>
            <w:sz w:val="24"/>
            <w:szCs w:val="24"/>
            <w:u w:val="none"/>
          </w:rPr>
          <w:t>https://doi.org/10.1002/bse.2530</w:t>
        </w:r>
      </w:hyperlink>
      <w:r w:rsidRPr="00A3505C">
        <w:rPr>
          <w:rFonts w:ascii="Times New Roman" w:hAnsi="Times New Roman" w:cs="Times New Roman"/>
          <w:sz w:val="24"/>
          <w:szCs w:val="24"/>
        </w:rPr>
        <w:t>.</w:t>
      </w:r>
    </w:p>
    <w:p w14:paraId="4AC7065B" w14:textId="3BC2E72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Rajagopalan, N. (1997). ‘Strategic orientations, incentive plan adoptions, and firm performance: </w:t>
      </w:r>
      <w:r w:rsidR="00FF10DD">
        <w:rPr>
          <w:rFonts w:ascii="Times New Roman" w:hAnsi="Times New Roman" w:cs="Times New Roman" w:hint="eastAsia"/>
          <w:sz w:val="24"/>
          <w:szCs w:val="24"/>
        </w:rPr>
        <w:t>E</w:t>
      </w:r>
      <w:r w:rsidRPr="00A3505C">
        <w:rPr>
          <w:rFonts w:ascii="Times New Roman" w:hAnsi="Times New Roman" w:cs="Times New Roman"/>
          <w:sz w:val="24"/>
          <w:szCs w:val="24"/>
        </w:rPr>
        <w:t xml:space="preserve">vidence from electric utility firms’,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18</w:t>
      </w:r>
      <w:r w:rsidRPr="00A3505C">
        <w:rPr>
          <w:rFonts w:ascii="Times New Roman" w:hAnsi="Times New Roman" w:cs="Times New Roman"/>
          <w:sz w:val="24"/>
          <w:szCs w:val="24"/>
        </w:rPr>
        <w:t xml:space="preserve">(10), pp. 761-785, </w:t>
      </w:r>
      <w:hyperlink r:id="rId98" w:history="1">
        <w:r w:rsidRPr="00A3505C">
          <w:rPr>
            <w:rStyle w:val="Hyperlink"/>
            <w:rFonts w:ascii="Times New Roman" w:hAnsi="Times New Roman" w:cs="Times New Roman"/>
            <w:color w:val="auto"/>
            <w:sz w:val="24"/>
            <w:szCs w:val="24"/>
            <w:u w:val="none"/>
          </w:rPr>
          <w:t>https://doi.org/10.1002/(sici)1097-0266(199711)18:10</w:t>
        </w:r>
      </w:hyperlink>
      <w:r w:rsidRPr="00A3505C">
        <w:rPr>
          <w:rFonts w:ascii="Times New Roman" w:hAnsi="Times New Roman" w:cs="Times New Roman"/>
          <w:sz w:val="24"/>
          <w:szCs w:val="24"/>
        </w:rPr>
        <w:t>&lt;761::Aid-smj906&gt;3.0.Co;2-2.</w:t>
      </w:r>
    </w:p>
    <w:p w14:paraId="6F81A0C4" w14:textId="79A7D873"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Schaltegger, S. and J. Hörisch (2015). ‘In search of the dominant rationale in sustainability management: Legitimacy- or profit-seeking?’, </w:t>
      </w:r>
      <w:r w:rsidRPr="00A3505C">
        <w:rPr>
          <w:rFonts w:ascii="Times New Roman" w:hAnsi="Times New Roman" w:cs="Times New Roman"/>
          <w:i/>
          <w:sz w:val="24"/>
          <w:szCs w:val="24"/>
        </w:rPr>
        <w:t>Journal of Business Ethics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145</w:t>
      </w:r>
      <w:r w:rsidRPr="00A3505C">
        <w:rPr>
          <w:rFonts w:ascii="Times New Roman" w:hAnsi="Times New Roman" w:cs="Times New Roman"/>
          <w:sz w:val="24"/>
          <w:szCs w:val="24"/>
        </w:rPr>
        <w:t xml:space="preserve">(2), pp. 259-276, </w:t>
      </w:r>
      <w:hyperlink r:id="rId99" w:history="1">
        <w:r w:rsidRPr="00A3505C">
          <w:rPr>
            <w:rStyle w:val="Hyperlink"/>
            <w:rFonts w:ascii="Times New Roman" w:hAnsi="Times New Roman" w:cs="Times New Roman"/>
            <w:color w:val="auto"/>
            <w:sz w:val="24"/>
            <w:szCs w:val="24"/>
            <w:u w:val="none"/>
          </w:rPr>
          <w:t>https://doi.org/10.1007/s10551-015-2854-3</w:t>
        </w:r>
      </w:hyperlink>
      <w:r w:rsidRPr="00A3505C">
        <w:rPr>
          <w:rFonts w:ascii="Times New Roman" w:hAnsi="Times New Roman" w:cs="Times New Roman"/>
          <w:sz w:val="24"/>
          <w:szCs w:val="24"/>
        </w:rPr>
        <w:t>.</w:t>
      </w:r>
    </w:p>
    <w:p w14:paraId="3D796434" w14:textId="5648EF7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Schweiger, S. A., T. R. Stettler, A. Baldauf and C. Zamudio (2019). ‘The complementarity of strategic orientations: A meta‐analytic synthesis and theory extension’,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40</w:t>
      </w:r>
      <w:r w:rsidRPr="00A3505C">
        <w:rPr>
          <w:rFonts w:ascii="Times New Roman" w:hAnsi="Times New Roman" w:cs="Times New Roman"/>
          <w:sz w:val="24"/>
          <w:szCs w:val="24"/>
        </w:rPr>
        <w:t xml:space="preserve">(11), pp. 1822-1851, </w:t>
      </w:r>
      <w:hyperlink r:id="rId100" w:history="1">
        <w:r w:rsidRPr="00A3505C">
          <w:rPr>
            <w:rStyle w:val="Hyperlink"/>
            <w:rFonts w:ascii="Times New Roman" w:hAnsi="Times New Roman" w:cs="Times New Roman"/>
            <w:color w:val="auto"/>
            <w:sz w:val="24"/>
            <w:szCs w:val="24"/>
            <w:u w:val="none"/>
          </w:rPr>
          <w:t>https://doi.org/10.1002/smj.3042</w:t>
        </w:r>
      </w:hyperlink>
      <w:r w:rsidRPr="00A3505C">
        <w:rPr>
          <w:rFonts w:ascii="Times New Roman" w:hAnsi="Times New Roman" w:cs="Times New Roman"/>
          <w:sz w:val="24"/>
          <w:szCs w:val="24"/>
        </w:rPr>
        <w:t>.</w:t>
      </w:r>
    </w:p>
    <w:p w14:paraId="2F9D2A3A" w14:textId="11ADDEC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Shui, X., M. Zhang, Y. Wang and P. Smart (2024). ‘Do climate change regulatory pressures increase corporate environmental sustainability performance? The moderating roles of foreign market exposure and industry carbon intensity’,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36</w:t>
      </w:r>
      <w:r w:rsidRPr="00A3505C">
        <w:rPr>
          <w:rFonts w:ascii="Times New Roman" w:hAnsi="Times New Roman" w:cs="Times New Roman"/>
          <w:sz w:val="24"/>
          <w:szCs w:val="24"/>
        </w:rPr>
        <w:t xml:space="preserve">(1), pp. 223-239, </w:t>
      </w:r>
      <w:hyperlink r:id="rId101" w:history="1">
        <w:r w:rsidRPr="00A3505C">
          <w:rPr>
            <w:rStyle w:val="Hyperlink"/>
            <w:rFonts w:ascii="Times New Roman" w:hAnsi="Times New Roman" w:cs="Times New Roman"/>
            <w:color w:val="auto"/>
            <w:sz w:val="24"/>
            <w:szCs w:val="24"/>
            <w:u w:val="none"/>
          </w:rPr>
          <w:t>https://doi.org/10.1111/1467-8551.12841</w:t>
        </w:r>
      </w:hyperlink>
      <w:r w:rsidRPr="00A3505C">
        <w:rPr>
          <w:rFonts w:ascii="Times New Roman" w:hAnsi="Times New Roman" w:cs="Times New Roman"/>
          <w:sz w:val="24"/>
          <w:szCs w:val="24"/>
        </w:rPr>
        <w:t>.</w:t>
      </w:r>
    </w:p>
    <w:p w14:paraId="6633DB4D" w14:textId="1D34E7D0"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Steffens, P., P. Davidsson and J. Fitzsimmons (2009). ‘Performance configurations over time: Implications for growth- and profit-oriented strategies’, </w:t>
      </w:r>
      <w:r w:rsidRPr="00A3505C">
        <w:rPr>
          <w:rFonts w:ascii="Times New Roman" w:hAnsi="Times New Roman" w:cs="Times New Roman"/>
          <w:i/>
          <w:sz w:val="24"/>
          <w:szCs w:val="24"/>
        </w:rPr>
        <w:t>Entrepreneurship Theory and Practice</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33</w:t>
      </w:r>
      <w:r w:rsidRPr="00A3505C">
        <w:rPr>
          <w:rFonts w:ascii="Times New Roman" w:hAnsi="Times New Roman" w:cs="Times New Roman"/>
          <w:sz w:val="24"/>
          <w:szCs w:val="24"/>
        </w:rPr>
        <w:t xml:space="preserve">(1), pp. 125-148, </w:t>
      </w:r>
      <w:hyperlink r:id="rId102" w:history="1">
        <w:r w:rsidRPr="00A3505C">
          <w:rPr>
            <w:rStyle w:val="Hyperlink"/>
            <w:rFonts w:ascii="Times New Roman" w:hAnsi="Times New Roman" w:cs="Times New Roman"/>
            <w:color w:val="auto"/>
            <w:sz w:val="24"/>
            <w:szCs w:val="24"/>
            <w:u w:val="none"/>
          </w:rPr>
          <w:t>https://doi.org/10.1111/j.1540-6520.2008.00283.x</w:t>
        </w:r>
      </w:hyperlink>
      <w:r w:rsidRPr="00A3505C">
        <w:rPr>
          <w:rFonts w:ascii="Times New Roman" w:hAnsi="Times New Roman" w:cs="Times New Roman"/>
          <w:sz w:val="24"/>
          <w:szCs w:val="24"/>
        </w:rPr>
        <w:t>.</w:t>
      </w:r>
    </w:p>
    <w:p w14:paraId="738BC5B7" w14:textId="5899BEAD"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Sun, P., J. Doh, T. Rajwani, T. Werner and X. R. Luo (202</w:t>
      </w:r>
      <w:r w:rsidR="009A105B" w:rsidRPr="00A3505C">
        <w:rPr>
          <w:rFonts w:ascii="Times New Roman" w:hAnsi="Times New Roman" w:cs="Times New Roman"/>
          <w:sz w:val="24"/>
          <w:szCs w:val="24"/>
        </w:rPr>
        <w:t>4</w:t>
      </w:r>
      <w:r w:rsidRPr="00A3505C">
        <w:rPr>
          <w:rFonts w:ascii="Times New Roman" w:hAnsi="Times New Roman" w:cs="Times New Roman"/>
          <w:sz w:val="24"/>
          <w:szCs w:val="24"/>
        </w:rPr>
        <w:t xml:space="preserve">). </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The management of socio‐political issues and environments: Toward a research agenda for corporate socio‐political engagement</w:t>
      </w:r>
      <w:r w:rsidR="001568D3" w:rsidRPr="00A3505C">
        <w:rPr>
          <w:rFonts w:ascii="Times New Roman" w:hAnsi="Times New Roman" w:cs="Times New Roman"/>
          <w:sz w:val="24"/>
          <w:szCs w:val="24"/>
        </w:rPr>
        <w:t>’</w:t>
      </w:r>
      <w:r w:rsidRPr="00A3505C">
        <w:rPr>
          <w:rFonts w:ascii="Times New Roman" w:hAnsi="Times New Roman" w:cs="Times New Roman"/>
          <w:sz w:val="24"/>
          <w:szCs w:val="24"/>
        </w:rPr>
        <w:t xml:space="preserve">, </w:t>
      </w:r>
      <w:r w:rsidRPr="00A3505C">
        <w:rPr>
          <w:rFonts w:ascii="Times New Roman" w:hAnsi="Times New Roman" w:cs="Times New Roman"/>
          <w:i/>
          <w:sz w:val="24"/>
          <w:szCs w:val="24"/>
        </w:rPr>
        <w:t>Journal of Management Studies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61</w:t>
      </w:r>
      <w:r w:rsidRPr="00A3505C">
        <w:rPr>
          <w:rFonts w:ascii="Times New Roman" w:hAnsi="Times New Roman" w:cs="Times New Roman"/>
          <w:sz w:val="24"/>
          <w:szCs w:val="24"/>
        </w:rPr>
        <w:t xml:space="preserve">(2), pp. 277-306, </w:t>
      </w:r>
      <w:hyperlink r:id="rId103" w:history="1">
        <w:r w:rsidRPr="00A3505C">
          <w:rPr>
            <w:rStyle w:val="Hyperlink"/>
            <w:rFonts w:ascii="Times New Roman" w:hAnsi="Times New Roman" w:cs="Times New Roman"/>
            <w:color w:val="auto"/>
            <w:sz w:val="24"/>
            <w:szCs w:val="24"/>
            <w:u w:val="none"/>
          </w:rPr>
          <w:t>https://doi.org/10.1111/joms.13002</w:t>
        </w:r>
      </w:hyperlink>
      <w:r w:rsidRPr="00A3505C">
        <w:rPr>
          <w:rFonts w:ascii="Times New Roman" w:hAnsi="Times New Roman" w:cs="Times New Roman"/>
          <w:sz w:val="24"/>
          <w:szCs w:val="24"/>
        </w:rPr>
        <w:t>.</w:t>
      </w:r>
    </w:p>
    <w:p w14:paraId="7653DC16" w14:textId="4ECBD9E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Sunder, J., S. V. Sunder and J. Zhang (2017). ‘Pilot CEOs and corporate innovation’, </w:t>
      </w:r>
      <w:r w:rsidRPr="00A3505C">
        <w:rPr>
          <w:rFonts w:ascii="Times New Roman" w:hAnsi="Times New Roman" w:cs="Times New Roman"/>
          <w:i/>
          <w:sz w:val="24"/>
          <w:szCs w:val="24"/>
        </w:rPr>
        <w:t>Journal of Financial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123</w:t>
      </w:r>
      <w:r w:rsidRPr="00A3505C">
        <w:rPr>
          <w:rFonts w:ascii="Times New Roman" w:hAnsi="Times New Roman" w:cs="Times New Roman"/>
          <w:sz w:val="24"/>
          <w:szCs w:val="24"/>
        </w:rPr>
        <w:t xml:space="preserve">(1), pp. 209-224, </w:t>
      </w:r>
      <w:hyperlink r:id="rId104" w:history="1">
        <w:r w:rsidRPr="00A3505C">
          <w:rPr>
            <w:rStyle w:val="Hyperlink"/>
            <w:rFonts w:ascii="Times New Roman" w:hAnsi="Times New Roman" w:cs="Times New Roman"/>
            <w:color w:val="auto"/>
            <w:sz w:val="24"/>
            <w:szCs w:val="24"/>
            <w:u w:val="none"/>
          </w:rPr>
          <w:t>https://doi.org/10.1016/j.jfineco.2016.11.002</w:t>
        </w:r>
      </w:hyperlink>
      <w:r w:rsidRPr="00A3505C">
        <w:rPr>
          <w:rFonts w:ascii="Times New Roman" w:hAnsi="Times New Roman" w:cs="Times New Roman"/>
          <w:sz w:val="24"/>
          <w:szCs w:val="24"/>
        </w:rPr>
        <w:t>.</w:t>
      </w:r>
    </w:p>
    <w:p w14:paraId="4D9A89CB" w14:textId="4A237EF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Teece, D. J., G. Pisano and A. Shuen (1997). ‘Dynamic capabilities and strategic management’,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18</w:t>
      </w:r>
      <w:r w:rsidRPr="00A3505C">
        <w:rPr>
          <w:rFonts w:ascii="Times New Roman" w:hAnsi="Times New Roman" w:cs="Times New Roman"/>
          <w:sz w:val="24"/>
          <w:szCs w:val="24"/>
        </w:rPr>
        <w:t xml:space="preserve">(7), pp. 509-533,  </w:t>
      </w:r>
      <w:hyperlink r:id="rId105" w:history="1">
        <w:r w:rsidRPr="00A3505C">
          <w:rPr>
            <w:rStyle w:val="Hyperlink"/>
            <w:rFonts w:ascii="Times New Roman" w:hAnsi="Times New Roman" w:cs="Times New Roman"/>
            <w:color w:val="auto"/>
            <w:sz w:val="24"/>
            <w:szCs w:val="24"/>
            <w:u w:val="none"/>
          </w:rPr>
          <w:t>https://www.jstor.org/stable/3088148</w:t>
        </w:r>
      </w:hyperlink>
      <w:r w:rsidRPr="00A3505C">
        <w:rPr>
          <w:rFonts w:ascii="Times New Roman" w:hAnsi="Times New Roman" w:cs="Times New Roman"/>
          <w:sz w:val="24"/>
          <w:szCs w:val="24"/>
        </w:rPr>
        <w:t>.</w:t>
      </w:r>
    </w:p>
    <w:p w14:paraId="7A6D330A" w14:textId="0920363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Teng, M. and W. Tan (2023). ‘Bank branch agglomeration and corporate green transformation: Evidence from China’, </w:t>
      </w:r>
      <w:r w:rsidRPr="00A3505C">
        <w:rPr>
          <w:rFonts w:ascii="Times New Roman" w:hAnsi="Times New Roman" w:cs="Times New Roman"/>
          <w:i/>
          <w:sz w:val="24"/>
          <w:szCs w:val="24"/>
        </w:rPr>
        <w:t>Finance Research Letters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58</w:t>
      </w:r>
      <w:r w:rsidRPr="00A3505C">
        <w:rPr>
          <w:rFonts w:ascii="Times New Roman" w:hAnsi="Times New Roman" w:cs="Times New Roman"/>
          <w:sz w:val="24"/>
          <w:szCs w:val="24"/>
        </w:rPr>
        <w:t xml:space="preserve">, </w:t>
      </w:r>
      <w:hyperlink r:id="rId106" w:history="1">
        <w:r w:rsidRPr="00A3505C">
          <w:rPr>
            <w:rStyle w:val="Hyperlink"/>
            <w:rFonts w:ascii="Times New Roman" w:hAnsi="Times New Roman" w:cs="Times New Roman"/>
            <w:color w:val="auto"/>
            <w:sz w:val="24"/>
            <w:szCs w:val="24"/>
            <w:u w:val="none"/>
          </w:rPr>
          <w:t>https://doi.org/10.1016/j.frl.2023.104478</w:t>
        </w:r>
      </w:hyperlink>
      <w:r w:rsidRPr="00A3505C">
        <w:rPr>
          <w:rFonts w:ascii="Times New Roman" w:hAnsi="Times New Roman" w:cs="Times New Roman"/>
          <w:sz w:val="24"/>
          <w:szCs w:val="24"/>
        </w:rPr>
        <w:t>.</w:t>
      </w:r>
    </w:p>
    <w:p w14:paraId="0633DDAF" w14:textId="07CC77FB"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Wang, A., L. Si and S. Hu (2023). ‘Can the penalty mechanism of mandatory environmental regulations promote green innovation? Evidence from China</w:t>
      </w:r>
      <w:r w:rsidR="00EA4EF4" w:rsidRPr="00A3505C">
        <w:rPr>
          <w:rFonts w:ascii="Times New Roman" w:hAnsi="Times New Roman" w:cs="Times New Roman"/>
          <w:sz w:val="24"/>
          <w:szCs w:val="24"/>
        </w:rPr>
        <w:t>’</w:t>
      </w:r>
      <w:r w:rsidRPr="00A3505C">
        <w:rPr>
          <w:rFonts w:ascii="Times New Roman" w:hAnsi="Times New Roman" w:cs="Times New Roman"/>
          <w:sz w:val="24"/>
          <w:szCs w:val="24"/>
        </w:rPr>
        <w:t xml:space="preserve">s enterprise data’,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125</w:t>
      </w:r>
      <w:r w:rsidRPr="00A3505C">
        <w:rPr>
          <w:rFonts w:ascii="Times New Roman" w:hAnsi="Times New Roman" w:cs="Times New Roman"/>
          <w:sz w:val="24"/>
          <w:szCs w:val="24"/>
        </w:rPr>
        <w:t xml:space="preserve">, </w:t>
      </w:r>
      <w:hyperlink r:id="rId107" w:history="1">
        <w:r w:rsidRPr="00A3505C">
          <w:rPr>
            <w:rStyle w:val="Hyperlink"/>
            <w:rFonts w:ascii="Times New Roman" w:hAnsi="Times New Roman" w:cs="Times New Roman"/>
            <w:color w:val="auto"/>
            <w:sz w:val="24"/>
            <w:szCs w:val="24"/>
            <w:u w:val="none"/>
          </w:rPr>
          <w:t>https://doi.org/10.1016/j.eneco.2023.106856</w:t>
        </w:r>
      </w:hyperlink>
      <w:r w:rsidRPr="00A3505C">
        <w:rPr>
          <w:rFonts w:ascii="Times New Roman" w:hAnsi="Times New Roman" w:cs="Times New Roman"/>
          <w:sz w:val="24"/>
          <w:szCs w:val="24"/>
        </w:rPr>
        <w:t>.</w:t>
      </w:r>
    </w:p>
    <w:p w14:paraId="03F85995" w14:textId="16D5167D"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Wei, X., Q. Wei and L. Yang (2023). ‘Induced green innovation of suppliers: The “green power” from major customers’,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124</w:t>
      </w:r>
      <w:r w:rsidRPr="00A3505C">
        <w:rPr>
          <w:rFonts w:ascii="Times New Roman" w:hAnsi="Times New Roman" w:cs="Times New Roman"/>
          <w:sz w:val="24"/>
          <w:szCs w:val="24"/>
        </w:rPr>
        <w:t xml:space="preserve">, </w:t>
      </w:r>
      <w:hyperlink r:id="rId108" w:history="1">
        <w:r w:rsidRPr="00A3505C">
          <w:rPr>
            <w:rStyle w:val="Hyperlink"/>
            <w:rFonts w:ascii="Times New Roman" w:hAnsi="Times New Roman" w:cs="Times New Roman"/>
            <w:color w:val="auto"/>
            <w:sz w:val="24"/>
            <w:szCs w:val="24"/>
            <w:u w:val="none"/>
          </w:rPr>
          <w:t>https://doi.org/10.1016/j.eneco.2023.106775</w:t>
        </w:r>
      </w:hyperlink>
      <w:r w:rsidRPr="00A3505C">
        <w:rPr>
          <w:rFonts w:ascii="Times New Roman" w:hAnsi="Times New Roman" w:cs="Times New Roman"/>
          <w:sz w:val="24"/>
          <w:szCs w:val="24"/>
        </w:rPr>
        <w:t>.</w:t>
      </w:r>
    </w:p>
    <w:p w14:paraId="0AD0BE82" w14:textId="76F6543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Wernerfelt, B. (1984). ‘A resource-based view of the firm’,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5</w:t>
      </w:r>
      <w:r w:rsidRPr="00A3505C">
        <w:rPr>
          <w:rFonts w:ascii="Times New Roman" w:hAnsi="Times New Roman" w:cs="Times New Roman"/>
          <w:sz w:val="24"/>
          <w:szCs w:val="24"/>
        </w:rPr>
        <w:t xml:space="preserve">(2), pp. 171-180,  </w:t>
      </w:r>
      <w:hyperlink r:id="rId109" w:history="1">
        <w:r w:rsidRPr="00A3505C">
          <w:rPr>
            <w:rStyle w:val="Hyperlink"/>
            <w:rFonts w:ascii="Times New Roman" w:hAnsi="Times New Roman" w:cs="Times New Roman"/>
            <w:color w:val="auto"/>
            <w:sz w:val="24"/>
            <w:szCs w:val="24"/>
            <w:u w:val="none"/>
          </w:rPr>
          <w:t>https://www.jstor.org/stable/2486175</w:t>
        </w:r>
      </w:hyperlink>
      <w:r w:rsidRPr="00A3505C">
        <w:rPr>
          <w:rFonts w:ascii="Times New Roman" w:hAnsi="Times New Roman" w:cs="Times New Roman"/>
          <w:sz w:val="24"/>
          <w:szCs w:val="24"/>
        </w:rPr>
        <w:t>.</w:t>
      </w:r>
    </w:p>
    <w:p w14:paraId="4EE901EF" w14:textId="37ECDAB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Wilde, J. H. (2017). ‘The deterrent effect of employee whistleblowing on firms’ financial misreporting and tax aggressiveness’, </w:t>
      </w:r>
      <w:r w:rsidRPr="00A3505C">
        <w:rPr>
          <w:rFonts w:ascii="Times New Roman" w:hAnsi="Times New Roman" w:cs="Times New Roman"/>
          <w:i/>
          <w:sz w:val="24"/>
          <w:szCs w:val="24"/>
        </w:rPr>
        <w:t>The Accounting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92</w:t>
      </w:r>
      <w:r w:rsidRPr="00A3505C">
        <w:rPr>
          <w:rFonts w:ascii="Times New Roman" w:hAnsi="Times New Roman" w:cs="Times New Roman"/>
          <w:sz w:val="24"/>
          <w:szCs w:val="24"/>
        </w:rPr>
        <w:t xml:space="preserve">(5), pp. 247-280, </w:t>
      </w:r>
      <w:hyperlink r:id="rId110" w:history="1">
        <w:r w:rsidRPr="00A3505C">
          <w:rPr>
            <w:rStyle w:val="Hyperlink"/>
            <w:rFonts w:ascii="Times New Roman" w:hAnsi="Times New Roman" w:cs="Times New Roman"/>
            <w:color w:val="auto"/>
            <w:sz w:val="24"/>
            <w:szCs w:val="24"/>
            <w:u w:val="none"/>
          </w:rPr>
          <w:t>https://doi.org/10.2308/accr-51661</w:t>
        </w:r>
      </w:hyperlink>
      <w:r w:rsidRPr="00A3505C">
        <w:rPr>
          <w:rFonts w:ascii="Times New Roman" w:hAnsi="Times New Roman" w:cs="Times New Roman"/>
          <w:sz w:val="24"/>
          <w:szCs w:val="24"/>
        </w:rPr>
        <w:t>.</w:t>
      </w:r>
    </w:p>
    <w:p w14:paraId="4200ACF9" w14:textId="3336F22C"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World Resources Institute (2022). ‘</w:t>
      </w:r>
      <w:r w:rsidRPr="00A3505C">
        <w:rPr>
          <w:rFonts w:ascii="Times New Roman" w:hAnsi="Times New Roman" w:cs="Times New Roman"/>
          <w:i/>
          <w:sz w:val="24"/>
          <w:szCs w:val="24"/>
        </w:rPr>
        <w:t>Climate Watch Historical GHG Emissions</w:t>
      </w:r>
      <w:r w:rsidRPr="00A3505C">
        <w:rPr>
          <w:rFonts w:ascii="Times New Roman" w:hAnsi="Times New Roman" w:cs="Times New Roman"/>
          <w:sz w:val="24"/>
          <w:szCs w:val="24"/>
        </w:rPr>
        <w:t xml:space="preserve">’. Available at: </w:t>
      </w:r>
      <w:hyperlink r:id="rId111" w:history="1">
        <w:r w:rsidRPr="00A3505C">
          <w:rPr>
            <w:rStyle w:val="Hyperlink"/>
            <w:rFonts w:ascii="Times New Roman" w:hAnsi="Times New Roman" w:cs="Times New Roman"/>
            <w:color w:val="auto"/>
            <w:sz w:val="24"/>
            <w:szCs w:val="24"/>
            <w:u w:val="none"/>
          </w:rPr>
          <w:t>https://www.climatewatchdata.org/ghg-emissions</w:t>
        </w:r>
      </w:hyperlink>
      <w:r w:rsidRPr="00A3505C">
        <w:rPr>
          <w:rFonts w:ascii="Times New Roman" w:hAnsi="Times New Roman" w:cs="Times New Roman"/>
          <w:sz w:val="24"/>
          <w:szCs w:val="24"/>
        </w:rPr>
        <w:t xml:space="preserve"> (accessed: 6 March 2023).</w:t>
      </w:r>
    </w:p>
    <w:p w14:paraId="05FB4F84" w14:textId="07984CFA"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Wurlod, J.-D. and J. Noailly (2018). ‘The impact of green innovation on energy intensity: An empirical analysis for 14 industrial sectors in OECD countries’, </w:t>
      </w:r>
      <w:r w:rsidRPr="00A3505C">
        <w:rPr>
          <w:rFonts w:ascii="Times New Roman" w:hAnsi="Times New Roman" w:cs="Times New Roman"/>
          <w:i/>
          <w:sz w:val="24"/>
          <w:szCs w:val="24"/>
        </w:rPr>
        <w:t>Energy Economics</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71</w:t>
      </w:r>
      <w:r w:rsidRPr="00A3505C">
        <w:rPr>
          <w:rFonts w:ascii="Times New Roman" w:hAnsi="Times New Roman" w:cs="Times New Roman"/>
          <w:sz w:val="24"/>
          <w:szCs w:val="24"/>
        </w:rPr>
        <w:t xml:space="preserve">, pp. 47-61, </w:t>
      </w:r>
      <w:hyperlink r:id="rId112" w:history="1">
        <w:r w:rsidRPr="00A3505C">
          <w:rPr>
            <w:rStyle w:val="Hyperlink"/>
            <w:rFonts w:ascii="Times New Roman" w:hAnsi="Times New Roman" w:cs="Times New Roman"/>
            <w:color w:val="auto"/>
            <w:sz w:val="24"/>
            <w:szCs w:val="24"/>
            <w:u w:val="none"/>
          </w:rPr>
          <w:t>https://doi.org/10.1016/j.eneco.2017.12.012</w:t>
        </w:r>
      </w:hyperlink>
      <w:r w:rsidRPr="00A3505C">
        <w:rPr>
          <w:rFonts w:ascii="Times New Roman" w:hAnsi="Times New Roman" w:cs="Times New Roman"/>
          <w:sz w:val="24"/>
          <w:szCs w:val="24"/>
        </w:rPr>
        <w:t>.</w:t>
      </w:r>
    </w:p>
    <w:p w14:paraId="661FA6C3" w14:textId="1449D1B8" w:rsidR="00097E34" w:rsidRPr="00A3505C" w:rsidRDefault="00097E34"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Yamaguchi, S., S. Braguinsky, T. Okazaki and T. Yuki (2023). ‘Resource allocation and growth strategies in a multi‐plant firm: Kanegafuchi Spinners in the early 20th century’, </w:t>
      </w:r>
      <w:r w:rsidRPr="00A3505C">
        <w:rPr>
          <w:rFonts w:ascii="Times New Roman" w:hAnsi="Times New Roman" w:cs="Times New Roman"/>
          <w:i/>
          <w:iCs/>
          <w:sz w:val="24"/>
          <w:szCs w:val="24"/>
        </w:rPr>
        <w:t>Strategic Management Journal</w:t>
      </w:r>
      <w:r w:rsidRPr="00A3505C">
        <w:rPr>
          <w:rFonts w:ascii="Times New Roman" w:hAnsi="Times New Roman" w:cs="Times New Roman"/>
          <w:sz w:val="24"/>
          <w:szCs w:val="24"/>
        </w:rPr>
        <w:t>, https://doi.org/10.1002/smj.3567.</w:t>
      </w:r>
    </w:p>
    <w:p w14:paraId="16944B0A" w14:textId="70FE0439"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Yuan, X. and R. Nishant (2021). ‘Understanding the complex relationship between R&amp;D investment and firm growth: A chaos perspective’, </w:t>
      </w:r>
      <w:r w:rsidRPr="00A3505C">
        <w:rPr>
          <w:rFonts w:ascii="Times New Roman" w:hAnsi="Times New Roman" w:cs="Times New Roman"/>
          <w:i/>
          <w:sz w:val="24"/>
          <w:szCs w:val="24"/>
        </w:rPr>
        <w:t>Journal of Business Research</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129</w:t>
      </w:r>
      <w:r w:rsidRPr="00A3505C">
        <w:rPr>
          <w:rFonts w:ascii="Times New Roman" w:hAnsi="Times New Roman" w:cs="Times New Roman"/>
          <w:sz w:val="24"/>
          <w:szCs w:val="24"/>
        </w:rPr>
        <w:t xml:space="preserve">, pp. 666-678, </w:t>
      </w:r>
      <w:hyperlink r:id="rId113" w:history="1">
        <w:r w:rsidRPr="00A3505C">
          <w:rPr>
            <w:rStyle w:val="Hyperlink"/>
            <w:rFonts w:ascii="Times New Roman" w:hAnsi="Times New Roman" w:cs="Times New Roman"/>
            <w:color w:val="auto"/>
            <w:sz w:val="24"/>
            <w:szCs w:val="24"/>
            <w:u w:val="none"/>
          </w:rPr>
          <w:t>https://doi.org/10.1016/j.jbusres.2019.11.043</w:t>
        </w:r>
      </w:hyperlink>
      <w:r w:rsidRPr="00A3505C">
        <w:rPr>
          <w:rFonts w:ascii="Times New Roman" w:hAnsi="Times New Roman" w:cs="Times New Roman"/>
          <w:sz w:val="24"/>
          <w:szCs w:val="24"/>
        </w:rPr>
        <w:t>.</w:t>
      </w:r>
    </w:p>
    <w:p w14:paraId="36A1E1F2" w14:textId="77777777"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Zeng, M. and P. J. Williamson (2007). </w:t>
      </w:r>
      <w:r w:rsidRPr="00A3505C">
        <w:rPr>
          <w:rFonts w:ascii="Times New Roman" w:hAnsi="Times New Roman" w:cs="Times New Roman"/>
          <w:i/>
          <w:sz w:val="24"/>
          <w:szCs w:val="24"/>
        </w:rPr>
        <w:t>Dragons at Your Door: How Chinese Cost Innovation is Disrupting Global Competition</w:t>
      </w:r>
      <w:r w:rsidRPr="00A3505C">
        <w:rPr>
          <w:rFonts w:ascii="Times New Roman" w:hAnsi="Times New Roman" w:cs="Times New Roman"/>
          <w:sz w:val="24"/>
          <w:szCs w:val="24"/>
        </w:rPr>
        <w:t>. Boston: Harvard Business Review Press.</w:t>
      </w:r>
    </w:p>
    <w:p w14:paraId="29272182" w14:textId="00FCA8FF"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lastRenderedPageBreak/>
        <w:t xml:space="preserve">Zhang, D. Y. (2022). ‘Are firms motivated to greenwash by financial constraints? Evidence from global firms’ data’, </w:t>
      </w:r>
      <w:r w:rsidRPr="00A3505C">
        <w:rPr>
          <w:rFonts w:ascii="Times New Roman" w:hAnsi="Times New Roman" w:cs="Times New Roman"/>
          <w:i/>
          <w:sz w:val="24"/>
          <w:szCs w:val="24"/>
        </w:rPr>
        <w:t>Journal of International Financial Management &amp; Accounting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33</w:t>
      </w:r>
      <w:r w:rsidRPr="00A3505C">
        <w:rPr>
          <w:rFonts w:ascii="Times New Roman" w:hAnsi="Times New Roman" w:cs="Times New Roman"/>
          <w:sz w:val="24"/>
          <w:szCs w:val="24"/>
        </w:rPr>
        <w:t xml:space="preserve">(3), pp. 459-479, </w:t>
      </w:r>
      <w:hyperlink r:id="rId114" w:history="1">
        <w:r w:rsidRPr="00A3505C">
          <w:rPr>
            <w:rStyle w:val="Hyperlink"/>
            <w:rFonts w:ascii="Times New Roman" w:hAnsi="Times New Roman" w:cs="Times New Roman"/>
            <w:color w:val="auto"/>
            <w:sz w:val="24"/>
            <w:szCs w:val="24"/>
            <w:u w:val="none"/>
          </w:rPr>
          <w:t>https://doi.org/10.1111/jifm.12153</w:t>
        </w:r>
      </w:hyperlink>
      <w:r w:rsidRPr="00A3505C">
        <w:rPr>
          <w:rFonts w:ascii="Times New Roman" w:hAnsi="Times New Roman" w:cs="Times New Roman"/>
          <w:sz w:val="24"/>
          <w:szCs w:val="24"/>
        </w:rPr>
        <w:t>.</w:t>
      </w:r>
    </w:p>
    <w:p w14:paraId="5D0D52A0" w14:textId="7601DA5E"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Zhao, Y., D. Sim, Y. Thams and R. Parente (2024). ‘Supplier involvement and firm financial performance: Bringing strategic fit to the fore’, </w:t>
      </w:r>
      <w:r w:rsidRPr="00A3505C">
        <w:rPr>
          <w:rFonts w:ascii="Times New Roman" w:hAnsi="Times New Roman" w:cs="Times New Roman"/>
          <w:i/>
          <w:sz w:val="24"/>
          <w:szCs w:val="24"/>
        </w:rPr>
        <w:t>British Journal of Management</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36</w:t>
      </w:r>
      <w:r w:rsidRPr="00A3505C">
        <w:rPr>
          <w:rFonts w:ascii="Times New Roman" w:hAnsi="Times New Roman" w:cs="Times New Roman"/>
          <w:sz w:val="24"/>
          <w:szCs w:val="24"/>
        </w:rPr>
        <w:t xml:space="preserve">(2), pp. 850-866, </w:t>
      </w:r>
      <w:hyperlink r:id="rId115" w:history="1">
        <w:r w:rsidRPr="00A3505C">
          <w:rPr>
            <w:rStyle w:val="Hyperlink"/>
            <w:rFonts w:ascii="Times New Roman" w:hAnsi="Times New Roman" w:cs="Times New Roman"/>
            <w:color w:val="auto"/>
            <w:sz w:val="24"/>
            <w:szCs w:val="24"/>
            <w:u w:val="none"/>
          </w:rPr>
          <w:t>https://doi.org/10.1111/1467-8551.12877</w:t>
        </w:r>
      </w:hyperlink>
      <w:r w:rsidRPr="00A3505C">
        <w:rPr>
          <w:rFonts w:ascii="Times New Roman" w:hAnsi="Times New Roman" w:cs="Times New Roman"/>
          <w:sz w:val="24"/>
          <w:szCs w:val="24"/>
        </w:rPr>
        <w:t>.</w:t>
      </w:r>
    </w:p>
    <w:p w14:paraId="095DA8E4" w14:textId="41E47FA6" w:rsidR="00E53248" w:rsidRPr="00A3505C" w:rsidRDefault="00E53248" w:rsidP="00E53248">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Zhou, K. Z., C. K. B. Yim and D. K. Tse (2005). ‘The effects of strategic orientations on technology- and market-based breakthrough innovations’, </w:t>
      </w:r>
      <w:r w:rsidRPr="00A3505C">
        <w:rPr>
          <w:rFonts w:ascii="Times New Roman" w:hAnsi="Times New Roman" w:cs="Times New Roman"/>
          <w:i/>
          <w:sz w:val="24"/>
          <w:szCs w:val="24"/>
        </w:rPr>
        <w:t>Journal of Marketing</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69</w:t>
      </w:r>
      <w:r w:rsidRPr="00A3505C">
        <w:rPr>
          <w:rFonts w:ascii="Times New Roman" w:hAnsi="Times New Roman" w:cs="Times New Roman"/>
          <w:sz w:val="24"/>
          <w:szCs w:val="24"/>
        </w:rPr>
        <w:t xml:space="preserve">(2), pp. 42-60, </w:t>
      </w:r>
      <w:hyperlink r:id="rId116" w:history="1">
        <w:r w:rsidRPr="00A3505C">
          <w:rPr>
            <w:rStyle w:val="Hyperlink"/>
            <w:rFonts w:ascii="Times New Roman" w:hAnsi="Times New Roman" w:cs="Times New Roman"/>
            <w:color w:val="auto"/>
            <w:sz w:val="24"/>
            <w:szCs w:val="24"/>
            <w:u w:val="none"/>
          </w:rPr>
          <w:t>https://doi.org/10.1509/jmkg.69.2.42.60</w:t>
        </w:r>
      </w:hyperlink>
      <w:r w:rsidRPr="00A3505C">
        <w:rPr>
          <w:rFonts w:ascii="Times New Roman" w:hAnsi="Times New Roman" w:cs="Times New Roman"/>
          <w:sz w:val="24"/>
          <w:szCs w:val="24"/>
        </w:rPr>
        <w:t>.</w:t>
      </w:r>
    </w:p>
    <w:p w14:paraId="1DB25B61" w14:textId="0E8DE7BC" w:rsidR="00E53248" w:rsidRPr="00A3505C" w:rsidRDefault="00E53248" w:rsidP="00E53248">
      <w:pPr>
        <w:pStyle w:val="EndNoteBibliography"/>
        <w:spacing w:after="0"/>
        <w:ind w:left="720" w:hanging="720"/>
        <w:rPr>
          <w:rFonts w:ascii="Times New Roman" w:hAnsi="Times New Roman" w:cs="Times New Roman"/>
          <w:sz w:val="24"/>
          <w:szCs w:val="24"/>
        </w:rPr>
      </w:pPr>
      <w:bookmarkStart w:id="10" w:name="_Hlk215569279"/>
      <w:r w:rsidRPr="00A3505C">
        <w:rPr>
          <w:rFonts w:ascii="Times New Roman" w:hAnsi="Times New Roman" w:cs="Times New Roman"/>
          <w:sz w:val="24"/>
          <w:szCs w:val="24"/>
        </w:rPr>
        <w:t xml:space="preserve">Zhou, N. and S. H. Park (2020). ‘Growth or profit? Strategic orientations and long‐term performance in China’, </w:t>
      </w:r>
      <w:r w:rsidRPr="00A3505C">
        <w:rPr>
          <w:rFonts w:ascii="Times New Roman" w:hAnsi="Times New Roman" w:cs="Times New Roman"/>
          <w:i/>
          <w:sz w:val="24"/>
          <w:szCs w:val="24"/>
        </w:rPr>
        <w:t>Strategic Management Journal</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41</w:t>
      </w:r>
      <w:r w:rsidRPr="00A3505C">
        <w:rPr>
          <w:rFonts w:ascii="Times New Roman" w:hAnsi="Times New Roman" w:cs="Times New Roman"/>
          <w:sz w:val="24"/>
          <w:szCs w:val="24"/>
        </w:rPr>
        <w:t xml:space="preserve">(11), pp. 2050-2071, </w:t>
      </w:r>
      <w:hyperlink r:id="rId117" w:history="1">
        <w:r w:rsidRPr="00A3505C">
          <w:rPr>
            <w:rStyle w:val="Hyperlink"/>
            <w:rFonts w:ascii="Times New Roman" w:hAnsi="Times New Roman" w:cs="Times New Roman"/>
            <w:color w:val="auto"/>
            <w:sz w:val="24"/>
            <w:szCs w:val="24"/>
            <w:u w:val="none"/>
          </w:rPr>
          <w:t>https://doi.org/10.1002/smj.3193</w:t>
        </w:r>
      </w:hyperlink>
      <w:r w:rsidRPr="00A3505C">
        <w:rPr>
          <w:rFonts w:ascii="Times New Roman" w:hAnsi="Times New Roman" w:cs="Times New Roman"/>
          <w:sz w:val="24"/>
          <w:szCs w:val="24"/>
        </w:rPr>
        <w:t>.</w:t>
      </w:r>
    </w:p>
    <w:p w14:paraId="038587DB" w14:textId="5DB03C42" w:rsidR="00E53248" w:rsidRPr="00A3505C" w:rsidRDefault="00E53248" w:rsidP="00E53248">
      <w:pPr>
        <w:pStyle w:val="EndNoteBibliography"/>
        <w:ind w:left="720" w:hanging="720"/>
        <w:rPr>
          <w:rFonts w:ascii="Times New Roman" w:hAnsi="Times New Roman" w:cs="Times New Roman"/>
          <w:sz w:val="24"/>
          <w:szCs w:val="24"/>
        </w:rPr>
      </w:pPr>
      <w:r w:rsidRPr="00A3505C">
        <w:rPr>
          <w:rFonts w:ascii="Times New Roman" w:hAnsi="Times New Roman" w:cs="Times New Roman"/>
          <w:sz w:val="24"/>
          <w:szCs w:val="24"/>
        </w:rPr>
        <w:t xml:space="preserve">Zhou, N. and S. H. Park (2024). ‘Decomposing firm performance in emerging markets: The difference between growth and profit’, </w:t>
      </w:r>
      <w:r w:rsidRPr="00A3505C">
        <w:rPr>
          <w:rFonts w:ascii="Times New Roman" w:hAnsi="Times New Roman" w:cs="Times New Roman"/>
          <w:i/>
          <w:sz w:val="24"/>
          <w:szCs w:val="24"/>
        </w:rPr>
        <w:t>Management and Organization Review</w:t>
      </w:r>
      <w:r w:rsidRPr="00A3505C">
        <w:rPr>
          <w:rFonts w:ascii="Times New Roman" w:hAnsi="Times New Roman" w:cs="Times New Roman"/>
          <w:sz w:val="24"/>
          <w:szCs w:val="24"/>
        </w:rPr>
        <w:t xml:space="preserve">, </w:t>
      </w:r>
      <w:r w:rsidRPr="00A3505C">
        <w:rPr>
          <w:rFonts w:ascii="Times New Roman" w:hAnsi="Times New Roman" w:cs="Times New Roman"/>
          <w:b/>
          <w:sz w:val="24"/>
          <w:szCs w:val="24"/>
        </w:rPr>
        <w:t>20</w:t>
      </w:r>
      <w:r w:rsidRPr="00A3505C">
        <w:rPr>
          <w:rFonts w:ascii="Times New Roman" w:hAnsi="Times New Roman" w:cs="Times New Roman"/>
          <w:sz w:val="24"/>
          <w:szCs w:val="24"/>
        </w:rPr>
        <w:t xml:space="preserve">(2), pp. 316-335, </w:t>
      </w:r>
      <w:hyperlink r:id="rId118" w:history="1">
        <w:r w:rsidRPr="00A3505C">
          <w:rPr>
            <w:rStyle w:val="Hyperlink"/>
            <w:rFonts w:ascii="Times New Roman" w:hAnsi="Times New Roman" w:cs="Times New Roman"/>
            <w:color w:val="auto"/>
            <w:sz w:val="24"/>
            <w:szCs w:val="24"/>
            <w:u w:val="none"/>
          </w:rPr>
          <w:t>https://doi.org/10.1017/mor.2023.32</w:t>
        </w:r>
      </w:hyperlink>
      <w:r w:rsidRPr="00A3505C">
        <w:rPr>
          <w:rFonts w:ascii="Times New Roman" w:hAnsi="Times New Roman" w:cs="Times New Roman"/>
          <w:sz w:val="24"/>
          <w:szCs w:val="24"/>
        </w:rPr>
        <w:t>.</w:t>
      </w:r>
    </w:p>
    <w:p w14:paraId="470A6B0F" w14:textId="78D2FF75" w:rsidR="00C2171F" w:rsidRPr="00A3505C" w:rsidRDefault="00C2171F" w:rsidP="00C2171F">
      <w:pPr>
        <w:pStyle w:val="EndNoteBibliography"/>
        <w:spacing w:after="0"/>
        <w:ind w:left="720" w:hanging="720"/>
        <w:rPr>
          <w:rFonts w:ascii="Times New Roman" w:hAnsi="Times New Roman" w:cs="Times New Roman"/>
          <w:sz w:val="24"/>
          <w:szCs w:val="24"/>
        </w:rPr>
      </w:pPr>
      <w:r w:rsidRPr="00A3505C">
        <w:rPr>
          <w:rFonts w:ascii="Times New Roman" w:hAnsi="Times New Roman" w:cs="Times New Roman"/>
          <w:sz w:val="24"/>
          <w:szCs w:val="24"/>
        </w:rPr>
        <w:t>Zhou, N., Kang, J. and Park, S.H.</w:t>
      </w:r>
      <w:r w:rsidRPr="00A3505C">
        <w:rPr>
          <w:rFonts w:ascii="Times New Roman" w:hAnsi="Times New Roman" w:cs="Times New Roman" w:hint="eastAsia"/>
          <w:sz w:val="24"/>
          <w:szCs w:val="24"/>
        </w:rPr>
        <w:t xml:space="preserve"> (</w:t>
      </w:r>
      <w:r w:rsidRPr="00A3505C">
        <w:rPr>
          <w:rFonts w:ascii="Times New Roman" w:hAnsi="Times New Roman" w:cs="Times New Roman"/>
          <w:sz w:val="24"/>
          <w:szCs w:val="24"/>
        </w:rPr>
        <w:t>2025</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w:t>
      </w:r>
      <w:r w:rsidR="00FB5426" w:rsidRPr="00A3505C">
        <w:rPr>
          <w:rFonts w:ascii="Times New Roman" w:hAnsi="Times New Roman" w:cs="Times New Roman"/>
          <w:sz w:val="24"/>
          <w:szCs w:val="24"/>
        </w:rPr>
        <w:t>‘</w:t>
      </w:r>
      <w:r w:rsidRPr="00A3505C">
        <w:rPr>
          <w:rFonts w:ascii="Times New Roman" w:hAnsi="Times New Roman" w:cs="Times New Roman"/>
          <w:sz w:val="24"/>
          <w:szCs w:val="24"/>
        </w:rPr>
        <w:t xml:space="preserve">Strategy for sustained profitable growth: </w:t>
      </w:r>
      <w:r w:rsidRPr="00A3505C">
        <w:rPr>
          <w:rFonts w:ascii="Times New Roman" w:hAnsi="Times New Roman" w:cs="Times New Roman" w:hint="eastAsia"/>
          <w:sz w:val="24"/>
          <w:szCs w:val="24"/>
        </w:rPr>
        <w:t>T</w:t>
      </w:r>
      <w:r w:rsidRPr="00A3505C">
        <w:rPr>
          <w:rFonts w:ascii="Times New Roman" w:hAnsi="Times New Roman" w:cs="Times New Roman"/>
          <w:sz w:val="24"/>
          <w:szCs w:val="24"/>
        </w:rPr>
        <w:t>he difference between growth-and profit-oriented firms</w:t>
      </w:r>
      <w:r w:rsidR="00FB5426" w:rsidRPr="00A3505C">
        <w:rPr>
          <w:rFonts w:ascii="Times New Roman" w:hAnsi="Times New Roman" w:cs="Times New Roman"/>
          <w:sz w:val="24"/>
          <w:szCs w:val="24"/>
        </w:rPr>
        <w:t>’,</w:t>
      </w:r>
      <w:r w:rsidR="00DC56E7">
        <w:rPr>
          <w:rFonts w:ascii="Times New Roman" w:hAnsi="Times New Roman" w:cs="Times New Roman" w:hint="eastAsia"/>
          <w:sz w:val="24"/>
          <w:szCs w:val="24"/>
        </w:rPr>
        <w:t xml:space="preserve"> </w:t>
      </w:r>
      <w:r w:rsidRPr="00A3505C">
        <w:rPr>
          <w:rFonts w:ascii="Times New Roman" w:hAnsi="Times New Roman" w:cs="Times New Roman"/>
          <w:i/>
          <w:iCs/>
          <w:sz w:val="24"/>
          <w:szCs w:val="24"/>
        </w:rPr>
        <w:t>Management and Organization Review</w:t>
      </w:r>
      <w:r w:rsidRPr="00A3505C">
        <w:rPr>
          <w:rFonts w:ascii="Times New Roman" w:hAnsi="Times New Roman" w:cs="Times New Roman"/>
          <w:sz w:val="24"/>
          <w:szCs w:val="24"/>
        </w:rPr>
        <w:t>, pp.562-585</w:t>
      </w:r>
      <w:r w:rsidR="00223962" w:rsidRPr="00A3505C">
        <w:rPr>
          <w:rFonts w:ascii="Times New Roman" w:hAnsi="Times New Roman" w:cs="Times New Roman" w:hint="eastAsia"/>
          <w:sz w:val="24"/>
          <w:szCs w:val="24"/>
        </w:rPr>
        <w:t>,</w:t>
      </w:r>
      <w:r w:rsidRPr="00A3505C">
        <w:rPr>
          <w:rStyle w:val="Hyperlink"/>
          <w:rFonts w:hint="eastAsia"/>
          <w:color w:val="auto"/>
        </w:rPr>
        <w:t xml:space="preserve"> </w:t>
      </w:r>
      <w:hyperlink r:id="rId119" w:tgtFrame="_blank" w:history="1">
        <w:r w:rsidRPr="00A3505C">
          <w:rPr>
            <w:rStyle w:val="Hyperlink"/>
            <w:rFonts w:ascii="Times New Roman" w:hAnsi="Times New Roman" w:cs="Times New Roman"/>
            <w:color w:val="auto"/>
            <w:sz w:val="24"/>
            <w:szCs w:val="24"/>
          </w:rPr>
          <w:t>https://doi.org/10.1017/mor.2024.66</w:t>
        </w:r>
      </w:hyperlink>
    </w:p>
    <w:p w14:paraId="53176D29" w14:textId="77777777" w:rsidR="00C2171F" w:rsidRPr="00A3505C" w:rsidRDefault="00C2171F" w:rsidP="00E53248">
      <w:pPr>
        <w:pStyle w:val="EndNoteBibliography"/>
        <w:ind w:left="720" w:hanging="720"/>
        <w:rPr>
          <w:rFonts w:ascii="Times New Roman" w:hAnsi="Times New Roman" w:cs="Times New Roman"/>
          <w:sz w:val="24"/>
          <w:szCs w:val="24"/>
        </w:rPr>
      </w:pPr>
    </w:p>
    <w:bookmarkEnd w:id="10"/>
    <w:p w14:paraId="3CD67FB2" w14:textId="47FB9ACD" w:rsidR="005303A0" w:rsidRPr="00A3505C" w:rsidRDefault="00016FE8" w:rsidP="009262B1">
      <w:pPr>
        <w:pStyle w:val="EndNoteBibliography"/>
        <w:adjustRightInd w:val="0"/>
        <w:snapToGrid w:val="0"/>
        <w:spacing w:after="0"/>
        <w:jc w:val="both"/>
        <w:rPr>
          <w:rFonts w:ascii="Times New Roman" w:hAnsi="Times New Roman" w:cs="Times New Roman"/>
          <w:noProof w:val="0"/>
          <w:sz w:val="24"/>
          <w:szCs w:val="24"/>
        </w:rPr>
      </w:pPr>
      <w:r w:rsidRPr="00A3505C">
        <w:rPr>
          <w:rFonts w:ascii="Times New Roman" w:hAnsi="Times New Roman" w:cs="Times New Roman"/>
          <w:noProof w:val="0"/>
          <w:sz w:val="24"/>
          <w:szCs w:val="24"/>
        </w:rPr>
        <w:fldChar w:fldCharType="end"/>
      </w:r>
    </w:p>
    <w:p w14:paraId="1A6E866A" w14:textId="77777777" w:rsidR="005303A0" w:rsidRPr="00A3505C" w:rsidRDefault="005303A0">
      <w:pPr>
        <w:rPr>
          <w:rFonts w:ascii="Times New Roman" w:hAnsi="Times New Roman" w:cs="Times New Roman"/>
          <w:sz w:val="24"/>
          <w:szCs w:val="24"/>
        </w:rPr>
      </w:pPr>
      <w:r w:rsidRPr="00A3505C">
        <w:rPr>
          <w:rFonts w:ascii="Times New Roman" w:hAnsi="Times New Roman" w:cs="Times New Roman"/>
          <w:sz w:val="24"/>
          <w:szCs w:val="24"/>
        </w:rPr>
        <w:br w:type="page"/>
      </w:r>
    </w:p>
    <w:p w14:paraId="4D8CA1D1" w14:textId="77777777" w:rsidR="005303A0" w:rsidRPr="00A3505C" w:rsidRDefault="005303A0" w:rsidP="005303A0">
      <w:pPr>
        <w:adjustRightInd w:val="0"/>
        <w:snapToGrid w:val="0"/>
        <w:spacing w:after="0" w:line="264" w:lineRule="auto"/>
        <w:jc w:val="center"/>
        <w:rPr>
          <w:rFonts w:ascii="Times New Roman" w:hAnsi="Times New Roman" w:cs="Times New Roman"/>
          <w:sz w:val="20"/>
          <w:szCs w:val="20"/>
        </w:rPr>
      </w:pPr>
      <w:r w:rsidRPr="00A3505C">
        <w:rPr>
          <w:rFonts w:ascii="Times New Roman" w:hAnsi="Times New Roman" w:cs="Times New Roman"/>
          <w:noProof/>
          <w:sz w:val="20"/>
          <w:szCs w:val="20"/>
        </w:rPr>
        <w:lastRenderedPageBreak/>
        <w:drawing>
          <wp:inline distT="0" distB="0" distL="0" distR="0" wp14:anchorId="5C1ECD0C" wp14:editId="6B98ACE5">
            <wp:extent cx="4937512" cy="2981325"/>
            <wp:effectExtent l="0" t="0" r="0" b="0"/>
            <wp:docPr id="207879998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3497" name="Picture 1" descr="A diagram of a diagram&#10;&#10;AI-generated content may be incorrect."/>
                    <pic:cNvPicPr/>
                  </pic:nvPicPr>
                  <pic:blipFill>
                    <a:blip r:embed="rId120"/>
                    <a:stretch>
                      <a:fillRect/>
                    </a:stretch>
                  </pic:blipFill>
                  <pic:spPr>
                    <a:xfrm>
                      <a:off x="0" y="0"/>
                      <a:ext cx="4960265" cy="2995063"/>
                    </a:xfrm>
                    <a:prstGeom prst="rect">
                      <a:avLst/>
                    </a:prstGeom>
                  </pic:spPr>
                </pic:pic>
              </a:graphicData>
            </a:graphic>
          </wp:inline>
        </w:drawing>
      </w:r>
    </w:p>
    <w:p w14:paraId="250AF28B" w14:textId="77777777" w:rsidR="00E21ED4" w:rsidRPr="00A3505C" w:rsidRDefault="005303A0" w:rsidP="001C2F7E">
      <w:pPr>
        <w:adjustRightInd w:val="0"/>
        <w:snapToGrid w:val="0"/>
        <w:spacing w:after="0" w:line="264" w:lineRule="auto"/>
        <w:jc w:val="center"/>
        <w:rPr>
          <w:rFonts w:ascii="Times New Roman" w:hAnsi="Times New Roman" w:cs="Times New Roman"/>
          <w:b/>
          <w:sz w:val="24"/>
          <w:szCs w:val="24"/>
        </w:rPr>
      </w:pPr>
      <w:r w:rsidRPr="00A3505C">
        <w:rPr>
          <w:rFonts w:ascii="Times New Roman" w:hAnsi="Times New Roman" w:cs="Times New Roman"/>
          <w:b/>
          <w:bCs/>
          <w:sz w:val="24"/>
          <w:szCs w:val="24"/>
        </w:rPr>
        <w:t xml:space="preserve">Figure 1. </w:t>
      </w:r>
      <w:r w:rsidRPr="00A3505C">
        <w:rPr>
          <w:rFonts w:ascii="Times New Roman" w:hAnsi="Times New Roman" w:cs="Times New Roman"/>
          <w:b/>
          <w:sz w:val="24"/>
          <w:szCs w:val="24"/>
        </w:rPr>
        <w:t>Theoretical framework</w:t>
      </w:r>
    </w:p>
    <w:p w14:paraId="6C4988D1" w14:textId="77777777" w:rsidR="001C2F7E" w:rsidRPr="00A3505C" w:rsidRDefault="001C2F7E" w:rsidP="001C2F7E">
      <w:pPr>
        <w:adjustRightInd w:val="0"/>
        <w:snapToGrid w:val="0"/>
        <w:spacing w:after="0" w:line="264" w:lineRule="auto"/>
        <w:jc w:val="center"/>
        <w:rPr>
          <w:rFonts w:ascii="Times New Roman" w:hAnsi="Times New Roman" w:cs="Times New Roman"/>
          <w:b/>
          <w:sz w:val="24"/>
          <w:szCs w:val="24"/>
        </w:rPr>
      </w:pPr>
    </w:p>
    <w:p w14:paraId="17621258" w14:textId="1E102762" w:rsidR="001C2F7E" w:rsidRPr="00A3505C" w:rsidRDefault="001C2F7E" w:rsidP="001C2F7E">
      <w:pPr>
        <w:adjustRightInd w:val="0"/>
        <w:snapToGrid w:val="0"/>
        <w:spacing w:after="0" w:line="264" w:lineRule="auto"/>
        <w:jc w:val="both"/>
        <w:rPr>
          <w:rFonts w:ascii="Times New Roman" w:hAnsi="Times New Roman" w:cs="Times New Roman"/>
          <w:b/>
          <w:sz w:val="24"/>
          <w:szCs w:val="24"/>
        </w:rPr>
        <w:sectPr w:rsidR="001C2F7E" w:rsidRPr="00A3505C" w:rsidSect="008860C6">
          <w:footerReference w:type="default" r:id="rId121"/>
          <w:footerReference w:type="first" r:id="rId122"/>
          <w:pgSz w:w="11906" w:h="16838"/>
          <w:pgMar w:top="1440" w:right="1440" w:bottom="1440" w:left="1440" w:header="708" w:footer="708" w:gutter="0"/>
          <w:pgNumType w:start="1"/>
          <w:cols w:space="708"/>
          <w:docGrid w:linePitch="360"/>
        </w:sectPr>
      </w:pPr>
    </w:p>
    <w:p w14:paraId="6C8A3F3A" w14:textId="2ADBFA8F" w:rsidR="00E21ED4" w:rsidRPr="00A3505C" w:rsidRDefault="00F824D0" w:rsidP="005303A0">
      <w:pPr>
        <w:pStyle w:val="EndNoteBibliography"/>
        <w:adjustRightInd w:val="0"/>
        <w:snapToGrid w:val="0"/>
        <w:spacing w:after="0"/>
        <w:jc w:val="center"/>
        <w:rPr>
          <w:rFonts w:ascii="Times New Roman" w:hAnsi="Times New Roman" w:cs="Times New Roman"/>
          <w:noProof w:val="0"/>
          <w:sz w:val="24"/>
          <w:szCs w:val="24"/>
        </w:rPr>
      </w:pPr>
      <w:r w:rsidRPr="00A3505C">
        <w:rPr>
          <w:rFonts w:ascii="Times New Roman" w:hAnsi="Times New Roman" w:cs="Times New Roman"/>
          <w:sz w:val="24"/>
          <w:szCs w:val="24"/>
        </w:rPr>
        <w:lastRenderedPageBreak/>
        <w:drawing>
          <wp:inline distT="0" distB="0" distL="0" distR="0" wp14:anchorId="54280269" wp14:editId="15A3F405">
            <wp:extent cx="7981950" cy="5632599"/>
            <wp:effectExtent l="0" t="0" r="0" b="6350"/>
            <wp:docPr id="1657932550" name="Picture 1" descr="A screenshot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32550" name="Picture 1" descr="A screenshot of a paper&#10;&#10;AI-generated content may be incorrect."/>
                    <pic:cNvPicPr/>
                  </pic:nvPicPr>
                  <pic:blipFill>
                    <a:blip r:embed="rId123"/>
                    <a:stretch>
                      <a:fillRect/>
                    </a:stretch>
                  </pic:blipFill>
                  <pic:spPr>
                    <a:xfrm>
                      <a:off x="0" y="0"/>
                      <a:ext cx="8030554" cy="5666897"/>
                    </a:xfrm>
                    <a:prstGeom prst="rect">
                      <a:avLst/>
                    </a:prstGeom>
                  </pic:spPr>
                </pic:pic>
              </a:graphicData>
            </a:graphic>
          </wp:inline>
        </w:drawing>
      </w:r>
    </w:p>
    <w:p w14:paraId="76ED24C1" w14:textId="4081F0FD" w:rsidR="005303A0" w:rsidRPr="00A3505C" w:rsidRDefault="005303A0" w:rsidP="005303A0">
      <w:pPr>
        <w:adjustRightInd w:val="0"/>
        <w:snapToGrid w:val="0"/>
        <w:spacing w:after="0" w:line="264" w:lineRule="auto"/>
        <w:jc w:val="center"/>
        <w:rPr>
          <w:rFonts w:ascii="Times New Roman" w:hAnsi="Times New Roman" w:cs="Times New Roman"/>
          <w:b/>
          <w:sz w:val="24"/>
          <w:szCs w:val="24"/>
        </w:rPr>
      </w:pPr>
      <w:r w:rsidRPr="00A3505C">
        <w:rPr>
          <w:rFonts w:ascii="Times New Roman" w:hAnsi="Times New Roman" w:cs="Times New Roman"/>
          <w:b/>
          <w:bCs/>
          <w:sz w:val="24"/>
          <w:szCs w:val="24"/>
        </w:rPr>
        <w:t xml:space="preserve">Figure 2. </w:t>
      </w:r>
      <w:r w:rsidRPr="00A3505C">
        <w:rPr>
          <w:rFonts w:ascii="Times New Roman" w:hAnsi="Times New Roman" w:cs="Times New Roman"/>
          <w:b/>
          <w:sz w:val="24"/>
          <w:szCs w:val="24"/>
        </w:rPr>
        <w:t>Strategic orientations</w:t>
      </w:r>
    </w:p>
    <w:p w14:paraId="0BED9F9E" w14:textId="63328DF6" w:rsidR="005303A0" w:rsidRPr="00A3505C" w:rsidRDefault="005303A0" w:rsidP="005303A0">
      <w:pPr>
        <w:pStyle w:val="EndNoteBibliography"/>
        <w:adjustRightInd w:val="0"/>
        <w:snapToGrid w:val="0"/>
        <w:spacing w:after="0"/>
        <w:jc w:val="center"/>
        <w:rPr>
          <w:rFonts w:ascii="Times New Roman" w:hAnsi="Times New Roman" w:cs="Times New Roman"/>
          <w:noProof w:val="0"/>
          <w:sz w:val="24"/>
          <w:szCs w:val="24"/>
        </w:rPr>
        <w:sectPr w:rsidR="005303A0" w:rsidRPr="00A3505C" w:rsidSect="005303A0">
          <w:pgSz w:w="16838" w:h="11906" w:orient="landscape"/>
          <w:pgMar w:top="1134" w:right="1440" w:bottom="1134" w:left="1440" w:header="709" w:footer="709" w:gutter="0"/>
          <w:cols w:space="708"/>
          <w:docGrid w:linePitch="360"/>
        </w:sectPr>
      </w:pPr>
    </w:p>
    <w:p w14:paraId="71781615" w14:textId="6420BF40" w:rsidR="007736B3" w:rsidRPr="00B45767" w:rsidRDefault="007736B3" w:rsidP="00E75A75">
      <w:pPr>
        <w:adjustRightInd w:val="0"/>
        <w:snapToGrid w:val="0"/>
        <w:spacing w:after="120" w:line="264" w:lineRule="auto"/>
        <w:jc w:val="center"/>
        <w:rPr>
          <w:rFonts w:ascii="Times" w:hAnsi="Times" w:cs="Times New Roman"/>
          <w:b/>
          <w:bCs/>
          <w:sz w:val="24"/>
          <w:szCs w:val="24"/>
        </w:rPr>
      </w:pPr>
      <w:r w:rsidRPr="00B45767">
        <w:rPr>
          <w:rFonts w:ascii="Times" w:hAnsi="Times" w:cs="Times New Roman"/>
          <w:b/>
          <w:bCs/>
          <w:sz w:val="24"/>
          <w:szCs w:val="24"/>
        </w:rPr>
        <w:lastRenderedPageBreak/>
        <w:t xml:space="preserve">Table </w:t>
      </w:r>
      <w:r w:rsidR="00E436C0" w:rsidRPr="00B45767">
        <w:rPr>
          <w:rFonts w:ascii="Times" w:hAnsi="Times" w:cs="Times New Roman"/>
          <w:b/>
          <w:bCs/>
          <w:sz w:val="24"/>
          <w:szCs w:val="24"/>
        </w:rPr>
        <w:t>1</w:t>
      </w:r>
      <w:r w:rsidRPr="00B45767">
        <w:rPr>
          <w:rFonts w:ascii="Times" w:hAnsi="Times" w:cs="Times New Roman"/>
          <w:b/>
          <w:bCs/>
          <w:sz w:val="24"/>
          <w:szCs w:val="24"/>
        </w:rPr>
        <w:t>. The characteristics of growth-oriented and profit-oriented firms</w:t>
      </w:r>
    </w:p>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2750"/>
        <w:gridCol w:w="2695"/>
        <w:gridCol w:w="2219"/>
      </w:tblGrid>
      <w:tr w:rsidR="00A3505C" w:rsidRPr="00EB6F68" w14:paraId="587776A0" w14:textId="77777777" w:rsidTr="00CF0F72">
        <w:tc>
          <w:tcPr>
            <w:tcW w:w="754" w:type="pct"/>
            <w:tcBorders>
              <w:top w:val="single" w:sz="4" w:space="0" w:color="auto"/>
              <w:bottom w:val="single" w:sz="4" w:space="0" w:color="auto"/>
            </w:tcBorders>
          </w:tcPr>
          <w:p w14:paraId="26F42914" w14:textId="77777777" w:rsidR="007736B3" w:rsidRPr="00EB6F68" w:rsidRDefault="007736B3" w:rsidP="005309F1">
            <w:pPr>
              <w:adjustRightInd w:val="0"/>
              <w:snapToGrid w:val="0"/>
              <w:spacing w:before="60"/>
              <w:rPr>
                <w:rFonts w:ascii="Times New Roman" w:hAnsi="Times New Roman" w:cs="Times New Roman"/>
                <w:bCs/>
                <w:sz w:val="18"/>
                <w:szCs w:val="18"/>
              </w:rPr>
            </w:pPr>
          </w:p>
        </w:tc>
        <w:tc>
          <w:tcPr>
            <w:tcW w:w="1523" w:type="pct"/>
            <w:tcBorders>
              <w:top w:val="single" w:sz="4" w:space="0" w:color="auto"/>
              <w:bottom w:val="single" w:sz="4" w:space="0" w:color="auto"/>
            </w:tcBorders>
          </w:tcPr>
          <w:p w14:paraId="7FD8AB12"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Growth-oriented firms</w:t>
            </w:r>
          </w:p>
        </w:tc>
        <w:tc>
          <w:tcPr>
            <w:tcW w:w="1493" w:type="pct"/>
            <w:tcBorders>
              <w:top w:val="single" w:sz="4" w:space="0" w:color="auto"/>
              <w:bottom w:val="single" w:sz="4" w:space="0" w:color="auto"/>
            </w:tcBorders>
          </w:tcPr>
          <w:p w14:paraId="3627C455"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Profit-oriented firms</w:t>
            </w:r>
          </w:p>
        </w:tc>
        <w:tc>
          <w:tcPr>
            <w:tcW w:w="1229" w:type="pct"/>
            <w:tcBorders>
              <w:top w:val="single" w:sz="4" w:space="0" w:color="auto"/>
              <w:bottom w:val="single" w:sz="4" w:space="0" w:color="auto"/>
            </w:tcBorders>
          </w:tcPr>
          <w:p w14:paraId="2EA3AED9"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References</w:t>
            </w:r>
          </w:p>
        </w:tc>
      </w:tr>
      <w:tr w:rsidR="00A3505C" w:rsidRPr="00EB6F68" w14:paraId="65F81AE7" w14:textId="77777777" w:rsidTr="00CF0F72">
        <w:tc>
          <w:tcPr>
            <w:tcW w:w="754" w:type="pct"/>
            <w:tcBorders>
              <w:top w:val="single" w:sz="4" w:space="0" w:color="auto"/>
            </w:tcBorders>
          </w:tcPr>
          <w:p w14:paraId="7A0EB003"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Definition</w:t>
            </w:r>
          </w:p>
        </w:tc>
        <w:tc>
          <w:tcPr>
            <w:tcW w:w="1523" w:type="pct"/>
            <w:tcBorders>
              <w:top w:val="single" w:sz="4" w:space="0" w:color="auto"/>
            </w:tcBorders>
          </w:tcPr>
          <w:p w14:paraId="208365C4" w14:textId="177D4C05" w:rsidR="007736B3" w:rsidRPr="00EB6F68" w:rsidRDefault="007736B3"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 xml:space="preserve">Firms that prioritize market share growth </w:t>
            </w:r>
            <w:r w:rsidR="00BA79B4" w:rsidRPr="00EB6F68">
              <w:rPr>
                <w:rFonts w:ascii="Times New Roman" w:hAnsi="Times New Roman" w:cs="Times New Roman"/>
                <w:bCs/>
                <w:sz w:val="18"/>
                <w:szCs w:val="18"/>
              </w:rPr>
              <w:t xml:space="preserve">and </w:t>
            </w:r>
            <w:r w:rsidRPr="00EB6F68">
              <w:rPr>
                <w:rFonts w:ascii="Times New Roman" w:hAnsi="Times New Roman" w:cs="Times New Roman"/>
                <w:bCs/>
                <w:sz w:val="18"/>
                <w:szCs w:val="18"/>
              </w:rPr>
              <w:t>development often focus on sustainability</w:t>
            </w:r>
          </w:p>
        </w:tc>
        <w:tc>
          <w:tcPr>
            <w:tcW w:w="1493" w:type="pct"/>
            <w:tcBorders>
              <w:top w:val="single" w:sz="4" w:space="0" w:color="auto"/>
            </w:tcBorders>
          </w:tcPr>
          <w:p w14:paraId="6BE3E1A6" w14:textId="4E8ED938" w:rsidR="007736B3" w:rsidRPr="00EB6F68" w:rsidRDefault="007736B3"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Firms that prioritize profitability and efficiency often focus on cost reduction and maximizing returns on investment</w:t>
            </w:r>
          </w:p>
        </w:tc>
        <w:tc>
          <w:tcPr>
            <w:tcW w:w="1229" w:type="pct"/>
            <w:tcBorders>
              <w:top w:val="single" w:sz="4" w:space="0" w:color="auto"/>
            </w:tcBorders>
          </w:tcPr>
          <w:p w14:paraId="20548828" w14:textId="77777777" w:rsidR="007736B3" w:rsidRPr="00EB6F68" w:rsidRDefault="007736B3" w:rsidP="005309F1">
            <w:pPr>
              <w:adjustRightInd w:val="0"/>
              <w:snapToGrid w:val="0"/>
              <w:spacing w:before="60"/>
              <w:rPr>
                <w:rFonts w:ascii="Times New Roman" w:hAnsi="Times New Roman" w:cs="Times New Roman"/>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AuthorYear="1"&gt;&lt;Author&gt;Barney&lt;/Author&gt;&lt;Year&gt;1991&lt;/Year&gt;&lt;RecNum&gt;9002&lt;/RecNum&gt;&lt;DisplayText&gt;Barney (1991)&lt;/DisplayText&gt;&lt;record&gt;&lt;rec-number&gt;9002&lt;/rec-number&gt;&lt;foreign-keys&gt;&lt;key app="EN" db-id="tt95vv9zf20xf0ewve7x0fsl990xeeasafzs" timestamp="1708914949"&gt;9002&lt;/key&gt;&lt;/foreign-keys&gt;&lt;ref-type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Management&lt;/full-title&gt;&lt;abbr-1&gt;J. Manag.&lt;/abbr-1&gt;&lt;/periodical&gt;&lt;pages&gt;99-120&lt;/pages&gt;&lt;volume&gt;17&lt;/volume&gt;&lt;number&gt;1&lt;/number&gt;&lt;dates&gt;&lt;year&gt;1991&lt;/year&gt;&lt;/dates&gt;&lt;urls&gt;&lt;/urls&gt;&lt;electronic-resource-num&gt;10.1177/014920639101700108&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Barney (1991)</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AuthorYear="1"&gt;&lt;Author&gt;Friedman&lt;/Author&gt;&lt;Year&gt;1970&lt;/Year&gt;&lt;RecNum&gt;9110&lt;/RecNum&gt;&lt;DisplayText&gt;Friedman (1970)&lt;/DisplayText&gt;&lt;record&gt;&lt;rec-number&gt;9110&lt;/rec-number&gt;&lt;foreign-keys&gt;&lt;key app="EN" db-id="tt95vv9zf20xf0ewve7x0fsl990xeeasafzs" timestamp="1710084053"&gt;9110&lt;/key&gt;&lt;/foreign-keys&gt;&lt;ref-type name="Book"&gt;6&lt;/ref-type&gt;&lt;contributors&gt;&lt;authors&gt;&lt;author&gt;Friedman, M.&lt;/author&gt;&lt;/authors&gt;&lt;/contributors&gt;&lt;titles&gt;&lt;title&gt;The Social Responsibility of Business is to Increase its Profits&lt;/title&gt;&lt;/titles&gt;&lt;dates&gt;&lt;year&gt;1970&lt;/year&gt;&lt;/dates&gt;&lt;publisher&gt;The New York Times&lt;/publisher&gt;&lt;urls&gt;&lt;/urls&gt;&lt;/record&gt;&lt;/Cite&gt;&lt;/EndNote&gt;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Friedman (1970)</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AuthorYear="1"&gt;&lt;Author&gt;Jensen&lt;/Author&gt;&lt;Year&gt;1986&lt;/Year&gt;&lt;RecNum&gt;9066&lt;/RecNum&gt;&lt;DisplayText&gt;Jensen (1986)&lt;/DisplayText&gt;&lt;record&gt;&lt;rec-number&gt;9066&lt;/rec-number&gt;&lt;foreign-keys&gt;&lt;key app="EN" db-id="tt95vv9zf20xf0ewve7x0fsl990xeeasafzs" timestamp="1710060842"&gt;9066&lt;/key&gt;&lt;/foreign-keys&gt;&lt;ref-type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Review&lt;/full-title&gt;&lt;abbr-1&gt;Am. Econ. Rev.&lt;/abbr-1&gt;&lt;/periodical&gt;&lt;pages&gt;323-329&lt;/pages&gt;&lt;volume&gt;76&lt;/volume&gt;&lt;number&gt;2&lt;/number&gt;&lt;dates&gt;&lt;year&gt;1986&lt;/year&gt;&lt;/dates&gt;&lt;urls&gt;&lt;related-urls&gt;&lt;url&gt;https://www.jstor.org/stable/1818789&lt;/url&gt;&lt;/related-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Jensen (1986)</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AuthorYear="1"&gt;&lt;Author&gt;Penrose&lt;/Author&gt;&lt;Year&gt;1959&lt;/Year&gt;&lt;RecNum&gt;9007&lt;/RecNum&gt;&lt;DisplayText&gt;Penrose (1959)&lt;/DisplayText&gt;&lt;record&gt;&lt;rec-number&gt;9007&lt;/rec-number&gt;&lt;foreign-keys&gt;&lt;key app="EN" db-id="tt95vv9zf20xf0ewve7x0fsl990xeeasafzs" timestamp="1708925667"&gt;9007&lt;/key&gt;&lt;/foreign-keys&gt;&lt;ref-type name="Book"&gt;6&lt;/ref-type&gt;&lt;contributors&gt;&lt;authors&gt;&lt;author&gt;Penrose, E.T.&lt;/author&gt;&lt;/authors&gt;&lt;/contributors&gt;&lt;titles&gt;&lt;title&gt;The Theory of the Growth of the Firm&lt;/title&gt;&lt;/titles&gt;&lt;dates&gt;&lt;year&gt;1959&lt;/year&gt;&lt;/dates&gt;&lt;pub-location&gt;New York&lt;/pub-location&gt;&lt;publisher&gt;John Wiley and Sons&lt;/publisher&gt;&lt;urls&gt;&lt;/urls&gt;&lt;/record&gt;&lt;/Cite&gt;&lt;/EndNote&gt;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Penrose (1959)</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AuthorYear="1"&gt;&lt;Author&gt;Barney&lt;/Author&gt;&lt;Year&gt;2019&lt;/Year&gt;&lt;RecNum&gt;9065&lt;/RecNum&gt;&lt;DisplayText&gt;Barney and Hesterly (2019)&lt;/DisplayText&gt;&lt;record&gt;&lt;rec-number&gt;9065&lt;/rec-number&gt;&lt;foreign-keys&gt;&lt;key app="EN" db-id="tt95vv9zf20xf0ewve7x0fsl990xeeasafzs" timestamp="1710060700"&gt;9065&lt;/key&gt;&lt;/foreign-keys&gt;&lt;ref-type name="Book"&gt;6&lt;/ref-type&gt;&lt;contributors&gt;&lt;authors&gt;&lt;author&gt;Barney, Jay B.&lt;/author&gt;&lt;author&gt;Hesterly, William S.&lt;/author&gt;&lt;/authors&gt;&lt;/contributors&gt;&lt;titles&gt;&lt;title&gt;Strategic Management and Competitive Advantage: Concepts and Cases&lt;/title&gt;&lt;/titles&gt;&lt;dates&gt;&lt;year&gt;2019&lt;/year&gt;&lt;/dates&gt;&lt;publisher&gt;Pearson&lt;/publisher&gt;&lt;urls&gt;&lt;/urls&gt;&lt;/record&gt;&lt;/Cite&gt;&lt;/EndNote&gt;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Barney and Hesterly (2019)</w:t>
            </w:r>
            <w:r w:rsidRPr="00EB6F68">
              <w:rPr>
                <w:rFonts w:ascii="Times New Roman" w:hAnsi="Times New Roman" w:cs="Times New Roman"/>
                <w:sz w:val="18"/>
                <w:szCs w:val="18"/>
              </w:rPr>
              <w:fldChar w:fldCharType="end"/>
            </w:r>
          </w:p>
        </w:tc>
      </w:tr>
      <w:tr w:rsidR="00A3505C" w:rsidRPr="00EB6F68" w14:paraId="79930D9F" w14:textId="77777777" w:rsidTr="00CF0F72">
        <w:tc>
          <w:tcPr>
            <w:tcW w:w="754" w:type="pct"/>
          </w:tcPr>
          <w:p w14:paraId="7A2D0ED8"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Strategic goal</w:t>
            </w:r>
          </w:p>
        </w:tc>
        <w:tc>
          <w:tcPr>
            <w:tcW w:w="1523" w:type="pct"/>
          </w:tcPr>
          <w:p w14:paraId="2D9F6922" w14:textId="44D9AEE3"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 xml:space="preserve">Expand sales, market share, </w:t>
            </w:r>
            <w:r w:rsidR="00BA79B4" w:rsidRPr="00EB6F68">
              <w:rPr>
                <w:rFonts w:ascii="Times New Roman" w:hAnsi="Times New Roman" w:cs="Times New Roman"/>
                <w:bCs/>
                <w:sz w:val="18"/>
                <w:szCs w:val="18"/>
              </w:rPr>
              <w:t>firm</w:t>
            </w:r>
            <w:r w:rsidR="00BA79B4" w:rsidRPr="00EB6F68">
              <w:rPr>
                <w:rFonts w:ascii="Times New Roman" w:eastAsiaTheme="minorEastAsia" w:hAnsi="Times New Roman" w:cs="Times New Roman"/>
                <w:bCs/>
                <w:sz w:val="18"/>
                <w:szCs w:val="18"/>
                <w:lang w:eastAsia="zh-CN"/>
              </w:rPr>
              <w:t>’</w:t>
            </w:r>
            <w:r w:rsidR="00BA79B4" w:rsidRPr="00EB6F68">
              <w:rPr>
                <w:rFonts w:ascii="Times New Roman" w:hAnsi="Times New Roman" w:cs="Times New Roman"/>
                <w:bCs/>
                <w:sz w:val="18"/>
                <w:szCs w:val="18"/>
              </w:rPr>
              <w:t xml:space="preserve">s </w:t>
            </w:r>
            <w:r w:rsidRPr="00EB6F68">
              <w:rPr>
                <w:rFonts w:ascii="Times New Roman" w:hAnsi="Times New Roman" w:cs="Times New Roman"/>
                <w:bCs/>
                <w:sz w:val="18"/>
                <w:szCs w:val="18"/>
              </w:rPr>
              <w:t>scale</w:t>
            </w:r>
            <w:r w:rsidR="00BA79B4" w:rsidRPr="00EB6F68">
              <w:rPr>
                <w:rFonts w:ascii="Times New Roman" w:hAnsi="Times New Roman" w:cs="Times New Roman"/>
                <w:bCs/>
                <w:sz w:val="18"/>
                <w:szCs w:val="18"/>
              </w:rPr>
              <w:t>,</w:t>
            </w:r>
            <w:r w:rsidRPr="00EB6F68">
              <w:rPr>
                <w:rFonts w:ascii="Times New Roman" w:hAnsi="Times New Roman" w:cs="Times New Roman"/>
                <w:bCs/>
                <w:sz w:val="18"/>
                <w:szCs w:val="18"/>
              </w:rPr>
              <w:t xml:space="preserve"> typically at the expense of profit in the short term</w:t>
            </w:r>
          </w:p>
        </w:tc>
        <w:tc>
          <w:tcPr>
            <w:tcW w:w="1493" w:type="pct"/>
          </w:tcPr>
          <w:p w14:paraId="57911025"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Build firm-specific resources and capabilities to generate profit</w:t>
            </w:r>
          </w:p>
        </w:tc>
        <w:tc>
          <w:tcPr>
            <w:tcW w:w="1229" w:type="pct"/>
          </w:tcPr>
          <w:p w14:paraId="732550A0"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fldChar w:fldCharType="begin"/>
            </w:r>
            <w:r w:rsidRPr="00EB6F68">
              <w:rPr>
                <w:rFonts w:ascii="Times New Roman" w:hAnsi="Times New Roman" w:cs="Times New Roman"/>
                <w:bCs/>
                <w:sz w:val="18"/>
                <w:szCs w:val="18"/>
              </w:rPr>
              <w:instrText xml:space="preserve"> ADDIN EN.CITE &lt;EndNote&gt;&lt;Cite AuthorYear="1"&gt;&lt;Author&gt;Zhou&lt;/Author&gt;&lt;Year&gt;2020&lt;/Year&gt;&lt;RecNum&gt;8976&lt;/RecNum&gt;&lt;DisplayText&gt;Zhou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EB6F68">
              <w:rPr>
                <w:rFonts w:ascii="Times New Roman" w:hAnsi="Times New Roman" w:cs="Times New Roman"/>
                <w:bCs/>
                <w:sz w:val="18"/>
                <w:szCs w:val="18"/>
              </w:rPr>
              <w:fldChar w:fldCharType="separate"/>
            </w:r>
            <w:r w:rsidRPr="00EB6F68">
              <w:rPr>
                <w:rFonts w:ascii="Times New Roman" w:hAnsi="Times New Roman" w:cs="Times New Roman"/>
                <w:bCs/>
                <w:noProof/>
                <w:sz w:val="18"/>
                <w:szCs w:val="18"/>
              </w:rPr>
              <w:t>Zhou and Park (2020)</w:t>
            </w:r>
            <w:r w:rsidRPr="00EB6F68">
              <w:rPr>
                <w:rFonts w:ascii="Times New Roman" w:hAnsi="Times New Roman" w:cs="Times New Roman"/>
                <w:bCs/>
                <w:sz w:val="18"/>
                <w:szCs w:val="18"/>
              </w:rPr>
              <w:fldChar w:fldCharType="end"/>
            </w:r>
          </w:p>
        </w:tc>
      </w:tr>
      <w:tr w:rsidR="00A3505C" w:rsidRPr="00EB6F68" w14:paraId="3AAADC3A" w14:textId="77777777" w:rsidTr="00CF0F72">
        <w:tc>
          <w:tcPr>
            <w:tcW w:w="754" w:type="pct"/>
          </w:tcPr>
          <w:p w14:paraId="197E8493" w14:textId="4EE8C99A" w:rsidR="007736B3" w:rsidRPr="00EB6F68" w:rsidRDefault="007736B3" w:rsidP="005309F1">
            <w:pPr>
              <w:adjustRightInd w:val="0"/>
              <w:snapToGrid w:val="0"/>
              <w:spacing w:before="60"/>
              <w:rPr>
                <w:rFonts w:ascii="Times New Roman" w:hAnsi="Times New Roman" w:cs="Times New Roman"/>
                <w:bCs/>
                <w:color w:val="FF0000"/>
                <w:sz w:val="18"/>
                <w:szCs w:val="18"/>
              </w:rPr>
            </w:pPr>
            <w:r w:rsidRPr="00EB6F68">
              <w:rPr>
                <w:rFonts w:ascii="Times New Roman" w:hAnsi="Times New Roman" w:cs="Times New Roman"/>
                <w:bCs/>
                <w:sz w:val="18"/>
                <w:szCs w:val="18"/>
              </w:rPr>
              <w:t>Competitive</w:t>
            </w:r>
            <w:r w:rsidR="009C2291" w:rsidRPr="00EB6F68">
              <w:rPr>
                <w:rFonts w:ascii="Times New Roman" w:hAnsi="Times New Roman" w:cs="Times New Roman"/>
                <w:bCs/>
                <w:sz w:val="18"/>
                <w:szCs w:val="18"/>
              </w:rPr>
              <w:t xml:space="preserve"> </w:t>
            </w:r>
            <w:r w:rsidRPr="00EB6F68">
              <w:rPr>
                <w:rFonts w:ascii="Times New Roman" w:hAnsi="Times New Roman" w:cs="Times New Roman"/>
                <w:bCs/>
                <w:sz w:val="18"/>
                <w:szCs w:val="18"/>
              </w:rPr>
              <w:t>advantages</w:t>
            </w:r>
          </w:p>
        </w:tc>
        <w:tc>
          <w:tcPr>
            <w:tcW w:w="1523" w:type="pct"/>
          </w:tcPr>
          <w:p w14:paraId="25B0BFF7" w14:textId="48806A0C" w:rsidR="007736B3" w:rsidRPr="00A4775F" w:rsidRDefault="005E38FF" w:rsidP="005309F1">
            <w:pPr>
              <w:adjustRightInd w:val="0"/>
              <w:snapToGrid w:val="0"/>
              <w:spacing w:before="60"/>
              <w:rPr>
                <w:rFonts w:ascii="Times New Roman" w:eastAsiaTheme="minorEastAsia" w:hAnsi="Times New Roman" w:cs="Times New Roman"/>
                <w:bCs/>
                <w:color w:val="FF0000"/>
                <w:sz w:val="18"/>
                <w:szCs w:val="18"/>
                <w:lang w:eastAsia="zh-CN"/>
              </w:rPr>
            </w:pPr>
            <w:r w:rsidRPr="00EB6F68">
              <w:rPr>
                <w:rFonts w:ascii="Times New Roman" w:hAnsi="Times New Roman" w:cs="Times New Roman"/>
                <w:bCs/>
                <w:color w:val="FF0000"/>
                <w:sz w:val="18"/>
                <w:szCs w:val="18"/>
              </w:rPr>
              <w:t>Market expansion and scaling; opportunity seeking supported by redeployable capabilities</w:t>
            </w:r>
            <w:r w:rsidR="00A4775F">
              <w:rPr>
                <w:rFonts w:ascii="Times New Roman" w:eastAsiaTheme="minorEastAsia" w:hAnsi="Times New Roman" w:cs="Times New Roman" w:hint="eastAsia"/>
                <w:bCs/>
                <w:color w:val="FF0000"/>
                <w:sz w:val="18"/>
                <w:szCs w:val="18"/>
                <w:lang w:eastAsia="zh-CN"/>
              </w:rPr>
              <w:t xml:space="preserve">, </w:t>
            </w:r>
            <w:r w:rsidRPr="00EB6F68">
              <w:rPr>
                <w:rFonts w:ascii="Times New Roman" w:hAnsi="Times New Roman" w:cs="Times New Roman"/>
                <w:bCs/>
                <w:color w:val="FF0000"/>
                <w:sz w:val="18"/>
                <w:szCs w:val="18"/>
              </w:rPr>
              <w:t>which may include innovation</w:t>
            </w:r>
            <w:r w:rsidR="0037737B" w:rsidRPr="00EB6F68">
              <w:rPr>
                <w:rFonts w:ascii="Times New Roman" w:eastAsiaTheme="minorEastAsia" w:hAnsi="Times New Roman" w:cs="Times New Roman"/>
                <w:bCs/>
                <w:color w:val="FF0000"/>
                <w:sz w:val="18"/>
                <w:szCs w:val="18"/>
                <w:lang w:eastAsia="zh-CN"/>
              </w:rPr>
              <w:t xml:space="preserve"> when it aligns with growth objectives</w:t>
            </w:r>
          </w:p>
        </w:tc>
        <w:tc>
          <w:tcPr>
            <w:tcW w:w="1493" w:type="pct"/>
          </w:tcPr>
          <w:p w14:paraId="08C121ED" w14:textId="6D3C972C" w:rsidR="007736B3" w:rsidRPr="00A4775F" w:rsidRDefault="000D60C1" w:rsidP="005309F1">
            <w:pPr>
              <w:adjustRightInd w:val="0"/>
              <w:snapToGrid w:val="0"/>
              <w:spacing w:before="60"/>
              <w:rPr>
                <w:rFonts w:ascii="Times New Roman" w:eastAsiaTheme="minorEastAsia" w:hAnsi="Times New Roman" w:cs="Times New Roman"/>
                <w:bCs/>
                <w:color w:val="FF0000"/>
                <w:sz w:val="18"/>
                <w:szCs w:val="18"/>
                <w:lang w:eastAsia="zh-CN"/>
              </w:rPr>
            </w:pPr>
            <w:r w:rsidRPr="00EB6F68">
              <w:rPr>
                <w:rFonts w:ascii="Times New Roman" w:hAnsi="Times New Roman" w:cs="Times New Roman"/>
                <w:bCs/>
                <w:color w:val="FF0000"/>
                <w:sz w:val="18"/>
                <w:szCs w:val="18"/>
              </w:rPr>
              <w:t>Value appropriation via efficiency, disciplined investment, and positioning</w:t>
            </w:r>
            <w:r w:rsidR="00A4775F">
              <w:rPr>
                <w:rFonts w:ascii="Times New Roman" w:eastAsiaTheme="minorEastAsia" w:hAnsi="Times New Roman" w:cs="Times New Roman" w:hint="eastAsia"/>
                <w:bCs/>
                <w:color w:val="FF0000"/>
                <w:sz w:val="18"/>
                <w:szCs w:val="18"/>
                <w:lang w:eastAsia="zh-CN"/>
              </w:rPr>
              <w:t xml:space="preserve">, </w:t>
            </w:r>
            <w:r w:rsidRPr="00EB6F68">
              <w:rPr>
                <w:rFonts w:ascii="Times New Roman" w:hAnsi="Times New Roman" w:cs="Times New Roman"/>
                <w:bCs/>
                <w:color w:val="FF0000"/>
                <w:sz w:val="18"/>
                <w:szCs w:val="18"/>
              </w:rPr>
              <w:t>which may include innovation capability as a VRIN resource</w:t>
            </w:r>
          </w:p>
        </w:tc>
        <w:tc>
          <w:tcPr>
            <w:tcW w:w="1229" w:type="pct"/>
          </w:tcPr>
          <w:p w14:paraId="743F479A"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AuthorYear="1"&gt;&lt;Author&gt;Barney&lt;/Author&gt;&lt;Year&gt;1991&lt;/Year&gt;&lt;RecNum&gt;9002&lt;/RecNum&gt;&lt;DisplayText&gt;Barney (1991)&lt;/DisplayText&gt;&lt;record&gt;&lt;rec-number&gt;9002&lt;/rec-number&gt;&lt;foreign-keys&gt;&lt;key app="EN" db-id="tt95vv9zf20xf0ewve7x0fsl990xeeasafzs" timestamp="1708914949"&gt;9002&lt;/key&gt;&lt;/foreign-keys&gt;&lt;ref-type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Management&lt;/full-title&gt;&lt;abbr-1&gt;J. Manag.&lt;/abbr-1&gt;&lt;/periodical&gt;&lt;pages&gt;99-120&lt;/pages&gt;&lt;volume&gt;17&lt;/volume&gt;&lt;number&gt;1&lt;/number&gt;&lt;dates&gt;&lt;year&gt;1991&lt;/year&gt;&lt;/dates&gt;&lt;urls&gt;&lt;/urls&gt;&lt;electronic-resource-num&gt;10.1177/014920639101700108&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Barney (1991)</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AuthorYear="1"&gt;&lt;Author&gt;Porter&lt;/Author&gt;&lt;Year&gt;1980&lt;/Year&gt;&lt;RecNum&gt;9012&lt;/RecNum&gt;&lt;DisplayText&gt;Porter (1980)&lt;/DisplayText&gt;&lt;record&gt;&lt;rec-number&gt;9012&lt;/rec-number&gt;&lt;foreign-keys&gt;&lt;key app="EN" db-id="tt95vv9zf20xf0ewve7x0fsl990xeeasafzs" timestamp="1708949588"&gt;9012&lt;/key&gt;&lt;/foreign-keys&gt;&lt;ref-type name="Book"&gt;6&lt;/ref-type&gt;&lt;contributors&gt;&lt;authors&gt;&lt;author&gt;Porter, M.E.&lt;/author&gt;&lt;/authors&gt;&lt;/contributors&gt;&lt;titles&gt;&lt;title&gt;Competitive strategy&lt;/title&gt;&lt;/titles&gt;&lt;dates&gt;&lt;year&gt;1980&lt;/year&gt;&lt;/dates&gt;&lt;pub-location&gt;New York&lt;/pub-location&gt;&lt;publisher&gt;Free Press&lt;/publisher&gt;&lt;urls&gt;&lt;/urls&gt;&lt;/record&gt;&lt;/Cite&gt;&lt;/EndNote&gt;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Porter (1980)</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AuthorYear="1"&gt;&lt;Author&gt;Porter&lt;/Author&gt;&lt;Year&gt;1985&lt;/Year&gt;&lt;RecNum&gt;9111&lt;/RecNum&gt;&lt;DisplayText&gt;Porter (1985)&lt;/DisplayText&gt;&lt;record&gt;&lt;rec-number&gt;9111&lt;/rec-number&gt;&lt;foreign-keys&gt;&lt;key app="EN" db-id="tt95vv9zf20xf0ewve7x0fsl990xeeasafzs" timestamp="1710084324"&gt;9111&lt;/key&gt;&lt;/foreign-keys&gt;&lt;ref-type name="Book"&gt;6&lt;/ref-type&gt;&lt;contributors&gt;&lt;authors&gt;&lt;author&gt;Porter, M.E.&lt;/author&gt;&lt;/authors&gt;&lt;/contributors&gt;&lt;titles&gt;&lt;title&gt;The Competitive Advantage: Creating and Sustaining Superior Performance&lt;/title&gt;&lt;/titles&gt;&lt;dates&gt;&lt;year&gt;1985&lt;/year&gt;&lt;/dates&gt;&lt;pub-location&gt;New York&lt;/pub-location&gt;&lt;publisher&gt;Free Press&lt;/publisher&gt;&lt;urls&gt;&lt;/urls&gt;&lt;/record&gt;&lt;/Cite&gt;&lt;/EndNote&gt;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Porter (1985)</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AuthorYear="1"&gt;&lt;Author&gt;Zeng&lt;/Author&gt;&lt;Year&gt;2007&lt;/Year&gt;&lt;RecNum&gt;9033&lt;/RecNum&gt;&lt;DisplayText&gt;Zeng and Williamson (2007)&lt;/DisplayText&gt;&lt;record&gt;&lt;rec-number&gt;9033&lt;/rec-number&gt;&lt;foreign-keys&gt;&lt;key app="EN" db-id="tt95vv9zf20xf0ewve7x0fsl990xeeasafzs" timestamp="1709347935"&gt;9033&lt;/key&gt;&lt;/foreign-keys&gt;&lt;ref-type name="Book"&gt;6&lt;/ref-type&gt;&lt;contributors&gt;&lt;authors&gt;&lt;author&gt;Zeng, Ming&lt;/author&gt;&lt;author&gt;Williamson, Peter J.&lt;/author&gt;&lt;/authors&gt;&lt;/contributors&gt;&lt;titles&gt;&lt;title&gt;Dragons at Your Door: How Chinese Cost Innovation is Disrupting Global Competition&lt;/title&gt;&lt;/titles&gt;&lt;dates&gt;&lt;year&gt;2007&lt;/year&gt;&lt;/dates&gt;&lt;pub-location&gt;Boston&lt;/pub-location&gt;&lt;publisher&gt;Harvard Business Review Press&lt;/publisher&gt;&lt;urls&gt;&lt;/urls&gt;&lt;/record&gt;&lt;/Cite&gt;&lt;/EndNote&gt;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Zeng and Williamson (2007)</w:t>
            </w:r>
            <w:r w:rsidRPr="00EB6F68">
              <w:rPr>
                <w:rFonts w:ascii="Times New Roman" w:hAnsi="Times New Roman" w:cs="Times New Roman"/>
                <w:sz w:val="18"/>
                <w:szCs w:val="18"/>
              </w:rPr>
              <w:fldChar w:fldCharType="end"/>
            </w:r>
          </w:p>
        </w:tc>
      </w:tr>
      <w:tr w:rsidR="00A3505C" w:rsidRPr="00EB6F68" w14:paraId="73AF21B3" w14:textId="77777777" w:rsidTr="00CF0F72">
        <w:tc>
          <w:tcPr>
            <w:tcW w:w="754" w:type="pct"/>
          </w:tcPr>
          <w:p w14:paraId="47CF6B85"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Competitive disadvantages</w:t>
            </w:r>
          </w:p>
        </w:tc>
        <w:tc>
          <w:tcPr>
            <w:tcW w:w="1523" w:type="pct"/>
          </w:tcPr>
          <w:p w14:paraId="7B5CADF8" w14:textId="55DFE84A" w:rsidR="007736B3" w:rsidRPr="00EB6F68" w:rsidRDefault="007736B3"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Risk of lower short-term profitability</w:t>
            </w:r>
          </w:p>
        </w:tc>
        <w:tc>
          <w:tcPr>
            <w:tcW w:w="1493" w:type="pct"/>
          </w:tcPr>
          <w:p w14:paraId="2D8B0F70"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May overlook long-term opportunities for growth.</w:t>
            </w:r>
          </w:p>
        </w:tc>
        <w:tc>
          <w:tcPr>
            <w:tcW w:w="1229" w:type="pct"/>
          </w:tcPr>
          <w:p w14:paraId="4ADBF768" w14:textId="77777777" w:rsidR="007736B3" w:rsidRPr="00EB6F68" w:rsidRDefault="007736B3"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AuthorYear="1"&gt;&lt;Author&gt;Hart&lt;/Author&gt;&lt;Year&gt;1995&lt;/Year&gt;&lt;RecNum&gt;9112&lt;/RecNum&gt;&lt;DisplayText&gt;Hart (1995)&lt;/DisplayText&gt;&lt;record&gt;&lt;rec-number&gt;9112&lt;/rec-number&gt;&lt;foreign-keys&gt;&lt;key app="EN" db-id="tt95vv9zf20xf0ewve7x0fsl990xeeasafzs" timestamp="1710084513"&gt;9112&lt;/key&gt;&lt;/foreign-keys&gt;&lt;ref-type name="Journal Article"&gt;17&lt;/ref-type&gt;&lt;contributors&gt;&lt;authors&gt;&lt;author&gt;Hart, S.L.&lt;/author&gt;&lt;/authors&gt;&lt;/contributors&gt;&lt;titles&gt;&lt;title&gt;A natural-resource-based view of the firm&lt;/title&gt;&lt;secondary-title&gt;Academy of Management Review&lt;/secondary-title&gt;&lt;/titles&gt;&lt;periodical&gt;&lt;full-title&gt;Academy of Management Review&lt;/full-title&gt;&lt;abbr-1&gt;Acad. Manag. Rev.&lt;/abbr-1&gt;&lt;/periodical&gt;&lt;pages&gt;986-1014&lt;/pages&gt;&lt;volume&gt;20&lt;/volume&gt;&lt;number&gt;4&lt;/number&gt;&lt;dates&gt;&lt;year&gt;1995&lt;/year&gt;&lt;/dates&gt;&lt;urls&gt;&lt;/urls&gt;&lt;electronic-resource-num&gt;10.2307/258963&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Hart (1995)</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AuthorYear="1"&gt;&lt;Author&gt;Porter&lt;/Author&gt;&lt;Year&gt;1991&lt;/Year&gt;&lt;RecNum&gt;9113&lt;/RecNum&gt;&lt;DisplayText&gt;Porter (1991)&lt;/DisplayText&gt;&lt;record&gt;&lt;rec-number&gt;9113&lt;/rec-number&gt;&lt;foreign-keys&gt;&lt;key app="EN" db-id="tt95vv9zf20xf0ewve7x0fsl990xeeasafzs" timestamp="1710084887"&gt;9113&lt;/key&gt;&lt;/foreign-keys&gt;&lt;ref-type name="Journal Article"&gt;17&lt;/ref-type&gt;&lt;contributors&gt;&lt;authors&gt;&lt;author&gt;Porter, Michael E.&lt;/author&gt;&lt;/authors&gt;&lt;/contributors&gt;&lt;titles&gt;&lt;title&gt;Towards a dynamic theory of strategy&lt;/title&gt;&lt;secondary-title&gt;Strategic Management Journal&lt;/secondary-title&gt;&lt;/titles&gt;&lt;periodical&gt;&lt;full-title&gt;Strategic Management Journal&lt;/full-title&gt;&lt;abbr-1&gt;Strateg. Manag. J.&lt;/abbr-1&gt;&lt;/periodical&gt;&lt;pages&gt;95-117&lt;/pages&gt;&lt;volume&gt;12&lt;/volume&gt;&lt;number&gt;S2&lt;/number&gt;&lt;section&gt;95&lt;/section&gt;&lt;dates&gt;&lt;year&gt;1991&lt;/year&gt;&lt;/dates&gt;&lt;isbn&gt;01432095&amp;#xD;10970266&lt;/isbn&gt;&lt;urls&gt;&lt;/urls&gt;&lt;electronic-resource-num&gt;10.1002/smj.4250121008&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Porter (1991)</w:t>
            </w:r>
            <w:r w:rsidRPr="00EB6F68">
              <w:rPr>
                <w:rFonts w:ascii="Times New Roman" w:hAnsi="Times New Roman" w:cs="Times New Roman"/>
                <w:sz w:val="18"/>
                <w:szCs w:val="18"/>
              </w:rPr>
              <w:fldChar w:fldCharType="end"/>
            </w:r>
          </w:p>
        </w:tc>
      </w:tr>
      <w:tr w:rsidR="00A3505C" w:rsidRPr="00EB6F68" w14:paraId="4CA8649D" w14:textId="77777777" w:rsidTr="00CF0F72">
        <w:tc>
          <w:tcPr>
            <w:tcW w:w="754" w:type="pct"/>
          </w:tcPr>
          <w:p w14:paraId="20ACD6D3" w14:textId="7B900D10" w:rsidR="00EA302E" w:rsidRPr="00EB6F68" w:rsidRDefault="00EA302E" w:rsidP="005309F1">
            <w:pPr>
              <w:adjustRightInd w:val="0"/>
              <w:snapToGrid w:val="0"/>
              <w:spacing w:before="60"/>
              <w:rPr>
                <w:rFonts w:ascii="Times New Roman" w:hAnsi="Times New Roman" w:cs="Times New Roman"/>
                <w:bCs/>
                <w:sz w:val="18"/>
                <w:szCs w:val="18"/>
                <w:highlight w:val="yellow"/>
              </w:rPr>
            </w:pPr>
            <w:r w:rsidRPr="00EB6F68">
              <w:rPr>
                <w:rFonts w:ascii="Times New Roman" w:hAnsi="Times New Roman" w:cs="Times New Roman"/>
                <w:bCs/>
                <w:sz w:val="18"/>
                <w:szCs w:val="18"/>
              </w:rPr>
              <w:t>Efficiency</w:t>
            </w:r>
          </w:p>
        </w:tc>
        <w:tc>
          <w:tcPr>
            <w:tcW w:w="1523" w:type="pct"/>
          </w:tcPr>
          <w:p w14:paraId="21BA2DCD" w14:textId="4B233B43" w:rsidR="00EA302E" w:rsidRPr="00EB6F68" w:rsidRDefault="00EA302E" w:rsidP="005309F1">
            <w:pPr>
              <w:adjustRightInd w:val="0"/>
              <w:snapToGrid w:val="0"/>
              <w:spacing w:before="60"/>
              <w:rPr>
                <w:rFonts w:ascii="Times New Roman" w:eastAsiaTheme="minorEastAsia" w:hAnsi="Times New Roman" w:cs="Times New Roman"/>
                <w:bCs/>
                <w:sz w:val="18"/>
                <w:szCs w:val="18"/>
                <w:highlight w:val="yellow"/>
                <w:lang w:eastAsia="zh-CN"/>
              </w:rPr>
            </w:pPr>
            <w:r w:rsidRPr="00EB6F68">
              <w:rPr>
                <w:rFonts w:ascii="Times New Roman" w:hAnsi="Times New Roman" w:cs="Times New Roman"/>
                <w:bCs/>
                <w:sz w:val="18"/>
                <w:szCs w:val="18"/>
              </w:rPr>
              <w:t>Potential trade-off for growth opportunities</w:t>
            </w:r>
          </w:p>
        </w:tc>
        <w:tc>
          <w:tcPr>
            <w:tcW w:w="1493" w:type="pct"/>
          </w:tcPr>
          <w:p w14:paraId="7E7BE072" w14:textId="61ADD844" w:rsidR="00EA302E" w:rsidRPr="00EB6F68" w:rsidRDefault="00EA302E" w:rsidP="005309F1">
            <w:pPr>
              <w:adjustRightInd w:val="0"/>
              <w:snapToGrid w:val="0"/>
              <w:spacing w:before="60"/>
              <w:rPr>
                <w:rFonts w:ascii="Times New Roman" w:eastAsiaTheme="minorEastAsia" w:hAnsi="Times New Roman" w:cs="Times New Roman"/>
                <w:bCs/>
                <w:sz w:val="18"/>
                <w:szCs w:val="18"/>
                <w:highlight w:val="yellow"/>
                <w:lang w:eastAsia="zh-CN"/>
              </w:rPr>
            </w:pPr>
            <w:r w:rsidRPr="00EB6F68">
              <w:rPr>
                <w:rFonts w:ascii="Times New Roman" w:hAnsi="Times New Roman" w:cs="Times New Roman"/>
                <w:bCs/>
                <w:sz w:val="18"/>
                <w:szCs w:val="18"/>
              </w:rPr>
              <w:t>Prioritization of cost efficiency and lean operations</w:t>
            </w:r>
          </w:p>
        </w:tc>
        <w:tc>
          <w:tcPr>
            <w:tcW w:w="1229" w:type="pct"/>
          </w:tcPr>
          <w:p w14:paraId="715E607C" w14:textId="10DBB5B2"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AuthorYear="1"&gt;&lt;Author&gt;Kaplan&lt;/Author&gt;&lt;Year&gt;1992&lt;/Year&gt;&lt;RecNum&gt;9116&lt;/RecNum&gt;&lt;DisplayText&gt;Kaplan and Norton (1992)&lt;/DisplayText&gt;&lt;record&gt;&lt;rec-number&gt;9116&lt;/rec-number&gt;&lt;foreign-keys&gt;&lt;key app="EN" db-id="tt95vv9zf20xf0ewve7x0fsl990xeeasafzs" timestamp="1710085588"&gt;9116&lt;/key&gt;&lt;/foreign-keys&gt;&lt;ref-type name="Journal Article"&gt;17&lt;/ref-type&gt;&lt;contributors&gt;&lt;authors&gt;&lt;author&gt;Kaplan, R.S.&lt;/author&gt;&lt;author&gt;Norton, D.&lt;/author&gt;&lt;/authors&gt;&lt;/contributors&gt;&lt;titles&gt;&lt;title&gt;The balanced scorecard: Measures that drive performance&lt;/title&gt;&lt;secondary-title&gt;Harvard Business Review&lt;/secondary-title&gt;&lt;/titles&gt;&lt;periodical&gt;&lt;full-title&gt;Harvard Business Review&lt;/full-title&gt;&lt;abbr-1&gt;Harv. Bus. Rev.&lt;/abbr-1&gt;&lt;/periodical&gt;&lt;pages&gt;71-79&lt;/pages&gt;&lt;volume&gt;70&lt;/volume&gt;&lt;number&gt;1&lt;/number&gt;&lt;dates&gt;&lt;year&gt;1992&lt;/year&gt;&lt;/dates&gt;&lt;urls&gt;&lt;/urls&gt;&lt;/record&gt;&lt;/Cite&gt;&lt;/EndNote&gt;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Kaplan and Norton (1992)</w:t>
            </w:r>
            <w:r w:rsidRPr="00EB6F68">
              <w:rPr>
                <w:rFonts w:ascii="Times New Roman" w:hAnsi="Times New Roman" w:cs="Times New Roman"/>
                <w:sz w:val="18"/>
                <w:szCs w:val="18"/>
              </w:rPr>
              <w:fldChar w:fldCharType="end"/>
            </w:r>
            <w:r w:rsidRPr="00EB6F68" w:rsidDel="00186731">
              <w:rPr>
                <w:rFonts w:ascii="Times New Roman" w:hAnsi="Times New Roman" w:cs="Times New Roman"/>
                <w:sz w:val="18"/>
                <w:szCs w:val="18"/>
              </w:rPr>
              <w:t xml:space="preserve"> </w:t>
            </w:r>
          </w:p>
        </w:tc>
      </w:tr>
      <w:tr w:rsidR="00A3505C" w:rsidRPr="00EB6F68" w14:paraId="3AE13344" w14:textId="77777777" w:rsidTr="00CF0F72">
        <w:tc>
          <w:tcPr>
            <w:tcW w:w="754" w:type="pct"/>
          </w:tcPr>
          <w:p w14:paraId="7328C6B4" w14:textId="4E68C0BD"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Growth</w:t>
            </w:r>
          </w:p>
        </w:tc>
        <w:tc>
          <w:tcPr>
            <w:tcW w:w="1523" w:type="pct"/>
          </w:tcPr>
          <w:p w14:paraId="7E5BE844" w14:textId="3CBE0F1C"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Aggressive expansion and market share strategies</w:t>
            </w:r>
          </w:p>
        </w:tc>
        <w:tc>
          <w:tcPr>
            <w:tcW w:w="1493" w:type="pct"/>
          </w:tcPr>
          <w:p w14:paraId="26EA62BB" w14:textId="2C1F7E95"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Cautious growth with a focus on profitability</w:t>
            </w:r>
          </w:p>
        </w:tc>
        <w:tc>
          <w:tcPr>
            <w:tcW w:w="1229" w:type="pct"/>
          </w:tcPr>
          <w:p w14:paraId="08DA5450" w14:textId="12BB4D0F"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AuthorYear="1"&gt;&lt;Author&gt;Penrose&lt;/Author&gt;&lt;Year&gt;1959&lt;/Year&gt;&lt;RecNum&gt;9007&lt;/RecNum&gt;&lt;DisplayText&gt;Penrose (1959)&lt;/DisplayText&gt;&lt;record&gt;&lt;rec-number&gt;9007&lt;/rec-number&gt;&lt;foreign-keys&gt;&lt;key app="EN" db-id="tt95vv9zf20xf0ewve7x0fsl990xeeasafzs" timestamp="1708925667"&gt;9007&lt;/key&gt;&lt;/foreign-keys&gt;&lt;ref-type name="Book"&gt;6&lt;/ref-type&gt;&lt;contributors&gt;&lt;authors&gt;&lt;author&gt;Penrose, E.T.&lt;/author&gt;&lt;/authors&gt;&lt;/contributors&gt;&lt;titles&gt;&lt;title&gt;The Theory of the Growth of the Firm&lt;/title&gt;&lt;/titles&gt;&lt;dates&gt;&lt;year&gt;1959&lt;/year&gt;&lt;/dates&gt;&lt;pub-location&gt;New York&lt;/pub-location&gt;&lt;publisher&gt;John Wiley and Sons&lt;/publisher&gt;&lt;urls&gt;&lt;/urls&gt;&lt;/record&gt;&lt;/Cite&gt;&lt;/EndNote&gt;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Penrose (1959)</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AuthorYear="1"&gt;&lt;Author&gt;Lev&lt;/Author&gt;&lt;Year&gt;1993&lt;/Year&gt;&lt;RecNum&gt;9117&lt;/RecNum&gt;&lt;DisplayText&gt;Lev and Thiagarajan (1993)&lt;/DisplayText&gt;&lt;record&gt;&lt;rec-number&gt;9117&lt;/rec-number&gt;&lt;foreign-keys&gt;&lt;key app="EN" db-id="tt95vv9zf20xf0ewve7x0fsl990xeeasafzs" timestamp="1710085887"&gt;9117&lt;/key&gt;&lt;/foreign-keys&gt;&lt;ref-type name="Journal Article"&gt;17&lt;/ref-type&gt;&lt;contributors&gt;&lt;authors&gt;&lt;author&gt;Lev, Baruch&lt;/author&gt;&lt;author&gt;Thiagarajan, S. Ramu&lt;/author&gt;&lt;/authors&gt;&lt;/contributors&gt;&lt;titles&gt;&lt;title&gt;Fundamental information analysis&lt;/title&gt;&lt;secondary-title&gt;Journal of Accounting Research&lt;/secondary-title&gt;&lt;/titles&gt;&lt;periodical&gt;&lt;full-title&gt;Journal of Accounting Research&lt;/full-title&gt;&lt;abbr-1&gt;J. Account. Res.&lt;/abbr-1&gt;&lt;/periodical&gt;&lt;pages&gt;190-215&lt;/pages&gt;&lt;volume&gt;31&lt;/volume&gt;&lt;number&gt;2&lt;/number&gt;&lt;dates&gt;&lt;year&gt;1993&lt;/year&gt;&lt;/dates&gt;&lt;urls&gt;&lt;/urls&gt;&lt;electronic-resource-num&gt;10.2307/2491270&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Lev and Thiagarajan (1993)</w:t>
            </w:r>
            <w:r w:rsidRPr="00EB6F68">
              <w:rPr>
                <w:rFonts w:ascii="Times New Roman" w:hAnsi="Times New Roman" w:cs="Times New Roman"/>
                <w:sz w:val="18"/>
                <w:szCs w:val="18"/>
              </w:rPr>
              <w:fldChar w:fldCharType="end"/>
            </w:r>
          </w:p>
        </w:tc>
      </w:tr>
      <w:tr w:rsidR="00A3505C" w:rsidRPr="00EB6F68" w14:paraId="33707F81" w14:textId="77777777" w:rsidTr="00CF0F72">
        <w:tc>
          <w:tcPr>
            <w:tcW w:w="754" w:type="pct"/>
          </w:tcPr>
          <w:p w14:paraId="6C788600" w14:textId="181C4D24"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Marketing</w:t>
            </w:r>
          </w:p>
        </w:tc>
        <w:tc>
          <w:tcPr>
            <w:tcW w:w="1523" w:type="pct"/>
          </w:tcPr>
          <w:p w14:paraId="66B9A715" w14:textId="6A137B31"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Investment in brands, social license, and market development</w:t>
            </w:r>
          </w:p>
        </w:tc>
        <w:tc>
          <w:tcPr>
            <w:tcW w:w="1493" w:type="pct"/>
          </w:tcPr>
          <w:p w14:paraId="7B4BBED8" w14:textId="621AD6E5"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Targeted marketing for maximum return on investment</w:t>
            </w:r>
          </w:p>
        </w:tc>
        <w:tc>
          <w:tcPr>
            <w:tcW w:w="1229" w:type="pct"/>
          </w:tcPr>
          <w:p w14:paraId="23E56C17" w14:textId="7D01854F"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AuthorYear="1"&gt;&lt;Author&gt;Haveman&lt;/Author&gt;&lt;Year&gt;1993&lt;/Year&gt;&lt;RecNum&gt;9004&lt;/RecNum&gt;&lt;DisplayText&gt;Haveman (1993)&lt;/DisplayText&gt;&lt;record&gt;&lt;rec-number&gt;9004&lt;/rec-number&gt;&lt;foreign-keys&gt;&lt;key app="EN" db-id="tt95vv9zf20xf0ewve7x0fsl990xeeasafzs" timestamp="1708917285"&gt;9004&lt;/key&gt;&lt;/foreign-keys&gt;&lt;ref-type name="Journal Article"&gt;17&lt;/ref-type&gt;&lt;contributors&gt;&lt;authors&gt;&lt;author&gt;Haveman, H.A.&lt;/author&gt;&lt;/authors&gt;&lt;/contributors&gt;&lt;titles&gt;&lt;title&gt;Organizational size and change: Diversification in the savings and loan industry after deregulation&lt;/title&gt;&lt;secondary-title&gt;Administrative Science Quarterly&lt;/secondary-title&gt;&lt;/titles&gt;&lt;periodical&gt;&lt;full-title&gt;Administrative Science Quarterly&lt;/full-title&gt;&lt;abbr-1&gt;Admin. Sci. Q.&lt;/abbr-1&gt;&lt;/periodical&gt;&lt;pages&gt;20-50&lt;/pages&gt;&lt;volume&gt;38&lt;/volume&gt;&lt;number&gt;1&lt;/number&gt;&lt;dates&gt;&lt;year&gt;1993&lt;/year&gt;&lt;/dates&gt;&lt;urls&gt;&lt;/urls&gt;&lt;electronic-resource-num&gt;10.2307/2393253&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Haveman (1993)</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AuthorYear="1"&gt;&lt;Author&gt;Homburg&lt;/Author&gt;&lt;Year&gt;1999&lt;/Year&gt;&lt;RecNum&gt;9009&lt;/RecNum&gt;&lt;DisplayText&gt;Homburg&lt;style face="italic"&gt; et al.&lt;/style&gt; (1999)&lt;/DisplayText&gt;&lt;record&gt;&lt;rec-number&gt;9009&lt;/rec-number&gt;&lt;foreign-keys&gt;&lt;key app="EN" db-id="tt95vv9zf20xf0ewve7x0fsl990xeeasafzs" timestamp="1708926449"&gt;9009&lt;/key&gt;&lt;/foreign-keys&gt;&lt;ref-type name="Journal Article"&gt;17&lt;/ref-type&gt;&lt;contributors&gt;&lt;authors&gt;&lt;author&gt;Homburg, Christian&lt;/author&gt;&lt;author&gt;Workman, John P.Jr.&lt;/author&gt;&lt;author&gt;Krohmer, Harley&lt;/author&gt;&lt;/authors&gt;&lt;/contributors&gt;&lt;titles&gt;&lt;title&gt;Marketing’s influence within the firm&lt;/title&gt;&lt;secondary-title&gt;Journal of Marketing&lt;/secondary-title&gt;&lt;/titles&gt;&lt;periodical&gt;&lt;full-title&gt;Journal of Marketing&lt;/full-title&gt;&lt;/periodical&gt;&lt;pages&gt;1-17&lt;/pages&gt;&lt;volume&gt;63&lt;/volume&gt;&lt;number&gt;2&lt;/number&gt;&lt;dates&gt;&lt;year&gt;1999&lt;/year&gt;&lt;/dates&gt;&lt;urls&gt;&lt;/urls&gt;&lt;electronic-resource-num&gt;10.2307/1251942&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Homburg</w:t>
            </w:r>
            <w:r w:rsidRPr="00EB6F68">
              <w:rPr>
                <w:rFonts w:ascii="Times New Roman" w:hAnsi="Times New Roman" w:cs="Times New Roman"/>
                <w:i/>
                <w:noProof/>
                <w:sz w:val="18"/>
                <w:szCs w:val="18"/>
              </w:rPr>
              <w:t xml:space="preserve"> et al.</w:t>
            </w:r>
            <w:r w:rsidRPr="00EB6F68">
              <w:rPr>
                <w:rFonts w:ascii="Times New Roman" w:hAnsi="Times New Roman" w:cs="Times New Roman"/>
                <w:noProof/>
                <w:sz w:val="18"/>
                <w:szCs w:val="18"/>
              </w:rPr>
              <w:t xml:space="preserve"> (1999)</w:t>
            </w:r>
            <w:r w:rsidRPr="00EB6F68">
              <w:rPr>
                <w:rFonts w:ascii="Times New Roman" w:hAnsi="Times New Roman" w:cs="Times New Roman"/>
                <w:sz w:val="18"/>
                <w:szCs w:val="18"/>
              </w:rPr>
              <w:fldChar w:fldCharType="end"/>
            </w:r>
          </w:p>
        </w:tc>
      </w:tr>
      <w:tr w:rsidR="00A3505C" w:rsidRPr="00EB6F68" w14:paraId="047DBBE9" w14:textId="77777777" w:rsidTr="00CF0F72">
        <w:tc>
          <w:tcPr>
            <w:tcW w:w="754" w:type="pct"/>
            <w:tcBorders>
              <w:bottom w:val="nil"/>
            </w:tcBorders>
          </w:tcPr>
          <w:p w14:paraId="7DD846D6" w14:textId="20285F9A"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Capital intensity</w:t>
            </w:r>
          </w:p>
        </w:tc>
        <w:tc>
          <w:tcPr>
            <w:tcW w:w="1523" w:type="pct"/>
            <w:tcBorders>
              <w:bottom w:val="nil"/>
            </w:tcBorders>
          </w:tcPr>
          <w:p w14:paraId="6D226AD0" w14:textId="354B051B"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Significant capital investment in growth initiatives</w:t>
            </w:r>
          </w:p>
        </w:tc>
        <w:tc>
          <w:tcPr>
            <w:tcW w:w="1493" w:type="pct"/>
            <w:tcBorders>
              <w:bottom w:val="nil"/>
            </w:tcBorders>
          </w:tcPr>
          <w:p w14:paraId="5C689D21" w14:textId="66CDBC43"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Focus on capital efficiency and productivity</w:t>
            </w:r>
          </w:p>
        </w:tc>
        <w:tc>
          <w:tcPr>
            <w:tcW w:w="1229" w:type="pct"/>
            <w:tcBorders>
              <w:bottom w:val="nil"/>
            </w:tcBorders>
          </w:tcPr>
          <w:p w14:paraId="3460E6A9" w14:textId="38ADB995"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AuthorYear="1"&gt;&lt;Author&gt;Hall&lt;/Author&gt;&lt;Year&gt;2002&lt;/Year&gt;&lt;RecNum&gt;9118&lt;/RecNum&gt;&lt;DisplayText&gt;Hall (2002)&lt;/DisplayText&gt;&lt;record&gt;&lt;rec-number&gt;9118&lt;/rec-number&gt;&lt;foreign-keys&gt;&lt;key app="EN" db-id="tt95vv9zf20xf0ewve7x0fsl990xeeasafzs" timestamp="1710086460"&gt;9118&lt;/key&gt;&lt;/foreign-keys&gt;&lt;ref-type name="Journal Article"&gt;17&lt;/ref-type&gt;&lt;contributors&gt;&lt;authors&gt;&lt;author&gt;Hall, B.H.&lt;/author&gt;&lt;/authors&gt;&lt;/contributors&gt;&lt;titles&gt;&lt;title&gt;The financing of research and development&lt;/title&gt;&lt;secondary-title&gt;Oxford Review of Economic Policy&lt;/secondary-title&gt;&lt;/titles&gt;&lt;periodical&gt;&lt;full-title&gt;Oxford Review of Economic Policy&lt;/full-title&gt;&lt;/periodical&gt;&lt;pages&gt;35-51&lt;/pages&gt;&lt;volume&gt;18&lt;/volume&gt;&lt;number&gt;1&lt;/number&gt;&lt;dates&gt;&lt;year&gt;2002&lt;/year&gt;&lt;/dates&gt;&lt;urls&gt;&lt;related-urls&gt;&lt;url&gt;https://www.jstor.org/stable/23606869&lt;/url&gt;&lt;/related-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Hall (2002)</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AuthorYear="1"&gt;&lt;Author&gt;Modigliani&lt;/Author&gt;&lt;Year&gt;1958&lt;/Year&gt;&lt;RecNum&gt;9119&lt;/RecNum&gt;&lt;DisplayText&gt;Modigliani and Miller (1958)&lt;/DisplayText&gt;&lt;record&gt;&lt;rec-number&gt;9119&lt;/rec-number&gt;&lt;foreign-keys&gt;&lt;key app="EN" db-id="tt95vv9zf20xf0ewve7x0fsl990xeeasafzs" timestamp="1710086699"&gt;9119&lt;/key&gt;&lt;/foreign-keys&gt;&lt;ref-type name="Journal Article"&gt;17&lt;/ref-type&gt;&lt;contributors&gt;&lt;authors&gt;&lt;author&gt;Modigliani, Franco&lt;/author&gt;&lt;author&gt;Miller, Merton H.&lt;/author&gt;&lt;/authors&gt;&lt;/contributors&gt;&lt;titles&gt;&lt;title&gt;The cost of capital, corporation finance and the theory of investment&lt;/title&gt;&lt;secondary-title&gt;American Economic Review&lt;/secondary-title&gt;&lt;/titles&gt;&lt;periodical&gt;&lt;full-title&gt;American Economic Review&lt;/full-title&gt;&lt;abbr-1&gt;Am. Econ. Rev.&lt;/abbr-1&gt;&lt;/periodical&gt;&lt;pages&gt;261-297&lt;/pages&gt;&lt;volume&gt;48&lt;/volume&gt;&lt;number&gt;3&lt;/number&gt;&lt;dates&gt;&lt;year&gt;1958&lt;/year&gt;&lt;/dates&gt;&lt;urls&gt;&lt;related-urls&gt;&lt;url&gt;https://www.jstor.org/stable/1809766&lt;/url&gt;&lt;/related-urls&gt;&lt;/urls&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sz w:val="18"/>
                <w:szCs w:val="18"/>
              </w:rPr>
              <w:t>Modigliani and Miller (1958)</w:t>
            </w:r>
            <w:r w:rsidRPr="00EB6F68">
              <w:rPr>
                <w:rFonts w:ascii="Times New Roman" w:hAnsi="Times New Roman" w:cs="Times New Roman"/>
                <w:sz w:val="18"/>
                <w:szCs w:val="18"/>
              </w:rPr>
              <w:fldChar w:fldCharType="end"/>
            </w:r>
          </w:p>
        </w:tc>
      </w:tr>
      <w:tr w:rsidR="00EA302E" w:rsidRPr="00EB6F68" w14:paraId="65A59594" w14:textId="77777777" w:rsidTr="00CF0F72">
        <w:tc>
          <w:tcPr>
            <w:tcW w:w="754" w:type="pct"/>
            <w:tcBorders>
              <w:top w:val="nil"/>
              <w:bottom w:val="single" w:sz="4" w:space="0" w:color="auto"/>
            </w:tcBorders>
          </w:tcPr>
          <w:p w14:paraId="669E9D4E" w14:textId="74EE0071"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t>Resources characteristics</w:t>
            </w:r>
          </w:p>
        </w:tc>
        <w:tc>
          <w:tcPr>
            <w:tcW w:w="1523" w:type="pct"/>
            <w:tcBorders>
              <w:top w:val="nil"/>
              <w:bottom w:val="single" w:sz="4" w:space="0" w:color="auto"/>
            </w:tcBorders>
          </w:tcPr>
          <w:p w14:paraId="6E0593FF" w14:textId="6812879B"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More domination of versatile resources (resources with the potential to provide a broad range of services)</w:t>
            </w:r>
          </w:p>
        </w:tc>
        <w:tc>
          <w:tcPr>
            <w:tcW w:w="1493" w:type="pct"/>
            <w:tcBorders>
              <w:top w:val="nil"/>
              <w:bottom w:val="single" w:sz="4" w:space="0" w:color="auto"/>
            </w:tcBorders>
          </w:tcPr>
          <w:p w14:paraId="670B9598" w14:textId="619CF18A" w:rsidR="00EA302E" w:rsidRPr="00EB6F68" w:rsidRDefault="00EA302E" w:rsidP="005309F1">
            <w:pPr>
              <w:adjustRightInd w:val="0"/>
              <w:snapToGrid w:val="0"/>
              <w:spacing w:before="60"/>
              <w:rPr>
                <w:rFonts w:ascii="Times New Roman" w:eastAsiaTheme="minorEastAsia" w:hAnsi="Times New Roman" w:cs="Times New Roman"/>
                <w:bCs/>
                <w:sz w:val="18"/>
                <w:szCs w:val="18"/>
                <w:lang w:eastAsia="zh-CN"/>
              </w:rPr>
            </w:pPr>
            <w:r w:rsidRPr="00EB6F68">
              <w:rPr>
                <w:rFonts w:ascii="Times New Roman" w:hAnsi="Times New Roman" w:cs="Times New Roman"/>
                <w:bCs/>
                <w:sz w:val="18"/>
                <w:szCs w:val="18"/>
              </w:rPr>
              <w:t xml:space="preserve">Profit is driven by </w:t>
            </w:r>
            <w:r w:rsidR="005B58E2" w:rsidRPr="00EB6F68">
              <w:rPr>
                <w:rFonts w:ascii="Times New Roman" w:eastAsiaTheme="minorEastAsia" w:hAnsi="Times New Roman" w:cs="Times New Roman"/>
                <w:bCs/>
                <w:sz w:val="18"/>
                <w:szCs w:val="18"/>
                <w:lang w:eastAsia="zh-CN"/>
              </w:rPr>
              <w:t>VRIN</w:t>
            </w:r>
            <w:r w:rsidRPr="00EB6F68">
              <w:rPr>
                <w:rFonts w:ascii="Times New Roman" w:hAnsi="Times New Roman" w:cs="Times New Roman"/>
                <w:bCs/>
                <w:sz w:val="18"/>
                <w:szCs w:val="18"/>
              </w:rPr>
              <w:t xml:space="preserve"> resources</w:t>
            </w:r>
          </w:p>
        </w:tc>
        <w:tc>
          <w:tcPr>
            <w:tcW w:w="1229" w:type="pct"/>
            <w:tcBorders>
              <w:top w:val="nil"/>
              <w:bottom w:val="single" w:sz="4" w:space="0" w:color="auto"/>
            </w:tcBorders>
          </w:tcPr>
          <w:p w14:paraId="4276E114" w14:textId="71C7C27E" w:rsidR="00EA302E" w:rsidRPr="00EB6F68" w:rsidRDefault="00EA302E" w:rsidP="005309F1">
            <w:pPr>
              <w:adjustRightInd w:val="0"/>
              <w:snapToGrid w:val="0"/>
              <w:spacing w:before="60"/>
              <w:rPr>
                <w:rFonts w:ascii="Times New Roman" w:hAnsi="Times New Roman" w:cs="Times New Roman"/>
                <w:bCs/>
                <w:sz w:val="18"/>
                <w:szCs w:val="18"/>
              </w:rPr>
            </w:pPr>
            <w:r w:rsidRPr="00EB6F68">
              <w:rPr>
                <w:rFonts w:ascii="Times New Roman" w:hAnsi="Times New Roman" w:cs="Times New Roman"/>
                <w:bCs/>
                <w:sz w:val="18"/>
                <w:szCs w:val="18"/>
              </w:rPr>
              <w:fldChar w:fldCharType="begin"/>
            </w:r>
            <w:r w:rsidRPr="00EB6F68">
              <w:rPr>
                <w:rFonts w:ascii="Times New Roman" w:hAnsi="Times New Roman" w:cs="Times New Roman"/>
                <w:bCs/>
                <w:sz w:val="18"/>
                <w:szCs w:val="18"/>
              </w:rPr>
              <w:instrText xml:space="preserve"> ADDIN EN.CITE &lt;EndNote&gt;&lt;Cite AuthorYear="1"&gt;&lt;Author&gt;Zhou&lt;/Author&gt;&lt;Year&gt;2020&lt;/Year&gt;&lt;RecNum&gt;8976&lt;/RecNum&gt;&lt;DisplayText&gt;Zhou and Park (2020)&lt;/DisplayText&gt;&lt;record&gt;&lt;rec-number&gt;8976&lt;/rec-number&gt;&lt;foreign-keys&gt;&lt;key app="EN" db-id="tt95vv9zf20xf0ewve7x0fsl990xeeasafzs" timestamp="1708848648"&gt;8976&lt;/key&gt;&lt;/foreign-keys&gt;&lt;ref-type name="Journal Article"&gt;17&lt;/ref-type&gt;&lt;contributors&gt;&lt;authors&gt;&lt;author&gt;Zhou, Nan&lt;/author&gt;&lt;author&gt;Park, Seung H.&lt;/author&gt;&lt;/authors&gt;&lt;/contributors&gt;&lt;titles&gt;&lt;title&gt;Growth or profit? Strategic orientations and long‐term performance in China&lt;/title&gt;&lt;secondary-title&gt;Strategic Management Journal&lt;/secondary-title&gt;&lt;/titles&gt;&lt;periodical&gt;&lt;full-title&gt;Strategic Management Journal&lt;/full-title&gt;&lt;abbr-1&gt;Strateg. Manag. J.&lt;/abbr-1&gt;&lt;/periodical&gt;&lt;pages&gt;2050-2071&lt;/pages&gt;&lt;volume&gt;41&lt;/volume&gt;&lt;number&gt;11&lt;/number&gt;&lt;section&gt;2050&lt;/section&gt;&lt;dates&gt;&lt;year&gt;2020&lt;/year&gt;&lt;/dates&gt;&lt;isbn&gt;0143-2095&amp;#xD;1097-0266&lt;/isbn&gt;&lt;urls&gt;&lt;/urls&gt;&lt;electronic-resource-num&gt;10.1002/smj.3193&lt;/electronic-resource-num&gt;&lt;/record&gt;&lt;/Cite&gt;&lt;/EndNote&gt;</w:instrText>
            </w:r>
            <w:r w:rsidRPr="00EB6F68">
              <w:rPr>
                <w:rFonts w:ascii="Times New Roman" w:hAnsi="Times New Roman" w:cs="Times New Roman"/>
                <w:bCs/>
                <w:sz w:val="18"/>
                <w:szCs w:val="18"/>
              </w:rPr>
              <w:fldChar w:fldCharType="separate"/>
            </w:r>
            <w:r w:rsidRPr="00EB6F68">
              <w:rPr>
                <w:rFonts w:ascii="Times New Roman" w:hAnsi="Times New Roman" w:cs="Times New Roman"/>
                <w:bCs/>
                <w:noProof/>
                <w:sz w:val="18"/>
                <w:szCs w:val="18"/>
              </w:rPr>
              <w:t>Zhou and Park (2020)</w:t>
            </w:r>
            <w:r w:rsidRPr="00EB6F68">
              <w:rPr>
                <w:rFonts w:ascii="Times New Roman" w:hAnsi="Times New Roman" w:cs="Times New Roman"/>
                <w:bCs/>
                <w:sz w:val="18"/>
                <w:szCs w:val="18"/>
              </w:rPr>
              <w:fldChar w:fldCharType="end"/>
            </w:r>
            <w:r w:rsidRPr="00EB6F68">
              <w:rPr>
                <w:rFonts w:ascii="Times New Roman" w:hAnsi="Times New Roman" w:cs="Times New Roman"/>
                <w:bCs/>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AuthorYear="1"&gt;&lt;Author&gt;Nason&lt;/Author&gt;&lt;Year&gt;2015&lt;/Year&gt;&lt;RecNum&gt;14058&lt;/RecNum&gt;&lt;DisplayText&gt;Nason and Wiklund (2015)&lt;/DisplayText&gt;&lt;record&gt;&lt;rec-number&gt;14058&lt;/rec-number&gt;&lt;foreign-keys&gt;&lt;key app="EN" db-id="tt95vv9zf20xf0ewve7x0fsl990xeeasafzs" timestamp="1750133611"&gt;14058&lt;/key&gt;&lt;/foreign-keys&gt;&lt;ref-type name="Journal Article"&gt;17&lt;/ref-type&gt;&lt;contributors&gt;&lt;authors&gt;&lt;author&gt;Nason, Robert S.&lt;/author&gt;&lt;author&gt;Wiklund, Johan&lt;/author&gt;&lt;/authors&gt;&lt;/contributors&gt;&lt;titles&gt;&lt;title&gt;An assessment of resource-based theorizing on firm growth and suggestions for the future&lt;/title&gt;&lt;secondary-title&gt;Journal of Management&lt;/secondary-title&gt;&lt;/titles&gt;&lt;periodical&gt;&lt;full-title&gt;Journal of Management&lt;/full-title&gt;&lt;abbr-1&gt;J. Manag.&lt;/abbr-1&gt;&lt;/periodical&gt;&lt;pages&gt;32-60&lt;/pages&gt;&lt;volume&gt;44&lt;/volume&gt;&lt;number&gt;1&lt;/number&gt;&lt;section&gt;32&lt;/section&gt;&lt;dates&gt;&lt;year&gt;2015&lt;/year&gt;&lt;/dates&gt;&lt;isbn&gt;0149-2063&amp;#xD;1557-1211&lt;/isbn&gt;&lt;urls&gt;&lt;/urls&gt;&lt;electronic-resource-num&gt;10.1177/0149206315610635&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Nason and Wiklund (2015)</w:t>
            </w:r>
            <w:r w:rsidRPr="00EB6F68">
              <w:rPr>
                <w:rFonts w:ascii="Times New Roman" w:hAnsi="Times New Roman" w:cs="Times New Roman"/>
                <w:sz w:val="18"/>
                <w:szCs w:val="18"/>
              </w:rPr>
              <w:fldChar w:fldCharType="end"/>
            </w:r>
            <w:r w:rsidRPr="00EB6F68">
              <w:rPr>
                <w:rFonts w:ascii="Times New Roman" w:hAnsi="Times New Roman" w:cs="Times New Roman"/>
                <w:sz w:val="18"/>
                <w:szCs w:val="18"/>
              </w:rPr>
              <w:t xml:space="preserve">; </w:t>
            </w:r>
            <w:r w:rsidRPr="00EB6F68">
              <w:rPr>
                <w:rFonts w:ascii="Times New Roman" w:hAnsi="Times New Roman" w:cs="Times New Roman"/>
                <w:sz w:val="18"/>
                <w:szCs w:val="18"/>
              </w:rPr>
              <w:fldChar w:fldCharType="begin"/>
            </w:r>
            <w:r w:rsidRPr="00EB6F68">
              <w:rPr>
                <w:rFonts w:ascii="Times New Roman" w:hAnsi="Times New Roman" w:cs="Times New Roman"/>
                <w:sz w:val="18"/>
                <w:szCs w:val="18"/>
              </w:rPr>
              <w:instrText xml:space="preserve"> ADDIN EN.CITE &lt;EndNote&gt;&lt;Cite AuthorYear="1"&gt;&lt;Author&gt;Mitrega&lt;/Author&gt;&lt;Year&gt;2021&lt;/Year&gt;&lt;RecNum&gt;9039&lt;/RecNum&gt;&lt;DisplayText&gt;Mitrega&lt;style face="italic"&gt; et al.&lt;/style&gt; (2021)&lt;/DisplayText&gt;&lt;record&gt;&lt;rec-number&gt;9039&lt;/rec-number&gt;&lt;foreign-keys&gt;&lt;key app="EN" db-id="tt95vv9zf20xf0ewve7x0fsl990xeeasafzs" timestamp="1709394334"&gt;9039&lt;/key&gt;&lt;/foreign-keys&gt;&lt;ref-type name="Journal Article"&gt;17&lt;/ref-type&gt;&lt;contributors&gt;&lt;authors&gt;&lt;author&gt;Mitrega, Maciej&lt;/author&gt;&lt;author&gt;Siemieniako, Dariusz&lt;/author&gt;&lt;author&gt;Makkonen, Hannu&lt;/author&gt;&lt;author&gt;Kubacki, Krzysztof&lt;/author&gt;&lt;author&gt;Bresciani, Stefano&lt;/author&gt;&lt;/authors&gt;&lt;/contributors&gt;&lt;titles&gt;&lt;title&gt;Versatile capabilities for growth in the context of transforming countries: Evidence from Polish manufacturing companies&lt;/title&gt;&lt;secondary-title&gt;Journal of Business Research&lt;/secondary-title&gt;&lt;/titles&gt;&lt;periodical&gt;&lt;full-title&gt;Journal of Business Research&lt;/full-title&gt;&lt;abbr-1&gt;J. Bus. Res.&lt;/abbr-1&gt;&lt;/periodical&gt;&lt;pages&gt;156-170&lt;/pages&gt;&lt;volume&gt;134&lt;/volume&gt;&lt;section&gt;156&lt;/section&gt;&lt;dates&gt;&lt;year&gt;2021&lt;/year&gt;&lt;/dates&gt;&lt;isbn&gt;01482963&lt;/isbn&gt;&lt;urls&gt;&lt;/urls&gt;&lt;electronic-resource-num&gt;10.1016/j.jbusres.2021.05.038&lt;/electronic-resource-num&gt;&lt;/record&gt;&lt;/Cite&gt;&lt;/EndNote&gt;</w:instrText>
            </w:r>
            <w:r w:rsidRPr="00EB6F68">
              <w:rPr>
                <w:rFonts w:ascii="Times New Roman" w:hAnsi="Times New Roman" w:cs="Times New Roman"/>
                <w:sz w:val="18"/>
                <w:szCs w:val="18"/>
              </w:rPr>
              <w:fldChar w:fldCharType="separate"/>
            </w:r>
            <w:r w:rsidRPr="00EB6F68">
              <w:rPr>
                <w:rFonts w:ascii="Times New Roman" w:hAnsi="Times New Roman" w:cs="Times New Roman"/>
                <w:noProof/>
                <w:sz w:val="18"/>
                <w:szCs w:val="18"/>
              </w:rPr>
              <w:t>Mitrega</w:t>
            </w:r>
            <w:r w:rsidRPr="00EB6F68">
              <w:rPr>
                <w:rFonts w:ascii="Times New Roman" w:hAnsi="Times New Roman" w:cs="Times New Roman"/>
                <w:i/>
                <w:noProof/>
                <w:sz w:val="18"/>
                <w:szCs w:val="18"/>
              </w:rPr>
              <w:t xml:space="preserve"> et al.</w:t>
            </w:r>
            <w:r w:rsidRPr="00EB6F68">
              <w:rPr>
                <w:rFonts w:ascii="Times New Roman" w:hAnsi="Times New Roman" w:cs="Times New Roman"/>
                <w:noProof/>
                <w:sz w:val="18"/>
                <w:szCs w:val="18"/>
              </w:rPr>
              <w:t xml:space="preserve"> (2021)</w:t>
            </w:r>
            <w:r w:rsidRPr="00EB6F68">
              <w:rPr>
                <w:rFonts w:ascii="Times New Roman" w:hAnsi="Times New Roman" w:cs="Times New Roman"/>
                <w:sz w:val="18"/>
                <w:szCs w:val="18"/>
              </w:rPr>
              <w:fldChar w:fldCharType="end"/>
            </w:r>
          </w:p>
        </w:tc>
      </w:tr>
    </w:tbl>
    <w:p w14:paraId="73890B87" w14:textId="77777777" w:rsidR="00227680" w:rsidRPr="00A3505C" w:rsidRDefault="00227680">
      <w:pPr>
        <w:rPr>
          <w:rFonts w:ascii="Times New Roman" w:hAnsi="Times New Roman" w:cs="Times New Roman"/>
          <w:sz w:val="24"/>
          <w:szCs w:val="24"/>
        </w:rPr>
        <w:sectPr w:rsidR="00227680" w:rsidRPr="00A3505C" w:rsidSect="00885EFF">
          <w:pgSz w:w="11906" w:h="16838"/>
          <w:pgMar w:top="1440" w:right="1440" w:bottom="1440" w:left="1440" w:header="708" w:footer="708" w:gutter="0"/>
          <w:cols w:space="708"/>
          <w:docGrid w:linePitch="360"/>
        </w:sectPr>
      </w:pPr>
    </w:p>
    <w:p w14:paraId="24971044" w14:textId="74D4E15F" w:rsidR="00F615B7" w:rsidRPr="00A3505C" w:rsidRDefault="00440C53" w:rsidP="009C6FF3">
      <w:pPr>
        <w:pStyle w:val="EndNoteBibliography"/>
        <w:adjustRightInd w:val="0"/>
        <w:snapToGrid w:val="0"/>
        <w:spacing w:after="120" w:line="264" w:lineRule="auto"/>
        <w:jc w:val="center"/>
        <w:rPr>
          <w:rFonts w:ascii="Times New Roman" w:hAnsi="Times New Roman" w:cs="Times New Roman"/>
          <w:b/>
          <w:bCs/>
          <w:noProof w:val="0"/>
          <w:sz w:val="24"/>
          <w:szCs w:val="24"/>
        </w:rPr>
      </w:pPr>
      <w:r w:rsidRPr="00A3505C">
        <w:rPr>
          <w:rFonts w:ascii="Times New Roman" w:hAnsi="Times New Roman" w:cs="Times New Roman"/>
          <w:b/>
          <w:sz w:val="24"/>
          <w:szCs w:val="24"/>
        </w:rPr>
        <w:lastRenderedPageBreak/>
        <w:t>Table</w:t>
      </w:r>
      <w:r w:rsidR="00E46104" w:rsidRPr="00A3505C">
        <w:rPr>
          <w:rFonts w:ascii="Times New Roman" w:hAnsi="Times New Roman" w:cs="Times New Roman"/>
          <w:b/>
          <w:sz w:val="24"/>
          <w:szCs w:val="24"/>
        </w:rPr>
        <w:t xml:space="preserve"> </w:t>
      </w:r>
      <w:r w:rsidR="0066501E" w:rsidRPr="00A3505C">
        <w:rPr>
          <w:rFonts w:ascii="Times New Roman" w:hAnsi="Times New Roman" w:cs="Times New Roman"/>
          <w:b/>
          <w:sz w:val="24"/>
          <w:szCs w:val="24"/>
        </w:rPr>
        <w:t>2</w:t>
      </w:r>
      <w:r w:rsidR="00F615B7" w:rsidRPr="00A3505C">
        <w:rPr>
          <w:rFonts w:ascii="Times New Roman" w:hAnsi="Times New Roman" w:cs="Times New Roman"/>
          <w:b/>
          <w:sz w:val="24"/>
          <w:szCs w:val="24"/>
        </w:rPr>
        <w:t>. Sample selection and distribution</w:t>
      </w:r>
    </w:p>
    <w:tbl>
      <w:tblPr>
        <w:tblW w:w="5000" w:type="pct"/>
        <w:jc w:val="center"/>
        <w:tblBorders>
          <w:top w:val="single" w:sz="4" w:space="0" w:color="000000"/>
          <w:bottom w:val="single" w:sz="4" w:space="0" w:color="000000"/>
        </w:tblBorders>
        <w:tblLayout w:type="fixed"/>
        <w:tblLook w:val="04A0" w:firstRow="1" w:lastRow="0" w:firstColumn="1" w:lastColumn="0" w:noHBand="0" w:noVBand="1"/>
      </w:tblPr>
      <w:tblGrid>
        <w:gridCol w:w="612"/>
        <w:gridCol w:w="806"/>
        <w:gridCol w:w="990"/>
        <w:gridCol w:w="994"/>
        <w:gridCol w:w="1135"/>
        <w:gridCol w:w="850"/>
        <w:gridCol w:w="1135"/>
        <w:gridCol w:w="512"/>
        <w:gridCol w:w="522"/>
        <w:gridCol w:w="669"/>
        <w:gridCol w:w="1299"/>
      </w:tblGrid>
      <w:tr w:rsidR="00A3505C" w:rsidRPr="00A3505C" w14:paraId="1B3F31D4" w14:textId="77777777" w:rsidTr="00AF48D8">
        <w:trPr>
          <w:jc w:val="center"/>
        </w:trPr>
        <w:tc>
          <w:tcPr>
            <w:tcW w:w="5000" w:type="pct"/>
            <w:gridSpan w:val="11"/>
            <w:tcBorders>
              <w:top w:val="single" w:sz="6" w:space="0" w:color="auto"/>
              <w:bottom w:val="single" w:sz="6" w:space="0" w:color="auto"/>
            </w:tcBorders>
          </w:tcPr>
          <w:p w14:paraId="7EE4668D" w14:textId="77777777" w:rsidR="0029166F" w:rsidRPr="00A3505C" w:rsidRDefault="0029166F" w:rsidP="005F52C3">
            <w:pPr>
              <w:adjustRightInd w:val="0"/>
              <w:snapToGrid w:val="0"/>
              <w:spacing w:before="60" w:after="60" w:line="264" w:lineRule="auto"/>
              <w:jc w:val="both"/>
              <w:rPr>
                <w:rFonts w:ascii="Times New Roman" w:hAnsi="Times New Roman" w:cs="Times New Roman"/>
                <w:b/>
                <w:bCs/>
                <w:sz w:val="18"/>
                <w:szCs w:val="18"/>
              </w:rPr>
            </w:pPr>
            <w:r w:rsidRPr="00A3505C">
              <w:rPr>
                <w:rFonts w:ascii="Times New Roman" w:hAnsi="Times New Roman" w:cs="Times New Roman"/>
                <w:b/>
                <w:bCs/>
                <w:sz w:val="18"/>
                <w:szCs w:val="18"/>
              </w:rPr>
              <w:t>Panel A. Sample selection</w:t>
            </w:r>
          </w:p>
        </w:tc>
      </w:tr>
      <w:tr w:rsidR="00A3505C" w:rsidRPr="00A3505C" w14:paraId="164853A7" w14:textId="77777777" w:rsidTr="00AF48D8">
        <w:trPr>
          <w:jc w:val="center"/>
        </w:trPr>
        <w:tc>
          <w:tcPr>
            <w:tcW w:w="3693" w:type="pct"/>
            <w:gridSpan w:val="8"/>
            <w:tcBorders>
              <w:top w:val="single" w:sz="6" w:space="0" w:color="auto"/>
              <w:bottom w:val="nil"/>
            </w:tcBorders>
          </w:tcPr>
          <w:p w14:paraId="62674D22" w14:textId="017FF09C" w:rsidR="0029166F" w:rsidRPr="00A3505C" w:rsidRDefault="0029166F" w:rsidP="009C6FF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Total number of firm-year observations from 20</w:t>
            </w:r>
            <w:r w:rsidR="009B6EDD" w:rsidRPr="00A3505C">
              <w:rPr>
                <w:rFonts w:ascii="Times New Roman" w:hAnsi="Times New Roman" w:cs="Times New Roman"/>
                <w:sz w:val="18"/>
                <w:szCs w:val="18"/>
              </w:rPr>
              <w:t>09</w:t>
            </w:r>
            <w:r w:rsidRPr="00A3505C">
              <w:rPr>
                <w:rFonts w:ascii="Times New Roman" w:hAnsi="Times New Roman" w:cs="Times New Roman"/>
                <w:sz w:val="18"/>
                <w:szCs w:val="18"/>
              </w:rPr>
              <w:t>-</w:t>
            </w:r>
            <w:r w:rsidR="00276887" w:rsidRPr="00A3505C">
              <w:rPr>
                <w:rFonts w:ascii="Times New Roman" w:hAnsi="Times New Roman" w:cs="Times New Roman"/>
                <w:sz w:val="18"/>
                <w:szCs w:val="18"/>
              </w:rPr>
              <w:t>202</w:t>
            </w:r>
            <w:r w:rsidR="007229A8" w:rsidRPr="00A3505C">
              <w:rPr>
                <w:rFonts w:ascii="Times New Roman" w:hAnsi="Times New Roman" w:cs="Times New Roman"/>
                <w:sz w:val="18"/>
                <w:szCs w:val="18"/>
              </w:rPr>
              <w:t>2</w:t>
            </w:r>
          </w:p>
        </w:tc>
        <w:tc>
          <w:tcPr>
            <w:tcW w:w="1307" w:type="pct"/>
            <w:gridSpan w:val="3"/>
            <w:tcBorders>
              <w:top w:val="single" w:sz="6" w:space="0" w:color="auto"/>
              <w:bottom w:val="nil"/>
            </w:tcBorders>
          </w:tcPr>
          <w:p w14:paraId="3006F741" w14:textId="74836826" w:rsidR="0029166F" w:rsidRPr="00A3505C" w:rsidRDefault="00CF47E9" w:rsidP="004F6C28">
            <w:pPr>
              <w:adjustRightInd w:val="0"/>
              <w:snapToGrid w:val="0"/>
              <w:spacing w:after="0" w:line="264" w:lineRule="auto"/>
              <w:jc w:val="right"/>
              <w:rPr>
                <w:rFonts w:ascii="Times New Roman" w:hAnsi="Times New Roman" w:cs="Times New Roman"/>
                <w:sz w:val="18"/>
                <w:szCs w:val="18"/>
                <w:lang w:val="en-AU"/>
              </w:rPr>
            </w:pPr>
            <w:r w:rsidRPr="00A3505C">
              <w:rPr>
                <w:rFonts w:ascii="Times New Roman" w:hAnsi="Times New Roman" w:cs="Times New Roman"/>
                <w:sz w:val="18"/>
                <w:szCs w:val="18"/>
              </w:rPr>
              <w:t>44,169</w:t>
            </w:r>
          </w:p>
        </w:tc>
      </w:tr>
      <w:tr w:rsidR="00A3505C" w:rsidRPr="00A3505C" w14:paraId="60627B2F" w14:textId="77777777" w:rsidTr="00AF48D8">
        <w:trPr>
          <w:jc w:val="center"/>
        </w:trPr>
        <w:tc>
          <w:tcPr>
            <w:tcW w:w="3693" w:type="pct"/>
            <w:gridSpan w:val="8"/>
            <w:tcBorders>
              <w:top w:val="nil"/>
            </w:tcBorders>
          </w:tcPr>
          <w:p w14:paraId="6FBDFBBE" w14:textId="77777777" w:rsidR="0029166F" w:rsidRPr="00A3505C" w:rsidRDefault="0029166F" w:rsidP="009C6FF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Removal of observations with ST firms</w:t>
            </w:r>
          </w:p>
        </w:tc>
        <w:tc>
          <w:tcPr>
            <w:tcW w:w="1307" w:type="pct"/>
            <w:gridSpan w:val="3"/>
            <w:tcBorders>
              <w:top w:val="nil"/>
            </w:tcBorders>
          </w:tcPr>
          <w:p w14:paraId="666F8C33" w14:textId="118651E5" w:rsidR="0029166F" w:rsidRPr="00A3505C" w:rsidRDefault="0029166F" w:rsidP="009C6FF3">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w:t>
            </w:r>
            <w:r w:rsidR="00336B50" w:rsidRPr="00A3505C">
              <w:rPr>
                <w:rFonts w:ascii="Times New Roman" w:hAnsi="Times New Roman" w:cs="Times New Roman"/>
                <w:sz w:val="18"/>
                <w:szCs w:val="18"/>
              </w:rPr>
              <w:t>2,850</w:t>
            </w:r>
            <w:r w:rsidRPr="00A3505C">
              <w:rPr>
                <w:rFonts w:ascii="Times New Roman" w:hAnsi="Times New Roman" w:cs="Times New Roman"/>
                <w:sz w:val="18"/>
                <w:szCs w:val="18"/>
              </w:rPr>
              <w:t>)</w:t>
            </w:r>
          </w:p>
        </w:tc>
      </w:tr>
      <w:tr w:rsidR="00A3505C" w:rsidRPr="00A3505C" w14:paraId="16BDA840" w14:textId="77777777" w:rsidTr="00AF48D8">
        <w:trPr>
          <w:jc w:val="center"/>
        </w:trPr>
        <w:tc>
          <w:tcPr>
            <w:tcW w:w="3693" w:type="pct"/>
            <w:gridSpan w:val="8"/>
          </w:tcPr>
          <w:p w14:paraId="3D1CA12D" w14:textId="77777777" w:rsidR="0029166F" w:rsidRPr="00A3505C" w:rsidRDefault="0029166F" w:rsidP="009C6FF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Removal of observations with financial firms</w:t>
            </w:r>
          </w:p>
        </w:tc>
        <w:tc>
          <w:tcPr>
            <w:tcW w:w="1307" w:type="pct"/>
            <w:gridSpan w:val="3"/>
          </w:tcPr>
          <w:p w14:paraId="0E6012CB" w14:textId="48900C48" w:rsidR="0029166F" w:rsidRPr="00A3505C" w:rsidRDefault="0029166F" w:rsidP="009C6FF3">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w:t>
            </w:r>
            <w:r w:rsidR="001010BB" w:rsidRPr="00A3505C">
              <w:rPr>
                <w:rFonts w:ascii="Times New Roman" w:hAnsi="Times New Roman" w:cs="Times New Roman"/>
                <w:sz w:val="18"/>
                <w:szCs w:val="18"/>
              </w:rPr>
              <w:t>1,188</w:t>
            </w:r>
            <w:r w:rsidRPr="00A3505C">
              <w:rPr>
                <w:rFonts w:ascii="Times New Roman" w:hAnsi="Times New Roman" w:cs="Times New Roman"/>
                <w:sz w:val="18"/>
                <w:szCs w:val="18"/>
              </w:rPr>
              <w:t>)</w:t>
            </w:r>
          </w:p>
        </w:tc>
      </w:tr>
      <w:tr w:rsidR="00A3505C" w:rsidRPr="00A3505C" w14:paraId="6F30FF13" w14:textId="77777777" w:rsidTr="00AF48D8">
        <w:trPr>
          <w:jc w:val="center"/>
        </w:trPr>
        <w:tc>
          <w:tcPr>
            <w:tcW w:w="3693" w:type="pct"/>
            <w:gridSpan w:val="8"/>
          </w:tcPr>
          <w:p w14:paraId="04EC6310" w14:textId="77777777" w:rsidR="0029166F" w:rsidRPr="00A3505C" w:rsidRDefault="0029166F" w:rsidP="009C6FF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Removal of observations with missing relevant financial data</w:t>
            </w:r>
          </w:p>
        </w:tc>
        <w:tc>
          <w:tcPr>
            <w:tcW w:w="1307" w:type="pct"/>
            <w:gridSpan w:val="3"/>
          </w:tcPr>
          <w:p w14:paraId="7BA11F0C" w14:textId="474E595D" w:rsidR="0029166F" w:rsidRPr="00A3505C" w:rsidRDefault="0029166F" w:rsidP="009C6FF3">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w:t>
            </w:r>
            <w:r w:rsidR="001E7EF4" w:rsidRPr="00A3505C">
              <w:rPr>
                <w:rFonts w:ascii="Times New Roman" w:hAnsi="Times New Roman" w:cs="Times New Roman"/>
                <w:sz w:val="18"/>
                <w:szCs w:val="18"/>
              </w:rPr>
              <w:t>11,777</w:t>
            </w:r>
            <w:r w:rsidRPr="00A3505C">
              <w:rPr>
                <w:rFonts w:ascii="Times New Roman" w:hAnsi="Times New Roman" w:cs="Times New Roman"/>
                <w:sz w:val="18"/>
                <w:szCs w:val="18"/>
              </w:rPr>
              <w:t>)</w:t>
            </w:r>
          </w:p>
        </w:tc>
      </w:tr>
      <w:tr w:rsidR="00A3505C" w:rsidRPr="00A3505C" w14:paraId="218FB9C9" w14:textId="77777777" w:rsidTr="00AF48D8">
        <w:trPr>
          <w:jc w:val="center"/>
        </w:trPr>
        <w:tc>
          <w:tcPr>
            <w:tcW w:w="3693" w:type="pct"/>
            <w:gridSpan w:val="8"/>
          </w:tcPr>
          <w:p w14:paraId="2F98392D" w14:textId="04957228" w:rsidR="00A603AB" w:rsidRPr="00A3505C" w:rsidRDefault="00A603AB" w:rsidP="00A603AB">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 xml:space="preserve">Removal of observations with the missing value of </w:t>
            </w:r>
            <w:r w:rsidR="000939DD" w:rsidRPr="00A3505C">
              <w:rPr>
                <w:rFonts w:ascii="Times New Roman" w:hAnsi="Times New Roman" w:cs="Times New Roman"/>
                <w:sz w:val="18"/>
                <w:szCs w:val="18"/>
              </w:rPr>
              <w:t>green revenues</w:t>
            </w:r>
          </w:p>
        </w:tc>
        <w:tc>
          <w:tcPr>
            <w:tcW w:w="1307" w:type="pct"/>
            <w:gridSpan w:val="3"/>
          </w:tcPr>
          <w:p w14:paraId="7DD64E88" w14:textId="2BC28846" w:rsidR="00A603AB" w:rsidRPr="00A3505C" w:rsidRDefault="00A603AB" w:rsidP="00A603AB">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w:t>
            </w:r>
            <w:r w:rsidR="0001538C" w:rsidRPr="00A3505C">
              <w:rPr>
                <w:rFonts w:ascii="Times New Roman" w:hAnsi="Times New Roman" w:cs="Times New Roman"/>
                <w:sz w:val="18"/>
                <w:szCs w:val="18"/>
              </w:rPr>
              <w:t>1,625</w:t>
            </w:r>
            <w:r w:rsidRPr="00A3505C">
              <w:rPr>
                <w:rFonts w:ascii="Times New Roman" w:hAnsi="Times New Roman" w:cs="Times New Roman"/>
                <w:sz w:val="18"/>
                <w:szCs w:val="18"/>
              </w:rPr>
              <w:t>)</w:t>
            </w:r>
          </w:p>
        </w:tc>
      </w:tr>
      <w:tr w:rsidR="00A3505C" w:rsidRPr="00A3505C" w14:paraId="02AF6692" w14:textId="77777777" w:rsidTr="00AF48D8">
        <w:trPr>
          <w:jc w:val="center"/>
        </w:trPr>
        <w:tc>
          <w:tcPr>
            <w:tcW w:w="3693" w:type="pct"/>
            <w:gridSpan w:val="8"/>
            <w:tcBorders>
              <w:top w:val="nil"/>
              <w:bottom w:val="single" w:sz="4" w:space="0" w:color="auto"/>
            </w:tcBorders>
          </w:tcPr>
          <w:p w14:paraId="45B67583" w14:textId="537E181E" w:rsidR="00A603AB" w:rsidRPr="00A3505C" w:rsidRDefault="00A603AB" w:rsidP="00A603AB">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Removal of observations with the missing value of strategic orientations</w:t>
            </w:r>
          </w:p>
        </w:tc>
        <w:tc>
          <w:tcPr>
            <w:tcW w:w="1307" w:type="pct"/>
            <w:gridSpan w:val="3"/>
            <w:tcBorders>
              <w:top w:val="nil"/>
              <w:bottom w:val="single" w:sz="4" w:space="0" w:color="auto"/>
            </w:tcBorders>
          </w:tcPr>
          <w:p w14:paraId="03C6F4F1" w14:textId="019ACDF5" w:rsidR="00A603AB" w:rsidRPr="00A3505C" w:rsidRDefault="00A603AB" w:rsidP="00A603AB">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w:t>
            </w:r>
            <w:r w:rsidR="00581615" w:rsidRPr="00A3505C">
              <w:rPr>
                <w:rFonts w:ascii="Times New Roman" w:hAnsi="Times New Roman" w:cs="Times New Roman"/>
                <w:sz w:val="18"/>
                <w:szCs w:val="18"/>
              </w:rPr>
              <w:t>1,660</w:t>
            </w:r>
            <w:r w:rsidRPr="00A3505C">
              <w:rPr>
                <w:rFonts w:ascii="Times New Roman" w:hAnsi="Times New Roman" w:cs="Times New Roman"/>
                <w:sz w:val="18"/>
                <w:szCs w:val="18"/>
              </w:rPr>
              <w:t>)</w:t>
            </w:r>
          </w:p>
        </w:tc>
      </w:tr>
      <w:tr w:rsidR="00A3505C" w:rsidRPr="00A3505C" w14:paraId="43449C9B" w14:textId="77777777" w:rsidTr="00AF48D8">
        <w:trPr>
          <w:jc w:val="center"/>
        </w:trPr>
        <w:tc>
          <w:tcPr>
            <w:tcW w:w="3693" w:type="pct"/>
            <w:gridSpan w:val="8"/>
            <w:tcBorders>
              <w:top w:val="single" w:sz="4" w:space="0" w:color="auto"/>
              <w:bottom w:val="nil"/>
            </w:tcBorders>
          </w:tcPr>
          <w:p w14:paraId="1DFE982D" w14:textId="77777777" w:rsidR="00A603AB" w:rsidRPr="00A3505C" w:rsidRDefault="00A603AB" w:rsidP="00A603AB">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Final firm-year observations</w:t>
            </w:r>
          </w:p>
        </w:tc>
        <w:tc>
          <w:tcPr>
            <w:tcW w:w="1307" w:type="pct"/>
            <w:gridSpan w:val="3"/>
            <w:tcBorders>
              <w:top w:val="single" w:sz="4" w:space="0" w:color="auto"/>
              <w:bottom w:val="nil"/>
            </w:tcBorders>
          </w:tcPr>
          <w:p w14:paraId="4B20C579" w14:textId="7ADA0FDF" w:rsidR="00A603AB" w:rsidRPr="00A3505C" w:rsidRDefault="000E6474" w:rsidP="00A603AB">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25,069</w:t>
            </w:r>
          </w:p>
        </w:tc>
      </w:tr>
      <w:tr w:rsidR="00A3505C" w:rsidRPr="00A3505C" w14:paraId="088D765F" w14:textId="77777777" w:rsidTr="00AF48D8">
        <w:trPr>
          <w:jc w:val="center"/>
        </w:trPr>
        <w:tc>
          <w:tcPr>
            <w:tcW w:w="3693" w:type="pct"/>
            <w:gridSpan w:val="8"/>
            <w:tcBorders>
              <w:top w:val="nil"/>
              <w:bottom w:val="nil"/>
            </w:tcBorders>
          </w:tcPr>
          <w:p w14:paraId="3A38C47E" w14:textId="77777777" w:rsidR="00A603AB" w:rsidRPr="00A3505C" w:rsidRDefault="00A603AB" w:rsidP="00A603AB">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Number of firms</w:t>
            </w:r>
          </w:p>
        </w:tc>
        <w:tc>
          <w:tcPr>
            <w:tcW w:w="1307" w:type="pct"/>
            <w:gridSpan w:val="3"/>
            <w:tcBorders>
              <w:top w:val="nil"/>
              <w:bottom w:val="nil"/>
            </w:tcBorders>
          </w:tcPr>
          <w:p w14:paraId="2ED6FBFA" w14:textId="12A44C8B" w:rsidR="00A603AB" w:rsidRPr="00A3505C" w:rsidRDefault="00EB6AB0" w:rsidP="00A603AB">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3,042</w:t>
            </w:r>
          </w:p>
        </w:tc>
      </w:tr>
      <w:tr w:rsidR="00A3505C" w:rsidRPr="00A3505C" w14:paraId="1800E8C3" w14:textId="77777777" w:rsidTr="00AF48D8">
        <w:trPr>
          <w:jc w:val="center"/>
        </w:trPr>
        <w:tc>
          <w:tcPr>
            <w:tcW w:w="3693" w:type="pct"/>
            <w:gridSpan w:val="8"/>
            <w:tcBorders>
              <w:top w:val="nil"/>
              <w:bottom w:val="single" w:sz="4" w:space="0" w:color="auto"/>
            </w:tcBorders>
          </w:tcPr>
          <w:p w14:paraId="3602D81B" w14:textId="008BFD1D" w:rsidR="00A603AB" w:rsidRPr="00A3505C" w:rsidRDefault="00A603AB" w:rsidP="00A603AB">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Number of industries (CSRC 2012 Industry Classification)</w:t>
            </w:r>
          </w:p>
        </w:tc>
        <w:tc>
          <w:tcPr>
            <w:tcW w:w="1307" w:type="pct"/>
            <w:gridSpan w:val="3"/>
            <w:tcBorders>
              <w:top w:val="nil"/>
              <w:bottom w:val="single" w:sz="4" w:space="0" w:color="auto"/>
            </w:tcBorders>
          </w:tcPr>
          <w:p w14:paraId="26294320" w14:textId="79E3371D" w:rsidR="00A603AB" w:rsidRPr="00A3505C" w:rsidRDefault="00A603AB" w:rsidP="00A603AB">
            <w:pPr>
              <w:adjustRightInd w:val="0"/>
              <w:snapToGrid w:val="0"/>
              <w:spacing w:after="0" w:line="264" w:lineRule="auto"/>
              <w:jc w:val="right"/>
              <w:rPr>
                <w:rFonts w:ascii="Times New Roman" w:hAnsi="Times New Roman" w:cs="Times New Roman"/>
                <w:sz w:val="18"/>
                <w:szCs w:val="18"/>
              </w:rPr>
            </w:pPr>
            <w:r w:rsidRPr="00A3505C">
              <w:rPr>
                <w:rFonts w:ascii="Times New Roman" w:hAnsi="Times New Roman" w:cs="Times New Roman"/>
                <w:sz w:val="18"/>
                <w:szCs w:val="18"/>
              </w:rPr>
              <w:t>7</w:t>
            </w:r>
            <w:r w:rsidR="00E32000" w:rsidRPr="00A3505C">
              <w:rPr>
                <w:rFonts w:ascii="Times New Roman" w:hAnsi="Times New Roman" w:cs="Times New Roman"/>
                <w:sz w:val="18"/>
                <w:szCs w:val="18"/>
              </w:rPr>
              <w:t>6</w:t>
            </w:r>
          </w:p>
        </w:tc>
      </w:tr>
      <w:tr w:rsidR="00A3505C" w:rsidRPr="00A3505C" w14:paraId="67A37544" w14:textId="77777777" w:rsidTr="002675A1">
        <w:trPr>
          <w:jc w:val="center"/>
        </w:trPr>
        <w:tc>
          <w:tcPr>
            <w:tcW w:w="3423" w:type="pct"/>
            <w:gridSpan w:val="7"/>
            <w:tcBorders>
              <w:top w:val="single" w:sz="4" w:space="0" w:color="auto"/>
              <w:bottom w:val="single" w:sz="4" w:space="0" w:color="auto"/>
            </w:tcBorders>
          </w:tcPr>
          <w:p w14:paraId="39B014F4" w14:textId="6793AB60" w:rsidR="00BC3C94" w:rsidRPr="00A3505C" w:rsidRDefault="00BC3C94" w:rsidP="005F52C3">
            <w:pPr>
              <w:adjustRightInd w:val="0"/>
              <w:snapToGrid w:val="0"/>
              <w:spacing w:before="60" w:after="60" w:line="264" w:lineRule="auto"/>
              <w:jc w:val="both"/>
              <w:rPr>
                <w:rFonts w:ascii="Times New Roman" w:hAnsi="Times New Roman" w:cs="Times New Roman"/>
                <w:b/>
                <w:bCs/>
                <w:sz w:val="18"/>
                <w:szCs w:val="18"/>
              </w:rPr>
            </w:pPr>
            <w:r w:rsidRPr="00A3505C">
              <w:rPr>
                <w:rFonts w:ascii="Times New Roman" w:hAnsi="Times New Roman" w:cs="Times New Roman"/>
                <w:b/>
                <w:bCs/>
                <w:sz w:val="18"/>
                <w:szCs w:val="18"/>
              </w:rPr>
              <w:t>Panel B. Sample distribution</w:t>
            </w:r>
          </w:p>
        </w:tc>
        <w:tc>
          <w:tcPr>
            <w:tcW w:w="543" w:type="pct"/>
            <w:gridSpan w:val="2"/>
            <w:tcBorders>
              <w:top w:val="single" w:sz="4" w:space="0" w:color="auto"/>
              <w:bottom w:val="single" w:sz="4" w:space="0" w:color="auto"/>
            </w:tcBorders>
          </w:tcPr>
          <w:p w14:paraId="33209D79" w14:textId="77777777" w:rsidR="00BC3C94" w:rsidRPr="00A3505C" w:rsidRDefault="00BC3C94" w:rsidP="00DE64DE">
            <w:pPr>
              <w:adjustRightInd w:val="0"/>
              <w:snapToGrid w:val="0"/>
              <w:spacing w:after="0" w:line="264" w:lineRule="auto"/>
              <w:jc w:val="both"/>
              <w:rPr>
                <w:rFonts w:ascii="Times New Roman" w:hAnsi="Times New Roman" w:cs="Times New Roman"/>
                <w:b/>
                <w:bCs/>
                <w:sz w:val="18"/>
                <w:szCs w:val="18"/>
              </w:rPr>
            </w:pPr>
          </w:p>
        </w:tc>
        <w:tc>
          <w:tcPr>
            <w:tcW w:w="1033" w:type="pct"/>
            <w:gridSpan w:val="2"/>
            <w:tcBorders>
              <w:top w:val="single" w:sz="4" w:space="0" w:color="auto"/>
              <w:bottom w:val="single" w:sz="4" w:space="0" w:color="auto"/>
            </w:tcBorders>
          </w:tcPr>
          <w:p w14:paraId="0545F3B7" w14:textId="77777777" w:rsidR="00BC3C94" w:rsidRPr="00A3505C" w:rsidRDefault="00BC3C94" w:rsidP="00DE64DE">
            <w:pPr>
              <w:adjustRightInd w:val="0"/>
              <w:snapToGrid w:val="0"/>
              <w:spacing w:after="0" w:line="264" w:lineRule="auto"/>
              <w:jc w:val="both"/>
              <w:rPr>
                <w:rFonts w:ascii="Times New Roman" w:hAnsi="Times New Roman" w:cs="Times New Roman"/>
                <w:b/>
                <w:bCs/>
                <w:sz w:val="18"/>
                <w:szCs w:val="18"/>
              </w:rPr>
            </w:pPr>
          </w:p>
        </w:tc>
      </w:tr>
      <w:tr w:rsidR="00065C81" w:rsidRPr="00A3505C" w14:paraId="44C19780" w14:textId="77777777" w:rsidTr="002675A1">
        <w:trPr>
          <w:jc w:val="center"/>
        </w:trPr>
        <w:tc>
          <w:tcPr>
            <w:tcW w:w="321" w:type="pct"/>
            <w:tcBorders>
              <w:top w:val="single" w:sz="4" w:space="0" w:color="auto"/>
              <w:left w:val="nil"/>
              <w:bottom w:val="nil"/>
              <w:right w:val="nil"/>
            </w:tcBorders>
          </w:tcPr>
          <w:p w14:paraId="04D69DFA" w14:textId="77777777" w:rsidR="00BC3C94" w:rsidRPr="00A3505C" w:rsidRDefault="00BC3C94" w:rsidP="00DE64DE">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w:t>
            </w:r>
          </w:p>
        </w:tc>
        <w:tc>
          <w:tcPr>
            <w:tcW w:w="423" w:type="pct"/>
            <w:tcBorders>
              <w:top w:val="single" w:sz="4" w:space="0" w:color="auto"/>
              <w:left w:val="nil"/>
              <w:bottom w:val="nil"/>
              <w:right w:val="nil"/>
            </w:tcBorders>
          </w:tcPr>
          <w:p w14:paraId="3877455B" w14:textId="77777777" w:rsidR="00BC3C94" w:rsidRPr="00A3505C" w:rsidRDefault="00BC3C94" w:rsidP="00DE64DE">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Number</w:t>
            </w:r>
          </w:p>
          <w:p w14:paraId="52AC7D1D" w14:textId="77777777" w:rsidR="00BC3C94" w:rsidRPr="00A3505C" w:rsidRDefault="00BC3C94" w:rsidP="00DE64DE">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w:t>
            </w:r>
            <w:r w:rsidRPr="00A3505C">
              <w:rPr>
                <w:rFonts w:ascii="Times New Roman" w:hAnsi="Times New Roman" w:cs="Times New Roman"/>
                <w:sz w:val="18"/>
                <w:szCs w:val="18"/>
              </w:rPr>
              <w:t>)</w:t>
            </w:r>
          </w:p>
        </w:tc>
        <w:tc>
          <w:tcPr>
            <w:tcW w:w="520" w:type="pct"/>
            <w:tcBorders>
              <w:top w:val="single" w:sz="4" w:space="0" w:color="auto"/>
              <w:left w:val="nil"/>
              <w:bottom w:val="nil"/>
              <w:right w:val="nil"/>
            </w:tcBorders>
          </w:tcPr>
          <w:p w14:paraId="3E489F32" w14:textId="77777777" w:rsidR="00BC3C94" w:rsidRPr="00A3505C" w:rsidRDefault="00BC3C94" w:rsidP="00DE64DE">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Frequency</w:t>
            </w:r>
          </w:p>
        </w:tc>
        <w:tc>
          <w:tcPr>
            <w:tcW w:w="1118" w:type="pct"/>
            <w:gridSpan w:val="2"/>
            <w:tcBorders>
              <w:top w:val="single" w:sz="4" w:space="0" w:color="auto"/>
              <w:left w:val="nil"/>
              <w:bottom w:val="nil"/>
              <w:right w:val="nil"/>
            </w:tcBorders>
          </w:tcPr>
          <w:p w14:paraId="03101CF5" w14:textId="019072D4"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Growth-oriented firm</w:t>
            </w:r>
            <w:r w:rsidR="00D22BD9" w:rsidRPr="00A3505C">
              <w:rPr>
                <w:rFonts w:ascii="Times New Roman" w:hAnsi="Times New Roman" w:cs="Times New Roman"/>
                <w:sz w:val="18"/>
                <w:szCs w:val="18"/>
              </w:rPr>
              <w:t>-year</w:t>
            </w:r>
            <w:r w:rsidRPr="00A3505C">
              <w:rPr>
                <w:rFonts w:ascii="Times New Roman" w:hAnsi="Times New Roman" w:cs="Times New Roman"/>
                <w:sz w:val="18"/>
                <w:szCs w:val="18"/>
              </w:rPr>
              <w:t>s</w:t>
            </w:r>
          </w:p>
          <w:p w14:paraId="1C3383AD" w14:textId="118AFACA"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00C24061" w:rsidRPr="00A3505C">
              <w:rPr>
                <w:rFonts w:ascii="Times New Roman" w:hAnsi="Times New Roman" w:cs="Times New Roman"/>
                <w:i/>
                <w:sz w:val="18"/>
                <w:szCs w:val="18"/>
              </w:rPr>
              <w:t>Growth</w:t>
            </w:r>
            <w:r w:rsidR="00C24061" w:rsidRPr="00A3505C">
              <w:rPr>
                <w:rFonts w:ascii="Times New Roman" w:hAnsi="Times New Roman" w:cs="Times New Roman"/>
                <w:i/>
                <w:iCs/>
                <w:sz w:val="18"/>
                <w:szCs w:val="18"/>
              </w:rPr>
              <w:t xml:space="preserve"> v. Profit and </w:t>
            </w:r>
            <w:r w:rsidR="00A2370C" w:rsidRPr="00A3505C">
              <w:rPr>
                <w:rFonts w:ascii="Times New Roman" w:hAnsi="Times New Roman" w:cs="Times New Roman"/>
                <w:i/>
                <w:iCs/>
                <w:sz w:val="18"/>
                <w:szCs w:val="18"/>
              </w:rPr>
              <w:t>Neither-Nor</w:t>
            </w:r>
            <w:r w:rsidR="00C24061" w:rsidRPr="00A3505C">
              <w:rPr>
                <w:rFonts w:ascii="Times New Roman" w:hAnsi="Times New Roman" w:cs="Times New Roman"/>
                <w:sz w:val="18"/>
                <w:szCs w:val="18"/>
              </w:rPr>
              <w:t xml:space="preserve"> </w:t>
            </w:r>
            <w:r w:rsidRPr="00A3505C">
              <w:rPr>
                <w:rFonts w:ascii="Times New Roman" w:hAnsi="Times New Roman" w:cs="Times New Roman"/>
                <w:sz w:val="18"/>
                <w:szCs w:val="18"/>
              </w:rPr>
              <w:t>= 1)</w:t>
            </w:r>
          </w:p>
        </w:tc>
        <w:tc>
          <w:tcPr>
            <w:tcW w:w="1042" w:type="pct"/>
            <w:gridSpan w:val="2"/>
            <w:tcBorders>
              <w:top w:val="single" w:sz="4" w:space="0" w:color="auto"/>
              <w:left w:val="nil"/>
              <w:bottom w:val="nil"/>
              <w:right w:val="nil"/>
            </w:tcBorders>
          </w:tcPr>
          <w:p w14:paraId="7F4F3ED1" w14:textId="5E2420AB"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Profit-oriented firm</w:t>
            </w:r>
            <w:r w:rsidR="00D22BD9" w:rsidRPr="00A3505C">
              <w:rPr>
                <w:rFonts w:ascii="Times New Roman" w:hAnsi="Times New Roman" w:cs="Times New Roman"/>
                <w:sz w:val="18"/>
                <w:szCs w:val="18"/>
              </w:rPr>
              <w:t>-year</w:t>
            </w:r>
            <w:r w:rsidRPr="00A3505C">
              <w:rPr>
                <w:rFonts w:ascii="Times New Roman" w:hAnsi="Times New Roman" w:cs="Times New Roman"/>
                <w:sz w:val="18"/>
                <w:szCs w:val="18"/>
              </w:rPr>
              <w:t>s</w:t>
            </w:r>
          </w:p>
          <w:p w14:paraId="1E29C6E6" w14:textId="40B36913"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00C24061" w:rsidRPr="00A3505C">
              <w:rPr>
                <w:rFonts w:ascii="Times New Roman" w:hAnsi="Times New Roman" w:cs="Times New Roman"/>
                <w:i/>
                <w:sz w:val="18"/>
                <w:szCs w:val="18"/>
              </w:rPr>
              <w:t>Profit</w:t>
            </w:r>
            <w:r w:rsidR="00C24061" w:rsidRPr="00A3505C">
              <w:rPr>
                <w:rFonts w:ascii="Times New Roman" w:hAnsi="Times New Roman" w:cs="Times New Roman"/>
                <w:i/>
                <w:iCs/>
                <w:sz w:val="18"/>
                <w:szCs w:val="18"/>
              </w:rPr>
              <w:t xml:space="preserve"> v. Growth and </w:t>
            </w:r>
            <w:r w:rsidR="00A2370C" w:rsidRPr="00A3505C">
              <w:rPr>
                <w:rFonts w:ascii="Times New Roman" w:hAnsi="Times New Roman" w:cs="Times New Roman"/>
                <w:i/>
                <w:iCs/>
                <w:sz w:val="18"/>
                <w:szCs w:val="18"/>
              </w:rPr>
              <w:t>Neither-Nor</w:t>
            </w:r>
            <w:r w:rsidR="00C24061" w:rsidRPr="00A3505C">
              <w:rPr>
                <w:rFonts w:ascii="Times New Roman" w:hAnsi="Times New Roman" w:cs="Times New Roman"/>
                <w:sz w:val="18"/>
                <w:szCs w:val="18"/>
              </w:rPr>
              <w:t xml:space="preserve"> </w:t>
            </w:r>
            <w:r w:rsidRPr="00A3505C">
              <w:rPr>
                <w:rFonts w:ascii="Times New Roman" w:hAnsi="Times New Roman" w:cs="Times New Roman"/>
                <w:sz w:val="18"/>
                <w:szCs w:val="18"/>
              </w:rPr>
              <w:t>= 1)</w:t>
            </w:r>
          </w:p>
        </w:tc>
        <w:tc>
          <w:tcPr>
            <w:tcW w:w="1577" w:type="pct"/>
            <w:gridSpan w:val="4"/>
            <w:tcBorders>
              <w:top w:val="single" w:sz="4" w:space="0" w:color="auto"/>
              <w:left w:val="nil"/>
              <w:bottom w:val="nil"/>
              <w:right w:val="nil"/>
            </w:tcBorders>
          </w:tcPr>
          <w:p w14:paraId="071CDF6E" w14:textId="77DCB0E1" w:rsidR="00752993" w:rsidRPr="00A3505C" w:rsidRDefault="00A2370C"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Neither-nor-oriented</w:t>
            </w:r>
            <w:r w:rsidR="003E7ACF" w:rsidRPr="00A3505C">
              <w:rPr>
                <w:rFonts w:ascii="Times New Roman" w:hAnsi="Times New Roman" w:cs="Times New Roman"/>
                <w:sz w:val="18"/>
                <w:szCs w:val="18"/>
              </w:rPr>
              <w:t xml:space="preserve"> firm</w:t>
            </w:r>
            <w:r w:rsidR="00D22BD9" w:rsidRPr="00A3505C">
              <w:rPr>
                <w:rFonts w:ascii="Times New Roman" w:hAnsi="Times New Roman" w:cs="Times New Roman"/>
                <w:sz w:val="18"/>
                <w:szCs w:val="18"/>
              </w:rPr>
              <w:t>-year</w:t>
            </w:r>
            <w:r w:rsidR="003E7ACF" w:rsidRPr="00A3505C">
              <w:rPr>
                <w:rFonts w:ascii="Times New Roman" w:hAnsi="Times New Roman" w:cs="Times New Roman"/>
                <w:sz w:val="18"/>
                <w:szCs w:val="18"/>
              </w:rPr>
              <w:t>s</w:t>
            </w:r>
          </w:p>
          <w:p w14:paraId="3B9E58CD" w14:textId="03F63140" w:rsidR="00BC3C94" w:rsidRPr="00A3505C" w:rsidRDefault="00752993"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00C24061" w:rsidRPr="00A3505C">
              <w:rPr>
                <w:rFonts w:ascii="Times New Roman" w:hAnsi="Times New Roman" w:cs="Times New Roman"/>
                <w:i/>
                <w:sz w:val="18"/>
                <w:szCs w:val="18"/>
              </w:rPr>
              <w:t>Growth</w:t>
            </w:r>
            <w:r w:rsidR="00C24061" w:rsidRPr="00A3505C">
              <w:rPr>
                <w:rFonts w:ascii="Times New Roman" w:hAnsi="Times New Roman" w:cs="Times New Roman"/>
                <w:i/>
                <w:iCs/>
                <w:sz w:val="18"/>
                <w:szCs w:val="18"/>
              </w:rPr>
              <w:t xml:space="preserve"> v. Profit and </w:t>
            </w:r>
            <w:r w:rsidR="00A2370C" w:rsidRPr="00A3505C">
              <w:rPr>
                <w:rFonts w:ascii="Times New Roman" w:hAnsi="Times New Roman" w:cs="Times New Roman"/>
                <w:i/>
                <w:iCs/>
                <w:sz w:val="18"/>
                <w:szCs w:val="18"/>
              </w:rPr>
              <w:t>Neither-Nor</w:t>
            </w:r>
            <w:r w:rsidR="00C24061" w:rsidRPr="00A3505C">
              <w:rPr>
                <w:rFonts w:ascii="Times New Roman" w:hAnsi="Times New Roman" w:cs="Times New Roman"/>
                <w:sz w:val="18"/>
                <w:szCs w:val="18"/>
              </w:rPr>
              <w:t xml:space="preserve"> </w:t>
            </w:r>
            <w:r w:rsidRPr="00A3505C">
              <w:rPr>
                <w:rFonts w:ascii="Times New Roman" w:hAnsi="Times New Roman" w:cs="Times New Roman"/>
                <w:sz w:val="18"/>
                <w:szCs w:val="18"/>
              </w:rPr>
              <w:t xml:space="preserve">= 0 &amp; </w:t>
            </w:r>
            <w:r w:rsidR="00C24061" w:rsidRPr="00A3505C">
              <w:rPr>
                <w:rFonts w:ascii="Times New Roman" w:hAnsi="Times New Roman" w:cs="Times New Roman"/>
                <w:i/>
                <w:sz w:val="18"/>
                <w:szCs w:val="18"/>
              </w:rPr>
              <w:t>Profit</w:t>
            </w:r>
            <w:r w:rsidR="00C24061" w:rsidRPr="00A3505C">
              <w:rPr>
                <w:rFonts w:ascii="Times New Roman" w:hAnsi="Times New Roman" w:cs="Times New Roman"/>
                <w:i/>
                <w:iCs/>
                <w:sz w:val="18"/>
                <w:szCs w:val="18"/>
              </w:rPr>
              <w:t xml:space="preserve"> v. Growth and </w:t>
            </w:r>
            <w:r w:rsidR="00A2370C" w:rsidRPr="00A3505C">
              <w:rPr>
                <w:rFonts w:ascii="Times New Roman" w:hAnsi="Times New Roman" w:cs="Times New Roman"/>
                <w:i/>
                <w:iCs/>
                <w:sz w:val="18"/>
                <w:szCs w:val="18"/>
              </w:rPr>
              <w:t>Neither-Nor</w:t>
            </w:r>
            <w:r w:rsidR="00C24061" w:rsidRPr="00A3505C">
              <w:rPr>
                <w:rFonts w:ascii="Times New Roman" w:hAnsi="Times New Roman" w:cs="Times New Roman"/>
                <w:sz w:val="18"/>
                <w:szCs w:val="18"/>
              </w:rPr>
              <w:t xml:space="preserve"> </w:t>
            </w:r>
            <w:r w:rsidRPr="00A3505C">
              <w:rPr>
                <w:rFonts w:ascii="Times New Roman" w:hAnsi="Times New Roman" w:cs="Times New Roman"/>
                <w:sz w:val="18"/>
                <w:szCs w:val="18"/>
              </w:rPr>
              <w:t>= 0)</w:t>
            </w:r>
          </w:p>
        </w:tc>
      </w:tr>
      <w:tr w:rsidR="00065C81" w:rsidRPr="00A3505C" w14:paraId="69223AE2" w14:textId="77777777" w:rsidTr="002675A1">
        <w:trPr>
          <w:jc w:val="center"/>
        </w:trPr>
        <w:tc>
          <w:tcPr>
            <w:tcW w:w="321" w:type="pct"/>
            <w:tcBorders>
              <w:top w:val="nil"/>
              <w:left w:val="nil"/>
              <w:bottom w:val="single" w:sz="4" w:space="0" w:color="auto"/>
              <w:right w:val="nil"/>
            </w:tcBorders>
          </w:tcPr>
          <w:p w14:paraId="51DDD9F9" w14:textId="77777777" w:rsidR="00BC3C94" w:rsidRPr="00A3505C" w:rsidRDefault="00BC3C94" w:rsidP="00DE64DE">
            <w:pPr>
              <w:adjustRightInd w:val="0"/>
              <w:snapToGrid w:val="0"/>
              <w:spacing w:after="0" w:line="264" w:lineRule="auto"/>
              <w:rPr>
                <w:rFonts w:ascii="Times New Roman" w:hAnsi="Times New Roman" w:cs="Times New Roman"/>
                <w:sz w:val="18"/>
                <w:szCs w:val="18"/>
              </w:rPr>
            </w:pPr>
          </w:p>
        </w:tc>
        <w:tc>
          <w:tcPr>
            <w:tcW w:w="423" w:type="pct"/>
            <w:tcBorders>
              <w:top w:val="nil"/>
              <w:left w:val="nil"/>
              <w:bottom w:val="single" w:sz="4" w:space="0" w:color="auto"/>
              <w:right w:val="nil"/>
            </w:tcBorders>
          </w:tcPr>
          <w:p w14:paraId="47000271" w14:textId="77777777" w:rsidR="00BC3C94" w:rsidRPr="00A3505C" w:rsidRDefault="00BC3C94" w:rsidP="00DE64DE">
            <w:pPr>
              <w:adjustRightInd w:val="0"/>
              <w:snapToGrid w:val="0"/>
              <w:spacing w:after="0" w:line="264" w:lineRule="auto"/>
              <w:jc w:val="center"/>
              <w:rPr>
                <w:rFonts w:ascii="Times New Roman" w:hAnsi="Times New Roman" w:cs="Times New Roman"/>
                <w:sz w:val="18"/>
                <w:szCs w:val="18"/>
              </w:rPr>
            </w:pPr>
          </w:p>
        </w:tc>
        <w:tc>
          <w:tcPr>
            <w:tcW w:w="520" w:type="pct"/>
            <w:tcBorders>
              <w:top w:val="nil"/>
              <w:left w:val="nil"/>
              <w:bottom w:val="single" w:sz="4" w:space="0" w:color="auto"/>
              <w:right w:val="nil"/>
            </w:tcBorders>
          </w:tcPr>
          <w:p w14:paraId="666A92D9" w14:textId="77777777" w:rsidR="00BC3C94" w:rsidRPr="00A3505C" w:rsidRDefault="00BC3C94" w:rsidP="00DE64DE">
            <w:pPr>
              <w:adjustRightInd w:val="0"/>
              <w:snapToGrid w:val="0"/>
              <w:spacing w:after="0" w:line="264" w:lineRule="auto"/>
              <w:jc w:val="center"/>
              <w:rPr>
                <w:rFonts w:ascii="Times New Roman" w:hAnsi="Times New Roman" w:cs="Times New Roman"/>
                <w:sz w:val="18"/>
                <w:szCs w:val="18"/>
              </w:rPr>
            </w:pPr>
          </w:p>
        </w:tc>
        <w:tc>
          <w:tcPr>
            <w:tcW w:w="522" w:type="pct"/>
            <w:tcBorders>
              <w:top w:val="nil"/>
              <w:left w:val="nil"/>
              <w:bottom w:val="single" w:sz="4" w:space="0" w:color="auto"/>
              <w:right w:val="nil"/>
            </w:tcBorders>
          </w:tcPr>
          <w:p w14:paraId="21907AF5"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Number</w:t>
            </w:r>
          </w:p>
          <w:p w14:paraId="3EC9C09A"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N_1</w:t>
            </w:r>
            <w:r w:rsidRPr="00A3505C">
              <w:rPr>
                <w:rFonts w:ascii="Times New Roman" w:hAnsi="Times New Roman" w:cs="Times New Roman"/>
                <w:sz w:val="18"/>
                <w:szCs w:val="18"/>
              </w:rPr>
              <w:t>)</w:t>
            </w:r>
          </w:p>
        </w:tc>
        <w:tc>
          <w:tcPr>
            <w:tcW w:w="596" w:type="pct"/>
            <w:tcBorders>
              <w:top w:val="nil"/>
              <w:left w:val="nil"/>
              <w:bottom w:val="single" w:sz="4" w:space="0" w:color="auto"/>
              <w:right w:val="nil"/>
            </w:tcBorders>
          </w:tcPr>
          <w:p w14:paraId="5CEEA53E"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Percentage</w:t>
            </w:r>
          </w:p>
          <w:p w14:paraId="4A46186F"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N_1 / N</w:t>
            </w:r>
            <w:r w:rsidRPr="00A3505C">
              <w:rPr>
                <w:rFonts w:ascii="Times New Roman" w:hAnsi="Times New Roman" w:cs="Times New Roman"/>
                <w:sz w:val="18"/>
                <w:szCs w:val="18"/>
              </w:rPr>
              <w:t>)</w:t>
            </w:r>
          </w:p>
        </w:tc>
        <w:tc>
          <w:tcPr>
            <w:tcW w:w="446" w:type="pct"/>
            <w:tcBorders>
              <w:top w:val="nil"/>
              <w:left w:val="nil"/>
              <w:bottom w:val="single" w:sz="4" w:space="0" w:color="auto"/>
              <w:right w:val="nil"/>
            </w:tcBorders>
          </w:tcPr>
          <w:p w14:paraId="7E243D27"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Number</w:t>
            </w:r>
          </w:p>
          <w:p w14:paraId="4F4AF169"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N_2</w:t>
            </w:r>
            <w:r w:rsidRPr="00A3505C">
              <w:rPr>
                <w:rFonts w:ascii="Times New Roman" w:hAnsi="Times New Roman" w:cs="Times New Roman"/>
                <w:sz w:val="18"/>
                <w:szCs w:val="18"/>
              </w:rPr>
              <w:t>)</w:t>
            </w:r>
          </w:p>
        </w:tc>
        <w:tc>
          <w:tcPr>
            <w:tcW w:w="596" w:type="pct"/>
            <w:tcBorders>
              <w:top w:val="nil"/>
              <w:left w:val="nil"/>
              <w:bottom w:val="single" w:sz="4" w:space="0" w:color="auto"/>
              <w:right w:val="nil"/>
            </w:tcBorders>
          </w:tcPr>
          <w:p w14:paraId="091C26E2"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Percentage</w:t>
            </w:r>
          </w:p>
          <w:p w14:paraId="180C687F"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N_2 / N</w:t>
            </w:r>
            <w:r w:rsidRPr="00A3505C">
              <w:rPr>
                <w:rFonts w:ascii="Times New Roman" w:hAnsi="Times New Roman" w:cs="Times New Roman"/>
                <w:sz w:val="18"/>
                <w:szCs w:val="18"/>
              </w:rPr>
              <w:t>)</w:t>
            </w:r>
          </w:p>
        </w:tc>
        <w:tc>
          <w:tcPr>
            <w:tcW w:w="894" w:type="pct"/>
            <w:gridSpan w:val="3"/>
            <w:tcBorders>
              <w:top w:val="nil"/>
              <w:left w:val="nil"/>
              <w:bottom w:val="single" w:sz="4" w:space="0" w:color="auto"/>
              <w:right w:val="nil"/>
            </w:tcBorders>
          </w:tcPr>
          <w:p w14:paraId="2F11930D"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Number</w:t>
            </w:r>
          </w:p>
          <w:p w14:paraId="50431511"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N_3</w:t>
            </w:r>
            <w:r w:rsidRPr="00A3505C">
              <w:rPr>
                <w:rFonts w:ascii="Times New Roman" w:hAnsi="Times New Roman" w:cs="Times New Roman"/>
                <w:sz w:val="18"/>
                <w:szCs w:val="18"/>
              </w:rPr>
              <w:t>)</w:t>
            </w:r>
          </w:p>
        </w:tc>
        <w:tc>
          <w:tcPr>
            <w:tcW w:w="683" w:type="pct"/>
            <w:tcBorders>
              <w:top w:val="nil"/>
              <w:left w:val="nil"/>
              <w:bottom w:val="single" w:sz="4" w:space="0" w:color="auto"/>
              <w:right w:val="nil"/>
            </w:tcBorders>
          </w:tcPr>
          <w:p w14:paraId="388C019F"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Percentage</w:t>
            </w:r>
          </w:p>
          <w:p w14:paraId="6E26FF6F" w14:textId="77777777" w:rsidR="00BC3C94" w:rsidRPr="00A3505C" w:rsidRDefault="00BC3C94" w:rsidP="0007500C">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w:t>
            </w:r>
            <w:r w:rsidRPr="00A3505C">
              <w:rPr>
                <w:rFonts w:ascii="Times New Roman" w:hAnsi="Times New Roman" w:cs="Times New Roman"/>
                <w:i/>
                <w:iCs/>
                <w:sz w:val="18"/>
                <w:szCs w:val="18"/>
              </w:rPr>
              <w:t>N_3 / N</w:t>
            </w:r>
            <w:r w:rsidRPr="00A3505C">
              <w:rPr>
                <w:rFonts w:ascii="Times New Roman" w:hAnsi="Times New Roman" w:cs="Times New Roman"/>
                <w:sz w:val="18"/>
                <w:szCs w:val="18"/>
              </w:rPr>
              <w:t>)</w:t>
            </w:r>
          </w:p>
        </w:tc>
      </w:tr>
      <w:tr w:rsidR="00065C81" w:rsidRPr="00A3505C" w14:paraId="207FCBB4" w14:textId="77777777" w:rsidTr="002675A1">
        <w:trPr>
          <w:jc w:val="center"/>
        </w:trPr>
        <w:tc>
          <w:tcPr>
            <w:tcW w:w="321" w:type="pct"/>
            <w:tcBorders>
              <w:top w:val="single" w:sz="4" w:space="0" w:color="auto"/>
              <w:left w:val="nil"/>
              <w:bottom w:val="nil"/>
              <w:right w:val="nil"/>
            </w:tcBorders>
          </w:tcPr>
          <w:p w14:paraId="6139F027"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2009</w:t>
            </w:r>
          </w:p>
        </w:tc>
        <w:tc>
          <w:tcPr>
            <w:tcW w:w="423" w:type="pct"/>
            <w:tcBorders>
              <w:top w:val="single" w:sz="4" w:space="0" w:color="auto"/>
              <w:left w:val="nil"/>
              <w:bottom w:val="nil"/>
              <w:right w:val="nil"/>
            </w:tcBorders>
            <w:vAlign w:val="bottom"/>
          </w:tcPr>
          <w:p w14:paraId="06BEF245" w14:textId="6149B4A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1,180</w:t>
            </w:r>
          </w:p>
        </w:tc>
        <w:tc>
          <w:tcPr>
            <w:tcW w:w="520" w:type="pct"/>
            <w:tcBorders>
              <w:top w:val="single" w:sz="4" w:space="0" w:color="auto"/>
              <w:left w:val="nil"/>
              <w:bottom w:val="nil"/>
              <w:right w:val="nil"/>
            </w:tcBorders>
            <w:vAlign w:val="bottom"/>
          </w:tcPr>
          <w:p w14:paraId="6660FC55" w14:textId="3E3488F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4.71%</w:t>
            </w:r>
          </w:p>
        </w:tc>
        <w:tc>
          <w:tcPr>
            <w:tcW w:w="522" w:type="pct"/>
            <w:tcBorders>
              <w:top w:val="single" w:sz="4" w:space="0" w:color="auto"/>
              <w:left w:val="nil"/>
              <w:bottom w:val="nil"/>
              <w:right w:val="nil"/>
            </w:tcBorders>
          </w:tcPr>
          <w:p w14:paraId="31BD3CB8" w14:textId="00C05DEE"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197</w:t>
            </w:r>
          </w:p>
        </w:tc>
        <w:tc>
          <w:tcPr>
            <w:tcW w:w="596" w:type="pct"/>
            <w:tcBorders>
              <w:top w:val="single" w:sz="4" w:space="0" w:color="auto"/>
              <w:left w:val="nil"/>
              <w:bottom w:val="nil"/>
              <w:right w:val="nil"/>
            </w:tcBorders>
          </w:tcPr>
          <w:p w14:paraId="43CF31A4" w14:textId="2DE7F27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16.69%</w:t>
            </w:r>
          </w:p>
        </w:tc>
        <w:tc>
          <w:tcPr>
            <w:tcW w:w="446" w:type="pct"/>
            <w:tcBorders>
              <w:top w:val="single" w:sz="4" w:space="0" w:color="auto"/>
              <w:left w:val="nil"/>
              <w:bottom w:val="nil"/>
              <w:right w:val="nil"/>
            </w:tcBorders>
            <w:vAlign w:val="bottom"/>
          </w:tcPr>
          <w:p w14:paraId="7EB02F66" w14:textId="71341F3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261</w:t>
            </w:r>
          </w:p>
        </w:tc>
        <w:tc>
          <w:tcPr>
            <w:tcW w:w="596" w:type="pct"/>
            <w:tcBorders>
              <w:top w:val="single" w:sz="4" w:space="0" w:color="auto"/>
              <w:left w:val="nil"/>
              <w:bottom w:val="nil"/>
              <w:right w:val="nil"/>
            </w:tcBorders>
            <w:vAlign w:val="bottom"/>
          </w:tcPr>
          <w:p w14:paraId="48175F8E" w14:textId="52CD50C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22.12%</w:t>
            </w:r>
          </w:p>
        </w:tc>
        <w:tc>
          <w:tcPr>
            <w:tcW w:w="894" w:type="pct"/>
            <w:gridSpan w:val="3"/>
            <w:tcBorders>
              <w:top w:val="single" w:sz="4" w:space="0" w:color="auto"/>
              <w:left w:val="nil"/>
              <w:bottom w:val="nil"/>
              <w:right w:val="nil"/>
            </w:tcBorders>
            <w:vAlign w:val="bottom"/>
          </w:tcPr>
          <w:p w14:paraId="43B99C08" w14:textId="3E0BEC49"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722</w:t>
            </w:r>
          </w:p>
        </w:tc>
        <w:tc>
          <w:tcPr>
            <w:tcW w:w="683" w:type="pct"/>
            <w:tcBorders>
              <w:top w:val="single" w:sz="4" w:space="0" w:color="auto"/>
              <w:left w:val="nil"/>
              <w:bottom w:val="nil"/>
              <w:right w:val="nil"/>
            </w:tcBorders>
            <w:vAlign w:val="bottom"/>
          </w:tcPr>
          <w:p w14:paraId="42A3C9C1" w14:textId="11DDC775"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61.19%</w:t>
            </w:r>
          </w:p>
        </w:tc>
      </w:tr>
      <w:tr w:rsidR="00065C81" w:rsidRPr="00A3505C" w14:paraId="73977ED8" w14:textId="77777777" w:rsidTr="002675A1">
        <w:trPr>
          <w:jc w:val="center"/>
        </w:trPr>
        <w:tc>
          <w:tcPr>
            <w:tcW w:w="321" w:type="pct"/>
            <w:tcBorders>
              <w:top w:val="nil"/>
              <w:left w:val="nil"/>
              <w:bottom w:val="nil"/>
              <w:right w:val="nil"/>
            </w:tcBorders>
          </w:tcPr>
          <w:p w14:paraId="61B68304"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2010</w:t>
            </w:r>
          </w:p>
        </w:tc>
        <w:tc>
          <w:tcPr>
            <w:tcW w:w="423" w:type="pct"/>
            <w:tcBorders>
              <w:top w:val="nil"/>
              <w:left w:val="nil"/>
              <w:bottom w:val="nil"/>
              <w:right w:val="nil"/>
            </w:tcBorders>
            <w:vAlign w:val="bottom"/>
          </w:tcPr>
          <w:p w14:paraId="31CD2D5C" w14:textId="3FB72AAE"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1,305</w:t>
            </w:r>
          </w:p>
        </w:tc>
        <w:tc>
          <w:tcPr>
            <w:tcW w:w="520" w:type="pct"/>
            <w:tcBorders>
              <w:top w:val="nil"/>
              <w:left w:val="nil"/>
              <w:bottom w:val="nil"/>
              <w:right w:val="nil"/>
            </w:tcBorders>
            <w:vAlign w:val="bottom"/>
          </w:tcPr>
          <w:p w14:paraId="2751F465" w14:textId="007727A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5.21%</w:t>
            </w:r>
          </w:p>
        </w:tc>
        <w:tc>
          <w:tcPr>
            <w:tcW w:w="522" w:type="pct"/>
            <w:tcBorders>
              <w:top w:val="nil"/>
              <w:left w:val="nil"/>
              <w:bottom w:val="nil"/>
              <w:right w:val="nil"/>
            </w:tcBorders>
          </w:tcPr>
          <w:p w14:paraId="0E199598" w14:textId="29E643FB"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212</w:t>
            </w:r>
          </w:p>
        </w:tc>
        <w:tc>
          <w:tcPr>
            <w:tcW w:w="596" w:type="pct"/>
            <w:tcBorders>
              <w:top w:val="nil"/>
              <w:left w:val="nil"/>
              <w:bottom w:val="nil"/>
              <w:right w:val="nil"/>
            </w:tcBorders>
          </w:tcPr>
          <w:p w14:paraId="068CA5F7" w14:textId="2F4824C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16.25%</w:t>
            </w:r>
          </w:p>
        </w:tc>
        <w:tc>
          <w:tcPr>
            <w:tcW w:w="446" w:type="pct"/>
            <w:tcBorders>
              <w:top w:val="nil"/>
              <w:left w:val="nil"/>
              <w:bottom w:val="nil"/>
              <w:right w:val="nil"/>
            </w:tcBorders>
            <w:vAlign w:val="bottom"/>
          </w:tcPr>
          <w:p w14:paraId="5CC79B9E" w14:textId="7C0FADD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315</w:t>
            </w:r>
          </w:p>
        </w:tc>
        <w:tc>
          <w:tcPr>
            <w:tcW w:w="596" w:type="pct"/>
            <w:tcBorders>
              <w:top w:val="nil"/>
              <w:left w:val="nil"/>
              <w:bottom w:val="nil"/>
              <w:right w:val="nil"/>
            </w:tcBorders>
            <w:vAlign w:val="bottom"/>
          </w:tcPr>
          <w:p w14:paraId="70A9E0A6" w14:textId="45FA11A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24.14%</w:t>
            </w:r>
          </w:p>
        </w:tc>
        <w:tc>
          <w:tcPr>
            <w:tcW w:w="894" w:type="pct"/>
            <w:gridSpan w:val="3"/>
            <w:tcBorders>
              <w:top w:val="nil"/>
              <w:left w:val="nil"/>
              <w:bottom w:val="nil"/>
              <w:right w:val="nil"/>
            </w:tcBorders>
            <w:vAlign w:val="bottom"/>
          </w:tcPr>
          <w:p w14:paraId="401C41DB" w14:textId="126793B4"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778</w:t>
            </w:r>
          </w:p>
        </w:tc>
        <w:tc>
          <w:tcPr>
            <w:tcW w:w="683" w:type="pct"/>
            <w:tcBorders>
              <w:top w:val="nil"/>
              <w:left w:val="nil"/>
              <w:bottom w:val="nil"/>
              <w:right w:val="nil"/>
            </w:tcBorders>
            <w:vAlign w:val="bottom"/>
          </w:tcPr>
          <w:p w14:paraId="17174AA6" w14:textId="3099DEB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59.62%</w:t>
            </w:r>
          </w:p>
        </w:tc>
      </w:tr>
      <w:tr w:rsidR="00065C81" w:rsidRPr="00A3505C" w14:paraId="5957AC50" w14:textId="77777777" w:rsidTr="002675A1">
        <w:trPr>
          <w:jc w:val="center"/>
        </w:trPr>
        <w:tc>
          <w:tcPr>
            <w:tcW w:w="321" w:type="pct"/>
            <w:tcBorders>
              <w:top w:val="nil"/>
              <w:left w:val="nil"/>
              <w:bottom w:val="nil"/>
              <w:right w:val="nil"/>
            </w:tcBorders>
          </w:tcPr>
          <w:p w14:paraId="15EA1BAF"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2011</w:t>
            </w:r>
          </w:p>
        </w:tc>
        <w:tc>
          <w:tcPr>
            <w:tcW w:w="423" w:type="pct"/>
            <w:tcBorders>
              <w:top w:val="nil"/>
              <w:left w:val="nil"/>
              <w:bottom w:val="nil"/>
              <w:right w:val="nil"/>
            </w:tcBorders>
            <w:vAlign w:val="bottom"/>
          </w:tcPr>
          <w:p w14:paraId="5134BBC0" w14:textId="54138FD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1,597</w:t>
            </w:r>
          </w:p>
        </w:tc>
        <w:tc>
          <w:tcPr>
            <w:tcW w:w="520" w:type="pct"/>
            <w:tcBorders>
              <w:top w:val="nil"/>
              <w:left w:val="nil"/>
              <w:bottom w:val="nil"/>
              <w:right w:val="nil"/>
            </w:tcBorders>
            <w:vAlign w:val="bottom"/>
          </w:tcPr>
          <w:p w14:paraId="6F1390E9" w14:textId="7639D74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6.37%</w:t>
            </w:r>
          </w:p>
        </w:tc>
        <w:tc>
          <w:tcPr>
            <w:tcW w:w="522" w:type="pct"/>
            <w:tcBorders>
              <w:top w:val="nil"/>
              <w:left w:val="nil"/>
              <w:bottom w:val="nil"/>
              <w:right w:val="nil"/>
            </w:tcBorders>
          </w:tcPr>
          <w:p w14:paraId="5CAB2484" w14:textId="5A09E7F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256</w:t>
            </w:r>
          </w:p>
        </w:tc>
        <w:tc>
          <w:tcPr>
            <w:tcW w:w="596" w:type="pct"/>
            <w:tcBorders>
              <w:top w:val="nil"/>
              <w:left w:val="nil"/>
              <w:bottom w:val="nil"/>
              <w:right w:val="nil"/>
            </w:tcBorders>
          </w:tcPr>
          <w:p w14:paraId="2CA4CF1F" w14:textId="0F0A763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16.03%</w:t>
            </w:r>
          </w:p>
        </w:tc>
        <w:tc>
          <w:tcPr>
            <w:tcW w:w="446" w:type="pct"/>
            <w:tcBorders>
              <w:top w:val="nil"/>
              <w:left w:val="nil"/>
              <w:bottom w:val="nil"/>
              <w:right w:val="nil"/>
            </w:tcBorders>
            <w:vAlign w:val="bottom"/>
          </w:tcPr>
          <w:p w14:paraId="49AA92B5" w14:textId="6D26805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413</w:t>
            </w:r>
          </w:p>
        </w:tc>
        <w:tc>
          <w:tcPr>
            <w:tcW w:w="596" w:type="pct"/>
            <w:tcBorders>
              <w:top w:val="nil"/>
              <w:left w:val="nil"/>
              <w:bottom w:val="nil"/>
              <w:right w:val="nil"/>
            </w:tcBorders>
            <w:vAlign w:val="bottom"/>
          </w:tcPr>
          <w:p w14:paraId="2FCAF74E" w14:textId="0141D3F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25.86%</w:t>
            </w:r>
          </w:p>
        </w:tc>
        <w:tc>
          <w:tcPr>
            <w:tcW w:w="894" w:type="pct"/>
            <w:gridSpan w:val="3"/>
            <w:tcBorders>
              <w:top w:val="nil"/>
              <w:left w:val="nil"/>
              <w:bottom w:val="nil"/>
              <w:right w:val="nil"/>
            </w:tcBorders>
            <w:vAlign w:val="bottom"/>
          </w:tcPr>
          <w:p w14:paraId="187E451A" w14:textId="72CE0AC4"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928</w:t>
            </w:r>
          </w:p>
        </w:tc>
        <w:tc>
          <w:tcPr>
            <w:tcW w:w="683" w:type="pct"/>
            <w:tcBorders>
              <w:top w:val="nil"/>
              <w:left w:val="nil"/>
              <w:bottom w:val="nil"/>
              <w:right w:val="nil"/>
            </w:tcBorders>
            <w:vAlign w:val="bottom"/>
          </w:tcPr>
          <w:p w14:paraId="3F2DC126" w14:textId="6216F5B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58.11%</w:t>
            </w:r>
          </w:p>
        </w:tc>
      </w:tr>
      <w:tr w:rsidR="00065C81" w:rsidRPr="00A3505C" w14:paraId="5318F62E" w14:textId="77777777" w:rsidTr="002675A1">
        <w:trPr>
          <w:jc w:val="center"/>
        </w:trPr>
        <w:tc>
          <w:tcPr>
            <w:tcW w:w="321" w:type="pct"/>
            <w:tcBorders>
              <w:top w:val="nil"/>
              <w:left w:val="nil"/>
              <w:bottom w:val="nil"/>
              <w:right w:val="nil"/>
            </w:tcBorders>
          </w:tcPr>
          <w:p w14:paraId="137A6D48"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2012</w:t>
            </w:r>
          </w:p>
        </w:tc>
        <w:tc>
          <w:tcPr>
            <w:tcW w:w="423" w:type="pct"/>
            <w:tcBorders>
              <w:top w:val="nil"/>
              <w:left w:val="nil"/>
              <w:bottom w:val="nil"/>
              <w:right w:val="nil"/>
            </w:tcBorders>
            <w:vAlign w:val="bottom"/>
          </w:tcPr>
          <w:p w14:paraId="5ABF0C11" w14:textId="4BF3F86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1,794</w:t>
            </w:r>
          </w:p>
        </w:tc>
        <w:tc>
          <w:tcPr>
            <w:tcW w:w="520" w:type="pct"/>
            <w:tcBorders>
              <w:top w:val="nil"/>
              <w:left w:val="nil"/>
              <w:bottom w:val="nil"/>
              <w:right w:val="nil"/>
            </w:tcBorders>
            <w:vAlign w:val="bottom"/>
          </w:tcPr>
          <w:p w14:paraId="6E3EC8C1" w14:textId="2405EC2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7.16%</w:t>
            </w:r>
          </w:p>
        </w:tc>
        <w:tc>
          <w:tcPr>
            <w:tcW w:w="522" w:type="pct"/>
            <w:tcBorders>
              <w:top w:val="nil"/>
              <w:left w:val="nil"/>
              <w:bottom w:val="nil"/>
              <w:right w:val="nil"/>
            </w:tcBorders>
          </w:tcPr>
          <w:p w14:paraId="79A8997C" w14:textId="4CD2BFC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307</w:t>
            </w:r>
          </w:p>
        </w:tc>
        <w:tc>
          <w:tcPr>
            <w:tcW w:w="596" w:type="pct"/>
            <w:tcBorders>
              <w:top w:val="nil"/>
              <w:left w:val="nil"/>
              <w:bottom w:val="nil"/>
              <w:right w:val="nil"/>
            </w:tcBorders>
          </w:tcPr>
          <w:p w14:paraId="5415102C" w14:textId="45835B2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17.11%</w:t>
            </w:r>
          </w:p>
        </w:tc>
        <w:tc>
          <w:tcPr>
            <w:tcW w:w="446" w:type="pct"/>
            <w:tcBorders>
              <w:top w:val="nil"/>
              <w:left w:val="nil"/>
              <w:bottom w:val="nil"/>
              <w:right w:val="nil"/>
            </w:tcBorders>
            <w:vAlign w:val="bottom"/>
          </w:tcPr>
          <w:p w14:paraId="471A5801" w14:textId="0F9B2361"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468</w:t>
            </w:r>
          </w:p>
        </w:tc>
        <w:tc>
          <w:tcPr>
            <w:tcW w:w="596" w:type="pct"/>
            <w:tcBorders>
              <w:top w:val="nil"/>
              <w:left w:val="nil"/>
              <w:bottom w:val="nil"/>
              <w:right w:val="nil"/>
            </w:tcBorders>
            <w:vAlign w:val="bottom"/>
          </w:tcPr>
          <w:p w14:paraId="58AEE70B" w14:textId="10233BCB"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26.09%</w:t>
            </w:r>
          </w:p>
        </w:tc>
        <w:tc>
          <w:tcPr>
            <w:tcW w:w="894" w:type="pct"/>
            <w:gridSpan w:val="3"/>
            <w:tcBorders>
              <w:top w:val="nil"/>
              <w:left w:val="nil"/>
              <w:bottom w:val="nil"/>
              <w:right w:val="nil"/>
            </w:tcBorders>
            <w:vAlign w:val="bottom"/>
          </w:tcPr>
          <w:p w14:paraId="48E2722E" w14:textId="7BAE79EC"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1,019</w:t>
            </w:r>
          </w:p>
        </w:tc>
        <w:tc>
          <w:tcPr>
            <w:tcW w:w="683" w:type="pct"/>
            <w:tcBorders>
              <w:top w:val="nil"/>
              <w:left w:val="nil"/>
              <w:bottom w:val="nil"/>
              <w:right w:val="nil"/>
            </w:tcBorders>
            <w:vAlign w:val="bottom"/>
          </w:tcPr>
          <w:p w14:paraId="324318BE" w14:textId="646B249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56.80%</w:t>
            </w:r>
          </w:p>
        </w:tc>
      </w:tr>
      <w:tr w:rsidR="00065C81" w:rsidRPr="00A3505C" w14:paraId="2D243DB6" w14:textId="77777777" w:rsidTr="002675A1">
        <w:trPr>
          <w:jc w:val="center"/>
        </w:trPr>
        <w:tc>
          <w:tcPr>
            <w:tcW w:w="321" w:type="pct"/>
            <w:tcBorders>
              <w:top w:val="nil"/>
              <w:left w:val="nil"/>
              <w:bottom w:val="nil"/>
              <w:right w:val="nil"/>
            </w:tcBorders>
          </w:tcPr>
          <w:p w14:paraId="7FA935A6"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2013</w:t>
            </w:r>
          </w:p>
        </w:tc>
        <w:tc>
          <w:tcPr>
            <w:tcW w:w="423" w:type="pct"/>
            <w:tcBorders>
              <w:top w:val="nil"/>
              <w:left w:val="nil"/>
              <w:bottom w:val="nil"/>
              <w:right w:val="nil"/>
            </w:tcBorders>
            <w:vAlign w:val="bottom"/>
          </w:tcPr>
          <w:p w14:paraId="197C1393" w14:textId="6F20FAEC"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1,880</w:t>
            </w:r>
          </w:p>
        </w:tc>
        <w:tc>
          <w:tcPr>
            <w:tcW w:w="520" w:type="pct"/>
            <w:tcBorders>
              <w:top w:val="nil"/>
              <w:left w:val="nil"/>
              <w:bottom w:val="nil"/>
              <w:right w:val="nil"/>
            </w:tcBorders>
            <w:vAlign w:val="bottom"/>
          </w:tcPr>
          <w:p w14:paraId="4807A207" w14:textId="1240B21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7.50%</w:t>
            </w:r>
          </w:p>
        </w:tc>
        <w:tc>
          <w:tcPr>
            <w:tcW w:w="522" w:type="pct"/>
            <w:tcBorders>
              <w:top w:val="nil"/>
              <w:left w:val="nil"/>
              <w:bottom w:val="nil"/>
              <w:right w:val="nil"/>
            </w:tcBorders>
          </w:tcPr>
          <w:p w14:paraId="67DFC626" w14:textId="213D49E5"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298</w:t>
            </w:r>
          </w:p>
        </w:tc>
        <w:tc>
          <w:tcPr>
            <w:tcW w:w="596" w:type="pct"/>
            <w:tcBorders>
              <w:top w:val="nil"/>
              <w:left w:val="nil"/>
              <w:bottom w:val="nil"/>
              <w:right w:val="nil"/>
            </w:tcBorders>
          </w:tcPr>
          <w:p w14:paraId="0EC19752" w14:textId="3318195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15.85%</w:t>
            </w:r>
          </w:p>
        </w:tc>
        <w:tc>
          <w:tcPr>
            <w:tcW w:w="446" w:type="pct"/>
            <w:tcBorders>
              <w:top w:val="nil"/>
              <w:left w:val="nil"/>
              <w:bottom w:val="nil"/>
              <w:right w:val="nil"/>
            </w:tcBorders>
            <w:vAlign w:val="bottom"/>
          </w:tcPr>
          <w:p w14:paraId="33D6CD67" w14:textId="66EDB5E4"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483</w:t>
            </w:r>
          </w:p>
        </w:tc>
        <w:tc>
          <w:tcPr>
            <w:tcW w:w="596" w:type="pct"/>
            <w:tcBorders>
              <w:top w:val="nil"/>
              <w:left w:val="nil"/>
              <w:bottom w:val="nil"/>
              <w:right w:val="nil"/>
            </w:tcBorders>
            <w:vAlign w:val="bottom"/>
          </w:tcPr>
          <w:p w14:paraId="5292AD20" w14:textId="1685F05E"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25.69%</w:t>
            </w:r>
          </w:p>
        </w:tc>
        <w:tc>
          <w:tcPr>
            <w:tcW w:w="894" w:type="pct"/>
            <w:gridSpan w:val="3"/>
            <w:tcBorders>
              <w:top w:val="nil"/>
              <w:left w:val="nil"/>
              <w:bottom w:val="nil"/>
              <w:right w:val="nil"/>
            </w:tcBorders>
            <w:vAlign w:val="bottom"/>
          </w:tcPr>
          <w:p w14:paraId="6008941E" w14:textId="58369D26"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1,099</w:t>
            </w:r>
          </w:p>
        </w:tc>
        <w:tc>
          <w:tcPr>
            <w:tcW w:w="683" w:type="pct"/>
            <w:tcBorders>
              <w:top w:val="nil"/>
              <w:left w:val="nil"/>
              <w:bottom w:val="nil"/>
              <w:right w:val="nil"/>
            </w:tcBorders>
            <w:vAlign w:val="bottom"/>
          </w:tcPr>
          <w:p w14:paraId="44272787" w14:textId="7514181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58.46%</w:t>
            </w:r>
          </w:p>
        </w:tc>
      </w:tr>
      <w:tr w:rsidR="00065C81" w:rsidRPr="00A3505C" w14:paraId="5B24C6B9" w14:textId="77777777" w:rsidTr="002675A1">
        <w:trPr>
          <w:jc w:val="center"/>
        </w:trPr>
        <w:tc>
          <w:tcPr>
            <w:tcW w:w="321" w:type="pct"/>
            <w:tcBorders>
              <w:top w:val="nil"/>
              <w:left w:val="nil"/>
              <w:bottom w:val="nil"/>
              <w:right w:val="nil"/>
            </w:tcBorders>
          </w:tcPr>
          <w:p w14:paraId="62603686"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2014</w:t>
            </w:r>
          </w:p>
        </w:tc>
        <w:tc>
          <w:tcPr>
            <w:tcW w:w="423" w:type="pct"/>
            <w:tcBorders>
              <w:top w:val="nil"/>
              <w:left w:val="nil"/>
              <w:bottom w:val="nil"/>
              <w:right w:val="nil"/>
            </w:tcBorders>
            <w:vAlign w:val="bottom"/>
          </w:tcPr>
          <w:p w14:paraId="2018907E" w14:textId="483DA4F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1,886</w:t>
            </w:r>
          </w:p>
        </w:tc>
        <w:tc>
          <w:tcPr>
            <w:tcW w:w="520" w:type="pct"/>
            <w:tcBorders>
              <w:top w:val="nil"/>
              <w:left w:val="nil"/>
              <w:bottom w:val="nil"/>
              <w:right w:val="nil"/>
            </w:tcBorders>
            <w:vAlign w:val="bottom"/>
          </w:tcPr>
          <w:p w14:paraId="696BF522" w14:textId="56FCD8B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7.52%</w:t>
            </w:r>
          </w:p>
        </w:tc>
        <w:tc>
          <w:tcPr>
            <w:tcW w:w="522" w:type="pct"/>
            <w:tcBorders>
              <w:top w:val="nil"/>
              <w:left w:val="nil"/>
              <w:bottom w:val="nil"/>
              <w:right w:val="nil"/>
            </w:tcBorders>
          </w:tcPr>
          <w:p w14:paraId="6DA7FE81" w14:textId="46AAC1B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303</w:t>
            </w:r>
          </w:p>
        </w:tc>
        <w:tc>
          <w:tcPr>
            <w:tcW w:w="596" w:type="pct"/>
            <w:tcBorders>
              <w:top w:val="nil"/>
              <w:left w:val="nil"/>
              <w:bottom w:val="nil"/>
              <w:right w:val="nil"/>
            </w:tcBorders>
          </w:tcPr>
          <w:p w14:paraId="60DB7CF1" w14:textId="06120A5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16.07%</w:t>
            </w:r>
          </w:p>
        </w:tc>
        <w:tc>
          <w:tcPr>
            <w:tcW w:w="446" w:type="pct"/>
            <w:tcBorders>
              <w:top w:val="nil"/>
              <w:left w:val="nil"/>
              <w:bottom w:val="nil"/>
              <w:right w:val="nil"/>
            </w:tcBorders>
            <w:vAlign w:val="bottom"/>
          </w:tcPr>
          <w:p w14:paraId="5F5520E9" w14:textId="51E2EE1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504</w:t>
            </w:r>
          </w:p>
        </w:tc>
        <w:tc>
          <w:tcPr>
            <w:tcW w:w="596" w:type="pct"/>
            <w:tcBorders>
              <w:top w:val="nil"/>
              <w:left w:val="nil"/>
              <w:bottom w:val="nil"/>
              <w:right w:val="nil"/>
            </w:tcBorders>
            <w:vAlign w:val="bottom"/>
          </w:tcPr>
          <w:p w14:paraId="5FDC720B" w14:textId="134AF00B"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26.72%</w:t>
            </w:r>
          </w:p>
        </w:tc>
        <w:tc>
          <w:tcPr>
            <w:tcW w:w="894" w:type="pct"/>
            <w:gridSpan w:val="3"/>
            <w:tcBorders>
              <w:top w:val="nil"/>
              <w:left w:val="nil"/>
              <w:bottom w:val="nil"/>
              <w:right w:val="nil"/>
            </w:tcBorders>
            <w:vAlign w:val="bottom"/>
          </w:tcPr>
          <w:p w14:paraId="27100350" w14:textId="69FAC7DA"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1,079</w:t>
            </w:r>
          </w:p>
        </w:tc>
        <w:tc>
          <w:tcPr>
            <w:tcW w:w="683" w:type="pct"/>
            <w:tcBorders>
              <w:top w:val="nil"/>
              <w:left w:val="nil"/>
              <w:bottom w:val="nil"/>
              <w:right w:val="nil"/>
            </w:tcBorders>
            <w:vAlign w:val="bottom"/>
          </w:tcPr>
          <w:p w14:paraId="2C5BDC72" w14:textId="75733FF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57.21%</w:t>
            </w:r>
          </w:p>
        </w:tc>
      </w:tr>
      <w:tr w:rsidR="00065C81" w:rsidRPr="00A3505C" w14:paraId="61AF0811" w14:textId="77777777" w:rsidTr="002675A1">
        <w:trPr>
          <w:jc w:val="center"/>
        </w:trPr>
        <w:tc>
          <w:tcPr>
            <w:tcW w:w="321" w:type="pct"/>
            <w:tcBorders>
              <w:top w:val="nil"/>
              <w:left w:val="nil"/>
              <w:bottom w:val="nil"/>
              <w:right w:val="nil"/>
            </w:tcBorders>
          </w:tcPr>
          <w:p w14:paraId="2CE881B9"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2015</w:t>
            </w:r>
          </w:p>
        </w:tc>
        <w:tc>
          <w:tcPr>
            <w:tcW w:w="423" w:type="pct"/>
            <w:tcBorders>
              <w:top w:val="nil"/>
              <w:left w:val="nil"/>
              <w:bottom w:val="nil"/>
              <w:right w:val="nil"/>
            </w:tcBorders>
            <w:vAlign w:val="bottom"/>
          </w:tcPr>
          <w:p w14:paraId="6EC559DD" w14:textId="1A3D26F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1,908</w:t>
            </w:r>
          </w:p>
        </w:tc>
        <w:tc>
          <w:tcPr>
            <w:tcW w:w="520" w:type="pct"/>
            <w:tcBorders>
              <w:top w:val="nil"/>
              <w:left w:val="nil"/>
              <w:bottom w:val="nil"/>
              <w:right w:val="nil"/>
            </w:tcBorders>
            <w:vAlign w:val="bottom"/>
          </w:tcPr>
          <w:p w14:paraId="24157450" w14:textId="3D1400A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7.61%</w:t>
            </w:r>
          </w:p>
        </w:tc>
        <w:tc>
          <w:tcPr>
            <w:tcW w:w="522" w:type="pct"/>
            <w:tcBorders>
              <w:top w:val="nil"/>
              <w:left w:val="nil"/>
              <w:bottom w:val="nil"/>
              <w:right w:val="nil"/>
            </w:tcBorders>
          </w:tcPr>
          <w:p w14:paraId="661BF2CF" w14:textId="7BAD94F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320</w:t>
            </w:r>
          </w:p>
        </w:tc>
        <w:tc>
          <w:tcPr>
            <w:tcW w:w="596" w:type="pct"/>
            <w:tcBorders>
              <w:top w:val="nil"/>
              <w:left w:val="nil"/>
              <w:bottom w:val="nil"/>
              <w:right w:val="nil"/>
            </w:tcBorders>
          </w:tcPr>
          <w:p w14:paraId="593ECF8E" w14:textId="514E36F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16.77%</w:t>
            </w:r>
          </w:p>
        </w:tc>
        <w:tc>
          <w:tcPr>
            <w:tcW w:w="446" w:type="pct"/>
            <w:tcBorders>
              <w:top w:val="nil"/>
              <w:left w:val="nil"/>
              <w:bottom w:val="nil"/>
              <w:right w:val="nil"/>
            </w:tcBorders>
            <w:vAlign w:val="bottom"/>
          </w:tcPr>
          <w:p w14:paraId="59AD6B0D" w14:textId="5244D06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521</w:t>
            </w:r>
          </w:p>
        </w:tc>
        <w:tc>
          <w:tcPr>
            <w:tcW w:w="596" w:type="pct"/>
            <w:tcBorders>
              <w:top w:val="nil"/>
              <w:left w:val="nil"/>
              <w:bottom w:val="nil"/>
              <w:right w:val="nil"/>
            </w:tcBorders>
            <w:vAlign w:val="bottom"/>
          </w:tcPr>
          <w:p w14:paraId="6CF0C436" w14:textId="1C63382C"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27.31%</w:t>
            </w:r>
          </w:p>
        </w:tc>
        <w:tc>
          <w:tcPr>
            <w:tcW w:w="894" w:type="pct"/>
            <w:gridSpan w:val="3"/>
            <w:tcBorders>
              <w:top w:val="nil"/>
              <w:left w:val="nil"/>
              <w:bottom w:val="nil"/>
              <w:right w:val="nil"/>
            </w:tcBorders>
            <w:vAlign w:val="bottom"/>
          </w:tcPr>
          <w:p w14:paraId="6BA43A6F" w14:textId="1345D6FE"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1,067</w:t>
            </w:r>
          </w:p>
        </w:tc>
        <w:tc>
          <w:tcPr>
            <w:tcW w:w="683" w:type="pct"/>
            <w:tcBorders>
              <w:top w:val="nil"/>
              <w:left w:val="nil"/>
              <w:bottom w:val="nil"/>
              <w:right w:val="nil"/>
            </w:tcBorders>
            <w:vAlign w:val="bottom"/>
          </w:tcPr>
          <w:p w14:paraId="1662A70B" w14:textId="1C2243A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55.92%</w:t>
            </w:r>
          </w:p>
        </w:tc>
      </w:tr>
      <w:tr w:rsidR="00065C81" w:rsidRPr="00A3505C" w14:paraId="5789EEAA" w14:textId="77777777" w:rsidTr="002675A1">
        <w:trPr>
          <w:jc w:val="center"/>
        </w:trPr>
        <w:tc>
          <w:tcPr>
            <w:tcW w:w="321" w:type="pct"/>
            <w:tcBorders>
              <w:top w:val="nil"/>
              <w:left w:val="nil"/>
              <w:bottom w:val="nil"/>
              <w:right w:val="nil"/>
            </w:tcBorders>
          </w:tcPr>
          <w:p w14:paraId="12D5616D"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2016</w:t>
            </w:r>
          </w:p>
        </w:tc>
        <w:tc>
          <w:tcPr>
            <w:tcW w:w="423" w:type="pct"/>
            <w:tcBorders>
              <w:top w:val="nil"/>
              <w:left w:val="nil"/>
              <w:bottom w:val="nil"/>
              <w:right w:val="nil"/>
            </w:tcBorders>
            <w:vAlign w:val="bottom"/>
          </w:tcPr>
          <w:p w14:paraId="1F073FA2" w14:textId="194501FC"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2,038</w:t>
            </w:r>
          </w:p>
        </w:tc>
        <w:tc>
          <w:tcPr>
            <w:tcW w:w="520" w:type="pct"/>
            <w:tcBorders>
              <w:top w:val="nil"/>
              <w:left w:val="nil"/>
              <w:bottom w:val="nil"/>
              <w:right w:val="nil"/>
            </w:tcBorders>
            <w:vAlign w:val="bottom"/>
          </w:tcPr>
          <w:p w14:paraId="7420E3B1" w14:textId="436A351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8.13%</w:t>
            </w:r>
          </w:p>
        </w:tc>
        <w:tc>
          <w:tcPr>
            <w:tcW w:w="522" w:type="pct"/>
            <w:tcBorders>
              <w:top w:val="nil"/>
              <w:left w:val="nil"/>
              <w:bottom w:val="nil"/>
              <w:right w:val="nil"/>
            </w:tcBorders>
          </w:tcPr>
          <w:p w14:paraId="2CCC0632" w14:textId="36F3963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356</w:t>
            </w:r>
          </w:p>
        </w:tc>
        <w:tc>
          <w:tcPr>
            <w:tcW w:w="596" w:type="pct"/>
            <w:tcBorders>
              <w:top w:val="nil"/>
              <w:left w:val="nil"/>
              <w:bottom w:val="nil"/>
              <w:right w:val="nil"/>
            </w:tcBorders>
          </w:tcPr>
          <w:p w14:paraId="2A16809C" w14:textId="1A35A44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17.47%</w:t>
            </w:r>
          </w:p>
        </w:tc>
        <w:tc>
          <w:tcPr>
            <w:tcW w:w="446" w:type="pct"/>
            <w:tcBorders>
              <w:top w:val="nil"/>
              <w:left w:val="nil"/>
              <w:bottom w:val="nil"/>
              <w:right w:val="nil"/>
            </w:tcBorders>
            <w:vAlign w:val="bottom"/>
          </w:tcPr>
          <w:p w14:paraId="3C50AF59" w14:textId="1FBB595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543</w:t>
            </w:r>
          </w:p>
        </w:tc>
        <w:tc>
          <w:tcPr>
            <w:tcW w:w="596" w:type="pct"/>
            <w:tcBorders>
              <w:top w:val="nil"/>
              <w:left w:val="nil"/>
              <w:bottom w:val="nil"/>
              <w:right w:val="nil"/>
            </w:tcBorders>
            <w:vAlign w:val="bottom"/>
          </w:tcPr>
          <w:p w14:paraId="7E63B887" w14:textId="20A715DC"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26.64%</w:t>
            </w:r>
          </w:p>
        </w:tc>
        <w:tc>
          <w:tcPr>
            <w:tcW w:w="894" w:type="pct"/>
            <w:gridSpan w:val="3"/>
            <w:tcBorders>
              <w:top w:val="nil"/>
              <w:left w:val="nil"/>
              <w:bottom w:val="nil"/>
              <w:right w:val="nil"/>
            </w:tcBorders>
            <w:vAlign w:val="bottom"/>
          </w:tcPr>
          <w:p w14:paraId="52AB1305" w14:textId="61176C25"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1,139</w:t>
            </w:r>
          </w:p>
        </w:tc>
        <w:tc>
          <w:tcPr>
            <w:tcW w:w="683" w:type="pct"/>
            <w:tcBorders>
              <w:top w:val="nil"/>
              <w:left w:val="nil"/>
              <w:bottom w:val="nil"/>
              <w:right w:val="nil"/>
            </w:tcBorders>
            <w:vAlign w:val="bottom"/>
          </w:tcPr>
          <w:p w14:paraId="080589F3" w14:textId="6BAA64B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55.89%</w:t>
            </w:r>
          </w:p>
        </w:tc>
      </w:tr>
      <w:tr w:rsidR="00065C81" w:rsidRPr="00A3505C" w14:paraId="118995DF" w14:textId="77777777" w:rsidTr="002675A1">
        <w:trPr>
          <w:jc w:val="center"/>
        </w:trPr>
        <w:tc>
          <w:tcPr>
            <w:tcW w:w="321" w:type="pct"/>
            <w:tcBorders>
              <w:top w:val="nil"/>
              <w:left w:val="nil"/>
              <w:bottom w:val="nil"/>
              <w:right w:val="nil"/>
            </w:tcBorders>
          </w:tcPr>
          <w:p w14:paraId="6195E338"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2017</w:t>
            </w:r>
          </w:p>
        </w:tc>
        <w:tc>
          <w:tcPr>
            <w:tcW w:w="423" w:type="pct"/>
            <w:tcBorders>
              <w:top w:val="nil"/>
              <w:left w:val="nil"/>
              <w:bottom w:val="nil"/>
              <w:right w:val="nil"/>
            </w:tcBorders>
            <w:vAlign w:val="bottom"/>
          </w:tcPr>
          <w:p w14:paraId="4E3AD806" w14:textId="02A9F3D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1,503</w:t>
            </w:r>
          </w:p>
        </w:tc>
        <w:tc>
          <w:tcPr>
            <w:tcW w:w="520" w:type="pct"/>
            <w:tcBorders>
              <w:top w:val="nil"/>
              <w:left w:val="nil"/>
              <w:bottom w:val="nil"/>
              <w:right w:val="nil"/>
            </w:tcBorders>
            <w:vAlign w:val="bottom"/>
          </w:tcPr>
          <w:p w14:paraId="427E419C" w14:textId="5C83FAE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6.00%</w:t>
            </w:r>
          </w:p>
        </w:tc>
        <w:tc>
          <w:tcPr>
            <w:tcW w:w="522" w:type="pct"/>
            <w:tcBorders>
              <w:top w:val="nil"/>
              <w:left w:val="nil"/>
              <w:bottom w:val="nil"/>
              <w:right w:val="nil"/>
            </w:tcBorders>
          </w:tcPr>
          <w:p w14:paraId="00A7D8F0" w14:textId="75672BAD"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315</w:t>
            </w:r>
          </w:p>
        </w:tc>
        <w:tc>
          <w:tcPr>
            <w:tcW w:w="596" w:type="pct"/>
            <w:tcBorders>
              <w:top w:val="nil"/>
              <w:left w:val="nil"/>
              <w:bottom w:val="nil"/>
              <w:right w:val="nil"/>
            </w:tcBorders>
          </w:tcPr>
          <w:p w14:paraId="423A2BCE" w14:textId="00973305"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20.96%</w:t>
            </w:r>
          </w:p>
        </w:tc>
        <w:tc>
          <w:tcPr>
            <w:tcW w:w="446" w:type="pct"/>
            <w:tcBorders>
              <w:top w:val="nil"/>
              <w:left w:val="nil"/>
              <w:bottom w:val="nil"/>
              <w:right w:val="nil"/>
            </w:tcBorders>
            <w:vAlign w:val="bottom"/>
          </w:tcPr>
          <w:p w14:paraId="4CAF55A7" w14:textId="72BF3D2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307</w:t>
            </w:r>
          </w:p>
        </w:tc>
        <w:tc>
          <w:tcPr>
            <w:tcW w:w="596" w:type="pct"/>
            <w:tcBorders>
              <w:top w:val="nil"/>
              <w:left w:val="nil"/>
              <w:bottom w:val="nil"/>
              <w:right w:val="nil"/>
            </w:tcBorders>
            <w:vAlign w:val="bottom"/>
          </w:tcPr>
          <w:p w14:paraId="7D75C879" w14:textId="6E2CAF8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20.43%</w:t>
            </w:r>
          </w:p>
        </w:tc>
        <w:tc>
          <w:tcPr>
            <w:tcW w:w="894" w:type="pct"/>
            <w:gridSpan w:val="3"/>
            <w:tcBorders>
              <w:top w:val="nil"/>
              <w:left w:val="nil"/>
              <w:bottom w:val="nil"/>
              <w:right w:val="nil"/>
            </w:tcBorders>
            <w:vAlign w:val="bottom"/>
          </w:tcPr>
          <w:p w14:paraId="2A98BDDF" w14:textId="46909112"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881</w:t>
            </w:r>
          </w:p>
        </w:tc>
        <w:tc>
          <w:tcPr>
            <w:tcW w:w="683" w:type="pct"/>
            <w:tcBorders>
              <w:top w:val="nil"/>
              <w:left w:val="nil"/>
              <w:bottom w:val="nil"/>
              <w:right w:val="nil"/>
            </w:tcBorders>
            <w:vAlign w:val="bottom"/>
          </w:tcPr>
          <w:p w14:paraId="40B8EDDA" w14:textId="4AB98D7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58.62%</w:t>
            </w:r>
          </w:p>
        </w:tc>
      </w:tr>
      <w:tr w:rsidR="00065C81" w:rsidRPr="00A3505C" w14:paraId="535F47AC" w14:textId="77777777" w:rsidTr="002675A1">
        <w:trPr>
          <w:jc w:val="center"/>
        </w:trPr>
        <w:tc>
          <w:tcPr>
            <w:tcW w:w="321" w:type="pct"/>
            <w:tcBorders>
              <w:top w:val="nil"/>
              <w:left w:val="nil"/>
              <w:bottom w:val="nil"/>
              <w:right w:val="nil"/>
            </w:tcBorders>
          </w:tcPr>
          <w:p w14:paraId="66473F09"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2018</w:t>
            </w:r>
          </w:p>
        </w:tc>
        <w:tc>
          <w:tcPr>
            <w:tcW w:w="423" w:type="pct"/>
            <w:tcBorders>
              <w:top w:val="nil"/>
              <w:left w:val="nil"/>
              <w:bottom w:val="nil"/>
              <w:right w:val="nil"/>
            </w:tcBorders>
            <w:vAlign w:val="bottom"/>
          </w:tcPr>
          <w:p w14:paraId="564A30DB" w14:textId="7E507C4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1,700</w:t>
            </w:r>
          </w:p>
        </w:tc>
        <w:tc>
          <w:tcPr>
            <w:tcW w:w="520" w:type="pct"/>
            <w:tcBorders>
              <w:top w:val="nil"/>
              <w:left w:val="nil"/>
              <w:bottom w:val="nil"/>
              <w:right w:val="nil"/>
            </w:tcBorders>
            <w:vAlign w:val="bottom"/>
          </w:tcPr>
          <w:p w14:paraId="774133AC" w14:textId="4E3CCB81"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6.78%</w:t>
            </w:r>
          </w:p>
        </w:tc>
        <w:tc>
          <w:tcPr>
            <w:tcW w:w="522" w:type="pct"/>
            <w:tcBorders>
              <w:top w:val="nil"/>
              <w:left w:val="nil"/>
              <w:bottom w:val="nil"/>
              <w:right w:val="nil"/>
            </w:tcBorders>
          </w:tcPr>
          <w:p w14:paraId="1B683FD4" w14:textId="2E14F56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378</w:t>
            </w:r>
          </w:p>
        </w:tc>
        <w:tc>
          <w:tcPr>
            <w:tcW w:w="596" w:type="pct"/>
            <w:tcBorders>
              <w:top w:val="nil"/>
              <w:left w:val="nil"/>
              <w:bottom w:val="nil"/>
              <w:right w:val="nil"/>
            </w:tcBorders>
          </w:tcPr>
          <w:p w14:paraId="096562B0" w14:textId="0F46052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22.24%</w:t>
            </w:r>
          </w:p>
        </w:tc>
        <w:tc>
          <w:tcPr>
            <w:tcW w:w="446" w:type="pct"/>
            <w:tcBorders>
              <w:top w:val="nil"/>
              <w:left w:val="nil"/>
              <w:bottom w:val="nil"/>
              <w:right w:val="nil"/>
            </w:tcBorders>
            <w:vAlign w:val="bottom"/>
          </w:tcPr>
          <w:p w14:paraId="1187B608" w14:textId="61202D5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323</w:t>
            </w:r>
          </w:p>
        </w:tc>
        <w:tc>
          <w:tcPr>
            <w:tcW w:w="596" w:type="pct"/>
            <w:tcBorders>
              <w:top w:val="nil"/>
              <w:left w:val="nil"/>
              <w:bottom w:val="nil"/>
              <w:right w:val="nil"/>
            </w:tcBorders>
            <w:vAlign w:val="bottom"/>
          </w:tcPr>
          <w:p w14:paraId="1E5F1E4F" w14:textId="0239570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19.00%</w:t>
            </w:r>
          </w:p>
        </w:tc>
        <w:tc>
          <w:tcPr>
            <w:tcW w:w="894" w:type="pct"/>
            <w:gridSpan w:val="3"/>
            <w:tcBorders>
              <w:top w:val="nil"/>
              <w:left w:val="nil"/>
              <w:bottom w:val="nil"/>
              <w:right w:val="nil"/>
            </w:tcBorders>
            <w:vAlign w:val="bottom"/>
          </w:tcPr>
          <w:p w14:paraId="421A8887" w14:textId="0D776E2D"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999</w:t>
            </w:r>
          </w:p>
        </w:tc>
        <w:tc>
          <w:tcPr>
            <w:tcW w:w="683" w:type="pct"/>
            <w:tcBorders>
              <w:top w:val="nil"/>
              <w:left w:val="nil"/>
              <w:bottom w:val="nil"/>
              <w:right w:val="nil"/>
            </w:tcBorders>
            <w:vAlign w:val="bottom"/>
          </w:tcPr>
          <w:p w14:paraId="0EF475FE" w14:textId="65F6B2A4"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58.76%</w:t>
            </w:r>
          </w:p>
        </w:tc>
      </w:tr>
      <w:tr w:rsidR="00065C81" w:rsidRPr="00A3505C" w14:paraId="3C997E42" w14:textId="77777777" w:rsidTr="002675A1">
        <w:trPr>
          <w:jc w:val="center"/>
        </w:trPr>
        <w:tc>
          <w:tcPr>
            <w:tcW w:w="321" w:type="pct"/>
            <w:tcBorders>
              <w:top w:val="nil"/>
              <w:left w:val="nil"/>
              <w:bottom w:val="nil"/>
              <w:right w:val="nil"/>
            </w:tcBorders>
          </w:tcPr>
          <w:p w14:paraId="094D6662"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2019</w:t>
            </w:r>
          </w:p>
        </w:tc>
        <w:tc>
          <w:tcPr>
            <w:tcW w:w="423" w:type="pct"/>
            <w:tcBorders>
              <w:top w:val="nil"/>
              <w:left w:val="nil"/>
              <w:bottom w:val="nil"/>
              <w:right w:val="nil"/>
            </w:tcBorders>
            <w:vAlign w:val="bottom"/>
          </w:tcPr>
          <w:p w14:paraId="795D695B" w14:textId="2054530F"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1,756</w:t>
            </w:r>
          </w:p>
        </w:tc>
        <w:tc>
          <w:tcPr>
            <w:tcW w:w="520" w:type="pct"/>
            <w:tcBorders>
              <w:top w:val="nil"/>
              <w:left w:val="nil"/>
              <w:bottom w:val="nil"/>
              <w:right w:val="nil"/>
            </w:tcBorders>
            <w:vAlign w:val="bottom"/>
          </w:tcPr>
          <w:p w14:paraId="0F9FCB43" w14:textId="0D57E311"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7.00%</w:t>
            </w:r>
          </w:p>
        </w:tc>
        <w:tc>
          <w:tcPr>
            <w:tcW w:w="522" w:type="pct"/>
            <w:tcBorders>
              <w:top w:val="nil"/>
              <w:left w:val="nil"/>
              <w:bottom w:val="nil"/>
              <w:right w:val="nil"/>
            </w:tcBorders>
          </w:tcPr>
          <w:p w14:paraId="00457EEB" w14:textId="18B6C11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408</w:t>
            </w:r>
          </w:p>
        </w:tc>
        <w:tc>
          <w:tcPr>
            <w:tcW w:w="596" w:type="pct"/>
            <w:tcBorders>
              <w:top w:val="nil"/>
              <w:left w:val="nil"/>
              <w:bottom w:val="nil"/>
              <w:right w:val="nil"/>
            </w:tcBorders>
          </w:tcPr>
          <w:p w14:paraId="0522ABFB" w14:textId="0189CA8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23.23%</w:t>
            </w:r>
          </w:p>
        </w:tc>
        <w:tc>
          <w:tcPr>
            <w:tcW w:w="446" w:type="pct"/>
            <w:tcBorders>
              <w:top w:val="nil"/>
              <w:left w:val="nil"/>
              <w:bottom w:val="nil"/>
              <w:right w:val="nil"/>
            </w:tcBorders>
            <w:vAlign w:val="bottom"/>
          </w:tcPr>
          <w:p w14:paraId="1E2C6EEA" w14:textId="3972A2B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319</w:t>
            </w:r>
          </w:p>
        </w:tc>
        <w:tc>
          <w:tcPr>
            <w:tcW w:w="596" w:type="pct"/>
            <w:tcBorders>
              <w:top w:val="nil"/>
              <w:left w:val="nil"/>
              <w:bottom w:val="nil"/>
              <w:right w:val="nil"/>
            </w:tcBorders>
            <w:vAlign w:val="bottom"/>
          </w:tcPr>
          <w:p w14:paraId="29A7C7BC" w14:textId="0140C81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18.17%</w:t>
            </w:r>
          </w:p>
        </w:tc>
        <w:tc>
          <w:tcPr>
            <w:tcW w:w="894" w:type="pct"/>
            <w:gridSpan w:val="3"/>
            <w:tcBorders>
              <w:top w:val="nil"/>
              <w:left w:val="nil"/>
              <w:bottom w:val="nil"/>
              <w:right w:val="nil"/>
            </w:tcBorders>
            <w:vAlign w:val="bottom"/>
          </w:tcPr>
          <w:p w14:paraId="24A637D9" w14:textId="25B5D30D"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1,029</w:t>
            </w:r>
          </w:p>
        </w:tc>
        <w:tc>
          <w:tcPr>
            <w:tcW w:w="683" w:type="pct"/>
            <w:tcBorders>
              <w:top w:val="nil"/>
              <w:left w:val="nil"/>
              <w:bottom w:val="nil"/>
              <w:right w:val="nil"/>
            </w:tcBorders>
            <w:vAlign w:val="bottom"/>
          </w:tcPr>
          <w:p w14:paraId="17B95909" w14:textId="08C1FEB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58.60%</w:t>
            </w:r>
          </w:p>
        </w:tc>
      </w:tr>
      <w:tr w:rsidR="00065C81" w:rsidRPr="00A3505C" w14:paraId="31BCECEA" w14:textId="77777777" w:rsidTr="002675A1">
        <w:trPr>
          <w:jc w:val="center"/>
        </w:trPr>
        <w:tc>
          <w:tcPr>
            <w:tcW w:w="321" w:type="pct"/>
            <w:tcBorders>
              <w:top w:val="nil"/>
              <w:left w:val="nil"/>
              <w:bottom w:val="nil"/>
              <w:right w:val="nil"/>
            </w:tcBorders>
          </w:tcPr>
          <w:p w14:paraId="678D6CD9"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2020</w:t>
            </w:r>
          </w:p>
        </w:tc>
        <w:tc>
          <w:tcPr>
            <w:tcW w:w="423" w:type="pct"/>
            <w:tcBorders>
              <w:top w:val="nil"/>
              <w:left w:val="nil"/>
              <w:bottom w:val="nil"/>
              <w:right w:val="nil"/>
            </w:tcBorders>
            <w:vAlign w:val="bottom"/>
          </w:tcPr>
          <w:p w14:paraId="3795B246" w14:textId="395F5B4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1,780</w:t>
            </w:r>
          </w:p>
        </w:tc>
        <w:tc>
          <w:tcPr>
            <w:tcW w:w="520" w:type="pct"/>
            <w:tcBorders>
              <w:top w:val="nil"/>
              <w:left w:val="nil"/>
              <w:bottom w:val="nil"/>
              <w:right w:val="nil"/>
            </w:tcBorders>
            <w:vAlign w:val="bottom"/>
          </w:tcPr>
          <w:p w14:paraId="04E5016C" w14:textId="7FAEB66C"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7.10%</w:t>
            </w:r>
          </w:p>
        </w:tc>
        <w:tc>
          <w:tcPr>
            <w:tcW w:w="522" w:type="pct"/>
            <w:tcBorders>
              <w:top w:val="nil"/>
              <w:left w:val="nil"/>
              <w:bottom w:val="nil"/>
              <w:right w:val="nil"/>
            </w:tcBorders>
          </w:tcPr>
          <w:p w14:paraId="6074457A" w14:textId="2D4B3FF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402</w:t>
            </w:r>
          </w:p>
        </w:tc>
        <w:tc>
          <w:tcPr>
            <w:tcW w:w="596" w:type="pct"/>
            <w:tcBorders>
              <w:top w:val="nil"/>
              <w:left w:val="nil"/>
              <w:bottom w:val="nil"/>
              <w:right w:val="nil"/>
            </w:tcBorders>
          </w:tcPr>
          <w:p w14:paraId="679A50D4" w14:textId="616B81A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22.58%</w:t>
            </w:r>
          </w:p>
        </w:tc>
        <w:tc>
          <w:tcPr>
            <w:tcW w:w="446" w:type="pct"/>
            <w:tcBorders>
              <w:top w:val="nil"/>
              <w:left w:val="nil"/>
              <w:bottom w:val="nil"/>
              <w:right w:val="nil"/>
            </w:tcBorders>
            <w:vAlign w:val="bottom"/>
          </w:tcPr>
          <w:p w14:paraId="261BCA5B" w14:textId="140652E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317</w:t>
            </w:r>
          </w:p>
        </w:tc>
        <w:tc>
          <w:tcPr>
            <w:tcW w:w="596" w:type="pct"/>
            <w:tcBorders>
              <w:top w:val="nil"/>
              <w:left w:val="nil"/>
              <w:bottom w:val="nil"/>
              <w:right w:val="nil"/>
            </w:tcBorders>
            <w:vAlign w:val="bottom"/>
          </w:tcPr>
          <w:p w14:paraId="132EC9C5" w14:textId="60600FC5"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17.81%</w:t>
            </w:r>
          </w:p>
        </w:tc>
        <w:tc>
          <w:tcPr>
            <w:tcW w:w="894" w:type="pct"/>
            <w:gridSpan w:val="3"/>
            <w:tcBorders>
              <w:top w:val="nil"/>
              <w:left w:val="nil"/>
              <w:bottom w:val="nil"/>
              <w:right w:val="nil"/>
            </w:tcBorders>
            <w:vAlign w:val="bottom"/>
          </w:tcPr>
          <w:p w14:paraId="04FF53B3" w14:textId="623B27B2"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1,061</w:t>
            </w:r>
          </w:p>
        </w:tc>
        <w:tc>
          <w:tcPr>
            <w:tcW w:w="683" w:type="pct"/>
            <w:tcBorders>
              <w:top w:val="nil"/>
              <w:left w:val="nil"/>
              <w:bottom w:val="nil"/>
              <w:right w:val="nil"/>
            </w:tcBorders>
            <w:vAlign w:val="bottom"/>
          </w:tcPr>
          <w:p w14:paraId="523AB84B" w14:textId="04FF1EAB"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59.61%</w:t>
            </w:r>
          </w:p>
        </w:tc>
      </w:tr>
      <w:tr w:rsidR="00065C81" w:rsidRPr="00A3505C" w14:paraId="39A0907C" w14:textId="77777777" w:rsidTr="002675A1">
        <w:trPr>
          <w:jc w:val="center"/>
        </w:trPr>
        <w:tc>
          <w:tcPr>
            <w:tcW w:w="321" w:type="pct"/>
            <w:tcBorders>
              <w:top w:val="nil"/>
              <w:left w:val="nil"/>
              <w:bottom w:val="nil"/>
              <w:right w:val="nil"/>
            </w:tcBorders>
          </w:tcPr>
          <w:p w14:paraId="7BD102FB" w14:textId="0D189D69"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2021</w:t>
            </w:r>
          </w:p>
        </w:tc>
        <w:tc>
          <w:tcPr>
            <w:tcW w:w="423" w:type="pct"/>
            <w:tcBorders>
              <w:top w:val="nil"/>
              <w:left w:val="nil"/>
              <w:bottom w:val="nil"/>
              <w:right w:val="nil"/>
            </w:tcBorders>
            <w:vAlign w:val="bottom"/>
          </w:tcPr>
          <w:p w14:paraId="1C6C4149" w14:textId="1A3C83D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2,525</w:t>
            </w:r>
          </w:p>
        </w:tc>
        <w:tc>
          <w:tcPr>
            <w:tcW w:w="520" w:type="pct"/>
            <w:tcBorders>
              <w:top w:val="nil"/>
              <w:left w:val="nil"/>
              <w:bottom w:val="nil"/>
              <w:right w:val="nil"/>
            </w:tcBorders>
            <w:vAlign w:val="bottom"/>
          </w:tcPr>
          <w:p w14:paraId="001148CB" w14:textId="6C9956B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10.07%</w:t>
            </w:r>
          </w:p>
        </w:tc>
        <w:tc>
          <w:tcPr>
            <w:tcW w:w="522" w:type="pct"/>
            <w:tcBorders>
              <w:top w:val="nil"/>
              <w:left w:val="nil"/>
              <w:bottom w:val="nil"/>
              <w:right w:val="nil"/>
            </w:tcBorders>
          </w:tcPr>
          <w:p w14:paraId="32223ADC" w14:textId="3AE17C8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456</w:t>
            </w:r>
          </w:p>
        </w:tc>
        <w:tc>
          <w:tcPr>
            <w:tcW w:w="596" w:type="pct"/>
            <w:tcBorders>
              <w:top w:val="nil"/>
              <w:left w:val="nil"/>
              <w:bottom w:val="nil"/>
              <w:right w:val="nil"/>
            </w:tcBorders>
          </w:tcPr>
          <w:p w14:paraId="6638DCB8" w14:textId="745A014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18.06%</w:t>
            </w:r>
          </w:p>
        </w:tc>
        <w:tc>
          <w:tcPr>
            <w:tcW w:w="446" w:type="pct"/>
            <w:tcBorders>
              <w:top w:val="nil"/>
              <w:left w:val="nil"/>
              <w:bottom w:val="nil"/>
              <w:right w:val="nil"/>
            </w:tcBorders>
            <w:vAlign w:val="bottom"/>
          </w:tcPr>
          <w:p w14:paraId="2E785B4F" w14:textId="51A783FE"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572</w:t>
            </w:r>
          </w:p>
        </w:tc>
        <w:tc>
          <w:tcPr>
            <w:tcW w:w="596" w:type="pct"/>
            <w:tcBorders>
              <w:top w:val="nil"/>
              <w:left w:val="nil"/>
              <w:bottom w:val="nil"/>
              <w:right w:val="nil"/>
            </w:tcBorders>
            <w:vAlign w:val="bottom"/>
          </w:tcPr>
          <w:p w14:paraId="5A539EB8" w14:textId="6049E54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22.65%</w:t>
            </w:r>
          </w:p>
        </w:tc>
        <w:tc>
          <w:tcPr>
            <w:tcW w:w="894" w:type="pct"/>
            <w:gridSpan w:val="3"/>
            <w:tcBorders>
              <w:top w:val="nil"/>
              <w:left w:val="nil"/>
              <w:bottom w:val="nil"/>
              <w:right w:val="nil"/>
            </w:tcBorders>
            <w:vAlign w:val="bottom"/>
          </w:tcPr>
          <w:p w14:paraId="54FCDB73" w14:textId="126ECE94"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1,497</w:t>
            </w:r>
          </w:p>
        </w:tc>
        <w:tc>
          <w:tcPr>
            <w:tcW w:w="683" w:type="pct"/>
            <w:tcBorders>
              <w:top w:val="nil"/>
              <w:left w:val="nil"/>
              <w:bottom w:val="nil"/>
              <w:right w:val="nil"/>
            </w:tcBorders>
            <w:vAlign w:val="bottom"/>
          </w:tcPr>
          <w:p w14:paraId="037BA61E" w14:textId="4A482E8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59.29%</w:t>
            </w:r>
          </w:p>
        </w:tc>
      </w:tr>
      <w:tr w:rsidR="00065C81" w:rsidRPr="00A3505C" w14:paraId="335DB760" w14:textId="77777777" w:rsidTr="002675A1">
        <w:trPr>
          <w:jc w:val="center"/>
        </w:trPr>
        <w:tc>
          <w:tcPr>
            <w:tcW w:w="321" w:type="pct"/>
            <w:tcBorders>
              <w:top w:val="nil"/>
              <w:left w:val="nil"/>
              <w:bottom w:val="nil"/>
              <w:right w:val="nil"/>
            </w:tcBorders>
          </w:tcPr>
          <w:p w14:paraId="6F6462B8" w14:textId="564A1FBD"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2022</w:t>
            </w:r>
          </w:p>
        </w:tc>
        <w:tc>
          <w:tcPr>
            <w:tcW w:w="423" w:type="pct"/>
            <w:tcBorders>
              <w:top w:val="nil"/>
              <w:left w:val="nil"/>
              <w:bottom w:val="nil"/>
              <w:right w:val="nil"/>
            </w:tcBorders>
            <w:vAlign w:val="bottom"/>
          </w:tcPr>
          <w:p w14:paraId="792C1D62" w14:textId="1E9A7D90"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2,217</w:t>
            </w:r>
          </w:p>
        </w:tc>
        <w:tc>
          <w:tcPr>
            <w:tcW w:w="520" w:type="pct"/>
            <w:tcBorders>
              <w:top w:val="nil"/>
              <w:left w:val="nil"/>
              <w:bottom w:val="nil"/>
              <w:right w:val="nil"/>
            </w:tcBorders>
            <w:vAlign w:val="bottom"/>
          </w:tcPr>
          <w:p w14:paraId="2C703236" w14:textId="51A10366"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8.84%</w:t>
            </w:r>
          </w:p>
        </w:tc>
        <w:tc>
          <w:tcPr>
            <w:tcW w:w="522" w:type="pct"/>
            <w:tcBorders>
              <w:top w:val="nil"/>
              <w:left w:val="nil"/>
              <w:bottom w:val="nil"/>
              <w:right w:val="nil"/>
            </w:tcBorders>
          </w:tcPr>
          <w:p w14:paraId="674313F6" w14:textId="7773682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371</w:t>
            </w:r>
          </w:p>
        </w:tc>
        <w:tc>
          <w:tcPr>
            <w:tcW w:w="596" w:type="pct"/>
            <w:tcBorders>
              <w:top w:val="nil"/>
              <w:left w:val="nil"/>
              <w:bottom w:val="nil"/>
              <w:right w:val="nil"/>
            </w:tcBorders>
          </w:tcPr>
          <w:p w14:paraId="1361B61D" w14:textId="3BEFF0E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16.73%</w:t>
            </w:r>
          </w:p>
        </w:tc>
        <w:tc>
          <w:tcPr>
            <w:tcW w:w="446" w:type="pct"/>
            <w:tcBorders>
              <w:top w:val="nil"/>
              <w:left w:val="nil"/>
              <w:bottom w:val="nil"/>
              <w:right w:val="nil"/>
            </w:tcBorders>
            <w:vAlign w:val="bottom"/>
          </w:tcPr>
          <w:p w14:paraId="26941FAC" w14:textId="227F8ED4"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551</w:t>
            </w:r>
          </w:p>
        </w:tc>
        <w:tc>
          <w:tcPr>
            <w:tcW w:w="596" w:type="pct"/>
            <w:tcBorders>
              <w:top w:val="nil"/>
              <w:left w:val="nil"/>
              <w:bottom w:val="nil"/>
              <w:right w:val="nil"/>
            </w:tcBorders>
            <w:vAlign w:val="bottom"/>
          </w:tcPr>
          <w:p w14:paraId="1B8FD89C" w14:textId="0DECA0F8"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24.85%</w:t>
            </w:r>
          </w:p>
        </w:tc>
        <w:tc>
          <w:tcPr>
            <w:tcW w:w="894" w:type="pct"/>
            <w:gridSpan w:val="3"/>
            <w:tcBorders>
              <w:top w:val="nil"/>
              <w:left w:val="nil"/>
              <w:bottom w:val="nil"/>
              <w:right w:val="nil"/>
            </w:tcBorders>
            <w:vAlign w:val="bottom"/>
          </w:tcPr>
          <w:p w14:paraId="7875AB51" w14:textId="3FF7C15B"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1,295</w:t>
            </w:r>
          </w:p>
        </w:tc>
        <w:tc>
          <w:tcPr>
            <w:tcW w:w="683" w:type="pct"/>
            <w:tcBorders>
              <w:top w:val="nil"/>
              <w:left w:val="nil"/>
              <w:bottom w:val="nil"/>
              <w:right w:val="nil"/>
            </w:tcBorders>
            <w:vAlign w:val="bottom"/>
          </w:tcPr>
          <w:p w14:paraId="553A29AD" w14:textId="4E2D0765"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58.41%</w:t>
            </w:r>
          </w:p>
        </w:tc>
      </w:tr>
      <w:tr w:rsidR="00065C81" w:rsidRPr="00A3505C" w14:paraId="5EF2FF0D" w14:textId="77777777" w:rsidTr="002675A1">
        <w:trPr>
          <w:jc w:val="center"/>
        </w:trPr>
        <w:tc>
          <w:tcPr>
            <w:tcW w:w="321" w:type="pct"/>
            <w:tcBorders>
              <w:top w:val="nil"/>
              <w:left w:val="nil"/>
              <w:bottom w:val="single" w:sz="4" w:space="0" w:color="auto"/>
              <w:right w:val="nil"/>
            </w:tcBorders>
          </w:tcPr>
          <w:p w14:paraId="37D9946A" w14:textId="77777777" w:rsidR="00AF4B03" w:rsidRPr="00A3505C" w:rsidRDefault="00AF4B03" w:rsidP="00AF4B03">
            <w:pPr>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Total</w:t>
            </w:r>
          </w:p>
        </w:tc>
        <w:tc>
          <w:tcPr>
            <w:tcW w:w="423" w:type="pct"/>
            <w:tcBorders>
              <w:top w:val="nil"/>
              <w:left w:val="nil"/>
              <w:bottom w:val="single" w:sz="4" w:space="0" w:color="auto"/>
              <w:right w:val="nil"/>
            </w:tcBorders>
          </w:tcPr>
          <w:p w14:paraId="311F8452" w14:textId="04FA7E2B"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25,069</w:t>
            </w:r>
          </w:p>
        </w:tc>
        <w:tc>
          <w:tcPr>
            <w:tcW w:w="520" w:type="pct"/>
            <w:tcBorders>
              <w:top w:val="nil"/>
              <w:left w:val="nil"/>
              <w:bottom w:val="single" w:sz="4" w:space="0" w:color="auto"/>
              <w:right w:val="nil"/>
            </w:tcBorders>
            <w:vAlign w:val="bottom"/>
          </w:tcPr>
          <w:p w14:paraId="21240127" w14:textId="77777777"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100.00%</w:t>
            </w:r>
          </w:p>
        </w:tc>
        <w:tc>
          <w:tcPr>
            <w:tcW w:w="522" w:type="pct"/>
            <w:tcBorders>
              <w:top w:val="nil"/>
              <w:left w:val="nil"/>
              <w:bottom w:val="single" w:sz="4" w:space="0" w:color="auto"/>
              <w:right w:val="nil"/>
            </w:tcBorders>
          </w:tcPr>
          <w:p w14:paraId="7D4CF3F4" w14:textId="7C6D602A"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4,579</w:t>
            </w:r>
          </w:p>
        </w:tc>
        <w:tc>
          <w:tcPr>
            <w:tcW w:w="596" w:type="pct"/>
            <w:tcBorders>
              <w:top w:val="nil"/>
              <w:left w:val="nil"/>
              <w:bottom w:val="single" w:sz="4" w:space="0" w:color="auto"/>
              <w:right w:val="nil"/>
            </w:tcBorders>
          </w:tcPr>
          <w:p w14:paraId="0C37E017" w14:textId="321FA999"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18.27%</w:t>
            </w:r>
          </w:p>
        </w:tc>
        <w:tc>
          <w:tcPr>
            <w:tcW w:w="446" w:type="pct"/>
            <w:tcBorders>
              <w:top w:val="nil"/>
              <w:left w:val="nil"/>
              <w:bottom w:val="single" w:sz="4" w:space="0" w:color="auto"/>
              <w:right w:val="nil"/>
            </w:tcBorders>
            <w:vAlign w:val="bottom"/>
          </w:tcPr>
          <w:p w14:paraId="569C7CFD" w14:textId="483C07A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5,897</w:t>
            </w:r>
          </w:p>
        </w:tc>
        <w:tc>
          <w:tcPr>
            <w:tcW w:w="596" w:type="pct"/>
            <w:tcBorders>
              <w:top w:val="nil"/>
              <w:left w:val="nil"/>
              <w:bottom w:val="single" w:sz="4" w:space="0" w:color="auto"/>
              <w:right w:val="nil"/>
            </w:tcBorders>
            <w:vAlign w:val="bottom"/>
          </w:tcPr>
          <w:p w14:paraId="4C73DD50" w14:textId="64539792"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23.52%</w:t>
            </w:r>
          </w:p>
        </w:tc>
        <w:tc>
          <w:tcPr>
            <w:tcW w:w="894" w:type="pct"/>
            <w:gridSpan w:val="3"/>
            <w:tcBorders>
              <w:top w:val="nil"/>
              <w:left w:val="nil"/>
              <w:bottom w:val="single" w:sz="4" w:space="0" w:color="auto"/>
              <w:right w:val="nil"/>
            </w:tcBorders>
            <w:vAlign w:val="bottom"/>
          </w:tcPr>
          <w:p w14:paraId="13FE1304" w14:textId="060009CC" w:rsidR="00AF4B03" w:rsidRPr="00A3505C" w:rsidRDefault="00AF4B03" w:rsidP="00B17749">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14,593</w:t>
            </w:r>
          </w:p>
        </w:tc>
        <w:tc>
          <w:tcPr>
            <w:tcW w:w="683" w:type="pct"/>
            <w:tcBorders>
              <w:top w:val="nil"/>
              <w:left w:val="nil"/>
              <w:bottom w:val="single" w:sz="4" w:space="0" w:color="auto"/>
              <w:right w:val="nil"/>
            </w:tcBorders>
            <w:vAlign w:val="bottom"/>
          </w:tcPr>
          <w:p w14:paraId="152C48D6" w14:textId="73928593" w:rsidR="00AF4B03" w:rsidRPr="00A3505C" w:rsidRDefault="00AF4B03" w:rsidP="00AF4B03">
            <w:pPr>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58.21%</w:t>
            </w:r>
          </w:p>
        </w:tc>
      </w:tr>
    </w:tbl>
    <w:p w14:paraId="7F5DC3CB" w14:textId="447E744E" w:rsidR="00227680" w:rsidRPr="00A3505C" w:rsidRDefault="00C2449D" w:rsidP="007A50B5">
      <w:pPr>
        <w:adjustRightInd w:val="0"/>
        <w:snapToGrid w:val="0"/>
        <w:spacing w:before="120" w:after="0" w:line="240" w:lineRule="auto"/>
        <w:rPr>
          <w:rFonts w:ascii="Times New Roman" w:hAnsi="Times New Roman" w:cs="Times New Roman"/>
          <w:sz w:val="20"/>
          <w:szCs w:val="20"/>
        </w:rPr>
        <w:sectPr w:rsidR="00227680" w:rsidRPr="00A3505C" w:rsidSect="003E7ACF">
          <w:pgSz w:w="11906" w:h="16838"/>
          <w:pgMar w:top="1440" w:right="1191" w:bottom="1440" w:left="1191" w:header="709" w:footer="709" w:gutter="0"/>
          <w:cols w:space="708"/>
          <w:docGrid w:linePitch="360"/>
        </w:sectPr>
      </w:pPr>
      <w:r w:rsidRPr="00A3505C">
        <w:rPr>
          <w:rFonts w:ascii="Times New Roman" w:hAnsi="Times New Roman" w:cs="Times New Roman"/>
          <w:sz w:val="20"/>
          <w:szCs w:val="20"/>
        </w:rPr>
        <w:t>Note</w:t>
      </w:r>
      <w:r w:rsidR="00FC54D3" w:rsidRPr="00A3505C">
        <w:rPr>
          <w:rFonts w:ascii="Times New Roman" w:hAnsi="Times New Roman" w:cs="Times New Roman" w:hint="eastAsia"/>
          <w:sz w:val="20"/>
          <w:szCs w:val="20"/>
        </w:rPr>
        <w:t>s</w:t>
      </w:r>
      <w:r w:rsidRPr="00A3505C">
        <w:rPr>
          <w:rFonts w:ascii="Times New Roman" w:hAnsi="Times New Roman" w:cs="Times New Roman"/>
          <w:sz w:val="20"/>
          <w:szCs w:val="20"/>
        </w:rPr>
        <w:t>:</w:t>
      </w:r>
      <w:r w:rsidR="0080131C" w:rsidRPr="00A3505C">
        <w:rPr>
          <w:rFonts w:ascii="Times New Roman" w:hAnsi="Times New Roman" w:cs="Times New Roman"/>
          <w:sz w:val="20"/>
          <w:szCs w:val="20"/>
        </w:rPr>
        <w:t xml:space="preserve"> </w:t>
      </w:r>
      <w:r w:rsidR="00AE64FA" w:rsidRPr="00A3505C">
        <w:rPr>
          <w:rFonts w:ascii="Times New Roman" w:hAnsi="Times New Roman" w:cs="Times New Roman"/>
          <w:sz w:val="20"/>
          <w:szCs w:val="20"/>
        </w:rPr>
        <w:t>This table reports the sample selection process and sample distribution</w:t>
      </w:r>
      <w:r w:rsidR="003E7ACF" w:rsidRPr="00A3505C">
        <w:rPr>
          <w:rFonts w:ascii="Times New Roman" w:hAnsi="Times New Roman" w:cs="Times New Roman"/>
          <w:sz w:val="20"/>
          <w:szCs w:val="20"/>
        </w:rPr>
        <w:t xml:space="preserve"> by year</w:t>
      </w:r>
      <w:r w:rsidR="00AE64FA" w:rsidRPr="00A3505C">
        <w:rPr>
          <w:rFonts w:ascii="Times New Roman" w:hAnsi="Times New Roman" w:cs="Times New Roman"/>
          <w:sz w:val="20"/>
          <w:szCs w:val="20"/>
        </w:rPr>
        <w:t>.</w:t>
      </w:r>
    </w:p>
    <w:p w14:paraId="59DEB62D" w14:textId="545A22C4" w:rsidR="00B07192" w:rsidRPr="00A3505C" w:rsidRDefault="00440C53" w:rsidP="009C6FF3">
      <w:pPr>
        <w:adjustRightInd w:val="0"/>
        <w:snapToGrid w:val="0"/>
        <w:spacing w:after="120" w:line="264" w:lineRule="auto"/>
        <w:jc w:val="center"/>
        <w:rPr>
          <w:rFonts w:ascii="Times New Roman" w:hAnsi="Times New Roman" w:cs="Times New Roman"/>
          <w:b/>
          <w:bCs/>
          <w:sz w:val="24"/>
          <w:szCs w:val="24"/>
        </w:rPr>
      </w:pPr>
      <w:r w:rsidRPr="00A3505C">
        <w:rPr>
          <w:rFonts w:ascii="Times New Roman" w:hAnsi="Times New Roman" w:cs="Times New Roman"/>
          <w:b/>
          <w:bCs/>
          <w:sz w:val="24"/>
          <w:szCs w:val="24"/>
        </w:rPr>
        <w:lastRenderedPageBreak/>
        <w:t>Table</w:t>
      </w:r>
      <w:r w:rsidR="00E46104" w:rsidRPr="00A3505C">
        <w:rPr>
          <w:rFonts w:ascii="Times New Roman" w:hAnsi="Times New Roman" w:cs="Times New Roman"/>
          <w:b/>
          <w:bCs/>
          <w:sz w:val="24"/>
          <w:szCs w:val="24"/>
        </w:rPr>
        <w:t xml:space="preserve"> </w:t>
      </w:r>
      <w:r w:rsidR="0066501E" w:rsidRPr="00A3505C">
        <w:rPr>
          <w:rFonts w:ascii="Times New Roman" w:hAnsi="Times New Roman" w:cs="Times New Roman"/>
          <w:b/>
          <w:bCs/>
          <w:sz w:val="24"/>
          <w:szCs w:val="24"/>
        </w:rPr>
        <w:t>3</w:t>
      </w:r>
      <w:r w:rsidR="00E46104" w:rsidRPr="00A3505C">
        <w:rPr>
          <w:rFonts w:ascii="Times New Roman" w:hAnsi="Times New Roman" w:cs="Times New Roman"/>
          <w:b/>
          <w:bCs/>
          <w:sz w:val="24"/>
          <w:szCs w:val="24"/>
        </w:rPr>
        <w:t>.</w:t>
      </w:r>
      <w:r w:rsidR="00B07192" w:rsidRPr="00A3505C">
        <w:rPr>
          <w:rFonts w:ascii="Times New Roman" w:hAnsi="Times New Roman" w:cs="Times New Roman"/>
          <w:b/>
          <w:bCs/>
          <w:sz w:val="24"/>
          <w:szCs w:val="24"/>
        </w:rPr>
        <w:t xml:space="preserve"> </w:t>
      </w:r>
      <w:r w:rsidR="00B07192" w:rsidRPr="00A3505C">
        <w:rPr>
          <w:rFonts w:ascii="Times New Roman" w:hAnsi="Times New Roman" w:cs="Times New Roman"/>
          <w:b/>
          <w:sz w:val="24"/>
          <w:szCs w:val="24"/>
        </w:rPr>
        <w:t>Descriptive statistics</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225"/>
        <w:gridCol w:w="1225"/>
        <w:gridCol w:w="1226"/>
        <w:gridCol w:w="1226"/>
        <w:gridCol w:w="1226"/>
        <w:gridCol w:w="1228"/>
        <w:gridCol w:w="1226"/>
        <w:gridCol w:w="1226"/>
        <w:gridCol w:w="1228"/>
      </w:tblGrid>
      <w:tr w:rsidR="00A3505C" w:rsidRPr="0040268F" w14:paraId="4B4FD4A8" w14:textId="77777777" w:rsidTr="0040268F">
        <w:trPr>
          <w:trHeight w:val="70"/>
          <w:jc w:val="center"/>
        </w:trPr>
        <w:tc>
          <w:tcPr>
            <w:tcW w:w="5000" w:type="pct"/>
            <w:gridSpan w:val="10"/>
            <w:tcBorders>
              <w:top w:val="single" w:sz="4" w:space="0" w:color="auto"/>
            </w:tcBorders>
          </w:tcPr>
          <w:p w14:paraId="2C1C0DF2" w14:textId="5BAE2DEC" w:rsidR="00CF57F1" w:rsidRPr="0040268F" w:rsidRDefault="00CF57F1" w:rsidP="00CF57F1">
            <w:pPr>
              <w:adjustRightInd w:val="0"/>
              <w:snapToGrid w:val="0"/>
              <w:spacing w:before="60" w:after="60" w:line="264" w:lineRule="auto"/>
              <w:jc w:val="both"/>
              <w:rPr>
                <w:rFonts w:ascii="Times New Roman" w:hAnsi="Times New Roman" w:cs="Times New Roman"/>
                <w:b/>
                <w:bCs/>
                <w:sz w:val="18"/>
                <w:szCs w:val="18"/>
              </w:rPr>
            </w:pPr>
            <w:r w:rsidRPr="0040268F">
              <w:rPr>
                <w:rFonts w:ascii="Times New Roman" w:hAnsi="Times New Roman" w:cs="Times New Roman"/>
                <w:b/>
                <w:bCs/>
                <w:sz w:val="18"/>
                <w:szCs w:val="18"/>
              </w:rPr>
              <w:t xml:space="preserve">Panel A. </w:t>
            </w:r>
            <w:r w:rsidR="001802FE" w:rsidRPr="0040268F">
              <w:rPr>
                <w:rFonts w:ascii="Times New Roman" w:hAnsi="Times New Roman" w:cs="Times New Roman"/>
                <w:b/>
                <w:bCs/>
                <w:sz w:val="18"/>
                <w:szCs w:val="18"/>
              </w:rPr>
              <w:t>Descriptive statistics of the full sample</w:t>
            </w:r>
          </w:p>
        </w:tc>
      </w:tr>
      <w:tr w:rsidR="00A3505C" w:rsidRPr="0040268F" w14:paraId="5193DF3D" w14:textId="77777777" w:rsidTr="0040268F">
        <w:trPr>
          <w:trHeight w:val="530"/>
          <w:jc w:val="center"/>
        </w:trPr>
        <w:tc>
          <w:tcPr>
            <w:tcW w:w="1047" w:type="pct"/>
            <w:tcBorders>
              <w:top w:val="single" w:sz="4" w:space="0" w:color="auto"/>
            </w:tcBorders>
          </w:tcPr>
          <w:p w14:paraId="0A7FE33C" w14:textId="77777777" w:rsidR="009B75FB" w:rsidRPr="0040268F" w:rsidRDefault="009B75FB" w:rsidP="00D43F75">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sz w:val="18"/>
                <w:szCs w:val="18"/>
              </w:rPr>
              <w:t>Variable</w:t>
            </w:r>
          </w:p>
        </w:tc>
        <w:tc>
          <w:tcPr>
            <w:tcW w:w="1316" w:type="pct"/>
            <w:gridSpan w:val="3"/>
            <w:tcBorders>
              <w:top w:val="single" w:sz="4" w:space="0" w:color="auto"/>
              <w:bottom w:val="single" w:sz="4" w:space="0" w:color="auto"/>
            </w:tcBorders>
          </w:tcPr>
          <w:p w14:paraId="087C2135" w14:textId="549FE3C8"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Growth-oriented firm</w:t>
            </w:r>
            <w:r w:rsidR="00D22BD9" w:rsidRPr="0040268F">
              <w:rPr>
                <w:rFonts w:ascii="Times New Roman" w:hAnsi="Times New Roman" w:cs="Times New Roman"/>
                <w:sz w:val="18"/>
                <w:szCs w:val="18"/>
              </w:rPr>
              <w:t>-year</w:t>
            </w:r>
            <w:r w:rsidRPr="0040268F">
              <w:rPr>
                <w:rFonts w:ascii="Times New Roman" w:hAnsi="Times New Roman" w:cs="Times New Roman"/>
                <w:sz w:val="18"/>
                <w:szCs w:val="18"/>
              </w:rPr>
              <w:t>s</w:t>
            </w:r>
          </w:p>
          <w:p w14:paraId="336F3260" w14:textId="16E63AD2"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w:t>
            </w:r>
            <w:r w:rsidRPr="0040268F">
              <w:rPr>
                <w:rFonts w:ascii="Times New Roman" w:hAnsi="Times New Roman" w:cs="Times New Roman"/>
                <w:i/>
                <w:sz w:val="18"/>
                <w:szCs w:val="18"/>
              </w:rPr>
              <w:t>Growth</w:t>
            </w:r>
            <w:r w:rsidRPr="0040268F">
              <w:rPr>
                <w:rFonts w:ascii="Times New Roman" w:hAnsi="Times New Roman" w:cs="Times New Roman"/>
                <w:i/>
                <w:iCs/>
                <w:sz w:val="18"/>
                <w:szCs w:val="18"/>
              </w:rPr>
              <w:t xml:space="preserve"> v. Profit and </w:t>
            </w:r>
            <w:r w:rsidR="00CE5C57" w:rsidRPr="0040268F">
              <w:rPr>
                <w:rFonts w:ascii="Times New Roman" w:hAnsi="Times New Roman" w:cs="Times New Roman"/>
                <w:i/>
                <w:iCs/>
                <w:sz w:val="18"/>
                <w:szCs w:val="18"/>
              </w:rPr>
              <w:t>Neither-Nor</w:t>
            </w:r>
            <w:r w:rsidRPr="0040268F">
              <w:rPr>
                <w:rFonts w:ascii="Times New Roman" w:hAnsi="Times New Roman" w:cs="Times New Roman"/>
                <w:sz w:val="18"/>
                <w:szCs w:val="18"/>
              </w:rPr>
              <w:t xml:space="preserve"> = 1)</w:t>
            </w:r>
          </w:p>
        </w:tc>
        <w:tc>
          <w:tcPr>
            <w:tcW w:w="1318" w:type="pct"/>
            <w:gridSpan w:val="3"/>
            <w:tcBorders>
              <w:top w:val="single" w:sz="4" w:space="0" w:color="auto"/>
              <w:bottom w:val="single" w:sz="4" w:space="0" w:color="auto"/>
            </w:tcBorders>
          </w:tcPr>
          <w:p w14:paraId="63F9341B" w14:textId="02777E0F"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Profit-oriented firm</w:t>
            </w:r>
            <w:r w:rsidR="00D22BD9" w:rsidRPr="0040268F">
              <w:rPr>
                <w:rFonts w:ascii="Times New Roman" w:hAnsi="Times New Roman" w:cs="Times New Roman"/>
                <w:sz w:val="18"/>
                <w:szCs w:val="18"/>
              </w:rPr>
              <w:t>-year</w:t>
            </w:r>
            <w:r w:rsidRPr="0040268F">
              <w:rPr>
                <w:rFonts w:ascii="Times New Roman" w:hAnsi="Times New Roman" w:cs="Times New Roman"/>
                <w:sz w:val="18"/>
                <w:szCs w:val="18"/>
              </w:rPr>
              <w:t>s</w:t>
            </w:r>
          </w:p>
          <w:p w14:paraId="4430AE8E" w14:textId="46212C5A"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w:t>
            </w:r>
            <w:r w:rsidRPr="0040268F">
              <w:rPr>
                <w:rFonts w:ascii="Times New Roman" w:hAnsi="Times New Roman" w:cs="Times New Roman"/>
                <w:i/>
                <w:sz w:val="18"/>
                <w:szCs w:val="18"/>
              </w:rPr>
              <w:t>Profit</w:t>
            </w:r>
            <w:r w:rsidRPr="0040268F">
              <w:rPr>
                <w:rFonts w:ascii="Times New Roman" w:hAnsi="Times New Roman" w:cs="Times New Roman"/>
                <w:i/>
                <w:iCs/>
                <w:sz w:val="18"/>
                <w:szCs w:val="18"/>
              </w:rPr>
              <w:t xml:space="preserve"> v. Growth and </w:t>
            </w:r>
            <w:r w:rsidR="00CE5C57" w:rsidRPr="0040268F">
              <w:rPr>
                <w:rFonts w:ascii="Times New Roman" w:hAnsi="Times New Roman" w:cs="Times New Roman"/>
                <w:i/>
                <w:iCs/>
                <w:sz w:val="18"/>
                <w:szCs w:val="18"/>
              </w:rPr>
              <w:t>Neither-Nor</w:t>
            </w:r>
            <w:r w:rsidRPr="0040268F">
              <w:rPr>
                <w:rFonts w:ascii="Times New Roman" w:hAnsi="Times New Roman" w:cs="Times New Roman"/>
                <w:sz w:val="18"/>
                <w:szCs w:val="18"/>
              </w:rPr>
              <w:t xml:space="preserve"> = 1)</w:t>
            </w:r>
          </w:p>
        </w:tc>
        <w:tc>
          <w:tcPr>
            <w:tcW w:w="1319" w:type="pct"/>
            <w:gridSpan w:val="3"/>
            <w:tcBorders>
              <w:top w:val="single" w:sz="4" w:space="0" w:color="auto"/>
              <w:bottom w:val="single" w:sz="4" w:space="0" w:color="auto"/>
            </w:tcBorders>
          </w:tcPr>
          <w:p w14:paraId="5D7C0C2B" w14:textId="4B3E8492" w:rsidR="009B75FB" w:rsidRPr="0040268F" w:rsidRDefault="00A2370C"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Neither-nor-oriented</w:t>
            </w:r>
            <w:r w:rsidR="009B75FB" w:rsidRPr="0040268F">
              <w:rPr>
                <w:rFonts w:ascii="Times New Roman" w:hAnsi="Times New Roman" w:cs="Times New Roman"/>
                <w:sz w:val="18"/>
                <w:szCs w:val="18"/>
              </w:rPr>
              <w:t xml:space="preserve"> firm</w:t>
            </w:r>
            <w:r w:rsidR="00D22BD9" w:rsidRPr="0040268F">
              <w:rPr>
                <w:rFonts w:ascii="Times New Roman" w:hAnsi="Times New Roman" w:cs="Times New Roman"/>
                <w:sz w:val="18"/>
                <w:szCs w:val="18"/>
              </w:rPr>
              <w:t>-year</w:t>
            </w:r>
            <w:r w:rsidR="009B75FB" w:rsidRPr="0040268F">
              <w:rPr>
                <w:rFonts w:ascii="Times New Roman" w:hAnsi="Times New Roman" w:cs="Times New Roman"/>
                <w:sz w:val="18"/>
                <w:szCs w:val="18"/>
              </w:rPr>
              <w:t>s</w:t>
            </w:r>
          </w:p>
          <w:p w14:paraId="1AA546A5" w14:textId="72D42986"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w:t>
            </w:r>
            <w:r w:rsidRPr="0040268F">
              <w:rPr>
                <w:rFonts w:ascii="Times New Roman" w:hAnsi="Times New Roman" w:cs="Times New Roman"/>
                <w:i/>
                <w:sz w:val="18"/>
                <w:szCs w:val="18"/>
              </w:rPr>
              <w:t>Growth</w:t>
            </w:r>
            <w:r w:rsidRPr="0040268F">
              <w:rPr>
                <w:rFonts w:ascii="Times New Roman" w:hAnsi="Times New Roman" w:cs="Times New Roman"/>
                <w:i/>
                <w:iCs/>
                <w:sz w:val="18"/>
                <w:szCs w:val="18"/>
              </w:rPr>
              <w:t xml:space="preserve"> v. Profit and </w:t>
            </w:r>
            <w:r w:rsidR="00CE5C57" w:rsidRPr="0040268F">
              <w:rPr>
                <w:rFonts w:ascii="Times New Roman" w:hAnsi="Times New Roman" w:cs="Times New Roman"/>
                <w:i/>
                <w:iCs/>
                <w:sz w:val="18"/>
                <w:szCs w:val="18"/>
              </w:rPr>
              <w:t>Neither-Nor</w:t>
            </w:r>
            <w:r w:rsidRPr="0040268F">
              <w:rPr>
                <w:rFonts w:ascii="Times New Roman" w:hAnsi="Times New Roman" w:cs="Times New Roman"/>
                <w:sz w:val="18"/>
                <w:szCs w:val="18"/>
              </w:rPr>
              <w:t xml:space="preserve"> = 0 &amp; </w:t>
            </w:r>
            <w:r w:rsidRPr="0040268F">
              <w:rPr>
                <w:rFonts w:ascii="Times New Roman" w:hAnsi="Times New Roman" w:cs="Times New Roman"/>
                <w:i/>
                <w:sz w:val="18"/>
                <w:szCs w:val="18"/>
              </w:rPr>
              <w:t>Profit</w:t>
            </w:r>
            <w:r w:rsidRPr="0040268F">
              <w:rPr>
                <w:rFonts w:ascii="Times New Roman" w:hAnsi="Times New Roman" w:cs="Times New Roman"/>
                <w:i/>
                <w:iCs/>
                <w:sz w:val="18"/>
                <w:szCs w:val="18"/>
              </w:rPr>
              <w:t xml:space="preserve"> v. Growth and </w:t>
            </w:r>
            <w:r w:rsidR="00CE5C57" w:rsidRPr="0040268F">
              <w:rPr>
                <w:rFonts w:ascii="Times New Roman" w:hAnsi="Times New Roman" w:cs="Times New Roman"/>
                <w:i/>
                <w:iCs/>
                <w:sz w:val="18"/>
                <w:szCs w:val="18"/>
              </w:rPr>
              <w:t>Neither-Nor</w:t>
            </w:r>
            <w:r w:rsidRPr="0040268F">
              <w:rPr>
                <w:rFonts w:ascii="Times New Roman" w:hAnsi="Times New Roman" w:cs="Times New Roman"/>
                <w:sz w:val="18"/>
                <w:szCs w:val="18"/>
              </w:rPr>
              <w:t xml:space="preserve"> = 0)</w:t>
            </w:r>
          </w:p>
        </w:tc>
      </w:tr>
      <w:tr w:rsidR="00A3505C" w:rsidRPr="0040268F" w14:paraId="1B7772D1" w14:textId="77777777" w:rsidTr="0040268F">
        <w:trPr>
          <w:trHeight w:val="80"/>
          <w:jc w:val="center"/>
        </w:trPr>
        <w:tc>
          <w:tcPr>
            <w:tcW w:w="1047" w:type="pct"/>
            <w:tcBorders>
              <w:bottom w:val="single" w:sz="4" w:space="0" w:color="auto"/>
            </w:tcBorders>
          </w:tcPr>
          <w:p w14:paraId="30E802F3" w14:textId="77777777" w:rsidR="009B75FB" w:rsidRPr="0040268F" w:rsidRDefault="009B75FB" w:rsidP="00D43F75">
            <w:pPr>
              <w:adjustRightInd w:val="0"/>
              <w:snapToGrid w:val="0"/>
              <w:spacing w:line="264" w:lineRule="auto"/>
              <w:rPr>
                <w:rFonts w:ascii="Times New Roman" w:hAnsi="Times New Roman" w:cs="Times New Roman"/>
                <w:sz w:val="18"/>
                <w:szCs w:val="18"/>
              </w:rPr>
            </w:pPr>
          </w:p>
        </w:tc>
        <w:tc>
          <w:tcPr>
            <w:tcW w:w="439" w:type="pct"/>
            <w:tcBorders>
              <w:top w:val="single" w:sz="4" w:space="0" w:color="auto"/>
              <w:bottom w:val="single" w:sz="4" w:space="0" w:color="auto"/>
            </w:tcBorders>
          </w:tcPr>
          <w:p w14:paraId="28FB10AD" w14:textId="6295B2D2"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N</w:t>
            </w:r>
          </w:p>
        </w:tc>
        <w:tc>
          <w:tcPr>
            <w:tcW w:w="439" w:type="pct"/>
            <w:tcBorders>
              <w:top w:val="single" w:sz="4" w:space="0" w:color="auto"/>
              <w:bottom w:val="single" w:sz="4" w:space="0" w:color="auto"/>
            </w:tcBorders>
          </w:tcPr>
          <w:p w14:paraId="4FC5EB4F" w14:textId="1E511E10"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Mean</w:t>
            </w:r>
          </w:p>
        </w:tc>
        <w:tc>
          <w:tcPr>
            <w:tcW w:w="439" w:type="pct"/>
            <w:tcBorders>
              <w:top w:val="single" w:sz="4" w:space="0" w:color="auto"/>
              <w:bottom w:val="single" w:sz="4" w:space="0" w:color="auto"/>
            </w:tcBorders>
          </w:tcPr>
          <w:p w14:paraId="76E11707" w14:textId="014859DE" w:rsidR="009B75FB" w:rsidRPr="0040268F" w:rsidRDefault="00180B76"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lang w:val="en-US"/>
              </w:rPr>
              <w:t>Std. Dev.</w:t>
            </w:r>
          </w:p>
        </w:tc>
        <w:tc>
          <w:tcPr>
            <w:tcW w:w="439" w:type="pct"/>
            <w:tcBorders>
              <w:top w:val="single" w:sz="4" w:space="0" w:color="auto"/>
              <w:bottom w:val="single" w:sz="4" w:space="0" w:color="auto"/>
            </w:tcBorders>
          </w:tcPr>
          <w:p w14:paraId="6E71ED94" w14:textId="23FA0173"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N</w:t>
            </w:r>
          </w:p>
        </w:tc>
        <w:tc>
          <w:tcPr>
            <w:tcW w:w="439" w:type="pct"/>
            <w:tcBorders>
              <w:top w:val="single" w:sz="4" w:space="0" w:color="auto"/>
              <w:bottom w:val="single" w:sz="4" w:space="0" w:color="auto"/>
            </w:tcBorders>
          </w:tcPr>
          <w:p w14:paraId="343D65E0" w14:textId="4D8B275D"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Mean</w:t>
            </w:r>
          </w:p>
        </w:tc>
        <w:tc>
          <w:tcPr>
            <w:tcW w:w="439" w:type="pct"/>
            <w:tcBorders>
              <w:top w:val="single" w:sz="4" w:space="0" w:color="auto"/>
              <w:bottom w:val="single" w:sz="4" w:space="0" w:color="auto"/>
            </w:tcBorders>
          </w:tcPr>
          <w:p w14:paraId="3279FF71" w14:textId="1D06D99B" w:rsidR="009B75FB" w:rsidRPr="0040268F" w:rsidRDefault="00180B76"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lang w:val="en-US"/>
              </w:rPr>
              <w:t>Std. Dev.</w:t>
            </w:r>
          </w:p>
        </w:tc>
        <w:tc>
          <w:tcPr>
            <w:tcW w:w="439" w:type="pct"/>
            <w:tcBorders>
              <w:top w:val="single" w:sz="4" w:space="0" w:color="auto"/>
              <w:bottom w:val="single" w:sz="4" w:space="0" w:color="auto"/>
            </w:tcBorders>
          </w:tcPr>
          <w:p w14:paraId="43FB63CA" w14:textId="4916667A"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N</w:t>
            </w:r>
          </w:p>
        </w:tc>
        <w:tc>
          <w:tcPr>
            <w:tcW w:w="439" w:type="pct"/>
            <w:tcBorders>
              <w:top w:val="single" w:sz="4" w:space="0" w:color="auto"/>
              <w:bottom w:val="single" w:sz="4" w:space="0" w:color="auto"/>
            </w:tcBorders>
          </w:tcPr>
          <w:p w14:paraId="0D496D51" w14:textId="46D3BCB6" w:rsidR="009B75FB" w:rsidRPr="0040268F" w:rsidRDefault="009B75FB"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Mean</w:t>
            </w:r>
          </w:p>
        </w:tc>
        <w:tc>
          <w:tcPr>
            <w:tcW w:w="441" w:type="pct"/>
            <w:tcBorders>
              <w:top w:val="single" w:sz="4" w:space="0" w:color="auto"/>
              <w:bottom w:val="single" w:sz="4" w:space="0" w:color="auto"/>
            </w:tcBorders>
          </w:tcPr>
          <w:p w14:paraId="54F3790B" w14:textId="0F820216" w:rsidR="009B75FB" w:rsidRPr="0040268F" w:rsidRDefault="00180B76" w:rsidP="002212DD">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lang w:val="en-US"/>
              </w:rPr>
              <w:t>Std. Dev.</w:t>
            </w:r>
          </w:p>
        </w:tc>
      </w:tr>
      <w:tr w:rsidR="00A3505C" w:rsidRPr="0040268F" w14:paraId="639FFC5C" w14:textId="77777777" w:rsidTr="0040268F">
        <w:trPr>
          <w:jc w:val="center"/>
        </w:trPr>
        <w:tc>
          <w:tcPr>
            <w:tcW w:w="1047" w:type="pct"/>
            <w:tcBorders>
              <w:top w:val="single" w:sz="4" w:space="0" w:color="auto"/>
            </w:tcBorders>
          </w:tcPr>
          <w:p w14:paraId="507C6AE8" w14:textId="16895DFF"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Green Revenues Dummy</w:t>
            </w:r>
          </w:p>
        </w:tc>
        <w:tc>
          <w:tcPr>
            <w:tcW w:w="439" w:type="pct"/>
            <w:tcBorders>
              <w:top w:val="single" w:sz="4" w:space="0" w:color="auto"/>
            </w:tcBorders>
          </w:tcPr>
          <w:p w14:paraId="067CDBF9" w14:textId="1807127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tcBorders>
              <w:top w:val="single" w:sz="4" w:space="0" w:color="auto"/>
            </w:tcBorders>
            <w:vAlign w:val="center"/>
          </w:tcPr>
          <w:p w14:paraId="501E1BD9" w14:textId="40D9BE4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0.199</w:t>
            </w:r>
          </w:p>
        </w:tc>
        <w:tc>
          <w:tcPr>
            <w:tcW w:w="439" w:type="pct"/>
            <w:tcBorders>
              <w:top w:val="single" w:sz="4" w:space="0" w:color="auto"/>
            </w:tcBorders>
            <w:vAlign w:val="center"/>
          </w:tcPr>
          <w:p w14:paraId="2E1F3E4E" w14:textId="08D4FC1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0.399</w:t>
            </w:r>
          </w:p>
        </w:tc>
        <w:tc>
          <w:tcPr>
            <w:tcW w:w="439" w:type="pct"/>
            <w:tcBorders>
              <w:top w:val="single" w:sz="4" w:space="0" w:color="auto"/>
            </w:tcBorders>
            <w:vAlign w:val="center"/>
          </w:tcPr>
          <w:p w14:paraId="4E882952" w14:textId="2234ED3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tcBorders>
              <w:top w:val="single" w:sz="4" w:space="0" w:color="auto"/>
            </w:tcBorders>
            <w:vAlign w:val="center"/>
          </w:tcPr>
          <w:p w14:paraId="7FA61471" w14:textId="04743A7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0.089</w:t>
            </w:r>
          </w:p>
        </w:tc>
        <w:tc>
          <w:tcPr>
            <w:tcW w:w="439" w:type="pct"/>
            <w:tcBorders>
              <w:top w:val="single" w:sz="4" w:space="0" w:color="auto"/>
            </w:tcBorders>
            <w:vAlign w:val="center"/>
          </w:tcPr>
          <w:p w14:paraId="216B38A6" w14:textId="3F1C363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0.285</w:t>
            </w:r>
          </w:p>
        </w:tc>
        <w:tc>
          <w:tcPr>
            <w:tcW w:w="439" w:type="pct"/>
            <w:tcBorders>
              <w:top w:val="single" w:sz="4" w:space="0" w:color="auto"/>
            </w:tcBorders>
            <w:vAlign w:val="center"/>
          </w:tcPr>
          <w:p w14:paraId="67AB517F" w14:textId="1EB145B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tcBorders>
              <w:top w:val="single" w:sz="4" w:space="0" w:color="auto"/>
            </w:tcBorders>
            <w:vAlign w:val="center"/>
          </w:tcPr>
          <w:p w14:paraId="29690D0D" w14:textId="384D1DD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0.130</w:t>
            </w:r>
          </w:p>
        </w:tc>
        <w:tc>
          <w:tcPr>
            <w:tcW w:w="441" w:type="pct"/>
            <w:tcBorders>
              <w:top w:val="single" w:sz="4" w:space="0" w:color="auto"/>
            </w:tcBorders>
            <w:vAlign w:val="center"/>
          </w:tcPr>
          <w:p w14:paraId="3E266FE8" w14:textId="686E4AC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0.337</w:t>
            </w:r>
          </w:p>
        </w:tc>
      </w:tr>
      <w:tr w:rsidR="00A3505C" w:rsidRPr="0040268F" w14:paraId="644936BE" w14:textId="77777777" w:rsidTr="0040268F">
        <w:trPr>
          <w:jc w:val="center"/>
        </w:trPr>
        <w:tc>
          <w:tcPr>
            <w:tcW w:w="1047" w:type="pct"/>
          </w:tcPr>
          <w:p w14:paraId="0BA1308A" w14:textId="509B4BB3" w:rsidR="004C5517" w:rsidRPr="0040268F" w:rsidRDefault="004C5517" w:rsidP="004C5517">
            <w:pPr>
              <w:adjustRightInd w:val="0"/>
              <w:snapToGrid w:val="0"/>
              <w:spacing w:line="264" w:lineRule="auto"/>
              <w:rPr>
                <w:rFonts w:ascii="Times New Roman" w:hAnsi="Times New Roman" w:cs="Times New Roman"/>
                <w:i/>
                <w:iCs/>
                <w:sz w:val="18"/>
                <w:szCs w:val="18"/>
              </w:rPr>
            </w:pPr>
            <w:r w:rsidRPr="0040268F">
              <w:rPr>
                <w:rFonts w:ascii="Times New Roman" w:hAnsi="Times New Roman" w:cs="Times New Roman"/>
                <w:i/>
                <w:iCs/>
                <w:sz w:val="18"/>
                <w:szCs w:val="18"/>
              </w:rPr>
              <w:t>Green Revenues Ratio</w:t>
            </w:r>
          </w:p>
        </w:tc>
        <w:tc>
          <w:tcPr>
            <w:tcW w:w="439" w:type="pct"/>
          </w:tcPr>
          <w:p w14:paraId="4A026274" w14:textId="625B948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41CFCCD0" w14:textId="6AC74CD9"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0.078</w:t>
            </w:r>
          </w:p>
        </w:tc>
        <w:tc>
          <w:tcPr>
            <w:tcW w:w="439" w:type="pct"/>
            <w:vAlign w:val="center"/>
          </w:tcPr>
          <w:p w14:paraId="5BF1279F" w14:textId="64D8E278"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0.224</w:t>
            </w:r>
          </w:p>
        </w:tc>
        <w:tc>
          <w:tcPr>
            <w:tcW w:w="439" w:type="pct"/>
            <w:vAlign w:val="center"/>
          </w:tcPr>
          <w:p w14:paraId="56EEAC84" w14:textId="637DDF1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4D89D35B" w14:textId="5992D07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0.024</w:t>
            </w:r>
          </w:p>
        </w:tc>
        <w:tc>
          <w:tcPr>
            <w:tcW w:w="439" w:type="pct"/>
            <w:vAlign w:val="center"/>
          </w:tcPr>
          <w:p w14:paraId="3B7E26AC" w14:textId="4704C5D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0.119</w:t>
            </w:r>
          </w:p>
        </w:tc>
        <w:tc>
          <w:tcPr>
            <w:tcW w:w="439" w:type="pct"/>
            <w:vAlign w:val="center"/>
          </w:tcPr>
          <w:p w14:paraId="25DF898C" w14:textId="11CB87C5"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719E5B70" w14:textId="761AB475"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0.037</w:t>
            </w:r>
          </w:p>
        </w:tc>
        <w:tc>
          <w:tcPr>
            <w:tcW w:w="441" w:type="pct"/>
            <w:vAlign w:val="center"/>
          </w:tcPr>
          <w:p w14:paraId="6326D86A" w14:textId="3C41E261"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0.151</w:t>
            </w:r>
          </w:p>
        </w:tc>
      </w:tr>
      <w:tr w:rsidR="00A3505C" w:rsidRPr="0040268F" w14:paraId="49CD81ED" w14:textId="77777777" w:rsidTr="0040268F">
        <w:trPr>
          <w:jc w:val="center"/>
        </w:trPr>
        <w:tc>
          <w:tcPr>
            <w:tcW w:w="1047" w:type="pct"/>
          </w:tcPr>
          <w:p w14:paraId="67C607DD"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Size</w:t>
            </w:r>
          </w:p>
        </w:tc>
        <w:tc>
          <w:tcPr>
            <w:tcW w:w="439" w:type="pct"/>
          </w:tcPr>
          <w:p w14:paraId="74484C15" w14:textId="6E5DD535"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33289841" w14:textId="783F96E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22.447</w:t>
            </w:r>
          </w:p>
        </w:tc>
        <w:tc>
          <w:tcPr>
            <w:tcW w:w="439" w:type="pct"/>
            <w:vAlign w:val="center"/>
          </w:tcPr>
          <w:p w14:paraId="3765CFD4" w14:textId="35EBEC0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1.362</w:t>
            </w:r>
          </w:p>
        </w:tc>
        <w:tc>
          <w:tcPr>
            <w:tcW w:w="439" w:type="pct"/>
            <w:vAlign w:val="center"/>
          </w:tcPr>
          <w:p w14:paraId="7BC13C0C" w14:textId="6EE4CD25"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57E2C62A" w14:textId="5F3A1CE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22.261</w:t>
            </w:r>
          </w:p>
        </w:tc>
        <w:tc>
          <w:tcPr>
            <w:tcW w:w="439" w:type="pct"/>
            <w:vAlign w:val="center"/>
          </w:tcPr>
          <w:p w14:paraId="31D92468" w14:textId="793DAA9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1.200</w:t>
            </w:r>
          </w:p>
        </w:tc>
        <w:tc>
          <w:tcPr>
            <w:tcW w:w="439" w:type="pct"/>
            <w:vAlign w:val="center"/>
          </w:tcPr>
          <w:p w14:paraId="61BD3BB5" w14:textId="48245CB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725679E0" w14:textId="6CE6754B"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22.281</w:t>
            </w:r>
          </w:p>
        </w:tc>
        <w:tc>
          <w:tcPr>
            <w:tcW w:w="441" w:type="pct"/>
            <w:vAlign w:val="center"/>
          </w:tcPr>
          <w:p w14:paraId="7A8E8D3E" w14:textId="78A6DDA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1.311</w:t>
            </w:r>
          </w:p>
        </w:tc>
      </w:tr>
      <w:tr w:rsidR="00A3505C" w:rsidRPr="0040268F" w14:paraId="244033FE" w14:textId="77777777" w:rsidTr="0040268F">
        <w:trPr>
          <w:jc w:val="center"/>
        </w:trPr>
        <w:tc>
          <w:tcPr>
            <w:tcW w:w="1047" w:type="pct"/>
          </w:tcPr>
          <w:p w14:paraId="6BFE4B6B"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SOE</w:t>
            </w:r>
          </w:p>
        </w:tc>
        <w:tc>
          <w:tcPr>
            <w:tcW w:w="439" w:type="pct"/>
          </w:tcPr>
          <w:p w14:paraId="074D414D" w14:textId="20C94E1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15A03E69" w14:textId="025D664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0.350</w:t>
            </w:r>
          </w:p>
        </w:tc>
        <w:tc>
          <w:tcPr>
            <w:tcW w:w="439" w:type="pct"/>
            <w:vAlign w:val="center"/>
          </w:tcPr>
          <w:p w14:paraId="3F870368" w14:textId="3D1FB71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0.477</w:t>
            </w:r>
          </w:p>
        </w:tc>
        <w:tc>
          <w:tcPr>
            <w:tcW w:w="439" w:type="pct"/>
            <w:vAlign w:val="center"/>
          </w:tcPr>
          <w:p w14:paraId="13894D63" w14:textId="5A9F097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399A8EA3" w14:textId="7500507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0.448</w:t>
            </w:r>
          </w:p>
        </w:tc>
        <w:tc>
          <w:tcPr>
            <w:tcW w:w="439" w:type="pct"/>
            <w:vAlign w:val="center"/>
          </w:tcPr>
          <w:p w14:paraId="795EE598" w14:textId="6D9D7E5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0.497</w:t>
            </w:r>
          </w:p>
        </w:tc>
        <w:tc>
          <w:tcPr>
            <w:tcW w:w="439" w:type="pct"/>
            <w:vAlign w:val="center"/>
          </w:tcPr>
          <w:p w14:paraId="6A2AE08A" w14:textId="3604E11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489AE504" w14:textId="616B04C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0.444</w:t>
            </w:r>
          </w:p>
        </w:tc>
        <w:tc>
          <w:tcPr>
            <w:tcW w:w="441" w:type="pct"/>
            <w:vAlign w:val="center"/>
          </w:tcPr>
          <w:p w14:paraId="79509A66" w14:textId="76ED457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0.497</w:t>
            </w:r>
          </w:p>
        </w:tc>
      </w:tr>
      <w:tr w:rsidR="00A3505C" w:rsidRPr="0040268F" w14:paraId="62783CC9" w14:textId="77777777" w:rsidTr="0040268F">
        <w:trPr>
          <w:jc w:val="center"/>
        </w:trPr>
        <w:tc>
          <w:tcPr>
            <w:tcW w:w="1047" w:type="pct"/>
          </w:tcPr>
          <w:p w14:paraId="16D8084B"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BTM</w:t>
            </w:r>
          </w:p>
        </w:tc>
        <w:tc>
          <w:tcPr>
            <w:tcW w:w="439" w:type="pct"/>
          </w:tcPr>
          <w:p w14:paraId="052A7227" w14:textId="08208DF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78C2DE6A" w14:textId="4C71D90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0.670</w:t>
            </w:r>
          </w:p>
        </w:tc>
        <w:tc>
          <w:tcPr>
            <w:tcW w:w="439" w:type="pct"/>
            <w:vAlign w:val="center"/>
          </w:tcPr>
          <w:p w14:paraId="66DB790C" w14:textId="75ED926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0.244</w:t>
            </w:r>
          </w:p>
        </w:tc>
        <w:tc>
          <w:tcPr>
            <w:tcW w:w="439" w:type="pct"/>
            <w:vAlign w:val="center"/>
          </w:tcPr>
          <w:p w14:paraId="37D41F56" w14:textId="2239F76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0CBFBAF9" w14:textId="234CF318"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0.609</w:t>
            </w:r>
          </w:p>
        </w:tc>
        <w:tc>
          <w:tcPr>
            <w:tcW w:w="439" w:type="pct"/>
            <w:vAlign w:val="center"/>
          </w:tcPr>
          <w:p w14:paraId="32748E5E" w14:textId="2F5BD3D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0.257</w:t>
            </w:r>
          </w:p>
        </w:tc>
        <w:tc>
          <w:tcPr>
            <w:tcW w:w="439" w:type="pct"/>
            <w:vAlign w:val="center"/>
          </w:tcPr>
          <w:p w14:paraId="50E719DD" w14:textId="743D2E89"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3C86708F" w14:textId="27123019"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0.619</w:t>
            </w:r>
          </w:p>
        </w:tc>
        <w:tc>
          <w:tcPr>
            <w:tcW w:w="441" w:type="pct"/>
            <w:vAlign w:val="center"/>
          </w:tcPr>
          <w:p w14:paraId="0C98F193" w14:textId="4D9104AB"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0.254</w:t>
            </w:r>
          </w:p>
        </w:tc>
      </w:tr>
      <w:tr w:rsidR="00A3505C" w:rsidRPr="0040268F" w14:paraId="7EDCD6CB" w14:textId="77777777" w:rsidTr="0040268F">
        <w:trPr>
          <w:jc w:val="center"/>
        </w:trPr>
        <w:tc>
          <w:tcPr>
            <w:tcW w:w="1047" w:type="pct"/>
          </w:tcPr>
          <w:p w14:paraId="39C0E78D" w14:textId="77777777" w:rsidR="004C5517" w:rsidRPr="0040268F" w:rsidRDefault="004C5517" w:rsidP="004C5517">
            <w:pPr>
              <w:adjustRightInd w:val="0"/>
              <w:snapToGrid w:val="0"/>
              <w:spacing w:line="264" w:lineRule="auto"/>
              <w:rPr>
                <w:rFonts w:ascii="Times New Roman" w:hAnsi="Times New Roman" w:cs="Times New Roman"/>
                <w:i/>
                <w:iCs/>
                <w:sz w:val="18"/>
                <w:szCs w:val="18"/>
              </w:rPr>
            </w:pPr>
            <w:r w:rsidRPr="0040268F">
              <w:rPr>
                <w:rFonts w:ascii="Times New Roman" w:hAnsi="Times New Roman" w:cs="Times New Roman"/>
                <w:i/>
                <w:iCs/>
                <w:sz w:val="18"/>
                <w:szCs w:val="18"/>
              </w:rPr>
              <w:t>NWC</w:t>
            </w:r>
          </w:p>
        </w:tc>
        <w:tc>
          <w:tcPr>
            <w:tcW w:w="439" w:type="pct"/>
          </w:tcPr>
          <w:p w14:paraId="77F03BF3" w14:textId="63F27E0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387FE1B7" w14:textId="24C3BF1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0.145</w:t>
            </w:r>
          </w:p>
        </w:tc>
        <w:tc>
          <w:tcPr>
            <w:tcW w:w="439" w:type="pct"/>
            <w:vAlign w:val="center"/>
          </w:tcPr>
          <w:p w14:paraId="1D030CFD" w14:textId="1045D15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0.225</w:t>
            </w:r>
          </w:p>
        </w:tc>
        <w:tc>
          <w:tcPr>
            <w:tcW w:w="439" w:type="pct"/>
            <w:vAlign w:val="center"/>
          </w:tcPr>
          <w:p w14:paraId="22D4EC24" w14:textId="24D55C4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191601C8" w14:textId="31AE603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0.268</w:t>
            </w:r>
          </w:p>
        </w:tc>
        <w:tc>
          <w:tcPr>
            <w:tcW w:w="439" w:type="pct"/>
            <w:vAlign w:val="center"/>
          </w:tcPr>
          <w:p w14:paraId="7C4F0E26" w14:textId="1789D50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0.235</w:t>
            </w:r>
          </w:p>
        </w:tc>
        <w:tc>
          <w:tcPr>
            <w:tcW w:w="439" w:type="pct"/>
            <w:vAlign w:val="center"/>
          </w:tcPr>
          <w:p w14:paraId="43AEE1B9" w14:textId="6A2F3A8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7FDEC65B" w14:textId="31181839"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0.195</w:t>
            </w:r>
          </w:p>
        </w:tc>
        <w:tc>
          <w:tcPr>
            <w:tcW w:w="441" w:type="pct"/>
            <w:vAlign w:val="center"/>
          </w:tcPr>
          <w:p w14:paraId="206C8952" w14:textId="5A3CF13B"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0.245</w:t>
            </w:r>
          </w:p>
        </w:tc>
      </w:tr>
      <w:tr w:rsidR="00A3505C" w:rsidRPr="0040268F" w14:paraId="1C4288B4" w14:textId="77777777" w:rsidTr="0040268F">
        <w:trPr>
          <w:jc w:val="center"/>
        </w:trPr>
        <w:tc>
          <w:tcPr>
            <w:tcW w:w="1047" w:type="pct"/>
          </w:tcPr>
          <w:p w14:paraId="792918F0" w14:textId="77777777" w:rsidR="004C5517" w:rsidRPr="0040268F" w:rsidRDefault="004C5517" w:rsidP="004C5517">
            <w:pPr>
              <w:adjustRightInd w:val="0"/>
              <w:snapToGrid w:val="0"/>
              <w:spacing w:line="264" w:lineRule="auto"/>
              <w:rPr>
                <w:rFonts w:ascii="Times New Roman" w:hAnsi="Times New Roman" w:cs="Times New Roman"/>
                <w:i/>
                <w:iCs/>
                <w:sz w:val="18"/>
                <w:szCs w:val="18"/>
              </w:rPr>
            </w:pPr>
            <w:r w:rsidRPr="0040268F">
              <w:rPr>
                <w:rFonts w:ascii="Times New Roman" w:hAnsi="Times New Roman" w:cs="Times New Roman"/>
                <w:i/>
                <w:iCs/>
                <w:sz w:val="18"/>
                <w:szCs w:val="18"/>
              </w:rPr>
              <w:t>ROA</w:t>
            </w:r>
          </w:p>
        </w:tc>
        <w:tc>
          <w:tcPr>
            <w:tcW w:w="439" w:type="pct"/>
          </w:tcPr>
          <w:p w14:paraId="6F35765D" w14:textId="68D9380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38AE9E4F" w14:textId="71544E1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0.014</w:t>
            </w:r>
          </w:p>
        </w:tc>
        <w:tc>
          <w:tcPr>
            <w:tcW w:w="439" w:type="pct"/>
            <w:vAlign w:val="center"/>
          </w:tcPr>
          <w:p w14:paraId="1DFBFE90" w14:textId="6A7EE62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0.080</w:t>
            </w:r>
          </w:p>
        </w:tc>
        <w:tc>
          <w:tcPr>
            <w:tcW w:w="439" w:type="pct"/>
            <w:vAlign w:val="center"/>
          </w:tcPr>
          <w:p w14:paraId="2DBF0BFB" w14:textId="2842B1B1"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6761A730" w14:textId="11EB87F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0.058</w:t>
            </w:r>
          </w:p>
        </w:tc>
        <w:tc>
          <w:tcPr>
            <w:tcW w:w="439" w:type="pct"/>
            <w:vAlign w:val="center"/>
          </w:tcPr>
          <w:p w14:paraId="2857C437" w14:textId="6E5585E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0.048</w:t>
            </w:r>
          </w:p>
        </w:tc>
        <w:tc>
          <w:tcPr>
            <w:tcW w:w="439" w:type="pct"/>
            <w:vAlign w:val="center"/>
          </w:tcPr>
          <w:p w14:paraId="4ABBB730" w14:textId="30E5112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4A0F3B69" w14:textId="52AD419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0.031</w:t>
            </w:r>
          </w:p>
        </w:tc>
        <w:tc>
          <w:tcPr>
            <w:tcW w:w="441" w:type="pct"/>
            <w:vAlign w:val="center"/>
          </w:tcPr>
          <w:p w14:paraId="45670549" w14:textId="0F849E4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0.074</w:t>
            </w:r>
          </w:p>
        </w:tc>
      </w:tr>
      <w:tr w:rsidR="00A3505C" w:rsidRPr="0040268F" w14:paraId="53DC1D7A" w14:textId="77777777" w:rsidTr="0040268F">
        <w:trPr>
          <w:jc w:val="center"/>
        </w:trPr>
        <w:tc>
          <w:tcPr>
            <w:tcW w:w="1047" w:type="pct"/>
          </w:tcPr>
          <w:p w14:paraId="540CEE38"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Cash</w:t>
            </w:r>
          </w:p>
        </w:tc>
        <w:tc>
          <w:tcPr>
            <w:tcW w:w="439" w:type="pct"/>
          </w:tcPr>
          <w:p w14:paraId="0A3915EB" w14:textId="7046E61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0F1BC50C" w14:textId="3DC6188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0.135</w:t>
            </w:r>
          </w:p>
        </w:tc>
        <w:tc>
          <w:tcPr>
            <w:tcW w:w="439" w:type="pct"/>
            <w:vAlign w:val="center"/>
          </w:tcPr>
          <w:p w14:paraId="376303A6" w14:textId="2E3CECB2"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0.111</w:t>
            </w:r>
          </w:p>
        </w:tc>
        <w:tc>
          <w:tcPr>
            <w:tcW w:w="439" w:type="pct"/>
            <w:vAlign w:val="center"/>
          </w:tcPr>
          <w:p w14:paraId="3A8EF258" w14:textId="21A7A43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6C8FCA2C" w14:textId="30336AE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0.186</w:t>
            </w:r>
          </w:p>
        </w:tc>
        <w:tc>
          <w:tcPr>
            <w:tcW w:w="439" w:type="pct"/>
            <w:vAlign w:val="center"/>
          </w:tcPr>
          <w:p w14:paraId="634BF624" w14:textId="3EB133F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0.136</w:t>
            </w:r>
          </w:p>
        </w:tc>
        <w:tc>
          <w:tcPr>
            <w:tcW w:w="439" w:type="pct"/>
            <w:vAlign w:val="center"/>
          </w:tcPr>
          <w:p w14:paraId="4EE64615" w14:textId="5ECFE34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742E9C2A" w14:textId="4B5A193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0.153</w:t>
            </w:r>
          </w:p>
        </w:tc>
        <w:tc>
          <w:tcPr>
            <w:tcW w:w="441" w:type="pct"/>
            <w:vAlign w:val="center"/>
          </w:tcPr>
          <w:p w14:paraId="3B29F656" w14:textId="65F142C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0.120</w:t>
            </w:r>
          </w:p>
        </w:tc>
      </w:tr>
      <w:tr w:rsidR="00A3505C" w:rsidRPr="0040268F" w14:paraId="35F1CF77" w14:textId="77777777" w:rsidTr="0040268F">
        <w:trPr>
          <w:jc w:val="center"/>
        </w:trPr>
        <w:tc>
          <w:tcPr>
            <w:tcW w:w="1047" w:type="pct"/>
          </w:tcPr>
          <w:p w14:paraId="6112FF08"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Tangible</w:t>
            </w:r>
          </w:p>
        </w:tc>
        <w:tc>
          <w:tcPr>
            <w:tcW w:w="439" w:type="pct"/>
          </w:tcPr>
          <w:p w14:paraId="5315F525" w14:textId="6AF6DF9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30CEC5DA" w14:textId="3054B8DA"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0.899</w:t>
            </w:r>
          </w:p>
        </w:tc>
        <w:tc>
          <w:tcPr>
            <w:tcW w:w="439" w:type="pct"/>
            <w:vAlign w:val="center"/>
          </w:tcPr>
          <w:p w14:paraId="0788FDE9" w14:textId="7E0629B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0.114</w:t>
            </w:r>
          </w:p>
        </w:tc>
        <w:tc>
          <w:tcPr>
            <w:tcW w:w="439" w:type="pct"/>
            <w:vAlign w:val="center"/>
          </w:tcPr>
          <w:p w14:paraId="34AEF0F7" w14:textId="3753FF2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2D819296" w14:textId="0CEFE1C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0.935</w:t>
            </w:r>
          </w:p>
        </w:tc>
        <w:tc>
          <w:tcPr>
            <w:tcW w:w="439" w:type="pct"/>
            <w:vAlign w:val="center"/>
          </w:tcPr>
          <w:p w14:paraId="5EE14E25" w14:textId="43C7674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0.089</w:t>
            </w:r>
          </w:p>
        </w:tc>
        <w:tc>
          <w:tcPr>
            <w:tcW w:w="439" w:type="pct"/>
            <w:vAlign w:val="center"/>
          </w:tcPr>
          <w:p w14:paraId="297A1299" w14:textId="684EFA0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047FD07D" w14:textId="710BC8E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0.928</w:t>
            </w:r>
          </w:p>
        </w:tc>
        <w:tc>
          <w:tcPr>
            <w:tcW w:w="441" w:type="pct"/>
            <w:vAlign w:val="center"/>
          </w:tcPr>
          <w:p w14:paraId="366E063B" w14:textId="5FA5103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0.088</w:t>
            </w:r>
          </w:p>
        </w:tc>
      </w:tr>
      <w:tr w:rsidR="00A3505C" w:rsidRPr="0040268F" w14:paraId="08EBF62F" w14:textId="77777777" w:rsidTr="0040268F">
        <w:trPr>
          <w:jc w:val="center"/>
        </w:trPr>
        <w:tc>
          <w:tcPr>
            <w:tcW w:w="1047" w:type="pct"/>
          </w:tcPr>
          <w:p w14:paraId="3622618B" w14:textId="77777777" w:rsidR="004C5517" w:rsidRPr="0040268F" w:rsidRDefault="004C5517" w:rsidP="004C5517">
            <w:pPr>
              <w:adjustRightInd w:val="0"/>
              <w:snapToGrid w:val="0"/>
              <w:spacing w:line="264" w:lineRule="auto"/>
              <w:rPr>
                <w:rFonts w:ascii="Times New Roman" w:hAnsi="Times New Roman" w:cs="Times New Roman"/>
                <w:sz w:val="18"/>
                <w:szCs w:val="18"/>
              </w:rPr>
            </w:pPr>
            <w:r w:rsidRPr="0040268F">
              <w:rPr>
                <w:rFonts w:ascii="Times New Roman" w:hAnsi="Times New Roman" w:cs="Times New Roman"/>
                <w:i/>
                <w:iCs/>
                <w:sz w:val="18"/>
                <w:szCs w:val="18"/>
              </w:rPr>
              <w:t>Market Share</w:t>
            </w:r>
          </w:p>
        </w:tc>
        <w:tc>
          <w:tcPr>
            <w:tcW w:w="439" w:type="pct"/>
          </w:tcPr>
          <w:p w14:paraId="10794E6B" w14:textId="1BED9E9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6004F453" w14:textId="2F9AC08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0.024</w:t>
            </w:r>
          </w:p>
        </w:tc>
        <w:tc>
          <w:tcPr>
            <w:tcW w:w="439" w:type="pct"/>
            <w:vAlign w:val="center"/>
          </w:tcPr>
          <w:p w14:paraId="391E0465" w14:textId="1730632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0.070</w:t>
            </w:r>
          </w:p>
        </w:tc>
        <w:tc>
          <w:tcPr>
            <w:tcW w:w="439" w:type="pct"/>
            <w:vAlign w:val="center"/>
          </w:tcPr>
          <w:p w14:paraId="06F9249E" w14:textId="2C6FD92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4F9B7447" w14:textId="249752A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0.027</w:t>
            </w:r>
          </w:p>
        </w:tc>
        <w:tc>
          <w:tcPr>
            <w:tcW w:w="439" w:type="pct"/>
            <w:vAlign w:val="center"/>
          </w:tcPr>
          <w:p w14:paraId="19C89C9D" w14:textId="5D223D4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0.076</w:t>
            </w:r>
          </w:p>
        </w:tc>
        <w:tc>
          <w:tcPr>
            <w:tcW w:w="439" w:type="pct"/>
            <w:vAlign w:val="center"/>
          </w:tcPr>
          <w:p w14:paraId="4F0D9166" w14:textId="38DAB336"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402CFE30" w14:textId="52FA75F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0.027</w:t>
            </w:r>
          </w:p>
        </w:tc>
        <w:tc>
          <w:tcPr>
            <w:tcW w:w="441" w:type="pct"/>
            <w:vAlign w:val="center"/>
          </w:tcPr>
          <w:p w14:paraId="19205866" w14:textId="6A18B23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0.081</w:t>
            </w:r>
          </w:p>
        </w:tc>
      </w:tr>
      <w:tr w:rsidR="00A3505C" w:rsidRPr="0040268F" w14:paraId="19AFD957" w14:textId="77777777" w:rsidTr="0040268F">
        <w:trPr>
          <w:jc w:val="center"/>
        </w:trPr>
        <w:tc>
          <w:tcPr>
            <w:tcW w:w="1047" w:type="pct"/>
          </w:tcPr>
          <w:p w14:paraId="67410D8A" w14:textId="3FEDCB5A" w:rsidR="004C5517" w:rsidRPr="0040268F" w:rsidRDefault="004C5517" w:rsidP="004C5517">
            <w:pPr>
              <w:adjustRightInd w:val="0"/>
              <w:snapToGrid w:val="0"/>
              <w:spacing w:line="264" w:lineRule="auto"/>
              <w:rPr>
                <w:rFonts w:ascii="Times New Roman" w:eastAsia="DengXian" w:hAnsi="Times New Roman" w:cs="Times New Roman"/>
                <w:i/>
                <w:sz w:val="18"/>
                <w:szCs w:val="18"/>
              </w:rPr>
            </w:pPr>
            <w:r w:rsidRPr="0040268F">
              <w:rPr>
                <w:rFonts w:ascii="Times New Roman" w:eastAsia="DengXian" w:hAnsi="Times New Roman" w:cs="Times New Roman"/>
                <w:i/>
                <w:sz w:val="18"/>
                <w:szCs w:val="18"/>
              </w:rPr>
              <w:t>WW Index</w:t>
            </w:r>
          </w:p>
        </w:tc>
        <w:tc>
          <w:tcPr>
            <w:tcW w:w="439" w:type="pct"/>
          </w:tcPr>
          <w:p w14:paraId="08988B29" w14:textId="05EAF4B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45B154C1" w14:textId="7BE96D80"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-1.027</w:t>
            </w:r>
          </w:p>
        </w:tc>
        <w:tc>
          <w:tcPr>
            <w:tcW w:w="439" w:type="pct"/>
            <w:vAlign w:val="center"/>
          </w:tcPr>
          <w:p w14:paraId="3F0D3FFD" w14:textId="2CC89475"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0.179</w:t>
            </w:r>
          </w:p>
        </w:tc>
        <w:tc>
          <w:tcPr>
            <w:tcW w:w="439" w:type="pct"/>
            <w:vAlign w:val="center"/>
          </w:tcPr>
          <w:p w14:paraId="5837BFF5" w14:textId="59EA752C"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7A5C9882" w14:textId="4C84980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-1.025</w:t>
            </w:r>
          </w:p>
        </w:tc>
        <w:tc>
          <w:tcPr>
            <w:tcW w:w="439" w:type="pct"/>
            <w:vAlign w:val="center"/>
          </w:tcPr>
          <w:p w14:paraId="4D53BDFE" w14:textId="4D7198A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0.066</w:t>
            </w:r>
          </w:p>
        </w:tc>
        <w:tc>
          <w:tcPr>
            <w:tcW w:w="439" w:type="pct"/>
            <w:vAlign w:val="center"/>
          </w:tcPr>
          <w:p w14:paraId="63D15119" w14:textId="391A0233"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20ACA266" w14:textId="104D621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-1.015</w:t>
            </w:r>
          </w:p>
        </w:tc>
        <w:tc>
          <w:tcPr>
            <w:tcW w:w="441" w:type="pct"/>
            <w:vAlign w:val="center"/>
          </w:tcPr>
          <w:p w14:paraId="19DEF6D4" w14:textId="63CEE71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0.094</w:t>
            </w:r>
          </w:p>
        </w:tc>
      </w:tr>
      <w:tr w:rsidR="00A3505C" w:rsidRPr="0040268F" w14:paraId="643315FB" w14:textId="77777777" w:rsidTr="0040268F">
        <w:trPr>
          <w:jc w:val="center"/>
        </w:trPr>
        <w:tc>
          <w:tcPr>
            <w:tcW w:w="1047" w:type="pct"/>
          </w:tcPr>
          <w:p w14:paraId="0A31AC89" w14:textId="77777777" w:rsidR="004C5517" w:rsidRPr="0040268F" w:rsidRDefault="004C5517" w:rsidP="004C5517">
            <w:pPr>
              <w:adjustRightInd w:val="0"/>
              <w:snapToGrid w:val="0"/>
              <w:spacing w:line="264" w:lineRule="auto"/>
              <w:rPr>
                <w:rFonts w:ascii="Times New Roman" w:eastAsia="DengXian" w:hAnsi="Times New Roman" w:cs="Times New Roman"/>
                <w:i/>
                <w:sz w:val="18"/>
                <w:szCs w:val="18"/>
              </w:rPr>
            </w:pPr>
            <w:r w:rsidRPr="0040268F">
              <w:rPr>
                <w:rFonts w:ascii="Times New Roman" w:hAnsi="Times New Roman" w:cs="Times New Roman"/>
                <w:i/>
                <w:iCs/>
                <w:sz w:val="18"/>
                <w:szCs w:val="18"/>
              </w:rPr>
              <w:t>InstitutionInv</w:t>
            </w:r>
          </w:p>
        </w:tc>
        <w:tc>
          <w:tcPr>
            <w:tcW w:w="439" w:type="pct"/>
          </w:tcPr>
          <w:p w14:paraId="32156A06" w14:textId="21BB81E7"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4,579</w:t>
            </w:r>
          </w:p>
        </w:tc>
        <w:tc>
          <w:tcPr>
            <w:tcW w:w="439" w:type="pct"/>
            <w:vAlign w:val="center"/>
          </w:tcPr>
          <w:p w14:paraId="2EB4B3A6" w14:textId="1E062278"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0.437</w:t>
            </w:r>
          </w:p>
        </w:tc>
        <w:tc>
          <w:tcPr>
            <w:tcW w:w="439" w:type="pct"/>
            <w:vAlign w:val="center"/>
          </w:tcPr>
          <w:p w14:paraId="655CC3C4" w14:textId="7C479BA1"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0.247</w:t>
            </w:r>
          </w:p>
        </w:tc>
        <w:tc>
          <w:tcPr>
            <w:tcW w:w="439" w:type="pct"/>
            <w:vAlign w:val="center"/>
          </w:tcPr>
          <w:p w14:paraId="31541B2C" w14:textId="129E082E"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5,897</w:t>
            </w:r>
          </w:p>
        </w:tc>
        <w:tc>
          <w:tcPr>
            <w:tcW w:w="439" w:type="pct"/>
            <w:vAlign w:val="center"/>
          </w:tcPr>
          <w:p w14:paraId="32CF1597" w14:textId="29FE2B3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0.490</w:t>
            </w:r>
          </w:p>
        </w:tc>
        <w:tc>
          <w:tcPr>
            <w:tcW w:w="439" w:type="pct"/>
            <w:vAlign w:val="center"/>
          </w:tcPr>
          <w:p w14:paraId="4D7BFE19" w14:textId="64BFEC34"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0.247</w:t>
            </w:r>
          </w:p>
        </w:tc>
        <w:tc>
          <w:tcPr>
            <w:tcW w:w="439" w:type="pct"/>
            <w:vAlign w:val="center"/>
          </w:tcPr>
          <w:p w14:paraId="034D1B9C" w14:textId="35D3215D"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14,593</w:t>
            </w:r>
          </w:p>
        </w:tc>
        <w:tc>
          <w:tcPr>
            <w:tcW w:w="439" w:type="pct"/>
            <w:vAlign w:val="center"/>
          </w:tcPr>
          <w:p w14:paraId="28CFE06C" w14:textId="5BB9FCCF"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0.457</w:t>
            </w:r>
          </w:p>
        </w:tc>
        <w:tc>
          <w:tcPr>
            <w:tcW w:w="441" w:type="pct"/>
            <w:vAlign w:val="center"/>
          </w:tcPr>
          <w:p w14:paraId="49E152D2" w14:textId="5508B1DB" w:rsidR="004C5517" w:rsidRPr="0040268F" w:rsidRDefault="004C5517" w:rsidP="004C5517">
            <w:pPr>
              <w:adjustRightInd w:val="0"/>
              <w:snapToGrid w:val="0"/>
              <w:spacing w:line="264" w:lineRule="auto"/>
              <w:jc w:val="center"/>
              <w:rPr>
                <w:rFonts w:ascii="Times New Roman" w:hAnsi="Times New Roman" w:cs="Times New Roman"/>
                <w:sz w:val="18"/>
                <w:szCs w:val="18"/>
              </w:rPr>
            </w:pPr>
            <w:r w:rsidRPr="0040268F">
              <w:rPr>
                <w:rFonts w:ascii="Times New Roman" w:hAnsi="Times New Roman" w:cs="Times New Roman"/>
                <w:sz w:val="18"/>
                <w:szCs w:val="18"/>
              </w:rPr>
              <w:t>0.239</w:t>
            </w:r>
          </w:p>
        </w:tc>
      </w:tr>
    </w:tbl>
    <w:tbl>
      <w:tblPr>
        <w:tblW w:w="5000" w:type="pct"/>
        <w:jc w:val="center"/>
        <w:tblCellMar>
          <w:left w:w="75" w:type="dxa"/>
          <w:right w:w="75" w:type="dxa"/>
        </w:tblCellMar>
        <w:tblLook w:val="0000" w:firstRow="0" w:lastRow="0" w:firstColumn="0" w:lastColumn="0" w:noHBand="0" w:noVBand="0"/>
      </w:tblPr>
      <w:tblGrid>
        <w:gridCol w:w="2878"/>
        <w:gridCol w:w="1379"/>
        <w:gridCol w:w="1379"/>
        <w:gridCol w:w="1379"/>
        <w:gridCol w:w="1379"/>
        <w:gridCol w:w="1379"/>
        <w:gridCol w:w="1379"/>
        <w:gridCol w:w="1396"/>
        <w:gridCol w:w="1410"/>
      </w:tblGrid>
      <w:tr w:rsidR="00A3505C" w:rsidRPr="00A3505C" w14:paraId="452D5AFC" w14:textId="77777777" w:rsidTr="0040268F">
        <w:trPr>
          <w:jc w:val="center"/>
        </w:trPr>
        <w:tc>
          <w:tcPr>
            <w:tcW w:w="5000" w:type="pct"/>
            <w:gridSpan w:val="9"/>
            <w:tcBorders>
              <w:top w:val="single" w:sz="4" w:space="0" w:color="auto"/>
              <w:left w:val="nil"/>
              <w:bottom w:val="single" w:sz="4" w:space="0" w:color="auto"/>
              <w:right w:val="nil"/>
            </w:tcBorders>
          </w:tcPr>
          <w:p w14:paraId="198602FD" w14:textId="4078EEB4" w:rsidR="00180B76" w:rsidRPr="00A3505C" w:rsidRDefault="00180B76" w:rsidP="00E15275">
            <w:pPr>
              <w:autoSpaceDE w:val="0"/>
              <w:autoSpaceDN w:val="0"/>
              <w:adjustRightInd w:val="0"/>
              <w:snapToGrid w:val="0"/>
              <w:spacing w:before="60" w:after="60" w:line="264" w:lineRule="auto"/>
              <w:jc w:val="both"/>
              <w:rPr>
                <w:rFonts w:ascii="Times New Roman" w:hAnsi="Times New Roman" w:cs="Times New Roman"/>
                <w:b/>
                <w:bCs/>
                <w:sz w:val="18"/>
                <w:szCs w:val="18"/>
                <w:lang w:val="en-US"/>
              </w:rPr>
            </w:pPr>
            <w:r w:rsidRPr="00A3505C">
              <w:rPr>
                <w:rFonts w:ascii="Times New Roman" w:hAnsi="Times New Roman" w:cs="Times New Roman"/>
                <w:b/>
                <w:bCs/>
                <w:sz w:val="18"/>
                <w:szCs w:val="18"/>
                <w:lang w:val="en-US"/>
              </w:rPr>
              <w:t xml:space="preserve">Panel B. Descriptive statistics of firm characteristics </w:t>
            </w:r>
            <w:r w:rsidR="007873AA" w:rsidRPr="00A3505C">
              <w:rPr>
                <w:rFonts w:ascii="Times New Roman" w:hAnsi="Times New Roman" w:cs="Times New Roman"/>
                <w:b/>
                <w:bCs/>
                <w:sz w:val="18"/>
                <w:szCs w:val="18"/>
                <w:lang w:val="en-US"/>
              </w:rPr>
              <w:t>before</w:t>
            </w:r>
            <w:r w:rsidRPr="00A3505C">
              <w:rPr>
                <w:rFonts w:ascii="Times New Roman" w:hAnsi="Times New Roman" w:cs="Times New Roman"/>
                <w:b/>
                <w:bCs/>
                <w:sz w:val="18"/>
                <w:szCs w:val="18"/>
                <w:lang w:val="en-US"/>
              </w:rPr>
              <w:t xml:space="preserve"> entropy balancing</w:t>
            </w:r>
          </w:p>
        </w:tc>
      </w:tr>
      <w:tr w:rsidR="00A3505C" w:rsidRPr="00A3505C" w14:paraId="1426C26D" w14:textId="77777777" w:rsidTr="0040268F">
        <w:trPr>
          <w:trHeight w:val="70"/>
          <w:jc w:val="center"/>
        </w:trPr>
        <w:tc>
          <w:tcPr>
            <w:tcW w:w="1031" w:type="pct"/>
            <w:vMerge w:val="restart"/>
            <w:tcBorders>
              <w:top w:val="single" w:sz="4" w:space="0" w:color="auto"/>
              <w:left w:val="nil"/>
              <w:right w:val="nil"/>
            </w:tcBorders>
          </w:tcPr>
          <w:p w14:paraId="78083C6D" w14:textId="77777777" w:rsidR="00180B76" w:rsidRPr="00A3505C" w:rsidRDefault="00180B76" w:rsidP="00E15275">
            <w:pPr>
              <w:autoSpaceDE w:val="0"/>
              <w:autoSpaceDN w:val="0"/>
              <w:adjustRightInd w:val="0"/>
              <w:snapToGrid w:val="0"/>
              <w:spacing w:after="0" w:line="264" w:lineRule="auto"/>
              <w:rPr>
                <w:rFonts w:ascii="Times New Roman" w:hAnsi="Times New Roman" w:cs="Times New Roman"/>
                <w:sz w:val="18"/>
                <w:szCs w:val="18"/>
                <w:lang w:val="en-US"/>
              </w:rPr>
            </w:pPr>
          </w:p>
        </w:tc>
        <w:tc>
          <w:tcPr>
            <w:tcW w:w="1482" w:type="pct"/>
            <w:gridSpan w:val="3"/>
            <w:tcBorders>
              <w:top w:val="single" w:sz="4" w:space="0" w:color="auto"/>
              <w:left w:val="nil"/>
              <w:bottom w:val="single" w:sz="4" w:space="0" w:color="auto"/>
              <w:right w:val="nil"/>
            </w:tcBorders>
          </w:tcPr>
          <w:p w14:paraId="6F031B5B" w14:textId="3A3EE573" w:rsidR="00180B76" w:rsidRPr="00A3505C" w:rsidRDefault="003A0F83" w:rsidP="00E15275">
            <w:pPr>
              <w:adjustRightInd w:val="0"/>
              <w:snapToGrid w:val="0"/>
              <w:spacing w:after="0" w:line="264" w:lineRule="auto"/>
              <w:jc w:val="center"/>
              <w:rPr>
                <w:rFonts w:ascii="Times New Roman" w:eastAsia="DengXian" w:hAnsi="Times New Roman" w:cs="Times New Roman"/>
                <w:sz w:val="18"/>
                <w:szCs w:val="18"/>
                <w:lang w:val="en-US"/>
              </w:rPr>
            </w:pPr>
            <w:r w:rsidRPr="00A3505C">
              <w:rPr>
                <w:rFonts w:ascii="Times New Roman" w:hAnsi="Times New Roman" w:cs="Times New Roman"/>
                <w:sz w:val="18"/>
                <w:szCs w:val="18"/>
              </w:rPr>
              <w:t xml:space="preserve">Firms </w:t>
            </w:r>
            <w:r w:rsidR="00A829FD" w:rsidRPr="00A3505C">
              <w:rPr>
                <w:rFonts w:ascii="Times New Roman" w:hAnsi="Times New Roman" w:cs="Times New Roman"/>
                <w:sz w:val="18"/>
                <w:szCs w:val="18"/>
              </w:rPr>
              <w:t>With</w:t>
            </w:r>
            <w:r w:rsidRPr="00A3505C">
              <w:rPr>
                <w:rFonts w:ascii="Times New Roman" w:hAnsi="Times New Roman" w:cs="Times New Roman"/>
                <w:sz w:val="18"/>
                <w:szCs w:val="18"/>
              </w:rPr>
              <w:t xml:space="preserve"> Green Revenues</w:t>
            </w:r>
            <w:r w:rsidR="0012314B" w:rsidRPr="00A3505C">
              <w:rPr>
                <w:rFonts w:ascii="Times New Roman" w:hAnsi="Times New Roman" w:cs="Times New Roman"/>
                <w:sz w:val="18"/>
                <w:szCs w:val="18"/>
              </w:rPr>
              <w:t xml:space="preserve"> Throughout the Sample</w:t>
            </w:r>
            <w:r w:rsidR="009B5A68" w:rsidRPr="00A3505C">
              <w:rPr>
                <w:rFonts w:ascii="Times New Roman" w:hAnsi="Times New Roman" w:cs="Times New Roman"/>
                <w:sz w:val="18"/>
                <w:szCs w:val="18"/>
              </w:rPr>
              <w:t xml:space="preserve"> Period</w:t>
            </w:r>
          </w:p>
        </w:tc>
        <w:tc>
          <w:tcPr>
            <w:tcW w:w="1482" w:type="pct"/>
            <w:gridSpan w:val="3"/>
            <w:tcBorders>
              <w:top w:val="single" w:sz="4" w:space="0" w:color="auto"/>
              <w:left w:val="nil"/>
              <w:bottom w:val="single" w:sz="4" w:space="0" w:color="auto"/>
              <w:right w:val="nil"/>
            </w:tcBorders>
          </w:tcPr>
          <w:p w14:paraId="653D5257" w14:textId="0FC22CB6" w:rsidR="00180B76" w:rsidRPr="00A3505C" w:rsidRDefault="009B5A68" w:rsidP="00E15275">
            <w:pPr>
              <w:adjustRightInd w:val="0"/>
              <w:snapToGrid w:val="0"/>
              <w:spacing w:after="0" w:line="264" w:lineRule="auto"/>
              <w:jc w:val="center"/>
              <w:rPr>
                <w:rFonts w:ascii="Times New Roman" w:eastAsia="DengXian" w:hAnsi="Times New Roman" w:cs="Times New Roman"/>
                <w:iCs/>
                <w:sz w:val="18"/>
                <w:szCs w:val="18"/>
                <w:lang w:val="en-US"/>
              </w:rPr>
            </w:pPr>
            <w:r w:rsidRPr="00A3505C">
              <w:rPr>
                <w:rFonts w:ascii="Times New Roman" w:hAnsi="Times New Roman" w:cs="Times New Roman"/>
                <w:sz w:val="18"/>
                <w:szCs w:val="18"/>
              </w:rPr>
              <w:t>Firms Without Green Revenues Throughout the Sample Period</w:t>
            </w:r>
          </w:p>
        </w:tc>
        <w:tc>
          <w:tcPr>
            <w:tcW w:w="500" w:type="pct"/>
            <w:tcBorders>
              <w:top w:val="single" w:sz="4" w:space="0" w:color="auto"/>
              <w:left w:val="nil"/>
              <w:bottom w:val="single" w:sz="4" w:space="0" w:color="auto"/>
              <w:right w:val="nil"/>
            </w:tcBorders>
          </w:tcPr>
          <w:p w14:paraId="7C8CBD2D"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505" w:type="pct"/>
            <w:tcBorders>
              <w:top w:val="single" w:sz="4" w:space="0" w:color="auto"/>
              <w:left w:val="nil"/>
              <w:bottom w:val="single" w:sz="4" w:space="0" w:color="auto"/>
              <w:right w:val="nil"/>
            </w:tcBorders>
          </w:tcPr>
          <w:p w14:paraId="3E4264EE"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Std. Dev.</w:t>
            </w:r>
          </w:p>
        </w:tc>
      </w:tr>
      <w:tr w:rsidR="00A3505C" w:rsidRPr="00A3505C" w14:paraId="420993A0" w14:textId="77777777" w:rsidTr="0040268F">
        <w:trPr>
          <w:jc w:val="center"/>
        </w:trPr>
        <w:tc>
          <w:tcPr>
            <w:tcW w:w="1031" w:type="pct"/>
            <w:vMerge/>
            <w:tcBorders>
              <w:left w:val="nil"/>
              <w:bottom w:val="single" w:sz="4" w:space="0" w:color="auto"/>
              <w:right w:val="nil"/>
            </w:tcBorders>
          </w:tcPr>
          <w:p w14:paraId="2DFD7969" w14:textId="77777777" w:rsidR="00180B76" w:rsidRPr="00A3505C" w:rsidRDefault="00180B76" w:rsidP="00E15275">
            <w:pPr>
              <w:autoSpaceDE w:val="0"/>
              <w:autoSpaceDN w:val="0"/>
              <w:adjustRightInd w:val="0"/>
              <w:snapToGrid w:val="0"/>
              <w:spacing w:after="0" w:line="264" w:lineRule="auto"/>
              <w:rPr>
                <w:rFonts w:ascii="Times New Roman" w:hAnsi="Times New Roman" w:cs="Times New Roman"/>
                <w:sz w:val="18"/>
                <w:szCs w:val="18"/>
                <w:lang w:val="en-US"/>
              </w:rPr>
            </w:pPr>
          </w:p>
        </w:tc>
        <w:tc>
          <w:tcPr>
            <w:tcW w:w="494" w:type="pct"/>
            <w:tcBorders>
              <w:top w:val="single" w:sz="4" w:space="0" w:color="auto"/>
              <w:left w:val="nil"/>
              <w:bottom w:val="single" w:sz="4" w:space="0" w:color="auto"/>
              <w:right w:val="nil"/>
            </w:tcBorders>
          </w:tcPr>
          <w:p w14:paraId="70277241"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494" w:type="pct"/>
            <w:tcBorders>
              <w:top w:val="single" w:sz="4" w:space="0" w:color="auto"/>
              <w:left w:val="nil"/>
              <w:bottom w:val="single" w:sz="4" w:space="0" w:color="auto"/>
              <w:right w:val="nil"/>
            </w:tcBorders>
          </w:tcPr>
          <w:p w14:paraId="345721E6"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Variance</w:t>
            </w:r>
          </w:p>
        </w:tc>
        <w:tc>
          <w:tcPr>
            <w:tcW w:w="494" w:type="pct"/>
            <w:tcBorders>
              <w:top w:val="single" w:sz="4" w:space="0" w:color="auto"/>
              <w:left w:val="nil"/>
              <w:bottom w:val="single" w:sz="4" w:space="0" w:color="auto"/>
              <w:right w:val="nil"/>
            </w:tcBorders>
          </w:tcPr>
          <w:p w14:paraId="0DBC38D1"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Skewness</w:t>
            </w:r>
          </w:p>
        </w:tc>
        <w:tc>
          <w:tcPr>
            <w:tcW w:w="494" w:type="pct"/>
            <w:tcBorders>
              <w:top w:val="single" w:sz="4" w:space="0" w:color="auto"/>
              <w:left w:val="nil"/>
              <w:bottom w:val="single" w:sz="4" w:space="0" w:color="auto"/>
              <w:right w:val="nil"/>
            </w:tcBorders>
          </w:tcPr>
          <w:p w14:paraId="08DC6F9D"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494" w:type="pct"/>
            <w:tcBorders>
              <w:top w:val="single" w:sz="4" w:space="0" w:color="auto"/>
              <w:left w:val="nil"/>
              <w:bottom w:val="single" w:sz="4" w:space="0" w:color="auto"/>
              <w:right w:val="nil"/>
            </w:tcBorders>
          </w:tcPr>
          <w:p w14:paraId="0BB28AAB"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Variance</w:t>
            </w:r>
          </w:p>
        </w:tc>
        <w:tc>
          <w:tcPr>
            <w:tcW w:w="494" w:type="pct"/>
            <w:tcBorders>
              <w:top w:val="single" w:sz="4" w:space="0" w:color="auto"/>
              <w:left w:val="nil"/>
              <w:bottom w:val="single" w:sz="4" w:space="0" w:color="auto"/>
              <w:right w:val="nil"/>
            </w:tcBorders>
          </w:tcPr>
          <w:p w14:paraId="5B7E712D"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Skewness</w:t>
            </w:r>
          </w:p>
        </w:tc>
        <w:tc>
          <w:tcPr>
            <w:tcW w:w="500" w:type="pct"/>
            <w:tcBorders>
              <w:top w:val="single" w:sz="4" w:space="0" w:color="auto"/>
              <w:left w:val="nil"/>
              <w:bottom w:val="single" w:sz="4" w:space="0" w:color="auto"/>
              <w:right w:val="nil"/>
            </w:tcBorders>
          </w:tcPr>
          <w:p w14:paraId="1CC8A7E3"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Difference</w:t>
            </w:r>
          </w:p>
        </w:tc>
        <w:tc>
          <w:tcPr>
            <w:tcW w:w="505" w:type="pct"/>
            <w:tcBorders>
              <w:top w:val="single" w:sz="4" w:space="0" w:color="auto"/>
              <w:left w:val="nil"/>
              <w:bottom w:val="single" w:sz="4" w:space="0" w:color="auto"/>
              <w:right w:val="nil"/>
            </w:tcBorders>
          </w:tcPr>
          <w:p w14:paraId="58DD6F74" w14:textId="77777777" w:rsidR="00180B76" w:rsidRPr="00A3505C" w:rsidRDefault="00180B76" w:rsidP="00E15275">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Ratio</w:t>
            </w:r>
          </w:p>
        </w:tc>
      </w:tr>
      <w:tr w:rsidR="00A3505C" w:rsidRPr="00A3505C" w14:paraId="3A25E0AA" w14:textId="77777777" w:rsidTr="0040268F">
        <w:trPr>
          <w:jc w:val="center"/>
        </w:trPr>
        <w:tc>
          <w:tcPr>
            <w:tcW w:w="1031" w:type="pct"/>
            <w:tcBorders>
              <w:top w:val="single" w:sz="4" w:space="0" w:color="auto"/>
              <w:left w:val="nil"/>
              <w:right w:val="nil"/>
            </w:tcBorders>
          </w:tcPr>
          <w:p w14:paraId="04713CD7"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Size</w:t>
            </w:r>
          </w:p>
        </w:tc>
        <w:tc>
          <w:tcPr>
            <w:tcW w:w="494" w:type="pct"/>
            <w:tcBorders>
              <w:top w:val="single" w:sz="4" w:space="0" w:color="auto"/>
              <w:left w:val="nil"/>
              <w:right w:val="nil"/>
            </w:tcBorders>
            <w:vAlign w:val="bottom"/>
          </w:tcPr>
          <w:p w14:paraId="0737C42C" w14:textId="347CA5F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22.330</w:t>
            </w:r>
          </w:p>
        </w:tc>
        <w:tc>
          <w:tcPr>
            <w:tcW w:w="494" w:type="pct"/>
            <w:tcBorders>
              <w:top w:val="single" w:sz="4" w:space="0" w:color="auto"/>
              <w:left w:val="nil"/>
              <w:right w:val="nil"/>
            </w:tcBorders>
            <w:vAlign w:val="bottom"/>
          </w:tcPr>
          <w:p w14:paraId="016D8B14" w14:textId="3B4936DD"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1.526</w:t>
            </w:r>
          </w:p>
        </w:tc>
        <w:tc>
          <w:tcPr>
            <w:tcW w:w="494" w:type="pct"/>
            <w:tcBorders>
              <w:top w:val="single" w:sz="4" w:space="0" w:color="auto"/>
              <w:left w:val="nil"/>
              <w:right w:val="nil"/>
            </w:tcBorders>
            <w:vAlign w:val="bottom"/>
          </w:tcPr>
          <w:p w14:paraId="627D2F7E" w14:textId="31DF906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0.531</w:t>
            </w:r>
          </w:p>
        </w:tc>
        <w:tc>
          <w:tcPr>
            <w:tcW w:w="494" w:type="pct"/>
            <w:tcBorders>
              <w:top w:val="single" w:sz="4" w:space="0" w:color="auto"/>
              <w:left w:val="nil"/>
              <w:right w:val="nil"/>
            </w:tcBorders>
            <w:vAlign w:val="bottom"/>
          </w:tcPr>
          <w:p w14:paraId="7793DB93" w14:textId="7AD5924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22.300</w:t>
            </w:r>
          </w:p>
        </w:tc>
        <w:tc>
          <w:tcPr>
            <w:tcW w:w="494" w:type="pct"/>
            <w:tcBorders>
              <w:top w:val="single" w:sz="4" w:space="0" w:color="auto"/>
              <w:left w:val="nil"/>
              <w:right w:val="nil"/>
            </w:tcBorders>
            <w:vAlign w:val="bottom"/>
          </w:tcPr>
          <w:p w14:paraId="7E5B83CB" w14:textId="62E7615A"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1.726</w:t>
            </w:r>
          </w:p>
        </w:tc>
        <w:tc>
          <w:tcPr>
            <w:tcW w:w="494" w:type="pct"/>
            <w:tcBorders>
              <w:top w:val="single" w:sz="4" w:space="0" w:color="auto"/>
              <w:left w:val="nil"/>
              <w:right w:val="nil"/>
            </w:tcBorders>
            <w:vAlign w:val="bottom"/>
          </w:tcPr>
          <w:p w14:paraId="17DC0A72" w14:textId="3979158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0.741</w:t>
            </w:r>
          </w:p>
        </w:tc>
        <w:tc>
          <w:tcPr>
            <w:tcW w:w="500" w:type="pct"/>
            <w:tcBorders>
              <w:top w:val="single" w:sz="4" w:space="0" w:color="auto"/>
              <w:left w:val="nil"/>
              <w:right w:val="nil"/>
            </w:tcBorders>
            <w:vAlign w:val="bottom"/>
          </w:tcPr>
          <w:p w14:paraId="6F896917" w14:textId="4021597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0.030</w:t>
            </w:r>
          </w:p>
        </w:tc>
        <w:tc>
          <w:tcPr>
            <w:tcW w:w="505" w:type="pct"/>
            <w:tcBorders>
              <w:top w:val="single" w:sz="4" w:space="0" w:color="auto"/>
              <w:left w:val="nil"/>
              <w:right w:val="nil"/>
            </w:tcBorders>
            <w:vAlign w:val="bottom"/>
          </w:tcPr>
          <w:p w14:paraId="0591819C" w14:textId="67B150CE"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0.940</w:t>
            </w:r>
          </w:p>
        </w:tc>
      </w:tr>
      <w:tr w:rsidR="00A3505C" w:rsidRPr="00A3505C" w14:paraId="4C5B2A76" w14:textId="77777777" w:rsidTr="0040268F">
        <w:trPr>
          <w:jc w:val="center"/>
        </w:trPr>
        <w:tc>
          <w:tcPr>
            <w:tcW w:w="1031" w:type="pct"/>
            <w:tcBorders>
              <w:left w:val="nil"/>
              <w:right w:val="nil"/>
            </w:tcBorders>
          </w:tcPr>
          <w:p w14:paraId="5A28ACED"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SOE</w:t>
            </w:r>
          </w:p>
        </w:tc>
        <w:tc>
          <w:tcPr>
            <w:tcW w:w="494" w:type="pct"/>
            <w:tcBorders>
              <w:left w:val="nil"/>
              <w:right w:val="nil"/>
            </w:tcBorders>
            <w:vAlign w:val="bottom"/>
          </w:tcPr>
          <w:p w14:paraId="657EF1C3" w14:textId="6E1C289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0.389</w:t>
            </w:r>
          </w:p>
        </w:tc>
        <w:tc>
          <w:tcPr>
            <w:tcW w:w="494" w:type="pct"/>
            <w:tcBorders>
              <w:left w:val="nil"/>
              <w:right w:val="nil"/>
            </w:tcBorders>
            <w:vAlign w:val="bottom"/>
          </w:tcPr>
          <w:p w14:paraId="520DB4BC" w14:textId="576FEBD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0.238</w:t>
            </w:r>
          </w:p>
        </w:tc>
        <w:tc>
          <w:tcPr>
            <w:tcW w:w="494" w:type="pct"/>
            <w:tcBorders>
              <w:left w:val="nil"/>
              <w:right w:val="nil"/>
            </w:tcBorders>
            <w:vAlign w:val="bottom"/>
          </w:tcPr>
          <w:p w14:paraId="72DB638A" w14:textId="56443B0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0.455</w:t>
            </w:r>
          </w:p>
        </w:tc>
        <w:tc>
          <w:tcPr>
            <w:tcW w:w="494" w:type="pct"/>
            <w:tcBorders>
              <w:left w:val="nil"/>
              <w:right w:val="nil"/>
            </w:tcBorders>
            <w:vAlign w:val="bottom"/>
          </w:tcPr>
          <w:p w14:paraId="65869DC4" w14:textId="7EA99BA5"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0.439</w:t>
            </w:r>
          </w:p>
        </w:tc>
        <w:tc>
          <w:tcPr>
            <w:tcW w:w="494" w:type="pct"/>
            <w:tcBorders>
              <w:left w:val="nil"/>
              <w:right w:val="nil"/>
            </w:tcBorders>
            <w:vAlign w:val="bottom"/>
          </w:tcPr>
          <w:p w14:paraId="785F531F" w14:textId="5DCC46EA"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0.246</w:t>
            </w:r>
          </w:p>
        </w:tc>
        <w:tc>
          <w:tcPr>
            <w:tcW w:w="494" w:type="pct"/>
            <w:tcBorders>
              <w:left w:val="nil"/>
              <w:right w:val="nil"/>
            </w:tcBorders>
            <w:vAlign w:val="bottom"/>
          </w:tcPr>
          <w:p w14:paraId="7C04D42E" w14:textId="4B47C1A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0.248</w:t>
            </w:r>
          </w:p>
        </w:tc>
        <w:tc>
          <w:tcPr>
            <w:tcW w:w="500" w:type="pct"/>
            <w:tcBorders>
              <w:left w:val="nil"/>
              <w:right w:val="nil"/>
            </w:tcBorders>
            <w:vAlign w:val="bottom"/>
          </w:tcPr>
          <w:p w14:paraId="604CD5BB" w14:textId="3E9D7C2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-0.049</w:t>
            </w:r>
          </w:p>
        </w:tc>
        <w:tc>
          <w:tcPr>
            <w:tcW w:w="505" w:type="pct"/>
            <w:tcBorders>
              <w:left w:val="nil"/>
              <w:right w:val="nil"/>
            </w:tcBorders>
            <w:vAlign w:val="bottom"/>
          </w:tcPr>
          <w:p w14:paraId="7EB04BDC" w14:textId="7EA82C9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0.983</w:t>
            </w:r>
          </w:p>
        </w:tc>
      </w:tr>
      <w:tr w:rsidR="00A3505C" w:rsidRPr="00A3505C" w14:paraId="45321DF3" w14:textId="77777777" w:rsidTr="0040268F">
        <w:trPr>
          <w:jc w:val="center"/>
        </w:trPr>
        <w:tc>
          <w:tcPr>
            <w:tcW w:w="1031" w:type="pct"/>
            <w:tcBorders>
              <w:left w:val="nil"/>
              <w:right w:val="nil"/>
            </w:tcBorders>
          </w:tcPr>
          <w:p w14:paraId="6078CE4D"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BTM</w:t>
            </w:r>
          </w:p>
        </w:tc>
        <w:tc>
          <w:tcPr>
            <w:tcW w:w="494" w:type="pct"/>
            <w:tcBorders>
              <w:left w:val="nil"/>
              <w:right w:val="nil"/>
            </w:tcBorders>
            <w:vAlign w:val="bottom"/>
          </w:tcPr>
          <w:p w14:paraId="158F4D39" w14:textId="06D141AB"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0.648</w:t>
            </w:r>
          </w:p>
        </w:tc>
        <w:tc>
          <w:tcPr>
            <w:tcW w:w="494" w:type="pct"/>
            <w:tcBorders>
              <w:left w:val="nil"/>
              <w:right w:val="nil"/>
            </w:tcBorders>
            <w:vAlign w:val="bottom"/>
          </w:tcPr>
          <w:p w14:paraId="359230BD" w14:textId="7C328BB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0.058</w:t>
            </w:r>
          </w:p>
        </w:tc>
        <w:tc>
          <w:tcPr>
            <w:tcW w:w="494" w:type="pct"/>
            <w:tcBorders>
              <w:left w:val="nil"/>
              <w:right w:val="nil"/>
            </w:tcBorders>
            <w:vAlign w:val="bottom"/>
          </w:tcPr>
          <w:p w14:paraId="4464A2DE" w14:textId="6EBF8A0D"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0.056</w:t>
            </w:r>
          </w:p>
        </w:tc>
        <w:tc>
          <w:tcPr>
            <w:tcW w:w="494" w:type="pct"/>
            <w:tcBorders>
              <w:left w:val="nil"/>
              <w:right w:val="nil"/>
            </w:tcBorders>
            <w:vAlign w:val="bottom"/>
          </w:tcPr>
          <w:p w14:paraId="63C9012D" w14:textId="7ADDF91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0.620</w:t>
            </w:r>
          </w:p>
        </w:tc>
        <w:tc>
          <w:tcPr>
            <w:tcW w:w="494" w:type="pct"/>
            <w:tcBorders>
              <w:left w:val="nil"/>
              <w:right w:val="nil"/>
            </w:tcBorders>
            <w:vAlign w:val="bottom"/>
          </w:tcPr>
          <w:p w14:paraId="313F1615" w14:textId="2BFB5D65"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0.066</w:t>
            </w:r>
          </w:p>
        </w:tc>
        <w:tc>
          <w:tcPr>
            <w:tcW w:w="494" w:type="pct"/>
            <w:tcBorders>
              <w:left w:val="nil"/>
              <w:right w:val="nil"/>
            </w:tcBorders>
            <w:vAlign w:val="bottom"/>
          </w:tcPr>
          <w:p w14:paraId="5C3EEB55" w14:textId="180F82BB"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0.153</w:t>
            </w:r>
          </w:p>
        </w:tc>
        <w:tc>
          <w:tcPr>
            <w:tcW w:w="500" w:type="pct"/>
            <w:tcBorders>
              <w:left w:val="nil"/>
              <w:right w:val="nil"/>
            </w:tcBorders>
            <w:vAlign w:val="bottom"/>
          </w:tcPr>
          <w:p w14:paraId="74D7158F" w14:textId="0B7E1D9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0.029</w:t>
            </w:r>
          </w:p>
        </w:tc>
        <w:tc>
          <w:tcPr>
            <w:tcW w:w="505" w:type="pct"/>
            <w:tcBorders>
              <w:left w:val="nil"/>
              <w:right w:val="nil"/>
            </w:tcBorders>
            <w:vAlign w:val="bottom"/>
          </w:tcPr>
          <w:p w14:paraId="7A630E8D" w14:textId="1D64A9E5"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0.940</w:t>
            </w:r>
          </w:p>
        </w:tc>
      </w:tr>
      <w:tr w:rsidR="00A3505C" w:rsidRPr="00A3505C" w14:paraId="503A13EE" w14:textId="77777777" w:rsidTr="0040268F">
        <w:trPr>
          <w:jc w:val="center"/>
        </w:trPr>
        <w:tc>
          <w:tcPr>
            <w:tcW w:w="1031" w:type="pct"/>
            <w:tcBorders>
              <w:left w:val="nil"/>
              <w:right w:val="nil"/>
            </w:tcBorders>
          </w:tcPr>
          <w:p w14:paraId="2EB3CE51"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NWC</w:t>
            </w:r>
          </w:p>
        </w:tc>
        <w:tc>
          <w:tcPr>
            <w:tcW w:w="494" w:type="pct"/>
            <w:tcBorders>
              <w:left w:val="nil"/>
              <w:right w:val="nil"/>
            </w:tcBorders>
            <w:vAlign w:val="bottom"/>
          </w:tcPr>
          <w:p w14:paraId="42FEC780" w14:textId="5C17173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0.189</w:t>
            </w:r>
          </w:p>
        </w:tc>
        <w:tc>
          <w:tcPr>
            <w:tcW w:w="494" w:type="pct"/>
            <w:tcBorders>
              <w:left w:val="nil"/>
              <w:right w:val="nil"/>
            </w:tcBorders>
            <w:vAlign w:val="bottom"/>
          </w:tcPr>
          <w:p w14:paraId="43385DAE" w14:textId="0198C317"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0.051</w:t>
            </w:r>
          </w:p>
        </w:tc>
        <w:tc>
          <w:tcPr>
            <w:tcW w:w="494" w:type="pct"/>
            <w:tcBorders>
              <w:left w:val="nil"/>
              <w:right w:val="nil"/>
            </w:tcBorders>
            <w:vAlign w:val="bottom"/>
          </w:tcPr>
          <w:p w14:paraId="646EB06E" w14:textId="593722A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0.152</w:t>
            </w:r>
          </w:p>
        </w:tc>
        <w:tc>
          <w:tcPr>
            <w:tcW w:w="494" w:type="pct"/>
            <w:tcBorders>
              <w:left w:val="nil"/>
              <w:right w:val="nil"/>
            </w:tcBorders>
            <w:vAlign w:val="bottom"/>
          </w:tcPr>
          <w:p w14:paraId="05734C19" w14:textId="3E7957D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0.207</w:t>
            </w:r>
          </w:p>
        </w:tc>
        <w:tc>
          <w:tcPr>
            <w:tcW w:w="494" w:type="pct"/>
            <w:tcBorders>
              <w:left w:val="nil"/>
              <w:right w:val="nil"/>
            </w:tcBorders>
            <w:vAlign w:val="bottom"/>
          </w:tcPr>
          <w:p w14:paraId="333B1048" w14:textId="21BCA1B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0.061</w:t>
            </w:r>
          </w:p>
        </w:tc>
        <w:tc>
          <w:tcPr>
            <w:tcW w:w="494" w:type="pct"/>
            <w:tcBorders>
              <w:left w:val="nil"/>
              <w:right w:val="nil"/>
            </w:tcBorders>
            <w:vAlign w:val="bottom"/>
          </w:tcPr>
          <w:p w14:paraId="7BEC72A5" w14:textId="7D08E3C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0.026</w:t>
            </w:r>
          </w:p>
        </w:tc>
        <w:tc>
          <w:tcPr>
            <w:tcW w:w="500" w:type="pct"/>
            <w:tcBorders>
              <w:left w:val="nil"/>
              <w:right w:val="nil"/>
            </w:tcBorders>
            <w:vAlign w:val="bottom"/>
          </w:tcPr>
          <w:p w14:paraId="38F711A3" w14:textId="6118547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-0.018</w:t>
            </w:r>
          </w:p>
        </w:tc>
        <w:tc>
          <w:tcPr>
            <w:tcW w:w="505" w:type="pct"/>
            <w:tcBorders>
              <w:left w:val="nil"/>
              <w:right w:val="nil"/>
            </w:tcBorders>
            <w:vAlign w:val="bottom"/>
          </w:tcPr>
          <w:p w14:paraId="796C710E" w14:textId="7597492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0.921</w:t>
            </w:r>
          </w:p>
        </w:tc>
      </w:tr>
      <w:tr w:rsidR="00A3505C" w:rsidRPr="00A3505C" w14:paraId="62F707DB" w14:textId="77777777" w:rsidTr="0040268F">
        <w:trPr>
          <w:jc w:val="center"/>
        </w:trPr>
        <w:tc>
          <w:tcPr>
            <w:tcW w:w="1031" w:type="pct"/>
            <w:tcBorders>
              <w:left w:val="nil"/>
              <w:right w:val="nil"/>
            </w:tcBorders>
          </w:tcPr>
          <w:p w14:paraId="5F1B7663"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ROA</w:t>
            </w:r>
          </w:p>
        </w:tc>
        <w:tc>
          <w:tcPr>
            <w:tcW w:w="494" w:type="pct"/>
            <w:tcBorders>
              <w:left w:val="nil"/>
              <w:right w:val="nil"/>
            </w:tcBorders>
            <w:vAlign w:val="bottom"/>
          </w:tcPr>
          <w:p w14:paraId="3B99A781" w14:textId="797D73EE"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0.026</w:t>
            </w:r>
          </w:p>
        </w:tc>
        <w:tc>
          <w:tcPr>
            <w:tcW w:w="494" w:type="pct"/>
            <w:tcBorders>
              <w:left w:val="nil"/>
              <w:right w:val="nil"/>
            </w:tcBorders>
            <w:vAlign w:val="bottom"/>
          </w:tcPr>
          <w:p w14:paraId="10BBDD27" w14:textId="02BB80FD"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0.005</w:t>
            </w:r>
          </w:p>
        </w:tc>
        <w:tc>
          <w:tcPr>
            <w:tcW w:w="494" w:type="pct"/>
            <w:tcBorders>
              <w:left w:val="nil"/>
              <w:right w:val="nil"/>
            </w:tcBorders>
            <w:vAlign w:val="bottom"/>
          </w:tcPr>
          <w:p w14:paraId="121FDA1E" w14:textId="146FBA87"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-11.260</w:t>
            </w:r>
          </w:p>
        </w:tc>
        <w:tc>
          <w:tcPr>
            <w:tcW w:w="494" w:type="pct"/>
            <w:tcBorders>
              <w:left w:val="nil"/>
              <w:right w:val="nil"/>
            </w:tcBorders>
            <w:vAlign w:val="bottom"/>
          </w:tcPr>
          <w:p w14:paraId="6AFF662C" w14:textId="28B8318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0.037</w:t>
            </w:r>
          </w:p>
        </w:tc>
        <w:tc>
          <w:tcPr>
            <w:tcW w:w="494" w:type="pct"/>
            <w:tcBorders>
              <w:left w:val="nil"/>
              <w:right w:val="nil"/>
            </w:tcBorders>
            <w:vAlign w:val="bottom"/>
          </w:tcPr>
          <w:p w14:paraId="62FF8571" w14:textId="4038BCE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0.005</w:t>
            </w:r>
          </w:p>
        </w:tc>
        <w:tc>
          <w:tcPr>
            <w:tcW w:w="494" w:type="pct"/>
            <w:tcBorders>
              <w:left w:val="nil"/>
              <w:right w:val="nil"/>
            </w:tcBorders>
            <w:vAlign w:val="bottom"/>
          </w:tcPr>
          <w:p w14:paraId="7FAF29C5" w14:textId="222EE1A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-3.206</w:t>
            </w:r>
          </w:p>
        </w:tc>
        <w:tc>
          <w:tcPr>
            <w:tcW w:w="500" w:type="pct"/>
            <w:tcBorders>
              <w:left w:val="nil"/>
              <w:right w:val="nil"/>
            </w:tcBorders>
            <w:vAlign w:val="bottom"/>
          </w:tcPr>
          <w:p w14:paraId="7DE27614" w14:textId="53B9D5F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-0.011</w:t>
            </w:r>
          </w:p>
        </w:tc>
        <w:tc>
          <w:tcPr>
            <w:tcW w:w="505" w:type="pct"/>
            <w:tcBorders>
              <w:left w:val="nil"/>
              <w:right w:val="nil"/>
            </w:tcBorders>
            <w:vAlign w:val="bottom"/>
          </w:tcPr>
          <w:p w14:paraId="73D8E5DB" w14:textId="22167BAB"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1.052</w:t>
            </w:r>
          </w:p>
        </w:tc>
      </w:tr>
      <w:tr w:rsidR="00A3505C" w:rsidRPr="00A3505C" w14:paraId="01D9F6CA" w14:textId="77777777" w:rsidTr="0040268F">
        <w:trPr>
          <w:jc w:val="center"/>
        </w:trPr>
        <w:tc>
          <w:tcPr>
            <w:tcW w:w="1031" w:type="pct"/>
            <w:tcBorders>
              <w:left w:val="nil"/>
              <w:right w:val="nil"/>
            </w:tcBorders>
          </w:tcPr>
          <w:p w14:paraId="39F53BCB"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Cash</w:t>
            </w:r>
          </w:p>
        </w:tc>
        <w:tc>
          <w:tcPr>
            <w:tcW w:w="494" w:type="pct"/>
            <w:tcBorders>
              <w:left w:val="nil"/>
              <w:right w:val="nil"/>
            </w:tcBorders>
            <w:vAlign w:val="bottom"/>
          </w:tcPr>
          <w:p w14:paraId="1003AF6B" w14:textId="6CCE6AB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0.138</w:t>
            </w:r>
          </w:p>
        </w:tc>
        <w:tc>
          <w:tcPr>
            <w:tcW w:w="494" w:type="pct"/>
            <w:tcBorders>
              <w:left w:val="nil"/>
              <w:right w:val="nil"/>
            </w:tcBorders>
            <w:vAlign w:val="bottom"/>
          </w:tcPr>
          <w:p w14:paraId="786D5916" w14:textId="4AD382F0"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0.011</w:t>
            </w:r>
          </w:p>
        </w:tc>
        <w:tc>
          <w:tcPr>
            <w:tcW w:w="494" w:type="pct"/>
            <w:tcBorders>
              <w:left w:val="nil"/>
              <w:right w:val="nil"/>
            </w:tcBorders>
            <w:vAlign w:val="bottom"/>
          </w:tcPr>
          <w:p w14:paraId="15FF8A32" w14:textId="20BDF300"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1.782</w:t>
            </w:r>
          </w:p>
        </w:tc>
        <w:tc>
          <w:tcPr>
            <w:tcW w:w="494" w:type="pct"/>
            <w:tcBorders>
              <w:left w:val="nil"/>
              <w:right w:val="nil"/>
            </w:tcBorders>
            <w:vAlign w:val="bottom"/>
          </w:tcPr>
          <w:p w14:paraId="0765548B" w14:textId="12BBAAC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0.163</w:t>
            </w:r>
          </w:p>
        </w:tc>
        <w:tc>
          <w:tcPr>
            <w:tcW w:w="494" w:type="pct"/>
            <w:tcBorders>
              <w:left w:val="nil"/>
              <w:right w:val="nil"/>
            </w:tcBorders>
            <w:vAlign w:val="bottom"/>
          </w:tcPr>
          <w:p w14:paraId="55690AB2" w14:textId="46A6F41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0.016</w:t>
            </w:r>
          </w:p>
        </w:tc>
        <w:tc>
          <w:tcPr>
            <w:tcW w:w="494" w:type="pct"/>
            <w:tcBorders>
              <w:left w:val="nil"/>
              <w:right w:val="nil"/>
            </w:tcBorders>
            <w:vAlign w:val="bottom"/>
          </w:tcPr>
          <w:p w14:paraId="39CC4354" w14:textId="287D9AE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1.689</w:t>
            </w:r>
          </w:p>
        </w:tc>
        <w:tc>
          <w:tcPr>
            <w:tcW w:w="500" w:type="pct"/>
            <w:tcBorders>
              <w:left w:val="nil"/>
              <w:right w:val="nil"/>
            </w:tcBorders>
            <w:vAlign w:val="bottom"/>
          </w:tcPr>
          <w:p w14:paraId="6C3FC03C" w14:textId="2A76D0B0"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-0.025</w:t>
            </w:r>
          </w:p>
        </w:tc>
        <w:tc>
          <w:tcPr>
            <w:tcW w:w="505" w:type="pct"/>
            <w:tcBorders>
              <w:left w:val="nil"/>
              <w:right w:val="nil"/>
            </w:tcBorders>
            <w:vAlign w:val="bottom"/>
          </w:tcPr>
          <w:p w14:paraId="64BEAC04" w14:textId="4D3E721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0.817</w:t>
            </w:r>
          </w:p>
        </w:tc>
      </w:tr>
      <w:tr w:rsidR="00A3505C" w:rsidRPr="00A3505C" w14:paraId="028DC59C" w14:textId="77777777" w:rsidTr="0040268F">
        <w:trPr>
          <w:jc w:val="center"/>
        </w:trPr>
        <w:tc>
          <w:tcPr>
            <w:tcW w:w="1031" w:type="pct"/>
            <w:tcBorders>
              <w:left w:val="nil"/>
              <w:right w:val="nil"/>
            </w:tcBorders>
          </w:tcPr>
          <w:p w14:paraId="21DD54FD"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Tangible</w:t>
            </w:r>
          </w:p>
        </w:tc>
        <w:tc>
          <w:tcPr>
            <w:tcW w:w="494" w:type="pct"/>
            <w:tcBorders>
              <w:left w:val="nil"/>
              <w:right w:val="nil"/>
            </w:tcBorders>
            <w:vAlign w:val="bottom"/>
          </w:tcPr>
          <w:p w14:paraId="43122AD4" w14:textId="7697F8A6"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0.922</w:t>
            </w:r>
          </w:p>
        </w:tc>
        <w:tc>
          <w:tcPr>
            <w:tcW w:w="494" w:type="pct"/>
            <w:tcBorders>
              <w:left w:val="nil"/>
              <w:right w:val="nil"/>
            </w:tcBorders>
            <w:vAlign w:val="bottom"/>
          </w:tcPr>
          <w:p w14:paraId="2B01EB59" w14:textId="6CDD385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right w:val="nil"/>
            </w:tcBorders>
            <w:vAlign w:val="bottom"/>
          </w:tcPr>
          <w:p w14:paraId="03AE7121" w14:textId="0EDF119E"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-2.820</w:t>
            </w:r>
          </w:p>
        </w:tc>
        <w:tc>
          <w:tcPr>
            <w:tcW w:w="494" w:type="pct"/>
            <w:tcBorders>
              <w:left w:val="nil"/>
              <w:right w:val="nil"/>
            </w:tcBorders>
            <w:vAlign w:val="bottom"/>
          </w:tcPr>
          <w:p w14:paraId="5636B084" w14:textId="6BB800A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0.925</w:t>
            </w:r>
          </w:p>
        </w:tc>
        <w:tc>
          <w:tcPr>
            <w:tcW w:w="494" w:type="pct"/>
            <w:tcBorders>
              <w:left w:val="nil"/>
              <w:right w:val="nil"/>
            </w:tcBorders>
            <w:vAlign w:val="bottom"/>
          </w:tcPr>
          <w:p w14:paraId="0B1E9445" w14:textId="61586C0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right w:val="nil"/>
            </w:tcBorders>
            <w:vAlign w:val="bottom"/>
          </w:tcPr>
          <w:p w14:paraId="2F2AC627" w14:textId="56FC9F6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-2.963</w:t>
            </w:r>
          </w:p>
        </w:tc>
        <w:tc>
          <w:tcPr>
            <w:tcW w:w="500" w:type="pct"/>
            <w:tcBorders>
              <w:left w:val="nil"/>
              <w:right w:val="nil"/>
            </w:tcBorders>
            <w:vAlign w:val="bottom"/>
          </w:tcPr>
          <w:p w14:paraId="17008AA8" w14:textId="062D51D6"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-0.002</w:t>
            </w:r>
          </w:p>
        </w:tc>
        <w:tc>
          <w:tcPr>
            <w:tcW w:w="505" w:type="pct"/>
            <w:tcBorders>
              <w:left w:val="nil"/>
              <w:right w:val="nil"/>
            </w:tcBorders>
            <w:vAlign w:val="bottom"/>
          </w:tcPr>
          <w:p w14:paraId="0AD40343" w14:textId="0981BE0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1.034</w:t>
            </w:r>
          </w:p>
        </w:tc>
      </w:tr>
      <w:tr w:rsidR="00A3505C" w:rsidRPr="00A3505C" w14:paraId="3E4B12E9" w14:textId="77777777" w:rsidTr="0040268F">
        <w:trPr>
          <w:jc w:val="center"/>
        </w:trPr>
        <w:tc>
          <w:tcPr>
            <w:tcW w:w="1031" w:type="pct"/>
            <w:tcBorders>
              <w:left w:val="nil"/>
              <w:right w:val="nil"/>
            </w:tcBorders>
          </w:tcPr>
          <w:p w14:paraId="13E2A1DB"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i/>
                <w:sz w:val="18"/>
                <w:szCs w:val="18"/>
                <w:lang w:val="en-US"/>
              </w:rPr>
            </w:pPr>
            <w:r w:rsidRPr="00A3505C">
              <w:rPr>
                <w:rFonts w:ascii="Times New Roman" w:hAnsi="Times New Roman" w:cs="Times New Roman"/>
                <w:i/>
                <w:iCs/>
                <w:sz w:val="18"/>
                <w:szCs w:val="18"/>
              </w:rPr>
              <w:t>Market Share</w:t>
            </w:r>
          </w:p>
        </w:tc>
        <w:tc>
          <w:tcPr>
            <w:tcW w:w="494" w:type="pct"/>
            <w:tcBorders>
              <w:left w:val="nil"/>
              <w:right w:val="nil"/>
            </w:tcBorders>
            <w:vAlign w:val="bottom"/>
          </w:tcPr>
          <w:p w14:paraId="7867FA2B" w14:textId="470EFBD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0.021</w:t>
            </w:r>
          </w:p>
        </w:tc>
        <w:tc>
          <w:tcPr>
            <w:tcW w:w="494" w:type="pct"/>
            <w:tcBorders>
              <w:left w:val="nil"/>
              <w:right w:val="nil"/>
            </w:tcBorders>
            <w:vAlign w:val="bottom"/>
          </w:tcPr>
          <w:p w14:paraId="47F52986" w14:textId="55C1AFFE"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0.004</w:t>
            </w:r>
          </w:p>
        </w:tc>
        <w:tc>
          <w:tcPr>
            <w:tcW w:w="494" w:type="pct"/>
            <w:tcBorders>
              <w:left w:val="nil"/>
              <w:right w:val="nil"/>
            </w:tcBorders>
            <w:vAlign w:val="bottom"/>
          </w:tcPr>
          <w:p w14:paraId="2346D4B8" w14:textId="6FB131C8"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9.136</w:t>
            </w:r>
          </w:p>
        </w:tc>
        <w:tc>
          <w:tcPr>
            <w:tcW w:w="494" w:type="pct"/>
            <w:tcBorders>
              <w:left w:val="nil"/>
              <w:right w:val="nil"/>
            </w:tcBorders>
            <w:vAlign w:val="bottom"/>
          </w:tcPr>
          <w:p w14:paraId="6F5B64EB" w14:textId="6BC9DE7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0.028</w:t>
            </w:r>
          </w:p>
        </w:tc>
        <w:tc>
          <w:tcPr>
            <w:tcW w:w="494" w:type="pct"/>
            <w:tcBorders>
              <w:left w:val="nil"/>
              <w:right w:val="nil"/>
            </w:tcBorders>
            <w:vAlign w:val="bottom"/>
          </w:tcPr>
          <w:p w14:paraId="203B6F8D" w14:textId="5E5B3B17"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0.007</w:t>
            </w:r>
          </w:p>
        </w:tc>
        <w:tc>
          <w:tcPr>
            <w:tcW w:w="494" w:type="pct"/>
            <w:tcBorders>
              <w:left w:val="nil"/>
              <w:right w:val="nil"/>
            </w:tcBorders>
            <w:vAlign w:val="bottom"/>
          </w:tcPr>
          <w:p w14:paraId="23334885" w14:textId="5515A9A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7.107</w:t>
            </w:r>
          </w:p>
        </w:tc>
        <w:tc>
          <w:tcPr>
            <w:tcW w:w="500" w:type="pct"/>
            <w:tcBorders>
              <w:left w:val="nil"/>
              <w:right w:val="nil"/>
            </w:tcBorders>
            <w:vAlign w:val="bottom"/>
          </w:tcPr>
          <w:p w14:paraId="0171D70F" w14:textId="5C96A46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-0.007</w:t>
            </w:r>
          </w:p>
        </w:tc>
        <w:tc>
          <w:tcPr>
            <w:tcW w:w="505" w:type="pct"/>
            <w:tcBorders>
              <w:left w:val="nil"/>
              <w:right w:val="nil"/>
            </w:tcBorders>
            <w:vAlign w:val="bottom"/>
          </w:tcPr>
          <w:p w14:paraId="07540B88" w14:textId="0067C92D"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0.802</w:t>
            </w:r>
          </w:p>
        </w:tc>
      </w:tr>
      <w:tr w:rsidR="00A3505C" w:rsidRPr="00A3505C" w14:paraId="585C0166" w14:textId="77777777" w:rsidTr="0040268F">
        <w:trPr>
          <w:jc w:val="center"/>
        </w:trPr>
        <w:tc>
          <w:tcPr>
            <w:tcW w:w="1031" w:type="pct"/>
            <w:tcBorders>
              <w:left w:val="nil"/>
              <w:right w:val="nil"/>
            </w:tcBorders>
          </w:tcPr>
          <w:p w14:paraId="612143F4"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eastAsia="DengXian" w:hAnsi="Times New Roman" w:cs="Times New Roman"/>
                <w:i/>
                <w:sz w:val="18"/>
                <w:szCs w:val="18"/>
              </w:rPr>
              <w:t>WW Index</w:t>
            </w:r>
          </w:p>
        </w:tc>
        <w:tc>
          <w:tcPr>
            <w:tcW w:w="494" w:type="pct"/>
            <w:tcBorders>
              <w:left w:val="nil"/>
              <w:right w:val="nil"/>
            </w:tcBorders>
            <w:vAlign w:val="bottom"/>
          </w:tcPr>
          <w:p w14:paraId="5438DEED" w14:textId="26FB96C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-1.020</w:t>
            </w:r>
          </w:p>
        </w:tc>
        <w:tc>
          <w:tcPr>
            <w:tcW w:w="494" w:type="pct"/>
            <w:tcBorders>
              <w:left w:val="nil"/>
              <w:right w:val="nil"/>
            </w:tcBorders>
            <w:vAlign w:val="bottom"/>
          </w:tcPr>
          <w:p w14:paraId="24CD0A88" w14:textId="1CB5B50C"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0.008</w:t>
            </w:r>
          </w:p>
        </w:tc>
        <w:tc>
          <w:tcPr>
            <w:tcW w:w="494" w:type="pct"/>
            <w:tcBorders>
              <w:left w:val="nil"/>
              <w:right w:val="nil"/>
            </w:tcBorders>
            <w:vAlign w:val="bottom"/>
          </w:tcPr>
          <w:p w14:paraId="6919D47A" w14:textId="5382D8C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-7.100</w:t>
            </w:r>
          </w:p>
        </w:tc>
        <w:tc>
          <w:tcPr>
            <w:tcW w:w="494" w:type="pct"/>
            <w:tcBorders>
              <w:left w:val="nil"/>
              <w:right w:val="nil"/>
            </w:tcBorders>
            <w:vAlign w:val="bottom"/>
          </w:tcPr>
          <w:p w14:paraId="1EF93AB1" w14:textId="51547769"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-1.019</w:t>
            </w:r>
          </w:p>
        </w:tc>
        <w:tc>
          <w:tcPr>
            <w:tcW w:w="494" w:type="pct"/>
            <w:tcBorders>
              <w:left w:val="nil"/>
              <w:right w:val="nil"/>
            </w:tcBorders>
            <w:vAlign w:val="bottom"/>
          </w:tcPr>
          <w:p w14:paraId="5A4D6121" w14:textId="321E8DE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0.013</w:t>
            </w:r>
          </w:p>
        </w:tc>
        <w:tc>
          <w:tcPr>
            <w:tcW w:w="494" w:type="pct"/>
            <w:tcBorders>
              <w:left w:val="nil"/>
              <w:right w:val="nil"/>
            </w:tcBorders>
            <w:vAlign w:val="bottom"/>
          </w:tcPr>
          <w:p w14:paraId="65941E1B" w14:textId="067A32F1"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-29.320</w:t>
            </w:r>
          </w:p>
        </w:tc>
        <w:tc>
          <w:tcPr>
            <w:tcW w:w="500" w:type="pct"/>
            <w:tcBorders>
              <w:left w:val="nil"/>
              <w:right w:val="nil"/>
            </w:tcBorders>
            <w:vAlign w:val="bottom"/>
          </w:tcPr>
          <w:p w14:paraId="7E53D9F5" w14:textId="7BBC4FCC"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-0.001</w:t>
            </w:r>
          </w:p>
        </w:tc>
        <w:tc>
          <w:tcPr>
            <w:tcW w:w="505" w:type="pct"/>
            <w:tcBorders>
              <w:left w:val="nil"/>
              <w:right w:val="nil"/>
            </w:tcBorders>
            <w:vAlign w:val="bottom"/>
          </w:tcPr>
          <w:p w14:paraId="71DD7846" w14:textId="3B2696DD"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0.802</w:t>
            </w:r>
          </w:p>
        </w:tc>
      </w:tr>
      <w:tr w:rsidR="00A3505C" w:rsidRPr="00A3505C" w14:paraId="631B4723" w14:textId="77777777" w:rsidTr="0040268F">
        <w:trPr>
          <w:jc w:val="center"/>
        </w:trPr>
        <w:tc>
          <w:tcPr>
            <w:tcW w:w="1031" w:type="pct"/>
            <w:tcBorders>
              <w:left w:val="nil"/>
              <w:bottom w:val="single" w:sz="4" w:space="0" w:color="auto"/>
              <w:right w:val="nil"/>
            </w:tcBorders>
          </w:tcPr>
          <w:p w14:paraId="5CAE9C84" w14:textId="77777777" w:rsidR="00D63D0F" w:rsidRPr="00A3505C" w:rsidRDefault="00D63D0F" w:rsidP="00D63D0F">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InstitutionInv</w:t>
            </w:r>
          </w:p>
        </w:tc>
        <w:tc>
          <w:tcPr>
            <w:tcW w:w="494" w:type="pct"/>
            <w:tcBorders>
              <w:left w:val="nil"/>
              <w:bottom w:val="single" w:sz="4" w:space="0" w:color="auto"/>
              <w:right w:val="nil"/>
            </w:tcBorders>
            <w:vAlign w:val="bottom"/>
          </w:tcPr>
          <w:p w14:paraId="31B75476" w14:textId="546BFB92"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0.432</w:t>
            </w:r>
          </w:p>
        </w:tc>
        <w:tc>
          <w:tcPr>
            <w:tcW w:w="494" w:type="pct"/>
            <w:tcBorders>
              <w:left w:val="nil"/>
              <w:bottom w:val="single" w:sz="4" w:space="0" w:color="auto"/>
              <w:right w:val="nil"/>
            </w:tcBorders>
            <w:vAlign w:val="bottom"/>
          </w:tcPr>
          <w:p w14:paraId="61300AE8" w14:textId="63FDD43A"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0.055</w:t>
            </w:r>
          </w:p>
        </w:tc>
        <w:tc>
          <w:tcPr>
            <w:tcW w:w="494" w:type="pct"/>
            <w:tcBorders>
              <w:left w:val="nil"/>
              <w:bottom w:val="single" w:sz="4" w:space="0" w:color="auto"/>
              <w:right w:val="nil"/>
            </w:tcBorders>
            <w:vAlign w:val="bottom"/>
          </w:tcPr>
          <w:p w14:paraId="0B1F5088" w14:textId="3D087BDF"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bottom w:val="single" w:sz="4" w:space="0" w:color="auto"/>
              <w:right w:val="nil"/>
            </w:tcBorders>
            <w:vAlign w:val="bottom"/>
          </w:tcPr>
          <w:p w14:paraId="4B613A9C" w14:textId="4B2FF38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0.470</w:t>
            </w:r>
          </w:p>
        </w:tc>
        <w:tc>
          <w:tcPr>
            <w:tcW w:w="494" w:type="pct"/>
            <w:tcBorders>
              <w:left w:val="nil"/>
              <w:bottom w:val="single" w:sz="4" w:space="0" w:color="auto"/>
              <w:right w:val="nil"/>
            </w:tcBorders>
            <w:vAlign w:val="bottom"/>
          </w:tcPr>
          <w:p w14:paraId="6C125E44" w14:textId="09E46654"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0.060</w:t>
            </w:r>
          </w:p>
        </w:tc>
        <w:tc>
          <w:tcPr>
            <w:tcW w:w="494" w:type="pct"/>
            <w:tcBorders>
              <w:left w:val="nil"/>
              <w:bottom w:val="single" w:sz="4" w:space="0" w:color="auto"/>
              <w:right w:val="nil"/>
            </w:tcBorders>
            <w:vAlign w:val="bottom"/>
          </w:tcPr>
          <w:p w14:paraId="17B7509D" w14:textId="305C2E26"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-0.165</w:t>
            </w:r>
          </w:p>
        </w:tc>
        <w:tc>
          <w:tcPr>
            <w:tcW w:w="500" w:type="pct"/>
            <w:tcBorders>
              <w:left w:val="nil"/>
              <w:bottom w:val="single" w:sz="4" w:space="0" w:color="auto"/>
              <w:right w:val="nil"/>
            </w:tcBorders>
            <w:vAlign w:val="bottom"/>
          </w:tcPr>
          <w:p w14:paraId="6E9C5EE4" w14:textId="0E5BB01C"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-0.038</w:t>
            </w:r>
          </w:p>
        </w:tc>
        <w:tc>
          <w:tcPr>
            <w:tcW w:w="505" w:type="pct"/>
            <w:tcBorders>
              <w:left w:val="nil"/>
              <w:bottom w:val="single" w:sz="4" w:space="0" w:color="auto"/>
              <w:right w:val="nil"/>
            </w:tcBorders>
            <w:vAlign w:val="bottom"/>
          </w:tcPr>
          <w:p w14:paraId="7FF13215" w14:textId="22799F83" w:rsidR="00D63D0F" w:rsidRPr="00A3505C" w:rsidRDefault="00D63D0F" w:rsidP="00D63D0F">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0.962</w:t>
            </w:r>
          </w:p>
        </w:tc>
      </w:tr>
      <w:tr w:rsidR="00A3505C" w:rsidRPr="00A3505C" w14:paraId="676610A6" w14:textId="77777777" w:rsidTr="0040268F">
        <w:trPr>
          <w:jc w:val="center"/>
        </w:trPr>
        <w:tc>
          <w:tcPr>
            <w:tcW w:w="5000" w:type="pct"/>
            <w:gridSpan w:val="9"/>
            <w:tcBorders>
              <w:top w:val="single" w:sz="4" w:space="0" w:color="auto"/>
              <w:left w:val="nil"/>
              <w:bottom w:val="single" w:sz="4" w:space="0" w:color="auto"/>
              <w:right w:val="nil"/>
            </w:tcBorders>
          </w:tcPr>
          <w:p w14:paraId="15A14879" w14:textId="1B07052F" w:rsidR="007873AA" w:rsidRPr="00A3505C" w:rsidRDefault="007873AA" w:rsidP="009C7B47">
            <w:pPr>
              <w:autoSpaceDE w:val="0"/>
              <w:autoSpaceDN w:val="0"/>
              <w:adjustRightInd w:val="0"/>
              <w:snapToGrid w:val="0"/>
              <w:spacing w:before="60" w:after="60" w:line="264" w:lineRule="auto"/>
              <w:jc w:val="both"/>
              <w:rPr>
                <w:rFonts w:ascii="Times New Roman" w:hAnsi="Times New Roman" w:cs="Times New Roman"/>
                <w:b/>
                <w:bCs/>
                <w:sz w:val="18"/>
                <w:szCs w:val="18"/>
                <w:lang w:val="en-US"/>
              </w:rPr>
            </w:pPr>
            <w:r w:rsidRPr="00A3505C">
              <w:rPr>
                <w:rFonts w:ascii="Times New Roman" w:hAnsi="Times New Roman" w:cs="Times New Roman"/>
                <w:b/>
                <w:bCs/>
                <w:sz w:val="18"/>
                <w:szCs w:val="18"/>
                <w:lang w:val="en-US"/>
              </w:rPr>
              <w:t>Panel C. Descriptive statistics of firm characteristics after entropy balancing</w:t>
            </w:r>
          </w:p>
        </w:tc>
      </w:tr>
      <w:tr w:rsidR="00A3505C" w:rsidRPr="00A3505C" w14:paraId="16F8EB64" w14:textId="77777777" w:rsidTr="0040268F">
        <w:trPr>
          <w:trHeight w:val="70"/>
          <w:jc w:val="center"/>
        </w:trPr>
        <w:tc>
          <w:tcPr>
            <w:tcW w:w="1031" w:type="pct"/>
            <w:vMerge w:val="restart"/>
            <w:tcBorders>
              <w:top w:val="single" w:sz="4" w:space="0" w:color="auto"/>
              <w:left w:val="nil"/>
              <w:right w:val="nil"/>
            </w:tcBorders>
          </w:tcPr>
          <w:p w14:paraId="5199ABD3" w14:textId="77777777" w:rsidR="009B5A68" w:rsidRPr="00A3505C" w:rsidRDefault="009B5A68" w:rsidP="009B5A68">
            <w:pPr>
              <w:autoSpaceDE w:val="0"/>
              <w:autoSpaceDN w:val="0"/>
              <w:adjustRightInd w:val="0"/>
              <w:snapToGrid w:val="0"/>
              <w:spacing w:after="0" w:line="264" w:lineRule="auto"/>
              <w:rPr>
                <w:rFonts w:ascii="Times New Roman" w:hAnsi="Times New Roman" w:cs="Times New Roman"/>
                <w:sz w:val="18"/>
                <w:szCs w:val="18"/>
                <w:lang w:val="en-US"/>
              </w:rPr>
            </w:pPr>
          </w:p>
        </w:tc>
        <w:tc>
          <w:tcPr>
            <w:tcW w:w="1482" w:type="pct"/>
            <w:gridSpan w:val="3"/>
            <w:tcBorders>
              <w:top w:val="single" w:sz="4" w:space="0" w:color="auto"/>
              <w:left w:val="nil"/>
              <w:bottom w:val="single" w:sz="4" w:space="0" w:color="auto"/>
              <w:right w:val="nil"/>
            </w:tcBorders>
          </w:tcPr>
          <w:p w14:paraId="0F619506" w14:textId="4FD35C9A" w:rsidR="009B5A68" w:rsidRPr="00A3505C" w:rsidRDefault="009B5A68" w:rsidP="009B5A68">
            <w:pPr>
              <w:adjustRightInd w:val="0"/>
              <w:snapToGrid w:val="0"/>
              <w:spacing w:after="0" w:line="264" w:lineRule="auto"/>
              <w:jc w:val="center"/>
              <w:rPr>
                <w:rFonts w:ascii="Times New Roman" w:eastAsia="DengXian" w:hAnsi="Times New Roman" w:cs="Times New Roman"/>
                <w:iCs/>
                <w:sz w:val="18"/>
                <w:szCs w:val="18"/>
                <w:lang w:val="en-US"/>
              </w:rPr>
            </w:pPr>
            <w:r w:rsidRPr="00A3505C">
              <w:rPr>
                <w:rFonts w:ascii="Times New Roman" w:hAnsi="Times New Roman" w:cs="Times New Roman"/>
                <w:sz w:val="18"/>
                <w:szCs w:val="18"/>
              </w:rPr>
              <w:t>Firms With Green Revenues Throughout the Sample Period</w:t>
            </w:r>
          </w:p>
        </w:tc>
        <w:tc>
          <w:tcPr>
            <w:tcW w:w="1482" w:type="pct"/>
            <w:gridSpan w:val="3"/>
            <w:tcBorders>
              <w:top w:val="single" w:sz="4" w:space="0" w:color="auto"/>
              <w:left w:val="nil"/>
              <w:bottom w:val="single" w:sz="4" w:space="0" w:color="auto"/>
              <w:right w:val="nil"/>
            </w:tcBorders>
          </w:tcPr>
          <w:p w14:paraId="2D9EB2B7" w14:textId="27E0AA38" w:rsidR="009B5A68" w:rsidRPr="00A3505C" w:rsidRDefault="009B5A68" w:rsidP="009B5A68">
            <w:pPr>
              <w:adjustRightInd w:val="0"/>
              <w:snapToGrid w:val="0"/>
              <w:spacing w:after="0" w:line="264" w:lineRule="auto"/>
              <w:jc w:val="center"/>
              <w:rPr>
                <w:rFonts w:ascii="Times New Roman" w:eastAsia="DengXian" w:hAnsi="Times New Roman" w:cs="Times New Roman"/>
                <w:iCs/>
                <w:sz w:val="18"/>
                <w:szCs w:val="18"/>
                <w:lang w:val="en-US"/>
              </w:rPr>
            </w:pPr>
            <w:r w:rsidRPr="00A3505C">
              <w:rPr>
                <w:rFonts w:ascii="Times New Roman" w:hAnsi="Times New Roman" w:cs="Times New Roman"/>
                <w:sz w:val="18"/>
                <w:szCs w:val="18"/>
              </w:rPr>
              <w:t>Firms Without Green Revenues Throughout the Sample Period</w:t>
            </w:r>
          </w:p>
        </w:tc>
        <w:tc>
          <w:tcPr>
            <w:tcW w:w="500" w:type="pct"/>
            <w:tcBorders>
              <w:top w:val="single" w:sz="4" w:space="0" w:color="auto"/>
              <w:left w:val="nil"/>
              <w:bottom w:val="single" w:sz="4" w:space="0" w:color="auto"/>
              <w:right w:val="nil"/>
            </w:tcBorders>
          </w:tcPr>
          <w:p w14:paraId="3C3ADE6A" w14:textId="77777777" w:rsidR="009B5A68" w:rsidRPr="00A3505C" w:rsidRDefault="009B5A68" w:rsidP="009B5A68">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505" w:type="pct"/>
            <w:tcBorders>
              <w:top w:val="single" w:sz="4" w:space="0" w:color="auto"/>
              <w:left w:val="nil"/>
              <w:bottom w:val="single" w:sz="4" w:space="0" w:color="auto"/>
              <w:right w:val="nil"/>
            </w:tcBorders>
          </w:tcPr>
          <w:p w14:paraId="39734A5F" w14:textId="77777777" w:rsidR="009B5A68" w:rsidRPr="00A3505C" w:rsidRDefault="009B5A68" w:rsidP="009B5A68">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Std. Dev.</w:t>
            </w:r>
          </w:p>
        </w:tc>
      </w:tr>
      <w:tr w:rsidR="00A3505C" w:rsidRPr="00A3505C" w14:paraId="7B07F57F" w14:textId="77777777" w:rsidTr="0040268F">
        <w:trPr>
          <w:jc w:val="center"/>
        </w:trPr>
        <w:tc>
          <w:tcPr>
            <w:tcW w:w="1031" w:type="pct"/>
            <w:vMerge/>
            <w:tcBorders>
              <w:left w:val="nil"/>
              <w:bottom w:val="single" w:sz="4" w:space="0" w:color="auto"/>
              <w:right w:val="nil"/>
            </w:tcBorders>
          </w:tcPr>
          <w:p w14:paraId="666B1CBD"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p>
        </w:tc>
        <w:tc>
          <w:tcPr>
            <w:tcW w:w="494" w:type="pct"/>
            <w:tcBorders>
              <w:top w:val="single" w:sz="4" w:space="0" w:color="auto"/>
              <w:left w:val="nil"/>
              <w:bottom w:val="single" w:sz="4" w:space="0" w:color="auto"/>
              <w:right w:val="nil"/>
            </w:tcBorders>
          </w:tcPr>
          <w:p w14:paraId="363A6E74"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494" w:type="pct"/>
            <w:tcBorders>
              <w:top w:val="single" w:sz="4" w:space="0" w:color="auto"/>
              <w:left w:val="nil"/>
              <w:bottom w:val="single" w:sz="4" w:space="0" w:color="auto"/>
              <w:right w:val="nil"/>
            </w:tcBorders>
          </w:tcPr>
          <w:p w14:paraId="7AAC324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Variance</w:t>
            </w:r>
          </w:p>
        </w:tc>
        <w:tc>
          <w:tcPr>
            <w:tcW w:w="494" w:type="pct"/>
            <w:tcBorders>
              <w:top w:val="single" w:sz="4" w:space="0" w:color="auto"/>
              <w:left w:val="nil"/>
              <w:bottom w:val="single" w:sz="4" w:space="0" w:color="auto"/>
              <w:right w:val="nil"/>
            </w:tcBorders>
          </w:tcPr>
          <w:p w14:paraId="3B11BB5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Skewness</w:t>
            </w:r>
          </w:p>
        </w:tc>
        <w:tc>
          <w:tcPr>
            <w:tcW w:w="494" w:type="pct"/>
            <w:tcBorders>
              <w:top w:val="single" w:sz="4" w:space="0" w:color="auto"/>
              <w:left w:val="nil"/>
              <w:bottom w:val="single" w:sz="4" w:space="0" w:color="auto"/>
              <w:right w:val="nil"/>
            </w:tcBorders>
          </w:tcPr>
          <w:p w14:paraId="324CC1A9"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Mean</w:t>
            </w:r>
          </w:p>
        </w:tc>
        <w:tc>
          <w:tcPr>
            <w:tcW w:w="494" w:type="pct"/>
            <w:tcBorders>
              <w:top w:val="single" w:sz="4" w:space="0" w:color="auto"/>
              <w:left w:val="nil"/>
              <w:bottom w:val="single" w:sz="4" w:space="0" w:color="auto"/>
              <w:right w:val="nil"/>
            </w:tcBorders>
          </w:tcPr>
          <w:p w14:paraId="45AE4E0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Variance</w:t>
            </w:r>
          </w:p>
        </w:tc>
        <w:tc>
          <w:tcPr>
            <w:tcW w:w="494" w:type="pct"/>
            <w:tcBorders>
              <w:top w:val="single" w:sz="4" w:space="0" w:color="auto"/>
              <w:left w:val="nil"/>
              <w:bottom w:val="single" w:sz="4" w:space="0" w:color="auto"/>
              <w:right w:val="nil"/>
            </w:tcBorders>
          </w:tcPr>
          <w:p w14:paraId="4AF54ADF"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Skewness</w:t>
            </w:r>
          </w:p>
        </w:tc>
        <w:tc>
          <w:tcPr>
            <w:tcW w:w="500" w:type="pct"/>
            <w:tcBorders>
              <w:top w:val="single" w:sz="4" w:space="0" w:color="auto"/>
              <w:left w:val="nil"/>
              <w:bottom w:val="single" w:sz="4" w:space="0" w:color="auto"/>
              <w:right w:val="nil"/>
            </w:tcBorders>
          </w:tcPr>
          <w:p w14:paraId="3F463A6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Difference</w:t>
            </w:r>
          </w:p>
        </w:tc>
        <w:tc>
          <w:tcPr>
            <w:tcW w:w="505" w:type="pct"/>
            <w:tcBorders>
              <w:top w:val="single" w:sz="4" w:space="0" w:color="auto"/>
              <w:left w:val="nil"/>
              <w:bottom w:val="single" w:sz="4" w:space="0" w:color="auto"/>
              <w:right w:val="nil"/>
            </w:tcBorders>
          </w:tcPr>
          <w:p w14:paraId="043B891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Ratio</w:t>
            </w:r>
          </w:p>
        </w:tc>
      </w:tr>
      <w:tr w:rsidR="00A3505C" w:rsidRPr="00A3505C" w14:paraId="2307CDD0" w14:textId="77777777" w:rsidTr="0040268F">
        <w:trPr>
          <w:jc w:val="center"/>
        </w:trPr>
        <w:tc>
          <w:tcPr>
            <w:tcW w:w="1031" w:type="pct"/>
            <w:tcBorders>
              <w:top w:val="single" w:sz="4" w:space="0" w:color="auto"/>
              <w:left w:val="nil"/>
              <w:right w:val="nil"/>
            </w:tcBorders>
          </w:tcPr>
          <w:p w14:paraId="7B6212C7"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lastRenderedPageBreak/>
              <w:t>Size</w:t>
            </w:r>
          </w:p>
        </w:tc>
        <w:tc>
          <w:tcPr>
            <w:tcW w:w="494" w:type="pct"/>
            <w:tcBorders>
              <w:top w:val="single" w:sz="4" w:space="0" w:color="auto"/>
              <w:left w:val="nil"/>
              <w:right w:val="nil"/>
            </w:tcBorders>
            <w:vAlign w:val="bottom"/>
          </w:tcPr>
          <w:p w14:paraId="7C77500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22.330</w:t>
            </w:r>
          </w:p>
        </w:tc>
        <w:tc>
          <w:tcPr>
            <w:tcW w:w="494" w:type="pct"/>
            <w:tcBorders>
              <w:top w:val="single" w:sz="4" w:space="0" w:color="auto"/>
              <w:left w:val="nil"/>
              <w:right w:val="nil"/>
            </w:tcBorders>
            <w:vAlign w:val="bottom"/>
          </w:tcPr>
          <w:p w14:paraId="08471B5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1.526</w:t>
            </w:r>
          </w:p>
        </w:tc>
        <w:tc>
          <w:tcPr>
            <w:tcW w:w="494" w:type="pct"/>
            <w:tcBorders>
              <w:top w:val="single" w:sz="4" w:space="0" w:color="auto"/>
              <w:left w:val="nil"/>
              <w:right w:val="nil"/>
            </w:tcBorders>
            <w:vAlign w:val="bottom"/>
          </w:tcPr>
          <w:p w14:paraId="2AF125B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0.531</w:t>
            </w:r>
          </w:p>
        </w:tc>
        <w:tc>
          <w:tcPr>
            <w:tcW w:w="494" w:type="pct"/>
            <w:tcBorders>
              <w:top w:val="single" w:sz="4" w:space="0" w:color="auto"/>
              <w:left w:val="nil"/>
              <w:right w:val="nil"/>
            </w:tcBorders>
            <w:vAlign w:val="bottom"/>
          </w:tcPr>
          <w:p w14:paraId="003F8A3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22.330</w:t>
            </w:r>
          </w:p>
        </w:tc>
        <w:tc>
          <w:tcPr>
            <w:tcW w:w="494" w:type="pct"/>
            <w:tcBorders>
              <w:top w:val="single" w:sz="4" w:space="0" w:color="auto"/>
              <w:left w:val="nil"/>
              <w:right w:val="nil"/>
            </w:tcBorders>
            <w:vAlign w:val="bottom"/>
          </w:tcPr>
          <w:p w14:paraId="20A4FE39"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1.526</w:t>
            </w:r>
          </w:p>
        </w:tc>
        <w:tc>
          <w:tcPr>
            <w:tcW w:w="494" w:type="pct"/>
            <w:tcBorders>
              <w:top w:val="single" w:sz="4" w:space="0" w:color="auto"/>
              <w:left w:val="nil"/>
              <w:right w:val="nil"/>
            </w:tcBorders>
            <w:vAlign w:val="bottom"/>
          </w:tcPr>
          <w:p w14:paraId="74B99FA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0.531</w:t>
            </w:r>
          </w:p>
        </w:tc>
        <w:tc>
          <w:tcPr>
            <w:tcW w:w="500" w:type="pct"/>
            <w:tcBorders>
              <w:top w:val="single" w:sz="4" w:space="0" w:color="auto"/>
              <w:left w:val="nil"/>
              <w:right w:val="nil"/>
            </w:tcBorders>
          </w:tcPr>
          <w:p w14:paraId="102FCFAC"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top w:val="single" w:sz="4" w:space="0" w:color="auto"/>
              <w:left w:val="nil"/>
              <w:right w:val="nil"/>
            </w:tcBorders>
          </w:tcPr>
          <w:p w14:paraId="153EBDE6"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2CF72FD3" w14:textId="77777777" w:rsidTr="0040268F">
        <w:trPr>
          <w:jc w:val="center"/>
        </w:trPr>
        <w:tc>
          <w:tcPr>
            <w:tcW w:w="1031" w:type="pct"/>
            <w:tcBorders>
              <w:left w:val="nil"/>
              <w:right w:val="nil"/>
            </w:tcBorders>
          </w:tcPr>
          <w:p w14:paraId="7D6F734F"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SOE</w:t>
            </w:r>
          </w:p>
        </w:tc>
        <w:tc>
          <w:tcPr>
            <w:tcW w:w="494" w:type="pct"/>
            <w:tcBorders>
              <w:left w:val="nil"/>
              <w:right w:val="nil"/>
            </w:tcBorders>
            <w:vAlign w:val="bottom"/>
          </w:tcPr>
          <w:p w14:paraId="37A79A3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0.389</w:t>
            </w:r>
          </w:p>
        </w:tc>
        <w:tc>
          <w:tcPr>
            <w:tcW w:w="494" w:type="pct"/>
            <w:tcBorders>
              <w:left w:val="nil"/>
              <w:right w:val="nil"/>
            </w:tcBorders>
            <w:vAlign w:val="bottom"/>
          </w:tcPr>
          <w:p w14:paraId="33D49F14"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0.238</w:t>
            </w:r>
          </w:p>
        </w:tc>
        <w:tc>
          <w:tcPr>
            <w:tcW w:w="494" w:type="pct"/>
            <w:tcBorders>
              <w:left w:val="nil"/>
              <w:right w:val="nil"/>
            </w:tcBorders>
            <w:vAlign w:val="bottom"/>
          </w:tcPr>
          <w:p w14:paraId="7EE78D5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0.455</w:t>
            </w:r>
          </w:p>
        </w:tc>
        <w:tc>
          <w:tcPr>
            <w:tcW w:w="494" w:type="pct"/>
            <w:tcBorders>
              <w:left w:val="nil"/>
              <w:right w:val="nil"/>
            </w:tcBorders>
            <w:vAlign w:val="bottom"/>
          </w:tcPr>
          <w:p w14:paraId="142642F6"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0.389</w:t>
            </w:r>
          </w:p>
        </w:tc>
        <w:tc>
          <w:tcPr>
            <w:tcW w:w="494" w:type="pct"/>
            <w:tcBorders>
              <w:left w:val="nil"/>
              <w:right w:val="nil"/>
            </w:tcBorders>
            <w:vAlign w:val="bottom"/>
          </w:tcPr>
          <w:p w14:paraId="1AE390B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0.238</w:t>
            </w:r>
          </w:p>
        </w:tc>
        <w:tc>
          <w:tcPr>
            <w:tcW w:w="494" w:type="pct"/>
            <w:tcBorders>
              <w:left w:val="nil"/>
              <w:right w:val="nil"/>
            </w:tcBorders>
            <w:vAlign w:val="bottom"/>
          </w:tcPr>
          <w:p w14:paraId="2732880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0.455</w:t>
            </w:r>
          </w:p>
        </w:tc>
        <w:tc>
          <w:tcPr>
            <w:tcW w:w="500" w:type="pct"/>
            <w:tcBorders>
              <w:left w:val="nil"/>
              <w:right w:val="nil"/>
            </w:tcBorders>
          </w:tcPr>
          <w:p w14:paraId="589A4BF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326021A3"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0BFBFF1B" w14:textId="77777777" w:rsidTr="0040268F">
        <w:trPr>
          <w:jc w:val="center"/>
        </w:trPr>
        <w:tc>
          <w:tcPr>
            <w:tcW w:w="1031" w:type="pct"/>
            <w:tcBorders>
              <w:left w:val="nil"/>
              <w:right w:val="nil"/>
            </w:tcBorders>
          </w:tcPr>
          <w:p w14:paraId="21F281AE"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BTM</w:t>
            </w:r>
          </w:p>
        </w:tc>
        <w:tc>
          <w:tcPr>
            <w:tcW w:w="494" w:type="pct"/>
            <w:tcBorders>
              <w:left w:val="nil"/>
              <w:right w:val="nil"/>
            </w:tcBorders>
            <w:vAlign w:val="bottom"/>
          </w:tcPr>
          <w:p w14:paraId="6F65A362"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0.648</w:t>
            </w:r>
          </w:p>
        </w:tc>
        <w:tc>
          <w:tcPr>
            <w:tcW w:w="494" w:type="pct"/>
            <w:tcBorders>
              <w:left w:val="nil"/>
              <w:right w:val="nil"/>
            </w:tcBorders>
            <w:vAlign w:val="bottom"/>
          </w:tcPr>
          <w:p w14:paraId="2939E92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0.058</w:t>
            </w:r>
          </w:p>
        </w:tc>
        <w:tc>
          <w:tcPr>
            <w:tcW w:w="494" w:type="pct"/>
            <w:tcBorders>
              <w:left w:val="nil"/>
              <w:right w:val="nil"/>
            </w:tcBorders>
            <w:vAlign w:val="bottom"/>
          </w:tcPr>
          <w:p w14:paraId="2DB15AA6"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0.056</w:t>
            </w:r>
          </w:p>
        </w:tc>
        <w:tc>
          <w:tcPr>
            <w:tcW w:w="494" w:type="pct"/>
            <w:tcBorders>
              <w:left w:val="nil"/>
              <w:right w:val="nil"/>
            </w:tcBorders>
            <w:vAlign w:val="bottom"/>
          </w:tcPr>
          <w:p w14:paraId="07EF6CF9"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0.648</w:t>
            </w:r>
          </w:p>
        </w:tc>
        <w:tc>
          <w:tcPr>
            <w:tcW w:w="494" w:type="pct"/>
            <w:tcBorders>
              <w:left w:val="nil"/>
              <w:right w:val="nil"/>
            </w:tcBorders>
            <w:vAlign w:val="bottom"/>
          </w:tcPr>
          <w:p w14:paraId="073437B2"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0.058</w:t>
            </w:r>
          </w:p>
        </w:tc>
        <w:tc>
          <w:tcPr>
            <w:tcW w:w="494" w:type="pct"/>
            <w:tcBorders>
              <w:left w:val="nil"/>
              <w:right w:val="nil"/>
            </w:tcBorders>
            <w:vAlign w:val="bottom"/>
          </w:tcPr>
          <w:p w14:paraId="794953B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0.056</w:t>
            </w:r>
          </w:p>
        </w:tc>
        <w:tc>
          <w:tcPr>
            <w:tcW w:w="500" w:type="pct"/>
            <w:tcBorders>
              <w:left w:val="nil"/>
              <w:right w:val="nil"/>
            </w:tcBorders>
          </w:tcPr>
          <w:p w14:paraId="0D1DB28F"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4757BD0A"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102A8431" w14:textId="77777777" w:rsidTr="0040268F">
        <w:trPr>
          <w:jc w:val="center"/>
        </w:trPr>
        <w:tc>
          <w:tcPr>
            <w:tcW w:w="1031" w:type="pct"/>
            <w:tcBorders>
              <w:left w:val="nil"/>
              <w:right w:val="nil"/>
            </w:tcBorders>
          </w:tcPr>
          <w:p w14:paraId="5D765372"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NWC</w:t>
            </w:r>
          </w:p>
        </w:tc>
        <w:tc>
          <w:tcPr>
            <w:tcW w:w="494" w:type="pct"/>
            <w:tcBorders>
              <w:left w:val="nil"/>
              <w:right w:val="nil"/>
            </w:tcBorders>
            <w:vAlign w:val="bottom"/>
          </w:tcPr>
          <w:p w14:paraId="1F6C35C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0.189</w:t>
            </w:r>
          </w:p>
        </w:tc>
        <w:tc>
          <w:tcPr>
            <w:tcW w:w="494" w:type="pct"/>
            <w:tcBorders>
              <w:left w:val="nil"/>
              <w:right w:val="nil"/>
            </w:tcBorders>
            <w:vAlign w:val="bottom"/>
          </w:tcPr>
          <w:p w14:paraId="1558B6D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0.051</w:t>
            </w:r>
          </w:p>
        </w:tc>
        <w:tc>
          <w:tcPr>
            <w:tcW w:w="494" w:type="pct"/>
            <w:tcBorders>
              <w:left w:val="nil"/>
              <w:right w:val="nil"/>
            </w:tcBorders>
            <w:vAlign w:val="bottom"/>
          </w:tcPr>
          <w:p w14:paraId="076B26E2"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0.152</w:t>
            </w:r>
          </w:p>
        </w:tc>
        <w:tc>
          <w:tcPr>
            <w:tcW w:w="494" w:type="pct"/>
            <w:tcBorders>
              <w:left w:val="nil"/>
              <w:right w:val="nil"/>
            </w:tcBorders>
            <w:vAlign w:val="bottom"/>
          </w:tcPr>
          <w:p w14:paraId="34BF583C"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0.189</w:t>
            </w:r>
          </w:p>
        </w:tc>
        <w:tc>
          <w:tcPr>
            <w:tcW w:w="494" w:type="pct"/>
            <w:tcBorders>
              <w:left w:val="nil"/>
              <w:right w:val="nil"/>
            </w:tcBorders>
            <w:vAlign w:val="bottom"/>
          </w:tcPr>
          <w:p w14:paraId="2BA8CF1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0.051</w:t>
            </w:r>
          </w:p>
        </w:tc>
        <w:tc>
          <w:tcPr>
            <w:tcW w:w="494" w:type="pct"/>
            <w:tcBorders>
              <w:left w:val="nil"/>
              <w:right w:val="nil"/>
            </w:tcBorders>
            <w:vAlign w:val="bottom"/>
          </w:tcPr>
          <w:p w14:paraId="061E52CC"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0.152</w:t>
            </w:r>
          </w:p>
        </w:tc>
        <w:tc>
          <w:tcPr>
            <w:tcW w:w="500" w:type="pct"/>
            <w:tcBorders>
              <w:left w:val="nil"/>
              <w:right w:val="nil"/>
            </w:tcBorders>
          </w:tcPr>
          <w:p w14:paraId="545B059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42F3705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78DED37B" w14:textId="77777777" w:rsidTr="0040268F">
        <w:trPr>
          <w:jc w:val="center"/>
        </w:trPr>
        <w:tc>
          <w:tcPr>
            <w:tcW w:w="1031" w:type="pct"/>
            <w:tcBorders>
              <w:left w:val="nil"/>
              <w:right w:val="nil"/>
            </w:tcBorders>
          </w:tcPr>
          <w:p w14:paraId="4A1E0E90"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sz w:val="18"/>
                <w:szCs w:val="18"/>
                <w:lang w:val="en-US"/>
              </w:rPr>
            </w:pPr>
            <w:r w:rsidRPr="00A3505C">
              <w:rPr>
                <w:rFonts w:ascii="Times New Roman" w:hAnsi="Times New Roman" w:cs="Times New Roman"/>
                <w:i/>
                <w:iCs/>
                <w:sz w:val="18"/>
                <w:szCs w:val="18"/>
              </w:rPr>
              <w:t>ROA</w:t>
            </w:r>
          </w:p>
        </w:tc>
        <w:tc>
          <w:tcPr>
            <w:tcW w:w="494" w:type="pct"/>
            <w:tcBorders>
              <w:left w:val="nil"/>
              <w:right w:val="nil"/>
            </w:tcBorders>
            <w:vAlign w:val="bottom"/>
          </w:tcPr>
          <w:p w14:paraId="7E217E14"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0.026</w:t>
            </w:r>
          </w:p>
        </w:tc>
        <w:tc>
          <w:tcPr>
            <w:tcW w:w="494" w:type="pct"/>
            <w:tcBorders>
              <w:left w:val="nil"/>
              <w:right w:val="nil"/>
            </w:tcBorders>
            <w:vAlign w:val="bottom"/>
          </w:tcPr>
          <w:p w14:paraId="65EEC85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0.005</w:t>
            </w:r>
          </w:p>
        </w:tc>
        <w:tc>
          <w:tcPr>
            <w:tcW w:w="494" w:type="pct"/>
            <w:tcBorders>
              <w:left w:val="nil"/>
              <w:right w:val="nil"/>
            </w:tcBorders>
            <w:vAlign w:val="bottom"/>
          </w:tcPr>
          <w:p w14:paraId="1487996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-11.260</w:t>
            </w:r>
          </w:p>
        </w:tc>
        <w:tc>
          <w:tcPr>
            <w:tcW w:w="494" w:type="pct"/>
            <w:tcBorders>
              <w:left w:val="nil"/>
              <w:right w:val="nil"/>
            </w:tcBorders>
            <w:vAlign w:val="bottom"/>
          </w:tcPr>
          <w:p w14:paraId="3115C7CF"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0.026</w:t>
            </w:r>
          </w:p>
        </w:tc>
        <w:tc>
          <w:tcPr>
            <w:tcW w:w="494" w:type="pct"/>
            <w:tcBorders>
              <w:left w:val="nil"/>
              <w:right w:val="nil"/>
            </w:tcBorders>
            <w:vAlign w:val="bottom"/>
          </w:tcPr>
          <w:p w14:paraId="2B9F288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0.005</w:t>
            </w:r>
          </w:p>
        </w:tc>
        <w:tc>
          <w:tcPr>
            <w:tcW w:w="494" w:type="pct"/>
            <w:tcBorders>
              <w:left w:val="nil"/>
              <w:right w:val="nil"/>
            </w:tcBorders>
            <w:vAlign w:val="bottom"/>
          </w:tcPr>
          <w:p w14:paraId="13E315E5"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-11.260</w:t>
            </w:r>
          </w:p>
        </w:tc>
        <w:tc>
          <w:tcPr>
            <w:tcW w:w="500" w:type="pct"/>
            <w:tcBorders>
              <w:left w:val="nil"/>
              <w:right w:val="nil"/>
            </w:tcBorders>
          </w:tcPr>
          <w:p w14:paraId="09CBAAEA"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656899B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39F59474" w14:textId="77777777" w:rsidTr="0040268F">
        <w:trPr>
          <w:jc w:val="center"/>
        </w:trPr>
        <w:tc>
          <w:tcPr>
            <w:tcW w:w="1031" w:type="pct"/>
            <w:tcBorders>
              <w:left w:val="nil"/>
              <w:right w:val="nil"/>
            </w:tcBorders>
          </w:tcPr>
          <w:p w14:paraId="1763FE23"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Cash</w:t>
            </w:r>
          </w:p>
        </w:tc>
        <w:tc>
          <w:tcPr>
            <w:tcW w:w="494" w:type="pct"/>
            <w:tcBorders>
              <w:left w:val="nil"/>
              <w:right w:val="nil"/>
            </w:tcBorders>
            <w:vAlign w:val="bottom"/>
          </w:tcPr>
          <w:p w14:paraId="7219404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0.138</w:t>
            </w:r>
          </w:p>
        </w:tc>
        <w:tc>
          <w:tcPr>
            <w:tcW w:w="494" w:type="pct"/>
            <w:tcBorders>
              <w:left w:val="nil"/>
              <w:right w:val="nil"/>
            </w:tcBorders>
            <w:vAlign w:val="bottom"/>
          </w:tcPr>
          <w:p w14:paraId="4DC3F38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0.011</w:t>
            </w:r>
          </w:p>
        </w:tc>
        <w:tc>
          <w:tcPr>
            <w:tcW w:w="494" w:type="pct"/>
            <w:tcBorders>
              <w:left w:val="nil"/>
              <w:right w:val="nil"/>
            </w:tcBorders>
            <w:vAlign w:val="bottom"/>
          </w:tcPr>
          <w:p w14:paraId="716184AF"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1.782</w:t>
            </w:r>
          </w:p>
        </w:tc>
        <w:tc>
          <w:tcPr>
            <w:tcW w:w="494" w:type="pct"/>
            <w:tcBorders>
              <w:left w:val="nil"/>
              <w:right w:val="nil"/>
            </w:tcBorders>
            <w:vAlign w:val="bottom"/>
          </w:tcPr>
          <w:p w14:paraId="452C3233"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0.138</w:t>
            </w:r>
          </w:p>
        </w:tc>
        <w:tc>
          <w:tcPr>
            <w:tcW w:w="494" w:type="pct"/>
            <w:tcBorders>
              <w:left w:val="nil"/>
              <w:right w:val="nil"/>
            </w:tcBorders>
            <w:vAlign w:val="bottom"/>
          </w:tcPr>
          <w:p w14:paraId="4B8E957C"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0.011</w:t>
            </w:r>
          </w:p>
        </w:tc>
        <w:tc>
          <w:tcPr>
            <w:tcW w:w="494" w:type="pct"/>
            <w:tcBorders>
              <w:left w:val="nil"/>
              <w:right w:val="nil"/>
            </w:tcBorders>
            <w:vAlign w:val="bottom"/>
          </w:tcPr>
          <w:p w14:paraId="38099069"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1.782</w:t>
            </w:r>
          </w:p>
        </w:tc>
        <w:tc>
          <w:tcPr>
            <w:tcW w:w="500" w:type="pct"/>
            <w:tcBorders>
              <w:left w:val="nil"/>
              <w:right w:val="nil"/>
            </w:tcBorders>
          </w:tcPr>
          <w:p w14:paraId="61F5E83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31DB025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2F713F2C" w14:textId="77777777" w:rsidTr="0040268F">
        <w:trPr>
          <w:jc w:val="center"/>
        </w:trPr>
        <w:tc>
          <w:tcPr>
            <w:tcW w:w="1031" w:type="pct"/>
            <w:tcBorders>
              <w:left w:val="nil"/>
              <w:right w:val="nil"/>
            </w:tcBorders>
          </w:tcPr>
          <w:p w14:paraId="1D4CFF9C"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Tangible</w:t>
            </w:r>
          </w:p>
        </w:tc>
        <w:tc>
          <w:tcPr>
            <w:tcW w:w="494" w:type="pct"/>
            <w:tcBorders>
              <w:left w:val="nil"/>
              <w:right w:val="nil"/>
            </w:tcBorders>
            <w:vAlign w:val="bottom"/>
          </w:tcPr>
          <w:p w14:paraId="2DF6B28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0.922</w:t>
            </w:r>
          </w:p>
        </w:tc>
        <w:tc>
          <w:tcPr>
            <w:tcW w:w="494" w:type="pct"/>
            <w:tcBorders>
              <w:left w:val="nil"/>
              <w:right w:val="nil"/>
            </w:tcBorders>
            <w:vAlign w:val="bottom"/>
          </w:tcPr>
          <w:p w14:paraId="6C2AC67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right w:val="nil"/>
            </w:tcBorders>
            <w:vAlign w:val="bottom"/>
          </w:tcPr>
          <w:p w14:paraId="400DC27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-2.820</w:t>
            </w:r>
          </w:p>
        </w:tc>
        <w:tc>
          <w:tcPr>
            <w:tcW w:w="494" w:type="pct"/>
            <w:tcBorders>
              <w:left w:val="nil"/>
              <w:right w:val="nil"/>
            </w:tcBorders>
            <w:vAlign w:val="bottom"/>
          </w:tcPr>
          <w:p w14:paraId="6AEB12D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0.922</w:t>
            </w:r>
          </w:p>
        </w:tc>
        <w:tc>
          <w:tcPr>
            <w:tcW w:w="494" w:type="pct"/>
            <w:tcBorders>
              <w:left w:val="nil"/>
              <w:right w:val="nil"/>
            </w:tcBorders>
            <w:vAlign w:val="bottom"/>
          </w:tcPr>
          <w:p w14:paraId="573ED5B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right w:val="nil"/>
            </w:tcBorders>
            <w:vAlign w:val="bottom"/>
          </w:tcPr>
          <w:p w14:paraId="2099A10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-2.820</w:t>
            </w:r>
          </w:p>
        </w:tc>
        <w:tc>
          <w:tcPr>
            <w:tcW w:w="500" w:type="pct"/>
            <w:tcBorders>
              <w:left w:val="nil"/>
              <w:right w:val="nil"/>
            </w:tcBorders>
          </w:tcPr>
          <w:p w14:paraId="40C35153"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2013B77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7D6E8F22" w14:textId="77777777" w:rsidTr="0040268F">
        <w:trPr>
          <w:jc w:val="center"/>
        </w:trPr>
        <w:tc>
          <w:tcPr>
            <w:tcW w:w="1031" w:type="pct"/>
            <w:tcBorders>
              <w:left w:val="nil"/>
              <w:right w:val="nil"/>
            </w:tcBorders>
          </w:tcPr>
          <w:p w14:paraId="26913BA6"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i/>
                <w:sz w:val="18"/>
                <w:szCs w:val="18"/>
                <w:lang w:val="en-US"/>
              </w:rPr>
            </w:pPr>
            <w:r w:rsidRPr="00A3505C">
              <w:rPr>
                <w:rFonts w:ascii="Times New Roman" w:hAnsi="Times New Roman" w:cs="Times New Roman"/>
                <w:i/>
                <w:iCs/>
                <w:sz w:val="18"/>
                <w:szCs w:val="18"/>
              </w:rPr>
              <w:t>Market Share</w:t>
            </w:r>
          </w:p>
        </w:tc>
        <w:tc>
          <w:tcPr>
            <w:tcW w:w="494" w:type="pct"/>
            <w:tcBorders>
              <w:left w:val="nil"/>
              <w:right w:val="nil"/>
            </w:tcBorders>
            <w:vAlign w:val="bottom"/>
          </w:tcPr>
          <w:p w14:paraId="2CAA1FC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0.021</w:t>
            </w:r>
          </w:p>
        </w:tc>
        <w:tc>
          <w:tcPr>
            <w:tcW w:w="494" w:type="pct"/>
            <w:tcBorders>
              <w:left w:val="nil"/>
              <w:right w:val="nil"/>
            </w:tcBorders>
            <w:vAlign w:val="bottom"/>
          </w:tcPr>
          <w:p w14:paraId="1591F24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0.004</w:t>
            </w:r>
          </w:p>
        </w:tc>
        <w:tc>
          <w:tcPr>
            <w:tcW w:w="494" w:type="pct"/>
            <w:tcBorders>
              <w:left w:val="nil"/>
              <w:right w:val="nil"/>
            </w:tcBorders>
            <w:vAlign w:val="bottom"/>
          </w:tcPr>
          <w:p w14:paraId="1B087798"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9.136</w:t>
            </w:r>
          </w:p>
        </w:tc>
        <w:tc>
          <w:tcPr>
            <w:tcW w:w="494" w:type="pct"/>
            <w:tcBorders>
              <w:left w:val="nil"/>
              <w:right w:val="nil"/>
            </w:tcBorders>
            <w:vAlign w:val="bottom"/>
          </w:tcPr>
          <w:p w14:paraId="2EE0C7FA"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0.021</w:t>
            </w:r>
          </w:p>
        </w:tc>
        <w:tc>
          <w:tcPr>
            <w:tcW w:w="494" w:type="pct"/>
            <w:tcBorders>
              <w:left w:val="nil"/>
              <w:right w:val="nil"/>
            </w:tcBorders>
            <w:vAlign w:val="bottom"/>
          </w:tcPr>
          <w:p w14:paraId="00649FC9"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0.004</w:t>
            </w:r>
          </w:p>
        </w:tc>
        <w:tc>
          <w:tcPr>
            <w:tcW w:w="494" w:type="pct"/>
            <w:tcBorders>
              <w:left w:val="nil"/>
              <w:right w:val="nil"/>
            </w:tcBorders>
            <w:vAlign w:val="bottom"/>
          </w:tcPr>
          <w:p w14:paraId="2F528CF4"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9.136</w:t>
            </w:r>
          </w:p>
        </w:tc>
        <w:tc>
          <w:tcPr>
            <w:tcW w:w="500" w:type="pct"/>
            <w:tcBorders>
              <w:left w:val="nil"/>
              <w:right w:val="nil"/>
            </w:tcBorders>
          </w:tcPr>
          <w:p w14:paraId="0CF6498E"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5F70977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04703340" w14:textId="77777777" w:rsidTr="0040268F">
        <w:trPr>
          <w:jc w:val="center"/>
        </w:trPr>
        <w:tc>
          <w:tcPr>
            <w:tcW w:w="1031" w:type="pct"/>
            <w:tcBorders>
              <w:left w:val="nil"/>
              <w:right w:val="nil"/>
            </w:tcBorders>
          </w:tcPr>
          <w:p w14:paraId="1575F753"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eastAsia="DengXian" w:hAnsi="Times New Roman" w:cs="Times New Roman"/>
                <w:i/>
                <w:sz w:val="18"/>
                <w:szCs w:val="18"/>
              </w:rPr>
              <w:t>WW Index</w:t>
            </w:r>
          </w:p>
        </w:tc>
        <w:tc>
          <w:tcPr>
            <w:tcW w:w="494" w:type="pct"/>
            <w:tcBorders>
              <w:left w:val="nil"/>
              <w:right w:val="nil"/>
            </w:tcBorders>
            <w:vAlign w:val="bottom"/>
          </w:tcPr>
          <w:p w14:paraId="699DFB4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-1.020</w:t>
            </w:r>
          </w:p>
        </w:tc>
        <w:tc>
          <w:tcPr>
            <w:tcW w:w="494" w:type="pct"/>
            <w:tcBorders>
              <w:left w:val="nil"/>
              <w:right w:val="nil"/>
            </w:tcBorders>
            <w:vAlign w:val="bottom"/>
          </w:tcPr>
          <w:p w14:paraId="6CBCA6C1"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0.008</w:t>
            </w:r>
          </w:p>
        </w:tc>
        <w:tc>
          <w:tcPr>
            <w:tcW w:w="494" w:type="pct"/>
            <w:tcBorders>
              <w:left w:val="nil"/>
              <w:right w:val="nil"/>
            </w:tcBorders>
            <w:vAlign w:val="bottom"/>
          </w:tcPr>
          <w:p w14:paraId="1C563885"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-7.100</w:t>
            </w:r>
          </w:p>
        </w:tc>
        <w:tc>
          <w:tcPr>
            <w:tcW w:w="494" w:type="pct"/>
            <w:tcBorders>
              <w:left w:val="nil"/>
              <w:right w:val="nil"/>
            </w:tcBorders>
            <w:vAlign w:val="bottom"/>
          </w:tcPr>
          <w:p w14:paraId="32C30A47"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-1.020</w:t>
            </w:r>
          </w:p>
        </w:tc>
        <w:tc>
          <w:tcPr>
            <w:tcW w:w="494" w:type="pct"/>
            <w:tcBorders>
              <w:left w:val="nil"/>
              <w:right w:val="nil"/>
            </w:tcBorders>
            <w:vAlign w:val="bottom"/>
          </w:tcPr>
          <w:p w14:paraId="7F6E15F6"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0.008</w:t>
            </w:r>
          </w:p>
        </w:tc>
        <w:tc>
          <w:tcPr>
            <w:tcW w:w="494" w:type="pct"/>
            <w:tcBorders>
              <w:left w:val="nil"/>
              <w:right w:val="nil"/>
            </w:tcBorders>
            <w:vAlign w:val="bottom"/>
          </w:tcPr>
          <w:p w14:paraId="3D4D8C35"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-7.110</w:t>
            </w:r>
          </w:p>
        </w:tc>
        <w:tc>
          <w:tcPr>
            <w:tcW w:w="500" w:type="pct"/>
            <w:tcBorders>
              <w:left w:val="nil"/>
              <w:right w:val="nil"/>
            </w:tcBorders>
          </w:tcPr>
          <w:p w14:paraId="6308A13F"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right w:val="nil"/>
            </w:tcBorders>
          </w:tcPr>
          <w:p w14:paraId="5D1EDF7A"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r w:rsidR="00A3505C" w:rsidRPr="00A3505C" w14:paraId="3DD81717" w14:textId="77777777" w:rsidTr="0040268F">
        <w:trPr>
          <w:jc w:val="center"/>
        </w:trPr>
        <w:tc>
          <w:tcPr>
            <w:tcW w:w="1031" w:type="pct"/>
            <w:tcBorders>
              <w:left w:val="nil"/>
              <w:bottom w:val="single" w:sz="4" w:space="0" w:color="auto"/>
              <w:right w:val="nil"/>
            </w:tcBorders>
          </w:tcPr>
          <w:p w14:paraId="5F6ACF40" w14:textId="77777777" w:rsidR="007873AA" w:rsidRPr="00A3505C" w:rsidRDefault="007873AA" w:rsidP="009C7B47">
            <w:pPr>
              <w:autoSpaceDE w:val="0"/>
              <w:autoSpaceDN w:val="0"/>
              <w:adjustRightInd w:val="0"/>
              <w:snapToGrid w:val="0"/>
              <w:spacing w:after="0" w:line="264" w:lineRule="auto"/>
              <w:rPr>
                <w:rFonts w:ascii="Times New Roman" w:hAnsi="Times New Roman" w:cs="Times New Roman"/>
                <w:i/>
                <w:iCs/>
                <w:sz w:val="18"/>
                <w:szCs w:val="18"/>
                <w:lang w:val="en-US"/>
              </w:rPr>
            </w:pPr>
            <w:r w:rsidRPr="00A3505C">
              <w:rPr>
                <w:rFonts w:ascii="Times New Roman" w:hAnsi="Times New Roman" w:cs="Times New Roman"/>
                <w:i/>
                <w:iCs/>
                <w:sz w:val="18"/>
                <w:szCs w:val="18"/>
              </w:rPr>
              <w:t>InstitutionInv</w:t>
            </w:r>
          </w:p>
        </w:tc>
        <w:tc>
          <w:tcPr>
            <w:tcW w:w="494" w:type="pct"/>
            <w:tcBorders>
              <w:left w:val="nil"/>
              <w:bottom w:val="single" w:sz="4" w:space="0" w:color="auto"/>
              <w:right w:val="nil"/>
            </w:tcBorders>
            <w:vAlign w:val="bottom"/>
          </w:tcPr>
          <w:p w14:paraId="1F9DC283"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0.432</w:t>
            </w:r>
          </w:p>
        </w:tc>
        <w:tc>
          <w:tcPr>
            <w:tcW w:w="494" w:type="pct"/>
            <w:tcBorders>
              <w:left w:val="nil"/>
              <w:bottom w:val="single" w:sz="4" w:space="0" w:color="auto"/>
              <w:right w:val="nil"/>
            </w:tcBorders>
            <w:vAlign w:val="bottom"/>
          </w:tcPr>
          <w:p w14:paraId="023BE386"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0.055</w:t>
            </w:r>
          </w:p>
        </w:tc>
        <w:tc>
          <w:tcPr>
            <w:tcW w:w="494" w:type="pct"/>
            <w:tcBorders>
              <w:left w:val="nil"/>
              <w:bottom w:val="single" w:sz="4" w:space="0" w:color="auto"/>
              <w:right w:val="nil"/>
            </w:tcBorders>
            <w:vAlign w:val="bottom"/>
          </w:tcPr>
          <w:p w14:paraId="4E944D8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494" w:type="pct"/>
            <w:tcBorders>
              <w:left w:val="nil"/>
              <w:bottom w:val="single" w:sz="4" w:space="0" w:color="auto"/>
              <w:right w:val="nil"/>
            </w:tcBorders>
            <w:vAlign w:val="bottom"/>
          </w:tcPr>
          <w:p w14:paraId="2A6F9A60"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0.432</w:t>
            </w:r>
          </w:p>
        </w:tc>
        <w:tc>
          <w:tcPr>
            <w:tcW w:w="494" w:type="pct"/>
            <w:tcBorders>
              <w:left w:val="nil"/>
              <w:bottom w:val="single" w:sz="4" w:space="0" w:color="auto"/>
              <w:right w:val="nil"/>
            </w:tcBorders>
            <w:vAlign w:val="bottom"/>
          </w:tcPr>
          <w:p w14:paraId="16822D4B"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0.055</w:t>
            </w:r>
          </w:p>
        </w:tc>
        <w:tc>
          <w:tcPr>
            <w:tcW w:w="494" w:type="pct"/>
            <w:tcBorders>
              <w:left w:val="nil"/>
              <w:bottom w:val="single" w:sz="4" w:space="0" w:color="auto"/>
              <w:right w:val="nil"/>
            </w:tcBorders>
            <w:vAlign w:val="bottom"/>
          </w:tcPr>
          <w:p w14:paraId="1B10569D"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rPr>
              <w:t>0.009</w:t>
            </w:r>
          </w:p>
        </w:tc>
        <w:tc>
          <w:tcPr>
            <w:tcW w:w="500" w:type="pct"/>
            <w:tcBorders>
              <w:left w:val="nil"/>
              <w:bottom w:val="single" w:sz="4" w:space="0" w:color="auto"/>
              <w:right w:val="nil"/>
            </w:tcBorders>
          </w:tcPr>
          <w:p w14:paraId="5CD779A2"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0.000</w:t>
            </w:r>
          </w:p>
        </w:tc>
        <w:tc>
          <w:tcPr>
            <w:tcW w:w="505" w:type="pct"/>
            <w:tcBorders>
              <w:left w:val="nil"/>
              <w:bottom w:val="single" w:sz="4" w:space="0" w:color="auto"/>
              <w:right w:val="nil"/>
            </w:tcBorders>
          </w:tcPr>
          <w:p w14:paraId="51622952" w14:textId="77777777" w:rsidR="007873AA" w:rsidRPr="00A3505C" w:rsidRDefault="007873AA" w:rsidP="009C7B47">
            <w:pPr>
              <w:autoSpaceDE w:val="0"/>
              <w:autoSpaceDN w:val="0"/>
              <w:adjustRightInd w:val="0"/>
              <w:snapToGrid w:val="0"/>
              <w:spacing w:after="0" w:line="264" w:lineRule="auto"/>
              <w:jc w:val="center"/>
              <w:rPr>
                <w:rFonts w:ascii="Times New Roman" w:hAnsi="Times New Roman" w:cs="Times New Roman"/>
                <w:sz w:val="18"/>
                <w:szCs w:val="18"/>
                <w:lang w:val="en-US"/>
              </w:rPr>
            </w:pPr>
            <w:r w:rsidRPr="00A3505C">
              <w:rPr>
                <w:rFonts w:ascii="Times New Roman" w:hAnsi="Times New Roman" w:cs="Times New Roman"/>
                <w:sz w:val="18"/>
                <w:szCs w:val="18"/>
                <w:lang w:val="en-US"/>
              </w:rPr>
              <w:t>1.000</w:t>
            </w:r>
          </w:p>
        </w:tc>
      </w:tr>
    </w:tbl>
    <w:p w14:paraId="3DC56DC6" w14:textId="3E975874" w:rsidR="007E4398" w:rsidRPr="00A3505C" w:rsidRDefault="007053EE" w:rsidP="007A50B5">
      <w:pPr>
        <w:adjustRightInd w:val="0"/>
        <w:snapToGrid w:val="0"/>
        <w:spacing w:before="120" w:after="0" w:line="240" w:lineRule="auto"/>
        <w:jc w:val="both"/>
        <w:rPr>
          <w:rFonts w:ascii="Times New Roman" w:hAnsi="Times New Roman" w:cs="Times New Roman"/>
          <w:sz w:val="20"/>
          <w:szCs w:val="20"/>
        </w:rPr>
        <w:sectPr w:rsidR="007E4398" w:rsidRPr="00A3505C" w:rsidSect="005309F1">
          <w:pgSz w:w="16838" w:h="11906" w:orient="landscape"/>
          <w:pgMar w:top="1440" w:right="1440" w:bottom="1440" w:left="1440" w:header="708" w:footer="708" w:gutter="0"/>
          <w:cols w:space="708"/>
          <w:docGrid w:linePitch="360"/>
        </w:sectPr>
      </w:pPr>
      <w:r w:rsidRPr="00A3505C">
        <w:rPr>
          <w:rFonts w:ascii="Times New Roman" w:hAnsi="Times New Roman" w:cs="Times New Roman"/>
          <w:sz w:val="20"/>
          <w:szCs w:val="20"/>
        </w:rPr>
        <w:t>Note</w:t>
      </w:r>
      <w:r w:rsidR="00FC54D3" w:rsidRPr="00A3505C">
        <w:rPr>
          <w:rFonts w:ascii="Times New Roman" w:hAnsi="Times New Roman" w:cs="Times New Roman" w:hint="eastAsia"/>
          <w:sz w:val="20"/>
          <w:szCs w:val="20"/>
        </w:rPr>
        <w:t>s</w:t>
      </w:r>
      <w:r w:rsidRPr="00A3505C">
        <w:rPr>
          <w:rFonts w:ascii="Times New Roman" w:hAnsi="Times New Roman" w:cs="Times New Roman"/>
          <w:sz w:val="20"/>
          <w:szCs w:val="20"/>
        </w:rPr>
        <w:t>:</w:t>
      </w:r>
      <w:r w:rsidR="00AE64FA" w:rsidRPr="00A3505C">
        <w:rPr>
          <w:rFonts w:ascii="Times New Roman" w:hAnsi="Times New Roman" w:cs="Times New Roman"/>
          <w:sz w:val="20"/>
          <w:szCs w:val="20"/>
        </w:rPr>
        <w:t xml:space="preserve"> This table shows the descriptive statistics of </w:t>
      </w:r>
      <w:r w:rsidR="00B17749" w:rsidRPr="00A3505C">
        <w:rPr>
          <w:rFonts w:ascii="Times New Roman" w:hAnsi="Times New Roman" w:cs="Times New Roman"/>
          <w:sz w:val="20"/>
          <w:szCs w:val="20"/>
        </w:rPr>
        <w:t xml:space="preserve">the </w:t>
      </w:r>
      <w:r w:rsidR="00AE64FA" w:rsidRPr="00A3505C">
        <w:rPr>
          <w:rFonts w:ascii="Times New Roman" w:hAnsi="Times New Roman" w:cs="Times New Roman"/>
          <w:sz w:val="20"/>
          <w:szCs w:val="20"/>
        </w:rPr>
        <w:t>variables used in the regression. Appendix</w:t>
      </w:r>
      <w:r w:rsidR="00F61172" w:rsidRPr="00A3505C">
        <w:rPr>
          <w:rFonts w:ascii="Times New Roman" w:hAnsi="Times New Roman" w:cs="Times New Roman"/>
          <w:sz w:val="20"/>
          <w:szCs w:val="20"/>
        </w:rPr>
        <w:t xml:space="preserve"> A </w:t>
      </w:r>
      <w:r w:rsidR="00AE64FA" w:rsidRPr="00A3505C">
        <w:rPr>
          <w:rFonts w:ascii="Times New Roman" w:hAnsi="Times New Roman" w:cs="Times New Roman"/>
          <w:sz w:val="20"/>
          <w:szCs w:val="20"/>
        </w:rPr>
        <w:t xml:space="preserve">shows the definition of variables. </w:t>
      </w:r>
    </w:p>
    <w:p w14:paraId="290A8F34" w14:textId="2C4A9F59" w:rsidR="00B26AD5" w:rsidRPr="00A3505C" w:rsidRDefault="00440C53" w:rsidP="009C6FF3">
      <w:pPr>
        <w:adjustRightInd w:val="0"/>
        <w:snapToGrid w:val="0"/>
        <w:spacing w:after="120" w:line="264" w:lineRule="auto"/>
        <w:jc w:val="center"/>
        <w:rPr>
          <w:rFonts w:ascii="Times New Roman" w:hAnsi="Times New Roman" w:cs="Times New Roman"/>
          <w:b/>
          <w:sz w:val="24"/>
          <w:szCs w:val="24"/>
        </w:rPr>
      </w:pPr>
      <w:r w:rsidRPr="00A3505C">
        <w:rPr>
          <w:rFonts w:ascii="Times New Roman" w:hAnsi="Times New Roman" w:cs="Times New Roman"/>
          <w:b/>
          <w:sz w:val="24"/>
          <w:szCs w:val="24"/>
        </w:rPr>
        <w:lastRenderedPageBreak/>
        <w:t>Table</w:t>
      </w:r>
      <w:r w:rsidR="00E46104" w:rsidRPr="00A3505C">
        <w:rPr>
          <w:rFonts w:ascii="Times New Roman" w:hAnsi="Times New Roman" w:cs="Times New Roman"/>
          <w:b/>
          <w:sz w:val="24"/>
          <w:szCs w:val="24"/>
        </w:rPr>
        <w:t xml:space="preserve"> </w:t>
      </w:r>
      <w:r w:rsidR="0066501E" w:rsidRPr="00A3505C">
        <w:rPr>
          <w:rFonts w:ascii="Times New Roman" w:hAnsi="Times New Roman" w:cs="Times New Roman"/>
          <w:b/>
          <w:bCs/>
          <w:sz w:val="24"/>
          <w:szCs w:val="24"/>
        </w:rPr>
        <w:t>4</w:t>
      </w:r>
      <w:r w:rsidR="00E46104" w:rsidRPr="00A3505C">
        <w:rPr>
          <w:rFonts w:ascii="Times New Roman" w:hAnsi="Times New Roman" w:cs="Times New Roman"/>
          <w:b/>
          <w:sz w:val="24"/>
          <w:szCs w:val="24"/>
        </w:rPr>
        <w:t xml:space="preserve">. </w:t>
      </w:r>
      <w:r w:rsidR="00366590" w:rsidRPr="00A3505C">
        <w:rPr>
          <w:rFonts w:ascii="Times New Roman" w:hAnsi="Times New Roman" w:cs="Times New Roman"/>
          <w:b/>
          <w:sz w:val="24"/>
          <w:szCs w:val="24"/>
        </w:rPr>
        <w:t>The impact of strategic orientations on firms’ green revenues</w:t>
      </w:r>
    </w:p>
    <w:tbl>
      <w:tblPr>
        <w:tblW w:w="5255" w:type="pct"/>
        <w:jc w:val="center"/>
        <w:tblCellMar>
          <w:left w:w="75" w:type="dxa"/>
          <w:right w:w="75" w:type="dxa"/>
        </w:tblCellMar>
        <w:tblLook w:val="0000" w:firstRow="0" w:lastRow="0" w:firstColumn="0" w:lastColumn="0" w:noHBand="0" w:noVBand="0"/>
      </w:tblPr>
      <w:tblGrid>
        <w:gridCol w:w="2962"/>
        <w:gridCol w:w="971"/>
        <w:gridCol w:w="974"/>
        <w:gridCol w:w="974"/>
        <w:gridCol w:w="974"/>
        <w:gridCol w:w="974"/>
        <w:gridCol w:w="974"/>
        <w:gridCol w:w="170"/>
        <w:gridCol w:w="948"/>
        <w:gridCol w:w="951"/>
        <w:gridCol w:w="951"/>
        <w:gridCol w:w="948"/>
        <w:gridCol w:w="951"/>
        <w:gridCol w:w="948"/>
      </w:tblGrid>
      <w:tr w:rsidR="00A3505C" w:rsidRPr="0040268F" w14:paraId="24222800" w14:textId="77777777" w:rsidTr="00873FEC">
        <w:trPr>
          <w:jc w:val="center"/>
        </w:trPr>
        <w:tc>
          <w:tcPr>
            <w:tcW w:w="1010" w:type="pct"/>
            <w:tcBorders>
              <w:top w:val="single" w:sz="4" w:space="0" w:color="auto"/>
            </w:tcBorders>
          </w:tcPr>
          <w:p w14:paraId="19B129D0" w14:textId="0A46BF61" w:rsidR="00080027" w:rsidRPr="0040268F" w:rsidRDefault="00080027" w:rsidP="009F2753">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Variables</w:t>
            </w:r>
          </w:p>
        </w:tc>
        <w:tc>
          <w:tcPr>
            <w:tcW w:w="1990" w:type="pct"/>
            <w:gridSpan w:val="6"/>
            <w:tcBorders>
              <w:top w:val="single" w:sz="4" w:space="0" w:color="auto"/>
              <w:bottom w:val="single" w:sz="4" w:space="0" w:color="auto"/>
            </w:tcBorders>
          </w:tcPr>
          <w:p w14:paraId="4B46ECAC" w14:textId="4CF451D3"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i/>
                <w:iCs/>
                <w:sz w:val="18"/>
                <w:szCs w:val="18"/>
              </w:rPr>
              <w:t>Green Revenues Dummy</w:t>
            </w:r>
          </w:p>
        </w:tc>
        <w:tc>
          <w:tcPr>
            <w:tcW w:w="58" w:type="pct"/>
            <w:tcBorders>
              <w:top w:val="single" w:sz="4" w:space="0" w:color="auto"/>
            </w:tcBorders>
          </w:tcPr>
          <w:p w14:paraId="0C54A372"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p>
        </w:tc>
        <w:tc>
          <w:tcPr>
            <w:tcW w:w="1941" w:type="pct"/>
            <w:gridSpan w:val="6"/>
            <w:tcBorders>
              <w:top w:val="single" w:sz="4" w:space="0" w:color="auto"/>
              <w:bottom w:val="single" w:sz="4" w:space="0" w:color="auto"/>
            </w:tcBorders>
          </w:tcPr>
          <w:p w14:paraId="30A424BD" w14:textId="58E2EDFB"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i/>
                <w:iCs/>
                <w:sz w:val="18"/>
                <w:szCs w:val="18"/>
              </w:rPr>
              <w:t>Green Revenues Ratio</w:t>
            </w:r>
          </w:p>
        </w:tc>
      </w:tr>
      <w:tr w:rsidR="00A3505C" w:rsidRPr="0040268F" w14:paraId="272B94A3" w14:textId="2099B2AF" w:rsidTr="00873FEC">
        <w:trPr>
          <w:jc w:val="center"/>
        </w:trPr>
        <w:tc>
          <w:tcPr>
            <w:tcW w:w="1010" w:type="pct"/>
            <w:tcBorders>
              <w:bottom w:val="single" w:sz="4" w:space="0" w:color="auto"/>
            </w:tcBorders>
          </w:tcPr>
          <w:p w14:paraId="4D368493" w14:textId="77777777" w:rsidR="00080027" w:rsidRPr="0040268F" w:rsidRDefault="00080027" w:rsidP="009F2753">
            <w:pPr>
              <w:autoSpaceDE w:val="0"/>
              <w:autoSpaceDN w:val="0"/>
              <w:adjustRightInd w:val="0"/>
              <w:snapToGrid w:val="0"/>
              <w:spacing w:after="0" w:line="240" w:lineRule="auto"/>
              <w:rPr>
                <w:rFonts w:ascii="Times New Roman" w:hAnsi="Times New Roman" w:cs="Times New Roman"/>
                <w:sz w:val="18"/>
                <w:szCs w:val="18"/>
              </w:rPr>
            </w:pPr>
            <w:bookmarkStart w:id="11" w:name="_Hlk141489081"/>
          </w:p>
        </w:tc>
        <w:tc>
          <w:tcPr>
            <w:tcW w:w="331" w:type="pct"/>
            <w:tcBorders>
              <w:top w:val="single" w:sz="4" w:space="0" w:color="auto"/>
              <w:bottom w:val="single" w:sz="4" w:space="0" w:color="auto"/>
            </w:tcBorders>
          </w:tcPr>
          <w:p w14:paraId="3F88DD09"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w:t>
            </w:r>
          </w:p>
        </w:tc>
        <w:tc>
          <w:tcPr>
            <w:tcW w:w="332" w:type="pct"/>
            <w:tcBorders>
              <w:top w:val="single" w:sz="4" w:space="0" w:color="auto"/>
              <w:bottom w:val="single" w:sz="4" w:space="0" w:color="auto"/>
            </w:tcBorders>
          </w:tcPr>
          <w:p w14:paraId="00946FC0"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w:t>
            </w:r>
          </w:p>
        </w:tc>
        <w:tc>
          <w:tcPr>
            <w:tcW w:w="332" w:type="pct"/>
            <w:tcBorders>
              <w:top w:val="single" w:sz="4" w:space="0" w:color="auto"/>
              <w:bottom w:val="single" w:sz="4" w:space="0" w:color="auto"/>
            </w:tcBorders>
          </w:tcPr>
          <w:p w14:paraId="598FC52E"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w:t>
            </w:r>
          </w:p>
        </w:tc>
        <w:tc>
          <w:tcPr>
            <w:tcW w:w="332" w:type="pct"/>
            <w:tcBorders>
              <w:top w:val="single" w:sz="4" w:space="0" w:color="auto"/>
              <w:bottom w:val="single" w:sz="4" w:space="0" w:color="auto"/>
            </w:tcBorders>
          </w:tcPr>
          <w:p w14:paraId="7B8C6AE6"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(4)</w:t>
            </w:r>
          </w:p>
        </w:tc>
        <w:tc>
          <w:tcPr>
            <w:tcW w:w="332" w:type="pct"/>
            <w:tcBorders>
              <w:top w:val="single" w:sz="4" w:space="0" w:color="auto"/>
              <w:bottom w:val="single" w:sz="4" w:space="0" w:color="auto"/>
            </w:tcBorders>
          </w:tcPr>
          <w:p w14:paraId="54EDE227"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(5)</w:t>
            </w:r>
          </w:p>
        </w:tc>
        <w:tc>
          <w:tcPr>
            <w:tcW w:w="332" w:type="pct"/>
            <w:tcBorders>
              <w:top w:val="single" w:sz="4" w:space="0" w:color="auto"/>
              <w:bottom w:val="single" w:sz="4" w:space="0" w:color="auto"/>
            </w:tcBorders>
          </w:tcPr>
          <w:p w14:paraId="4509E1E3"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(6)</w:t>
            </w:r>
          </w:p>
        </w:tc>
        <w:tc>
          <w:tcPr>
            <w:tcW w:w="58" w:type="pct"/>
          </w:tcPr>
          <w:p w14:paraId="2F1DAF55" w14:textId="7777777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Borders>
              <w:top w:val="single" w:sz="4" w:space="0" w:color="auto"/>
              <w:bottom w:val="single" w:sz="4" w:space="0" w:color="auto"/>
            </w:tcBorders>
          </w:tcPr>
          <w:p w14:paraId="22569B06" w14:textId="3D2427F5"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(7)</w:t>
            </w:r>
          </w:p>
        </w:tc>
        <w:tc>
          <w:tcPr>
            <w:tcW w:w="324" w:type="pct"/>
            <w:tcBorders>
              <w:top w:val="single" w:sz="4" w:space="0" w:color="auto"/>
              <w:bottom w:val="single" w:sz="4" w:space="0" w:color="auto"/>
            </w:tcBorders>
          </w:tcPr>
          <w:p w14:paraId="6F85EA3A" w14:textId="664BA607"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(8)</w:t>
            </w:r>
          </w:p>
        </w:tc>
        <w:tc>
          <w:tcPr>
            <w:tcW w:w="324" w:type="pct"/>
            <w:tcBorders>
              <w:top w:val="single" w:sz="4" w:space="0" w:color="auto"/>
              <w:bottom w:val="single" w:sz="4" w:space="0" w:color="auto"/>
            </w:tcBorders>
          </w:tcPr>
          <w:p w14:paraId="6B1D882C" w14:textId="1FEA9ADD"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(9)</w:t>
            </w:r>
          </w:p>
        </w:tc>
        <w:tc>
          <w:tcPr>
            <w:tcW w:w="323" w:type="pct"/>
            <w:tcBorders>
              <w:top w:val="single" w:sz="4" w:space="0" w:color="auto"/>
              <w:bottom w:val="single" w:sz="4" w:space="0" w:color="auto"/>
            </w:tcBorders>
          </w:tcPr>
          <w:p w14:paraId="3BDC8600" w14:textId="15DFD93E"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w:t>
            </w:r>
          </w:p>
        </w:tc>
        <w:tc>
          <w:tcPr>
            <w:tcW w:w="324" w:type="pct"/>
            <w:tcBorders>
              <w:top w:val="single" w:sz="4" w:space="0" w:color="auto"/>
              <w:bottom w:val="single" w:sz="4" w:space="0" w:color="auto"/>
            </w:tcBorders>
          </w:tcPr>
          <w:p w14:paraId="4EFED665" w14:textId="10F9AF2B"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w:t>
            </w:r>
          </w:p>
        </w:tc>
        <w:tc>
          <w:tcPr>
            <w:tcW w:w="324" w:type="pct"/>
            <w:tcBorders>
              <w:top w:val="single" w:sz="4" w:space="0" w:color="auto"/>
              <w:bottom w:val="single" w:sz="4" w:space="0" w:color="auto"/>
            </w:tcBorders>
          </w:tcPr>
          <w:p w14:paraId="6FE15E91" w14:textId="18844975" w:rsidR="00080027" w:rsidRPr="0040268F" w:rsidRDefault="00080027" w:rsidP="009F2753">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(12)</w:t>
            </w:r>
          </w:p>
        </w:tc>
      </w:tr>
      <w:tr w:rsidR="00A3505C" w:rsidRPr="0040268F" w14:paraId="53535C8C" w14:textId="58960649" w:rsidTr="00873FEC">
        <w:trPr>
          <w:trHeight w:val="145"/>
          <w:jc w:val="center"/>
        </w:trPr>
        <w:tc>
          <w:tcPr>
            <w:tcW w:w="1010" w:type="pct"/>
            <w:tcBorders>
              <w:top w:val="single" w:sz="4" w:space="0" w:color="auto"/>
            </w:tcBorders>
          </w:tcPr>
          <w:p w14:paraId="4DF1FC84" w14:textId="1A5B1846" w:rsidR="004D21A4" w:rsidRPr="0040268F" w:rsidRDefault="004D21A4" w:rsidP="004D21A4">
            <w:pPr>
              <w:autoSpaceDE w:val="0"/>
              <w:autoSpaceDN w:val="0"/>
              <w:adjustRightInd w:val="0"/>
              <w:snapToGrid w:val="0"/>
              <w:spacing w:after="0" w:line="240" w:lineRule="auto"/>
              <w:rPr>
                <w:rFonts w:ascii="Times New Roman" w:eastAsia="DengXian" w:hAnsi="Times New Roman" w:cs="Times New Roman"/>
                <w:b/>
                <w:sz w:val="18"/>
                <w:szCs w:val="18"/>
              </w:rPr>
            </w:pPr>
            <w:r w:rsidRPr="0040268F">
              <w:rPr>
                <w:rFonts w:ascii="Times New Roman" w:hAnsi="Times New Roman" w:cs="Times New Roman"/>
                <w:b/>
                <w:i/>
                <w:sz w:val="18"/>
                <w:szCs w:val="18"/>
              </w:rPr>
              <w:t>Growth</w:t>
            </w:r>
            <w:r w:rsidR="00D4498D" w:rsidRPr="0040268F">
              <w:rPr>
                <w:rFonts w:ascii="Times New Roman" w:hAnsi="Times New Roman" w:cs="Times New Roman"/>
                <w:b/>
                <w:i/>
                <w:iCs/>
                <w:sz w:val="18"/>
                <w:szCs w:val="18"/>
              </w:rPr>
              <w:t xml:space="preserve"> v</w:t>
            </w:r>
            <w:r w:rsidR="00557097" w:rsidRPr="0040268F">
              <w:rPr>
                <w:rFonts w:ascii="Times New Roman" w:hAnsi="Times New Roman" w:cs="Times New Roman"/>
                <w:b/>
                <w:i/>
                <w:iCs/>
                <w:sz w:val="18"/>
                <w:szCs w:val="18"/>
              </w:rPr>
              <w:t xml:space="preserve">. Profit and </w:t>
            </w:r>
            <w:r w:rsidR="00CE5C57" w:rsidRPr="0040268F">
              <w:rPr>
                <w:rFonts w:ascii="Times New Roman" w:hAnsi="Times New Roman" w:cs="Times New Roman"/>
                <w:b/>
                <w:i/>
                <w:iCs/>
                <w:sz w:val="18"/>
                <w:szCs w:val="18"/>
              </w:rPr>
              <w:t>Neither-Nor</w:t>
            </w:r>
          </w:p>
        </w:tc>
        <w:tc>
          <w:tcPr>
            <w:tcW w:w="331" w:type="pct"/>
            <w:tcBorders>
              <w:top w:val="single" w:sz="4" w:space="0" w:color="auto"/>
            </w:tcBorders>
          </w:tcPr>
          <w:p w14:paraId="577142D9" w14:textId="3C5F94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0.</w:t>
            </w:r>
            <w:r w:rsidRPr="0040268F">
              <w:rPr>
                <w:rFonts w:ascii="Times New Roman" w:hAnsi="Times New Roman" w:cs="Times New Roman"/>
                <w:b/>
                <w:bCs/>
                <w:sz w:val="18"/>
                <w:szCs w:val="18"/>
              </w:rPr>
              <w:t>057</w:t>
            </w:r>
            <w:r w:rsidRPr="0040268F">
              <w:rPr>
                <w:rFonts w:ascii="Times New Roman" w:hAnsi="Times New Roman" w:cs="Times New Roman"/>
                <w:b/>
                <w:sz w:val="18"/>
                <w:szCs w:val="18"/>
              </w:rPr>
              <w:t>***</w:t>
            </w:r>
          </w:p>
        </w:tc>
        <w:tc>
          <w:tcPr>
            <w:tcW w:w="332" w:type="pct"/>
            <w:tcBorders>
              <w:top w:val="single" w:sz="4" w:space="0" w:color="auto"/>
            </w:tcBorders>
          </w:tcPr>
          <w:p w14:paraId="2F1E5214" w14:textId="7043D2D1"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Borders>
              <w:top w:val="single" w:sz="4" w:space="0" w:color="auto"/>
            </w:tcBorders>
          </w:tcPr>
          <w:p w14:paraId="393F9B8A" w14:textId="39CF7AA3"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0.</w:t>
            </w:r>
            <w:r w:rsidRPr="0040268F">
              <w:rPr>
                <w:rFonts w:ascii="Times New Roman" w:hAnsi="Times New Roman" w:cs="Times New Roman"/>
                <w:b/>
                <w:bCs/>
                <w:sz w:val="18"/>
                <w:szCs w:val="18"/>
              </w:rPr>
              <w:t>074</w:t>
            </w:r>
            <w:r w:rsidRPr="0040268F">
              <w:rPr>
                <w:rFonts w:ascii="Times New Roman" w:hAnsi="Times New Roman" w:cs="Times New Roman"/>
                <w:b/>
                <w:sz w:val="18"/>
                <w:szCs w:val="18"/>
              </w:rPr>
              <w:t>***</w:t>
            </w:r>
          </w:p>
        </w:tc>
        <w:tc>
          <w:tcPr>
            <w:tcW w:w="332" w:type="pct"/>
            <w:tcBorders>
              <w:top w:val="single" w:sz="4" w:space="0" w:color="auto"/>
            </w:tcBorders>
          </w:tcPr>
          <w:p w14:paraId="583EC18B" w14:textId="6C348F14"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Borders>
              <w:top w:val="single" w:sz="4" w:space="0" w:color="auto"/>
            </w:tcBorders>
          </w:tcPr>
          <w:p w14:paraId="7A93C51D" w14:textId="67A09E26"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0.087***</w:t>
            </w:r>
          </w:p>
        </w:tc>
        <w:tc>
          <w:tcPr>
            <w:tcW w:w="332" w:type="pct"/>
            <w:tcBorders>
              <w:top w:val="single" w:sz="4" w:space="0" w:color="auto"/>
            </w:tcBorders>
          </w:tcPr>
          <w:p w14:paraId="11FDDEA7" w14:textId="04FEDACF"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58" w:type="pct"/>
          </w:tcPr>
          <w:p w14:paraId="6242136B"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Borders>
              <w:top w:val="single" w:sz="4" w:space="0" w:color="auto"/>
            </w:tcBorders>
          </w:tcPr>
          <w:p w14:paraId="2FBDCC5E" w14:textId="2D4F81ED"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0.035***</w:t>
            </w:r>
          </w:p>
        </w:tc>
        <w:tc>
          <w:tcPr>
            <w:tcW w:w="324" w:type="pct"/>
            <w:tcBorders>
              <w:top w:val="single" w:sz="4" w:space="0" w:color="auto"/>
            </w:tcBorders>
          </w:tcPr>
          <w:p w14:paraId="1F55EFAB"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24" w:type="pct"/>
            <w:tcBorders>
              <w:top w:val="single" w:sz="4" w:space="0" w:color="auto"/>
            </w:tcBorders>
          </w:tcPr>
          <w:p w14:paraId="3C5D63BB" w14:textId="5E381B2A"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0.058***</w:t>
            </w:r>
          </w:p>
        </w:tc>
        <w:tc>
          <w:tcPr>
            <w:tcW w:w="323" w:type="pct"/>
            <w:tcBorders>
              <w:top w:val="single" w:sz="4" w:space="0" w:color="auto"/>
            </w:tcBorders>
          </w:tcPr>
          <w:p w14:paraId="47FA3A52"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4" w:type="pct"/>
            <w:tcBorders>
              <w:top w:val="single" w:sz="4" w:space="0" w:color="auto"/>
            </w:tcBorders>
          </w:tcPr>
          <w:p w14:paraId="5D83253C" w14:textId="297711B2"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0.065***</w:t>
            </w:r>
          </w:p>
        </w:tc>
        <w:tc>
          <w:tcPr>
            <w:tcW w:w="324" w:type="pct"/>
            <w:tcBorders>
              <w:top w:val="single" w:sz="4" w:space="0" w:color="auto"/>
            </w:tcBorders>
          </w:tcPr>
          <w:p w14:paraId="7FAC3E61"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r>
      <w:tr w:rsidR="00A3505C" w:rsidRPr="0040268F" w14:paraId="0857AD9B" w14:textId="399BDD1D" w:rsidTr="00873FEC">
        <w:trPr>
          <w:trHeight w:val="65"/>
          <w:jc w:val="center"/>
        </w:trPr>
        <w:tc>
          <w:tcPr>
            <w:tcW w:w="1010" w:type="pct"/>
          </w:tcPr>
          <w:p w14:paraId="40124352" w14:textId="77777777" w:rsidR="004D21A4" w:rsidRPr="0040268F" w:rsidRDefault="004D21A4" w:rsidP="004D21A4">
            <w:pPr>
              <w:autoSpaceDE w:val="0"/>
              <w:autoSpaceDN w:val="0"/>
              <w:adjustRightInd w:val="0"/>
              <w:snapToGrid w:val="0"/>
              <w:spacing w:after="0" w:line="240" w:lineRule="auto"/>
              <w:rPr>
                <w:rFonts w:ascii="Times New Roman" w:eastAsia="DengXian" w:hAnsi="Times New Roman" w:cs="Times New Roman"/>
                <w:b/>
                <w:sz w:val="18"/>
                <w:szCs w:val="18"/>
              </w:rPr>
            </w:pPr>
          </w:p>
        </w:tc>
        <w:tc>
          <w:tcPr>
            <w:tcW w:w="331" w:type="pct"/>
          </w:tcPr>
          <w:p w14:paraId="17AD802D" w14:textId="17DFF6F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w:t>
            </w:r>
            <w:r w:rsidRPr="0040268F">
              <w:rPr>
                <w:rFonts w:ascii="Times New Roman" w:hAnsi="Times New Roman" w:cs="Times New Roman"/>
                <w:b/>
                <w:bCs/>
                <w:sz w:val="18"/>
                <w:szCs w:val="18"/>
              </w:rPr>
              <w:t>4.218</w:t>
            </w:r>
            <w:r w:rsidRPr="0040268F">
              <w:rPr>
                <w:rFonts w:ascii="Times New Roman" w:hAnsi="Times New Roman" w:cs="Times New Roman"/>
                <w:b/>
                <w:sz w:val="18"/>
                <w:szCs w:val="18"/>
              </w:rPr>
              <w:t>)</w:t>
            </w:r>
          </w:p>
        </w:tc>
        <w:tc>
          <w:tcPr>
            <w:tcW w:w="332" w:type="pct"/>
          </w:tcPr>
          <w:p w14:paraId="761AFA96" w14:textId="74FB7EAE"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040C4E32" w14:textId="06122F6F"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w:t>
            </w:r>
            <w:r w:rsidRPr="0040268F">
              <w:rPr>
                <w:rFonts w:ascii="Times New Roman" w:hAnsi="Times New Roman" w:cs="Times New Roman"/>
                <w:b/>
                <w:bCs/>
                <w:sz w:val="18"/>
                <w:szCs w:val="18"/>
              </w:rPr>
              <w:t>3.885</w:t>
            </w:r>
            <w:r w:rsidRPr="0040268F">
              <w:rPr>
                <w:rFonts w:ascii="Times New Roman" w:hAnsi="Times New Roman" w:cs="Times New Roman"/>
                <w:b/>
                <w:sz w:val="18"/>
                <w:szCs w:val="18"/>
              </w:rPr>
              <w:t>)</w:t>
            </w:r>
          </w:p>
        </w:tc>
        <w:tc>
          <w:tcPr>
            <w:tcW w:w="332" w:type="pct"/>
          </w:tcPr>
          <w:p w14:paraId="672097D2" w14:textId="3761D0AD"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686D5450" w14:textId="02B276AA"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(4.208)</w:t>
            </w:r>
          </w:p>
        </w:tc>
        <w:tc>
          <w:tcPr>
            <w:tcW w:w="332" w:type="pct"/>
          </w:tcPr>
          <w:p w14:paraId="45487906" w14:textId="401CDCAA"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58" w:type="pct"/>
          </w:tcPr>
          <w:p w14:paraId="37BA3F08"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Pr>
          <w:p w14:paraId="4108E1C5" w14:textId="57EEA1AB"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(4.256)</w:t>
            </w:r>
          </w:p>
        </w:tc>
        <w:tc>
          <w:tcPr>
            <w:tcW w:w="324" w:type="pct"/>
          </w:tcPr>
          <w:p w14:paraId="0CCA0F99"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sz w:val="18"/>
                <w:szCs w:val="18"/>
              </w:rPr>
            </w:pPr>
          </w:p>
        </w:tc>
        <w:tc>
          <w:tcPr>
            <w:tcW w:w="324" w:type="pct"/>
          </w:tcPr>
          <w:p w14:paraId="155C437F" w14:textId="78BD0C50"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(4.168)</w:t>
            </w:r>
          </w:p>
        </w:tc>
        <w:tc>
          <w:tcPr>
            <w:tcW w:w="323" w:type="pct"/>
          </w:tcPr>
          <w:p w14:paraId="72FEDD7E"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4" w:type="pct"/>
          </w:tcPr>
          <w:p w14:paraId="3EC439F0" w14:textId="078E482F"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(4.382)</w:t>
            </w:r>
          </w:p>
        </w:tc>
        <w:tc>
          <w:tcPr>
            <w:tcW w:w="324" w:type="pct"/>
          </w:tcPr>
          <w:p w14:paraId="6A1AF6A4" w14:textId="77777777" w:rsidR="004D21A4" w:rsidRPr="0040268F" w:rsidRDefault="004D21A4" w:rsidP="004D21A4">
            <w:pPr>
              <w:autoSpaceDE w:val="0"/>
              <w:autoSpaceDN w:val="0"/>
              <w:adjustRightInd w:val="0"/>
              <w:snapToGrid w:val="0"/>
              <w:spacing w:after="0" w:line="240" w:lineRule="auto"/>
              <w:jc w:val="center"/>
              <w:rPr>
                <w:rFonts w:ascii="Times New Roman" w:hAnsi="Times New Roman" w:cs="Times New Roman"/>
                <w:b/>
                <w:bCs/>
                <w:sz w:val="18"/>
                <w:szCs w:val="18"/>
              </w:rPr>
            </w:pPr>
          </w:p>
        </w:tc>
      </w:tr>
      <w:tr w:rsidR="00A3505C" w:rsidRPr="0040268F" w14:paraId="4BBFF695" w14:textId="6E9BE0F0" w:rsidTr="00873FEC">
        <w:trPr>
          <w:trHeight w:val="80"/>
          <w:jc w:val="center"/>
        </w:trPr>
        <w:tc>
          <w:tcPr>
            <w:tcW w:w="1010" w:type="pct"/>
          </w:tcPr>
          <w:p w14:paraId="26ABBF4B" w14:textId="3ED45420" w:rsidR="005F1A95" w:rsidRPr="0040268F" w:rsidRDefault="004D4419" w:rsidP="005F1A95">
            <w:pPr>
              <w:autoSpaceDE w:val="0"/>
              <w:autoSpaceDN w:val="0"/>
              <w:adjustRightInd w:val="0"/>
              <w:snapToGrid w:val="0"/>
              <w:spacing w:after="0" w:line="240" w:lineRule="auto"/>
              <w:rPr>
                <w:rFonts w:ascii="Times New Roman" w:eastAsia="DengXian" w:hAnsi="Times New Roman" w:cs="Times New Roman"/>
                <w:b/>
                <w:sz w:val="18"/>
                <w:szCs w:val="18"/>
              </w:rPr>
            </w:pPr>
            <w:r w:rsidRPr="0040268F">
              <w:rPr>
                <w:rFonts w:ascii="Times New Roman" w:hAnsi="Times New Roman" w:cs="Times New Roman"/>
                <w:b/>
                <w:i/>
                <w:sz w:val="18"/>
                <w:szCs w:val="18"/>
              </w:rPr>
              <w:t>Profit</w:t>
            </w:r>
            <w:r w:rsidRPr="0040268F">
              <w:rPr>
                <w:rFonts w:ascii="Times New Roman" w:hAnsi="Times New Roman" w:cs="Times New Roman"/>
                <w:b/>
                <w:i/>
                <w:iCs/>
                <w:sz w:val="18"/>
                <w:szCs w:val="18"/>
              </w:rPr>
              <w:t xml:space="preserve"> v. Growth and </w:t>
            </w:r>
            <w:r w:rsidR="00CE5C57" w:rsidRPr="0040268F">
              <w:rPr>
                <w:rFonts w:ascii="Times New Roman" w:hAnsi="Times New Roman" w:cs="Times New Roman"/>
                <w:b/>
                <w:i/>
                <w:iCs/>
                <w:sz w:val="18"/>
                <w:szCs w:val="18"/>
              </w:rPr>
              <w:t>Neither-Nor</w:t>
            </w:r>
          </w:p>
        </w:tc>
        <w:tc>
          <w:tcPr>
            <w:tcW w:w="331" w:type="pct"/>
          </w:tcPr>
          <w:p w14:paraId="25D66BA0" w14:textId="1A922F5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2DEBA8A0" w14:textId="1CF0A9C3"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-0.041***</w:t>
            </w:r>
          </w:p>
        </w:tc>
        <w:tc>
          <w:tcPr>
            <w:tcW w:w="332" w:type="pct"/>
          </w:tcPr>
          <w:p w14:paraId="44B0D140" w14:textId="79B35332"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4E5856E5" w14:textId="57AD5848"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-0.062***</w:t>
            </w:r>
          </w:p>
        </w:tc>
        <w:tc>
          <w:tcPr>
            <w:tcW w:w="332" w:type="pct"/>
          </w:tcPr>
          <w:p w14:paraId="2E0A7672" w14:textId="7F397D7E"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626EB26D" w14:textId="3020B612"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-0.</w:t>
            </w:r>
            <w:r w:rsidRPr="0040268F">
              <w:rPr>
                <w:rFonts w:ascii="Times New Roman" w:hAnsi="Times New Roman" w:cs="Times New Roman"/>
                <w:b/>
                <w:bCs/>
                <w:sz w:val="18"/>
                <w:szCs w:val="18"/>
              </w:rPr>
              <w:t>069</w:t>
            </w:r>
            <w:r w:rsidRPr="0040268F">
              <w:rPr>
                <w:rFonts w:ascii="Times New Roman" w:hAnsi="Times New Roman" w:cs="Times New Roman"/>
                <w:b/>
                <w:sz w:val="18"/>
                <w:szCs w:val="18"/>
              </w:rPr>
              <w:t>***</w:t>
            </w:r>
          </w:p>
        </w:tc>
        <w:tc>
          <w:tcPr>
            <w:tcW w:w="58" w:type="pct"/>
          </w:tcPr>
          <w:p w14:paraId="1368D1DB"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Pr>
          <w:p w14:paraId="76537B81" w14:textId="3FA0B5BC"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24" w:type="pct"/>
          </w:tcPr>
          <w:p w14:paraId="7BB5F048" w14:textId="55D5E82F"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-0.</w:t>
            </w:r>
            <w:r w:rsidRPr="0040268F">
              <w:rPr>
                <w:rFonts w:ascii="Times New Roman" w:hAnsi="Times New Roman" w:cs="Times New Roman"/>
                <w:b/>
                <w:bCs/>
                <w:sz w:val="18"/>
                <w:szCs w:val="18"/>
              </w:rPr>
              <w:t>015</w:t>
            </w:r>
            <w:r w:rsidRPr="0040268F">
              <w:rPr>
                <w:rFonts w:ascii="Times New Roman" w:hAnsi="Times New Roman" w:cs="Times New Roman"/>
                <w:b/>
                <w:sz w:val="18"/>
                <w:szCs w:val="18"/>
              </w:rPr>
              <w:t>***</w:t>
            </w:r>
          </w:p>
        </w:tc>
        <w:tc>
          <w:tcPr>
            <w:tcW w:w="324" w:type="pct"/>
          </w:tcPr>
          <w:p w14:paraId="45EF1291"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Pr>
          <w:p w14:paraId="0890E16E" w14:textId="0A3926FF"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-0.027***</w:t>
            </w:r>
          </w:p>
        </w:tc>
        <w:tc>
          <w:tcPr>
            <w:tcW w:w="324" w:type="pct"/>
          </w:tcPr>
          <w:p w14:paraId="30D6968D"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4" w:type="pct"/>
          </w:tcPr>
          <w:p w14:paraId="2F9A8E5E" w14:textId="4D99C8E5"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-0.030***</w:t>
            </w:r>
          </w:p>
        </w:tc>
      </w:tr>
      <w:tr w:rsidR="00A3505C" w:rsidRPr="0040268F" w14:paraId="24E30A97" w14:textId="4806CCD4" w:rsidTr="00873FEC">
        <w:trPr>
          <w:trHeight w:val="80"/>
          <w:jc w:val="center"/>
        </w:trPr>
        <w:tc>
          <w:tcPr>
            <w:tcW w:w="1010" w:type="pct"/>
          </w:tcPr>
          <w:p w14:paraId="1E639D0E" w14:textId="77777777" w:rsidR="005F1A95" w:rsidRPr="0040268F" w:rsidRDefault="005F1A95" w:rsidP="005F1A95">
            <w:pPr>
              <w:autoSpaceDE w:val="0"/>
              <w:autoSpaceDN w:val="0"/>
              <w:adjustRightInd w:val="0"/>
              <w:snapToGrid w:val="0"/>
              <w:spacing w:after="0" w:line="240" w:lineRule="auto"/>
              <w:rPr>
                <w:rFonts w:ascii="Times New Roman" w:eastAsia="DengXian" w:hAnsi="Times New Roman" w:cs="Times New Roman"/>
                <w:b/>
                <w:sz w:val="18"/>
                <w:szCs w:val="18"/>
              </w:rPr>
            </w:pPr>
          </w:p>
        </w:tc>
        <w:tc>
          <w:tcPr>
            <w:tcW w:w="331" w:type="pct"/>
          </w:tcPr>
          <w:p w14:paraId="6E8CDD47" w14:textId="752EE4C2"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2D11D9AA" w14:textId="71F5AA4D"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(-4.027)</w:t>
            </w:r>
          </w:p>
        </w:tc>
        <w:tc>
          <w:tcPr>
            <w:tcW w:w="332" w:type="pct"/>
          </w:tcPr>
          <w:p w14:paraId="20D825C0" w14:textId="6F8BA058"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1F2D0C2C" w14:textId="78933D09"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bCs/>
                <w:sz w:val="18"/>
                <w:szCs w:val="18"/>
              </w:rPr>
              <w:t>(-3.071)</w:t>
            </w:r>
          </w:p>
        </w:tc>
        <w:tc>
          <w:tcPr>
            <w:tcW w:w="332" w:type="pct"/>
          </w:tcPr>
          <w:p w14:paraId="1E38AA29" w14:textId="5B905624"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32" w:type="pct"/>
          </w:tcPr>
          <w:p w14:paraId="7EE4A6E1" w14:textId="43998638"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(-3.</w:t>
            </w:r>
            <w:r w:rsidRPr="0040268F">
              <w:rPr>
                <w:rFonts w:ascii="Times New Roman" w:hAnsi="Times New Roman" w:cs="Times New Roman"/>
                <w:b/>
                <w:bCs/>
                <w:sz w:val="18"/>
                <w:szCs w:val="18"/>
              </w:rPr>
              <w:t>231</w:t>
            </w:r>
            <w:r w:rsidRPr="0040268F">
              <w:rPr>
                <w:rFonts w:ascii="Times New Roman" w:hAnsi="Times New Roman" w:cs="Times New Roman"/>
                <w:b/>
                <w:sz w:val="18"/>
                <w:szCs w:val="18"/>
              </w:rPr>
              <w:t>)</w:t>
            </w:r>
          </w:p>
        </w:tc>
        <w:tc>
          <w:tcPr>
            <w:tcW w:w="58" w:type="pct"/>
          </w:tcPr>
          <w:p w14:paraId="12B6450B"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Pr>
          <w:p w14:paraId="19E51868" w14:textId="30464448"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p>
        </w:tc>
        <w:tc>
          <w:tcPr>
            <w:tcW w:w="324" w:type="pct"/>
          </w:tcPr>
          <w:p w14:paraId="04E61CC2" w14:textId="1FBCE53E"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sz w:val="18"/>
                <w:szCs w:val="18"/>
              </w:rPr>
            </w:pPr>
            <w:r w:rsidRPr="0040268F">
              <w:rPr>
                <w:rFonts w:ascii="Times New Roman" w:hAnsi="Times New Roman" w:cs="Times New Roman"/>
                <w:b/>
                <w:sz w:val="18"/>
                <w:szCs w:val="18"/>
              </w:rPr>
              <w:t>(-</w:t>
            </w:r>
            <w:r w:rsidRPr="0040268F">
              <w:rPr>
                <w:rFonts w:ascii="Times New Roman" w:hAnsi="Times New Roman" w:cs="Times New Roman"/>
                <w:b/>
                <w:bCs/>
                <w:sz w:val="18"/>
                <w:szCs w:val="18"/>
              </w:rPr>
              <w:t>3.326</w:t>
            </w:r>
            <w:r w:rsidRPr="0040268F">
              <w:rPr>
                <w:rFonts w:ascii="Times New Roman" w:hAnsi="Times New Roman" w:cs="Times New Roman"/>
                <w:b/>
                <w:sz w:val="18"/>
                <w:szCs w:val="18"/>
              </w:rPr>
              <w:t>)</w:t>
            </w:r>
          </w:p>
        </w:tc>
        <w:tc>
          <w:tcPr>
            <w:tcW w:w="324" w:type="pct"/>
          </w:tcPr>
          <w:p w14:paraId="2F678F3E"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3" w:type="pct"/>
          </w:tcPr>
          <w:p w14:paraId="48D12038" w14:textId="2CB32C2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(-2.620)</w:t>
            </w:r>
          </w:p>
        </w:tc>
        <w:tc>
          <w:tcPr>
            <w:tcW w:w="324" w:type="pct"/>
          </w:tcPr>
          <w:p w14:paraId="2E67745C" w14:textId="77777777"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p>
        </w:tc>
        <w:tc>
          <w:tcPr>
            <w:tcW w:w="324" w:type="pct"/>
          </w:tcPr>
          <w:p w14:paraId="5317B08C" w14:textId="70B1A995" w:rsidR="005F1A95" w:rsidRPr="0040268F" w:rsidRDefault="005F1A95" w:rsidP="005F1A95">
            <w:pPr>
              <w:autoSpaceDE w:val="0"/>
              <w:autoSpaceDN w:val="0"/>
              <w:adjustRightInd w:val="0"/>
              <w:snapToGrid w:val="0"/>
              <w:spacing w:after="0" w:line="240" w:lineRule="auto"/>
              <w:jc w:val="center"/>
              <w:rPr>
                <w:rFonts w:ascii="Times New Roman" w:hAnsi="Times New Roman" w:cs="Times New Roman"/>
                <w:b/>
                <w:bCs/>
                <w:sz w:val="18"/>
                <w:szCs w:val="18"/>
              </w:rPr>
            </w:pPr>
            <w:r w:rsidRPr="0040268F">
              <w:rPr>
                <w:rFonts w:ascii="Times New Roman" w:hAnsi="Times New Roman" w:cs="Times New Roman"/>
                <w:b/>
                <w:bCs/>
                <w:sz w:val="18"/>
                <w:szCs w:val="18"/>
              </w:rPr>
              <w:t>(-2.696)</w:t>
            </w:r>
          </w:p>
        </w:tc>
      </w:tr>
      <w:tr w:rsidR="00A3505C" w:rsidRPr="0040268F" w14:paraId="229F49D1" w14:textId="17392DA2" w:rsidTr="00873FEC">
        <w:trPr>
          <w:jc w:val="center"/>
        </w:trPr>
        <w:tc>
          <w:tcPr>
            <w:tcW w:w="1010" w:type="pct"/>
          </w:tcPr>
          <w:p w14:paraId="3519F848"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Size</w:t>
            </w:r>
          </w:p>
        </w:tc>
        <w:tc>
          <w:tcPr>
            <w:tcW w:w="331" w:type="pct"/>
          </w:tcPr>
          <w:p w14:paraId="4056A930" w14:textId="17FB51B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0.017***</w:t>
            </w:r>
          </w:p>
        </w:tc>
        <w:tc>
          <w:tcPr>
            <w:tcW w:w="332" w:type="pct"/>
          </w:tcPr>
          <w:p w14:paraId="57A577C5" w14:textId="1F7B5E9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0.017***</w:t>
            </w:r>
          </w:p>
        </w:tc>
        <w:tc>
          <w:tcPr>
            <w:tcW w:w="332" w:type="pct"/>
          </w:tcPr>
          <w:p w14:paraId="01F09889" w14:textId="5AE93AD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0.024**</w:t>
            </w:r>
          </w:p>
        </w:tc>
        <w:tc>
          <w:tcPr>
            <w:tcW w:w="332" w:type="pct"/>
          </w:tcPr>
          <w:p w14:paraId="06187CB1" w14:textId="4082745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0.025**</w:t>
            </w:r>
          </w:p>
        </w:tc>
        <w:tc>
          <w:tcPr>
            <w:tcW w:w="332" w:type="pct"/>
          </w:tcPr>
          <w:p w14:paraId="74743943" w14:textId="67B4FBB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0.028**</w:t>
            </w:r>
          </w:p>
        </w:tc>
        <w:tc>
          <w:tcPr>
            <w:tcW w:w="332" w:type="pct"/>
          </w:tcPr>
          <w:p w14:paraId="29C5C18F" w14:textId="2529E02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0.025**</w:t>
            </w:r>
          </w:p>
        </w:tc>
        <w:tc>
          <w:tcPr>
            <w:tcW w:w="58" w:type="pct"/>
          </w:tcPr>
          <w:p w14:paraId="1F04E687"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471A401" w14:textId="711492F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0.005</w:t>
            </w:r>
          </w:p>
        </w:tc>
        <w:tc>
          <w:tcPr>
            <w:tcW w:w="324" w:type="pct"/>
          </w:tcPr>
          <w:p w14:paraId="36AD81EC" w14:textId="3D56F97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0.005</w:t>
            </w:r>
          </w:p>
        </w:tc>
        <w:tc>
          <w:tcPr>
            <w:tcW w:w="324" w:type="pct"/>
          </w:tcPr>
          <w:p w14:paraId="35DDF16E" w14:textId="4CAD9EF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0.005</w:t>
            </w:r>
          </w:p>
        </w:tc>
        <w:tc>
          <w:tcPr>
            <w:tcW w:w="323" w:type="pct"/>
          </w:tcPr>
          <w:p w14:paraId="7B60A95B" w14:textId="3BB7C41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0.005</w:t>
            </w:r>
          </w:p>
        </w:tc>
        <w:tc>
          <w:tcPr>
            <w:tcW w:w="324" w:type="pct"/>
          </w:tcPr>
          <w:p w14:paraId="527BAEFC" w14:textId="13EB85B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c>
          <w:tcPr>
            <w:tcW w:w="324" w:type="pct"/>
          </w:tcPr>
          <w:p w14:paraId="4F403A78" w14:textId="4D74CC7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0.010</w:t>
            </w:r>
          </w:p>
        </w:tc>
      </w:tr>
      <w:tr w:rsidR="00A3505C" w:rsidRPr="0040268F" w14:paraId="723C8030" w14:textId="21470D18" w:rsidTr="00873FEC">
        <w:trPr>
          <w:jc w:val="center"/>
        </w:trPr>
        <w:tc>
          <w:tcPr>
            <w:tcW w:w="1010" w:type="pct"/>
          </w:tcPr>
          <w:p w14:paraId="53DF999C"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4414E8D6" w14:textId="5289A40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(2.846)</w:t>
            </w:r>
          </w:p>
        </w:tc>
        <w:tc>
          <w:tcPr>
            <w:tcW w:w="332" w:type="pct"/>
          </w:tcPr>
          <w:p w14:paraId="71353A8C" w14:textId="05670C5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(2.853)</w:t>
            </w:r>
          </w:p>
        </w:tc>
        <w:tc>
          <w:tcPr>
            <w:tcW w:w="332" w:type="pct"/>
          </w:tcPr>
          <w:p w14:paraId="221400C7" w14:textId="5D51575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(2.203)</w:t>
            </w:r>
          </w:p>
        </w:tc>
        <w:tc>
          <w:tcPr>
            <w:tcW w:w="332" w:type="pct"/>
          </w:tcPr>
          <w:p w14:paraId="746E85C4" w14:textId="1490C0D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(2.226)</w:t>
            </w:r>
          </w:p>
        </w:tc>
        <w:tc>
          <w:tcPr>
            <w:tcW w:w="332" w:type="pct"/>
          </w:tcPr>
          <w:p w14:paraId="4F0EA83D" w14:textId="10427A8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(2.288)</w:t>
            </w:r>
          </w:p>
        </w:tc>
        <w:tc>
          <w:tcPr>
            <w:tcW w:w="332" w:type="pct"/>
          </w:tcPr>
          <w:p w14:paraId="005905B4" w14:textId="6162798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(1.994)</w:t>
            </w:r>
          </w:p>
        </w:tc>
        <w:tc>
          <w:tcPr>
            <w:tcW w:w="58" w:type="pct"/>
          </w:tcPr>
          <w:p w14:paraId="71CF2904"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49DDF31E" w14:textId="14D5B48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(1.552)</w:t>
            </w:r>
          </w:p>
        </w:tc>
        <w:tc>
          <w:tcPr>
            <w:tcW w:w="324" w:type="pct"/>
          </w:tcPr>
          <w:p w14:paraId="62C4940C" w14:textId="657C303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(1.587)</w:t>
            </w:r>
          </w:p>
        </w:tc>
        <w:tc>
          <w:tcPr>
            <w:tcW w:w="324" w:type="pct"/>
          </w:tcPr>
          <w:p w14:paraId="19FE0307" w14:textId="68532B5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(0.717)</w:t>
            </w:r>
          </w:p>
        </w:tc>
        <w:tc>
          <w:tcPr>
            <w:tcW w:w="323" w:type="pct"/>
          </w:tcPr>
          <w:p w14:paraId="3595C548" w14:textId="59B17AC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(0.782)</w:t>
            </w:r>
          </w:p>
        </w:tc>
        <w:tc>
          <w:tcPr>
            <w:tcW w:w="324" w:type="pct"/>
          </w:tcPr>
          <w:p w14:paraId="0E453A08" w14:textId="08BFC83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(1.188)</w:t>
            </w:r>
          </w:p>
        </w:tc>
        <w:tc>
          <w:tcPr>
            <w:tcW w:w="324" w:type="pct"/>
          </w:tcPr>
          <w:p w14:paraId="6C3A2978" w14:textId="406F8D2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(1.351)</w:t>
            </w:r>
          </w:p>
        </w:tc>
      </w:tr>
      <w:tr w:rsidR="00A3505C" w:rsidRPr="0040268F" w14:paraId="325BEE96" w14:textId="04940ACD" w:rsidTr="00873FEC">
        <w:trPr>
          <w:jc w:val="center"/>
        </w:trPr>
        <w:tc>
          <w:tcPr>
            <w:tcW w:w="1010" w:type="pct"/>
          </w:tcPr>
          <w:p w14:paraId="160E9B51" w14:textId="64D60E4B"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SOE</w:t>
            </w:r>
          </w:p>
        </w:tc>
        <w:tc>
          <w:tcPr>
            <w:tcW w:w="331" w:type="pct"/>
          </w:tcPr>
          <w:p w14:paraId="49692740" w14:textId="19DC577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-0.002</w:t>
            </w:r>
          </w:p>
        </w:tc>
        <w:tc>
          <w:tcPr>
            <w:tcW w:w="332" w:type="pct"/>
          </w:tcPr>
          <w:p w14:paraId="62139E43" w14:textId="3514C8B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-0.006</w:t>
            </w:r>
          </w:p>
        </w:tc>
        <w:tc>
          <w:tcPr>
            <w:tcW w:w="332" w:type="pct"/>
          </w:tcPr>
          <w:p w14:paraId="25AB4C47" w14:textId="79644BA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0.011</w:t>
            </w:r>
          </w:p>
        </w:tc>
        <w:tc>
          <w:tcPr>
            <w:tcW w:w="332" w:type="pct"/>
          </w:tcPr>
          <w:p w14:paraId="379A14C3" w14:textId="17B70A3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0.005</w:t>
            </w:r>
          </w:p>
        </w:tc>
        <w:tc>
          <w:tcPr>
            <w:tcW w:w="332" w:type="pct"/>
          </w:tcPr>
          <w:p w14:paraId="2D1B55EE" w14:textId="641034B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-0.003</w:t>
            </w:r>
          </w:p>
        </w:tc>
        <w:tc>
          <w:tcPr>
            <w:tcW w:w="332" w:type="pct"/>
          </w:tcPr>
          <w:p w14:paraId="0CBC642E" w14:textId="5CC2AAD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0.006</w:t>
            </w:r>
          </w:p>
        </w:tc>
        <w:tc>
          <w:tcPr>
            <w:tcW w:w="58" w:type="pct"/>
          </w:tcPr>
          <w:p w14:paraId="74997BB4"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633C856F" w14:textId="12865E4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-0.008</w:t>
            </w:r>
          </w:p>
        </w:tc>
        <w:tc>
          <w:tcPr>
            <w:tcW w:w="324" w:type="pct"/>
          </w:tcPr>
          <w:p w14:paraId="23D7DD93" w14:textId="47DC304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-0.011**</w:t>
            </w:r>
          </w:p>
        </w:tc>
        <w:tc>
          <w:tcPr>
            <w:tcW w:w="324" w:type="pct"/>
          </w:tcPr>
          <w:p w14:paraId="56ACC5AF" w14:textId="6534BCC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-0.018*</w:t>
            </w:r>
          </w:p>
        </w:tc>
        <w:tc>
          <w:tcPr>
            <w:tcW w:w="323" w:type="pct"/>
          </w:tcPr>
          <w:p w14:paraId="1C9C1DBE" w14:textId="333B05D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-0.023**</w:t>
            </w:r>
          </w:p>
        </w:tc>
        <w:tc>
          <w:tcPr>
            <w:tcW w:w="324" w:type="pct"/>
          </w:tcPr>
          <w:p w14:paraId="669DF4E3" w14:textId="7A5C0A5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-0.031***</w:t>
            </w:r>
          </w:p>
        </w:tc>
        <w:tc>
          <w:tcPr>
            <w:tcW w:w="324" w:type="pct"/>
          </w:tcPr>
          <w:p w14:paraId="365C795B" w14:textId="38062B9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-0.030***</w:t>
            </w:r>
          </w:p>
        </w:tc>
      </w:tr>
      <w:tr w:rsidR="00A3505C" w:rsidRPr="0040268F" w14:paraId="24BBD859" w14:textId="748026AF" w:rsidTr="00873FEC">
        <w:trPr>
          <w:jc w:val="center"/>
        </w:trPr>
        <w:tc>
          <w:tcPr>
            <w:tcW w:w="1010" w:type="pct"/>
          </w:tcPr>
          <w:p w14:paraId="0BDCBAF9"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2DFDAB10" w14:textId="3321D97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(-0.181)</w:t>
            </w:r>
          </w:p>
        </w:tc>
        <w:tc>
          <w:tcPr>
            <w:tcW w:w="332" w:type="pct"/>
          </w:tcPr>
          <w:p w14:paraId="77985F06" w14:textId="349FB93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(-0.502)</w:t>
            </w:r>
          </w:p>
        </w:tc>
        <w:tc>
          <w:tcPr>
            <w:tcW w:w="332" w:type="pct"/>
          </w:tcPr>
          <w:p w14:paraId="2B825DB2" w14:textId="6E92364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(0.494)</w:t>
            </w:r>
          </w:p>
        </w:tc>
        <w:tc>
          <w:tcPr>
            <w:tcW w:w="332" w:type="pct"/>
          </w:tcPr>
          <w:p w14:paraId="43513A86" w14:textId="7A39D2F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(0.252)</w:t>
            </w:r>
          </w:p>
        </w:tc>
        <w:tc>
          <w:tcPr>
            <w:tcW w:w="332" w:type="pct"/>
          </w:tcPr>
          <w:p w14:paraId="1E3EFDC0" w14:textId="175FCB3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(-0.102)</w:t>
            </w:r>
          </w:p>
        </w:tc>
        <w:tc>
          <w:tcPr>
            <w:tcW w:w="332" w:type="pct"/>
          </w:tcPr>
          <w:p w14:paraId="719964C5" w14:textId="5103C35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(0.254)</w:t>
            </w:r>
          </w:p>
        </w:tc>
        <w:tc>
          <w:tcPr>
            <w:tcW w:w="58" w:type="pct"/>
          </w:tcPr>
          <w:p w14:paraId="7B6E0B57"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0CE6F1CD" w14:textId="5FC1F95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(-1.593)</w:t>
            </w:r>
          </w:p>
        </w:tc>
        <w:tc>
          <w:tcPr>
            <w:tcW w:w="324" w:type="pct"/>
          </w:tcPr>
          <w:p w14:paraId="12D6F967" w14:textId="2F8884F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(-2.144)</w:t>
            </w:r>
          </w:p>
        </w:tc>
        <w:tc>
          <w:tcPr>
            <w:tcW w:w="324" w:type="pct"/>
          </w:tcPr>
          <w:p w14:paraId="5ECBFB33" w14:textId="2362785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(-1.684)</w:t>
            </w:r>
          </w:p>
        </w:tc>
        <w:tc>
          <w:tcPr>
            <w:tcW w:w="323" w:type="pct"/>
          </w:tcPr>
          <w:p w14:paraId="08402E3E" w14:textId="13B03FD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(-2.154)</w:t>
            </w:r>
          </w:p>
        </w:tc>
        <w:tc>
          <w:tcPr>
            <w:tcW w:w="324" w:type="pct"/>
          </w:tcPr>
          <w:p w14:paraId="47390828" w14:textId="6B8DA31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(-2.594)</w:t>
            </w:r>
          </w:p>
        </w:tc>
        <w:tc>
          <w:tcPr>
            <w:tcW w:w="324" w:type="pct"/>
          </w:tcPr>
          <w:p w14:paraId="0D76D5B9" w14:textId="33B7C6D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(-2.692)</w:t>
            </w:r>
          </w:p>
        </w:tc>
      </w:tr>
      <w:tr w:rsidR="00A3505C" w:rsidRPr="0040268F" w14:paraId="09FF2317" w14:textId="1F243771" w:rsidTr="00873FEC">
        <w:trPr>
          <w:jc w:val="center"/>
        </w:trPr>
        <w:tc>
          <w:tcPr>
            <w:tcW w:w="1010" w:type="pct"/>
          </w:tcPr>
          <w:p w14:paraId="4943A3AC" w14:textId="0B2039EC"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BTM</w:t>
            </w:r>
          </w:p>
        </w:tc>
        <w:tc>
          <w:tcPr>
            <w:tcW w:w="331" w:type="pct"/>
          </w:tcPr>
          <w:p w14:paraId="42EAC99D" w14:textId="1869A99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-0.016</w:t>
            </w:r>
          </w:p>
        </w:tc>
        <w:tc>
          <w:tcPr>
            <w:tcW w:w="332" w:type="pct"/>
          </w:tcPr>
          <w:p w14:paraId="4445547E" w14:textId="289BB63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-0.011</w:t>
            </w:r>
          </w:p>
        </w:tc>
        <w:tc>
          <w:tcPr>
            <w:tcW w:w="332" w:type="pct"/>
          </w:tcPr>
          <w:p w14:paraId="32C7320D" w14:textId="78A908F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-0.077*</w:t>
            </w:r>
          </w:p>
        </w:tc>
        <w:tc>
          <w:tcPr>
            <w:tcW w:w="332" w:type="pct"/>
          </w:tcPr>
          <w:p w14:paraId="1ED7F31E" w14:textId="07CA723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-0.066</w:t>
            </w:r>
          </w:p>
        </w:tc>
        <w:tc>
          <w:tcPr>
            <w:tcW w:w="332" w:type="pct"/>
          </w:tcPr>
          <w:p w14:paraId="5D9689EF" w14:textId="7C8C19D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-0.080*</w:t>
            </w:r>
          </w:p>
        </w:tc>
        <w:tc>
          <w:tcPr>
            <w:tcW w:w="332" w:type="pct"/>
          </w:tcPr>
          <w:p w14:paraId="73366CF7" w14:textId="25C75A7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-0.068</w:t>
            </w:r>
          </w:p>
        </w:tc>
        <w:tc>
          <w:tcPr>
            <w:tcW w:w="58" w:type="pct"/>
          </w:tcPr>
          <w:p w14:paraId="6B3544D2"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70274D17" w14:textId="2C52D86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-0.007</w:t>
            </w:r>
          </w:p>
        </w:tc>
        <w:tc>
          <w:tcPr>
            <w:tcW w:w="324" w:type="pct"/>
          </w:tcPr>
          <w:p w14:paraId="2EC54C50" w14:textId="0145B6A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-0.004</w:t>
            </w:r>
          </w:p>
        </w:tc>
        <w:tc>
          <w:tcPr>
            <w:tcW w:w="324" w:type="pct"/>
          </w:tcPr>
          <w:p w14:paraId="5C3B82A6" w14:textId="6A7CCB1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-0.023</w:t>
            </w:r>
          </w:p>
        </w:tc>
        <w:tc>
          <w:tcPr>
            <w:tcW w:w="323" w:type="pct"/>
          </w:tcPr>
          <w:p w14:paraId="0B6F952B" w14:textId="5088AB9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-0.015</w:t>
            </w:r>
          </w:p>
        </w:tc>
        <w:tc>
          <w:tcPr>
            <w:tcW w:w="324" w:type="pct"/>
          </w:tcPr>
          <w:p w14:paraId="2D4AABD8" w14:textId="262CA56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-0.023</w:t>
            </w:r>
          </w:p>
        </w:tc>
        <w:tc>
          <w:tcPr>
            <w:tcW w:w="324" w:type="pct"/>
          </w:tcPr>
          <w:p w14:paraId="4C609BA0" w14:textId="19D2A54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-0.039</w:t>
            </w:r>
          </w:p>
        </w:tc>
      </w:tr>
      <w:tr w:rsidR="00A3505C" w:rsidRPr="0040268F" w14:paraId="3304636B" w14:textId="0E4AF086" w:rsidTr="00873FEC">
        <w:trPr>
          <w:jc w:val="center"/>
        </w:trPr>
        <w:tc>
          <w:tcPr>
            <w:tcW w:w="1010" w:type="pct"/>
          </w:tcPr>
          <w:p w14:paraId="1BF1D770"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27E2B25D" w14:textId="6BE664A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(-0.745)</w:t>
            </w:r>
          </w:p>
        </w:tc>
        <w:tc>
          <w:tcPr>
            <w:tcW w:w="332" w:type="pct"/>
          </w:tcPr>
          <w:p w14:paraId="3EE168FC" w14:textId="00B0BB0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(-0.499)</w:t>
            </w:r>
          </w:p>
        </w:tc>
        <w:tc>
          <w:tcPr>
            <w:tcW w:w="332" w:type="pct"/>
          </w:tcPr>
          <w:p w14:paraId="68856529" w14:textId="1702E8E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(-1.876)</w:t>
            </w:r>
          </w:p>
        </w:tc>
        <w:tc>
          <w:tcPr>
            <w:tcW w:w="332" w:type="pct"/>
          </w:tcPr>
          <w:p w14:paraId="6086B906" w14:textId="65ADFA6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(-1.607)</w:t>
            </w:r>
          </w:p>
        </w:tc>
        <w:tc>
          <w:tcPr>
            <w:tcW w:w="332" w:type="pct"/>
          </w:tcPr>
          <w:p w14:paraId="2B7500EF" w14:textId="5E6D0D6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(-1.728)</w:t>
            </w:r>
          </w:p>
        </w:tc>
        <w:tc>
          <w:tcPr>
            <w:tcW w:w="332" w:type="pct"/>
          </w:tcPr>
          <w:p w14:paraId="42B19DED" w14:textId="18A772C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(-1.379)</w:t>
            </w:r>
          </w:p>
        </w:tc>
        <w:tc>
          <w:tcPr>
            <w:tcW w:w="58" w:type="pct"/>
          </w:tcPr>
          <w:p w14:paraId="20DF12FA"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19C176FB" w14:textId="411A8EF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(-0.722)</w:t>
            </w:r>
          </w:p>
        </w:tc>
        <w:tc>
          <w:tcPr>
            <w:tcW w:w="324" w:type="pct"/>
          </w:tcPr>
          <w:p w14:paraId="2DFE3F25" w14:textId="32EBB09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(-0.398)</w:t>
            </w:r>
          </w:p>
        </w:tc>
        <w:tc>
          <w:tcPr>
            <w:tcW w:w="324" w:type="pct"/>
          </w:tcPr>
          <w:p w14:paraId="6CE7C5ED" w14:textId="16E1507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(-1.019)</w:t>
            </w:r>
          </w:p>
        </w:tc>
        <w:tc>
          <w:tcPr>
            <w:tcW w:w="323" w:type="pct"/>
          </w:tcPr>
          <w:p w14:paraId="53E1D79E" w14:textId="5CD7C78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(-0.667)</w:t>
            </w:r>
          </w:p>
        </w:tc>
        <w:tc>
          <w:tcPr>
            <w:tcW w:w="324" w:type="pct"/>
          </w:tcPr>
          <w:p w14:paraId="61A40BE3" w14:textId="5D0D928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(-0.902)</w:t>
            </w:r>
          </w:p>
        </w:tc>
        <w:tc>
          <w:tcPr>
            <w:tcW w:w="324" w:type="pct"/>
          </w:tcPr>
          <w:p w14:paraId="7E160A1C" w14:textId="6CBA354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(-1.533)</w:t>
            </w:r>
          </w:p>
        </w:tc>
      </w:tr>
      <w:tr w:rsidR="00A3505C" w:rsidRPr="0040268F" w14:paraId="1B11909C" w14:textId="3FF2BA7F" w:rsidTr="00873FEC">
        <w:trPr>
          <w:jc w:val="center"/>
        </w:trPr>
        <w:tc>
          <w:tcPr>
            <w:tcW w:w="1010" w:type="pct"/>
          </w:tcPr>
          <w:p w14:paraId="4A66BCF0" w14:textId="7258DED6"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NWC</w:t>
            </w:r>
          </w:p>
        </w:tc>
        <w:tc>
          <w:tcPr>
            <w:tcW w:w="331" w:type="pct"/>
          </w:tcPr>
          <w:p w14:paraId="626B1E73" w14:textId="6AEAC74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0.021</w:t>
            </w:r>
          </w:p>
        </w:tc>
        <w:tc>
          <w:tcPr>
            <w:tcW w:w="332" w:type="pct"/>
          </w:tcPr>
          <w:p w14:paraId="427C04C2" w14:textId="4BECF01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0.022</w:t>
            </w:r>
          </w:p>
        </w:tc>
        <w:tc>
          <w:tcPr>
            <w:tcW w:w="332" w:type="pct"/>
          </w:tcPr>
          <w:p w14:paraId="2ACF5E4B" w14:textId="5BC2E2B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0.045</w:t>
            </w:r>
          </w:p>
        </w:tc>
        <w:tc>
          <w:tcPr>
            <w:tcW w:w="332" w:type="pct"/>
          </w:tcPr>
          <w:p w14:paraId="70613896" w14:textId="5E8164B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0.045</w:t>
            </w:r>
          </w:p>
        </w:tc>
        <w:tc>
          <w:tcPr>
            <w:tcW w:w="332" w:type="pct"/>
          </w:tcPr>
          <w:p w14:paraId="5CC4CE6C" w14:textId="2500DA0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0.038</w:t>
            </w:r>
          </w:p>
        </w:tc>
        <w:tc>
          <w:tcPr>
            <w:tcW w:w="332" w:type="pct"/>
          </w:tcPr>
          <w:p w14:paraId="052FEFDC" w14:textId="2CBA195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0.074</w:t>
            </w:r>
          </w:p>
        </w:tc>
        <w:tc>
          <w:tcPr>
            <w:tcW w:w="58" w:type="pct"/>
          </w:tcPr>
          <w:p w14:paraId="00344B44"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5777ADA" w14:textId="3E99E90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0.006</w:t>
            </w:r>
          </w:p>
        </w:tc>
        <w:tc>
          <w:tcPr>
            <w:tcW w:w="324" w:type="pct"/>
          </w:tcPr>
          <w:p w14:paraId="73B0C2E0" w14:textId="318CEF3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0.004</w:t>
            </w:r>
          </w:p>
        </w:tc>
        <w:tc>
          <w:tcPr>
            <w:tcW w:w="324" w:type="pct"/>
          </w:tcPr>
          <w:p w14:paraId="3C916F44" w14:textId="06C28DC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0.017</w:t>
            </w:r>
          </w:p>
        </w:tc>
        <w:tc>
          <w:tcPr>
            <w:tcW w:w="323" w:type="pct"/>
          </w:tcPr>
          <w:p w14:paraId="1483F829" w14:textId="70C652A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0.012</w:t>
            </w:r>
          </w:p>
        </w:tc>
        <w:tc>
          <w:tcPr>
            <w:tcW w:w="324" w:type="pct"/>
          </w:tcPr>
          <w:p w14:paraId="20EE887C" w14:textId="035E9DF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0.004</w:t>
            </w:r>
          </w:p>
        </w:tc>
        <w:tc>
          <w:tcPr>
            <w:tcW w:w="324" w:type="pct"/>
          </w:tcPr>
          <w:p w14:paraId="4172669A" w14:textId="5FDE4AB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-0.008</w:t>
            </w:r>
          </w:p>
        </w:tc>
      </w:tr>
      <w:tr w:rsidR="00A3505C" w:rsidRPr="0040268F" w14:paraId="28F64AD1" w14:textId="39DBAC28" w:rsidTr="00873FEC">
        <w:trPr>
          <w:jc w:val="center"/>
        </w:trPr>
        <w:tc>
          <w:tcPr>
            <w:tcW w:w="1010" w:type="pct"/>
          </w:tcPr>
          <w:p w14:paraId="0BE5614E"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79D29C63" w14:textId="7A69DDD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(0.881)</w:t>
            </w:r>
          </w:p>
        </w:tc>
        <w:tc>
          <w:tcPr>
            <w:tcW w:w="332" w:type="pct"/>
          </w:tcPr>
          <w:p w14:paraId="1FC684DE" w14:textId="4A6F66E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(0.914)</w:t>
            </w:r>
          </w:p>
        </w:tc>
        <w:tc>
          <w:tcPr>
            <w:tcW w:w="332" w:type="pct"/>
          </w:tcPr>
          <w:p w14:paraId="1DE3F8B7" w14:textId="2ECB8CF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(1.078)</w:t>
            </w:r>
          </w:p>
        </w:tc>
        <w:tc>
          <w:tcPr>
            <w:tcW w:w="332" w:type="pct"/>
          </w:tcPr>
          <w:p w14:paraId="4DC94392" w14:textId="51EB28B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(1.072)</w:t>
            </w:r>
          </w:p>
        </w:tc>
        <w:tc>
          <w:tcPr>
            <w:tcW w:w="332" w:type="pct"/>
          </w:tcPr>
          <w:p w14:paraId="3D320FA1" w14:textId="458681B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(0.759)</w:t>
            </w:r>
          </w:p>
        </w:tc>
        <w:tc>
          <w:tcPr>
            <w:tcW w:w="332" w:type="pct"/>
          </w:tcPr>
          <w:p w14:paraId="448E7A4A" w14:textId="542A7BD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(1.415)</w:t>
            </w:r>
          </w:p>
        </w:tc>
        <w:tc>
          <w:tcPr>
            <w:tcW w:w="58" w:type="pct"/>
          </w:tcPr>
          <w:p w14:paraId="0679D2D2"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6F1C97AC" w14:textId="6DE54DB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(0.570)</w:t>
            </w:r>
          </w:p>
        </w:tc>
        <w:tc>
          <w:tcPr>
            <w:tcW w:w="324" w:type="pct"/>
          </w:tcPr>
          <w:p w14:paraId="36F3A6C8" w14:textId="10E302E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(0.410)</w:t>
            </w:r>
          </w:p>
        </w:tc>
        <w:tc>
          <w:tcPr>
            <w:tcW w:w="324" w:type="pct"/>
          </w:tcPr>
          <w:p w14:paraId="5714A67C" w14:textId="6FF426C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(0.812)</w:t>
            </w:r>
          </w:p>
        </w:tc>
        <w:tc>
          <w:tcPr>
            <w:tcW w:w="323" w:type="pct"/>
          </w:tcPr>
          <w:p w14:paraId="1B191BBA" w14:textId="04804A4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(0.538)</w:t>
            </w:r>
          </w:p>
        </w:tc>
        <w:tc>
          <w:tcPr>
            <w:tcW w:w="324" w:type="pct"/>
          </w:tcPr>
          <w:p w14:paraId="2B74C3DC" w14:textId="48AD6EA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(0.169)</w:t>
            </w:r>
          </w:p>
        </w:tc>
        <w:tc>
          <w:tcPr>
            <w:tcW w:w="324" w:type="pct"/>
          </w:tcPr>
          <w:p w14:paraId="2B6F005A" w14:textId="407B3B7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(-0.303)</w:t>
            </w:r>
          </w:p>
        </w:tc>
      </w:tr>
      <w:tr w:rsidR="00A3505C" w:rsidRPr="0040268F" w14:paraId="3645A71B" w14:textId="30D080BC" w:rsidTr="00873FEC">
        <w:trPr>
          <w:jc w:val="center"/>
        </w:trPr>
        <w:tc>
          <w:tcPr>
            <w:tcW w:w="1010" w:type="pct"/>
          </w:tcPr>
          <w:p w14:paraId="0BA0F6EA" w14:textId="1A9E4F9A"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ROA</w:t>
            </w:r>
          </w:p>
        </w:tc>
        <w:tc>
          <w:tcPr>
            <w:tcW w:w="331" w:type="pct"/>
          </w:tcPr>
          <w:p w14:paraId="392D3152" w14:textId="7CDE538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-0.081**</w:t>
            </w:r>
          </w:p>
        </w:tc>
        <w:tc>
          <w:tcPr>
            <w:tcW w:w="332" w:type="pct"/>
          </w:tcPr>
          <w:p w14:paraId="15C9E71D" w14:textId="7836589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-0.080**</w:t>
            </w:r>
          </w:p>
        </w:tc>
        <w:tc>
          <w:tcPr>
            <w:tcW w:w="332" w:type="pct"/>
          </w:tcPr>
          <w:p w14:paraId="7DB41295" w14:textId="57F2C72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-0.020</w:t>
            </w:r>
          </w:p>
        </w:tc>
        <w:tc>
          <w:tcPr>
            <w:tcW w:w="332" w:type="pct"/>
          </w:tcPr>
          <w:p w14:paraId="0039D02D" w14:textId="17CF9CC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-0.013</w:t>
            </w:r>
          </w:p>
        </w:tc>
        <w:tc>
          <w:tcPr>
            <w:tcW w:w="332" w:type="pct"/>
          </w:tcPr>
          <w:p w14:paraId="44F3ED25" w14:textId="12BD73A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-0.188</w:t>
            </w:r>
          </w:p>
        </w:tc>
        <w:tc>
          <w:tcPr>
            <w:tcW w:w="332" w:type="pct"/>
          </w:tcPr>
          <w:p w14:paraId="5CDD7105" w14:textId="090B8C5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-0.002</w:t>
            </w:r>
          </w:p>
        </w:tc>
        <w:tc>
          <w:tcPr>
            <w:tcW w:w="58" w:type="pct"/>
          </w:tcPr>
          <w:p w14:paraId="05A5065E"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74EA4AE" w14:textId="52A3FCB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-0.018</w:t>
            </w:r>
          </w:p>
        </w:tc>
        <w:tc>
          <w:tcPr>
            <w:tcW w:w="324" w:type="pct"/>
          </w:tcPr>
          <w:p w14:paraId="7F1081F2" w14:textId="78221DA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-0.025</w:t>
            </w:r>
          </w:p>
        </w:tc>
        <w:tc>
          <w:tcPr>
            <w:tcW w:w="324" w:type="pct"/>
          </w:tcPr>
          <w:p w14:paraId="459EAE31" w14:textId="4FD8FD4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-0.006</w:t>
            </w:r>
          </w:p>
        </w:tc>
        <w:tc>
          <w:tcPr>
            <w:tcW w:w="323" w:type="pct"/>
          </w:tcPr>
          <w:p w14:paraId="2F0FC9F7" w14:textId="5278F2F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-0.010</w:t>
            </w:r>
          </w:p>
        </w:tc>
        <w:tc>
          <w:tcPr>
            <w:tcW w:w="324" w:type="pct"/>
          </w:tcPr>
          <w:p w14:paraId="03F2FFC8" w14:textId="050CEE3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-0.099</w:t>
            </w:r>
          </w:p>
        </w:tc>
        <w:tc>
          <w:tcPr>
            <w:tcW w:w="324" w:type="pct"/>
          </w:tcPr>
          <w:p w14:paraId="0852F035" w14:textId="5C1B14E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-0.253**</w:t>
            </w:r>
          </w:p>
        </w:tc>
      </w:tr>
      <w:tr w:rsidR="00A3505C" w:rsidRPr="0040268F" w14:paraId="2F0BB6DE" w14:textId="5EF627BD" w:rsidTr="00873FEC">
        <w:trPr>
          <w:jc w:val="center"/>
        </w:trPr>
        <w:tc>
          <w:tcPr>
            <w:tcW w:w="1010" w:type="pct"/>
          </w:tcPr>
          <w:p w14:paraId="29288BEE"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138CEA21" w14:textId="1B13ACF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(-2.020)</w:t>
            </w:r>
          </w:p>
        </w:tc>
        <w:tc>
          <w:tcPr>
            <w:tcW w:w="332" w:type="pct"/>
          </w:tcPr>
          <w:p w14:paraId="1FFE9E1A" w14:textId="5CDE4A0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(-2.005)</w:t>
            </w:r>
          </w:p>
        </w:tc>
        <w:tc>
          <w:tcPr>
            <w:tcW w:w="332" w:type="pct"/>
          </w:tcPr>
          <w:p w14:paraId="06040212" w14:textId="56CADC6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(-0.285)</w:t>
            </w:r>
          </w:p>
        </w:tc>
        <w:tc>
          <w:tcPr>
            <w:tcW w:w="332" w:type="pct"/>
          </w:tcPr>
          <w:p w14:paraId="62D02FF9" w14:textId="3F75A6B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(-0.183)</w:t>
            </w:r>
          </w:p>
        </w:tc>
        <w:tc>
          <w:tcPr>
            <w:tcW w:w="332" w:type="pct"/>
          </w:tcPr>
          <w:p w14:paraId="67CD4F94" w14:textId="1F8AACA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(-1.419)</w:t>
            </w:r>
          </w:p>
        </w:tc>
        <w:tc>
          <w:tcPr>
            <w:tcW w:w="332" w:type="pct"/>
          </w:tcPr>
          <w:p w14:paraId="4A72BEBA" w14:textId="260D5BA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(-0.007)</w:t>
            </w:r>
          </w:p>
        </w:tc>
        <w:tc>
          <w:tcPr>
            <w:tcW w:w="58" w:type="pct"/>
          </w:tcPr>
          <w:p w14:paraId="1794D768"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0CF0D1AC" w14:textId="15FD13B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(-0.970)</w:t>
            </w:r>
          </w:p>
        </w:tc>
        <w:tc>
          <w:tcPr>
            <w:tcW w:w="324" w:type="pct"/>
          </w:tcPr>
          <w:p w14:paraId="0DA87D11" w14:textId="28E9553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(-1.335)</w:t>
            </w:r>
          </w:p>
        </w:tc>
        <w:tc>
          <w:tcPr>
            <w:tcW w:w="324" w:type="pct"/>
          </w:tcPr>
          <w:p w14:paraId="4C31BBFA" w14:textId="1A77697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(-0.180)</w:t>
            </w:r>
          </w:p>
        </w:tc>
        <w:tc>
          <w:tcPr>
            <w:tcW w:w="323" w:type="pct"/>
          </w:tcPr>
          <w:p w14:paraId="0C114660" w14:textId="7214BF9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(-0.271)</w:t>
            </w:r>
          </w:p>
        </w:tc>
        <w:tc>
          <w:tcPr>
            <w:tcW w:w="324" w:type="pct"/>
          </w:tcPr>
          <w:p w14:paraId="3B56D266" w14:textId="2106A56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(-1.531)</w:t>
            </w:r>
          </w:p>
        </w:tc>
        <w:tc>
          <w:tcPr>
            <w:tcW w:w="324" w:type="pct"/>
          </w:tcPr>
          <w:p w14:paraId="5B0F8E20" w14:textId="1705087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(-2.386)</w:t>
            </w:r>
          </w:p>
        </w:tc>
      </w:tr>
      <w:tr w:rsidR="00A3505C" w:rsidRPr="0040268F" w14:paraId="3A4A1ECD" w14:textId="4F349AB9" w:rsidTr="00873FEC">
        <w:trPr>
          <w:jc w:val="center"/>
        </w:trPr>
        <w:tc>
          <w:tcPr>
            <w:tcW w:w="1010" w:type="pct"/>
          </w:tcPr>
          <w:p w14:paraId="5E013C29" w14:textId="2D240B48"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Cash</w:t>
            </w:r>
          </w:p>
        </w:tc>
        <w:tc>
          <w:tcPr>
            <w:tcW w:w="331" w:type="pct"/>
          </w:tcPr>
          <w:p w14:paraId="706DCFAD" w14:textId="6981F43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-0.123***</w:t>
            </w:r>
          </w:p>
        </w:tc>
        <w:tc>
          <w:tcPr>
            <w:tcW w:w="332" w:type="pct"/>
          </w:tcPr>
          <w:p w14:paraId="3FC5176F" w14:textId="398337C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-0.120***</w:t>
            </w:r>
          </w:p>
        </w:tc>
        <w:tc>
          <w:tcPr>
            <w:tcW w:w="332" w:type="pct"/>
          </w:tcPr>
          <w:p w14:paraId="0720D345" w14:textId="79FEA30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-0.096</w:t>
            </w:r>
          </w:p>
        </w:tc>
        <w:tc>
          <w:tcPr>
            <w:tcW w:w="332" w:type="pct"/>
          </w:tcPr>
          <w:p w14:paraId="1155BEA8" w14:textId="38C235E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-0.095</w:t>
            </w:r>
          </w:p>
        </w:tc>
        <w:tc>
          <w:tcPr>
            <w:tcW w:w="332" w:type="pct"/>
          </w:tcPr>
          <w:p w14:paraId="217FFC8A" w14:textId="0D9B262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-0.097</w:t>
            </w:r>
          </w:p>
        </w:tc>
        <w:tc>
          <w:tcPr>
            <w:tcW w:w="332" w:type="pct"/>
          </w:tcPr>
          <w:p w14:paraId="4607F4E0" w14:textId="14137F5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-0.086</w:t>
            </w:r>
          </w:p>
        </w:tc>
        <w:tc>
          <w:tcPr>
            <w:tcW w:w="58" w:type="pct"/>
          </w:tcPr>
          <w:p w14:paraId="5CEAC774"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F1CB9BE" w14:textId="372263B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-0.040***</w:t>
            </w:r>
          </w:p>
        </w:tc>
        <w:tc>
          <w:tcPr>
            <w:tcW w:w="324" w:type="pct"/>
          </w:tcPr>
          <w:p w14:paraId="7C0E8C21" w14:textId="3D5957C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-0.039**</w:t>
            </w:r>
          </w:p>
        </w:tc>
        <w:tc>
          <w:tcPr>
            <w:tcW w:w="324" w:type="pct"/>
          </w:tcPr>
          <w:p w14:paraId="765E45FE" w14:textId="278A1CE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-0.044</w:t>
            </w:r>
          </w:p>
        </w:tc>
        <w:tc>
          <w:tcPr>
            <w:tcW w:w="323" w:type="pct"/>
          </w:tcPr>
          <w:p w14:paraId="428211F7" w14:textId="7883A40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-0.043</w:t>
            </w:r>
          </w:p>
        </w:tc>
        <w:tc>
          <w:tcPr>
            <w:tcW w:w="324" w:type="pct"/>
          </w:tcPr>
          <w:p w14:paraId="6310F31D" w14:textId="6D399AA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-0.054</w:t>
            </w:r>
          </w:p>
        </w:tc>
        <w:tc>
          <w:tcPr>
            <w:tcW w:w="324" w:type="pct"/>
          </w:tcPr>
          <w:p w14:paraId="434500B9" w14:textId="55EE01E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-0.049</w:t>
            </w:r>
          </w:p>
        </w:tc>
      </w:tr>
      <w:tr w:rsidR="00A3505C" w:rsidRPr="0040268F" w14:paraId="520E73F6" w14:textId="61FBE1C6" w:rsidTr="00873FEC">
        <w:trPr>
          <w:jc w:val="center"/>
        </w:trPr>
        <w:tc>
          <w:tcPr>
            <w:tcW w:w="1010" w:type="pct"/>
          </w:tcPr>
          <w:p w14:paraId="488C67C1"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4D752351" w14:textId="4B08BF9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(-3.690)</w:t>
            </w:r>
          </w:p>
        </w:tc>
        <w:tc>
          <w:tcPr>
            <w:tcW w:w="332" w:type="pct"/>
          </w:tcPr>
          <w:p w14:paraId="21D8A9DA" w14:textId="29A9CF6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(-3.573)</w:t>
            </w:r>
          </w:p>
        </w:tc>
        <w:tc>
          <w:tcPr>
            <w:tcW w:w="332" w:type="pct"/>
          </w:tcPr>
          <w:p w14:paraId="0FF8D85B" w14:textId="728779D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(-1.343)</w:t>
            </w:r>
          </w:p>
        </w:tc>
        <w:tc>
          <w:tcPr>
            <w:tcW w:w="332" w:type="pct"/>
          </w:tcPr>
          <w:p w14:paraId="5890CB76" w14:textId="52590C0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(-1.323)</w:t>
            </w:r>
          </w:p>
        </w:tc>
        <w:tc>
          <w:tcPr>
            <w:tcW w:w="332" w:type="pct"/>
          </w:tcPr>
          <w:p w14:paraId="45DA54BE" w14:textId="3D2E94D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(-1.142)</w:t>
            </w:r>
          </w:p>
        </w:tc>
        <w:tc>
          <w:tcPr>
            <w:tcW w:w="332" w:type="pct"/>
          </w:tcPr>
          <w:p w14:paraId="63F1E5EC" w14:textId="3F1126C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(-1.029)</w:t>
            </w:r>
          </w:p>
        </w:tc>
        <w:tc>
          <w:tcPr>
            <w:tcW w:w="58" w:type="pct"/>
          </w:tcPr>
          <w:p w14:paraId="127739BB"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4B11830C" w14:textId="26CBFF0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(-2.585)</w:t>
            </w:r>
          </w:p>
        </w:tc>
        <w:tc>
          <w:tcPr>
            <w:tcW w:w="324" w:type="pct"/>
          </w:tcPr>
          <w:p w14:paraId="79DD3E78" w14:textId="7B031F3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(-2.496)</w:t>
            </w:r>
          </w:p>
        </w:tc>
        <w:tc>
          <w:tcPr>
            <w:tcW w:w="324" w:type="pct"/>
          </w:tcPr>
          <w:p w14:paraId="0B48D3E2" w14:textId="41D11D8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(-1.090)</w:t>
            </w:r>
          </w:p>
        </w:tc>
        <w:tc>
          <w:tcPr>
            <w:tcW w:w="323" w:type="pct"/>
          </w:tcPr>
          <w:p w14:paraId="672AD58E" w14:textId="0E66A5D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(-1.051)</w:t>
            </w:r>
          </w:p>
        </w:tc>
        <w:tc>
          <w:tcPr>
            <w:tcW w:w="324" w:type="pct"/>
          </w:tcPr>
          <w:p w14:paraId="5BC9E105" w14:textId="12F46B1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(-1.111)</w:t>
            </w:r>
          </w:p>
        </w:tc>
        <w:tc>
          <w:tcPr>
            <w:tcW w:w="324" w:type="pct"/>
          </w:tcPr>
          <w:p w14:paraId="069F3ADB" w14:textId="45BC35B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(-1.008)</w:t>
            </w:r>
          </w:p>
        </w:tc>
      </w:tr>
      <w:tr w:rsidR="00A3505C" w:rsidRPr="0040268F" w14:paraId="56260F3A" w14:textId="5F185D0B" w:rsidTr="00873FEC">
        <w:trPr>
          <w:jc w:val="center"/>
        </w:trPr>
        <w:tc>
          <w:tcPr>
            <w:tcW w:w="1010" w:type="pct"/>
          </w:tcPr>
          <w:p w14:paraId="79214097" w14:textId="51EC2653"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Tangible</w:t>
            </w:r>
          </w:p>
        </w:tc>
        <w:tc>
          <w:tcPr>
            <w:tcW w:w="331" w:type="pct"/>
          </w:tcPr>
          <w:p w14:paraId="0BB7EC13" w14:textId="100A0B0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0.020</w:t>
            </w:r>
          </w:p>
        </w:tc>
        <w:tc>
          <w:tcPr>
            <w:tcW w:w="332" w:type="pct"/>
          </w:tcPr>
          <w:p w14:paraId="29E85B43" w14:textId="6C5681E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0.003</w:t>
            </w:r>
          </w:p>
        </w:tc>
        <w:tc>
          <w:tcPr>
            <w:tcW w:w="332" w:type="pct"/>
          </w:tcPr>
          <w:p w14:paraId="5201E252" w14:textId="4DC2841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0.015</w:t>
            </w:r>
          </w:p>
        </w:tc>
        <w:tc>
          <w:tcPr>
            <w:tcW w:w="332" w:type="pct"/>
          </w:tcPr>
          <w:p w14:paraId="2D543A7C" w14:textId="3A53167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-0.007</w:t>
            </w:r>
          </w:p>
        </w:tc>
        <w:tc>
          <w:tcPr>
            <w:tcW w:w="332" w:type="pct"/>
          </w:tcPr>
          <w:p w14:paraId="13546098" w14:textId="20929DF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-0.066</w:t>
            </w:r>
          </w:p>
        </w:tc>
        <w:tc>
          <w:tcPr>
            <w:tcW w:w="332" w:type="pct"/>
          </w:tcPr>
          <w:p w14:paraId="270A6DE1" w14:textId="33C2DD6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-0.027</w:t>
            </w:r>
          </w:p>
        </w:tc>
        <w:tc>
          <w:tcPr>
            <w:tcW w:w="58" w:type="pct"/>
          </w:tcPr>
          <w:p w14:paraId="56213DD8"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14B12F0B" w14:textId="6066168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0.033</w:t>
            </w:r>
          </w:p>
        </w:tc>
        <w:tc>
          <w:tcPr>
            <w:tcW w:w="324" w:type="pct"/>
          </w:tcPr>
          <w:p w14:paraId="6C6669D9" w14:textId="477A4F5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0.021</w:t>
            </w:r>
          </w:p>
        </w:tc>
        <w:tc>
          <w:tcPr>
            <w:tcW w:w="324" w:type="pct"/>
          </w:tcPr>
          <w:p w14:paraId="03C12668" w14:textId="3A41CB5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0.063</w:t>
            </w:r>
          </w:p>
        </w:tc>
        <w:tc>
          <w:tcPr>
            <w:tcW w:w="323" w:type="pct"/>
          </w:tcPr>
          <w:p w14:paraId="4A12C641" w14:textId="0921A3B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0.043</w:t>
            </w:r>
          </w:p>
        </w:tc>
        <w:tc>
          <w:tcPr>
            <w:tcW w:w="324" w:type="pct"/>
          </w:tcPr>
          <w:p w14:paraId="6611568A" w14:textId="6A9178C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0.000</w:t>
            </w:r>
          </w:p>
        </w:tc>
        <w:tc>
          <w:tcPr>
            <w:tcW w:w="324" w:type="pct"/>
          </w:tcPr>
          <w:p w14:paraId="3BE04E51" w14:textId="69D3E62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r>
      <w:tr w:rsidR="00A3505C" w:rsidRPr="0040268F" w14:paraId="4CF8C74B" w14:textId="22CC46DE" w:rsidTr="00873FEC">
        <w:trPr>
          <w:jc w:val="center"/>
        </w:trPr>
        <w:tc>
          <w:tcPr>
            <w:tcW w:w="1010" w:type="pct"/>
          </w:tcPr>
          <w:p w14:paraId="0D2310A5"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154244FD" w14:textId="55B5907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(0.438)</w:t>
            </w:r>
          </w:p>
        </w:tc>
        <w:tc>
          <w:tcPr>
            <w:tcW w:w="332" w:type="pct"/>
          </w:tcPr>
          <w:p w14:paraId="2A5D567C" w14:textId="3174E8D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(0.060)</w:t>
            </w:r>
          </w:p>
        </w:tc>
        <w:tc>
          <w:tcPr>
            <w:tcW w:w="332" w:type="pct"/>
          </w:tcPr>
          <w:p w14:paraId="59CB8BD7" w14:textId="6D1593B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(0.196)</w:t>
            </w:r>
          </w:p>
        </w:tc>
        <w:tc>
          <w:tcPr>
            <w:tcW w:w="332" w:type="pct"/>
          </w:tcPr>
          <w:p w14:paraId="70C0AB2B" w14:textId="6FD0A6E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(-0.087)</w:t>
            </w:r>
          </w:p>
        </w:tc>
        <w:tc>
          <w:tcPr>
            <w:tcW w:w="332" w:type="pct"/>
          </w:tcPr>
          <w:p w14:paraId="2A737853" w14:textId="329EBFA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(-0.672)</w:t>
            </w:r>
          </w:p>
        </w:tc>
        <w:tc>
          <w:tcPr>
            <w:tcW w:w="332" w:type="pct"/>
          </w:tcPr>
          <w:p w14:paraId="2ADBCA9E" w14:textId="0F2B799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(-0.307)</w:t>
            </w:r>
          </w:p>
        </w:tc>
        <w:tc>
          <w:tcPr>
            <w:tcW w:w="58" w:type="pct"/>
          </w:tcPr>
          <w:p w14:paraId="17FEC9ED"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7F808475" w14:textId="0130466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(1.503)</w:t>
            </w:r>
          </w:p>
        </w:tc>
        <w:tc>
          <w:tcPr>
            <w:tcW w:w="324" w:type="pct"/>
          </w:tcPr>
          <w:p w14:paraId="00666781" w14:textId="340A6D2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(0.964)</w:t>
            </w:r>
          </w:p>
        </w:tc>
        <w:tc>
          <w:tcPr>
            <w:tcW w:w="324" w:type="pct"/>
          </w:tcPr>
          <w:p w14:paraId="4608C583" w14:textId="0F0B76A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(1.506)</w:t>
            </w:r>
          </w:p>
        </w:tc>
        <w:tc>
          <w:tcPr>
            <w:tcW w:w="323" w:type="pct"/>
          </w:tcPr>
          <w:p w14:paraId="6937243F" w14:textId="45D383B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(1.031)</w:t>
            </w:r>
          </w:p>
        </w:tc>
        <w:tc>
          <w:tcPr>
            <w:tcW w:w="324" w:type="pct"/>
          </w:tcPr>
          <w:p w14:paraId="01684ADA" w14:textId="5E71485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(0.002)</w:t>
            </w:r>
          </w:p>
        </w:tc>
        <w:tc>
          <w:tcPr>
            <w:tcW w:w="324" w:type="pct"/>
          </w:tcPr>
          <w:p w14:paraId="703E1026" w14:textId="3AF19BA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(-0.186)</w:t>
            </w:r>
          </w:p>
        </w:tc>
      </w:tr>
      <w:tr w:rsidR="00A3505C" w:rsidRPr="0040268F" w14:paraId="3D5542FE" w14:textId="4FAD5C63" w:rsidTr="00873FEC">
        <w:trPr>
          <w:jc w:val="center"/>
        </w:trPr>
        <w:tc>
          <w:tcPr>
            <w:tcW w:w="1010" w:type="pct"/>
          </w:tcPr>
          <w:p w14:paraId="7426E7AD" w14:textId="720674B1"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Market Share</w:t>
            </w:r>
          </w:p>
        </w:tc>
        <w:tc>
          <w:tcPr>
            <w:tcW w:w="331" w:type="pct"/>
          </w:tcPr>
          <w:p w14:paraId="1392DFC5" w14:textId="11E5068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-0.124***</w:t>
            </w:r>
          </w:p>
        </w:tc>
        <w:tc>
          <w:tcPr>
            <w:tcW w:w="332" w:type="pct"/>
          </w:tcPr>
          <w:p w14:paraId="049F4F3A" w14:textId="1A382D01"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-0.127***</w:t>
            </w:r>
          </w:p>
        </w:tc>
        <w:tc>
          <w:tcPr>
            <w:tcW w:w="332" w:type="pct"/>
          </w:tcPr>
          <w:p w14:paraId="6EAF228F" w14:textId="78234F8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-0.154</w:t>
            </w:r>
          </w:p>
        </w:tc>
        <w:tc>
          <w:tcPr>
            <w:tcW w:w="332" w:type="pct"/>
          </w:tcPr>
          <w:p w14:paraId="4FCDB485" w14:textId="7DAF223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-0.161</w:t>
            </w:r>
          </w:p>
        </w:tc>
        <w:tc>
          <w:tcPr>
            <w:tcW w:w="332" w:type="pct"/>
          </w:tcPr>
          <w:p w14:paraId="219333CD" w14:textId="42C19EE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-0.332***</w:t>
            </w:r>
          </w:p>
        </w:tc>
        <w:tc>
          <w:tcPr>
            <w:tcW w:w="332" w:type="pct"/>
          </w:tcPr>
          <w:p w14:paraId="2736FF04" w14:textId="18F90F6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-0.328***</w:t>
            </w:r>
          </w:p>
        </w:tc>
        <w:tc>
          <w:tcPr>
            <w:tcW w:w="58" w:type="pct"/>
          </w:tcPr>
          <w:p w14:paraId="4DFF800A"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03E1F122" w14:textId="61EE4D2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-0.076***</w:t>
            </w:r>
          </w:p>
        </w:tc>
        <w:tc>
          <w:tcPr>
            <w:tcW w:w="324" w:type="pct"/>
          </w:tcPr>
          <w:p w14:paraId="0DEC4D11" w14:textId="0E11F2E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-0.078***</w:t>
            </w:r>
          </w:p>
        </w:tc>
        <w:tc>
          <w:tcPr>
            <w:tcW w:w="324" w:type="pct"/>
          </w:tcPr>
          <w:p w14:paraId="439A46E4" w14:textId="61A09B2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-0.191***</w:t>
            </w:r>
          </w:p>
        </w:tc>
        <w:tc>
          <w:tcPr>
            <w:tcW w:w="323" w:type="pct"/>
          </w:tcPr>
          <w:p w14:paraId="767080EB" w14:textId="696CFE1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-0.197***</w:t>
            </w:r>
          </w:p>
        </w:tc>
        <w:tc>
          <w:tcPr>
            <w:tcW w:w="324" w:type="pct"/>
          </w:tcPr>
          <w:p w14:paraId="7DAAA737" w14:textId="155C607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-0.274***</w:t>
            </w:r>
          </w:p>
        </w:tc>
        <w:tc>
          <w:tcPr>
            <w:tcW w:w="324" w:type="pct"/>
          </w:tcPr>
          <w:p w14:paraId="082F474E" w14:textId="13ECAFB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-0.271***</w:t>
            </w:r>
          </w:p>
        </w:tc>
      </w:tr>
      <w:tr w:rsidR="00A3505C" w:rsidRPr="0040268F" w14:paraId="0F34072F" w14:textId="754DD83A" w:rsidTr="00873FEC">
        <w:trPr>
          <w:jc w:val="center"/>
        </w:trPr>
        <w:tc>
          <w:tcPr>
            <w:tcW w:w="1010" w:type="pct"/>
          </w:tcPr>
          <w:p w14:paraId="0AF7DE7F"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621F67E8" w14:textId="25D0D15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(-2.822)</w:t>
            </w:r>
          </w:p>
        </w:tc>
        <w:tc>
          <w:tcPr>
            <w:tcW w:w="332" w:type="pct"/>
          </w:tcPr>
          <w:p w14:paraId="69E20AD7" w14:textId="56FABD4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(-2.913)</w:t>
            </w:r>
          </w:p>
        </w:tc>
        <w:tc>
          <w:tcPr>
            <w:tcW w:w="332" w:type="pct"/>
          </w:tcPr>
          <w:p w14:paraId="1FC6D8F6" w14:textId="6C3D51F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(-1.416)</w:t>
            </w:r>
          </w:p>
        </w:tc>
        <w:tc>
          <w:tcPr>
            <w:tcW w:w="332" w:type="pct"/>
          </w:tcPr>
          <w:p w14:paraId="2A7E1CB3" w14:textId="077E81D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(-1.483)</w:t>
            </w:r>
          </w:p>
        </w:tc>
        <w:tc>
          <w:tcPr>
            <w:tcW w:w="332" w:type="pct"/>
          </w:tcPr>
          <w:p w14:paraId="431FD5DF" w14:textId="1B48F55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(-2.775)</w:t>
            </w:r>
          </w:p>
        </w:tc>
        <w:tc>
          <w:tcPr>
            <w:tcW w:w="332" w:type="pct"/>
          </w:tcPr>
          <w:p w14:paraId="375C937F" w14:textId="58F906A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(-2.726)</w:t>
            </w:r>
          </w:p>
        </w:tc>
        <w:tc>
          <w:tcPr>
            <w:tcW w:w="58" w:type="pct"/>
          </w:tcPr>
          <w:p w14:paraId="37A36777"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75932D8D" w14:textId="7A1D98B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(-3.426)</w:t>
            </w:r>
          </w:p>
        </w:tc>
        <w:tc>
          <w:tcPr>
            <w:tcW w:w="324" w:type="pct"/>
          </w:tcPr>
          <w:p w14:paraId="2A475FD4" w14:textId="5C791FF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(-3.513)</w:t>
            </w:r>
          </w:p>
        </w:tc>
        <w:tc>
          <w:tcPr>
            <w:tcW w:w="324" w:type="pct"/>
          </w:tcPr>
          <w:p w14:paraId="18BB5295" w14:textId="2DCB2A8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(-3.211)</w:t>
            </w:r>
          </w:p>
        </w:tc>
        <w:tc>
          <w:tcPr>
            <w:tcW w:w="323" w:type="pct"/>
          </w:tcPr>
          <w:p w14:paraId="680F9B34" w14:textId="662A7B6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(-3.320)</w:t>
            </w:r>
          </w:p>
        </w:tc>
        <w:tc>
          <w:tcPr>
            <w:tcW w:w="324" w:type="pct"/>
          </w:tcPr>
          <w:p w14:paraId="5707465D" w14:textId="06CD889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(-3.564)</w:t>
            </w:r>
          </w:p>
        </w:tc>
        <w:tc>
          <w:tcPr>
            <w:tcW w:w="324" w:type="pct"/>
          </w:tcPr>
          <w:p w14:paraId="654C6405" w14:textId="15FD149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(-3.501)</w:t>
            </w:r>
          </w:p>
        </w:tc>
      </w:tr>
      <w:tr w:rsidR="00A3505C" w:rsidRPr="0040268F" w14:paraId="37B03B5A" w14:textId="4BDFF43B" w:rsidTr="00873FEC">
        <w:trPr>
          <w:jc w:val="center"/>
        </w:trPr>
        <w:tc>
          <w:tcPr>
            <w:tcW w:w="1010" w:type="pct"/>
          </w:tcPr>
          <w:p w14:paraId="1E1ABC05" w14:textId="54744F56"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eastAsia="DengXian" w:hAnsi="Times New Roman" w:cs="Times New Roman"/>
                <w:i/>
                <w:sz w:val="18"/>
                <w:szCs w:val="18"/>
              </w:rPr>
              <w:t>WW Index</w:t>
            </w:r>
          </w:p>
        </w:tc>
        <w:tc>
          <w:tcPr>
            <w:tcW w:w="331" w:type="pct"/>
          </w:tcPr>
          <w:p w14:paraId="02ABCC69" w14:textId="64825FF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c>
          <w:tcPr>
            <w:tcW w:w="332" w:type="pct"/>
          </w:tcPr>
          <w:p w14:paraId="13CD7B4A" w14:textId="78A91C6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0.001</w:t>
            </w:r>
          </w:p>
        </w:tc>
        <w:tc>
          <w:tcPr>
            <w:tcW w:w="332" w:type="pct"/>
          </w:tcPr>
          <w:p w14:paraId="4CFF80A1" w14:textId="0AB3EE7F"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0.023</w:t>
            </w:r>
          </w:p>
        </w:tc>
        <w:tc>
          <w:tcPr>
            <w:tcW w:w="332" w:type="pct"/>
          </w:tcPr>
          <w:p w14:paraId="00F67A8E" w14:textId="33D1257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0.003</w:t>
            </w:r>
          </w:p>
        </w:tc>
        <w:tc>
          <w:tcPr>
            <w:tcW w:w="332" w:type="pct"/>
          </w:tcPr>
          <w:p w14:paraId="0AC859CE" w14:textId="79977AA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0.042</w:t>
            </w:r>
          </w:p>
        </w:tc>
        <w:tc>
          <w:tcPr>
            <w:tcW w:w="332" w:type="pct"/>
          </w:tcPr>
          <w:p w14:paraId="4329DA80" w14:textId="434967D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0.011</w:t>
            </w:r>
          </w:p>
        </w:tc>
        <w:tc>
          <w:tcPr>
            <w:tcW w:w="58" w:type="pct"/>
          </w:tcPr>
          <w:p w14:paraId="65365528"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1DF9DB28" w14:textId="290ADC1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-0.010</w:t>
            </w:r>
          </w:p>
        </w:tc>
        <w:tc>
          <w:tcPr>
            <w:tcW w:w="324" w:type="pct"/>
          </w:tcPr>
          <w:p w14:paraId="1559528B" w14:textId="20AB0B6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-0.015</w:t>
            </w:r>
          </w:p>
        </w:tc>
        <w:tc>
          <w:tcPr>
            <w:tcW w:w="324" w:type="pct"/>
          </w:tcPr>
          <w:p w14:paraId="57261EBE" w14:textId="5CE1DB4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-0.047</w:t>
            </w:r>
          </w:p>
        </w:tc>
        <w:tc>
          <w:tcPr>
            <w:tcW w:w="323" w:type="pct"/>
          </w:tcPr>
          <w:p w14:paraId="144E4BD3" w14:textId="5FA59FE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-0.060</w:t>
            </w:r>
          </w:p>
        </w:tc>
        <w:tc>
          <w:tcPr>
            <w:tcW w:w="324" w:type="pct"/>
          </w:tcPr>
          <w:p w14:paraId="333BA87E" w14:textId="6FF4902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-0.039</w:t>
            </w:r>
          </w:p>
        </w:tc>
        <w:tc>
          <w:tcPr>
            <w:tcW w:w="324" w:type="pct"/>
          </w:tcPr>
          <w:p w14:paraId="080D702A" w14:textId="144BE2B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-0.051</w:t>
            </w:r>
          </w:p>
        </w:tc>
      </w:tr>
      <w:tr w:rsidR="00A3505C" w:rsidRPr="0040268F" w14:paraId="6D2C14C6" w14:textId="60CF6396" w:rsidTr="00873FEC">
        <w:trPr>
          <w:jc w:val="center"/>
        </w:trPr>
        <w:tc>
          <w:tcPr>
            <w:tcW w:w="1010" w:type="pct"/>
          </w:tcPr>
          <w:p w14:paraId="7EE1BB91"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34E59BA5" w14:textId="72221AE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(0.459)</w:t>
            </w:r>
          </w:p>
        </w:tc>
        <w:tc>
          <w:tcPr>
            <w:tcW w:w="332" w:type="pct"/>
          </w:tcPr>
          <w:p w14:paraId="6790C70E" w14:textId="216E90F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(0.038)</w:t>
            </w:r>
          </w:p>
        </w:tc>
        <w:tc>
          <w:tcPr>
            <w:tcW w:w="332" w:type="pct"/>
          </w:tcPr>
          <w:p w14:paraId="3831542E" w14:textId="29BC428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(0.398)</w:t>
            </w:r>
          </w:p>
        </w:tc>
        <w:tc>
          <w:tcPr>
            <w:tcW w:w="332" w:type="pct"/>
          </w:tcPr>
          <w:p w14:paraId="5777385C" w14:textId="3651E78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(0.052)</w:t>
            </w:r>
          </w:p>
        </w:tc>
        <w:tc>
          <w:tcPr>
            <w:tcW w:w="332" w:type="pct"/>
          </w:tcPr>
          <w:p w14:paraId="13B9FE7C" w14:textId="7F2AEFE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(0.631)</w:t>
            </w:r>
          </w:p>
        </w:tc>
        <w:tc>
          <w:tcPr>
            <w:tcW w:w="332" w:type="pct"/>
          </w:tcPr>
          <w:p w14:paraId="6164A573" w14:textId="2D41E83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(0.174)</w:t>
            </w:r>
          </w:p>
        </w:tc>
        <w:tc>
          <w:tcPr>
            <w:tcW w:w="58" w:type="pct"/>
          </w:tcPr>
          <w:p w14:paraId="5F2E3F5B"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79F0BAD" w14:textId="3E4574B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(-0.712)</w:t>
            </w:r>
          </w:p>
        </w:tc>
        <w:tc>
          <w:tcPr>
            <w:tcW w:w="324" w:type="pct"/>
          </w:tcPr>
          <w:p w14:paraId="0B8FC3F8" w14:textId="099AD84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(-0.984)</w:t>
            </w:r>
          </w:p>
        </w:tc>
        <w:tc>
          <w:tcPr>
            <w:tcW w:w="324" w:type="pct"/>
          </w:tcPr>
          <w:p w14:paraId="2DEEA98A" w14:textId="1468398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(-1.115)</w:t>
            </w:r>
          </w:p>
        </w:tc>
        <w:tc>
          <w:tcPr>
            <w:tcW w:w="323" w:type="pct"/>
          </w:tcPr>
          <w:p w14:paraId="7D66EE4B" w14:textId="7D73645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(-1.418)</w:t>
            </w:r>
          </w:p>
        </w:tc>
        <w:tc>
          <w:tcPr>
            <w:tcW w:w="324" w:type="pct"/>
          </w:tcPr>
          <w:p w14:paraId="505CDBB1" w14:textId="4EDDC40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(-0.914)</w:t>
            </w:r>
          </w:p>
        </w:tc>
        <w:tc>
          <w:tcPr>
            <w:tcW w:w="324" w:type="pct"/>
          </w:tcPr>
          <w:p w14:paraId="54D0D30F" w14:textId="2CB56F8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(-1.130)</w:t>
            </w:r>
          </w:p>
        </w:tc>
      </w:tr>
      <w:tr w:rsidR="00A3505C" w:rsidRPr="0040268F" w14:paraId="57D27B65" w14:textId="1AE034C5" w:rsidTr="00873FEC">
        <w:trPr>
          <w:jc w:val="center"/>
        </w:trPr>
        <w:tc>
          <w:tcPr>
            <w:tcW w:w="1010" w:type="pct"/>
          </w:tcPr>
          <w:p w14:paraId="4D3917E9" w14:textId="4CC669D5"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r w:rsidRPr="0040268F">
              <w:rPr>
                <w:rFonts w:ascii="Times New Roman" w:hAnsi="Times New Roman" w:cs="Times New Roman"/>
                <w:i/>
                <w:sz w:val="18"/>
                <w:szCs w:val="18"/>
              </w:rPr>
              <w:t>InstitutionInv</w:t>
            </w:r>
          </w:p>
        </w:tc>
        <w:tc>
          <w:tcPr>
            <w:tcW w:w="331" w:type="pct"/>
          </w:tcPr>
          <w:p w14:paraId="22571179" w14:textId="5476D03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-0.035</w:t>
            </w:r>
          </w:p>
        </w:tc>
        <w:tc>
          <w:tcPr>
            <w:tcW w:w="332" w:type="pct"/>
          </w:tcPr>
          <w:p w14:paraId="014621E8" w14:textId="6D1E8AF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-0.032</w:t>
            </w:r>
          </w:p>
        </w:tc>
        <w:tc>
          <w:tcPr>
            <w:tcW w:w="332" w:type="pct"/>
          </w:tcPr>
          <w:p w14:paraId="7A8F77AD" w14:textId="47C646C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0.012</w:t>
            </w:r>
          </w:p>
        </w:tc>
        <w:tc>
          <w:tcPr>
            <w:tcW w:w="332" w:type="pct"/>
          </w:tcPr>
          <w:p w14:paraId="6CEF231A" w14:textId="1C951AE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0.014</w:t>
            </w:r>
          </w:p>
        </w:tc>
        <w:tc>
          <w:tcPr>
            <w:tcW w:w="332" w:type="pct"/>
          </w:tcPr>
          <w:p w14:paraId="2D22A08C" w14:textId="1F36D482"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0.023</w:t>
            </w:r>
          </w:p>
        </w:tc>
        <w:tc>
          <w:tcPr>
            <w:tcW w:w="332" w:type="pct"/>
          </w:tcPr>
          <w:p w14:paraId="2475D754" w14:textId="158353F9"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0.036</w:t>
            </w:r>
          </w:p>
        </w:tc>
        <w:tc>
          <w:tcPr>
            <w:tcW w:w="58" w:type="pct"/>
          </w:tcPr>
          <w:p w14:paraId="6611E85D"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ECB29E6" w14:textId="47851A23"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c>
          <w:tcPr>
            <w:tcW w:w="324" w:type="pct"/>
          </w:tcPr>
          <w:p w14:paraId="33133618" w14:textId="5848871B"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-0.008</w:t>
            </w:r>
          </w:p>
        </w:tc>
        <w:tc>
          <w:tcPr>
            <w:tcW w:w="324" w:type="pct"/>
          </w:tcPr>
          <w:p w14:paraId="13DC16AE" w14:textId="7174013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c>
          <w:tcPr>
            <w:tcW w:w="323" w:type="pct"/>
          </w:tcPr>
          <w:p w14:paraId="2283B46F" w14:textId="0A5F2566"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0.009</w:t>
            </w:r>
          </w:p>
        </w:tc>
        <w:tc>
          <w:tcPr>
            <w:tcW w:w="324" w:type="pct"/>
          </w:tcPr>
          <w:p w14:paraId="54F8D5A3" w14:textId="7F2A771E"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0.011</w:t>
            </w:r>
          </w:p>
        </w:tc>
        <w:tc>
          <w:tcPr>
            <w:tcW w:w="324" w:type="pct"/>
          </w:tcPr>
          <w:p w14:paraId="3038759A" w14:textId="1B28BB8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0.003</w:t>
            </w:r>
          </w:p>
        </w:tc>
      </w:tr>
      <w:tr w:rsidR="00A3505C" w:rsidRPr="0040268F" w14:paraId="07F99E20" w14:textId="6B03D992" w:rsidTr="00873FEC">
        <w:trPr>
          <w:jc w:val="center"/>
        </w:trPr>
        <w:tc>
          <w:tcPr>
            <w:tcW w:w="1010" w:type="pct"/>
          </w:tcPr>
          <w:p w14:paraId="40D4AF47" w14:textId="77777777" w:rsidR="00404D95" w:rsidRPr="0040268F" w:rsidRDefault="00404D95" w:rsidP="00404D95">
            <w:pPr>
              <w:autoSpaceDE w:val="0"/>
              <w:autoSpaceDN w:val="0"/>
              <w:adjustRightInd w:val="0"/>
              <w:snapToGrid w:val="0"/>
              <w:spacing w:after="0" w:line="240" w:lineRule="auto"/>
              <w:rPr>
                <w:rFonts w:ascii="Times New Roman" w:hAnsi="Times New Roman" w:cs="Times New Roman"/>
                <w:i/>
                <w:sz w:val="18"/>
                <w:szCs w:val="18"/>
              </w:rPr>
            </w:pPr>
          </w:p>
        </w:tc>
        <w:tc>
          <w:tcPr>
            <w:tcW w:w="331" w:type="pct"/>
          </w:tcPr>
          <w:p w14:paraId="3A550B9D" w14:textId="6A393BA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(-1.471)</w:t>
            </w:r>
          </w:p>
        </w:tc>
        <w:tc>
          <w:tcPr>
            <w:tcW w:w="332" w:type="pct"/>
          </w:tcPr>
          <w:p w14:paraId="6BAB5130" w14:textId="30B1E7A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(-1.359)</w:t>
            </w:r>
          </w:p>
        </w:tc>
        <w:tc>
          <w:tcPr>
            <w:tcW w:w="332" w:type="pct"/>
          </w:tcPr>
          <w:p w14:paraId="26567F66" w14:textId="3410F325"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(0.288)</w:t>
            </w:r>
          </w:p>
        </w:tc>
        <w:tc>
          <w:tcPr>
            <w:tcW w:w="332" w:type="pct"/>
          </w:tcPr>
          <w:p w14:paraId="5F622154" w14:textId="094CA77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(0.350)</w:t>
            </w:r>
          </w:p>
        </w:tc>
        <w:tc>
          <w:tcPr>
            <w:tcW w:w="332" w:type="pct"/>
          </w:tcPr>
          <w:p w14:paraId="52A572F9" w14:textId="5CC2201A"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(0.491)</w:t>
            </w:r>
          </w:p>
        </w:tc>
        <w:tc>
          <w:tcPr>
            <w:tcW w:w="332" w:type="pct"/>
          </w:tcPr>
          <w:p w14:paraId="3038A408" w14:textId="1E56806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(0.760)</w:t>
            </w:r>
          </w:p>
        </w:tc>
        <w:tc>
          <w:tcPr>
            <w:tcW w:w="58" w:type="pct"/>
          </w:tcPr>
          <w:p w14:paraId="310FBDE7" w14:textId="7777777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6A8313C1" w14:textId="04AEE6D0"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(-0.732)</w:t>
            </w:r>
          </w:p>
        </w:tc>
        <w:tc>
          <w:tcPr>
            <w:tcW w:w="324" w:type="pct"/>
          </w:tcPr>
          <w:p w14:paraId="4199C90D" w14:textId="44D978F4"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(-0.665)</w:t>
            </w:r>
          </w:p>
        </w:tc>
        <w:tc>
          <w:tcPr>
            <w:tcW w:w="324" w:type="pct"/>
          </w:tcPr>
          <w:p w14:paraId="5CB245CD" w14:textId="6601F5BD"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(0.362)</w:t>
            </w:r>
          </w:p>
        </w:tc>
        <w:tc>
          <w:tcPr>
            <w:tcW w:w="323" w:type="pct"/>
          </w:tcPr>
          <w:p w14:paraId="6DADE5F8" w14:textId="743D5057"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(0.363)</w:t>
            </w:r>
          </w:p>
        </w:tc>
        <w:tc>
          <w:tcPr>
            <w:tcW w:w="324" w:type="pct"/>
          </w:tcPr>
          <w:p w14:paraId="7BCCDEC8" w14:textId="6F3FFD08"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(0.406)</w:t>
            </w:r>
          </w:p>
        </w:tc>
        <w:tc>
          <w:tcPr>
            <w:tcW w:w="324" w:type="pct"/>
          </w:tcPr>
          <w:p w14:paraId="4296ED99" w14:textId="04DB1D9C" w:rsidR="00404D95" w:rsidRPr="0040268F" w:rsidRDefault="00404D95" w:rsidP="00404D95">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(0.125)</w:t>
            </w:r>
          </w:p>
        </w:tc>
      </w:tr>
      <w:tr w:rsidR="00A3505C" w:rsidRPr="0040268F" w14:paraId="35CC86D8" w14:textId="77777777" w:rsidTr="00873FEC">
        <w:trPr>
          <w:jc w:val="center"/>
        </w:trPr>
        <w:tc>
          <w:tcPr>
            <w:tcW w:w="1010" w:type="pct"/>
          </w:tcPr>
          <w:p w14:paraId="5EB2BFB8" w14:textId="372CEA49" w:rsidR="00541514" w:rsidRPr="0040268F" w:rsidRDefault="00541514" w:rsidP="00541514">
            <w:pPr>
              <w:autoSpaceDE w:val="0"/>
              <w:autoSpaceDN w:val="0"/>
              <w:adjustRightInd w:val="0"/>
              <w:snapToGrid w:val="0"/>
              <w:spacing w:after="0" w:line="240" w:lineRule="auto"/>
              <w:rPr>
                <w:rFonts w:ascii="Times New Roman" w:hAnsi="Times New Roman" w:cs="Times New Roman"/>
                <w:i/>
                <w:iCs/>
                <w:sz w:val="18"/>
                <w:szCs w:val="18"/>
              </w:rPr>
            </w:pPr>
            <w:r w:rsidRPr="0040268F">
              <w:rPr>
                <w:rFonts w:ascii="Times New Roman" w:eastAsia="DengXian" w:hAnsi="Times New Roman" w:cs="Times New Roman"/>
                <w:i/>
                <w:sz w:val="18"/>
                <w:szCs w:val="18"/>
              </w:rPr>
              <w:t>Inverse Mills Ratio1</w:t>
            </w:r>
          </w:p>
        </w:tc>
        <w:tc>
          <w:tcPr>
            <w:tcW w:w="331" w:type="pct"/>
          </w:tcPr>
          <w:p w14:paraId="0A71D694"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4C41B259"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0F63DE3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0550D4AD"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08FBAB85" w14:textId="7EF2264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0.036</w:t>
            </w:r>
          </w:p>
        </w:tc>
        <w:tc>
          <w:tcPr>
            <w:tcW w:w="332" w:type="pct"/>
          </w:tcPr>
          <w:p w14:paraId="39EFC969"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58" w:type="pct"/>
          </w:tcPr>
          <w:p w14:paraId="3F0E8E8C"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C7F5CB0"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2D139EE2"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64C320DC"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CD0932E"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58AB1DD5" w14:textId="1F8C48B2"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0.036**</w:t>
            </w:r>
          </w:p>
        </w:tc>
        <w:tc>
          <w:tcPr>
            <w:tcW w:w="324" w:type="pct"/>
          </w:tcPr>
          <w:p w14:paraId="37A45137"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r>
      <w:tr w:rsidR="00A3505C" w:rsidRPr="0040268F" w14:paraId="66422F8C" w14:textId="77777777" w:rsidTr="00873FEC">
        <w:trPr>
          <w:jc w:val="center"/>
        </w:trPr>
        <w:tc>
          <w:tcPr>
            <w:tcW w:w="1010" w:type="pct"/>
          </w:tcPr>
          <w:p w14:paraId="14104F3F" w14:textId="77777777" w:rsidR="00541514" w:rsidRPr="0040268F" w:rsidRDefault="00541514" w:rsidP="00541514">
            <w:pPr>
              <w:autoSpaceDE w:val="0"/>
              <w:autoSpaceDN w:val="0"/>
              <w:adjustRightInd w:val="0"/>
              <w:snapToGrid w:val="0"/>
              <w:spacing w:after="0" w:line="240" w:lineRule="auto"/>
              <w:rPr>
                <w:rFonts w:ascii="Times New Roman" w:hAnsi="Times New Roman" w:cs="Times New Roman"/>
                <w:i/>
                <w:iCs/>
                <w:sz w:val="18"/>
                <w:szCs w:val="18"/>
              </w:rPr>
            </w:pPr>
          </w:p>
        </w:tc>
        <w:tc>
          <w:tcPr>
            <w:tcW w:w="331" w:type="pct"/>
          </w:tcPr>
          <w:p w14:paraId="50BCD50A"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7745C077"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49F57B4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69876247"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09D237EE" w14:textId="2AB3663C"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(0.817)</w:t>
            </w:r>
          </w:p>
        </w:tc>
        <w:tc>
          <w:tcPr>
            <w:tcW w:w="332" w:type="pct"/>
          </w:tcPr>
          <w:p w14:paraId="60B85BC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58" w:type="pct"/>
          </w:tcPr>
          <w:p w14:paraId="1BA5FBF3"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49BF492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4A665FFE"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547D72A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6BA479A2"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1FDB3D8E" w14:textId="63CD9553"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(2.183)</w:t>
            </w:r>
          </w:p>
        </w:tc>
        <w:tc>
          <w:tcPr>
            <w:tcW w:w="324" w:type="pct"/>
          </w:tcPr>
          <w:p w14:paraId="38D5343F"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r>
      <w:tr w:rsidR="00A3505C" w:rsidRPr="0040268F" w14:paraId="5B88FCE3" w14:textId="77777777" w:rsidTr="00873FEC">
        <w:trPr>
          <w:jc w:val="center"/>
        </w:trPr>
        <w:tc>
          <w:tcPr>
            <w:tcW w:w="1010" w:type="pct"/>
          </w:tcPr>
          <w:p w14:paraId="771CF356" w14:textId="5124C790" w:rsidR="00541514" w:rsidRPr="0040268F" w:rsidRDefault="00541514" w:rsidP="00541514">
            <w:pPr>
              <w:autoSpaceDE w:val="0"/>
              <w:autoSpaceDN w:val="0"/>
              <w:adjustRightInd w:val="0"/>
              <w:snapToGrid w:val="0"/>
              <w:spacing w:after="0" w:line="240" w:lineRule="auto"/>
              <w:rPr>
                <w:rFonts w:ascii="Times New Roman" w:hAnsi="Times New Roman" w:cs="Times New Roman"/>
                <w:i/>
                <w:iCs/>
                <w:sz w:val="18"/>
                <w:szCs w:val="18"/>
              </w:rPr>
            </w:pPr>
            <w:r w:rsidRPr="0040268F">
              <w:rPr>
                <w:rFonts w:ascii="Times New Roman" w:eastAsia="DengXian" w:hAnsi="Times New Roman" w:cs="Times New Roman"/>
                <w:i/>
                <w:sz w:val="18"/>
                <w:szCs w:val="18"/>
              </w:rPr>
              <w:t>Inverse Mills Ratio2</w:t>
            </w:r>
          </w:p>
        </w:tc>
        <w:tc>
          <w:tcPr>
            <w:tcW w:w="331" w:type="pct"/>
          </w:tcPr>
          <w:p w14:paraId="2CB0267A"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7CC0D016"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0BFBDDEC"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587D5903"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5BCC9D5B"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53BDA105" w14:textId="3F65C9C3"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0.029</w:t>
            </w:r>
          </w:p>
        </w:tc>
        <w:tc>
          <w:tcPr>
            <w:tcW w:w="58" w:type="pct"/>
          </w:tcPr>
          <w:p w14:paraId="2CD72B69"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5A938E1"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57F7F27E"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5E1EB50C"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B146F11"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39F5B39F"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21F8A970" w14:textId="60E687FD"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-0.042**</w:t>
            </w:r>
          </w:p>
        </w:tc>
      </w:tr>
      <w:tr w:rsidR="00A3505C" w:rsidRPr="0040268F" w14:paraId="77391DB9" w14:textId="77777777" w:rsidTr="00873FEC">
        <w:trPr>
          <w:jc w:val="center"/>
        </w:trPr>
        <w:tc>
          <w:tcPr>
            <w:tcW w:w="1010" w:type="pct"/>
          </w:tcPr>
          <w:p w14:paraId="4781821A" w14:textId="77777777" w:rsidR="00541514" w:rsidRPr="0040268F" w:rsidRDefault="00541514" w:rsidP="00541514">
            <w:pPr>
              <w:autoSpaceDE w:val="0"/>
              <w:autoSpaceDN w:val="0"/>
              <w:adjustRightInd w:val="0"/>
              <w:snapToGrid w:val="0"/>
              <w:spacing w:after="0" w:line="240" w:lineRule="auto"/>
              <w:rPr>
                <w:rFonts w:ascii="Times New Roman" w:hAnsi="Times New Roman" w:cs="Times New Roman"/>
                <w:i/>
                <w:iCs/>
                <w:sz w:val="18"/>
                <w:szCs w:val="18"/>
              </w:rPr>
            </w:pPr>
          </w:p>
        </w:tc>
        <w:tc>
          <w:tcPr>
            <w:tcW w:w="331" w:type="pct"/>
          </w:tcPr>
          <w:p w14:paraId="4E68ECEC"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2A55EC88"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3D5FEC3B"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23F67092"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40496269"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32" w:type="pct"/>
          </w:tcPr>
          <w:p w14:paraId="5A513A06" w14:textId="3EFA1FFF"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(0.649)</w:t>
            </w:r>
          </w:p>
        </w:tc>
        <w:tc>
          <w:tcPr>
            <w:tcW w:w="58" w:type="pct"/>
          </w:tcPr>
          <w:p w14:paraId="792BD6E3"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1DFB316"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1DE606C5"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1C9E7AC0"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06D7E0A9"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22D25CC2" w14:textId="77777777"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p>
        </w:tc>
        <w:tc>
          <w:tcPr>
            <w:tcW w:w="324" w:type="pct"/>
          </w:tcPr>
          <w:p w14:paraId="7B3D3C24" w14:textId="06FBD1E6" w:rsidR="00541514" w:rsidRPr="0040268F" w:rsidRDefault="00541514" w:rsidP="00541514">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(-2.061)</w:t>
            </w:r>
          </w:p>
        </w:tc>
      </w:tr>
      <w:tr w:rsidR="00A3505C" w:rsidRPr="0040268F" w14:paraId="185DA6B6" w14:textId="0077BEE8" w:rsidTr="00873FEC">
        <w:trPr>
          <w:jc w:val="center"/>
        </w:trPr>
        <w:tc>
          <w:tcPr>
            <w:tcW w:w="1010" w:type="pct"/>
          </w:tcPr>
          <w:p w14:paraId="0A3C4552" w14:textId="0E62877F" w:rsidR="008400DA" w:rsidRPr="0040268F" w:rsidRDefault="008400DA" w:rsidP="008400DA">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Industry FE</w:t>
            </w:r>
          </w:p>
        </w:tc>
        <w:tc>
          <w:tcPr>
            <w:tcW w:w="331" w:type="pct"/>
          </w:tcPr>
          <w:p w14:paraId="453C0B45" w14:textId="0E5D9308"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2B891D8D" w14:textId="10CA88D0"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463F68A3" w14:textId="2DC82F78"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099E1AD2" w14:textId="223FB9BC"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1177A975" w14:textId="64ABEFD8"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36ACA5B3" w14:textId="6C6B5053"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58" w:type="pct"/>
          </w:tcPr>
          <w:p w14:paraId="391A7F89" w14:textId="7777777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D16BDBA" w14:textId="06E420DD"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5C795931" w14:textId="6C02564C"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3649EA94" w14:textId="520FD840"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3" w:type="pct"/>
          </w:tcPr>
          <w:p w14:paraId="26F1C0ED" w14:textId="3794877A"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3B0D5263" w14:textId="1EBCE0BE"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0800FE8B" w14:textId="1A4B60C8"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r>
      <w:tr w:rsidR="00A3505C" w:rsidRPr="0040268F" w14:paraId="3B2F62A0" w14:textId="00B3FF9E" w:rsidTr="00873FEC">
        <w:trPr>
          <w:jc w:val="center"/>
        </w:trPr>
        <w:tc>
          <w:tcPr>
            <w:tcW w:w="1010" w:type="pct"/>
          </w:tcPr>
          <w:p w14:paraId="47D3C799" w14:textId="3466E43D" w:rsidR="008400DA" w:rsidRPr="0040268F" w:rsidRDefault="008400DA" w:rsidP="008400DA">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Region FE</w:t>
            </w:r>
          </w:p>
        </w:tc>
        <w:tc>
          <w:tcPr>
            <w:tcW w:w="331" w:type="pct"/>
          </w:tcPr>
          <w:p w14:paraId="229D1F76" w14:textId="36DE57F3"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00CCB468" w14:textId="44EF4A69"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4831B8A5" w14:textId="73D1D40D"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36857AFE" w14:textId="01C531A0"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39CC3A8A" w14:textId="331D124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6AEE98EC" w14:textId="6BF5731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58" w:type="pct"/>
          </w:tcPr>
          <w:p w14:paraId="52B45177" w14:textId="7777777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5E6D78F0" w14:textId="78CD66D2"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28C57BE9" w14:textId="30B59992"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2D2E9583" w14:textId="44E7DF20"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3" w:type="pct"/>
          </w:tcPr>
          <w:p w14:paraId="4280302A" w14:textId="581E1615"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2D746916" w14:textId="4F06A6F3"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1461FAE3" w14:textId="58CC91AD"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r>
      <w:tr w:rsidR="00A3505C" w:rsidRPr="0040268F" w14:paraId="07A2109B" w14:textId="5F55BF0E" w:rsidTr="00873FEC">
        <w:trPr>
          <w:jc w:val="center"/>
        </w:trPr>
        <w:tc>
          <w:tcPr>
            <w:tcW w:w="1010" w:type="pct"/>
          </w:tcPr>
          <w:p w14:paraId="548B518A" w14:textId="77777777" w:rsidR="008400DA" w:rsidRPr="0040268F" w:rsidRDefault="008400DA" w:rsidP="008400DA">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Year FE</w:t>
            </w:r>
          </w:p>
        </w:tc>
        <w:tc>
          <w:tcPr>
            <w:tcW w:w="331" w:type="pct"/>
          </w:tcPr>
          <w:p w14:paraId="7FC40E85" w14:textId="6C66FB66"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1F6DFA08" w14:textId="31FC52CE"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591DC62B" w14:textId="293E7CEB"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6648417A" w14:textId="6F874A3D"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7D04C7B3" w14:textId="738138BB"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3B6E0AD3" w14:textId="25950C7E"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58" w:type="pct"/>
          </w:tcPr>
          <w:p w14:paraId="27ECDE84" w14:textId="7777777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205E6B09" w14:textId="2AE68E4E"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613D06B8" w14:textId="14D88916"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5FEF3ABE" w14:textId="0E679A3B"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3" w:type="pct"/>
          </w:tcPr>
          <w:p w14:paraId="6F4F3C84" w14:textId="1541F767"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793A25E8" w14:textId="4D3F8E85"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23BC227A" w14:textId="3AFD7C74" w:rsidR="008400DA" w:rsidRPr="0040268F" w:rsidRDefault="008400DA" w:rsidP="008400D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r>
      <w:tr w:rsidR="00A3505C" w:rsidRPr="0040268F" w14:paraId="77514811" w14:textId="0D7E860D" w:rsidTr="00873FEC">
        <w:trPr>
          <w:jc w:val="center"/>
        </w:trPr>
        <w:tc>
          <w:tcPr>
            <w:tcW w:w="1010" w:type="pct"/>
          </w:tcPr>
          <w:p w14:paraId="4D4D5C32" w14:textId="6AA624D3" w:rsidR="00495A3A" w:rsidRPr="0040268F" w:rsidRDefault="00495A3A" w:rsidP="00495A3A">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Entropy Balanced</w:t>
            </w:r>
          </w:p>
        </w:tc>
        <w:tc>
          <w:tcPr>
            <w:tcW w:w="331" w:type="pct"/>
          </w:tcPr>
          <w:p w14:paraId="2BD6CA4C" w14:textId="3580C579"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No</w:t>
            </w:r>
          </w:p>
        </w:tc>
        <w:tc>
          <w:tcPr>
            <w:tcW w:w="332" w:type="pct"/>
          </w:tcPr>
          <w:p w14:paraId="6A1BA12B" w14:textId="1926CEBB"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No</w:t>
            </w:r>
          </w:p>
        </w:tc>
        <w:tc>
          <w:tcPr>
            <w:tcW w:w="332" w:type="pct"/>
          </w:tcPr>
          <w:p w14:paraId="4102ED7A" w14:textId="1735D633"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285D28A7" w14:textId="07672BE3"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18ED6583" w14:textId="1C0B5046"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32" w:type="pct"/>
          </w:tcPr>
          <w:p w14:paraId="665C1A12" w14:textId="791358BB"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58" w:type="pct"/>
          </w:tcPr>
          <w:p w14:paraId="50891A1F" w14:textId="77777777"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76610951" w14:textId="49100F35"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No</w:t>
            </w:r>
          </w:p>
        </w:tc>
        <w:tc>
          <w:tcPr>
            <w:tcW w:w="324" w:type="pct"/>
          </w:tcPr>
          <w:p w14:paraId="03AF4E08" w14:textId="08243D1F"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No</w:t>
            </w:r>
          </w:p>
        </w:tc>
        <w:tc>
          <w:tcPr>
            <w:tcW w:w="324" w:type="pct"/>
          </w:tcPr>
          <w:p w14:paraId="2D4F33FE" w14:textId="71499212"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3" w:type="pct"/>
          </w:tcPr>
          <w:p w14:paraId="029DA679" w14:textId="2E75A524"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53143657" w14:textId="724D1F6E"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c>
          <w:tcPr>
            <w:tcW w:w="324" w:type="pct"/>
          </w:tcPr>
          <w:p w14:paraId="49E94896" w14:textId="13BBB87F" w:rsidR="00495A3A" w:rsidRPr="0040268F" w:rsidRDefault="00495A3A" w:rsidP="00495A3A">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Yes</w:t>
            </w:r>
          </w:p>
        </w:tc>
      </w:tr>
      <w:tr w:rsidR="00A3505C" w:rsidRPr="0040268F" w14:paraId="31A58343" w14:textId="37832012" w:rsidTr="00873FEC">
        <w:trPr>
          <w:trHeight w:val="80"/>
          <w:jc w:val="center"/>
        </w:trPr>
        <w:tc>
          <w:tcPr>
            <w:tcW w:w="1010" w:type="pct"/>
          </w:tcPr>
          <w:p w14:paraId="6F63B684" w14:textId="5FCA79B4" w:rsidR="00751741" w:rsidRPr="0040268F" w:rsidRDefault="00751741" w:rsidP="00751741">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Observations</w:t>
            </w:r>
          </w:p>
        </w:tc>
        <w:tc>
          <w:tcPr>
            <w:tcW w:w="331" w:type="pct"/>
          </w:tcPr>
          <w:p w14:paraId="5F5DC63C" w14:textId="71D14F98"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32" w:type="pct"/>
          </w:tcPr>
          <w:p w14:paraId="2B8AD55F" w14:textId="1C8130B6"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32" w:type="pct"/>
          </w:tcPr>
          <w:p w14:paraId="082874BB" w14:textId="7A6C5327"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32" w:type="pct"/>
          </w:tcPr>
          <w:p w14:paraId="1312EDE6" w14:textId="42C20C66"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32" w:type="pct"/>
          </w:tcPr>
          <w:p w14:paraId="583D3A5D" w14:textId="42BF07F5"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20,422</w:t>
            </w:r>
          </w:p>
        </w:tc>
        <w:tc>
          <w:tcPr>
            <w:tcW w:w="332" w:type="pct"/>
          </w:tcPr>
          <w:p w14:paraId="3FF4E943" w14:textId="0211CF7F"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20,429</w:t>
            </w:r>
          </w:p>
        </w:tc>
        <w:tc>
          <w:tcPr>
            <w:tcW w:w="58" w:type="pct"/>
          </w:tcPr>
          <w:p w14:paraId="4986A25D" w14:textId="77777777"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Pr>
          <w:p w14:paraId="177C5B58" w14:textId="1ED1F0C4"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24" w:type="pct"/>
          </w:tcPr>
          <w:p w14:paraId="18C8F90A" w14:textId="7A0114CB"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24" w:type="pct"/>
          </w:tcPr>
          <w:p w14:paraId="40EF3B1F" w14:textId="1687A0F7"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23" w:type="pct"/>
          </w:tcPr>
          <w:p w14:paraId="7E0A4E7B" w14:textId="6C36E8E3"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25,069</w:t>
            </w:r>
          </w:p>
        </w:tc>
        <w:tc>
          <w:tcPr>
            <w:tcW w:w="324" w:type="pct"/>
          </w:tcPr>
          <w:p w14:paraId="0DBE5A1C" w14:textId="11913F68"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20,422</w:t>
            </w:r>
          </w:p>
        </w:tc>
        <w:tc>
          <w:tcPr>
            <w:tcW w:w="324" w:type="pct"/>
          </w:tcPr>
          <w:p w14:paraId="3D302B24" w14:textId="0C3A44D6"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20,429</w:t>
            </w:r>
          </w:p>
        </w:tc>
      </w:tr>
      <w:tr w:rsidR="00A3505C" w:rsidRPr="0040268F" w14:paraId="113DB025" w14:textId="2E5924D7" w:rsidTr="00873FEC">
        <w:trPr>
          <w:jc w:val="center"/>
        </w:trPr>
        <w:tc>
          <w:tcPr>
            <w:tcW w:w="1010" w:type="pct"/>
            <w:tcBorders>
              <w:bottom w:val="single" w:sz="4" w:space="0" w:color="auto"/>
            </w:tcBorders>
          </w:tcPr>
          <w:p w14:paraId="35A9659A" w14:textId="778F1271" w:rsidR="00751741" w:rsidRPr="0040268F" w:rsidRDefault="00751741" w:rsidP="00751741">
            <w:pPr>
              <w:autoSpaceDE w:val="0"/>
              <w:autoSpaceDN w:val="0"/>
              <w:adjustRightInd w:val="0"/>
              <w:snapToGrid w:val="0"/>
              <w:spacing w:after="0" w:line="240" w:lineRule="auto"/>
              <w:rPr>
                <w:rFonts w:ascii="Times New Roman" w:hAnsi="Times New Roman" w:cs="Times New Roman"/>
                <w:sz w:val="18"/>
                <w:szCs w:val="18"/>
              </w:rPr>
            </w:pPr>
            <w:r w:rsidRPr="0040268F">
              <w:rPr>
                <w:rFonts w:ascii="Times New Roman" w:hAnsi="Times New Roman" w:cs="Times New Roman"/>
                <w:sz w:val="18"/>
                <w:szCs w:val="18"/>
              </w:rPr>
              <w:t>Adjusted R</w:t>
            </w:r>
            <w:r w:rsidRPr="0040268F">
              <w:rPr>
                <w:rFonts w:ascii="Times New Roman" w:hAnsi="Times New Roman" w:cs="Times New Roman"/>
                <w:sz w:val="18"/>
                <w:szCs w:val="18"/>
                <w:vertAlign w:val="superscript"/>
              </w:rPr>
              <w:t>2</w:t>
            </w:r>
          </w:p>
        </w:tc>
        <w:tc>
          <w:tcPr>
            <w:tcW w:w="331" w:type="pct"/>
            <w:tcBorders>
              <w:bottom w:val="single" w:sz="4" w:space="0" w:color="auto"/>
            </w:tcBorders>
          </w:tcPr>
          <w:p w14:paraId="3EAB8AA1" w14:textId="622D6F5B"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0.202</w:t>
            </w:r>
          </w:p>
        </w:tc>
        <w:tc>
          <w:tcPr>
            <w:tcW w:w="332" w:type="pct"/>
            <w:tcBorders>
              <w:bottom w:val="single" w:sz="4" w:space="0" w:color="auto"/>
            </w:tcBorders>
          </w:tcPr>
          <w:p w14:paraId="55F2197B" w14:textId="548D3D53"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0.201</w:t>
            </w:r>
          </w:p>
        </w:tc>
        <w:tc>
          <w:tcPr>
            <w:tcW w:w="332" w:type="pct"/>
            <w:tcBorders>
              <w:bottom w:val="single" w:sz="4" w:space="0" w:color="auto"/>
            </w:tcBorders>
          </w:tcPr>
          <w:p w14:paraId="43C8591A" w14:textId="64287DC6"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0.219</w:t>
            </w:r>
          </w:p>
        </w:tc>
        <w:tc>
          <w:tcPr>
            <w:tcW w:w="332" w:type="pct"/>
            <w:tcBorders>
              <w:bottom w:val="single" w:sz="4" w:space="0" w:color="auto"/>
            </w:tcBorders>
          </w:tcPr>
          <w:p w14:paraId="780F16FB" w14:textId="1819C2F4"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0.217</w:t>
            </w:r>
          </w:p>
        </w:tc>
        <w:tc>
          <w:tcPr>
            <w:tcW w:w="332" w:type="pct"/>
            <w:tcBorders>
              <w:bottom w:val="single" w:sz="4" w:space="0" w:color="auto"/>
            </w:tcBorders>
          </w:tcPr>
          <w:p w14:paraId="75F18188" w14:textId="79B64B40"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0.227</w:t>
            </w:r>
          </w:p>
        </w:tc>
        <w:tc>
          <w:tcPr>
            <w:tcW w:w="332" w:type="pct"/>
            <w:tcBorders>
              <w:bottom w:val="single" w:sz="4" w:space="0" w:color="auto"/>
            </w:tcBorders>
          </w:tcPr>
          <w:p w14:paraId="4D034367" w14:textId="6738A20B"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0.225</w:t>
            </w:r>
          </w:p>
        </w:tc>
        <w:tc>
          <w:tcPr>
            <w:tcW w:w="58" w:type="pct"/>
            <w:tcBorders>
              <w:bottom w:val="single" w:sz="4" w:space="0" w:color="auto"/>
            </w:tcBorders>
          </w:tcPr>
          <w:p w14:paraId="23CCC1EE" w14:textId="77777777"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p>
        </w:tc>
        <w:tc>
          <w:tcPr>
            <w:tcW w:w="323" w:type="pct"/>
            <w:tcBorders>
              <w:bottom w:val="single" w:sz="4" w:space="0" w:color="auto"/>
            </w:tcBorders>
          </w:tcPr>
          <w:p w14:paraId="347B041D" w14:textId="7BA3B2D4"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0.197</w:t>
            </w:r>
          </w:p>
        </w:tc>
        <w:tc>
          <w:tcPr>
            <w:tcW w:w="324" w:type="pct"/>
            <w:tcBorders>
              <w:bottom w:val="single" w:sz="4" w:space="0" w:color="auto"/>
            </w:tcBorders>
          </w:tcPr>
          <w:p w14:paraId="6E598A33" w14:textId="5AF4EF9C"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0.192</w:t>
            </w:r>
          </w:p>
        </w:tc>
        <w:tc>
          <w:tcPr>
            <w:tcW w:w="324" w:type="pct"/>
            <w:tcBorders>
              <w:bottom w:val="single" w:sz="4" w:space="0" w:color="auto"/>
            </w:tcBorders>
          </w:tcPr>
          <w:p w14:paraId="598F55B8" w14:textId="01991F6C"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0.217</w:t>
            </w:r>
          </w:p>
        </w:tc>
        <w:tc>
          <w:tcPr>
            <w:tcW w:w="323" w:type="pct"/>
            <w:tcBorders>
              <w:bottom w:val="single" w:sz="4" w:space="0" w:color="auto"/>
            </w:tcBorders>
          </w:tcPr>
          <w:p w14:paraId="43639703" w14:textId="6A572D5A"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0.209</w:t>
            </w:r>
          </w:p>
        </w:tc>
        <w:tc>
          <w:tcPr>
            <w:tcW w:w="324" w:type="pct"/>
            <w:tcBorders>
              <w:bottom w:val="single" w:sz="4" w:space="0" w:color="auto"/>
            </w:tcBorders>
          </w:tcPr>
          <w:p w14:paraId="02E3EE38" w14:textId="2D73BB9A"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0.234</w:t>
            </w:r>
          </w:p>
        </w:tc>
        <w:tc>
          <w:tcPr>
            <w:tcW w:w="324" w:type="pct"/>
            <w:tcBorders>
              <w:bottom w:val="single" w:sz="4" w:space="0" w:color="auto"/>
            </w:tcBorders>
          </w:tcPr>
          <w:p w14:paraId="7B555D93" w14:textId="4BF0C315" w:rsidR="00751741" w:rsidRPr="0040268F" w:rsidRDefault="00751741" w:rsidP="00751741">
            <w:pPr>
              <w:autoSpaceDE w:val="0"/>
              <w:autoSpaceDN w:val="0"/>
              <w:adjustRightInd w:val="0"/>
              <w:snapToGrid w:val="0"/>
              <w:spacing w:after="0" w:line="240" w:lineRule="auto"/>
              <w:jc w:val="center"/>
              <w:rPr>
                <w:rFonts w:ascii="Times New Roman" w:hAnsi="Times New Roman" w:cs="Times New Roman"/>
                <w:sz w:val="18"/>
                <w:szCs w:val="18"/>
              </w:rPr>
            </w:pPr>
            <w:r w:rsidRPr="0040268F">
              <w:rPr>
                <w:rFonts w:ascii="Times New Roman" w:hAnsi="Times New Roman" w:cs="Times New Roman"/>
                <w:sz w:val="18"/>
                <w:szCs w:val="18"/>
              </w:rPr>
              <w:t>0.225</w:t>
            </w:r>
          </w:p>
        </w:tc>
      </w:tr>
    </w:tbl>
    <w:bookmarkEnd w:id="11"/>
    <w:p w14:paraId="411C2718" w14:textId="2C2FD0AD" w:rsidR="00FE465E" w:rsidRPr="00A3505C" w:rsidRDefault="00B26AD5" w:rsidP="007A50B5">
      <w:pPr>
        <w:adjustRightInd w:val="0"/>
        <w:snapToGrid w:val="0"/>
        <w:spacing w:before="120" w:after="0" w:line="240" w:lineRule="auto"/>
        <w:ind w:left="-340" w:right="-340"/>
        <w:jc w:val="both"/>
        <w:rPr>
          <w:rFonts w:ascii="Times New Roman" w:hAnsi="Times New Roman" w:cs="Times New Roman"/>
          <w:sz w:val="20"/>
          <w:szCs w:val="20"/>
        </w:rPr>
      </w:pPr>
      <w:r w:rsidRPr="00A3505C">
        <w:rPr>
          <w:rFonts w:ascii="Times New Roman" w:hAnsi="Times New Roman" w:cs="Times New Roman"/>
          <w:sz w:val="20"/>
          <w:szCs w:val="20"/>
        </w:rPr>
        <w:t>Note</w:t>
      </w:r>
      <w:r w:rsidR="00FC54D3" w:rsidRPr="00A3505C">
        <w:rPr>
          <w:rFonts w:ascii="Times New Roman" w:hAnsi="Times New Roman" w:cs="Times New Roman" w:hint="eastAsia"/>
          <w:sz w:val="20"/>
          <w:szCs w:val="20"/>
        </w:rPr>
        <w:t>s</w:t>
      </w:r>
      <w:r w:rsidRPr="00A3505C">
        <w:rPr>
          <w:rFonts w:ascii="Times New Roman" w:hAnsi="Times New Roman" w:cs="Times New Roman"/>
          <w:sz w:val="20"/>
          <w:szCs w:val="20"/>
        </w:rPr>
        <w:t xml:space="preserve">: </w:t>
      </w:r>
      <w:r w:rsidR="00AE64FA" w:rsidRPr="00A3505C">
        <w:rPr>
          <w:rFonts w:ascii="Times New Roman" w:hAnsi="Times New Roman" w:cs="Times New Roman"/>
          <w:sz w:val="20"/>
          <w:szCs w:val="20"/>
        </w:rPr>
        <w:t xml:space="preserve">This table reports the results of the impact of distinct strategic orientations on firms’ green revenues. </w:t>
      </w:r>
      <w:r w:rsidR="00FC54D3" w:rsidRPr="00A3505C">
        <w:rPr>
          <w:rFonts w:ascii="Times New Roman" w:hAnsi="Times New Roman" w:cs="Times New Roman"/>
          <w:sz w:val="20"/>
          <w:szCs w:val="20"/>
        </w:rPr>
        <w:t xml:space="preserve">The </w:t>
      </w:r>
      <w:r w:rsidR="00F95142" w:rsidRPr="00A3505C">
        <w:rPr>
          <w:rFonts w:ascii="Times New Roman" w:hAnsi="Times New Roman" w:cs="Times New Roman"/>
          <w:i/>
          <w:iCs/>
          <w:sz w:val="20"/>
          <w:szCs w:val="20"/>
        </w:rPr>
        <w:t xml:space="preserve">Green </w:t>
      </w:r>
      <w:r w:rsidR="003E3947" w:rsidRPr="00A3505C">
        <w:rPr>
          <w:rFonts w:ascii="Times New Roman" w:hAnsi="Times New Roman" w:cs="Times New Roman"/>
          <w:i/>
          <w:sz w:val="20"/>
          <w:szCs w:val="20"/>
        </w:rPr>
        <w:t>Revenues Dummy</w:t>
      </w:r>
      <w:r w:rsidR="00F95142" w:rsidRPr="00A3505C">
        <w:rPr>
          <w:rFonts w:ascii="Times New Roman" w:hAnsi="Times New Roman" w:cs="Times New Roman"/>
          <w:sz w:val="20"/>
          <w:szCs w:val="20"/>
        </w:rPr>
        <w:t xml:space="preserve"> represents the probability of a firm generating green revenues. </w:t>
      </w:r>
      <w:r w:rsidR="00F95142" w:rsidRPr="00A3505C">
        <w:rPr>
          <w:rFonts w:ascii="Times New Roman" w:hAnsi="Times New Roman" w:cs="Times New Roman"/>
          <w:i/>
          <w:iCs/>
          <w:sz w:val="20"/>
          <w:szCs w:val="20"/>
        </w:rPr>
        <w:t xml:space="preserve">Green </w:t>
      </w:r>
      <w:r w:rsidR="003E3947" w:rsidRPr="00A3505C">
        <w:rPr>
          <w:rFonts w:ascii="Times New Roman" w:hAnsi="Times New Roman" w:cs="Times New Roman"/>
          <w:i/>
          <w:sz w:val="20"/>
          <w:szCs w:val="20"/>
        </w:rPr>
        <w:t>Revenues</w:t>
      </w:r>
      <w:r w:rsidR="003E3947" w:rsidRPr="00A3505C">
        <w:rPr>
          <w:rFonts w:ascii="Times New Roman" w:hAnsi="Times New Roman" w:cs="Times New Roman"/>
          <w:i/>
          <w:sz w:val="20"/>
          <w:szCs w:val="20"/>
          <w:vertAlign w:val="superscript"/>
        </w:rPr>
        <w:t xml:space="preserve"> </w:t>
      </w:r>
      <w:r w:rsidR="003E3947" w:rsidRPr="00A3505C">
        <w:rPr>
          <w:rFonts w:ascii="Times New Roman" w:hAnsi="Times New Roman" w:cs="Times New Roman"/>
          <w:i/>
          <w:sz w:val="20"/>
          <w:szCs w:val="20"/>
        </w:rPr>
        <w:t>Ratio</w:t>
      </w:r>
      <w:r w:rsidR="00F95142" w:rsidRPr="00A3505C">
        <w:rPr>
          <w:rFonts w:ascii="Times New Roman" w:hAnsi="Times New Roman" w:cs="Times New Roman"/>
          <w:sz w:val="20"/>
          <w:szCs w:val="20"/>
        </w:rPr>
        <w:t xml:space="preserve"> denotes the share of a firm’s green revenues in total revenues. </w:t>
      </w:r>
      <w:r w:rsidR="00B046A9" w:rsidRPr="00A3505C">
        <w:rPr>
          <w:rFonts w:ascii="Times New Roman" w:hAnsi="Times New Roman" w:cs="Times New Roman"/>
          <w:i/>
          <w:sz w:val="20"/>
          <w:szCs w:val="20"/>
        </w:rPr>
        <w:t>Growth</w:t>
      </w:r>
      <w:r w:rsidR="00B046A9" w:rsidRPr="00A3505C">
        <w:rPr>
          <w:rFonts w:ascii="Times New Roman" w:hAnsi="Times New Roman" w:cs="Times New Roman"/>
          <w:i/>
          <w:iCs/>
          <w:sz w:val="20"/>
          <w:szCs w:val="20"/>
        </w:rPr>
        <w:t xml:space="preserve"> v. Profit and </w:t>
      </w:r>
      <w:r w:rsidR="00CE5C57" w:rsidRPr="00A3505C">
        <w:rPr>
          <w:rFonts w:ascii="Times New Roman" w:hAnsi="Times New Roman" w:cs="Times New Roman"/>
          <w:i/>
          <w:iCs/>
          <w:sz w:val="20"/>
          <w:szCs w:val="20"/>
        </w:rPr>
        <w:t>Neither-Nor</w:t>
      </w:r>
      <w:r w:rsidR="00B046A9" w:rsidRPr="00A3505C">
        <w:rPr>
          <w:rFonts w:ascii="Times New Roman" w:hAnsi="Times New Roman" w:cs="Times New Roman"/>
          <w:sz w:val="20"/>
          <w:szCs w:val="20"/>
        </w:rPr>
        <w:t xml:space="preserve"> </w:t>
      </w:r>
      <w:r w:rsidR="00F95142" w:rsidRPr="00A3505C">
        <w:rPr>
          <w:rFonts w:ascii="Times New Roman" w:hAnsi="Times New Roman" w:cs="Times New Roman"/>
          <w:sz w:val="20"/>
          <w:szCs w:val="20"/>
        </w:rPr>
        <w:t>(</w:t>
      </w:r>
      <w:r w:rsidR="00B046A9" w:rsidRPr="00A3505C">
        <w:rPr>
          <w:rFonts w:ascii="Times New Roman" w:hAnsi="Times New Roman" w:cs="Times New Roman"/>
          <w:i/>
          <w:sz w:val="20"/>
          <w:szCs w:val="20"/>
        </w:rPr>
        <w:t>Profit</w:t>
      </w:r>
      <w:r w:rsidR="00B046A9" w:rsidRPr="00A3505C">
        <w:rPr>
          <w:rFonts w:ascii="Times New Roman" w:hAnsi="Times New Roman" w:cs="Times New Roman"/>
          <w:i/>
          <w:iCs/>
          <w:sz w:val="20"/>
          <w:szCs w:val="20"/>
        </w:rPr>
        <w:t xml:space="preserve"> v. Growth and </w:t>
      </w:r>
      <w:r w:rsidR="00CE5C57" w:rsidRPr="00A3505C">
        <w:rPr>
          <w:rFonts w:ascii="Times New Roman" w:hAnsi="Times New Roman" w:cs="Times New Roman"/>
          <w:i/>
          <w:iCs/>
          <w:sz w:val="20"/>
          <w:szCs w:val="20"/>
        </w:rPr>
        <w:t>Neither-Nor</w:t>
      </w:r>
      <w:r w:rsidR="00F95142" w:rsidRPr="00A3505C">
        <w:rPr>
          <w:rFonts w:ascii="Times New Roman" w:hAnsi="Times New Roman" w:cs="Times New Roman"/>
          <w:sz w:val="20"/>
          <w:szCs w:val="20"/>
        </w:rPr>
        <w:t xml:space="preserve">) denotes firms’ growth-oriented (profit-oriented) strategies. </w:t>
      </w:r>
      <w:r w:rsidR="00AE64FA" w:rsidRPr="00A3505C">
        <w:rPr>
          <w:rFonts w:ascii="Times New Roman" w:hAnsi="Times New Roman" w:cs="Times New Roman"/>
          <w:sz w:val="20"/>
          <w:szCs w:val="20"/>
        </w:rPr>
        <w:t xml:space="preserve">Our results provide evidence that growth-oriented firms are more likely to generate and increase green revenues, while profit-oriented firms are negatively associated with </w:t>
      </w:r>
      <w:r w:rsidR="00F95142" w:rsidRPr="00A3505C">
        <w:rPr>
          <w:rFonts w:ascii="Times New Roman" w:hAnsi="Times New Roman" w:cs="Times New Roman"/>
          <w:sz w:val="20"/>
          <w:szCs w:val="20"/>
        </w:rPr>
        <w:t xml:space="preserve">green revenues. </w:t>
      </w:r>
      <w:r w:rsidR="00AE64FA" w:rsidRPr="00A3505C">
        <w:rPr>
          <w:rFonts w:ascii="Times New Roman" w:hAnsi="Times New Roman" w:cs="Times New Roman"/>
          <w:sz w:val="20"/>
          <w:szCs w:val="20"/>
        </w:rPr>
        <w:t xml:space="preserve">Appendix </w:t>
      </w:r>
      <w:r w:rsidR="00F61172" w:rsidRPr="00A3505C">
        <w:rPr>
          <w:rFonts w:ascii="Times New Roman" w:hAnsi="Times New Roman" w:cs="Times New Roman"/>
          <w:sz w:val="20"/>
          <w:szCs w:val="20"/>
        </w:rPr>
        <w:t>A</w:t>
      </w:r>
      <w:r w:rsidR="00AE64FA" w:rsidRPr="00A3505C">
        <w:rPr>
          <w:rFonts w:ascii="Times New Roman" w:hAnsi="Times New Roman" w:cs="Times New Roman"/>
          <w:sz w:val="20"/>
          <w:szCs w:val="20"/>
        </w:rPr>
        <w:t xml:space="preserve"> shows the definition of variables. The t-statistics are reported in parentheses. We adopt robust standard errors clustered at the firm level. *, **, and *** denote statistical significance at 10%, 5%, and 1% levels, respectively.</w:t>
      </w:r>
    </w:p>
    <w:p w14:paraId="12A66403" w14:textId="77777777" w:rsidR="007D1D10" w:rsidRPr="00A3505C" w:rsidRDefault="007D1D10" w:rsidP="00FA2861">
      <w:pPr>
        <w:adjustRightInd w:val="0"/>
        <w:snapToGrid w:val="0"/>
        <w:spacing w:after="0" w:line="264" w:lineRule="auto"/>
        <w:ind w:left="-284" w:right="-284"/>
        <w:jc w:val="both"/>
        <w:rPr>
          <w:rFonts w:ascii="Times New Roman" w:hAnsi="Times New Roman" w:cs="Times New Roman"/>
          <w:sz w:val="20"/>
          <w:szCs w:val="20"/>
          <w:lang w:val="en-AU"/>
        </w:rPr>
        <w:sectPr w:rsidR="007D1D10" w:rsidRPr="00A3505C" w:rsidSect="00873FEC">
          <w:pgSz w:w="16838" w:h="11906" w:orient="landscape"/>
          <w:pgMar w:top="1077" w:right="1440" w:bottom="1077" w:left="1440" w:header="709" w:footer="709" w:gutter="0"/>
          <w:cols w:space="708"/>
          <w:docGrid w:linePitch="360"/>
        </w:sectPr>
      </w:pPr>
    </w:p>
    <w:p w14:paraId="7F286813" w14:textId="63E709F7" w:rsidR="00E05994" w:rsidRPr="00A3505C" w:rsidRDefault="00440C53" w:rsidP="002B52FD">
      <w:pPr>
        <w:adjustRightInd w:val="0"/>
        <w:snapToGrid w:val="0"/>
        <w:spacing w:after="120" w:line="264" w:lineRule="auto"/>
        <w:jc w:val="center"/>
        <w:rPr>
          <w:rFonts w:ascii="Times New Roman" w:hAnsi="Times New Roman" w:cs="Times New Roman"/>
          <w:b/>
          <w:sz w:val="24"/>
          <w:szCs w:val="24"/>
        </w:rPr>
      </w:pPr>
      <w:r w:rsidRPr="00A3505C">
        <w:rPr>
          <w:rFonts w:ascii="Times New Roman" w:hAnsi="Times New Roman" w:cs="Times New Roman"/>
          <w:b/>
          <w:sz w:val="24"/>
          <w:szCs w:val="24"/>
        </w:rPr>
        <w:lastRenderedPageBreak/>
        <w:t>Table</w:t>
      </w:r>
      <w:r w:rsidR="00E46104" w:rsidRPr="00A3505C">
        <w:rPr>
          <w:rFonts w:ascii="Times New Roman" w:hAnsi="Times New Roman" w:cs="Times New Roman"/>
          <w:b/>
          <w:sz w:val="24"/>
          <w:szCs w:val="24"/>
        </w:rPr>
        <w:t xml:space="preserve"> </w:t>
      </w:r>
      <w:r w:rsidR="0066501E" w:rsidRPr="00A3505C">
        <w:rPr>
          <w:rFonts w:ascii="Times New Roman" w:hAnsi="Times New Roman" w:cs="Times New Roman"/>
          <w:b/>
          <w:bCs/>
          <w:sz w:val="24"/>
          <w:szCs w:val="24"/>
        </w:rPr>
        <w:t>5</w:t>
      </w:r>
      <w:r w:rsidR="00E46104" w:rsidRPr="00A3505C">
        <w:rPr>
          <w:rFonts w:ascii="Times New Roman" w:hAnsi="Times New Roman" w:cs="Times New Roman"/>
          <w:b/>
          <w:sz w:val="24"/>
          <w:szCs w:val="24"/>
        </w:rPr>
        <w:t xml:space="preserve">. </w:t>
      </w:r>
      <w:r w:rsidR="004563D5" w:rsidRPr="00A3505C">
        <w:rPr>
          <w:rFonts w:ascii="Times New Roman" w:hAnsi="Times New Roman" w:cs="Times New Roman"/>
          <w:b/>
          <w:sz w:val="24"/>
          <w:szCs w:val="24"/>
        </w:rPr>
        <w:t xml:space="preserve">Strategic orientations, green </w:t>
      </w:r>
      <w:r w:rsidR="00026D67" w:rsidRPr="00A3505C">
        <w:rPr>
          <w:rFonts w:ascii="Times New Roman" w:hAnsi="Times New Roman" w:cs="Times New Roman"/>
          <w:b/>
          <w:sz w:val="24"/>
          <w:szCs w:val="24"/>
        </w:rPr>
        <w:t>capabilities</w:t>
      </w:r>
      <w:r w:rsidR="004563D5" w:rsidRPr="00A3505C">
        <w:rPr>
          <w:rFonts w:ascii="Times New Roman" w:hAnsi="Times New Roman" w:cs="Times New Roman"/>
          <w:b/>
          <w:sz w:val="24"/>
          <w:szCs w:val="24"/>
        </w:rPr>
        <w:t>, and green revenues</w:t>
      </w:r>
    </w:p>
    <w:tbl>
      <w:tblPr>
        <w:tblW w:w="5000" w:type="pct"/>
        <w:jc w:val="center"/>
        <w:tblCellMar>
          <w:left w:w="75" w:type="dxa"/>
          <w:right w:w="75" w:type="dxa"/>
        </w:tblCellMar>
        <w:tblLook w:val="0000" w:firstRow="0" w:lastRow="0" w:firstColumn="0" w:lastColumn="0" w:noHBand="0" w:noVBand="0"/>
      </w:tblPr>
      <w:tblGrid>
        <w:gridCol w:w="4662"/>
        <w:gridCol w:w="1259"/>
        <w:gridCol w:w="265"/>
        <w:gridCol w:w="1223"/>
        <w:gridCol w:w="1223"/>
        <w:gridCol w:w="1226"/>
        <w:gridCol w:w="212"/>
        <w:gridCol w:w="1295"/>
        <w:gridCol w:w="1295"/>
        <w:gridCol w:w="1298"/>
      </w:tblGrid>
      <w:tr w:rsidR="00A3505C" w:rsidRPr="00A3505C" w14:paraId="5903C3A8" w14:textId="77777777" w:rsidTr="009364E5">
        <w:trPr>
          <w:jc w:val="center"/>
        </w:trPr>
        <w:tc>
          <w:tcPr>
            <w:tcW w:w="1670" w:type="pct"/>
            <w:tcBorders>
              <w:top w:val="single" w:sz="4" w:space="0" w:color="auto"/>
            </w:tcBorders>
          </w:tcPr>
          <w:p w14:paraId="70EDFDB4" w14:textId="77777777" w:rsidR="00A035DF" w:rsidRPr="00A3505C" w:rsidRDefault="00A035DF"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451" w:type="pct"/>
            <w:tcBorders>
              <w:top w:val="single" w:sz="4" w:space="0" w:color="auto"/>
              <w:bottom w:val="single" w:sz="4" w:space="0" w:color="auto"/>
            </w:tcBorders>
          </w:tcPr>
          <w:p w14:paraId="752AD374"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i/>
                <w:iCs/>
                <w:sz w:val="18"/>
                <w:szCs w:val="18"/>
              </w:rPr>
            </w:pPr>
            <w:r w:rsidRPr="00A3505C">
              <w:rPr>
                <w:rFonts w:ascii="Times New Roman" w:hAnsi="Times New Roman" w:cs="Times New Roman"/>
                <w:i/>
                <w:iCs/>
                <w:sz w:val="18"/>
                <w:szCs w:val="18"/>
              </w:rPr>
              <w:t>Green Patents</w:t>
            </w:r>
          </w:p>
        </w:tc>
        <w:tc>
          <w:tcPr>
            <w:tcW w:w="95" w:type="pct"/>
            <w:tcBorders>
              <w:top w:val="single" w:sz="4" w:space="0" w:color="auto"/>
            </w:tcBorders>
          </w:tcPr>
          <w:p w14:paraId="06FF0D18"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i/>
                <w:iCs/>
                <w:sz w:val="18"/>
                <w:szCs w:val="18"/>
              </w:rPr>
            </w:pPr>
          </w:p>
        </w:tc>
        <w:tc>
          <w:tcPr>
            <w:tcW w:w="1315" w:type="pct"/>
            <w:gridSpan w:val="3"/>
            <w:tcBorders>
              <w:top w:val="single" w:sz="4" w:space="0" w:color="auto"/>
              <w:bottom w:val="single" w:sz="4" w:space="0" w:color="auto"/>
            </w:tcBorders>
          </w:tcPr>
          <w:p w14:paraId="01A60041" w14:textId="548253F8" w:rsidR="00A035DF" w:rsidRPr="00A3505C" w:rsidRDefault="00921443" w:rsidP="009C7B47">
            <w:pPr>
              <w:autoSpaceDE w:val="0"/>
              <w:autoSpaceDN w:val="0"/>
              <w:adjustRightInd w:val="0"/>
              <w:snapToGrid w:val="0"/>
              <w:spacing w:after="0" w:line="264" w:lineRule="auto"/>
              <w:jc w:val="center"/>
              <w:rPr>
                <w:rFonts w:ascii="Times New Roman" w:hAnsi="Times New Roman" w:cs="Times New Roman"/>
                <w:i/>
                <w:iCs/>
                <w:sz w:val="18"/>
                <w:szCs w:val="18"/>
              </w:rPr>
            </w:pPr>
            <w:r w:rsidRPr="00A3505C">
              <w:rPr>
                <w:rFonts w:ascii="Times New Roman" w:hAnsi="Times New Roman" w:cs="Times New Roman"/>
                <w:i/>
                <w:iCs/>
                <w:sz w:val="18"/>
                <w:szCs w:val="18"/>
              </w:rPr>
              <w:t>Green Revenues Dummy</w:t>
            </w:r>
          </w:p>
        </w:tc>
        <w:tc>
          <w:tcPr>
            <w:tcW w:w="76" w:type="pct"/>
            <w:tcBorders>
              <w:top w:val="single" w:sz="4" w:space="0" w:color="auto"/>
            </w:tcBorders>
          </w:tcPr>
          <w:p w14:paraId="5864695F"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i/>
                <w:iCs/>
                <w:sz w:val="18"/>
                <w:szCs w:val="18"/>
              </w:rPr>
            </w:pPr>
          </w:p>
        </w:tc>
        <w:tc>
          <w:tcPr>
            <w:tcW w:w="1393" w:type="pct"/>
            <w:gridSpan w:val="3"/>
            <w:tcBorders>
              <w:top w:val="single" w:sz="4" w:space="0" w:color="auto"/>
              <w:bottom w:val="single" w:sz="4" w:space="0" w:color="auto"/>
            </w:tcBorders>
          </w:tcPr>
          <w:p w14:paraId="1F2B3E5A" w14:textId="3380748A" w:rsidR="00A035DF" w:rsidRPr="00A3505C" w:rsidRDefault="00921443"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r>
      <w:tr w:rsidR="00A3505C" w:rsidRPr="00A3505C" w14:paraId="6A386991" w14:textId="77777777" w:rsidTr="009364E5">
        <w:trPr>
          <w:jc w:val="center"/>
        </w:trPr>
        <w:tc>
          <w:tcPr>
            <w:tcW w:w="1670" w:type="pct"/>
            <w:tcBorders>
              <w:bottom w:val="single" w:sz="4" w:space="0" w:color="auto"/>
            </w:tcBorders>
          </w:tcPr>
          <w:p w14:paraId="0075F062" w14:textId="77777777" w:rsidR="00A035DF" w:rsidRPr="00A3505C" w:rsidRDefault="00A035DF" w:rsidP="009C7B47">
            <w:pPr>
              <w:autoSpaceDE w:val="0"/>
              <w:autoSpaceDN w:val="0"/>
              <w:adjustRightInd w:val="0"/>
              <w:snapToGrid w:val="0"/>
              <w:spacing w:after="0" w:line="264" w:lineRule="auto"/>
              <w:rPr>
                <w:rFonts w:ascii="Times New Roman" w:hAnsi="Times New Roman" w:cs="Times New Roman"/>
                <w:sz w:val="18"/>
                <w:szCs w:val="18"/>
              </w:rPr>
            </w:pPr>
          </w:p>
        </w:tc>
        <w:tc>
          <w:tcPr>
            <w:tcW w:w="451" w:type="pct"/>
            <w:tcBorders>
              <w:top w:val="single" w:sz="4" w:space="0" w:color="auto"/>
              <w:bottom w:val="single" w:sz="4" w:space="0" w:color="auto"/>
            </w:tcBorders>
          </w:tcPr>
          <w:p w14:paraId="479385BD"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tc>
        <w:tc>
          <w:tcPr>
            <w:tcW w:w="95" w:type="pct"/>
          </w:tcPr>
          <w:p w14:paraId="017E8EF6"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Borders>
              <w:top w:val="single" w:sz="4" w:space="0" w:color="auto"/>
              <w:bottom w:val="single" w:sz="4" w:space="0" w:color="auto"/>
            </w:tcBorders>
          </w:tcPr>
          <w:p w14:paraId="6F3F3680"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p w14:paraId="671AC31C" w14:textId="787FAB8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Borders>
              <w:top w:val="single" w:sz="4" w:space="0" w:color="auto"/>
              <w:bottom w:val="single" w:sz="4" w:space="0" w:color="auto"/>
            </w:tcBorders>
          </w:tcPr>
          <w:p w14:paraId="08BC033C"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p w14:paraId="2FD4C427" w14:textId="370700E6" w:rsidR="00A035DF" w:rsidRPr="00A3505C" w:rsidRDefault="0017211E"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More Green Innovation (</w:t>
            </w:r>
            <w:r w:rsidR="00A035DF" w:rsidRPr="00A3505C">
              <w:rPr>
                <w:rFonts w:ascii="Times New Roman" w:hAnsi="Times New Roman" w:cs="Times New Roman"/>
                <w:sz w:val="18"/>
                <w:szCs w:val="18"/>
              </w:rPr>
              <w:t xml:space="preserve">High </w:t>
            </w:r>
            <w:r w:rsidR="00A035DF" w:rsidRPr="00A3505C">
              <w:rPr>
                <w:rFonts w:ascii="Times New Roman" w:hAnsi="Times New Roman" w:cs="Times New Roman"/>
                <w:i/>
                <w:iCs/>
                <w:sz w:val="18"/>
                <w:szCs w:val="18"/>
              </w:rPr>
              <w:t>Green Patents</w:t>
            </w:r>
            <w:r w:rsidRPr="00A3505C">
              <w:rPr>
                <w:rFonts w:ascii="Times New Roman" w:hAnsi="Times New Roman" w:cs="Times New Roman"/>
                <w:sz w:val="18"/>
                <w:szCs w:val="18"/>
              </w:rPr>
              <w:t>)</w:t>
            </w:r>
          </w:p>
        </w:tc>
        <w:tc>
          <w:tcPr>
            <w:tcW w:w="439" w:type="pct"/>
            <w:tcBorders>
              <w:top w:val="single" w:sz="4" w:space="0" w:color="auto"/>
              <w:bottom w:val="single" w:sz="4" w:space="0" w:color="auto"/>
            </w:tcBorders>
          </w:tcPr>
          <w:p w14:paraId="03AF9815"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p w14:paraId="1075DE38" w14:textId="22BA48DB" w:rsidR="00A035DF" w:rsidRPr="00A3505C" w:rsidRDefault="0017211E"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Less Green Innovation (</w:t>
            </w:r>
            <w:r w:rsidR="00F66A66" w:rsidRPr="00A3505C">
              <w:rPr>
                <w:rFonts w:ascii="Times New Roman" w:hAnsi="Times New Roman" w:cs="Times New Roman"/>
                <w:sz w:val="18"/>
                <w:szCs w:val="18"/>
              </w:rPr>
              <w:t>Low</w:t>
            </w:r>
            <w:r w:rsidRPr="00A3505C">
              <w:rPr>
                <w:rFonts w:ascii="Times New Roman" w:hAnsi="Times New Roman" w:cs="Times New Roman"/>
                <w:sz w:val="18"/>
                <w:szCs w:val="18"/>
              </w:rPr>
              <w:t xml:space="preserve"> </w:t>
            </w:r>
            <w:r w:rsidRPr="00A3505C">
              <w:rPr>
                <w:rFonts w:ascii="Times New Roman" w:hAnsi="Times New Roman" w:cs="Times New Roman"/>
                <w:i/>
                <w:iCs/>
                <w:sz w:val="18"/>
                <w:szCs w:val="18"/>
              </w:rPr>
              <w:t>Green Patents</w:t>
            </w:r>
            <w:r w:rsidRPr="00A3505C">
              <w:rPr>
                <w:rFonts w:ascii="Times New Roman" w:hAnsi="Times New Roman" w:cs="Times New Roman"/>
                <w:sz w:val="18"/>
                <w:szCs w:val="18"/>
              </w:rPr>
              <w:t>)</w:t>
            </w:r>
          </w:p>
        </w:tc>
        <w:tc>
          <w:tcPr>
            <w:tcW w:w="76" w:type="pct"/>
          </w:tcPr>
          <w:p w14:paraId="14DAB9DA"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Borders>
              <w:top w:val="single" w:sz="4" w:space="0" w:color="auto"/>
              <w:bottom w:val="single" w:sz="4" w:space="0" w:color="auto"/>
            </w:tcBorders>
          </w:tcPr>
          <w:p w14:paraId="261899D1"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w:t>
            </w:r>
          </w:p>
          <w:p w14:paraId="18D1B48E" w14:textId="54E461D0"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Borders>
              <w:top w:val="single" w:sz="4" w:space="0" w:color="auto"/>
              <w:bottom w:val="single" w:sz="4" w:space="0" w:color="auto"/>
            </w:tcBorders>
          </w:tcPr>
          <w:p w14:paraId="400865F5"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w:t>
            </w:r>
          </w:p>
          <w:p w14:paraId="1D3C2E97" w14:textId="5F89B01B" w:rsidR="00A035DF" w:rsidRPr="00A3505C" w:rsidRDefault="0017211E"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More Green Innovation (High </w:t>
            </w:r>
            <w:r w:rsidRPr="00A3505C">
              <w:rPr>
                <w:rFonts w:ascii="Times New Roman" w:hAnsi="Times New Roman" w:cs="Times New Roman"/>
                <w:i/>
                <w:iCs/>
                <w:sz w:val="18"/>
                <w:szCs w:val="18"/>
              </w:rPr>
              <w:t>Green Patents</w:t>
            </w:r>
            <w:r w:rsidRPr="00A3505C">
              <w:rPr>
                <w:rFonts w:ascii="Times New Roman" w:hAnsi="Times New Roman" w:cs="Times New Roman"/>
                <w:sz w:val="18"/>
                <w:szCs w:val="18"/>
              </w:rPr>
              <w:t>)</w:t>
            </w:r>
          </w:p>
        </w:tc>
        <w:tc>
          <w:tcPr>
            <w:tcW w:w="465" w:type="pct"/>
            <w:tcBorders>
              <w:top w:val="single" w:sz="4" w:space="0" w:color="auto"/>
              <w:bottom w:val="single" w:sz="4" w:space="0" w:color="auto"/>
            </w:tcBorders>
          </w:tcPr>
          <w:p w14:paraId="1F70BAC6" w14:textId="77777777" w:rsidR="00A035DF" w:rsidRPr="00A3505C" w:rsidRDefault="00A035DF"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w:t>
            </w:r>
          </w:p>
          <w:p w14:paraId="28D40E61" w14:textId="4035DEA4" w:rsidR="00A035DF" w:rsidRPr="00A3505C" w:rsidRDefault="0017211E"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Less Green Innovation (</w:t>
            </w:r>
            <w:r w:rsidR="00F66A66" w:rsidRPr="00A3505C">
              <w:rPr>
                <w:rFonts w:ascii="Times New Roman" w:hAnsi="Times New Roman" w:cs="Times New Roman"/>
                <w:sz w:val="18"/>
                <w:szCs w:val="18"/>
              </w:rPr>
              <w:t>Low</w:t>
            </w:r>
            <w:r w:rsidRPr="00A3505C">
              <w:rPr>
                <w:rFonts w:ascii="Times New Roman" w:hAnsi="Times New Roman" w:cs="Times New Roman"/>
                <w:sz w:val="18"/>
                <w:szCs w:val="18"/>
              </w:rPr>
              <w:t xml:space="preserve"> </w:t>
            </w:r>
            <w:r w:rsidRPr="00A3505C">
              <w:rPr>
                <w:rFonts w:ascii="Times New Roman" w:hAnsi="Times New Roman" w:cs="Times New Roman"/>
                <w:i/>
                <w:iCs/>
                <w:sz w:val="18"/>
                <w:szCs w:val="18"/>
              </w:rPr>
              <w:t>Green Patents</w:t>
            </w:r>
            <w:r w:rsidRPr="00A3505C">
              <w:rPr>
                <w:rFonts w:ascii="Times New Roman" w:hAnsi="Times New Roman" w:cs="Times New Roman"/>
                <w:sz w:val="18"/>
                <w:szCs w:val="18"/>
              </w:rPr>
              <w:t>)</w:t>
            </w:r>
          </w:p>
        </w:tc>
      </w:tr>
      <w:tr w:rsidR="00A3505C" w:rsidRPr="00A3505C" w14:paraId="191F62AF" w14:textId="77777777" w:rsidTr="009364E5">
        <w:trPr>
          <w:trHeight w:val="145"/>
          <w:jc w:val="center"/>
        </w:trPr>
        <w:tc>
          <w:tcPr>
            <w:tcW w:w="1670" w:type="pct"/>
            <w:tcBorders>
              <w:top w:val="single" w:sz="4" w:space="0" w:color="auto"/>
            </w:tcBorders>
          </w:tcPr>
          <w:p w14:paraId="1136C0B6" w14:textId="3726CE47" w:rsidR="00160B6D" w:rsidRPr="00A3505C" w:rsidRDefault="00160B6D" w:rsidP="00160B6D">
            <w:pPr>
              <w:autoSpaceDE w:val="0"/>
              <w:autoSpaceDN w:val="0"/>
              <w:adjustRightInd w:val="0"/>
              <w:snapToGrid w:val="0"/>
              <w:spacing w:after="0" w:line="264" w:lineRule="auto"/>
              <w:rPr>
                <w:rFonts w:ascii="Times New Roman" w:eastAsia="DengXian" w:hAnsi="Times New Roman" w:cs="Times New Roman"/>
                <w:b/>
                <w:bCs/>
                <w:sz w:val="18"/>
                <w:szCs w:val="18"/>
              </w:rPr>
            </w:pPr>
            <w:r w:rsidRPr="00A3505C">
              <w:rPr>
                <w:rFonts w:ascii="Times New Roman" w:hAnsi="Times New Roman" w:cs="Times New Roman"/>
                <w:b/>
                <w:bCs/>
                <w:i/>
                <w:iCs/>
                <w:sz w:val="18"/>
                <w:szCs w:val="18"/>
              </w:rPr>
              <w:t xml:space="preserve">Growth v. Profit and </w:t>
            </w:r>
            <w:r w:rsidR="00CE5C57" w:rsidRPr="00A3505C">
              <w:rPr>
                <w:rFonts w:ascii="Times New Roman" w:hAnsi="Times New Roman" w:cs="Times New Roman"/>
                <w:b/>
                <w:bCs/>
                <w:i/>
                <w:iCs/>
                <w:sz w:val="18"/>
                <w:szCs w:val="18"/>
              </w:rPr>
              <w:t>Neither-Nor</w:t>
            </w:r>
            <w:r w:rsidRPr="00A3505C">
              <w:rPr>
                <w:rFonts w:ascii="Times New Roman" w:hAnsi="Times New Roman" w:cs="Times New Roman"/>
                <w:b/>
                <w:bCs/>
                <w:sz w:val="18"/>
                <w:szCs w:val="18"/>
              </w:rPr>
              <w:t xml:space="preserve"> (β1)</w:t>
            </w:r>
          </w:p>
        </w:tc>
        <w:tc>
          <w:tcPr>
            <w:tcW w:w="451" w:type="pct"/>
            <w:tcBorders>
              <w:top w:val="single" w:sz="4" w:space="0" w:color="auto"/>
            </w:tcBorders>
          </w:tcPr>
          <w:p w14:paraId="7C8BC235" w14:textId="6ABF1555"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0.137***</w:t>
            </w:r>
          </w:p>
        </w:tc>
        <w:tc>
          <w:tcPr>
            <w:tcW w:w="95" w:type="pct"/>
          </w:tcPr>
          <w:p w14:paraId="18A65F05"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8" w:type="pct"/>
            <w:tcBorders>
              <w:top w:val="single" w:sz="4" w:space="0" w:color="auto"/>
            </w:tcBorders>
          </w:tcPr>
          <w:p w14:paraId="41980EB8" w14:textId="1CB8D21F"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0.043***</w:t>
            </w:r>
          </w:p>
        </w:tc>
        <w:tc>
          <w:tcPr>
            <w:tcW w:w="438" w:type="pct"/>
            <w:tcBorders>
              <w:top w:val="single" w:sz="4" w:space="0" w:color="auto"/>
            </w:tcBorders>
          </w:tcPr>
          <w:p w14:paraId="017982C3" w14:textId="33E064FC"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0.086***</w:t>
            </w:r>
          </w:p>
        </w:tc>
        <w:tc>
          <w:tcPr>
            <w:tcW w:w="439" w:type="pct"/>
            <w:tcBorders>
              <w:top w:val="single" w:sz="4" w:space="0" w:color="auto"/>
            </w:tcBorders>
          </w:tcPr>
          <w:p w14:paraId="2D9A251E" w14:textId="007338C8"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0.031</w:t>
            </w:r>
          </w:p>
        </w:tc>
        <w:tc>
          <w:tcPr>
            <w:tcW w:w="76" w:type="pct"/>
          </w:tcPr>
          <w:p w14:paraId="0D8EC52C"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4" w:type="pct"/>
            <w:tcBorders>
              <w:top w:val="single" w:sz="4" w:space="0" w:color="auto"/>
            </w:tcBorders>
          </w:tcPr>
          <w:p w14:paraId="392EDCB9" w14:textId="2AD498DA"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0.027**</w:t>
            </w:r>
          </w:p>
        </w:tc>
        <w:tc>
          <w:tcPr>
            <w:tcW w:w="464" w:type="pct"/>
            <w:tcBorders>
              <w:top w:val="single" w:sz="4" w:space="0" w:color="auto"/>
            </w:tcBorders>
          </w:tcPr>
          <w:p w14:paraId="55D67C16" w14:textId="3542E471"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0.086***</w:t>
            </w:r>
          </w:p>
        </w:tc>
        <w:tc>
          <w:tcPr>
            <w:tcW w:w="465" w:type="pct"/>
            <w:tcBorders>
              <w:top w:val="single" w:sz="4" w:space="0" w:color="auto"/>
            </w:tcBorders>
          </w:tcPr>
          <w:p w14:paraId="2063361B" w14:textId="2C5978BD"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0.018</w:t>
            </w:r>
          </w:p>
        </w:tc>
      </w:tr>
      <w:tr w:rsidR="00A3505C" w:rsidRPr="00A3505C" w14:paraId="16CEE01E" w14:textId="77777777" w:rsidTr="009364E5">
        <w:trPr>
          <w:trHeight w:val="65"/>
          <w:jc w:val="center"/>
        </w:trPr>
        <w:tc>
          <w:tcPr>
            <w:tcW w:w="1670" w:type="pct"/>
          </w:tcPr>
          <w:p w14:paraId="641981E1" w14:textId="77777777" w:rsidR="00160B6D" w:rsidRPr="00A3505C" w:rsidRDefault="00160B6D" w:rsidP="00160B6D">
            <w:pPr>
              <w:autoSpaceDE w:val="0"/>
              <w:autoSpaceDN w:val="0"/>
              <w:adjustRightInd w:val="0"/>
              <w:snapToGrid w:val="0"/>
              <w:spacing w:after="0" w:line="264" w:lineRule="auto"/>
              <w:rPr>
                <w:rFonts w:ascii="Times New Roman" w:eastAsia="DengXian" w:hAnsi="Times New Roman" w:cs="Times New Roman"/>
                <w:b/>
                <w:bCs/>
                <w:iCs/>
                <w:sz w:val="18"/>
                <w:szCs w:val="18"/>
              </w:rPr>
            </w:pPr>
          </w:p>
        </w:tc>
        <w:tc>
          <w:tcPr>
            <w:tcW w:w="451" w:type="pct"/>
          </w:tcPr>
          <w:p w14:paraId="41987851" w14:textId="4F3768E2"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(3.385)</w:t>
            </w:r>
          </w:p>
        </w:tc>
        <w:tc>
          <w:tcPr>
            <w:tcW w:w="95" w:type="pct"/>
          </w:tcPr>
          <w:p w14:paraId="114CA4A1"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8" w:type="pct"/>
          </w:tcPr>
          <w:p w14:paraId="445468DD" w14:textId="7E9C440B"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(3.436)</w:t>
            </w:r>
          </w:p>
        </w:tc>
        <w:tc>
          <w:tcPr>
            <w:tcW w:w="438" w:type="pct"/>
          </w:tcPr>
          <w:p w14:paraId="7547BED9" w14:textId="1E2F90DE"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(3.322)</w:t>
            </w:r>
          </w:p>
        </w:tc>
        <w:tc>
          <w:tcPr>
            <w:tcW w:w="439" w:type="pct"/>
          </w:tcPr>
          <w:p w14:paraId="5C717F7E" w14:textId="0F4DD904"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(1.336)</w:t>
            </w:r>
          </w:p>
        </w:tc>
        <w:tc>
          <w:tcPr>
            <w:tcW w:w="76" w:type="pct"/>
          </w:tcPr>
          <w:p w14:paraId="0934FDF0"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4" w:type="pct"/>
          </w:tcPr>
          <w:p w14:paraId="50FE88A6" w14:textId="7DC7906B"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(1.995)</w:t>
            </w:r>
          </w:p>
        </w:tc>
        <w:tc>
          <w:tcPr>
            <w:tcW w:w="464" w:type="pct"/>
          </w:tcPr>
          <w:p w14:paraId="4FCD2571" w14:textId="4A3A07ED"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(3.847)</w:t>
            </w:r>
          </w:p>
        </w:tc>
        <w:tc>
          <w:tcPr>
            <w:tcW w:w="465" w:type="pct"/>
          </w:tcPr>
          <w:p w14:paraId="0C22316D" w14:textId="01900DC2"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(1.531)</w:t>
            </w:r>
          </w:p>
        </w:tc>
      </w:tr>
      <w:tr w:rsidR="00A3505C" w:rsidRPr="00A3505C" w14:paraId="3A26CDC4" w14:textId="77777777" w:rsidTr="009364E5">
        <w:trPr>
          <w:trHeight w:val="80"/>
          <w:jc w:val="center"/>
        </w:trPr>
        <w:tc>
          <w:tcPr>
            <w:tcW w:w="1670" w:type="pct"/>
          </w:tcPr>
          <w:p w14:paraId="1978973F" w14:textId="13567036" w:rsidR="00160B6D" w:rsidRPr="00A3505C" w:rsidRDefault="00160B6D" w:rsidP="00160B6D">
            <w:pPr>
              <w:autoSpaceDE w:val="0"/>
              <w:autoSpaceDN w:val="0"/>
              <w:adjustRightInd w:val="0"/>
              <w:snapToGrid w:val="0"/>
              <w:spacing w:after="0" w:line="264" w:lineRule="auto"/>
              <w:rPr>
                <w:rFonts w:ascii="Times New Roman" w:eastAsia="DengXian" w:hAnsi="Times New Roman" w:cs="Times New Roman"/>
                <w:sz w:val="18"/>
                <w:szCs w:val="18"/>
              </w:rPr>
            </w:pPr>
            <w:r w:rsidRPr="00A3505C">
              <w:rPr>
                <w:rFonts w:ascii="Times New Roman" w:hAnsi="Times New Roman" w:cs="Times New Roman"/>
                <w:i/>
                <w:iCs/>
                <w:sz w:val="18"/>
                <w:szCs w:val="18"/>
              </w:rPr>
              <w:t xml:space="preserve">Profit v. Growth and </w:t>
            </w:r>
            <w:r w:rsidR="00CE5C57" w:rsidRPr="00A3505C">
              <w:rPr>
                <w:rFonts w:ascii="Times New Roman" w:hAnsi="Times New Roman" w:cs="Times New Roman"/>
                <w:i/>
                <w:iCs/>
                <w:sz w:val="18"/>
                <w:szCs w:val="18"/>
              </w:rPr>
              <w:t>Neither-Nor</w:t>
            </w:r>
            <w:r w:rsidRPr="00A3505C">
              <w:rPr>
                <w:rFonts w:ascii="Times New Roman" w:hAnsi="Times New Roman" w:cs="Times New Roman"/>
                <w:sz w:val="18"/>
                <w:szCs w:val="18"/>
              </w:rPr>
              <w:t xml:space="preserve"> (β2)</w:t>
            </w:r>
          </w:p>
        </w:tc>
        <w:tc>
          <w:tcPr>
            <w:tcW w:w="451" w:type="pct"/>
          </w:tcPr>
          <w:p w14:paraId="424F1624" w14:textId="1DB2E5AE"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-0.007</w:t>
            </w:r>
          </w:p>
        </w:tc>
        <w:tc>
          <w:tcPr>
            <w:tcW w:w="95" w:type="pct"/>
          </w:tcPr>
          <w:p w14:paraId="6F113D24"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036374A9" w14:textId="4B62677D"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-0.021*</w:t>
            </w:r>
          </w:p>
        </w:tc>
        <w:tc>
          <w:tcPr>
            <w:tcW w:w="438" w:type="pct"/>
          </w:tcPr>
          <w:p w14:paraId="197F1E23" w14:textId="547A0EBE"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-0.045</w:t>
            </w:r>
          </w:p>
        </w:tc>
        <w:tc>
          <w:tcPr>
            <w:tcW w:w="439" w:type="pct"/>
          </w:tcPr>
          <w:p w14:paraId="3CB3D4AB" w14:textId="7C8223B9"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-0.033</w:t>
            </w:r>
          </w:p>
        </w:tc>
        <w:tc>
          <w:tcPr>
            <w:tcW w:w="76" w:type="pct"/>
          </w:tcPr>
          <w:p w14:paraId="59F2878D"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4847077C" w14:textId="75AACD2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0.003</w:t>
            </w:r>
          </w:p>
        </w:tc>
        <w:tc>
          <w:tcPr>
            <w:tcW w:w="464" w:type="pct"/>
          </w:tcPr>
          <w:p w14:paraId="67F70306" w14:textId="2AE95D36"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-0.017</w:t>
            </w:r>
          </w:p>
        </w:tc>
        <w:tc>
          <w:tcPr>
            <w:tcW w:w="465" w:type="pct"/>
          </w:tcPr>
          <w:p w14:paraId="0A3BFB5D" w14:textId="666F4535"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-0.010</w:t>
            </w:r>
          </w:p>
        </w:tc>
      </w:tr>
      <w:tr w:rsidR="00A3505C" w:rsidRPr="00A3505C" w14:paraId="5AB743DF" w14:textId="77777777" w:rsidTr="009364E5">
        <w:trPr>
          <w:trHeight w:val="80"/>
          <w:jc w:val="center"/>
        </w:trPr>
        <w:tc>
          <w:tcPr>
            <w:tcW w:w="1670" w:type="pct"/>
          </w:tcPr>
          <w:p w14:paraId="7DB0ADC5" w14:textId="77777777" w:rsidR="00160B6D" w:rsidRPr="00A3505C" w:rsidRDefault="00160B6D" w:rsidP="00160B6D">
            <w:pPr>
              <w:autoSpaceDE w:val="0"/>
              <w:autoSpaceDN w:val="0"/>
              <w:adjustRightInd w:val="0"/>
              <w:snapToGrid w:val="0"/>
              <w:spacing w:after="0" w:line="264" w:lineRule="auto"/>
              <w:rPr>
                <w:rFonts w:ascii="Times New Roman" w:eastAsia="DengXian" w:hAnsi="Times New Roman" w:cs="Times New Roman"/>
                <w:iCs/>
                <w:sz w:val="18"/>
                <w:szCs w:val="18"/>
              </w:rPr>
            </w:pPr>
          </w:p>
        </w:tc>
        <w:tc>
          <w:tcPr>
            <w:tcW w:w="451" w:type="pct"/>
          </w:tcPr>
          <w:p w14:paraId="7E074909" w14:textId="7C6C66F9"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(-0.186)</w:t>
            </w:r>
          </w:p>
        </w:tc>
        <w:tc>
          <w:tcPr>
            <w:tcW w:w="95" w:type="pct"/>
          </w:tcPr>
          <w:p w14:paraId="7889E2D1"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5CCF5234" w14:textId="76066D9D"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(-1.759)</w:t>
            </w:r>
          </w:p>
        </w:tc>
        <w:tc>
          <w:tcPr>
            <w:tcW w:w="438" w:type="pct"/>
          </w:tcPr>
          <w:p w14:paraId="18916C7C" w14:textId="1C2C610D"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(-1.416)</w:t>
            </w:r>
          </w:p>
        </w:tc>
        <w:tc>
          <w:tcPr>
            <w:tcW w:w="439" w:type="pct"/>
          </w:tcPr>
          <w:p w14:paraId="1DFB917D" w14:textId="5E37E4EC"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(-1.478)</w:t>
            </w:r>
          </w:p>
        </w:tc>
        <w:tc>
          <w:tcPr>
            <w:tcW w:w="76" w:type="pct"/>
          </w:tcPr>
          <w:p w14:paraId="570923FA" w14:textId="77777777"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14B6172C" w14:textId="18221E78"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(0.244)</w:t>
            </w:r>
          </w:p>
        </w:tc>
        <w:tc>
          <w:tcPr>
            <w:tcW w:w="464" w:type="pct"/>
          </w:tcPr>
          <w:p w14:paraId="28A3B54C" w14:textId="08C83D96"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(-0.956)</w:t>
            </w:r>
          </w:p>
        </w:tc>
        <w:tc>
          <w:tcPr>
            <w:tcW w:w="465" w:type="pct"/>
          </w:tcPr>
          <w:p w14:paraId="2B6EF4EF" w14:textId="6AE890C9" w:rsidR="00160B6D" w:rsidRPr="00A3505C" w:rsidRDefault="00160B6D" w:rsidP="00160B6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(-1.073)</w:t>
            </w:r>
          </w:p>
        </w:tc>
      </w:tr>
      <w:tr w:rsidR="00A3505C" w:rsidRPr="00A3505C" w14:paraId="7377723B" w14:textId="77777777" w:rsidTr="009364E5">
        <w:trPr>
          <w:trHeight w:val="80"/>
          <w:jc w:val="center"/>
        </w:trPr>
        <w:tc>
          <w:tcPr>
            <w:tcW w:w="1670" w:type="pct"/>
          </w:tcPr>
          <w:p w14:paraId="43B3B40D" w14:textId="166B039C" w:rsidR="008D5FF9" w:rsidRPr="00A3505C" w:rsidRDefault="008D5FF9" w:rsidP="008D5FF9">
            <w:pPr>
              <w:autoSpaceDE w:val="0"/>
              <w:autoSpaceDN w:val="0"/>
              <w:adjustRightInd w:val="0"/>
              <w:snapToGrid w:val="0"/>
              <w:spacing w:after="0" w:line="264" w:lineRule="auto"/>
              <w:rPr>
                <w:rFonts w:ascii="Times New Roman" w:eastAsia="DengXian" w:hAnsi="Times New Roman" w:cs="Times New Roman"/>
                <w:b/>
                <w:bCs/>
                <w:sz w:val="18"/>
                <w:szCs w:val="18"/>
              </w:rPr>
            </w:pPr>
            <w:r w:rsidRPr="00A3505C">
              <w:rPr>
                <w:rFonts w:ascii="Times New Roman" w:hAnsi="Times New Roman" w:cs="Times New Roman"/>
                <w:b/>
                <w:bCs/>
                <w:i/>
                <w:iCs/>
                <w:sz w:val="18"/>
                <w:szCs w:val="18"/>
              </w:rPr>
              <w:t xml:space="preserve">Growth v. Profit and </w:t>
            </w:r>
            <w:r w:rsidR="00CE5C57" w:rsidRPr="00A3505C">
              <w:rPr>
                <w:rFonts w:ascii="Times New Roman" w:hAnsi="Times New Roman" w:cs="Times New Roman"/>
                <w:b/>
                <w:bCs/>
                <w:i/>
                <w:iCs/>
                <w:sz w:val="18"/>
                <w:szCs w:val="18"/>
              </w:rPr>
              <w:t>Neither-Nor</w:t>
            </w:r>
            <w:r w:rsidRPr="00A3505C">
              <w:rPr>
                <w:rFonts w:ascii="Times New Roman" w:hAnsi="Times New Roman" w:cs="Times New Roman"/>
                <w:b/>
                <w:bCs/>
                <w:sz w:val="18"/>
                <w:szCs w:val="18"/>
              </w:rPr>
              <w:t xml:space="preserve"> × </w:t>
            </w:r>
            <w:r w:rsidRPr="00A3505C">
              <w:rPr>
                <w:rFonts w:ascii="Times New Roman" w:hAnsi="Times New Roman" w:cs="Times New Roman"/>
                <w:b/>
                <w:bCs/>
                <w:i/>
                <w:iCs/>
                <w:sz w:val="18"/>
                <w:szCs w:val="18"/>
              </w:rPr>
              <w:t>Green Patents</w:t>
            </w:r>
            <w:r w:rsidRPr="00A3505C">
              <w:rPr>
                <w:rFonts w:ascii="Times New Roman" w:hAnsi="Times New Roman" w:cs="Times New Roman"/>
                <w:b/>
                <w:bCs/>
                <w:sz w:val="18"/>
                <w:szCs w:val="18"/>
              </w:rPr>
              <w:t xml:space="preserve"> (β3)</w:t>
            </w:r>
          </w:p>
        </w:tc>
        <w:tc>
          <w:tcPr>
            <w:tcW w:w="451" w:type="pct"/>
          </w:tcPr>
          <w:p w14:paraId="600F4218"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95" w:type="pct"/>
          </w:tcPr>
          <w:p w14:paraId="446777B9"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8" w:type="pct"/>
          </w:tcPr>
          <w:p w14:paraId="5068C85A" w14:textId="73A5E7A1"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0.017*</w:t>
            </w:r>
          </w:p>
        </w:tc>
        <w:tc>
          <w:tcPr>
            <w:tcW w:w="438" w:type="pct"/>
          </w:tcPr>
          <w:p w14:paraId="5EDAFDDC"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9" w:type="pct"/>
          </w:tcPr>
          <w:p w14:paraId="1249C09C"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76" w:type="pct"/>
          </w:tcPr>
          <w:p w14:paraId="326ED26D"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4" w:type="pct"/>
          </w:tcPr>
          <w:p w14:paraId="608B6A73" w14:textId="7F6B7D06"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0.029**</w:t>
            </w:r>
          </w:p>
        </w:tc>
        <w:tc>
          <w:tcPr>
            <w:tcW w:w="464" w:type="pct"/>
          </w:tcPr>
          <w:p w14:paraId="5F7FA939"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5" w:type="pct"/>
          </w:tcPr>
          <w:p w14:paraId="3F8BDBAE"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r>
      <w:tr w:rsidR="00A3505C" w:rsidRPr="00A3505C" w14:paraId="1CBEB1C0" w14:textId="77777777" w:rsidTr="009364E5">
        <w:trPr>
          <w:trHeight w:val="80"/>
          <w:jc w:val="center"/>
        </w:trPr>
        <w:tc>
          <w:tcPr>
            <w:tcW w:w="1670" w:type="pct"/>
          </w:tcPr>
          <w:p w14:paraId="117996F5" w14:textId="77777777" w:rsidR="008D5FF9" w:rsidRPr="00A3505C" w:rsidRDefault="008D5FF9" w:rsidP="008D5FF9">
            <w:pPr>
              <w:autoSpaceDE w:val="0"/>
              <w:autoSpaceDN w:val="0"/>
              <w:adjustRightInd w:val="0"/>
              <w:snapToGrid w:val="0"/>
              <w:spacing w:after="0" w:line="264" w:lineRule="auto"/>
              <w:rPr>
                <w:rFonts w:ascii="Times New Roman" w:hAnsi="Times New Roman" w:cs="Times New Roman"/>
                <w:b/>
                <w:bCs/>
                <w:i/>
                <w:iCs/>
                <w:sz w:val="18"/>
                <w:szCs w:val="18"/>
              </w:rPr>
            </w:pPr>
          </w:p>
        </w:tc>
        <w:tc>
          <w:tcPr>
            <w:tcW w:w="451" w:type="pct"/>
          </w:tcPr>
          <w:p w14:paraId="00A0E4E3"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95" w:type="pct"/>
          </w:tcPr>
          <w:p w14:paraId="37798E90"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8" w:type="pct"/>
          </w:tcPr>
          <w:p w14:paraId="4D5F09B2" w14:textId="19EF911F"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(1.946)</w:t>
            </w:r>
          </w:p>
        </w:tc>
        <w:tc>
          <w:tcPr>
            <w:tcW w:w="438" w:type="pct"/>
          </w:tcPr>
          <w:p w14:paraId="5203DFBC"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39" w:type="pct"/>
          </w:tcPr>
          <w:p w14:paraId="79AB029D"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76" w:type="pct"/>
          </w:tcPr>
          <w:p w14:paraId="309040A4"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4" w:type="pct"/>
          </w:tcPr>
          <w:p w14:paraId="290C93F1" w14:textId="271475AC"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r w:rsidRPr="00A3505C">
              <w:rPr>
                <w:rFonts w:ascii="Times New Roman" w:hAnsi="Times New Roman" w:cs="Times New Roman"/>
                <w:b/>
                <w:bCs/>
                <w:sz w:val="18"/>
                <w:szCs w:val="18"/>
              </w:rPr>
              <w:t>(2.190)</w:t>
            </w:r>
          </w:p>
        </w:tc>
        <w:tc>
          <w:tcPr>
            <w:tcW w:w="464" w:type="pct"/>
          </w:tcPr>
          <w:p w14:paraId="62945F83"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465" w:type="pct"/>
          </w:tcPr>
          <w:p w14:paraId="7121120F"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b/>
                <w:bCs/>
                <w:sz w:val="18"/>
                <w:szCs w:val="18"/>
              </w:rPr>
            </w:pPr>
          </w:p>
        </w:tc>
      </w:tr>
      <w:tr w:rsidR="00A3505C" w:rsidRPr="00A3505C" w14:paraId="6D37095C" w14:textId="77777777" w:rsidTr="009364E5">
        <w:trPr>
          <w:trHeight w:val="80"/>
          <w:jc w:val="center"/>
        </w:trPr>
        <w:tc>
          <w:tcPr>
            <w:tcW w:w="1670" w:type="pct"/>
          </w:tcPr>
          <w:p w14:paraId="6EBD297B" w14:textId="2D1F82EC" w:rsidR="008D5FF9" w:rsidRPr="00A3505C" w:rsidRDefault="008D5FF9" w:rsidP="008D5FF9">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i/>
                <w:iCs/>
                <w:sz w:val="18"/>
                <w:szCs w:val="18"/>
              </w:rPr>
              <w:t xml:space="preserve">Profit v. Growth and </w:t>
            </w:r>
            <w:r w:rsidR="00CE5C57" w:rsidRPr="00A3505C">
              <w:rPr>
                <w:rFonts w:ascii="Times New Roman" w:hAnsi="Times New Roman" w:cs="Times New Roman"/>
                <w:i/>
                <w:iCs/>
                <w:sz w:val="18"/>
                <w:szCs w:val="18"/>
              </w:rPr>
              <w:t>Neither-Nor</w:t>
            </w:r>
            <w:r w:rsidRPr="00A3505C">
              <w:rPr>
                <w:rFonts w:ascii="Times New Roman" w:hAnsi="Times New Roman" w:cs="Times New Roman"/>
                <w:sz w:val="18"/>
                <w:szCs w:val="18"/>
              </w:rPr>
              <w:t xml:space="preserve"> × </w:t>
            </w:r>
            <w:r w:rsidRPr="00A3505C">
              <w:rPr>
                <w:rFonts w:ascii="Times New Roman" w:hAnsi="Times New Roman" w:cs="Times New Roman"/>
                <w:i/>
                <w:iCs/>
                <w:sz w:val="18"/>
                <w:szCs w:val="18"/>
              </w:rPr>
              <w:t>Green Patents</w:t>
            </w:r>
            <w:r w:rsidRPr="00A3505C">
              <w:rPr>
                <w:rFonts w:ascii="Times New Roman" w:hAnsi="Times New Roman" w:cs="Times New Roman"/>
                <w:sz w:val="18"/>
                <w:szCs w:val="18"/>
              </w:rPr>
              <w:t xml:space="preserve"> (β4)</w:t>
            </w:r>
          </w:p>
        </w:tc>
        <w:tc>
          <w:tcPr>
            <w:tcW w:w="451" w:type="pct"/>
          </w:tcPr>
          <w:p w14:paraId="69ED384F"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95" w:type="pct"/>
          </w:tcPr>
          <w:p w14:paraId="4C962CCE"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841A936" w14:textId="6D589914"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-0.027***</w:t>
            </w:r>
          </w:p>
        </w:tc>
        <w:tc>
          <w:tcPr>
            <w:tcW w:w="438" w:type="pct"/>
          </w:tcPr>
          <w:p w14:paraId="4A05564E"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39" w:type="pct"/>
          </w:tcPr>
          <w:p w14:paraId="49CCD86F"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76" w:type="pct"/>
          </w:tcPr>
          <w:p w14:paraId="5297FBF4"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2BA9B37B" w14:textId="433C1969"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-0.022*</w:t>
            </w:r>
          </w:p>
        </w:tc>
        <w:tc>
          <w:tcPr>
            <w:tcW w:w="464" w:type="pct"/>
          </w:tcPr>
          <w:p w14:paraId="2857487B"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65" w:type="pct"/>
          </w:tcPr>
          <w:p w14:paraId="37846582"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23B85825" w14:textId="77777777" w:rsidTr="009364E5">
        <w:trPr>
          <w:trHeight w:val="80"/>
          <w:jc w:val="center"/>
        </w:trPr>
        <w:tc>
          <w:tcPr>
            <w:tcW w:w="1670" w:type="pct"/>
          </w:tcPr>
          <w:p w14:paraId="48664156" w14:textId="77777777" w:rsidR="008D5FF9" w:rsidRPr="00A3505C" w:rsidRDefault="008D5FF9" w:rsidP="008D5FF9">
            <w:pPr>
              <w:autoSpaceDE w:val="0"/>
              <w:autoSpaceDN w:val="0"/>
              <w:adjustRightInd w:val="0"/>
              <w:snapToGrid w:val="0"/>
              <w:spacing w:after="0" w:line="264" w:lineRule="auto"/>
              <w:rPr>
                <w:rFonts w:ascii="Times New Roman" w:eastAsia="DengXian" w:hAnsi="Times New Roman" w:cs="Times New Roman"/>
                <w:iCs/>
                <w:sz w:val="18"/>
                <w:szCs w:val="18"/>
              </w:rPr>
            </w:pPr>
          </w:p>
        </w:tc>
        <w:tc>
          <w:tcPr>
            <w:tcW w:w="451" w:type="pct"/>
          </w:tcPr>
          <w:p w14:paraId="15E55C7B"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95" w:type="pct"/>
          </w:tcPr>
          <w:p w14:paraId="1B19A52A"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41E204DD" w14:textId="3AE5EA69"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(-2.594)</w:t>
            </w:r>
          </w:p>
        </w:tc>
        <w:tc>
          <w:tcPr>
            <w:tcW w:w="438" w:type="pct"/>
          </w:tcPr>
          <w:p w14:paraId="16E16C80"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39" w:type="pct"/>
          </w:tcPr>
          <w:p w14:paraId="610C38A6"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76" w:type="pct"/>
          </w:tcPr>
          <w:p w14:paraId="2CE62374"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13EAE93E" w14:textId="0054CE5F"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(-1.923)</w:t>
            </w:r>
          </w:p>
        </w:tc>
        <w:tc>
          <w:tcPr>
            <w:tcW w:w="464" w:type="pct"/>
          </w:tcPr>
          <w:p w14:paraId="3602A9AB"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c>
          <w:tcPr>
            <w:tcW w:w="465" w:type="pct"/>
          </w:tcPr>
          <w:p w14:paraId="1F33DD2A" w14:textId="77777777" w:rsidR="008D5FF9" w:rsidRPr="00A3505C" w:rsidRDefault="008D5FF9" w:rsidP="008D5FF9">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2819F8BA" w14:textId="77777777" w:rsidTr="009364E5">
        <w:trPr>
          <w:trHeight w:val="80"/>
          <w:jc w:val="center"/>
        </w:trPr>
        <w:tc>
          <w:tcPr>
            <w:tcW w:w="1670" w:type="pct"/>
          </w:tcPr>
          <w:p w14:paraId="5249835D" w14:textId="38D210C9" w:rsidR="00407FBF" w:rsidRPr="00A3505C" w:rsidRDefault="00407FBF" w:rsidP="00407FBF">
            <w:pPr>
              <w:autoSpaceDE w:val="0"/>
              <w:autoSpaceDN w:val="0"/>
              <w:adjustRightInd w:val="0"/>
              <w:snapToGrid w:val="0"/>
              <w:spacing w:after="0" w:line="264" w:lineRule="auto"/>
              <w:rPr>
                <w:rFonts w:ascii="Times New Roman" w:eastAsia="DengXian" w:hAnsi="Times New Roman" w:cs="Times New Roman"/>
                <w:sz w:val="18"/>
                <w:szCs w:val="18"/>
              </w:rPr>
            </w:pPr>
            <w:r w:rsidRPr="00A3505C">
              <w:rPr>
                <w:rFonts w:ascii="Times New Roman" w:hAnsi="Times New Roman" w:cs="Times New Roman"/>
                <w:i/>
                <w:iCs/>
                <w:sz w:val="18"/>
                <w:szCs w:val="18"/>
              </w:rPr>
              <w:t>Green Patents</w:t>
            </w:r>
            <w:r w:rsidRPr="00A3505C">
              <w:rPr>
                <w:rFonts w:ascii="Times New Roman" w:hAnsi="Times New Roman" w:cs="Times New Roman"/>
                <w:sz w:val="18"/>
                <w:szCs w:val="18"/>
              </w:rPr>
              <w:t xml:space="preserve"> (β5)</w:t>
            </w:r>
          </w:p>
        </w:tc>
        <w:tc>
          <w:tcPr>
            <w:tcW w:w="451" w:type="pct"/>
          </w:tcPr>
          <w:p w14:paraId="69417B5F"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95" w:type="pct"/>
          </w:tcPr>
          <w:p w14:paraId="1026DDA1"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E113577" w14:textId="49907EA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0.112***</w:t>
            </w:r>
          </w:p>
        </w:tc>
        <w:tc>
          <w:tcPr>
            <w:tcW w:w="438" w:type="pct"/>
          </w:tcPr>
          <w:p w14:paraId="353CF71D"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39" w:type="pct"/>
          </w:tcPr>
          <w:p w14:paraId="7EE0E80D"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76" w:type="pct"/>
          </w:tcPr>
          <w:p w14:paraId="153336BB"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68C76F16" w14:textId="3853BCBE"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0.045***</w:t>
            </w:r>
          </w:p>
        </w:tc>
        <w:tc>
          <w:tcPr>
            <w:tcW w:w="464" w:type="pct"/>
          </w:tcPr>
          <w:p w14:paraId="45FD7FF3"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65" w:type="pct"/>
          </w:tcPr>
          <w:p w14:paraId="292268C4"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72865E3C" w14:textId="77777777" w:rsidTr="009364E5">
        <w:trPr>
          <w:trHeight w:val="80"/>
          <w:jc w:val="center"/>
        </w:trPr>
        <w:tc>
          <w:tcPr>
            <w:tcW w:w="1670" w:type="pct"/>
          </w:tcPr>
          <w:p w14:paraId="3181EA16" w14:textId="77777777" w:rsidR="00407FBF" w:rsidRPr="00A3505C" w:rsidRDefault="00407FBF" w:rsidP="00407FBF">
            <w:pPr>
              <w:autoSpaceDE w:val="0"/>
              <w:autoSpaceDN w:val="0"/>
              <w:adjustRightInd w:val="0"/>
              <w:snapToGrid w:val="0"/>
              <w:spacing w:after="0" w:line="264" w:lineRule="auto"/>
              <w:rPr>
                <w:rFonts w:ascii="Times New Roman" w:eastAsia="DengXian" w:hAnsi="Times New Roman" w:cs="Times New Roman"/>
                <w:iCs/>
                <w:sz w:val="18"/>
                <w:szCs w:val="18"/>
              </w:rPr>
            </w:pPr>
          </w:p>
        </w:tc>
        <w:tc>
          <w:tcPr>
            <w:tcW w:w="451" w:type="pct"/>
          </w:tcPr>
          <w:p w14:paraId="5FFE2DA8"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95" w:type="pct"/>
          </w:tcPr>
          <w:p w14:paraId="352A6604"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6987514" w14:textId="0AC38212"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(18.242)</w:t>
            </w:r>
          </w:p>
        </w:tc>
        <w:tc>
          <w:tcPr>
            <w:tcW w:w="438" w:type="pct"/>
          </w:tcPr>
          <w:p w14:paraId="11D06100"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39" w:type="pct"/>
          </w:tcPr>
          <w:p w14:paraId="02260396"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76" w:type="pct"/>
          </w:tcPr>
          <w:p w14:paraId="07644905"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2D51E8C9" w14:textId="69D08280"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(5.645)</w:t>
            </w:r>
          </w:p>
        </w:tc>
        <w:tc>
          <w:tcPr>
            <w:tcW w:w="464" w:type="pct"/>
          </w:tcPr>
          <w:p w14:paraId="3A5C38AF"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c>
          <w:tcPr>
            <w:tcW w:w="465" w:type="pct"/>
          </w:tcPr>
          <w:p w14:paraId="7EF75BB6" w14:textId="77777777" w:rsidR="00407FBF" w:rsidRPr="00A3505C" w:rsidRDefault="00407FBF" w:rsidP="00407FBF">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574D22AB" w14:textId="77777777" w:rsidTr="009364E5">
        <w:trPr>
          <w:jc w:val="center"/>
        </w:trPr>
        <w:tc>
          <w:tcPr>
            <w:tcW w:w="1670" w:type="pct"/>
          </w:tcPr>
          <w:p w14:paraId="721A4CA5" w14:textId="77777777" w:rsidR="00A035DF" w:rsidRPr="00A3505C" w:rsidRDefault="00A035DF" w:rsidP="00A035DF">
            <w:pPr>
              <w:autoSpaceDE w:val="0"/>
              <w:autoSpaceDN w:val="0"/>
              <w:adjustRightInd w:val="0"/>
              <w:snapToGrid w:val="0"/>
              <w:spacing w:after="0" w:line="264" w:lineRule="auto"/>
              <w:rPr>
                <w:rFonts w:ascii="Times New Roman" w:hAnsi="Times New Roman" w:cs="Times New Roman"/>
                <w:i/>
                <w:iCs/>
                <w:sz w:val="18"/>
                <w:szCs w:val="18"/>
              </w:rPr>
            </w:pPr>
            <w:r w:rsidRPr="00A3505C">
              <w:rPr>
                <w:rFonts w:ascii="Times New Roman" w:hAnsi="Times New Roman" w:cs="Times New Roman"/>
                <w:i/>
                <w:iCs/>
                <w:sz w:val="18"/>
                <w:szCs w:val="18"/>
              </w:rPr>
              <w:t>Controls</w:t>
            </w:r>
          </w:p>
        </w:tc>
        <w:tc>
          <w:tcPr>
            <w:tcW w:w="451" w:type="pct"/>
          </w:tcPr>
          <w:p w14:paraId="75FB4189" w14:textId="792836D8"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95" w:type="pct"/>
          </w:tcPr>
          <w:p w14:paraId="430E1EAE"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0FBBC112" w14:textId="78AE4AE2"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8" w:type="pct"/>
          </w:tcPr>
          <w:p w14:paraId="30EA8A6F" w14:textId="45062C1C"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9" w:type="pct"/>
          </w:tcPr>
          <w:p w14:paraId="30CD9553" w14:textId="6206886A"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6" w:type="pct"/>
          </w:tcPr>
          <w:p w14:paraId="59E65230"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73EBEEC0" w14:textId="657C5DBF"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4" w:type="pct"/>
          </w:tcPr>
          <w:p w14:paraId="3D332A7F" w14:textId="25E50963"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5" w:type="pct"/>
          </w:tcPr>
          <w:p w14:paraId="6EF20F98" w14:textId="03A338E4"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4B7C63AC" w14:textId="77777777" w:rsidTr="009364E5">
        <w:trPr>
          <w:jc w:val="center"/>
        </w:trPr>
        <w:tc>
          <w:tcPr>
            <w:tcW w:w="1670" w:type="pct"/>
          </w:tcPr>
          <w:p w14:paraId="4537DC0D" w14:textId="77777777" w:rsidR="00A035DF" w:rsidRPr="00A3505C" w:rsidRDefault="00A035DF" w:rsidP="00A035DF">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451" w:type="pct"/>
          </w:tcPr>
          <w:p w14:paraId="0B01C813" w14:textId="50EC4578"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95" w:type="pct"/>
          </w:tcPr>
          <w:p w14:paraId="5E654336"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6DD0654D" w14:textId="125C8FC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8" w:type="pct"/>
          </w:tcPr>
          <w:p w14:paraId="6ECB3062" w14:textId="0CEDC62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9" w:type="pct"/>
          </w:tcPr>
          <w:p w14:paraId="040C11B9" w14:textId="2FAC35B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6" w:type="pct"/>
          </w:tcPr>
          <w:p w14:paraId="5E108BE5"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3BD3B80B" w14:textId="06BA7698"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4" w:type="pct"/>
          </w:tcPr>
          <w:p w14:paraId="44484E65" w14:textId="1DF8682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5" w:type="pct"/>
          </w:tcPr>
          <w:p w14:paraId="24F44EB6" w14:textId="27CA27FF"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22A3D1E3" w14:textId="77777777" w:rsidTr="009364E5">
        <w:trPr>
          <w:jc w:val="center"/>
        </w:trPr>
        <w:tc>
          <w:tcPr>
            <w:tcW w:w="1670" w:type="pct"/>
          </w:tcPr>
          <w:p w14:paraId="7E08A93A" w14:textId="021B87AC" w:rsidR="00A035DF" w:rsidRPr="00A3505C" w:rsidRDefault="00A035DF" w:rsidP="00A035DF">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451" w:type="pct"/>
          </w:tcPr>
          <w:p w14:paraId="2D511DEB" w14:textId="7E368CEA"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95" w:type="pct"/>
          </w:tcPr>
          <w:p w14:paraId="1BF57FFD"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43BC88E" w14:textId="54CC2185"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8" w:type="pct"/>
          </w:tcPr>
          <w:p w14:paraId="7489B98A" w14:textId="374FB600"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9" w:type="pct"/>
          </w:tcPr>
          <w:p w14:paraId="629FC7AF" w14:textId="7C961DFF"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6" w:type="pct"/>
          </w:tcPr>
          <w:p w14:paraId="26BC7BC9"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27E5A77C" w14:textId="3866226C"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4" w:type="pct"/>
          </w:tcPr>
          <w:p w14:paraId="3057153E" w14:textId="4F2654CD"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5" w:type="pct"/>
          </w:tcPr>
          <w:p w14:paraId="17D6B328" w14:textId="116D18B6"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1DD75E22" w14:textId="77777777" w:rsidTr="009364E5">
        <w:trPr>
          <w:jc w:val="center"/>
        </w:trPr>
        <w:tc>
          <w:tcPr>
            <w:tcW w:w="1670" w:type="pct"/>
          </w:tcPr>
          <w:p w14:paraId="696BCEFA" w14:textId="3DEED0E1" w:rsidR="00A035DF" w:rsidRPr="00A3505C" w:rsidRDefault="00A035DF" w:rsidP="00A035DF">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451" w:type="pct"/>
          </w:tcPr>
          <w:p w14:paraId="67F03186" w14:textId="0DC8D935"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95" w:type="pct"/>
          </w:tcPr>
          <w:p w14:paraId="04A8C051"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58E6A6B6" w14:textId="362ED378"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8" w:type="pct"/>
          </w:tcPr>
          <w:p w14:paraId="2396724E" w14:textId="0805F5F8"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9" w:type="pct"/>
          </w:tcPr>
          <w:p w14:paraId="5DABDA2C" w14:textId="2609C263"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6" w:type="pct"/>
          </w:tcPr>
          <w:p w14:paraId="24DDC0E6"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6A3DF525" w14:textId="41434DC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4" w:type="pct"/>
          </w:tcPr>
          <w:p w14:paraId="65F2721E" w14:textId="0C902CCB"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5" w:type="pct"/>
          </w:tcPr>
          <w:p w14:paraId="2110D566" w14:textId="2159C500"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607A2C62" w14:textId="77777777" w:rsidTr="009364E5">
        <w:trPr>
          <w:jc w:val="center"/>
        </w:trPr>
        <w:tc>
          <w:tcPr>
            <w:tcW w:w="1670" w:type="pct"/>
          </w:tcPr>
          <w:p w14:paraId="6EC2F0A6" w14:textId="4C652839" w:rsidR="00A035DF" w:rsidRPr="00A3505C" w:rsidRDefault="00A035DF" w:rsidP="00A035DF">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Entropy Balanced</w:t>
            </w:r>
          </w:p>
        </w:tc>
        <w:tc>
          <w:tcPr>
            <w:tcW w:w="451" w:type="pct"/>
          </w:tcPr>
          <w:p w14:paraId="4796FA8E" w14:textId="6D4184D1"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95" w:type="pct"/>
          </w:tcPr>
          <w:p w14:paraId="0616E2F2"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70D0AB9" w14:textId="3D736881"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8" w:type="pct"/>
          </w:tcPr>
          <w:p w14:paraId="0A612683" w14:textId="67B9E802"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39" w:type="pct"/>
          </w:tcPr>
          <w:p w14:paraId="4C0F381F" w14:textId="5F732874"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6" w:type="pct"/>
          </w:tcPr>
          <w:p w14:paraId="7EE8D081" w14:textId="77777777"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4493DD7F" w14:textId="4E0C464D"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4" w:type="pct"/>
          </w:tcPr>
          <w:p w14:paraId="77A53C0E" w14:textId="121325F1"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465" w:type="pct"/>
          </w:tcPr>
          <w:p w14:paraId="18FDED02" w14:textId="0BE76466" w:rsidR="00A035DF" w:rsidRPr="00A3505C" w:rsidRDefault="00A035DF"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2C1FC013" w14:textId="77777777" w:rsidTr="00547BE1">
        <w:trPr>
          <w:jc w:val="center"/>
        </w:trPr>
        <w:tc>
          <w:tcPr>
            <w:tcW w:w="1670" w:type="pct"/>
          </w:tcPr>
          <w:p w14:paraId="02C1B7E0" w14:textId="4FB70A3B" w:rsidR="00547BE1" w:rsidRPr="00A3505C" w:rsidRDefault="00547BE1" w:rsidP="00A035DF">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F-test: β1 across different subsamples (p-value)</w:t>
            </w:r>
          </w:p>
        </w:tc>
        <w:tc>
          <w:tcPr>
            <w:tcW w:w="451" w:type="pct"/>
          </w:tcPr>
          <w:p w14:paraId="5CB7B80F" w14:textId="7777777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95" w:type="pct"/>
          </w:tcPr>
          <w:p w14:paraId="0F1CED53" w14:textId="7777777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63C93369" w14:textId="7777777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877" w:type="pct"/>
            <w:gridSpan w:val="2"/>
          </w:tcPr>
          <w:p w14:paraId="25E223BC" w14:textId="4EACFBC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0.000***</w:t>
            </w:r>
          </w:p>
        </w:tc>
        <w:tc>
          <w:tcPr>
            <w:tcW w:w="76" w:type="pct"/>
          </w:tcPr>
          <w:p w14:paraId="6F81A9CD" w14:textId="7777777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5C5C1AC0" w14:textId="77777777"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p>
        </w:tc>
        <w:tc>
          <w:tcPr>
            <w:tcW w:w="929" w:type="pct"/>
            <w:gridSpan w:val="2"/>
          </w:tcPr>
          <w:p w14:paraId="146970F9" w14:textId="1AE1B586" w:rsidR="00547BE1" w:rsidRPr="00A3505C" w:rsidRDefault="00547BE1" w:rsidP="00A035DF">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0.000***</w:t>
            </w:r>
          </w:p>
        </w:tc>
      </w:tr>
      <w:tr w:rsidR="00A3505C" w:rsidRPr="00A3505C" w14:paraId="19EDD808" w14:textId="77777777" w:rsidTr="009364E5">
        <w:trPr>
          <w:trHeight w:val="80"/>
          <w:jc w:val="center"/>
        </w:trPr>
        <w:tc>
          <w:tcPr>
            <w:tcW w:w="1670" w:type="pct"/>
          </w:tcPr>
          <w:p w14:paraId="01B7A877" w14:textId="77777777" w:rsidR="002C2AF1" w:rsidRPr="00A3505C" w:rsidRDefault="002C2AF1" w:rsidP="002C2AF1">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451" w:type="pct"/>
          </w:tcPr>
          <w:p w14:paraId="7DC69D24" w14:textId="52B5B383"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20,655</w:t>
            </w:r>
          </w:p>
        </w:tc>
        <w:tc>
          <w:tcPr>
            <w:tcW w:w="95" w:type="pct"/>
          </w:tcPr>
          <w:p w14:paraId="47876BF6" w14:textId="7777777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Pr>
          <w:p w14:paraId="31458CEB" w14:textId="2EA29924"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20,655</w:t>
            </w:r>
          </w:p>
        </w:tc>
        <w:tc>
          <w:tcPr>
            <w:tcW w:w="438" w:type="pct"/>
          </w:tcPr>
          <w:p w14:paraId="543BD0F6" w14:textId="75561388"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8,751</w:t>
            </w:r>
          </w:p>
        </w:tc>
        <w:tc>
          <w:tcPr>
            <w:tcW w:w="439" w:type="pct"/>
          </w:tcPr>
          <w:p w14:paraId="15CC530C" w14:textId="43A281DE"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11,902</w:t>
            </w:r>
          </w:p>
        </w:tc>
        <w:tc>
          <w:tcPr>
            <w:tcW w:w="76" w:type="pct"/>
          </w:tcPr>
          <w:p w14:paraId="5A9AB97E" w14:textId="7777777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Pr>
          <w:p w14:paraId="7CCAF135" w14:textId="462D57E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20,655</w:t>
            </w:r>
          </w:p>
        </w:tc>
        <w:tc>
          <w:tcPr>
            <w:tcW w:w="464" w:type="pct"/>
          </w:tcPr>
          <w:p w14:paraId="109487AD" w14:textId="037627B0"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8,751</w:t>
            </w:r>
          </w:p>
        </w:tc>
        <w:tc>
          <w:tcPr>
            <w:tcW w:w="465" w:type="pct"/>
          </w:tcPr>
          <w:p w14:paraId="2D25B06C" w14:textId="4E7CD38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11,902</w:t>
            </w:r>
          </w:p>
        </w:tc>
      </w:tr>
      <w:tr w:rsidR="00A3505C" w:rsidRPr="00A3505C" w14:paraId="5054970D" w14:textId="77777777" w:rsidTr="009364E5">
        <w:trPr>
          <w:jc w:val="center"/>
        </w:trPr>
        <w:tc>
          <w:tcPr>
            <w:tcW w:w="1670" w:type="pct"/>
            <w:tcBorders>
              <w:bottom w:val="single" w:sz="4" w:space="0" w:color="auto"/>
            </w:tcBorders>
          </w:tcPr>
          <w:p w14:paraId="5485789B" w14:textId="77777777" w:rsidR="002C2AF1" w:rsidRPr="00A3505C" w:rsidRDefault="002C2AF1" w:rsidP="002C2AF1">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451" w:type="pct"/>
            <w:tcBorders>
              <w:bottom w:val="single" w:sz="4" w:space="0" w:color="auto"/>
            </w:tcBorders>
          </w:tcPr>
          <w:p w14:paraId="1F70BA03" w14:textId="6A7E0D52"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0.377</w:t>
            </w:r>
          </w:p>
        </w:tc>
        <w:tc>
          <w:tcPr>
            <w:tcW w:w="95" w:type="pct"/>
            <w:tcBorders>
              <w:bottom w:val="single" w:sz="4" w:space="0" w:color="auto"/>
            </w:tcBorders>
          </w:tcPr>
          <w:p w14:paraId="429CC78D" w14:textId="7777777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p>
        </w:tc>
        <w:tc>
          <w:tcPr>
            <w:tcW w:w="438" w:type="pct"/>
            <w:tcBorders>
              <w:bottom w:val="single" w:sz="4" w:space="0" w:color="auto"/>
            </w:tcBorders>
          </w:tcPr>
          <w:p w14:paraId="13A04A7C" w14:textId="232395E0"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0.255</w:t>
            </w:r>
          </w:p>
        </w:tc>
        <w:tc>
          <w:tcPr>
            <w:tcW w:w="438" w:type="pct"/>
            <w:tcBorders>
              <w:bottom w:val="single" w:sz="4" w:space="0" w:color="auto"/>
            </w:tcBorders>
          </w:tcPr>
          <w:p w14:paraId="07563DDC" w14:textId="63BF82EE"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0.191</w:t>
            </w:r>
          </w:p>
        </w:tc>
        <w:tc>
          <w:tcPr>
            <w:tcW w:w="439" w:type="pct"/>
            <w:tcBorders>
              <w:bottom w:val="single" w:sz="4" w:space="0" w:color="auto"/>
            </w:tcBorders>
          </w:tcPr>
          <w:p w14:paraId="128FC6FD" w14:textId="63848C2D"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0.189</w:t>
            </w:r>
          </w:p>
        </w:tc>
        <w:tc>
          <w:tcPr>
            <w:tcW w:w="76" w:type="pct"/>
            <w:tcBorders>
              <w:bottom w:val="single" w:sz="4" w:space="0" w:color="auto"/>
            </w:tcBorders>
          </w:tcPr>
          <w:p w14:paraId="30D195E1" w14:textId="77777777"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p>
        </w:tc>
        <w:tc>
          <w:tcPr>
            <w:tcW w:w="464" w:type="pct"/>
            <w:tcBorders>
              <w:bottom w:val="single" w:sz="4" w:space="0" w:color="auto"/>
            </w:tcBorders>
          </w:tcPr>
          <w:p w14:paraId="736F9487" w14:textId="1432DBEE"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0.251</w:t>
            </w:r>
          </w:p>
        </w:tc>
        <w:tc>
          <w:tcPr>
            <w:tcW w:w="464" w:type="pct"/>
            <w:tcBorders>
              <w:bottom w:val="single" w:sz="4" w:space="0" w:color="auto"/>
            </w:tcBorders>
          </w:tcPr>
          <w:p w14:paraId="1AA1FD4D" w14:textId="79C55B79"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0.226</w:t>
            </w:r>
          </w:p>
        </w:tc>
        <w:tc>
          <w:tcPr>
            <w:tcW w:w="465" w:type="pct"/>
            <w:tcBorders>
              <w:bottom w:val="single" w:sz="4" w:space="0" w:color="auto"/>
            </w:tcBorders>
          </w:tcPr>
          <w:p w14:paraId="537F28FF" w14:textId="475E5CFD" w:rsidR="002C2AF1" w:rsidRPr="00A3505C" w:rsidRDefault="002C2AF1" w:rsidP="002C2AF1">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0.174</w:t>
            </w:r>
          </w:p>
        </w:tc>
      </w:tr>
    </w:tbl>
    <w:p w14:paraId="3DCC0E09" w14:textId="26FD467B" w:rsidR="00E05994" w:rsidRPr="00A3505C" w:rsidRDefault="00E05994" w:rsidP="007A50B5">
      <w:pPr>
        <w:adjustRightInd w:val="0"/>
        <w:snapToGrid w:val="0"/>
        <w:spacing w:before="120"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Note</w:t>
      </w:r>
      <w:r w:rsidR="00AE3F21" w:rsidRPr="00A3505C">
        <w:rPr>
          <w:rFonts w:ascii="Times New Roman" w:hAnsi="Times New Roman" w:cs="Times New Roman" w:hint="eastAsia"/>
          <w:sz w:val="20"/>
          <w:szCs w:val="20"/>
        </w:rPr>
        <w:t>s</w:t>
      </w:r>
      <w:r w:rsidRPr="00A3505C">
        <w:rPr>
          <w:rFonts w:ascii="Times New Roman" w:hAnsi="Times New Roman" w:cs="Times New Roman"/>
          <w:sz w:val="20"/>
          <w:szCs w:val="20"/>
        </w:rPr>
        <w:t xml:space="preserve">: </w:t>
      </w:r>
      <w:r w:rsidR="00F95142" w:rsidRPr="00A3505C">
        <w:rPr>
          <w:rFonts w:ascii="Times New Roman" w:hAnsi="Times New Roman" w:cs="Times New Roman"/>
          <w:sz w:val="20"/>
          <w:szCs w:val="20"/>
        </w:rPr>
        <w:t xml:space="preserve">This table reports the results of the mechanism analysis of the investment in green patents. Column (1) </w:t>
      </w:r>
      <w:r w:rsidR="002E14E9" w:rsidRPr="00A3505C">
        <w:rPr>
          <w:rFonts w:ascii="Times New Roman" w:hAnsi="Times New Roman" w:cs="Times New Roman"/>
          <w:sz w:val="20"/>
          <w:szCs w:val="20"/>
        </w:rPr>
        <w:t>show</w:t>
      </w:r>
      <w:r w:rsidR="00CD4D01" w:rsidRPr="00A3505C">
        <w:rPr>
          <w:rFonts w:ascii="Times New Roman" w:hAnsi="Times New Roman" w:cs="Times New Roman"/>
          <w:sz w:val="20"/>
          <w:szCs w:val="20"/>
        </w:rPr>
        <w:t>s</w:t>
      </w:r>
      <w:r w:rsidR="002E14E9" w:rsidRPr="00A3505C">
        <w:rPr>
          <w:rFonts w:ascii="Times New Roman" w:hAnsi="Times New Roman" w:cs="Times New Roman"/>
          <w:sz w:val="20"/>
          <w:szCs w:val="20"/>
        </w:rPr>
        <w:t xml:space="preserve"> the results of the impact of different strategic orientations on firms’ green </w:t>
      </w:r>
      <w:r w:rsidR="0083310B" w:rsidRPr="00A3505C">
        <w:rPr>
          <w:rFonts w:ascii="Times New Roman" w:hAnsi="Times New Roman" w:cs="Times New Roman"/>
          <w:sz w:val="20"/>
          <w:szCs w:val="20"/>
        </w:rPr>
        <w:t>patents.</w:t>
      </w:r>
      <w:r w:rsidR="00534B68" w:rsidRPr="00A3505C">
        <w:rPr>
          <w:rFonts w:ascii="Times New Roman" w:hAnsi="Times New Roman" w:cs="Times New Roman"/>
          <w:sz w:val="20"/>
          <w:szCs w:val="20"/>
        </w:rPr>
        <w:t xml:space="preserve"> </w:t>
      </w:r>
      <w:r w:rsidR="00F95142" w:rsidRPr="00A3505C">
        <w:rPr>
          <w:rFonts w:ascii="Times New Roman" w:hAnsi="Times New Roman" w:cs="Times New Roman"/>
          <w:sz w:val="20"/>
          <w:szCs w:val="20"/>
        </w:rPr>
        <w:t>Columns (</w:t>
      </w:r>
      <w:r w:rsidR="0083310B" w:rsidRPr="00A3505C">
        <w:rPr>
          <w:rFonts w:ascii="Times New Roman" w:hAnsi="Times New Roman" w:cs="Times New Roman"/>
          <w:sz w:val="20"/>
          <w:szCs w:val="20"/>
        </w:rPr>
        <w:t>2</w:t>
      </w:r>
      <w:r w:rsidR="00F95142" w:rsidRPr="00A3505C">
        <w:rPr>
          <w:rFonts w:ascii="Times New Roman" w:hAnsi="Times New Roman" w:cs="Times New Roman"/>
          <w:sz w:val="20"/>
          <w:szCs w:val="20"/>
        </w:rPr>
        <w:t>) to (</w:t>
      </w:r>
      <w:r w:rsidR="00AD3A41" w:rsidRPr="00A3505C">
        <w:rPr>
          <w:rFonts w:ascii="Times New Roman" w:hAnsi="Times New Roman" w:cs="Times New Roman"/>
          <w:sz w:val="20"/>
          <w:szCs w:val="20"/>
        </w:rPr>
        <w:t>7</w:t>
      </w:r>
      <w:r w:rsidR="00F95142" w:rsidRPr="00A3505C">
        <w:rPr>
          <w:rFonts w:ascii="Times New Roman" w:hAnsi="Times New Roman" w:cs="Times New Roman"/>
          <w:sz w:val="20"/>
          <w:szCs w:val="20"/>
        </w:rPr>
        <w:t xml:space="preserve">) report the results of the impact of </w:t>
      </w:r>
      <w:r w:rsidR="0079724C" w:rsidRPr="00A3505C">
        <w:rPr>
          <w:rFonts w:ascii="Times New Roman" w:hAnsi="Times New Roman" w:cs="Times New Roman"/>
          <w:sz w:val="20"/>
          <w:szCs w:val="20"/>
        </w:rPr>
        <w:t>strategic orientations</w:t>
      </w:r>
      <w:r w:rsidR="00F95142" w:rsidRPr="00A3505C">
        <w:rPr>
          <w:rFonts w:ascii="Times New Roman" w:hAnsi="Times New Roman" w:cs="Times New Roman"/>
          <w:sz w:val="20"/>
          <w:szCs w:val="20"/>
        </w:rPr>
        <w:t xml:space="preserve"> on green revenues</w:t>
      </w:r>
      <w:r w:rsidR="00B36E1B" w:rsidRPr="00A3505C">
        <w:rPr>
          <w:rFonts w:ascii="Times New Roman" w:hAnsi="Times New Roman" w:cs="Times New Roman"/>
          <w:sz w:val="20"/>
          <w:szCs w:val="20"/>
        </w:rPr>
        <w:t xml:space="preserve"> across the subsamples between firms with higher green patents and firms with lower green patents.</w:t>
      </w:r>
      <w:r w:rsidR="00F95142" w:rsidRPr="00A3505C">
        <w:rPr>
          <w:rFonts w:ascii="Times New Roman" w:hAnsi="Times New Roman" w:cs="Times New Roman"/>
          <w:sz w:val="20"/>
          <w:szCs w:val="20"/>
        </w:rPr>
        <w:t xml:space="preserve"> </w:t>
      </w:r>
      <w:r w:rsidR="00295397" w:rsidRPr="00A3505C">
        <w:rPr>
          <w:rFonts w:ascii="Times New Roman" w:hAnsi="Times New Roman" w:cs="Times New Roman"/>
          <w:sz w:val="20"/>
          <w:szCs w:val="20"/>
        </w:rPr>
        <w:t xml:space="preserve">This result indicates that growth-oriented firms are more inclined to intensify their green patents, thereby enhancing green revenues. Appendix </w:t>
      </w:r>
      <w:r w:rsidR="00F61172" w:rsidRPr="00A3505C">
        <w:rPr>
          <w:rFonts w:ascii="Times New Roman" w:hAnsi="Times New Roman" w:cs="Times New Roman"/>
          <w:sz w:val="20"/>
          <w:szCs w:val="20"/>
        </w:rPr>
        <w:t>A</w:t>
      </w:r>
      <w:r w:rsidR="00295397" w:rsidRPr="00A3505C">
        <w:rPr>
          <w:rFonts w:ascii="Times New Roman" w:hAnsi="Times New Roman" w:cs="Times New Roman"/>
          <w:sz w:val="20"/>
          <w:szCs w:val="20"/>
        </w:rPr>
        <w:t xml:space="preserve"> show</w:t>
      </w:r>
      <w:r w:rsidR="00184011" w:rsidRPr="00A3505C">
        <w:rPr>
          <w:rFonts w:ascii="Times New Roman" w:hAnsi="Times New Roman" w:cs="Times New Roman"/>
          <w:sz w:val="20"/>
          <w:szCs w:val="20"/>
        </w:rPr>
        <w:t>s</w:t>
      </w:r>
      <w:r w:rsidR="00295397" w:rsidRPr="00A3505C">
        <w:rPr>
          <w:rFonts w:ascii="Times New Roman" w:hAnsi="Times New Roman" w:cs="Times New Roman"/>
          <w:sz w:val="20"/>
          <w:szCs w:val="20"/>
        </w:rPr>
        <w:t xml:space="preserve"> the definition of variables. The t-statistics are reported in parentheses. We adopt robust standard errors clustered at the firm level. *, **, and *** denote statistical significance at 10%, 5%, and 1% levels, respectively.</w:t>
      </w:r>
    </w:p>
    <w:p w14:paraId="48F4B162" w14:textId="77777777" w:rsidR="007E4398" w:rsidRDefault="007E4398" w:rsidP="003F6BD4">
      <w:pPr>
        <w:adjustRightInd w:val="0"/>
        <w:snapToGrid w:val="0"/>
        <w:spacing w:after="0" w:line="264" w:lineRule="auto"/>
        <w:rPr>
          <w:rFonts w:ascii="Times New Roman" w:hAnsi="Times New Roman" w:cs="Times New Roman"/>
          <w:sz w:val="20"/>
          <w:szCs w:val="20"/>
        </w:rPr>
      </w:pPr>
    </w:p>
    <w:p w14:paraId="490E2399" w14:textId="6E45D3E4" w:rsidR="003F6BD4" w:rsidRDefault="003F6BD4">
      <w:pPr>
        <w:rPr>
          <w:rFonts w:ascii="Times New Roman" w:hAnsi="Times New Roman" w:cs="Times New Roman"/>
          <w:sz w:val="20"/>
          <w:szCs w:val="20"/>
        </w:rPr>
      </w:pPr>
      <w:r>
        <w:rPr>
          <w:rFonts w:ascii="Times New Roman" w:hAnsi="Times New Roman" w:cs="Times New Roman"/>
          <w:sz w:val="20"/>
          <w:szCs w:val="20"/>
        </w:rPr>
        <w:br w:type="page"/>
      </w:r>
    </w:p>
    <w:p w14:paraId="34C571ED" w14:textId="77777777" w:rsidR="003F6BD4" w:rsidRPr="00A3505C" w:rsidRDefault="003F6BD4" w:rsidP="003F6BD4">
      <w:pPr>
        <w:adjustRightInd w:val="0"/>
        <w:snapToGrid w:val="0"/>
        <w:spacing w:after="120" w:line="264" w:lineRule="auto"/>
        <w:rPr>
          <w:rFonts w:ascii="Times New Roman" w:hAnsi="Times New Roman" w:cs="Times New Roman"/>
          <w:b/>
          <w:sz w:val="24"/>
          <w:szCs w:val="24"/>
        </w:rPr>
      </w:pPr>
      <w:r w:rsidRPr="00A3505C">
        <w:rPr>
          <w:rFonts w:ascii="Times New Roman" w:hAnsi="Times New Roman" w:cs="Times New Roman"/>
          <w:b/>
          <w:sz w:val="24"/>
          <w:szCs w:val="24"/>
        </w:rPr>
        <w:lastRenderedPageBreak/>
        <w:t xml:space="preserve">Table </w:t>
      </w:r>
      <w:r w:rsidRPr="00A3505C">
        <w:rPr>
          <w:rFonts w:ascii="Times New Roman" w:hAnsi="Times New Roman" w:cs="Times New Roman"/>
          <w:b/>
          <w:bCs/>
          <w:sz w:val="24"/>
          <w:szCs w:val="24"/>
        </w:rPr>
        <w:t>6</w:t>
      </w:r>
      <w:r w:rsidRPr="00A3505C">
        <w:rPr>
          <w:rFonts w:ascii="Times New Roman" w:hAnsi="Times New Roman" w:cs="Times New Roman"/>
          <w:b/>
          <w:sz w:val="24"/>
          <w:szCs w:val="24"/>
        </w:rPr>
        <w:t>. Cross-sectional tests</w:t>
      </w:r>
    </w:p>
    <w:tbl>
      <w:tblPr>
        <w:tblW w:w="5000" w:type="pct"/>
        <w:jc w:val="center"/>
        <w:tblCellMar>
          <w:left w:w="75" w:type="dxa"/>
          <w:right w:w="75" w:type="dxa"/>
        </w:tblCellMar>
        <w:tblLook w:val="0000" w:firstRow="0" w:lastRow="0" w:firstColumn="0" w:lastColumn="0" w:noHBand="0" w:noVBand="0"/>
      </w:tblPr>
      <w:tblGrid>
        <w:gridCol w:w="5294"/>
        <w:gridCol w:w="2166"/>
        <w:gridCol w:w="2166"/>
        <w:gridCol w:w="2166"/>
        <w:gridCol w:w="2166"/>
      </w:tblGrid>
      <w:tr w:rsidR="003F6BD4" w:rsidRPr="00A3505C" w14:paraId="2AFAD6C2" w14:textId="77777777" w:rsidTr="003F6BD4">
        <w:trPr>
          <w:jc w:val="center"/>
        </w:trPr>
        <w:tc>
          <w:tcPr>
            <w:tcW w:w="5000" w:type="pct"/>
            <w:gridSpan w:val="5"/>
            <w:tcBorders>
              <w:top w:val="single" w:sz="6" w:space="0" w:color="auto"/>
              <w:left w:val="nil"/>
              <w:bottom w:val="single" w:sz="4" w:space="0" w:color="auto"/>
              <w:right w:val="nil"/>
            </w:tcBorders>
          </w:tcPr>
          <w:p w14:paraId="15B0640C" w14:textId="77777777" w:rsidR="003F6BD4" w:rsidRPr="00A3505C" w:rsidRDefault="003F6BD4" w:rsidP="0033155D">
            <w:pPr>
              <w:autoSpaceDE w:val="0"/>
              <w:autoSpaceDN w:val="0"/>
              <w:adjustRightInd w:val="0"/>
              <w:snapToGrid w:val="0"/>
              <w:spacing w:before="60" w:after="60" w:line="264" w:lineRule="auto"/>
              <w:rPr>
                <w:rFonts w:ascii="Times New Roman" w:hAnsi="Times New Roman" w:cs="Times New Roman"/>
                <w:b/>
                <w:sz w:val="18"/>
                <w:szCs w:val="18"/>
              </w:rPr>
            </w:pPr>
            <w:r w:rsidRPr="00A3505C">
              <w:rPr>
                <w:rFonts w:ascii="Times New Roman" w:hAnsi="Times New Roman" w:cs="Times New Roman"/>
                <w:b/>
                <w:sz w:val="18"/>
                <w:szCs w:val="18"/>
              </w:rPr>
              <w:t>Panel A. Environmental transformation of growth-oriented firms</w:t>
            </w:r>
          </w:p>
        </w:tc>
      </w:tr>
      <w:tr w:rsidR="003F6BD4" w:rsidRPr="00A3505C" w14:paraId="1A9729CD" w14:textId="77777777" w:rsidTr="003F6BD4">
        <w:trPr>
          <w:jc w:val="center"/>
        </w:trPr>
        <w:tc>
          <w:tcPr>
            <w:tcW w:w="1896" w:type="pct"/>
            <w:tcBorders>
              <w:top w:val="single" w:sz="4" w:space="0" w:color="auto"/>
              <w:left w:val="nil"/>
              <w:right w:val="nil"/>
            </w:tcBorders>
          </w:tcPr>
          <w:p w14:paraId="740DA55E"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1552" w:type="pct"/>
            <w:gridSpan w:val="2"/>
            <w:tcBorders>
              <w:top w:val="single" w:sz="4" w:space="0" w:color="auto"/>
              <w:left w:val="nil"/>
              <w:bottom w:val="single" w:sz="4" w:space="0" w:color="auto"/>
              <w:right w:val="nil"/>
            </w:tcBorders>
          </w:tcPr>
          <w:p w14:paraId="4A8DFFA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1552" w:type="pct"/>
            <w:gridSpan w:val="2"/>
            <w:tcBorders>
              <w:top w:val="single" w:sz="4" w:space="0" w:color="auto"/>
              <w:left w:val="nil"/>
              <w:bottom w:val="single" w:sz="4" w:space="0" w:color="auto"/>
              <w:right w:val="nil"/>
            </w:tcBorders>
          </w:tcPr>
          <w:p w14:paraId="4494C6B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r>
      <w:tr w:rsidR="003F6BD4" w:rsidRPr="00A3505C" w14:paraId="10D9F35C" w14:textId="77777777" w:rsidTr="003F6BD4">
        <w:trPr>
          <w:jc w:val="center"/>
        </w:trPr>
        <w:tc>
          <w:tcPr>
            <w:tcW w:w="1896" w:type="pct"/>
            <w:tcBorders>
              <w:left w:val="nil"/>
              <w:bottom w:val="single" w:sz="4" w:space="0" w:color="auto"/>
              <w:right w:val="nil"/>
            </w:tcBorders>
          </w:tcPr>
          <w:p w14:paraId="342B6B79"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p>
        </w:tc>
        <w:tc>
          <w:tcPr>
            <w:tcW w:w="776" w:type="pct"/>
            <w:tcBorders>
              <w:top w:val="single" w:sz="6" w:space="0" w:color="auto"/>
              <w:left w:val="nil"/>
              <w:bottom w:val="single" w:sz="4" w:space="0" w:color="auto"/>
              <w:right w:val="nil"/>
            </w:tcBorders>
          </w:tcPr>
          <w:p w14:paraId="00C6DE2C"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p w14:paraId="6845EFF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High environmental transformation</w:t>
            </w:r>
          </w:p>
          <w:p w14:paraId="5E13902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(High </w:t>
            </w:r>
            <w:r w:rsidRPr="00A3505C">
              <w:rPr>
                <w:rFonts w:ascii="Times New Roman" w:hAnsi="Times New Roman" w:cs="Times New Roman"/>
                <w:i/>
                <w:sz w:val="18"/>
                <w:szCs w:val="18"/>
              </w:rPr>
              <w:t>EnvTran</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2F8D062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p w14:paraId="5032AB1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Low environmental transformation</w:t>
            </w:r>
          </w:p>
          <w:p w14:paraId="42D95FE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(Low </w:t>
            </w:r>
            <w:r w:rsidRPr="00A3505C">
              <w:rPr>
                <w:rFonts w:ascii="Times New Roman" w:hAnsi="Times New Roman" w:cs="Times New Roman"/>
                <w:i/>
                <w:sz w:val="18"/>
                <w:szCs w:val="18"/>
              </w:rPr>
              <w:t>EnvTran</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2841DC25"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p w14:paraId="01A7312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High environmental transformation</w:t>
            </w:r>
          </w:p>
          <w:p w14:paraId="0614E05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(High </w:t>
            </w:r>
            <w:r w:rsidRPr="00A3505C">
              <w:rPr>
                <w:rFonts w:ascii="Times New Roman" w:hAnsi="Times New Roman" w:cs="Times New Roman"/>
                <w:i/>
                <w:sz w:val="18"/>
                <w:szCs w:val="18"/>
              </w:rPr>
              <w:t>EnvTran</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69EE134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p w14:paraId="6D67B68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Low environmental transformation</w:t>
            </w:r>
          </w:p>
          <w:p w14:paraId="3ED1C75C"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(Low </w:t>
            </w:r>
            <w:r w:rsidRPr="00A3505C">
              <w:rPr>
                <w:rFonts w:ascii="Times New Roman" w:hAnsi="Times New Roman" w:cs="Times New Roman"/>
                <w:i/>
                <w:sz w:val="18"/>
                <w:szCs w:val="18"/>
              </w:rPr>
              <w:t>EnvTran</w:t>
            </w:r>
            <w:r w:rsidRPr="00A3505C">
              <w:rPr>
                <w:rFonts w:ascii="Times New Roman" w:hAnsi="Times New Roman" w:cs="Times New Roman"/>
                <w:sz w:val="18"/>
                <w:szCs w:val="18"/>
              </w:rPr>
              <w:t>)</w:t>
            </w:r>
          </w:p>
        </w:tc>
      </w:tr>
      <w:tr w:rsidR="003F6BD4" w:rsidRPr="00A3505C" w14:paraId="4103C74B" w14:textId="77777777" w:rsidTr="003F6BD4">
        <w:trPr>
          <w:trHeight w:val="145"/>
          <w:jc w:val="center"/>
        </w:trPr>
        <w:tc>
          <w:tcPr>
            <w:tcW w:w="1896" w:type="pct"/>
            <w:tcBorders>
              <w:top w:val="single" w:sz="4" w:space="0" w:color="auto"/>
              <w:left w:val="nil"/>
              <w:bottom w:val="nil"/>
              <w:right w:val="nil"/>
            </w:tcBorders>
          </w:tcPr>
          <w:p w14:paraId="1459C938" w14:textId="77777777" w:rsidR="003F6BD4" w:rsidRPr="00250207" w:rsidRDefault="003F6BD4" w:rsidP="0033155D">
            <w:pPr>
              <w:autoSpaceDE w:val="0"/>
              <w:autoSpaceDN w:val="0"/>
              <w:adjustRightInd w:val="0"/>
              <w:snapToGrid w:val="0"/>
              <w:spacing w:after="0" w:line="264" w:lineRule="auto"/>
              <w:rPr>
                <w:rFonts w:ascii="Times New Roman" w:eastAsia="DengXian" w:hAnsi="Times New Roman" w:cs="Times New Roman"/>
                <w:b/>
                <w:bCs/>
                <w:sz w:val="18"/>
                <w:szCs w:val="18"/>
              </w:rPr>
            </w:pPr>
            <w:r w:rsidRPr="00250207">
              <w:rPr>
                <w:rFonts w:ascii="Times New Roman" w:hAnsi="Times New Roman" w:cs="Times New Roman"/>
                <w:b/>
                <w:bCs/>
                <w:i/>
                <w:sz w:val="18"/>
                <w:szCs w:val="18"/>
              </w:rPr>
              <w:t>Growth</w:t>
            </w:r>
            <w:r w:rsidRPr="00250207">
              <w:rPr>
                <w:rFonts w:ascii="Times New Roman" w:hAnsi="Times New Roman" w:cs="Times New Roman"/>
                <w:b/>
                <w:bCs/>
                <w:i/>
                <w:iCs/>
                <w:sz w:val="18"/>
                <w:szCs w:val="18"/>
              </w:rPr>
              <w:t xml:space="preserve"> v. Profit and Neither-Nor</w:t>
            </w:r>
            <w:r w:rsidRPr="00250207">
              <w:rPr>
                <w:rFonts w:ascii="Times New Roman" w:hAnsi="Times New Roman" w:cs="Times New Roman"/>
                <w:b/>
                <w:bCs/>
                <w:sz w:val="18"/>
                <w:szCs w:val="18"/>
              </w:rPr>
              <w:t xml:space="preserve"> (β1)</w:t>
            </w:r>
          </w:p>
        </w:tc>
        <w:tc>
          <w:tcPr>
            <w:tcW w:w="776" w:type="pct"/>
            <w:tcBorders>
              <w:top w:val="single" w:sz="4" w:space="0" w:color="auto"/>
              <w:left w:val="nil"/>
              <w:bottom w:val="nil"/>
              <w:right w:val="nil"/>
            </w:tcBorders>
          </w:tcPr>
          <w:p w14:paraId="5389370B"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0.104***</w:t>
            </w:r>
          </w:p>
        </w:tc>
        <w:tc>
          <w:tcPr>
            <w:tcW w:w="776" w:type="pct"/>
            <w:tcBorders>
              <w:top w:val="single" w:sz="4" w:space="0" w:color="auto"/>
              <w:left w:val="nil"/>
              <w:bottom w:val="nil"/>
              <w:right w:val="nil"/>
            </w:tcBorders>
          </w:tcPr>
          <w:p w14:paraId="521188B2"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0.064***</w:t>
            </w:r>
          </w:p>
        </w:tc>
        <w:tc>
          <w:tcPr>
            <w:tcW w:w="776" w:type="pct"/>
            <w:tcBorders>
              <w:top w:val="single" w:sz="4" w:space="0" w:color="auto"/>
              <w:left w:val="nil"/>
              <w:bottom w:val="nil"/>
              <w:right w:val="nil"/>
            </w:tcBorders>
          </w:tcPr>
          <w:p w14:paraId="05B5FD7E"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0.073***</w:t>
            </w:r>
          </w:p>
        </w:tc>
        <w:tc>
          <w:tcPr>
            <w:tcW w:w="776" w:type="pct"/>
            <w:tcBorders>
              <w:top w:val="single" w:sz="4" w:space="0" w:color="auto"/>
              <w:left w:val="nil"/>
              <w:bottom w:val="nil"/>
              <w:right w:val="nil"/>
            </w:tcBorders>
          </w:tcPr>
          <w:p w14:paraId="31CA82AC"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0.049***</w:t>
            </w:r>
          </w:p>
        </w:tc>
      </w:tr>
      <w:tr w:rsidR="003F6BD4" w:rsidRPr="00A3505C" w14:paraId="191F231F" w14:textId="77777777" w:rsidTr="003F6BD4">
        <w:trPr>
          <w:trHeight w:val="65"/>
          <w:jc w:val="center"/>
        </w:trPr>
        <w:tc>
          <w:tcPr>
            <w:tcW w:w="1896" w:type="pct"/>
            <w:tcBorders>
              <w:top w:val="nil"/>
              <w:left w:val="nil"/>
              <w:bottom w:val="nil"/>
              <w:right w:val="nil"/>
            </w:tcBorders>
          </w:tcPr>
          <w:p w14:paraId="490154AC" w14:textId="77777777" w:rsidR="003F6BD4" w:rsidRPr="00250207" w:rsidRDefault="003F6BD4" w:rsidP="0033155D">
            <w:pPr>
              <w:autoSpaceDE w:val="0"/>
              <w:autoSpaceDN w:val="0"/>
              <w:adjustRightInd w:val="0"/>
              <w:snapToGrid w:val="0"/>
              <w:spacing w:after="0" w:line="264" w:lineRule="auto"/>
              <w:rPr>
                <w:rFonts w:ascii="Times New Roman" w:eastAsia="DengXian" w:hAnsi="Times New Roman" w:cs="Times New Roman"/>
                <w:b/>
                <w:bCs/>
                <w:sz w:val="18"/>
                <w:szCs w:val="18"/>
              </w:rPr>
            </w:pPr>
          </w:p>
        </w:tc>
        <w:tc>
          <w:tcPr>
            <w:tcW w:w="776" w:type="pct"/>
            <w:tcBorders>
              <w:top w:val="nil"/>
              <w:left w:val="nil"/>
              <w:bottom w:val="nil"/>
              <w:right w:val="nil"/>
            </w:tcBorders>
          </w:tcPr>
          <w:p w14:paraId="531A2ED0"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(3.843)</w:t>
            </w:r>
          </w:p>
        </w:tc>
        <w:tc>
          <w:tcPr>
            <w:tcW w:w="776" w:type="pct"/>
            <w:tcBorders>
              <w:top w:val="nil"/>
              <w:left w:val="nil"/>
              <w:bottom w:val="nil"/>
              <w:right w:val="nil"/>
            </w:tcBorders>
          </w:tcPr>
          <w:p w14:paraId="2E82C3B8"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(3.036)</w:t>
            </w:r>
          </w:p>
        </w:tc>
        <w:tc>
          <w:tcPr>
            <w:tcW w:w="776" w:type="pct"/>
            <w:tcBorders>
              <w:top w:val="nil"/>
              <w:left w:val="nil"/>
              <w:bottom w:val="nil"/>
              <w:right w:val="nil"/>
            </w:tcBorders>
          </w:tcPr>
          <w:p w14:paraId="699B41BC"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(3.682)</w:t>
            </w:r>
          </w:p>
        </w:tc>
        <w:tc>
          <w:tcPr>
            <w:tcW w:w="776" w:type="pct"/>
            <w:tcBorders>
              <w:top w:val="nil"/>
              <w:left w:val="nil"/>
              <w:bottom w:val="nil"/>
              <w:right w:val="nil"/>
            </w:tcBorders>
          </w:tcPr>
          <w:p w14:paraId="0435A59D"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(3.284)</w:t>
            </w:r>
          </w:p>
        </w:tc>
      </w:tr>
      <w:tr w:rsidR="003F6BD4" w:rsidRPr="00A3505C" w14:paraId="1933A6BE" w14:textId="77777777" w:rsidTr="003F6BD4">
        <w:trPr>
          <w:trHeight w:val="80"/>
          <w:jc w:val="center"/>
        </w:trPr>
        <w:tc>
          <w:tcPr>
            <w:tcW w:w="1896" w:type="pct"/>
            <w:tcBorders>
              <w:top w:val="nil"/>
              <w:left w:val="nil"/>
              <w:bottom w:val="nil"/>
              <w:right w:val="nil"/>
            </w:tcBorders>
          </w:tcPr>
          <w:p w14:paraId="5A9320BF" w14:textId="77777777" w:rsidR="003F6BD4" w:rsidRPr="00A3505C" w:rsidRDefault="003F6BD4" w:rsidP="0033155D">
            <w:pPr>
              <w:autoSpaceDE w:val="0"/>
              <w:autoSpaceDN w:val="0"/>
              <w:adjustRightInd w:val="0"/>
              <w:snapToGrid w:val="0"/>
              <w:spacing w:after="0" w:line="264" w:lineRule="auto"/>
              <w:rPr>
                <w:rFonts w:ascii="Times New Roman" w:eastAsia="DengXian" w:hAnsi="Times New Roman" w:cs="Times New Roman"/>
                <w:i/>
                <w:sz w:val="18"/>
                <w:szCs w:val="18"/>
              </w:rPr>
            </w:pPr>
            <w:r w:rsidRPr="00A3505C">
              <w:rPr>
                <w:rFonts w:ascii="Times New Roman" w:eastAsia="DengXian" w:hAnsi="Times New Roman" w:cs="Times New Roman"/>
                <w:i/>
                <w:sz w:val="18"/>
                <w:szCs w:val="18"/>
              </w:rPr>
              <w:t>Controls</w:t>
            </w:r>
          </w:p>
        </w:tc>
        <w:tc>
          <w:tcPr>
            <w:tcW w:w="776" w:type="pct"/>
            <w:tcBorders>
              <w:top w:val="nil"/>
              <w:left w:val="nil"/>
              <w:bottom w:val="nil"/>
              <w:right w:val="nil"/>
            </w:tcBorders>
          </w:tcPr>
          <w:p w14:paraId="595C19F9"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3D5D567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40CA505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2C782BC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6B1F3BA1" w14:textId="77777777" w:rsidTr="003F6BD4">
        <w:trPr>
          <w:jc w:val="center"/>
        </w:trPr>
        <w:tc>
          <w:tcPr>
            <w:tcW w:w="1896" w:type="pct"/>
            <w:tcBorders>
              <w:left w:val="nil"/>
              <w:bottom w:val="nil"/>
              <w:right w:val="nil"/>
            </w:tcBorders>
          </w:tcPr>
          <w:p w14:paraId="6D9084C3"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776" w:type="pct"/>
            <w:tcBorders>
              <w:left w:val="nil"/>
              <w:bottom w:val="nil"/>
              <w:right w:val="nil"/>
            </w:tcBorders>
          </w:tcPr>
          <w:p w14:paraId="5C42207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6FE3E678"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50D6BC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3EEB7CC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26FACA02" w14:textId="77777777" w:rsidTr="003F6BD4">
        <w:trPr>
          <w:jc w:val="center"/>
        </w:trPr>
        <w:tc>
          <w:tcPr>
            <w:tcW w:w="1896" w:type="pct"/>
            <w:tcBorders>
              <w:left w:val="nil"/>
              <w:bottom w:val="nil"/>
              <w:right w:val="nil"/>
            </w:tcBorders>
          </w:tcPr>
          <w:p w14:paraId="283F7F0F"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776" w:type="pct"/>
            <w:tcBorders>
              <w:left w:val="nil"/>
              <w:bottom w:val="nil"/>
              <w:right w:val="nil"/>
            </w:tcBorders>
          </w:tcPr>
          <w:p w14:paraId="26FA27C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65D417F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4A92EF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397A617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20CD0F87" w14:textId="77777777" w:rsidTr="003F6BD4">
        <w:trPr>
          <w:jc w:val="center"/>
        </w:trPr>
        <w:tc>
          <w:tcPr>
            <w:tcW w:w="1896" w:type="pct"/>
            <w:tcBorders>
              <w:left w:val="nil"/>
              <w:bottom w:val="nil"/>
              <w:right w:val="nil"/>
            </w:tcBorders>
          </w:tcPr>
          <w:p w14:paraId="7E248125"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776" w:type="pct"/>
            <w:tcBorders>
              <w:left w:val="nil"/>
              <w:bottom w:val="nil"/>
              <w:right w:val="nil"/>
            </w:tcBorders>
          </w:tcPr>
          <w:p w14:paraId="597B612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6D4AE09E"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6C980A3A"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FCD4497"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31DB4794" w14:textId="77777777" w:rsidTr="003F6BD4">
        <w:trPr>
          <w:jc w:val="center"/>
        </w:trPr>
        <w:tc>
          <w:tcPr>
            <w:tcW w:w="1896" w:type="pct"/>
            <w:tcBorders>
              <w:left w:val="nil"/>
              <w:bottom w:val="nil"/>
              <w:right w:val="nil"/>
            </w:tcBorders>
          </w:tcPr>
          <w:p w14:paraId="75D96A22"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Entropy Balanced</w:t>
            </w:r>
          </w:p>
        </w:tc>
        <w:tc>
          <w:tcPr>
            <w:tcW w:w="776" w:type="pct"/>
            <w:tcBorders>
              <w:left w:val="nil"/>
              <w:bottom w:val="nil"/>
              <w:right w:val="nil"/>
            </w:tcBorders>
          </w:tcPr>
          <w:p w14:paraId="30C98E1E"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3F5DE0C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0F85F26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20B0989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236D7237" w14:textId="77777777" w:rsidTr="003F6BD4">
        <w:trPr>
          <w:jc w:val="center"/>
        </w:trPr>
        <w:tc>
          <w:tcPr>
            <w:tcW w:w="1896" w:type="pct"/>
            <w:tcBorders>
              <w:top w:val="nil"/>
              <w:left w:val="nil"/>
              <w:bottom w:val="nil"/>
              <w:right w:val="nil"/>
            </w:tcBorders>
          </w:tcPr>
          <w:p w14:paraId="4455C75E"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F-test: β1 across different subsamples (p-value)</w:t>
            </w:r>
          </w:p>
        </w:tc>
        <w:tc>
          <w:tcPr>
            <w:tcW w:w="1552" w:type="pct"/>
            <w:gridSpan w:val="2"/>
            <w:tcBorders>
              <w:top w:val="nil"/>
              <w:left w:val="nil"/>
              <w:bottom w:val="nil"/>
              <w:right w:val="nil"/>
            </w:tcBorders>
          </w:tcPr>
          <w:p w14:paraId="29CE296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0.032**</w:t>
            </w:r>
          </w:p>
        </w:tc>
        <w:tc>
          <w:tcPr>
            <w:tcW w:w="1552" w:type="pct"/>
            <w:gridSpan w:val="2"/>
            <w:tcBorders>
              <w:top w:val="nil"/>
              <w:left w:val="nil"/>
              <w:bottom w:val="nil"/>
              <w:right w:val="nil"/>
            </w:tcBorders>
          </w:tcPr>
          <w:p w14:paraId="65164BF9"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0.024**</w:t>
            </w:r>
          </w:p>
        </w:tc>
      </w:tr>
      <w:tr w:rsidR="003F6BD4" w:rsidRPr="00A3505C" w14:paraId="0231630D" w14:textId="77777777" w:rsidTr="003F6BD4">
        <w:trPr>
          <w:trHeight w:val="80"/>
          <w:jc w:val="center"/>
        </w:trPr>
        <w:tc>
          <w:tcPr>
            <w:tcW w:w="1896" w:type="pct"/>
            <w:tcBorders>
              <w:top w:val="nil"/>
              <w:left w:val="nil"/>
              <w:right w:val="nil"/>
            </w:tcBorders>
          </w:tcPr>
          <w:p w14:paraId="38C36AE4"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776" w:type="pct"/>
            <w:tcBorders>
              <w:top w:val="nil"/>
              <w:left w:val="nil"/>
              <w:right w:val="nil"/>
            </w:tcBorders>
          </w:tcPr>
          <w:p w14:paraId="3BE88E89"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7,763</w:t>
            </w:r>
          </w:p>
        </w:tc>
        <w:tc>
          <w:tcPr>
            <w:tcW w:w="776" w:type="pct"/>
            <w:tcBorders>
              <w:top w:val="nil"/>
              <w:left w:val="nil"/>
              <w:right w:val="nil"/>
            </w:tcBorders>
          </w:tcPr>
          <w:p w14:paraId="63B0F23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12,067</w:t>
            </w:r>
          </w:p>
        </w:tc>
        <w:tc>
          <w:tcPr>
            <w:tcW w:w="776" w:type="pct"/>
            <w:tcBorders>
              <w:top w:val="nil"/>
              <w:left w:val="nil"/>
              <w:right w:val="nil"/>
            </w:tcBorders>
          </w:tcPr>
          <w:p w14:paraId="1648F6A8"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7,763</w:t>
            </w:r>
          </w:p>
        </w:tc>
        <w:tc>
          <w:tcPr>
            <w:tcW w:w="776" w:type="pct"/>
            <w:tcBorders>
              <w:top w:val="nil"/>
              <w:left w:val="nil"/>
              <w:right w:val="nil"/>
            </w:tcBorders>
          </w:tcPr>
          <w:p w14:paraId="082B5A3C"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12,067</w:t>
            </w:r>
          </w:p>
        </w:tc>
      </w:tr>
      <w:tr w:rsidR="003F6BD4" w:rsidRPr="00A3505C" w14:paraId="61F287DE" w14:textId="77777777" w:rsidTr="003F6BD4">
        <w:tblPrEx>
          <w:tblBorders>
            <w:bottom w:val="single" w:sz="6" w:space="0" w:color="auto"/>
          </w:tblBorders>
        </w:tblPrEx>
        <w:trPr>
          <w:jc w:val="center"/>
        </w:trPr>
        <w:tc>
          <w:tcPr>
            <w:tcW w:w="1896" w:type="pct"/>
            <w:tcBorders>
              <w:top w:val="nil"/>
              <w:left w:val="nil"/>
              <w:bottom w:val="single" w:sz="4" w:space="0" w:color="auto"/>
              <w:right w:val="nil"/>
            </w:tcBorders>
          </w:tcPr>
          <w:p w14:paraId="3BB1A67D"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776" w:type="pct"/>
            <w:tcBorders>
              <w:top w:val="nil"/>
              <w:left w:val="nil"/>
              <w:bottom w:val="single" w:sz="4" w:space="0" w:color="auto"/>
              <w:right w:val="nil"/>
            </w:tcBorders>
          </w:tcPr>
          <w:p w14:paraId="294CEF2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0.292</w:t>
            </w:r>
          </w:p>
        </w:tc>
        <w:tc>
          <w:tcPr>
            <w:tcW w:w="776" w:type="pct"/>
            <w:tcBorders>
              <w:top w:val="nil"/>
              <w:left w:val="nil"/>
              <w:bottom w:val="single" w:sz="4" w:space="0" w:color="auto"/>
              <w:right w:val="nil"/>
            </w:tcBorders>
          </w:tcPr>
          <w:p w14:paraId="0780025E"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0.206</w:t>
            </w:r>
          </w:p>
        </w:tc>
        <w:tc>
          <w:tcPr>
            <w:tcW w:w="776" w:type="pct"/>
            <w:tcBorders>
              <w:top w:val="nil"/>
              <w:left w:val="nil"/>
              <w:bottom w:val="single" w:sz="4" w:space="0" w:color="auto"/>
              <w:right w:val="nil"/>
            </w:tcBorders>
          </w:tcPr>
          <w:p w14:paraId="54E77709"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0.280</w:t>
            </w:r>
          </w:p>
        </w:tc>
        <w:tc>
          <w:tcPr>
            <w:tcW w:w="776" w:type="pct"/>
            <w:tcBorders>
              <w:top w:val="nil"/>
              <w:left w:val="nil"/>
              <w:bottom w:val="single" w:sz="4" w:space="0" w:color="auto"/>
              <w:right w:val="nil"/>
            </w:tcBorders>
          </w:tcPr>
          <w:p w14:paraId="4ECE788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0.191</w:t>
            </w:r>
          </w:p>
        </w:tc>
      </w:tr>
      <w:tr w:rsidR="003F6BD4" w:rsidRPr="00A3505C" w14:paraId="01BECE56" w14:textId="77777777" w:rsidTr="003F6BD4">
        <w:trPr>
          <w:jc w:val="center"/>
        </w:trPr>
        <w:tc>
          <w:tcPr>
            <w:tcW w:w="5000" w:type="pct"/>
            <w:gridSpan w:val="5"/>
            <w:tcBorders>
              <w:top w:val="single" w:sz="6" w:space="0" w:color="auto"/>
              <w:left w:val="nil"/>
              <w:bottom w:val="single" w:sz="4" w:space="0" w:color="auto"/>
              <w:right w:val="nil"/>
            </w:tcBorders>
          </w:tcPr>
          <w:p w14:paraId="30532BA9" w14:textId="77777777" w:rsidR="003F6BD4" w:rsidRPr="00A3505C" w:rsidRDefault="003F6BD4" w:rsidP="0033155D">
            <w:pPr>
              <w:autoSpaceDE w:val="0"/>
              <w:autoSpaceDN w:val="0"/>
              <w:adjustRightInd w:val="0"/>
              <w:snapToGrid w:val="0"/>
              <w:spacing w:before="60" w:after="60" w:line="264" w:lineRule="auto"/>
              <w:rPr>
                <w:rFonts w:ascii="Times New Roman" w:hAnsi="Times New Roman" w:cs="Times New Roman"/>
                <w:b/>
                <w:sz w:val="18"/>
                <w:szCs w:val="18"/>
              </w:rPr>
            </w:pPr>
            <w:r w:rsidRPr="00A3505C">
              <w:rPr>
                <w:rFonts w:ascii="Times New Roman" w:hAnsi="Times New Roman" w:cs="Times New Roman"/>
                <w:b/>
                <w:sz w:val="18"/>
                <w:szCs w:val="18"/>
              </w:rPr>
              <w:t>Panel B. Environmental regulatory intensity of regions where profit-oriented firms are headquartered</w:t>
            </w:r>
          </w:p>
        </w:tc>
      </w:tr>
      <w:tr w:rsidR="003F6BD4" w:rsidRPr="00A3505C" w14:paraId="53CF364F" w14:textId="77777777" w:rsidTr="003F6BD4">
        <w:trPr>
          <w:jc w:val="center"/>
        </w:trPr>
        <w:tc>
          <w:tcPr>
            <w:tcW w:w="1896" w:type="pct"/>
            <w:tcBorders>
              <w:top w:val="single" w:sz="4" w:space="0" w:color="auto"/>
              <w:left w:val="nil"/>
              <w:right w:val="nil"/>
            </w:tcBorders>
          </w:tcPr>
          <w:p w14:paraId="0FFE67DA"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1552" w:type="pct"/>
            <w:gridSpan w:val="2"/>
            <w:tcBorders>
              <w:top w:val="single" w:sz="4" w:space="0" w:color="auto"/>
              <w:left w:val="nil"/>
              <w:bottom w:val="single" w:sz="4" w:space="0" w:color="auto"/>
              <w:right w:val="nil"/>
            </w:tcBorders>
          </w:tcPr>
          <w:p w14:paraId="2DE2C8E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1552" w:type="pct"/>
            <w:gridSpan w:val="2"/>
            <w:tcBorders>
              <w:top w:val="single" w:sz="4" w:space="0" w:color="auto"/>
              <w:left w:val="nil"/>
              <w:bottom w:val="single" w:sz="4" w:space="0" w:color="auto"/>
              <w:right w:val="nil"/>
            </w:tcBorders>
          </w:tcPr>
          <w:p w14:paraId="7042F57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r>
      <w:tr w:rsidR="003F6BD4" w:rsidRPr="00A3505C" w14:paraId="0223E348" w14:textId="77777777" w:rsidTr="003F6BD4">
        <w:trPr>
          <w:jc w:val="center"/>
        </w:trPr>
        <w:tc>
          <w:tcPr>
            <w:tcW w:w="1896" w:type="pct"/>
            <w:tcBorders>
              <w:left w:val="nil"/>
              <w:bottom w:val="single" w:sz="4" w:space="0" w:color="auto"/>
              <w:right w:val="nil"/>
            </w:tcBorders>
          </w:tcPr>
          <w:p w14:paraId="4F636684"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p>
        </w:tc>
        <w:tc>
          <w:tcPr>
            <w:tcW w:w="776" w:type="pct"/>
            <w:tcBorders>
              <w:top w:val="single" w:sz="6" w:space="0" w:color="auto"/>
              <w:left w:val="nil"/>
              <w:bottom w:val="single" w:sz="4" w:space="0" w:color="auto"/>
              <w:right w:val="nil"/>
            </w:tcBorders>
          </w:tcPr>
          <w:p w14:paraId="3360AC6C"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p w14:paraId="1EC3763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High regulatory intensity</w:t>
            </w:r>
          </w:p>
          <w:p w14:paraId="4B9BD52E"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(High </w:t>
            </w:r>
            <w:r w:rsidRPr="00A3505C">
              <w:rPr>
                <w:rFonts w:ascii="Times New Roman" w:hAnsi="Times New Roman" w:cs="Times New Roman"/>
                <w:i/>
                <w:sz w:val="18"/>
                <w:szCs w:val="18"/>
              </w:rPr>
              <w:t>ENV</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344E297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p w14:paraId="3598A4D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Low regulatory intensity</w:t>
            </w:r>
          </w:p>
          <w:p w14:paraId="3BF8052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(Low </w:t>
            </w:r>
            <w:r w:rsidRPr="00A3505C">
              <w:rPr>
                <w:rFonts w:ascii="Times New Roman" w:hAnsi="Times New Roman" w:cs="Times New Roman"/>
                <w:i/>
                <w:sz w:val="18"/>
                <w:szCs w:val="18"/>
              </w:rPr>
              <w:t>ENV</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34EA5C1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p w14:paraId="1DDCD885"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High regulatory intensity</w:t>
            </w:r>
          </w:p>
          <w:p w14:paraId="3C6B363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(High </w:t>
            </w:r>
            <w:r w:rsidRPr="00A3505C">
              <w:rPr>
                <w:rFonts w:ascii="Times New Roman" w:hAnsi="Times New Roman" w:cs="Times New Roman"/>
                <w:i/>
                <w:sz w:val="18"/>
                <w:szCs w:val="18"/>
              </w:rPr>
              <w:t>ENV</w:t>
            </w:r>
            <w:r w:rsidRPr="00A3505C">
              <w:rPr>
                <w:rFonts w:ascii="Times New Roman" w:hAnsi="Times New Roman" w:cs="Times New Roman"/>
                <w:sz w:val="18"/>
                <w:szCs w:val="18"/>
              </w:rPr>
              <w:t>)</w:t>
            </w:r>
          </w:p>
        </w:tc>
        <w:tc>
          <w:tcPr>
            <w:tcW w:w="776" w:type="pct"/>
            <w:tcBorders>
              <w:top w:val="single" w:sz="6" w:space="0" w:color="auto"/>
              <w:left w:val="nil"/>
              <w:bottom w:val="single" w:sz="4" w:space="0" w:color="auto"/>
              <w:right w:val="nil"/>
            </w:tcBorders>
          </w:tcPr>
          <w:p w14:paraId="780AC16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p w14:paraId="4FAA70D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Low regulatory intensity</w:t>
            </w:r>
          </w:p>
          <w:p w14:paraId="58B7116A"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 xml:space="preserve">(Low </w:t>
            </w:r>
            <w:r w:rsidRPr="00A3505C">
              <w:rPr>
                <w:rFonts w:ascii="Times New Roman" w:hAnsi="Times New Roman" w:cs="Times New Roman"/>
                <w:i/>
                <w:sz w:val="18"/>
                <w:szCs w:val="18"/>
              </w:rPr>
              <w:t>ENV</w:t>
            </w:r>
            <w:r w:rsidRPr="00A3505C">
              <w:rPr>
                <w:rFonts w:ascii="Times New Roman" w:hAnsi="Times New Roman" w:cs="Times New Roman"/>
                <w:sz w:val="18"/>
                <w:szCs w:val="18"/>
              </w:rPr>
              <w:t>)</w:t>
            </w:r>
          </w:p>
        </w:tc>
      </w:tr>
      <w:tr w:rsidR="003F6BD4" w:rsidRPr="00A3505C" w14:paraId="15AA579C" w14:textId="77777777" w:rsidTr="003F6BD4">
        <w:trPr>
          <w:trHeight w:val="145"/>
          <w:jc w:val="center"/>
        </w:trPr>
        <w:tc>
          <w:tcPr>
            <w:tcW w:w="1896" w:type="pct"/>
            <w:tcBorders>
              <w:top w:val="single" w:sz="4" w:space="0" w:color="auto"/>
              <w:left w:val="nil"/>
              <w:bottom w:val="nil"/>
              <w:right w:val="nil"/>
            </w:tcBorders>
          </w:tcPr>
          <w:p w14:paraId="35D2F77B" w14:textId="77777777" w:rsidR="003F6BD4" w:rsidRPr="00250207" w:rsidRDefault="003F6BD4" w:rsidP="0033155D">
            <w:pPr>
              <w:autoSpaceDE w:val="0"/>
              <w:autoSpaceDN w:val="0"/>
              <w:adjustRightInd w:val="0"/>
              <w:snapToGrid w:val="0"/>
              <w:spacing w:after="0" w:line="264" w:lineRule="auto"/>
              <w:rPr>
                <w:rFonts w:ascii="Times New Roman" w:eastAsia="DengXian" w:hAnsi="Times New Roman" w:cs="Times New Roman"/>
                <w:b/>
                <w:bCs/>
                <w:sz w:val="18"/>
                <w:szCs w:val="18"/>
              </w:rPr>
            </w:pPr>
            <w:r w:rsidRPr="00250207">
              <w:rPr>
                <w:rFonts w:ascii="Times New Roman" w:hAnsi="Times New Roman" w:cs="Times New Roman"/>
                <w:b/>
                <w:bCs/>
                <w:i/>
                <w:sz w:val="18"/>
                <w:szCs w:val="18"/>
              </w:rPr>
              <w:t>Profit</w:t>
            </w:r>
            <w:r w:rsidRPr="00250207">
              <w:rPr>
                <w:rFonts w:ascii="Times New Roman" w:hAnsi="Times New Roman" w:cs="Times New Roman"/>
                <w:b/>
                <w:bCs/>
                <w:i/>
                <w:iCs/>
                <w:sz w:val="18"/>
                <w:szCs w:val="18"/>
              </w:rPr>
              <w:t xml:space="preserve"> v. Growth and Neither-Nor</w:t>
            </w:r>
            <w:r w:rsidRPr="00250207">
              <w:rPr>
                <w:rFonts w:ascii="Times New Roman" w:hAnsi="Times New Roman" w:cs="Times New Roman"/>
                <w:b/>
                <w:bCs/>
                <w:sz w:val="18"/>
                <w:szCs w:val="18"/>
              </w:rPr>
              <w:t xml:space="preserve"> (β1)</w:t>
            </w:r>
          </w:p>
        </w:tc>
        <w:tc>
          <w:tcPr>
            <w:tcW w:w="776" w:type="pct"/>
            <w:tcBorders>
              <w:top w:val="single" w:sz="4" w:space="0" w:color="auto"/>
              <w:left w:val="nil"/>
              <w:bottom w:val="nil"/>
              <w:right w:val="nil"/>
            </w:tcBorders>
          </w:tcPr>
          <w:p w14:paraId="796CF79C"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-0.014</w:t>
            </w:r>
          </w:p>
        </w:tc>
        <w:tc>
          <w:tcPr>
            <w:tcW w:w="776" w:type="pct"/>
            <w:tcBorders>
              <w:top w:val="single" w:sz="4" w:space="0" w:color="auto"/>
              <w:left w:val="nil"/>
              <w:bottom w:val="nil"/>
              <w:right w:val="nil"/>
            </w:tcBorders>
          </w:tcPr>
          <w:p w14:paraId="646408EA"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-0.094***</w:t>
            </w:r>
          </w:p>
        </w:tc>
        <w:tc>
          <w:tcPr>
            <w:tcW w:w="776" w:type="pct"/>
            <w:tcBorders>
              <w:top w:val="single" w:sz="4" w:space="0" w:color="auto"/>
              <w:left w:val="nil"/>
              <w:bottom w:val="nil"/>
              <w:right w:val="nil"/>
            </w:tcBorders>
          </w:tcPr>
          <w:p w14:paraId="6CB6F2EA"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-0.002</w:t>
            </w:r>
          </w:p>
        </w:tc>
        <w:tc>
          <w:tcPr>
            <w:tcW w:w="776" w:type="pct"/>
            <w:tcBorders>
              <w:top w:val="single" w:sz="4" w:space="0" w:color="auto"/>
              <w:left w:val="nil"/>
              <w:bottom w:val="nil"/>
              <w:right w:val="nil"/>
            </w:tcBorders>
          </w:tcPr>
          <w:p w14:paraId="4191E927"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-0.046***</w:t>
            </w:r>
          </w:p>
        </w:tc>
      </w:tr>
      <w:tr w:rsidR="003F6BD4" w:rsidRPr="00A3505C" w14:paraId="568EF4E3" w14:textId="77777777" w:rsidTr="003F6BD4">
        <w:trPr>
          <w:trHeight w:val="65"/>
          <w:jc w:val="center"/>
        </w:trPr>
        <w:tc>
          <w:tcPr>
            <w:tcW w:w="1896" w:type="pct"/>
            <w:tcBorders>
              <w:top w:val="nil"/>
              <w:left w:val="nil"/>
              <w:bottom w:val="nil"/>
              <w:right w:val="nil"/>
            </w:tcBorders>
          </w:tcPr>
          <w:p w14:paraId="42EFB85D" w14:textId="77777777" w:rsidR="003F6BD4" w:rsidRPr="00250207" w:rsidRDefault="003F6BD4" w:rsidP="0033155D">
            <w:pPr>
              <w:autoSpaceDE w:val="0"/>
              <w:autoSpaceDN w:val="0"/>
              <w:adjustRightInd w:val="0"/>
              <w:snapToGrid w:val="0"/>
              <w:spacing w:after="0" w:line="264" w:lineRule="auto"/>
              <w:rPr>
                <w:rFonts w:ascii="Times New Roman" w:eastAsia="DengXian" w:hAnsi="Times New Roman" w:cs="Times New Roman"/>
                <w:b/>
                <w:bCs/>
                <w:sz w:val="18"/>
                <w:szCs w:val="18"/>
              </w:rPr>
            </w:pPr>
          </w:p>
        </w:tc>
        <w:tc>
          <w:tcPr>
            <w:tcW w:w="776" w:type="pct"/>
            <w:tcBorders>
              <w:top w:val="nil"/>
              <w:left w:val="nil"/>
              <w:bottom w:val="nil"/>
              <w:right w:val="nil"/>
            </w:tcBorders>
          </w:tcPr>
          <w:p w14:paraId="0180A693"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(-0.466)</w:t>
            </w:r>
          </w:p>
        </w:tc>
        <w:tc>
          <w:tcPr>
            <w:tcW w:w="776" w:type="pct"/>
            <w:tcBorders>
              <w:top w:val="nil"/>
              <w:left w:val="nil"/>
              <w:bottom w:val="nil"/>
              <w:right w:val="nil"/>
            </w:tcBorders>
          </w:tcPr>
          <w:p w14:paraId="3F830043"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(-3.275)</w:t>
            </w:r>
          </w:p>
        </w:tc>
        <w:tc>
          <w:tcPr>
            <w:tcW w:w="776" w:type="pct"/>
            <w:tcBorders>
              <w:top w:val="nil"/>
              <w:left w:val="nil"/>
              <w:bottom w:val="nil"/>
              <w:right w:val="nil"/>
            </w:tcBorders>
          </w:tcPr>
          <w:p w14:paraId="1FADE049"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(-0.103)</w:t>
            </w:r>
          </w:p>
        </w:tc>
        <w:tc>
          <w:tcPr>
            <w:tcW w:w="776" w:type="pct"/>
            <w:tcBorders>
              <w:top w:val="nil"/>
              <w:left w:val="nil"/>
              <w:bottom w:val="nil"/>
              <w:right w:val="nil"/>
            </w:tcBorders>
          </w:tcPr>
          <w:p w14:paraId="6C821C92" w14:textId="77777777" w:rsidR="003F6BD4" w:rsidRPr="00250207" w:rsidRDefault="003F6BD4" w:rsidP="0033155D">
            <w:pPr>
              <w:autoSpaceDE w:val="0"/>
              <w:autoSpaceDN w:val="0"/>
              <w:adjustRightInd w:val="0"/>
              <w:snapToGrid w:val="0"/>
              <w:spacing w:after="0" w:line="264" w:lineRule="auto"/>
              <w:jc w:val="center"/>
              <w:rPr>
                <w:rFonts w:ascii="Times New Roman" w:hAnsi="Times New Roman" w:cs="Times New Roman"/>
                <w:b/>
                <w:bCs/>
                <w:sz w:val="18"/>
                <w:szCs w:val="18"/>
              </w:rPr>
            </w:pPr>
            <w:r w:rsidRPr="00250207">
              <w:rPr>
                <w:rFonts w:ascii="Times New Roman" w:hAnsi="Times New Roman" w:cs="Times New Roman"/>
                <w:b/>
                <w:bCs/>
                <w:sz w:val="18"/>
                <w:szCs w:val="18"/>
              </w:rPr>
              <w:t>(-3.184)</w:t>
            </w:r>
          </w:p>
        </w:tc>
      </w:tr>
      <w:tr w:rsidR="003F6BD4" w:rsidRPr="00A3505C" w14:paraId="74F01320" w14:textId="77777777" w:rsidTr="003F6BD4">
        <w:trPr>
          <w:trHeight w:val="80"/>
          <w:jc w:val="center"/>
        </w:trPr>
        <w:tc>
          <w:tcPr>
            <w:tcW w:w="1896" w:type="pct"/>
            <w:tcBorders>
              <w:top w:val="nil"/>
              <w:left w:val="nil"/>
              <w:bottom w:val="nil"/>
              <w:right w:val="nil"/>
            </w:tcBorders>
          </w:tcPr>
          <w:p w14:paraId="45559F60" w14:textId="77777777" w:rsidR="003F6BD4" w:rsidRPr="00A3505C" w:rsidRDefault="003F6BD4" w:rsidP="0033155D">
            <w:pPr>
              <w:autoSpaceDE w:val="0"/>
              <w:autoSpaceDN w:val="0"/>
              <w:adjustRightInd w:val="0"/>
              <w:snapToGrid w:val="0"/>
              <w:spacing w:after="0" w:line="264" w:lineRule="auto"/>
              <w:rPr>
                <w:rFonts w:ascii="Times New Roman" w:eastAsia="DengXian" w:hAnsi="Times New Roman" w:cs="Times New Roman"/>
                <w:i/>
                <w:sz w:val="18"/>
                <w:szCs w:val="18"/>
              </w:rPr>
            </w:pPr>
            <w:r w:rsidRPr="00A3505C">
              <w:rPr>
                <w:rFonts w:ascii="Times New Roman" w:eastAsia="DengXian" w:hAnsi="Times New Roman" w:cs="Times New Roman"/>
                <w:i/>
                <w:sz w:val="18"/>
                <w:szCs w:val="18"/>
              </w:rPr>
              <w:t>Controls</w:t>
            </w:r>
          </w:p>
        </w:tc>
        <w:tc>
          <w:tcPr>
            <w:tcW w:w="776" w:type="pct"/>
            <w:tcBorders>
              <w:top w:val="nil"/>
              <w:left w:val="nil"/>
              <w:bottom w:val="nil"/>
              <w:right w:val="nil"/>
            </w:tcBorders>
          </w:tcPr>
          <w:p w14:paraId="00D009D5"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4815EFB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0C9945CD"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top w:val="nil"/>
              <w:left w:val="nil"/>
              <w:bottom w:val="nil"/>
              <w:right w:val="nil"/>
            </w:tcBorders>
          </w:tcPr>
          <w:p w14:paraId="6F17890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1ECF453D" w14:textId="77777777" w:rsidTr="003F6BD4">
        <w:trPr>
          <w:jc w:val="center"/>
        </w:trPr>
        <w:tc>
          <w:tcPr>
            <w:tcW w:w="1896" w:type="pct"/>
            <w:tcBorders>
              <w:left w:val="nil"/>
              <w:bottom w:val="nil"/>
              <w:right w:val="nil"/>
            </w:tcBorders>
          </w:tcPr>
          <w:p w14:paraId="391AA724"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776" w:type="pct"/>
            <w:tcBorders>
              <w:left w:val="nil"/>
              <w:bottom w:val="nil"/>
              <w:right w:val="nil"/>
            </w:tcBorders>
          </w:tcPr>
          <w:p w14:paraId="4E8AD4F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3F17D24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0FE9E40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ADCAC6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7005F380" w14:textId="77777777" w:rsidTr="003F6BD4">
        <w:trPr>
          <w:jc w:val="center"/>
        </w:trPr>
        <w:tc>
          <w:tcPr>
            <w:tcW w:w="1896" w:type="pct"/>
            <w:tcBorders>
              <w:left w:val="nil"/>
              <w:bottom w:val="nil"/>
              <w:right w:val="nil"/>
            </w:tcBorders>
          </w:tcPr>
          <w:p w14:paraId="109FE9C3"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776" w:type="pct"/>
            <w:tcBorders>
              <w:left w:val="nil"/>
              <w:bottom w:val="nil"/>
              <w:right w:val="nil"/>
            </w:tcBorders>
          </w:tcPr>
          <w:p w14:paraId="61D7A4F2"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28DFC037"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2ADDD1D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AC76F4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6AA2DFAB" w14:textId="77777777" w:rsidTr="003F6BD4">
        <w:trPr>
          <w:jc w:val="center"/>
        </w:trPr>
        <w:tc>
          <w:tcPr>
            <w:tcW w:w="1896" w:type="pct"/>
            <w:tcBorders>
              <w:left w:val="nil"/>
              <w:bottom w:val="nil"/>
              <w:right w:val="nil"/>
            </w:tcBorders>
          </w:tcPr>
          <w:p w14:paraId="2F5B727B"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776" w:type="pct"/>
            <w:tcBorders>
              <w:left w:val="nil"/>
              <w:bottom w:val="nil"/>
              <w:right w:val="nil"/>
            </w:tcBorders>
          </w:tcPr>
          <w:p w14:paraId="6243B19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5A0211E7"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C75AF66"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69D6A5C8"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6004A0CD" w14:textId="77777777" w:rsidTr="003F6BD4">
        <w:trPr>
          <w:jc w:val="center"/>
        </w:trPr>
        <w:tc>
          <w:tcPr>
            <w:tcW w:w="1896" w:type="pct"/>
            <w:tcBorders>
              <w:left w:val="nil"/>
              <w:bottom w:val="nil"/>
              <w:right w:val="nil"/>
            </w:tcBorders>
          </w:tcPr>
          <w:p w14:paraId="056B8030"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Entropy Balanced</w:t>
            </w:r>
          </w:p>
        </w:tc>
        <w:tc>
          <w:tcPr>
            <w:tcW w:w="776" w:type="pct"/>
            <w:tcBorders>
              <w:left w:val="nil"/>
              <w:bottom w:val="nil"/>
              <w:right w:val="nil"/>
            </w:tcBorders>
          </w:tcPr>
          <w:p w14:paraId="0821557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01D9115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7F7A551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76" w:type="pct"/>
            <w:tcBorders>
              <w:left w:val="nil"/>
              <w:bottom w:val="nil"/>
              <w:right w:val="nil"/>
            </w:tcBorders>
          </w:tcPr>
          <w:p w14:paraId="13207A68"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3F6BD4" w:rsidRPr="00A3505C" w14:paraId="024CDEE4" w14:textId="77777777" w:rsidTr="003F6BD4">
        <w:trPr>
          <w:jc w:val="center"/>
        </w:trPr>
        <w:tc>
          <w:tcPr>
            <w:tcW w:w="1896" w:type="pct"/>
            <w:tcBorders>
              <w:top w:val="nil"/>
              <w:left w:val="nil"/>
              <w:bottom w:val="nil"/>
              <w:right w:val="nil"/>
            </w:tcBorders>
          </w:tcPr>
          <w:p w14:paraId="2C99BB14"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F-test: β1 across different subsamples (p-value)</w:t>
            </w:r>
          </w:p>
        </w:tc>
        <w:tc>
          <w:tcPr>
            <w:tcW w:w="1552" w:type="pct"/>
            <w:gridSpan w:val="2"/>
            <w:tcBorders>
              <w:top w:val="nil"/>
              <w:left w:val="nil"/>
              <w:bottom w:val="nil"/>
              <w:right w:val="nil"/>
            </w:tcBorders>
          </w:tcPr>
          <w:p w14:paraId="20AAC99B"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0.000***</w:t>
            </w:r>
          </w:p>
        </w:tc>
        <w:tc>
          <w:tcPr>
            <w:tcW w:w="1552" w:type="pct"/>
            <w:gridSpan w:val="2"/>
            <w:tcBorders>
              <w:top w:val="nil"/>
              <w:left w:val="nil"/>
              <w:bottom w:val="nil"/>
              <w:right w:val="nil"/>
            </w:tcBorders>
          </w:tcPr>
          <w:p w14:paraId="530502E5"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0.000***</w:t>
            </w:r>
          </w:p>
        </w:tc>
      </w:tr>
      <w:tr w:rsidR="003F6BD4" w:rsidRPr="00A3505C" w14:paraId="4472879C" w14:textId="77777777" w:rsidTr="003F6BD4">
        <w:trPr>
          <w:trHeight w:val="80"/>
          <w:jc w:val="center"/>
        </w:trPr>
        <w:tc>
          <w:tcPr>
            <w:tcW w:w="1896" w:type="pct"/>
            <w:tcBorders>
              <w:top w:val="nil"/>
              <w:left w:val="nil"/>
              <w:right w:val="nil"/>
            </w:tcBorders>
          </w:tcPr>
          <w:p w14:paraId="5A0F802E"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776" w:type="pct"/>
            <w:tcBorders>
              <w:top w:val="nil"/>
              <w:left w:val="nil"/>
              <w:right w:val="nil"/>
            </w:tcBorders>
          </w:tcPr>
          <w:p w14:paraId="1FB55D20"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7,908</w:t>
            </w:r>
          </w:p>
        </w:tc>
        <w:tc>
          <w:tcPr>
            <w:tcW w:w="776" w:type="pct"/>
            <w:tcBorders>
              <w:top w:val="nil"/>
              <w:left w:val="nil"/>
              <w:right w:val="nil"/>
            </w:tcBorders>
          </w:tcPr>
          <w:p w14:paraId="0BC25B2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7,930</w:t>
            </w:r>
          </w:p>
        </w:tc>
        <w:tc>
          <w:tcPr>
            <w:tcW w:w="776" w:type="pct"/>
            <w:tcBorders>
              <w:top w:val="nil"/>
              <w:left w:val="nil"/>
              <w:right w:val="nil"/>
            </w:tcBorders>
          </w:tcPr>
          <w:p w14:paraId="3A2EFE45"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7,908</w:t>
            </w:r>
          </w:p>
        </w:tc>
        <w:tc>
          <w:tcPr>
            <w:tcW w:w="776" w:type="pct"/>
            <w:tcBorders>
              <w:top w:val="nil"/>
              <w:left w:val="nil"/>
              <w:right w:val="nil"/>
            </w:tcBorders>
          </w:tcPr>
          <w:p w14:paraId="37DD6B8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7,930</w:t>
            </w:r>
          </w:p>
        </w:tc>
      </w:tr>
      <w:tr w:rsidR="003F6BD4" w:rsidRPr="00A3505C" w14:paraId="518399F1" w14:textId="77777777" w:rsidTr="003F6BD4">
        <w:tblPrEx>
          <w:tblBorders>
            <w:bottom w:val="single" w:sz="6" w:space="0" w:color="auto"/>
          </w:tblBorders>
        </w:tblPrEx>
        <w:trPr>
          <w:jc w:val="center"/>
        </w:trPr>
        <w:tc>
          <w:tcPr>
            <w:tcW w:w="1896" w:type="pct"/>
            <w:tcBorders>
              <w:top w:val="nil"/>
              <w:left w:val="nil"/>
              <w:bottom w:val="single" w:sz="4" w:space="0" w:color="auto"/>
              <w:right w:val="nil"/>
            </w:tcBorders>
          </w:tcPr>
          <w:p w14:paraId="78C951A5" w14:textId="77777777" w:rsidR="003F6BD4" w:rsidRPr="00A3505C" w:rsidRDefault="003F6BD4" w:rsidP="0033155D">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776" w:type="pct"/>
            <w:tcBorders>
              <w:top w:val="nil"/>
              <w:left w:val="nil"/>
              <w:bottom w:val="single" w:sz="4" w:space="0" w:color="auto"/>
              <w:right w:val="nil"/>
            </w:tcBorders>
          </w:tcPr>
          <w:p w14:paraId="5E4E2F4F"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0.242</w:t>
            </w:r>
          </w:p>
        </w:tc>
        <w:tc>
          <w:tcPr>
            <w:tcW w:w="776" w:type="pct"/>
            <w:tcBorders>
              <w:top w:val="nil"/>
              <w:left w:val="nil"/>
              <w:bottom w:val="single" w:sz="4" w:space="0" w:color="auto"/>
              <w:right w:val="nil"/>
            </w:tcBorders>
          </w:tcPr>
          <w:p w14:paraId="7879DA03"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0.241</w:t>
            </w:r>
          </w:p>
        </w:tc>
        <w:tc>
          <w:tcPr>
            <w:tcW w:w="776" w:type="pct"/>
            <w:tcBorders>
              <w:top w:val="nil"/>
              <w:left w:val="nil"/>
              <w:bottom w:val="single" w:sz="4" w:space="0" w:color="auto"/>
              <w:right w:val="nil"/>
            </w:tcBorders>
          </w:tcPr>
          <w:p w14:paraId="75ADB001"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0.241</w:t>
            </w:r>
          </w:p>
        </w:tc>
        <w:tc>
          <w:tcPr>
            <w:tcW w:w="776" w:type="pct"/>
            <w:tcBorders>
              <w:top w:val="nil"/>
              <w:left w:val="nil"/>
              <w:bottom w:val="single" w:sz="4" w:space="0" w:color="auto"/>
              <w:right w:val="nil"/>
            </w:tcBorders>
          </w:tcPr>
          <w:p w14:paraId="23460D94" w14:textId="77777777" w:rsidR="003F6BD4" w:rsidRPr="00A3505C" w:rsidRDefault="003F6BD4" w:rsidP="0033155D">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0.220</w:t>
            </w:r>
          </w:p>
        </w:tc>
      </w:tr>
    </w:tbl>
    <w:p w14:paraId="07DEC320" w14:textId="40B58EB6" w:rsidR="003F6BD4" w:rsidRDefault="003F6BD4" w:rsidP="00AC64D0">
      <w:pPr>
        <w:spacing w:before="120"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Note</w:t>
      </w:r>
      <w:r w:rsidRPr="00A3505C">
        <w:rPr>
          <w:rFonts w:ascii="Times New Roman" w:hAnsi="Times New Roman" w:cs="Times New Roman" w:hint="eastAsia"/>
          <w:sz w:val="20"/>
          <w:szCs w:val="20"/>
        </w:rPr>
        <w:t>s</w:t>
      </w:r>
      <w:r w:rsidRPr="00A3505C">
        <w:rPr>
          <w:rFonts w:ascii="Times New Roman" w:hAnsi="Times New Roman" w:cs="Times New Roman"/>
          <w:sz w:val="20"/>
          <w:szCs w:val="20"/>
        </w:rPr>
        <w:t xml:space="preserve">: Panel A shows the analysis of firms’ environmental transformation, divided into subsamples representing high and low environmental transformation. This result implies that growth-oriented firms with high environmental transformation are more inclined to generate green revenues and enhance the proportion of green revenues in total revenues compared to those with low environmental transformation. Panel B represents the regions’ environmental regulatory intensity analysis, segmented into subsamples with high and low environmental regulatory intensity. This result indicates that profit-oriented firms headquartered in regions with non-strict environmental regulations are more likely </w:t>
      </w:r>
      <w:r w:rsidRPr="00A3505C">
        <w:rPr>
          <w:rFonts w:ascii="Times New Roman" w:hAnsi="Times New Roman" w:cs="Times New Roman"/>
          <w:sz w:val="20"/>
          <w:szCs w:val="20"/>
        </w:rPr>
        <w:lastRenderedPageBreak/>
        <w:t xml:space="preserve">to diminish green revenues and reduce the proportion of green revenues in total revenues. To validate the significance of our sub-sample analyses, we adopt the approach suggested by </w:t>
      </w:r>
      <w:r w:rsidRPr="00A3505C">
        <w:rPr>
          <w:rFonts w:ascii="Times New Roman" w:hAnsi="Times New Roman" w:cs="Times New Roman"/>
          <w:sz w:val="20"/>
          <w:szCs w:val="20"/>
        </w:rPr>
        <w:fldChar w:fldCharType="begin"/>
      </w:r>
      <w:r w:rsidRPr="00A3505C">
        <w:rPr>
          <w:rFonts w:ascii="Times New Roman" w:hAnsi="Times New Roman" w:cs="Times New Roman"/>
          <w:sz w:val="20"/>
          <w:szCs w:val="20"/>
        </w:rPr>
        <w:instrText xml:space="preserve"> ADDIN EN.CITE &lt;EndNote&gt;&lt;Cite AuthorYear="1"&gt;&lt;Author&gt;Cleary&lt;/Author&gt;&lt;Year&gt;1999&lt;/Year&gt;&lt;RecNum&gt;2868&lt;/RecNum&gt;&lt;DisplayText&gt;Cleary (1999)&lt;/DisplayText&gt;&lt;record&gt;&lt;rec-number&gt;2868&lt;/rec-number&gt;&lt;foreign-keys&gt;&lt;key app="EN" db-id="tt95vv9zf20xf0ewve7x0fsl990xeeasafzs" timestamp="1703231458"&gt;2868&lt;/key&gt;&lt;/foreign-keys&gt;&lt;ref-type name="Journal Article"&gt;17&lt;/ref-type&gt;&lt;contributors&gt;&lt;authors&gt;&lt;author&gt;Cleary, S.&lt;/author&gt;&lt;/authors&gt;&lt;/contributors&gt;&lt;titles&gt;&lt;title&gt;The relationship between firm investment and financial status&lt;/title&gt;&lt;secondary-title&gt;The Journal of Finance&lt;/secondary-title&gt;&lt;/titles&gt;&lt;periodical&gt;&lt;full-title&gt;The Journal of Finance&lt;/full-title&gt;&lt;abbr-1&gt;J. Financ.&lt;/abbr-1&gt;&lt;/periodical&gt;&lt;pages&gt;673-692&lt;/pages&gt;&lt;volume&gt;54&lt;/volume&gt;&lt;number&gt;2&lt;/number&gt;&lt;dates&gt;&lt;year&gt;1999&lt;/year&gt;&lt;/dates&gt;&lt;urls&gt;&lt;/urls&gt;&lt;electronic-resource-num&gt;10.1111/0022-1082.00121&lt;/electronic-resource-num&gt;&lt;/record&gt;&lt;/Cite&gt;&lt;/EndNote&gt;</w:instrText>
      </w:r>
      <w:r w:rsidRPr="00A3505C">
        <w:rPr>
          <w:rFonts w:ascii="Times New Roman" w:hAnsi="Times New Roman" w:cs="Times New Roman"/>
          <w:sz w:val="20"/>
          <w:szCs w:val="20"/>
        </w:rPr>
        <w:fldChar w:fldCharType="separate"/>
      </w:r>
      <w:r w:rsidRPr="00A3505C">
        <w:rPr>
          <w:rFonts w:ascii="Times New Roman" w:hAnsi="Times New Roman" w:cs="Times New Roman"/>
          <w:noProof/>
          <w:sz w:val="20"/>
          <w:szCs w:val="20"/>
        </w:rPr>
        <w:t>Cleary (1999)</w:t>
      </w:r>
      <w:r w:rsidRPr="00A3505C">
        <w:rPr>
          <w:rFonts w:ascii="Times New Roman" w:hAnsi="Times New Roman" w:cs="Times New Roman"/>
          <w:sz w:val="20"/>
          <w:szCs w:val="20"/>
        </w:rPr>
        <w:fldChar w:fldCharType="end"/>
      </w:r>
      <w:r w:rsidRPr="00A3505C">
        <w:rPr>
          <w:rFonts w:ascii="Times New Roman" w:hAnsi="Times New Roman" w:cs="Times New Roman"/>
          <w:sz w:val="20"/>
          <w:szCs w:val="20"/>
        </w:rPr>
        <w:t>, examining the empirical p-values between the two sub-samples using bootstrap 1,000 times. The obtained empirical p-values are significant, indicating significant differences in coefficients across the sub-samples. Appendix A shows the definition of variables. The t-statistics are reported in parentheses. We adopt robust standard errors clustered at the firm level. *, **, and *** denote statistical significance at 10%, 5%, and 1% levels, respectively.</w:t>
      </w:r>
      <w:r>
        <w:rPr>
          <w:rFonts w:ascii="Times New Roman" w:hAnsi="Times New Roman" w:cs="Times New Roman"/>
          <w:sz w:val="20"/>
          <w:szCs w:val="20"/>
        </w:rPr>
        <w:br w:type="page"/>
      </w:r>
    </w:p>
    <w:p w14:paraId="28130CEA" w14:textId="77777777" w:rsidR="003F6BD4" w:rsidRPr="00A3505C" w:rsidRDefault="003F6BD4" w:rsidP="003F6BD4">
      <w:pPr>
        <w:adjustRightInd w:val="0"/>
        <w:snapToGrid w:val="0"/>
        <w:spacing w:after="0" w:line="264" w:lineRule="auto"/>
        <w:rPr>
          <w:rFonts w:ascii="Times New Roman" w:hAnsi="Times New Roman" w:cs="Times New Roman"/>
          <w:sz w:val="20"/>
          <w:szCs w:val="20"/>
        </w:rPr>
        <w:sectPr w:rsidR="003F6BD4" w:rsidRPr="00A3505C" w:rsidSect="009364E5">
          <w:pgSz w:w="16838" w:h="11906" w:orient="landscape"/>
          <w:pgMar w:top="1440" w:right="1440" w:bottom="1440" w:left="1440" w:header="708" w:footer="708" w:gutter="0"/>
          <w:cols w:space="708"/>
          <w:docGrid w:linePitch="360"/>
        </w:sectPr>
      </w:pPr>
    </w:p>
    <w:p w14:paraId="1E450F15" w14:textId="2FB5DBFA" w:rsidR="00A46BEF" w:rsidRPr="00A3505C" w:rsidRDefault="00A46BEF" w:rsidP="00456916">
      <w:pPr>
        <w:adjustRightInd w:val="0"/>
        <w:snapToGrid w:val="0"/>
        <w:spacing w:after="120" w:line="264" w:lineRule="auto"/>
        <w:rPr>
          <w:rFonts w:ascii="Times New Roman" w:hAnsi="Times New Roman" w:cs="Times New Roman"/>
          <w:b/>
          <w:sz w:val="24"/>
          <w:szCs w:val="24"/>
        </w:rPr>
      </w:pPr>
      <w:r w:rsidRPr="00A3505C">
        <w:rPr>
          <w:rFonts w:ascii="Times New Roman" w:hAnsi="Times New Roman" w:cs="Times New Roman"/>
          <w:b/>
          <w:sz w:val="24"/>
          <w:szCs w:val="24"/>
        </w:rPr>
        <w:lastRenderedPageBreak/>
        <w:t>T</w:t>
      </w:r>
      <w:r w:rsidR="000459E5" w:rsidRPr="00A3505C">
        <w:rPr>
          <w:rFonts w:ascii="Times New Roman" w:hAnsi="Times New Roman" w:cs="Times New Roman"/>
          <w:b/>
          <w:sz w:val="24"/>
          <w:szCs w:val="24"/>
        </w:rPr>
        <w:t>able</w:t>
      </w:r>
      <w:r w:rsidRPr="00A3505C">
        <w:rPr>
          <w:rFonts w:ascii="Times New Roman" w:hAnsi="Times New Roman" w:cs="Times New Roman"/>
          <w:b/>
          <w:sz w:val="24"/>
          <w:szCs w:val="24"/>
        </w:rPr>
        <w:t xml:space="preserve"> </w:t>
      </w:r>
      <w:r w:rsidR="0066501E" w:rsidRPr="00A3505C">
        <w:rPr>
          <w:rFonts w:ascii="Times New Roman" w:hAnsi="Times New Roman" w:cs="Times New Roman"/>
          <w:b/>
          <w:bCs/>
          <w:sz w:val="24"/>
          <w:szCs w:val="24"/>
        </w:rPr>
        <w:t>7</w:t>
      </w:r>
      <w:r w:rsidRPr="00A3505C">
        <w:rPr>
          <w:rFonts w:ascii="Times New Roman" w:hAnsi="Times New Roman" w:cs="Times New Roman"/>
          <w:b/>
          <w:sz w:val="24"/>
          <w:szCs w:val="24"/>
        </w:rPr>
        <w:t xml:space="preserve">. </w:t>
      </w:r>
      <w:r w:rsidR="000459E5" w:rsidRPr="00A3505C">
        <w:rPr>
          <w:rFonts w:ascii="Times New Roman" w:hAnsi="Times New Roman" w:cs="Times New Roman"/>
          <w:b/>
          <w:sz w:val="24"/>
          <w:szCs w:val="24"/>
        </w:rPr>
        <w:t>S</w:t>
      </w:r>
      <w:r w:rsidRPr="00A3505C">
        <w:rPr>
          <w:rFonts w:ascii="Times New Roman" w:hAnsi="Times New Roman" w:cs="Times New Roman"/>
          <w:b/>
          <w:sz w:val="24"/>
          <w:szCs w:val="24"/>
        </w:rPr>
        <w:t>trategic orientations</w:t>
      </w:r>
      <w:r w:rsidR="000459E5" w:rsidRPr="00A3505C">
        <w:rPr>
          <w:rFonts w:ascii="Times New Roman" w:hAnsi="Times New Roman" w:cs="Times New Roman"/>
          <w:b/>
          <w:sz w:val="24"/>
          <w:szCs w:val="24"/>
        </w:rPr>
        <w:t xml:space="preserve">, </w:t>
      </w:r>
      <w:r w:rsidRPr="00A3505C">
        <w:rPr>
          <w:rFonts w:ascii="Times New Roman" w:hAnsi="Times New Roman" w:cs="Times New Roman"/>
          <w:b/>
          <w:sz w:val="24"/>
          <w:szCs w:val="24"/>
        </w:rPr>
        <w:t>green revenues</w:t>
      </w:r>
      <w:r w:rsidR="000459E5" w:rsidRPr="00A3505C">
        <w:rPr>
          <w:rFonts w:ascii="Times New Roman" w:hAnsi="Times New Roman" w:cs="Times New Roman"/>
          <w:b/>
          <w:sz w:val="24"/>
          <w:szCs w:val="24"/>
        </w:rPr>
        <w:t xml:space="preserve">, and </w:t>
      </w:r>
      <w:r w:rsidRPr="00A3505C">
        <w:rPr>
          <w:rFonts w:ascii="Times New Roman" w:hAnsi="Times New Roman" w:cs="Times New Roman"/>
          <w:b/>
          <w:sz w:val="24"/>
          <w:szCs w:val="24"/>
        </w:rPr>
        <w:t xml:space="preserve">social </w:t>
      </w:r>
      <w:r w:rsidR="00645FA3" w:rsidRPr="00A3505C">
        <w:rPr>
          <w:rFonts w:ascii="Times New Roman" w:hAnsi="Times New Roman" w:cs="Times New Roman"/>
          <w:b/>
          <w:sz w:val="24"/>
          <w:szCs w:val="24"/>
        </w:rPr>
        <w:t>performance</w:t>
      </w:r>
    </w:p>
    <w:tbl>
      <w:tblPr>
        <w:tblW w:w="5000" w:type="pct"/>
        <w:jc w:val="center"/>
        <w:tblCellMar>
          <w:left w:w="75" w:type="dxa"/>
          <w:right w:w="75" w:type="dxa"/>
        </w:tblCellMar>
        <w:tblLook w:val="0000" w:firstRow="0" w:lastRow="0" w:firstColumn="0" w:lastColumn="0" w:noHBand="0" w:noVBand="0"/>
      </w:tblPr>
      <w:tblGrid>
        <w:gridCol w:w="5529"/>
        <w:gridCol w:w="2108"/>
        <w:gridCol w:w="2108"/>
        <w:gridCol w:w="2108"/>
        <w:gridCol w:w="2105"/>
      </w:tblGrid>
      <w:tr w:rsidR="00A3505C" w:rsidRPr="00A3505C" w14:paraId="01954300" w14:textId="77777777" w:rsidTr="00C307B6">
        <w:trPr>
          <w:jc w:val="center"/>
        </w:trPr>
        <w:tc>
          <w:tcPr>
            <w:tcW w:w="1981" w:type="pct"/>
            <w:tcBorders>
              <w:top w:val="single" w:sz="4" w:space="0" w:color="auto"/>
              <w:left w:val="nil"/>
              <w:right w:val="nil"/>
            </w:tcBorders>
          </w:tcPr>
          <w:p w14:paraId="5A606355" w14:textId="77777777" w:rsidR="00A46BEF" w:rsidRPr="00A3505C" w:rsidRDefault="00A46BEF" w:rsidP="00410E8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755" w:type="pct"/>
            <w:tcBorders>
              <w:top w:val="single" w:sz="4" w:space="0" w:color="auto"/>
              <w:left w:val="nil"/>
              <w:bottom w:val="single" w:sz="4" w:space="0" w:color="auto"/>
              <w:right w:val="nil"/>
            </w:tcBorders>
          </w:tcPr>
          <w:p w14:paraId="3ECF9164" w14:textId="735A156D" w:rsidR="00A46BEF" w:rsidRPr="00A3505C" w:rsidRDefault="00BA089D" w:rsidP="00410E88">
            <w:pPr>
              <w:autoSpaceDE w:val="0"/>
              <w:autoSpaceDN w:val="0"/>
              <w:adjustRightInd w:val="0"/>
              <w:snapToGrid w:val="0"/>
              <w:spacing w:after="0" w:line="264" w:lineRule="auto"/>
              <w:jc w:val="center"/>
              <w:rPr>
                <w:rFonts w:ascii="Times New Roman" w:hAnsi="Times New Roman" w:cs="Times New Roman"/>
                <w:i/>
                <w:sz w:val="18"/>
                <w:szCs w:val="18"/>
              </w:rPr>
            </w:pPr>
            <w:r w:rsidRPr="00A3505C">
              <w:rPr>
                <w:rFonts w:ascii="Times New Roman" w:hAnsi="Times New Roman" w:cs="Times New Roman"/>
                <w:i/>
                <w:sz w:val="18"/>
                <w:szCs w:val="18"/>
              </w:rPr>
              <w:t>News Reports</w:t>
            </w:r>
          </w:p>
        </w:tc>
        <w:tc>
          <w:tcPr>
            <w:tcW w:w="755" w:type="pct"/>
            <w:tcBorders>
              <w:top w:val="single" w:sz="4" w:space="0" w:color="auto"/>
              <w:left w:val="nil"/>
              <w:bottom w:val="single" w:sz="4" w:space="0" w:color="auto"/>
              <w:right w:val="nil"/>
            </w:tcBorders>
          </w:tcPr>
          <w:p w14:paraId="3C09772E" w14:textId="06736A6A" w:rsidR="00A46BEF" w:rsidRPr="00A3505C" w:rsidRDefault="00CD3633" w:rsidP="00410E88">
            <w:pPr>
              <w:autoSpaceDE w:val="0"/>
              <w:autoSpaceDN w:val="0"/>
              <w:adjustRightInd w:val="0"/>
              <w:snapToGrid w:val="0"/>
              <w:spacing w:after="0" w:line="264" w:lineRule="auto"/>
              <w:jc w:val="center"/>
              <w:rPr>
                <w:rFonts w:ascii="Times New Roman" w:hAnsi="Times New Roman" w:cs="Times New Roman"/>
                <w:i/>
                <w:sz w:val="18"/>
                <w:szCs w:val="18"/>
              </w:rPr>
            </w:pPr>
            <w:r w:rsidRPr="00A3505C">
              <w:rPr>
                <w:rFonts w:ascii="Times New Roman" w:hAnsi="Times New Roman" w:cs="Times New Roman" w:hint="eastAsia"/>
                <w:i/>
                <w:sz w:val="18"/>
                <w:szCs w:val="18"/>
              </w:rPr>
              <w:t>CSR</w:t>
            </w:r>
            <w:r w:rsidRPr="00A3505C">
              <w:rPr>
                <w:rFonts w:ascii="Times New Roman" w:hAnsi="Times New Roman" w:cs="Times New Roman"/>
                <w:i/>
                <w:sz w:val="18"/>
                <w:szCs w:val="18"/>
              </w:rPr>
              <w:t xml:space="preserve"> </w:t>
            </w:r>
            <w:r w:rsidR="00A46BEF" w:rsidRPr="00A3505C">
              <w:rPr>
                <w:rFonts w:ascii="Times New Roman" w:hAnsi="Times New Roman" w:cs="Times New Roman"/>
                <w:i/>
                <w:sz w:val="18"/>
                <w:szCs w:val="18"/>
              </w:rPr>
              <w:t>Performance</w:t>
            </w:r>
          </w:p>
        </w:tc>
        <w:tc>
          <w:tcPr>
            <w:tcW w:w="755" w:type="pct"/>
            <w:tcBorders>
              <w:top w:val="single" w:sz="4" w:space="0" w:color="auto"/>
              <w:left w:val="nil"/>
              <w:bottom w:val="single" w:sz="4" w:space="0" w:color="auto"/>
              <w:right w:val="nil"/>
            </w:tcBorders>
          </w:tcPr>
          <w:p w14:paraId="522DEEFC"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i/>
                <w:sz w:val="18"/>
                <w:szCs w:val="18"/>
              </w:rPr>
            </w:pPr>
            <w:r w:rsidRPr="00A3505C">
              <w:rPr>
                <w:rFonts w:ascii="Times New Roman" w:hAnsi="Times New Roman" w:cs="Times New Roman"/>
                <w:i/>
                <w:sz w:val="18"/>
                <w:szCs w:val="18"/>
              </w:rPr>
              <w:t>CSR Activities</w:t>
            </w:r>
          </w:p>
        </w:tc>
        <w:tc>
          <w:tcPr>
            <w:tcW w:w="755" w:type="pct"/>
            <w:tcBorders>
              <w:top w:val="single" w:sz="4" w:space="0" w:color="auto"/>
              <w:left w:val="nil"/>
              <w:bottom w:val="single" w:sz="4" w:space="0" w:color="auto"/>
              <w:right w:val="nil"/>
            </w:tcBorders>
          </w:tcPr>
          <w:p w14:paraId="47361A21"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i/>
                <w:sz w:val="18"/>
                <w:szCs w:val="18"/>
              </w:rPr>
            </w:pPr>
            <w:r w:rsidRPr="00A3505C">
              <w:rPr>
                <w:rFonts w:ascii="Times New Roman" w:hAnsi="Times New Roman" w:cs="Times New Roman"/>
                <w:i/>
                <w:sz w:val="18"/>
                <w:szCs w:val="18"/>
              </w:rPr>
              <w:t>CSR Scores</w:t>
            </w:r>
          </w:p>
        </w:tc>
      </w:tr>
      <w:tr w:rsidR="00A3505C" w:rsidRPr="00A3505C" w14:paraId="49FA0BA1" w14:textId="77777777" w:rsidTr="00C307B6">
        <w:trPr>
          <w:jc w:val="center"/>
        </w:trPr>
        <w:tc>
          <w:tcPr>
            <w:tcW w:w="1981" w:type="pct"/>
            <w:tcBorders>
              <w:left w:val="nil"/>
              <w:bottom w:val="single" w:sz="4" w:space="0" w:color="auto"/>
              <w:right w:val="nil"/>
            </w:tcBorders>
          </w:tcPr>
          <w:p w14:paraId="563816C3" w14:textId="77777777" w:rsidR="00A46BEF" w:rsidRPr="00A3505C" w:rsidRDefault="00A46BEF" w:rsidP="00410E88">
            <w:pPr>
              <w:autoSpaceDE w:val="0"/>
              <w:autoSpaceDN w:val="0"/>
              <w:adjustRightInd w:val="0"/>
              <w:snapToGrid w:val="0"/>
              <w:spacing w:after="0" w:line="264" w:lineRule="auto"/>
              <w:rPr>
                <w:rFonts w:ascii="Times New Roman" w:hAnsi="Times New Roman" w:cs="Times New Roman"/>
                <w:sz w:val="18"/>
                <w:szCs w:val="18"/>
              </w:rPr>
            </w:pPr>
          </w:p>
        </w:tc>
        <w:tc>
          <w:tcPr>
            <w:tcW w:w="755" w:type="pct"/>
            <w:tcBorders>
              <w:top w:val="single" w:sz="6" w:space="0" w:color="auto"/>
              <w:left w:val="nil"/>
              <w:bottom w:val="single" w:sz="4" w:space="0" w:color="auto"/>
              <w:right w:val="nil"/>
            </w:tcBorders>
          </w:tcPr>
          <w:p w14:paraId="40CE26C9"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tc>
        <w:tc>
          <w:tcPr>
            <w:tcW w:w="755" w:type="pct"/>
            <w:tcBorders>
              <w:top w:val="single" w:sz="6" w:space="0" w:color="auto"/>
              <w:left w:val="nil"/>
              <w:bottom w:val="single" w:sz="4" w:space="0" w:color="auto"/>
              <w:right w:val="nil"/>
            </w:tcBorders>
          </w:tcPr>
          <w:p w14:paraId="3FB2BA32"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tc>
        <w:tc>
          <w:tcPr>
            <w:tcW w:w="755" w:type="pct"/>
            <w:tcBorders>
              <w:top w:val="single" w:sz="6" w:space="0" w:color="auto"/>
              <w:left w:val="nil"/>
              <w:bottom w:val="single" w:sz="4" w:space="0" w:color="auto"/>
              <w:right w:val="nil"/>
            </w:tcBorders>
          </w:tcPr>
          <w:p w14:paraId="469DED73"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tc>
        <w:tc>
          <w:tcPr>
            <w:tcW w:w="755" w:type="pct"/>
            <w:tcBorders>
              <w:top w:val="single" w:sz="6" w:space="0" w:color="auto"/>
              <w:left w:val="nil"/>
              <w:bottom w:val="single" w:sz="4" w:space="0" w:color="auto"/>
              <w:right w:val="nil"/>
            </w:tcBorders>
          </w:tcPr>
          <w:p w14:paraId="33AB3416" w14:textId="7777777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tc>
      </w:tr>
      <w:tr w:rsidR="00A3505C" w:rsidRPr="00A3505C" w14:paraId="6ED611C0" w14:textId="77777777" w:rsidTr="00C307B6">
        <w:trPr>
          <w:trHeight w:val="145"/>
          <w:jc w:val="center"/>
        </w:trPr>
        <w:tc>
          <w:tcPr>
            <w:tcW w:w="1981" w:type="pct"/>
            <w:tcBorders>
              <w:top w:val="single" w:sz="4" w:space="0" w:color="auto"/>
              <w:left w:val="nil"/>
              <w:bottom w:val="nil"/>
              <w:right w:val="nil"/>
            </w:tcBorders>
          </w:tcPr>
          <w:p w14:paraId="189CFEF3" w14:textId="58E342C2" w:rsidR="004C3F34" w:rsidRPr="00A3505C" w:rsidRDefault="004C3F34" w:rsidP="004C3F34">
            <w:pPr>
              <w:autoSpaceDE w:val="0"/>
              <w:autoSpaceDN w:val="0"/>
              <w:adjustRightInd w:val="0"/>
              <w:snapToGrid w:val="0"/>
              <w:spacing w:after="0" w:line="264" w:lineRule="auto"/>
              <w:rPr>
                <w:rFonts w:ascii="Times New Roman" w:eastAsia="DengXian" w:hAnsi="Times New Roman" w:cs="Times New Roman"/>
                <w:b/>
                <w:sz w:val="18"/>
                <w:szCs w:val="18"/>
              </w:rPr>
            </w:pPr>
            <w:r w:rsidRPr="00A3505C">
              <w:rPr>
                <w:rFonts w:ascii="Times New Roman" w:hAnsi="Times New Roman" w:cs="Times New Roman"/>
                <w:b/>
                <w:i/>
                <w:sz w:val="18"/>
                <w:szCs w:val="18"/>
              </w:rPr>
              <w:t>Growth</w:t>
            </w:r>
            <w:r w:rsidRPr="00A3505C">
              <w:rPr>
                <w:rFonts w:ascii="Times New Roman" w:hAnsi="Times New Roman" w:cs="Times New Roman"/>
                <w:b/>
                <w:i/>
                <w:iCs/>
                <w:sz w:val="18"/>
                <w:szCs w:val="18"/>
              </w:rPr>
              <w:t xml:space="preserve"> v. Profit and </w:t>
            </w:r>
            <w:r w:rsidR="00CE5C57" w:rsidRPr="00A3505C">
              <w:rPr>
                <w:rFonts w:ascii="Times New Roman" w:hAnsi="Times New Roman" w:cs="Times New Roman"/>
                <w:b/>
                <w:i/>
                <w:iCs/>
                <w:sz w:val="18"/>
                <w:szCs w:val="18"/>
              </w:rPr>
              <w:t>Neither-Nor</w:t>
            </w:r>
            <w:r w:rsidRPr="00A3505C">
              <w:rPr>
                <w:rFonts w:ascii="Times New Roman" w:hAnsi="Times New Roman" w:cs="Times New Roman"/>
                <w:b/>
                <w:sz w:val="18"/>
                <w:szCs w:val="18"/>
              </w:rPr>
              <w:t xml:space="preserve"> × </w:t>
            </w:r>
            <w:r w:rsidRPr="00A3505C">
              <w:rPr>
                <w:rFonts w:ascii="Times New Roman" w:hAnsi="Times New Roman" w:cs="Times New Roman"/>
                <w:b/>
                <w:i/>
                <w:sz w:val="18"/>
                <w:szCs w:val="18"/>
              </w:rPr>
              <w:t xml:space="preserve">Green </w:t>
            </w:r>
            <w:r w:rsidRPr="00A3505C">
              <w:rPr>
                <w:rFonts w:ascii="Times New Roman" w:hAnsi="Times New Roman" w:cs="Times New Roman"/>
                <w:b/>
                <w:i/>
                <w:iCs/>
                <w:sz w:val="18"/>
                <w:szCs w:val="18"/>
              </w:rPr>
              <w:t>Revenues Ratio</w:t>
            </w:r>
            <w:r w:rsidRPr="00A3505C">
              <w:rPr>
                <w:rFonts w:ascii="Times New Roman" w:hAnsi="Times New Roman" w:cs="Times New Roman"/>
                <w:b/>
                <w:sz w:val="18"/>
                <w:szCs w:val="18"/>
              </w:rPr>
              <w:t xml:space="preserve"> (β1)</w:t>
            </w:r>
          </w:p>
        </w:tc>
        <w:tc>
          <w:tcPr>
            <w:tcW w:w="755" w:type="pct"/>
            <w:tcBorders>
              <w:top w:val="single" w:sz="4" w:space="0" w:color="auto"/>
              <w:left w:val="nil"/>
              <w:bottom w:val="nil"/>
              <w:right w:val="nil"/>
            </w:tcBorders>
          </w:tcPr>
          <w:p w14:paraId="59ED737D" w14:textId="44794A63"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bCs/>
                <w:sz w:val="18"/>
                <w:szCs w:val="18"/>
              </w:rPr>
              <w:t>0.109**</w:t>
            </w:r>
          </w:p>
        </w:tc>
        <w:tc>
          <w:tcPr>
            <w:tcW w:w="755" w:type="pct"/>
            <w:tcBorders>
              <w:top w:val="single" w:sz="4" w:space="0" w:color="auto"/>
              <w:left w:val="nil"/>
              <w:bottom w:val="nil"/>
              <w:right w:val="nil"/>
            </w:tcBorders>
          </w:tcPr>
          <w:p w14:paraId="057459A1" w14:textId="13A16E11"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0.</w:t>
            </w:r>
            <w:r w:rsidRPr="00A3505C">
              <w:rPr>
                <w:rFonts w:ascii="Times New Roman" w:hAnsi="Times New Roman" w:cs="Times New Roman"/>
                <w:b/>
                <w:bCs/>
                <w:sz w:val="18"/>
                <w:szCs w:val="18"/>
              </w:rPr>
              <w:t>733</w:t>
            </w:r>
            <w:r w:rsidRPr="00A3505C">
              <w:rPr>
                <w:rFonts w:ascii="Times New Roman" w:hAnsi="Times New Roman" w:cs="Times New Roman"/>
                <w:b/>
                <w:sz w:val="18"/>
                <w:szCs w:val="18"/>
              </w:rPr>
              <w:t>***</w:t>
            </w:r>
          </w:p>
        </w:tc>
        <w:tc>
          <w:tcPr>
            <w:tcW w:w="755" w:type="pct"/>
            <w:tcBorders>
              <w:top w:val="single" w:sz="4" w:space="0" w:color="auto"/>
              <w:left w:val="nil"/>
              <w:bottom w:val="nil"/>
              <w:right w:val="nil"/>
            </w:tcBorders>
          </w:tcPr>
          <w:p w14:paraId="5B9F3972" w14:textId="5B83AA69"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0.</w:t>
            </w:r>
            <w:r w:rsidRPr="00A3505C">
              <w:rPr>
                <w:rFonts w:ascii="Times New Roman" w:hAnsi="Times New Roman" w:cs="Times New Roman"/>
                <w:b/>
                <w:bCs/>
                <w:sz w:val="18"/>
                <w:szCs w:val="18"/>
              </w:rPr>
              <w:t>459</w:t>
            </w:r>
            <w:r w:rsidRPr="00A3505C">
              <w:rPr>
                <w:rFonts w:ascii="Times New Roman" w:hAnsi="Times New Roman" w:cs="Times New Roman"/>
                <w:b/>
                <w:sz w:val="18"/>
                <w:szCs w:val="18"/>
              </w:rPr>
              <w:t>**</w:t>
            </w:r>
          </w:p>
        </w:tc>
        <w:tc>
          <w:tcPr>
            <w:tcW w:w="755" w:type="pct"/>
            <w:tcBorders>
              <w:top w:val="single" w:sz="4" w:space="0" w:color="auto"/>
              <w:left w:val="nil"/>
              <w:bottom w:val="nil"/>
              <w:right w:val="nil"/>
            </w:tcBorders>
          </w:tcPr>
          <w:p w14:paraId="066BC0F4" w14:textId="188C6519"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bCs/>
                <w:sz w:val="18"/>
                <w:szCs w:val="18"/>
              </w:rPr>
              <w:t>0.124***</w:t>
            </w:r>
          </w:p>
        </w:tc>
      </w:tr>
      <w:tr w:rsidR="00A3505C" w:rsidRPr="00A3505C" w14:paraId="4AF53F11" w14:textId="77777777" w:rsidTr="00C307B6">
        <w:trPr>
          <w:trHeight w:val="65"/>
          <w:jc w:val="center"/>
        </w:trPr>
        <w:tc>
          <w:tcPr>
            <w:tcW w:w="1981" w:type="pct"/>
            <w:tcBorders>
              <w:top w:val="nil"/>
              <w:left w:val="nil"/>
              <w:bottom w:val="nil"/>
              <w:right w:val="nil"/>
            </w:tcBorders>
          </w:tcPr>
          <w:p w14:paraId="2573ED09" w14:textId="77777777" w:rsidR="004C3F34" w:rsidRPr="00A3505C" w:rsidRDefault="004C3F34" w:rsidP="004C3F34">
            <w:pPr>
              <w:autoSpaceDE w:val="0"/>
              <w:autoSpaceDN w:val="0"/>
              <w:adjustRightInd w:val="0"/>
              <w:snapToGrid w:val="0"/>
              <w:spacing w:after="0" w:line="264" w:lineRule="auto"/>
              <w:rPr>
                <w:rFonts w:ascii="Times New Roman" w:eastAsia="DengXian" w:hAnsi="Times New Roman" w:cs="Times New Roman"/>
                <w:b/>
                <w:sz w:val="18"/>
                <w:szCs w:val="18"/>
              </w:rPr>
            </w:pPr>
          </w:p>
        </w:tc>
        <w:tc>
          <w:tcPr>
            <w:tcW w:w="755" w:type="pct"/>
            <w:tcBorders>
              <w:top w:val="nil"/>
              <w:left w:val="nil"/>
              <w:bottom w:val="nil"/>
              <w:right w:val="nil"/>
            </w:tcBorders>
          </w:tcPr>
          <w:p w14:paraId="6B593687" w14:textId="2D23C4F6"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1.983</w:t>
            </w:r>
            <w:r w:rsidRPr="00A3505C">
              <w:rPr>
                <w:rFonts w:ascii="Times New Roman" w:hAnsi="Times New Roman" w:cs="Times New Roman"/>
                <w:b/>
                <w:sz w:val="18"/>
                <w:szCs w:val="18"/>
              </w:rPr>
              <w:t>)</w:t>
            </w:r>
          </w:p>
        </w:tc>
        <w:tc>
          <w:tcPr>
            <w:tcW w:w="755" w:type="pct"/>
            <w:tcBorders>
              <w:top w:val="nil"/>
              <w:left w:val="nil"/>
              <w:bottom w:val="nil"/>
              <w:right w:val="nil"/>
            </w:tcBorders>
          </w:tcPr>
          <w:p w14:paraId="588DC517" w14:textId="7095F341"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(2.</w:t>
            </w:r>
            <w:r w:rsidRPr="00A3505C">
              <w:rPr>
                <w:rFonts w:ascii="Times New Roman" w:hAnsi="Times New Roman" w:cs="Times New Roman"/>
                <w:b/>
                <w:bCs/>
                <w:sz w:val="18"/>
                <w:szCs w:val="18"/>
              </w:rPr>
              <w:t>878</w:t>
            </w:r>
            <w:r w:rsidRPr="00A3505C">
              <w:rPr>
                <w:rFonts w:ascii="Times New Roman" w:hAnsi="Times New Roman" w:cs="Times New Roman"/>
                <w:b/>
                <w:sz w:val="18"/>
                <w:szCs w:val="18"/>
              </w:rPr>
              <w:t>)</w:t>
            </w:r>
          </w:p>
        </w:tc>
        <w:tc>
          <w:tcPr>
            <w:tcW w:w="755" w:type="pct"/>
            <w:tcBorders>
              <w:top w:val="nil"/>
              <w:left w:val="nil"/>
              <w:bottom w:val="nil"/>
              <w:right w:val="nil"/>
            </w:tcBorders>
          </w:tcPr>
          <w:p w14:paraId="51CEDA7F" w14:textId="3613408A"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1.989</w:t>
            </w:r>
            <w:r w:rsidRPr="00A3505C">
              <w:rPr>
                <w:rFonts w:ascii="Times New Roman" w:hAnsi="Times New Roman" w:cs="Times New Roman"/>
                <w:b/>
                <w:sz w:val="18"/>
                <w:szCs w:val="18"/>
              </w:rPr>
              <w:t>)</w:t>
            </w:r>
          </w:p>
        </w:tc>
        <w:tc>
          <w:tcPr>
            <w:tcW w:w="755" w:type="pct"/>
            <w:tcBorders>
              <w:top w:val="nil"/>
              <w:left w:val="nil"/>
              <w:bottom w:val="nil"/>
              <w:right w:val="nil"/>
            </w:tcBorders>
          </w:tcPr>
          <w:p w14:paraId="07A11D7F" w14:textId="5C71057F"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(2.</w:t>
            </w:r>
            <w:r w:rsidRPr="00A3505C">
              <w:rPr>
                <w:rFonts w:ascii="Times New Roman" w:hAnsi="Times New Roman" w:cs="Times New Roman"/>
                <w:b/>
                <w:bCs/>
                <w:sz w:val="18"/>
                <w:szCs w:val="18"/>
              </w:rPr>
              <w:t>747</w:t>
            </w:r>
            <w:r w:rsidRPr="00A3505C">
              <w:rPr>
                <w:rFonts w:ascii="Times New Roman" w:hAnsi="Times New Roman" w:cs="Times New Roman"/>
                <w:b/>
                <w:sz w:val="18"/>
                <w:szCs w:val="18"/>
              </w:rPr>
              <w:t>)</w:t>
            </w:r>
          </w:p>
        </w:tc>
      </w:tr>
      <w:tr w:rsidR="00A3505C" w:rsidRPr="00A3505C" w14:paraId="7317C025" w14:textId="77777777" w:rsidTr="00C307B6">
        <w:trPr>
          <w:trHeight w:val="80"/>
          <w:jc w:val="center"/>
        </w:trPr>
        <w:tc>
          <w:tcPr>
            <w:tcW w:w="1981" w:type="pct"/>
            <w:tcBorders>
              <w:top w:val="nil"/>
              <w:left w:val="nil"/>
              <w:bottom w:val="nil"/>
              <w:right w:val="nil"/>
            </w:tcBorders>
          </w:tcPr>
          <w:p w14:paraId="3D815647" w14:textId="0610DA3C" w:rsidR="004C3F34" w:rsidRPr="00A3505C" w:rsidRDefault="004C3F34" w:rsidP="004C3F34">
            <w:pPr>
              <w:autoSpaceDE w:val="0"/>
              <w:autoSpaceDN w:val="0"/>
              <w:adjustRightInd w:val="0"/>
              <w:snapToGrid w:val="0"/>
              <w:spacing w:after="0" w:line="264" w:lineRule="auto"/>
              <w:rPr>
                <w:rFonts w:ascii="Times New Roman" w:eastAsia="DengXian" w:hAnsi="Times New Roman" w:cs="Times New Roman"/>
                <w:sz w:val="18"/>
                <w:szCs w:val="18"/>
              </w:rPr>
            </w:pPr>
            <w:r w:rsidRPr="00A3505C">
              <w:rPr>
                <w:rFonts w:ascii="Times New Roman" w:hAnsi="Times New Roman" w:cs="Times New Roman"/>
                <w:i/>
                <w:sz w:val="18"/>
                <w:szCs w:val="18"/>
              </w:rPr>
              <w:t>Growth</w:t>
            </w:r>
            <w:r w:rsidRPr="00A3505C">
              <w:rPr>
                <w:rFonts w:ascii="Times New Roman" w:hAnsi="Times New Roman" w:cs="Times New Roman"/>
                <w:i/>
                <w:iCs/>
                <w:sz w:val="18"/>
                <w:szCs w:val="18"/>
              </w:rPr>
              <w:t xml:space="preserve"> v. Profit and </w:t>
            </w:r>
            <w:r w:rsidR="00CE5C57" w:rsidRPr="00A3505C">
              <w:rPr>
                <w:rFonts w:ascii="Times New Roman" w:hAnsi="Times New Roman" w:cs="Times New Roman"/>
                <w:i/>
                <w:iCs/>
                <w:sz w:val="18"/>
                <w:szCs w:val="18"/>
              </w:rPr>
              <w:t>Neither-Nor</w:t>
            </w:r>
            <w:r w:rsidRPr="00A3505C">
              <w:rPr>
                <w:rFonts w:ascii="Times New Roman" w:hAnsi="Times New Roman" w:cs="Times New Roman"/>
                <w:sz w:val="18"/>
                <w:szCs w:val="18"/>
              </w:rPr>
              <w:t xml:space="preserve"> (β2)</w:t>
            </w:r>
          </w:p>
        </w:tc>
        <w:tc>
          <w:tcPr>
            <w:tcW w:w="755" w:type="pct"/>
            <w:tcBorders>
              <w:top w:val="nil"/>
              <w:left w:val="nil"/>
              <w:bottom w:val="nil"/>
              <w:right w:val="nil"/>
            </w:tcBorders>
          </w:tcPr>
          <w:p w14:paraId="25D7B93C" w14:textId="7558276C"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0.014</w:t>
            </w:r>
          </w:p>
        </w:tc>
        <w:tc>
          <w:tcPr>
            <w:tcW w:w="755" w:type="pct"/>
            <w:tcBorders>
              <w:top w:val="nil"/>
              <w:left w:val="nil"/>
              <w:bottom w:val="nil"/>
              <w:right w:val="nil"/>
            </w:tcBorders>
          </w:tcPr>
          <w:p w14:paraId="5FEA0BA9" w14:textId="1AF53DF4"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-0.137**</w:t>
            </w:r>
          </w:p>
        </w:tc>
        <w:tc>
          <w:tcPr>
            <w:tcW w:w="755" w:type="pct"/>
            <w:tcBorders>
              <w:top w:val="nil"/>
              <w:left w:val="nil"/>
              <w:bottom w:val="nil"/>
              <w:right w:val="nil"/>
            </w:tcBorders>
          </w:tcPr>
          <w:p w14:paraId="30CE3C92" w14:textId="08710064"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-0.364***</w:t>
            </w:r>
          </w:p>
        </w:tc>
        <w:tc>
          <w:tcPr>
            <w:tcW w:w="755" w:type="pct"/>
            <w:tcBorders>
              <w:top w:val="nil"/>
              <w:left w:val="nil"/>
              <w:bottom w:val="nil"/>
              <w:right w:val="nil"/>
            </w:tcBorders>
          </w:tcPr>
          <w:p w14:paraId="72F66F46" w14:textId="20010B96"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-0.010</w:t>
            </w:r>
          </w:p>
        </w:tc>
      </w:tr>
      <w:tr w:rsidR="00A3505C" w:rsidRPr="00A3505C" w14:paraId="4B525091" w14:textId="77777777" w:rsidTr="00C307B6">
        <w:trPr>
          <w:trHeight w:val="65"/>
          <w:jc w:val="center"/>
        </w:trPr>
        <w:tc>
          <w:tcPr>
            <w:tcW w:w="1981" w:type="pct"/>
            <w:tcBorders>
              <w:top w:val="nil"/>
              <w:left w:val="nil"/>
              <w:bottom w:val="nil"/>
              <w:right w:val="nil"/>
            </w:tcBorders>
          </w:tcPr>
          <w:p w14:paraId="7133450C" w14:textId="77777777" w:rsidR="004C3F34" w:rsidRPr="00A3505C" w:rsidRDefault="004C3F34" w:rsidP="004C3F34">
            <w:pPr>
              <w:autoSpaceDE w:val="0"/>
              <w:autoSpaceDN w:val="0"/>
              <w:adjustRightInd w:val="0"/>
              <w:snapToGrid w:val="0"/>
              <w:spacing w:after="0" w:line="264" w:lineRule="auto"/>
              <w:rPr>
                <w:rFonts w:ascii="Times New Roman" w:eastAsia="DengXian" w:hAnsi="Times New Roman" w:cs="Times New Roman"/>
                <w:sz w:val="18"/>
                <w:szCs w:val="18"/>
              </w:rPr>
            </w:pPr>
          </w:p>
        </w:tc>
        <w:tc>
          <w:tcPr>
            <w:tcW w:w="755" w:type="pct"/>
            <w:tcBorders>
              <w:top w:val="nil"/>
              <w:left w:val="nil"/>
              <w:bottom w:val="nil"/>
              <w:right w:val="nil"/>
            </w:tcBorders>
          </w:tcPr>
          <w:p w14:paraId="56ECD611" w14:textId="4B447001"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(1.037)</w:t>
            </w:r>
          </w:p>
        </w:tc>
        <w:tc>
          <w:tcPr>
            <w:tcW w:w="755" w:type="pct"/>
            <w:tcBorders>
              <w:top w:val="nil"/>
              <w:left w:val="nil"/>
              <w:bottom w:val="nil"/>
              <w:right w:val="nil"/>
            </w:tcBorders>
          </w:tcPr>
          <w:p w14:paraId="56DD3BFE" w14:textId="0F58A89D"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(-2.552)</w:t>
            </w:r>
          </w:p>
        </w:tc>
        <w:tc>
          <w:tcPr>
            <w:tcW w:w="755" w:type="pct"/>
            <w:tcBorders>
              <w:top w:val="nil"/>
              <w:left w:val="nil"/>
              <w:bottom w:val="nil"/>
              <w:right w:val="nil"/>
            </w:tcBorders>
          </w:tcPr>
          <w:p w14:paraId="005355BF" w14:textId="314164FC"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(-6.454)</w:t>
            </w:r>
          </w:p>
        </w:tc>
        <w:tc>
          <w:tcPr>
            <w:tcW w:w="755" w:type="pct"/>
            <w:tcBorders>
              <w:top w:val="nil"/>
              <w:left w:val="nil"/>
              <w:bottom w:val="nil"/>
              <w:right w:val="nil"/>
            </w:tcBorders>
          </w:tcPr>
          <w:p w14:paraId="180D2508" w14:textId="0F9EED24" w:rsidR="004C3F34" w:rsidRPr="00A3505C" w:rsidRDefault="004C3F34" w:rsidP="004C3F3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(-0.674)</w:t>
            </w:r>
          </w:p>
        </w:tc>
      </w:tr>
      <w:tr w:rsidR="00A3505C" w:rsidRPr="00A3505C" w14:paraId="67A7B5E9" w14:textId="77777777" w:rsidTr="00C307B6">
        <w:trPr>
          <w:trHeight w:val="65"/>
          <w:jc w:val="center"/>
        </w:trPr>
        <w:tc>
          <w:tcPr>
            <w:tcW w:w="1981" w:type="pct"/>
            <w:tcBorders>
              <w:top w:val="nil"/>
              <w:left w:val="nil"/>
              <w:bottom w:val="nil"/>
              <w:right w:val="nil"/>
            </w:tcBorders>
          </w:tcPr>
          <w:p w14:paraId="2FE99669" w14:textId="79900C8C" w:rsidR="00323B7A" w:rsidRPr="00A3505C" w:rsidRDefault="00323B7A" w:rsidP="00323B7A">
            <w:pPr>
              <w:autoSpaceDE w:val="0"/>
              <w:autoSpaceDN w:val="0"/>
              <w:adjustRightInd w:val="0"/>
              <w:snapToGrid w:val="0"/>
              <w:spacing w:after="0" w:line="264" w:lineRule="auto"/>
              <w:rPr>
                <w:rFonts w:ascii="Times New Roman" w:eastAsia="DengXian" w:hAnsi="Times New Roman" w:cs="Times New Roman"/>
                <w:sz w:val="18"/>
                <w:szCs w:val="18"/>
              </w:rPr>
            </w:pPr>
            <w:r w:rsidRPr="00A3505C">
              <w:rPr>
                <w:rFonts w:ascii="Times New Roman" w:hAnsi="Times New Roman" w:cs="Times New Roman"/>
                <w:i/>
                <w:sz w:val="18"/>
                <w:szCs w:val="18"/>
              </w:rPr>
              <w:t xml:space="preserve">Green </w:t>
            </w:r>
            <w:r w:rsidRPr="00A3505C">
              <w:rPr>
                <w:rFonts w:ascii="Times New Roman" w:hAnsi="Times New Roman" w:cs="Times New Roman"/>
                <w:i/>
                <w:iCs/>
                <w:sz w:val="18"/>
                <w:szCs w:val="18"/>
              </w:rPr>
              <w:t>Revenues Ratio</w:t>
            </w:r>
            <w:r w:rsidRPr="00A3505C">
              <w:rPr>
                <w:rFonts w:ascii="Times New Roman" w:hAnsi="Times New Roman" w:cs="Times New Roman"/>
                <w:sz w:val="18"/>
                <w:szCs w:val="18"/>
              </w:rPr>
              <w:t xml:space="preserve"> (β3)</w:t>
            </w:r>
          </w:p>
        </w:tc>
        <w:tc>
          <w:tcPr>
            <w:tcW w:w="755" w:type="pct"/>
            <w:tcBorders>
              <w:top w:val="nil"/>
              <w:left w:val="nil"/>
              <w:bottom w:val="nil"/>
              <w:right w:val="nil"/>
            </w:tcBorders>
          </w:tcPr>
          <w:p w14:paraId="2F3C0DFE" w14:textId="6274B6C8"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0.021</w:t>
            </w:r>
          </w:p>
        </w:tc>
        <w:tc>
          <w:tcPr>
            <w:tcW w:w="755" w:type="pct"/>
            <w:tcBorders>
              <w:top w:val="nil"/>
              <w:left w:val="nil"/>
              <w:bottom w:val="nil"/>
              <w:right w:val="nil"/>
            </w:tcBorders>
          </w:tcPr>
          <w:p w14:paraId="2DF18691" w14:textId="174844E6"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0.790***</w:t>
            </w:r>
          </w:p>
        </w:tc>
        <w:tc>
          <w:tcPr>
            <w:tcW w:w="755" w:type="pct"/>
            <w:tcBorders>
              <w:top w:val="nil"/>
              <w:left w:val="nil"/>
              <w:bottom w:val="nil"/>
              <w:right w:val="nil"/>
            </w:tcBorders>
          </w:tcPr>
          <w:p w14:paraId="25C4327B" w14:textId="58FA0DC9"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-1.011***</w:t>
            </w:r>
          </w:p>
        </w:tc>
        <w:tc>
          <w:tcPr>
            <w:tcW w:w="755" w:type="pct"/>
            <w:tcBorders>
              <w:top w:val="nil"/>
              <w:left w:val="nil"/>
              <w:bottom w:val="nil"/>
              <w:right w:val="nil"/>
            </w:tcBorders>
          </w:tcPr>
          <w:p w14:paraId="72D16F4C" w14:textId="065BCD07"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-0.095***</w:t>
            </w:r>
          </w:p>
        </w:tc>
      </w:tr>
      <w:tr w:rsidR="00A3505C" w:rsidRPr="00A3505C" w14:paraId="4D3A239C" w14:textId="77777777" w:rsidTr="00C307B6">
        <w:trPr>
          <w:trHeight w:val="65"/>
          <w:jc w:val="center"/>
        </w:trPr>
        <w:tc>
          <w:tcPr>
            <w:tcW w:w="1981" w:type="pct"/>
            <w:tcBorders>
              <w:top w:val="nil"/>
              <w:left w:val="nil"/>
              <w:bottom w:val="nil"/>
              <w:right w:val="nil"/>
            </w:tcBorders>
          </w:tcPr>
          <w:p w14:paraId="27FA9CDD" w14:textId="77777777" w:rsidR="00323B7A" w:rsidRPr="00A3505C" w:rsidRDefault="00323B7A" w:rsidP="00323B7A">
            <w:pPr>
              <w:autoSpaceDE w:val="0"/>
              <w:autoSpaceDN w:val="0"/>
              <w:adjustRightInd w:val="0"/>
              <w:snapToGrid w:val="0"/>
              <w:spacing w:after="0" w:line="264" w:lineRule="auto"/>
              <w:rPr>
                <w:rFonts w:ascii="Times New Roman" w:eastAsia="DengXian" w:hAnsi="Times New Roman" w:cs="Times New Roman"/>
                <w:sz w:val="18"/>
                <w:szCs w:val="18"/>
              </w:rPr>
            </w:pPr>
          </w:p>
        </w:tc>
        <w:tc>
          <w:tcPr>
            <w:tcW w:w="755" w:type="pct"/>
            <w:tcBorders>
              <w:top w:val="nil"/>
              <w:left w:val="nil"/>
              <w:bottom w:val="nil"/>
              <w:right w:val="nil"/>
            </w:tcBorders>
          </w:tcPr>
          <w:p w14:paraId="54608F5E" w14:textId="3132C3E7"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(0.572)</w:t>
            </w:r>
          </w:p>
        </w:tc>
        <w:tc>
          <w:tcPr>
            <w:tcW w:w="755" w:type="pct"/>
            <w:tcBorders>
              <w:top w:val="nil"/>
              <w:left w:val="nil"/>
              <w:bottom w:val="nil"/>
              <w:right w:val="nil"/>
            </w:tcBorders>
          </w:tcPr>
          <w:p w14:paraId="1768F51F" w14:textId="1DF884C1"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(4.431)</w:t>
            </w:r>
          </w:p>
        </w:tc>
        <w:tc>
          <w:tcPr>
            <w:tcW w:w="755" w:type="pct"/>
            <w:tcBorders>
              <w:top w:val="nil"/>
              <w:left w:val="nil"/>
              <w:bottom w:val="nil"/>
              <w:right w:val="nil"/>
            </w:tcBorders>
          </w:tcPr>
          <w:p w14:paraId="30907649" w14:textId="2904A4C4"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(-5.801)</w:t>
            </w:r>
          </w:p>
        </w:tc>
        <w:tc>
          <w:tcPr>
            <w:tcW w:w="755" w:type="pct"/>
            <w:tcBorders>
              <w:top w:val="nil"/>
              <w:left w:val="nil"/>
              <w:bottom w:val="nil"/>
              <w:right w:val="nil"/>
            </w:tcBorders>
          </w:tcPr>
          <w:p w14:paraId="3116A80F" w14:textId="36BFE847" w:rsidR="00323B7A" w:rsidRPr="00A3505C" w:rsidRDefault="00323B7A" w:rsidP="00323B7A">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(-2.814)</w:t>
            </w:r>
          </w:p>
        </w:tc>
      </w:tr>
      <w:tr w:rsidR="00A3505C" w:rsidRPr="00A3505C" w14:paraId="1C81AD43" w14:textId="77777777" w:rsidTr="00C307B6">
        <w:trPr>
          <w:trHeight w:val="80"/>
          <w:jc w:val="center"/>
        </w:trPr>
        <w:tc>
          <w:tcPr>
            <w:tcW w:w="1981" w:type="pct"/>
            <w:tcBorders>
              <w:top w:val="nil"/>
              <w:left w:val="nil"/>
              <w:bottom w:val="nil"/>
              <w:right w:val="nil"/>
            </w:tcBorders>
          </w:tcPr>
          <w:p w14:paraId="4A75018C" w14:textId="77777777" w:rsidR="00011A06" w:rsidRPr="00A3505C" w:rsidRDefault="00011A06" w:rsidP="00011A06">
            <w:pPr>
              <w:autoSpaceDE w:val="0"/>
              <w:autoSpaceDN w:val="0"/>
              <w:adjustRightInd w:val="0"/>
              <w:snapToGrid w:val="0"/>
              <w:spacing w:after="0" w:line="264" w:lineRule="auto"/>
              <w:rPr>
                <w:rFonts w:ascii="Times New Roman" w:eastAsia="DengXian" w:hAnsi="Times New Roman" w:cs="Times New Roman"/>
                <w:i/>
                <w:sz w:val="18"/>
                <w:szCs w:val="18"/>
              </w:rPr>
            </w:pPr>
            <w:r w:rsidRPr="00A3505C">
              <w:rPr>
                <w:rFonts w:ascii="Times New Roman" w:eastAsia="DengXian" w:hAnsi="Times New Roman" w:cs="Times New Roman"/>
                <w:i/>
                <w:sz w:val="18"/>
                <w:szCs w:val="18"/>
              </w:rPr>
              <w:t>Controls</w:t>
            </w:r>
          </w:p>
        </w:tc>
        <w:tc>
          <w:tcPr>
            <w:tcW w:w="755" w:type="pct"/>
            <w:tcBorders>
              <w:top w:val="nil"/>
              <w:left w:val="nil"/>
              <w:bottom w:val="nil"/>
              <w:right w:val="nil"/>
            </w:tcBorders>
          </w:tcPr>
          <w:p w14:paraId="05C92497" w14:textId="04BF8083"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top w:val="nil"/>
              <w:left w:val="nil"/>
              <w:bottom w:val="nil"/>
              <w:right w:val="nil"/>
            </w:tcBorders>
          </w:tcPr>
          <w:p w14:paraId="108D6856" w14:textId="1E41F83B"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top w:val="nil"/>
              <w:left w:val="nil"/>
              <w:bottom w:val="nil"/>
              <w:right w:val="nil"/>
            </w:tcBorders>
          </w:tcPr>
          <w:p w14:paraId="1BE8568E" w14:textId="465CB84B"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top w:val="nil"/>
              <w:left w:val="nil"/>
              <w:bottom w:val="nil"/>
              <w:right w:val="nil"/>
            </w:tcBorders>
          </w:tcPr>
          <w:p w14:paraId="3B4D389D" w14:textId="48233B44"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6183BE2E" w14:textId="77777777" w:rsidTr="00C307B6">
        <w:trPr>
          <w:jc w:val="center"/>
        </w:trPr>
        <w:tc>
          <w:tcPr>
            <w:tcW w:w="1981" w:type="pct"/>
            <w:tcBorders>
              <w:left w:val="nil"/>
              <w:bottom w:val="nil"/>
              <w:right w:val="nil"/>
            </w:tcBorders>
          </w:tcPr>
          <w:p w14:paraId="35E0AF18" w14:textId="77777777" w:rsidR="00011A06" w:rsidRPr="00A3505C" w:rsidRDefault="00011A06" w:rsidP="00011A06">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755" w:type="pct"/>
            <w:tcBorders>
              <w:left w:val="nil"/>
              <w:bottom w:val="nil"/>
              <w:right w:val="nil"/>
            </w:tcBorders>
          </w:tcPr>
          <w:p w14:paraId="07A9F7B3" w14:textId="5CC9870A"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1E90488C" w14:textId="2396287B"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203BF761" w14:textId="7E388F2E"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378E19E2" w14:textId="0B20250F"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4718455D" w14:textId="77777777" w:rsidTr="00C307B6">
        <w:trPr>
          <w:jc w:val="center"/>
        </w:trPr>
        <w:tc>
          <w:tcPr>
            <w:tcW w:w="1981" w:type="pct"/>
            <w:tcBorders>
              <w:left w:val="nil"/>
              <w:bottom w:val="nil"/>
              <w:right w:val="nil"/>
            </w:tcBorders>
          </w:tcPr>
          <w:p w14:paraId="270BE642" w14:textId="0CDB18E7" w:rsidR="00011A06" w:rsidRPr="00A3505C" w:rsidRDefault="00011A06" w:rsidP="00011A06">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755" w:type="pct"/>
            <w:tcBorders>
              <w:left w:val="nil"/>
              <w:bottom w:val="nil"/>
              <w:right w:val="nil"/>
            </w:tcBorders>
          </w:tcPr>
          <w:p w14:paraId="0E8D277B" w14:textId="3A4E7D0D"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58304152" w14:textId="529BBD1E"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4E46C400" w14:textId="5AD9E519"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0BDA0C58" w14:textId="6B3A5550"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04B9673F" w14:textId="77777777" w:rsidTr="00C307B6">
        <w:trPr>
          <w:jc w:val="center"/>
        </w:trPr>
        <w:tc>
          <w:tcPr>
            <w:tcW w:w="1981" w:type="pct"/>
            <w:tcBorders>
              <w:left w:val="nil"/>
              <w:bottom w:val="nil"/>
              <w:right w:val="nil"/>
            </w:tcBorders>
          </w:tcPr>
          <w:p w14:paraId="1623C4B4" w14:textId="77777777" w:rsidR="00011A06" w:rsidRPr="00A3505C" w:rsidRDefault="00011A06" w:rsidP="00011A06">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755" w:type="pct"/>
            <w:tcBorders>
              <w:left w:val="nil"/>
              <w:bottom w:val="nil"/>
              <w:right w:val="nil"/>
            </w:tcBorders>
          </w:tcPr>
          <w:p w14:paraId="753DE6A2" w14:textId="1B0D7105"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62C5CC5C" w14:textId="5BDB1267"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593DDAD5" w14:textId="7948823A"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35010F6C" w14:textId="51A3525A"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1922DD58" w14:textId="77777777" w:rsidTr="00C307B6">
        <w:trPr>
          <w:jc w:val="center"/>
        </w:trPr>
        <w:tc>
          <w:tcPr>
            <w:tcW w:w="1981" w:type="pct"/>
            <w:tcBorders>
              <w:left w:val="nil"/>
              <w:bottom w:val="nil"/>
              <w:right w:val="nil"/>
            </w:tcBorders>
          </w:tcPr>
          <w:p w14:paraId="10909F8C" w14:textId="2988EE86" w:rsidR="00011A06" w:rsidRPr="00A3505C" w:rsidRDefault="00011A06" w:rsidP="00011A06">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Entropy Balanced</w:t>
            </w:r>
          </w:p>
        </w:tc>
        <w:tc>
          <w:tcPr>
            <w:tcW w:w="755" w:type="pct"/>
            <w:tcBorders>
              <w:left w:val="nil"/>
              <w:bottom w:val="nil"/>
              <w:right w:val="nil"/>
            </w:tcBorders>
          </w:tcPr>
          <w:p w14:paraId="17456BF1" w14:textId="6DB57C8B"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5D4ACB39" w14:textId="7E5DD9B3"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19633F46" w14:textId="6DB8D0E5"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755" w:type="pct"/>
            <w:tcBorders>
              <w:left w:val="nil"/>
              <w:bottom w:val="nil"/>
              <w:right w:val="nil"/>
            </w:tcBorders>
          </w:tcPr>
          <w:p w14:paraId="0F7F13AF" w14:textId="019B1F90" w:rsidR="00011A06" w:rsidRPr="00A3505C" w:rsidRDefault="00011A06" w:rsidP="00011A06">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4815EB29" w14:textId="77777777" w:rsidTr="00C307B6">
        <w:trPr>
          <w:jc w:val="center"/>
        </w:trPr>
        <w:tc>
          <w:tcPr>
            <w:tcW w:w="1981" w:type="pct"/>
            <w:tcBorders>
              <w:top w:val="nil"/>
              <w:left w:val="nil"/>
              <w:bottom w:val="nil"/>
              <w:right w:val="nil"/>
            </w:tcBorders>
          </w:tcPr>
          <w:p w14:paraId="57BA9A87" w14:textId="77777777" w:rsidR="00A46BEF" w:rsidRPr="00A3505C" w:rsidRDefault="00A46BEF" w:rsidP="00410E8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F test: β1 – β2= 0 (p-value)</w:t>
            </w:r>
          </w:p>
        </w:tc>
        <w:tc>
          <w:tcPr>
            <w:tcW w:w="755" w:type="pct"/>
            <w:tcBorders>
              <w:top w:val="nil"/>
              <w:left w:val="nil"/>
              <w:bottom w:val="nil"/>
              <w:right w:val="nil"/>
            </w:tcBorders>
          </w:tcPr>
          <w:p w14:paraId="2CC70130" w14:textId="0AB90067"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w:t>
            </w:r>
            <w:r w:rsidR="00B969D3" w:rsidRPr="00A3505C">
              <w:rPr>
                <w:rFonts w:ascii="Times New Roman" w:hAnsi="Times New Roman" w:cs="Times New Roman"/>
                <w:sz w:val="18"/>
                <w:szCs w:val="18"/>
              </w:rPr>
              <w:t>84</w:t>
            </w:r>
            <w:r w:rsidRPr="00A3505C">
              <w:rPr>
                <w:rFonts w:ascii="Times New Roman" w:hAnsi="Times New Roman" w:cs="Times New Roman"/>
                <w:sz w:val="18"/>
                <w:szCs w:val="18"/>
              </w:rPr>
              <w:t>*</w:t>
            </w:r>
          </w:p>
        </w:tc>
        <w:tc>
          <w:tcPr>
            <w:tcW w:w="755" w:type="pct"/>
            <w:tcBorders>
              <w:top w:val="nil"/>
              <w:left w:val="nil"/>
              <w:bottom w:val="nil"/>
              <w:right w:val="nil"/>
            </w:tcBorders>
          </w:tcPr>
          <w:p w14:paraId="6985679A" w14:textId="657E4F53"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w:t>
            </w:r>
            <w:r w:rsidR="00C22255" w:rsidRPr="00A3505C">
              <w:rPr>
                <w:rFonts w:ascii="Times New Roman" w:hAnsi="Times New Roman" w:cs="Times New Roman"/>
                <w:sz w:val="18"/>
                <w:szCs w:val="18"/>
              </w:rPr>
              <w:t>2</w:t>
            </w:r>
            <w:r w:rsidRPr="00A3505C">
              <w:rPr>
                <w:rFonts w:ascii="Times New Roman" w:hAnsi="Times New Roman" w:cs="Times New Roman"/>
                <w:sz w:val="18"/>
                <w:szCs w:val="18"/>
              </w:rPr>
              <w:t>***</w:t>
            </w:r>
          </w:p>
        </w:tc>
        <w:tc>
          <w:tcPr>
            <w:tcW w:w="755" w:type="pct"/>
            <w:tcBorders>
              <w:top w:val="nil"/>
              <w:left w:val="nil"/>
              <w:bottom w:val="nil"/>
              <w:right w:val="nil"/>
            </w:tcBorders>
          </w:tcPr>
          <w:p w14:paraId="3DE45EA1" w14:textId="2494CF5F"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0.00</w:t>
            </w:r>
            <w:r w:rsidR="007E6375" w:rsidRPr="00A3505C">
              <w:rPr>
                <w:rFonts w:ascii="Times New Roman" w:hAnsi="Times New Roman" w:cs="Times New Roman"/>
                <w:sz w:val="18"/>
                <w:szCs w:val="18"/>
              </w:rPr>
              <w:t>1</w:t>
            </w:r>
            <w:r w:rsidRPr="00A3505C">
              <w:rPr>
                <w:rFonts w:ascii="Times New Roman" w:hAnsi="Times New Roman" w:cs="Times New Roman"/>
                <w:sz w:val="18"/>
                <w:szCs w:val="18"/>
              </w:rPr>
              <w:t>***</w:t>
            </w:r>
          </w:p>
        </w:tc>
        <w:tc>
          <w:tcPr>
            <w:tcW w:w="755" w:type="pct"/>
            <w:tcBorders>
              <w:top w:val="nil"/>
              <w:left w:val="nil"/>
              <w:bottom w:val="nil"/>
              <w:right w:val="nil"/>
            </w:tcBorders>
          </w:tcPr>
          <w:p w14:paraId="7D0F1E9A" w14:textId="1A239000" w:rsidR="00A46BEF" w:rsidRPr="00A3505C" w:rsidRDefault="00A46BEF" w:rsidP="00410E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0.0</w:t>
            </w:r>
            <w:r w:rsidR="007E6375" w:rsidRPr="00A3505C">
              <w:rPr>
                <w:rFonts w:ascii="Times New Roman" w:hAnsi="Times New Roman" w:cs="Times New Roman"/>
                <w:sz w:val="18"/>
                <w:szCs w:val="18"/>
              </w:rPr>
              <w:t>12</w:t>
            </w:r>
            <w:r w:rsidRPr="00A3505C">
              <w:rPr>
                <w:rFonts w:ascii="Times New Roman" w:hAnsi="Times New Roman" w:cs="Times New Roman"/>
                <w:sz w:val="18"/>
                <w:szCs w:val="18"/>
              </w:rPr>
              <w:t>**</w:t>
            </w:r>
          </w:p>
        </w:tc>
      </w:tr>
      <w:tr w:rsidR="00A3505C" w:rsidRPr="00A3505C" w14:paraId="6F2579F8" w14:textId="77777777" w:rsidTr="00C307B6">
        <w:trPr>
          <w:trHeight w:val="80"/>
          <w:jc w:val="center"/>
        </w:trPr>
        <w:tc>
          <w:tcPr>
            <w:tcW w:w="1981" w:type="pct"/>
            <w:tcBorders>
              <w:top w:val="nil"/>
              <w:left w:val="nil"/>
              <w:right w:val="nil"/>
            </w:tcBorders>
          </w:tcPr>
          <w:p w14:paraId="0BEB6F6C" w14:textId="77777777" w:rsidR="00DB5FA8" w:rsidRPr="00A3505C" w:rsidRDefault="00DB5FA8" w:rsidP="00DB5FA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755" w:type="pct"/>
            <w:tcBorders>
              <w:top w:val="nil"/>
              <w:left w:val="nil"/>
              <w:right w:val="nil"/>
            </w:tcBorders>
          </w:tcPr>
          <w:p w14:paraId="621E2872" w14:textId="47F9C638"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24,541</w:t>
            </w:r>
          </w:p>
        </w:tc>
        <w:tc>
          <w:tcPr>
            <w:tcW w:w="755" w:type="pct"/>
            <w:tcBorders>
              <w:top w:val="nil"/>
              <w:left w:val="nil"/>
              <w:right w:val="nil"/>
            </w:tcBorders>
          </w:tcPr>
          <w:p w14:paraId="3A028FAE" w14:textId="3FC51C2A"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23,721</w:t>
            </w:r>
          </w:p>
        </w:tc>
        <w:tc>
          <w:tcPr>
            <w:tcW w:w="755" w:type="pct"/>
            <w:tcBorders>
              <w:top w:val="nil"/>
              <w:left w:val="nil"/>
              <w:right w:val="nil"/>
            </w:tcBorders>
          </w:tcPr>
          <w:p w14:paraId="0F4EE021" w14:textId="455F0D54"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25,036</w:t>
            </w:r>
          </w:p>
        </w:tc>
        <w:tc>
          <w:tcPr>
            <w:tcW w:w="755" w:type="pct"/>
            <w:tcBorders>
              <w:top w:val="nil"/>
              <w:left w:val="nil"/>
              <w:right w:val="nil"/>
            </w:tcBorders>
          </w:tcPr>
          <w:p w14:paraId="5FF90443" w14:textId="132F22D8"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5,009</w:t>
            </w:r>
          </w:p>
        </w:tc>
      </w:tr>
      <w:tr w:rsidR="00A3505C" w:rsidRPr="00A3505C" w14:paraId="323361EB" w14:textId="77777777" w:rsidTr="00C307B6">
        <w:tblPrEx>
          <w:tblBorders>
            <w:bottom w:val="single" w:sz="6" w:space="0" w:color="auto"/>
          </w:tblBorders>
        </w:tblPrEx>
        <w:trPr>
          <w:jc w:val="center"/>
        </w:trPr>
        <w:tc>
          <w:tcPr>
            <w:tcW w:w="1981" w:type="pct"/>
            <w:tcBorders>
              <w:top w:val="nil"/>
              <w:left w:val="nil"/>
              <w:bottom w:val="single" w:sz="4" w:space="0" w:color="auto"/>
              <w:right w:val="nil"/>
            </w:tcBorders>
          </w:tcPr>
          <w:p w14:paraId="0BC5140F" w14:textId="77777777" w:rsidR="00DB5FA8" w:rsidRPr="00A3505C" w:rsidRDefault="00DB5FA8" w:rsidP="00DB5FA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755" w:type="pct"/>
            <w:tcBorders>
              <w:top w:val="nil"/>
              <w:left w:val="nil"/>
              <w:bottom w:val="single" w:sz="4" w:space="0" w:color="auto"/>
              <w:right w:val="nil"/>
            </w:tcBorders>
          </w:tcPr>
          <w:p w14:paraId="229F4BC2" w14:textId="650C9644"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0.398</w:t>
            </w:r>
          </w:p>
        </w:tc>
        <w:tc>
          <w:tcPr>
            <w:tcW w:w="755" w:type="pct"/>
            <w:tcBorders>
              <w:top w:val="nil"/>
              <w:left w:val="nil"/>
              <w:bottom w:val="single" w:sz="4" w:space="0" w:color="auto"/>
              <w:right w:val="nil"/>
            </w:tcBorders>
          </w:tcPr>
          <w:p w14:paraId="542A0FD1" w14:textId="6BD254B0"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0.334</w:t>
            </w:r>
          </w:p>
        </w:tc>
        <w:tc>
          <w:tcPr>
            <w:tcW w:w="755" w:type="pct"/>
            <w:tcBorders>
              <w:top w:val="nil"/>
              <w:left w:val="nil"/>
              <w:bottom w:val="single" w:sz="4" w:space="0" w:color="auto"/>
              <w:right w:val="nil"/>
            </w:tcBorders>
          </w:tcPr>
          <w:p w14:paraId="6CADA38F" w14:textId="6BC83668"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0.307</w:t>
            </w:r>
          </w:p>
        </w:tc>
        <w:tc>
          <w:tcPr>
            <w:tcW w:w="755" w:type="pct"/>
            <w:tcBorders>
              <w:top w:val="nil"/>
              <w:left w:val="nil"/>
              <w:bottom w:val="single" w:sz="4" w:space="0" w:color="auto"/>
              <w:right w:val="nil"/>
            </w:tcBorders>
          </w:tcPr>
          <w:p w14:paraId="5C688E99" w14:textId="6C44A1FB" w:rsidR="00DB5FA8" w:rsidRPr="00A3505C" w:rsidRDefault="00DB5FA8" w:rsidP="00DB5FA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0.416</w:t>
            </w:r>
          </w:p>
        </w:tc>
      </w:tr>
    </w:tbl>
    <w:p w14:paraId="6B2FD2E7" w14:textId="1F728133" w:rsidR="00A46BEF" w:rsidRPr="00A3505C" w:rsidRDefault="00A46BEF" w:rsidP="007A50B5">
      <w:pPr>
        <w:spacing w:before="120"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Note</w:t>
      </w:r>
      <w:r w:rsidR="00AE3F21" w:rsidRPr="00A3505C">
        <w:rPr>
          <w:rFonts w:ascii="Times New Roman" w:hAnsi="Times New Roman" w:cs="Times New Roman" w:hint="eastAsia"/>
          <w:sz w:val="20"/>
          <w:szCs w:val="20"/>
        </w:rPr>
        <w:t>s</w:t>
      </w:r>
      <w:r w:rsidRPr="00A3505C">
        <w:rPr>
          <w:rFonts w:ascii="Times New Roman" w:hAnsi="Times New Roman" w:cs="Times New Roman"/>
          <w:sz w:val="20"/>
          <w:szCs w:val="20"/>
        </w:rPr>
        <w:t xml:space="preserve">: This table shows the results of the impact of growth-oriented firms’ green revenues on their social </w:t>
      </w:r>
      <w:r w:rsidR="00645FA3" w:rsidRPr="00A3505C">
        <w:rPr>
          <w:rFonts w:ascii="Times New Roman" w:hAnsi="Times New Roman" w:cs="Times New Roman"/>
          <w:sz w:val="20"/>
          <w:szCs w:val="20"/>
        </w:rPr>
        <w:t>performance</w:t>
      </w:r>
      <w:r w:rsidRPr="00A3505C">
        <w:rPr>
          <w:rFonts w:ascii="Times New Roman" w:hAnsi="Times New Roman" w:cs="Times New Roman"/>
          <w:sz w:val="20"/>
          <w:szCs w:val="20"/>
        </w:rPr>
        <w:t xml:space="preserve">. Column (1) shows the effect of growth-oriented firms’ green revenues on </w:t>
      </w:r>
      <w:r w:rsidR="00464DF2" w:rsidRPr="00A3505C">
        <w:rPr>
          <w:rFonts w:ascii="Times New Roman" w:hAnsi="Times New Roman" w:cs="Times New Roman"/>
          <w:sz w:val="20"/>
          <w:szCs w:val="20"/>
        </w:rPr>
        <w:t>news reports</w:t>
      </w:r>
      <w:r w:rsidRPr="00A3505C">
        <w:rPr>
          <w:rFonts w:ascii="Times New Roman" w:hAnsi="Times New Roman" w:cs="Times New Roman"/>
          <w:sz w:val="20"/>
          <w:szCs w:val="20"/>
        </w:rPr>
        <w:t xml:space="preserve">. Column (2) reports the effect of growth-oriented firms’ green revenues on </w:t>
      </w:r>
      <w:r w:rsidR="00E53248" w:rsidRPr="00A3505C">
        <w:rPr>
          <w:rFonts w:ascii="Times New Roman" w:hAnsi="Times New Roman" w:cs="Times New Roman"/>
          <w:sz w:val="20"/>
          <w:szCs w:val="20"/>
        </w:rPr>
        <w:t xml:space="preserve">CSR </w:t>
      </w:r>
      <w:r w:rsidRPr="00A3505C">
        <w:rPr>
          <w:rFonts w:ascii="Times New Roman" w:hAnsi="Times New Roman" w:cs="Times New Roman"/>
          <w:sz w:val="20"/>
          <w:szCs w:val="20"/>
        </w:rPr>
        <w:t xml:space="preserve">performance. Column (3) exhibits the effect of growth-oriented firms’ green revenues on </w:t>
      </w:r>
      <w:r w:rsidR="00443BF1" w:rsidRPr="00A3505C">
        <w:rPr>
          <w:rFonts w:ascii="Times New Roman" w:hAnsi="Times New Roman" w:cs="Times New Roman"/>
          <w:sz w:val="20"/>
          <w:szCs w:val="20"/>
        </w:rPr>
        <w:t xml:space="preserve">real </w:t>
      </w:r>
      <w:r w:rsidRPr="00A3505C">
        <w:rPr>
          <w:rFonts w:ascii="Times New Roman" w:hAnsi="Times New Roman" w:cs="Times New Roman"/>
          <w:sz w:val="20"/>
          <w:szCs w:val="20"/>
        </w:rPr>
        <w:t xml:space="preserve">CSR activities. Column (4) reveals the effect of growth-oriented firms’ green revenues on CSR scores. Appendix </w:t>
      </w:r>
      <w:r w:rsidR="00F61172" w:rsidRPr="00A3505C">
        <w:rPr>
          <w:rFonts w:ascii="Times New Roman" w:hAnsi="Times New Roman" w:cs="Times New Roman"/>
          <w:sz w:val="20"/>
          <w:szCs w:val="20"/>
        </w:rPr>
        <w:t>A</w:t>
      </w:r>
      <w:r w:rsidRPr="00A3505C">
        <w:rPr>
          <w:rFonts w:ascii="Times New Roman" w:hAnsi="Times New Roman" w:cs="Times New Roman"/>
          <w:sz w:val="20"/>
          <w:szCs w:val="20"/>
        </w:rPr>
        <w:t xml:space="preserve"> shows the definition of variables. The t-statistics are reported in parentheses. We adopt robust standard errors clustered at the firm level. *, **, and *** denote statistical significance at 10%, 5%, and 1% levels, respectively.</w:t>
      </w:r>
    </w:p>
    <w:p w14:paraId="5D09C8C2" w14:textId="77777777" w:rsidR="00A46BEF" w:rsidRPr="00A3505C" w:rsidRDefault="00A46BEF">
      <w:pPr>
        <w:rPr>
          <w:rFonts w:ascii="Times New Roman" w:hAnsi="Times New Roman" w:cs="Times New Roman"/>
          <w:b/>
          <w:bCs/>
          <w:sz w:val="20"/>
          <w:szCs w:val="20"/>
        </w:rPr>
      </w:pPr>
    </w:p>
    <w:p w14:paraId="0DAF20A3" w14:textId="77777777" w:rsidR="00A46BEF" w:rsidRPr="00A3505C" w:rsidRDefault="00A46BEF">
      <w:pPr>
        <w:rPr>
          <w:rFonts w:ascii="Times New Roman" w:hAnsi="Times New Roman" w:cs="Times New Roman"/>
          <w:b/>
          <w:bCs/>
          <w:sz w:val="20"/>
          <w:szCs w:val="20"/>
        </w:rPr>
      </w:pPr>
      <w:r w:rsidRPr="00A3505C">
        <w:rPr>
          <w:rFonts w:ascii="Times New Roman" w:hAnsi="Times New Roman" w:cs="Times New Roman"/>
          <w:b/>
          <w:bCs/>
          <w:sz w:val="20"/>
          <w:szCs w:val="20"/>
        </w:rPr>
        <w:br w:type="page"/>
      </w:r>
    </w:p>
    <w:p w14:paraId="497BAAE7" w14:textId="14D7D57B" w:rsidR="008B2A86" w:rsidRPr="00A3505C" w:rsidRDefault="0066501E" w:rsidP="00F67F53">
      <w:pPr>
        <w:adjustRightInd w:val="0"/>
        <w:snapToGrid w:val="0"/>
        <w:spacing w:after="120" w:line="264" w:lineRule="auto"/>
        <w:jc w:val="center"/>
        <w:rPr>
          <w:rFonts w:ascii="Times New Roman" w:hAnsi="Times New Roman" w:cs="Times New Roman"/>
          <w:b/>
          <w:sz w:val="24"/>
          <w:szCs w:val="24"/>
        </w:rPr>
      </w:pPr>
      <w:r w:rsidRPr="00A3505C">
        <w:rPr>
          <w:rFonts w:ascii="Times New Roman" w:hAnsi="Times New Roman" w:cs="Times New Roman"/>
          <w:b/>
          <w:sz w:val="24"/>
          <w:szCs w:val="24"/>
        </w:rPr>
        <w:lastRenderedPageBreak/>
        <w:t>Table 8</w:t>
      </w:r>
      <w:r w:rsidR="00E46104" w:rsidRPr="00A3505C">
        <w:rPr>
          <w:rFonts w:ascii="Times New Roman" w:hAnsi="Times New Roman" w:cs="Times New Roman"/>
          <w:b/>
          <w:sz w:val="24"/>
          <w:szCs w:val="24"/>
        </w:rPr>
        <w:t xml:space="preserve">. </w:t>
      </w:r>
      <w:r w:rsidR="00926D47" w:rsidRPr="00A3505C">
        <w:rPr>
          <w:rFonts w:ascii="Times New Roman" w:hAnsi="Times New Roman" w:cs="Times New Roman"/>
          <w:b/>
          <w:sz w:val="24"/>
          <w:szCs w:val="24"/>
        </w:rPr>
        <w:t>Robustness tests</w:t>
      </w:r>
    </w:p>
    <w:tbl>
      <w:tblPr>
        <w:tblW w:w="14034" w:type="dxa"/>
        <w:jc w:val="center"/>
        <w:tblLayout w:type="fixed"/>
        <w:tblCellMar>
          <w:left w:w="75" w:type="dxa"/>
          <w:right w:w="75" w:type="dxa"/>
        </w:tblCellMar>
        <w:tblLook w:val="0000" w:firstRow="0" w:lastRow="0" w:firstColumn="0" w:lastColumn="0" w:noHBand="0" w:noVBand="0"/>
      </w:tblPr>
      <w:tblGrid>
        <w:gridCol w:w="3543"/>
        <w:gridCol w:w="1748"/>
        <w:gridCol w:w="1748"/>
        <w:gridCol w:w="1749"/>
        <w:gridCol w:w="1749"/>
        <w:gridCol w:w="1748"/>
        <w:gridCol w:w="1749"/>
      </w:tblGrid>
      <w:tr w:rsidR="00A3505C" w:rsidRPr="00A3505C" w14:paraId="1C2F4BA1" w14:textId="77777777" w:rsidTr="00F842ED">
        <w:trPr>
          <w:jc w:val="center"/>
        </w:trPr>
        <w:tc>
          <w:tcPr>
            <w:tcW w:w="14034" w:type="dxa"/>
            <w:gridSpan w:val="7"/>
            <w:tcBorders>
              <w:top w:val="single" w:sz="6" w:space="0" w:color="auto"/>
              <w:left w:val="nil"/>
              <w:bottom w:val="single" w:sz="4" w:space="0" w:color="auto"/>
              <w:right w:val="nil"/>
            </w:tcBorders>
          </w:tcPr>
          <w:p w14:paraId="2A2658F4" w14:textId="6F09EC51" w:rsidR="00926D47" w:rsidRPr="00A3505C" w:rsidRDefault="00926D47" w:rsidP="00145B08">
            <w:pPr>
              <w:autoSpaceDE w:val="0"/>
              <w:autoSpaceDN w:val="0"/>
              <w:adjustRightInd w:val="0"/>
              <w:snapToGrid w:val="0"/>
              <w:spacing w:before="60" w:after="60" w:line="264" w:lineRule="auto"/>
              <w:jc w:val="both"/>
              <w:rPr>
                <w:rFonts w:ascii="Times New Roman" w:hAnsi="Times New Roman" w:cs="Times New Roman"/>
                <w:b/>
                <w:sz w:val="18"/>
                <w:szCs w:val="18"/>
              </w:rPr>
            </w:pPr>
            <w:r w:rsidRPr="00A3505C">
              <w:rPr>
                <w:rFonts w:ascii="Times New Roman" w:hAnsi="Times New Roman" w:cs="Times New Roman"/>
                <w:b/>
                <w:sz w:val="18"/>
                <w:szCs w:val="18"/>
              </w:rPr>
              <w:t>Panel A. Instrumental variable and 2SLS approach tests</w:t>
            </w:r>
          </w:p>
        </w:tc>
      </w:tr>
      <w:tr w:rsidR="00A3505C" w:rsidRPr="00A3505C" w14:paraId="4734BB9F" w14:textId="77777777" w:rsidTr="00F842ED">
        <w:trPr>
          <w:jc w:val="center"/>
        </w:trPr>
        <w:tc>
          <w:tcPr>
            <w:tcW w:w="3543" w:type="dxa"/>
            <w:tcBorders>
              <w:top w:val="single" w:sz="4" w:space="0" w:color="auto"/>
              <w:left w:val="nil"/>
              <w:right w:val="nil"/>
            </w:tcBorders>
          </w:tcPr>
          <w:p w14:paraId="213AD9F7" w14:textId="77777777" w:rsidR="009D0E43" w:rsidRPr="00A3505C" w:rsidRDefault="009D0E43" w:rsidP="009D0E4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1748" w:type="dxa"/>
            <w:tcBorders>
              <w:top w:val="single" w:sz="4" w:space="0" w:color="auto"/>
              <w:left w:val="nil"/>
              <w:bottom w:val="single" w:sz="6" w:space="0" w:color="auto"/>
              <w:right w:val="nil"/>
            </w:tcBorders>
          </w:tcPr>
          <w:p w14:paraId="69C8A48E" w14:textId="04AB0343"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i/>
                <w:sz w:val="18"/>
                <w:szCs w:val="18"/>
              </w:rPr>
            </w:pPr>
            <w:r w:rsidRPr="00A3505C">
              <w:rPr>
                <w:rFonts w:ascii="Times New Roman" w:hAnsi="Times New Roman" w:cs="Times New Roman"/>
                <w:i/>
                <w:sz w:val="18"/>
                <w:szCs w:val="18"/>
              </w:rPr>
              <w:t>Growth</w:t>
            </w:r>
            <w:r w:rsidRPr="00A3505C">
              <w:rPr>
                <w:rFonts w:ascii="Times New Roman" w:hAnsi="Times New Roman" w:cs="Times New Roman"/>
                <w:i/>
                <w:iCs/>
                <w:sz w:val="18"/>
                <w:szCs w:val="18"/>
              </w:rPr>
              <w:t xml:space="preserve"> v. Profit and </w:t>
            </w:r>
            <w:r w:rsidR="00CE5C57" w:rsidRPr="00A3505C">
              <w:rPr>
                <w:rFonts w:ascii="Times New Roman" w:hAnsi="Times New Roman" w:cs="Times New Roman"/>
                <w:i/>
                <w:iCs/>
                <w:sz w:val="18"/>
                <w:szCs w:val="18"/>
              </w:rPr>
              <w:t>Neither-Nor</w:t>
            </w:r>
          </w:p>
        </w:tc>
        <w:tc>
          <w:tcPr>
            <w:tcW w:w="1748" w:type="dxa"/>
            <w:tcBorders>
              <w:top w:val="single" w:sz="4" w:space="0" w:color="auto"/>
              <w:left w:val="nil"/>
              <w:bottom w:val="single" w:sz="6" w:space="0" w:color="auto"/>
              <w:right w:val="nil"/>
            </w:tcBorders>
          </w:tcPr>
          <w:p w14:paraId="515DD4E5" w14:textId="72E99CDF"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1749" w:type="dxa"/>
            <w:tcBorders>
              <w:top w:val="single" w:sz="4" w:space="0" w:color="auto"/>
              <w:left w:val="nil"/>
              <w:bottom w:val="single" w:sz="6" w:space="0" w:color="auto"/>
              <w:right w:val="nil"/>
            </w:tcBorders>
          </w:tcPr>
          <w:p w14:paraId="17BD31F5" w14:textId="756E1F16"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c>
          <w:tcPr>
            <w:tcW w:w="1749" w:type="dxa"/>
            <w:tcBorders>
              <w:top w:val="single" w:sz="4" w:space="0" w:color="auto"/>
              <w:left w:val="nil"/>
              <w:bottom w:val="single" w:sz="6" w:space="0" w:color="auto"/>
              <w:right w:val="nil"/>
            </w:tcBorders>
          </w:tcPr>
          <w:p w14:paraId="50323289" w14:textId="78D1406D"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sz w:val="18"/>
                <w:szCs w:val="18"/>
              </w:rPr>
              <w:t>Profit</w:t>
            </w:r>
            <w:r w:rsidRPr="00A3505C">
              <w:rPr>
                <w:rFonts w:ascii="Times New Roman" w:hAnsi="Times New Roman" w:cs="Times New Roman"/>
                <w:i/>
                <w:iCs/>
                <w:sz w:val="18"/>
                <w:szCs w:val="18"/>
              </w:rPr>
              <w:t xml:space="preserve"> v. Growth and </w:t>
            </w:r>
            <w:r w:rsidR="00CE5C57" w:rsidRPr="00A3505C">
              <w:rPr>
                <w:rFonts w:ascii="Times New Roman" w:hAnsi="Times New Roman" w:cs="Times New Roman"/>
                <w:i/>
                <w:iCs/>
                <w:sz w:val="18"/>
                <w:szCs w:val="18"/>
              </w:rPr>
              <w:t>Neither-Nor</w:t>
            </w:r>
          </w:p>
        </w:tc>
        <w:tc>
          <w:tcPr>
            <w:tcW w:w="1748" w:type="dxa"/>
            <w:tcBorders>
              <w:top w:val="single" w:sz="4" w:space="0" w:color="auto"/>
              <w:left w:val="nil"/>
              <w:bottom w:val="single" w:sz="6" w:space="0" w:color="auto"/>
              <w:right w:val="nil"/>
            </w:tcBorders>
          </w:tcPr>
          <w:p w14:paraId="30C983E4" w14:textId="375ED4AC"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1749" w:type="dxa"/>
            <w:tcBorders>
              <w:top w:val="single" w:sz="4" w:space="0" w:color="auto"/>
              <w:left w:val="nil"/>
              <w:bottom w:val="single" w:sz="6" w:space="0" w:color="auto"/>
              <w:right w:val="nil"/>
            </w:tcBorders>
          </w:tcPr>
          <w:p w14:paraId="3DD59EAA" w14:textId="58841C3C" w:rsidR="009D0E43" w:rsidRPr="00A3505C" w:rsidRDefault="009D0E43" w:rsidP="009D0E4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r>
      <w:tr w:rsidR="00A3505C" w:rsidRPr="00A3505C" w14:paraId="51C9D230" w14:textId="77777777" w:rsidTr="0015329C">
        <w:trPr>
          <w:jc w:val="center"/>
        </w:trPr>
        <w:tc>
          <w:tcPr>
            <w:tcW w:w="3543" w:type="dxa"/>
            <w:tcBorders>
              <w:left w:val="nil"/>
              <w:right w:val="nil"/>
            </w:tcBorders>
          </w:tcPr>
          <w:p w14:paraId="4D0E90C3" w14:textId="77777777" w:rsidR="002F6360" w:rsidRPr="00A3505C" w:rsidRDefault="002F6360" w:rsidP="009C6FF3">
            <w:pPr>
              <w:autoSpaceDE w:val="0"/>
              <w:autoSpaceDN w:val="0"/>
              <w:adjustRightInd w:val="0"/>
              <w:snapToGrid w:val="0"/>
              <w:spacing w:after="0" w:line="264" w:lineRule="auto"/>
              <w:rPr>
                <w:rFonts w:ascii="Times New Roman" w:hAnsi="Times New Roman" w:cs="Times New Roman"/>
                <w:sz w:val="18"/>
                <w:szCs w:val="18"/>
              </w:rPr>
            </w:pPr>
          </w:p>
        </w:tc>
        <w:tc>
          <w:tcPr>
            <w:tcW w:w="1748" w:type="dxa"/>
            <w:tcBorders>
              <w:top w:val="single" w:sz="6" w:space="0" w:color="auto"/>
              <w:left w:val="nil"/>
              <w:bottom w:val="single" w:sz="4" w:space="0" w:color="auto"/>
              <w:right w:val="nil"/>
            </w:tcBorders>
          </w:tcPr>
          <w:p w14:paraId="42D4660D"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tc>
        <w:tc>
          <w:tcPr>
            <w:tcW w:w="1748" w:type="dxa"/>
            <w:tcBorders>
              <w:top w:val="single" w:sz="6" w:space="0" w:color="auto"/>
              <w:left w:val="nil"/>
              <w:bottom w:val="single" w:sz="4" w:space="0" w:color="auto"/>
              <w:right w:val="nil"/>
            </w:tcBorders>
          </w:tcPr>
          <w:p w14:paraId="695BD910"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tc>
        <w:tc>
          <w:tcPr>
            <w:tcW w:w="1749" w:type="dxa"/>
            <w:tcBorders>
              <w:top w:val="single" w:sz="6" w:space="0" w:color="auto"/>
              <w:left w:val="nil"/>
              <w:bottom w:val="single" w:sz="4" w:space="0" w:color="auto"/>
              <w:right w:val="nil"/>
            </w:tcBorders>
          </w:tcPr>
          <w:p w14:paraId="03A31A93"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tc>
        <w:tc>
          <w:tcPr>
            <w:tcW w:w="1749" w:type="dxa"/>
            <w:tcBorders>
              <w:top w:val="single" w:sz="6" w:space="0" w:color="auto"/>
              <w:left w:val="nil"/>
              <w:bottom w:val="single" w:sz="4" w:space="0" w:color="auto"/>
              <w:right w:val="nil"/>
            </w:tcBorders>
          </w:tcPr>
          <w:p w14:paraId="233F3220"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tc>
        <w:tc>
          <w:tcPr>
            <w:tcW w:w="1748" w:type="dxa"/>
            <w:tcBorders>
              <w:top w:val="single" w:sz="6" w:space="0" w:color="auto"/>
              <w:left w:val="nil"/>
              <w:bottom w:val="single" w:sz="4" w:space="0" w:color="auto"/>
              <w:right w:val="nil"/>
            </w:tcBorders>
          </w:tcPr>
          <w:p w14:paraId="4A72BC5B"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(5)</w:t>
            </w:r>
          </w:p>
        </w:tc>
        <w:tc>
          <w:tcPr>
            <w:tcW w:w="1749" w:type="dxa"/>
            <w:tcBorders>
              <w:top w:val="single" w:sz="6" w:space="0" w:color="auto"/>
              <w:left w:val="nil"/>
              <w:bottom w:val="single" w:sz="4" w:space="0" w:color="auto"/>
              <w:right w:val="nil"/>
            </w:tcBorders>
          </w:tcPr>
          <w:p w14:paraId="2EB0DAE2"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(6)</w:t>
            </w:r>
          </w:p>
        </w:tc>
      </w:tr>
      <w:tr w:rsidR="00A3505C" w:rsidRPr="00A3505C" w14:paraId="4868048B" w14:textId="77777777" w:rsidTr="0015329C">
        <w:trPr>
          <w:jc w:val="center"/>
        </w:trPr>
        <w:tc>
          <w:tcPr>
            <w:tcW w:w="3543" w:type="dxa"/>
            <w:tcBorders>
              <w:left w:val="nil"/>
              <w:right w:val="nil"/>
            </w:tcBorders>
          </w:tcPr>
          <w:p w14:paraId="6421BFD1" w14:textId="77777777" w:rsidR="003F129B" w:rsidRPr="00A3505C" w:rsidRDefault="003F129B" w:rsidP="009C6FF3">
            <w:pPr>
              <w:autoSpaceDE w:val="0"/>
              <w:autoSpaceDN w:val="0"/>
              <w:adjustRightInd w:val="0"/>
              <w:snapToGrid w:val="0"/>
              <w:spacing w:after="0" w:line="264" w:lineRule="auto"/>
              <w:rPr>
                <w:rFonts w:ascii="Times New Roman" w:hAnsi="Times New Roman" w:cs="Times New Roman"/>
                <w:sz w:val="18"/>
                <w:szCs w:val="18"/>
              </w:rPr>
            </w:pPr>
          </w:p>
        </w:tc>
        <w:tc>
          <w:tcPr>
            <w:tcW w:w="1748" w:type="dxa"/>
            <w:tcBorders>
              <w:top w:val="single" w:sz="6" w:space="0" w:color="auto"/>
              <w:left w:val="nil"/>
              <w:bottom w:val="single" w:sz="4" w:space="0" w:color="auto"/>
              <w:right w:val="nil"/>
            </w:tcBorders>
          </w:tcPr>
          <w:p w14:paraId="7DC89C8C" w14:textId="77777777"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r w:rsidRPr="00A3505C">
              <w:rPr>
                <w:rFonts w:ascii="Times New Roman" w:hAnsi="Times New Roman" w:cs="Times New Roman"/>
                <w:sz w:val="18"/>
                <w:szCs w:val="18"/>
                <w:vertAlign w:val="superscript"/>
              </w:rPr>
              <w:t>st</w:t>
            </w:r>
            <w:r w:rsidRPr="00A3505C">
              <w:rPr>
                <w:rFonts w:ascii="Times New Roman" w:hAnsi="Times New Roman" w:cs="Times New Roman"/>
                <w:sz w:val="18"/>
                <w:szCs w:val="18"/>
              </w:rPr>
              <w:t xml:space="preserve"> stage</w:t>
            </w:r>
          </w:p>
        </w:tc>
        <w:tc>
          <w:tcPr>
            <w:tcW w:w="1748" w:type="dxa"/>
            <w:tcBorders>
              <w:top w:val="single" w:sz="6" w:space="0" w:color="auto"/>
              <w:left w:val="nil"/>
              <w:bottom w:val="single" w:sz="4" w:space="0" w:color="auto"/>
              <w:right w:val="nil"/>
            </w:tcBorders>
          </w:tcPr>
          <w:p w14:paraId="142AAF15" w14:textId="77777777"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r w:rsidRPr="00A3505C">
              <w:rPr>
                <w:rFonts w:ascii="Times New Roman" w:hAnsi="Times New Roman" w:cs="Times New Roman"/>
                <w:sz w:val="18"/>
                <w:szCs w:val="18"/>
                <w:vertAlign w:val="superscript"/>
              </w:rPr>
              <w:t>nd</w:t>
            </w:r>
            <w:r w:rsidRPr="00A3505C">
              <w:rPr>
                <w:rFonts w:ascii="Times New Roman" w:hAnsi="Times New Roman" w:cs="Times New Roman"/>
                <w:sz w:val="18"/>
                <w:szCs w:val="18"/>
              </w:rPr>
              <w:t xml:space="preserve"> stage</w:t>
            </w:r>
          </w:p>
        </w:tc>
        <w:tc>
          <w:tcPr>
            <w:tcW w:w="1749" w:type="dxa"/>
            <w:tcBorders>
              <w:top w:val="single" w:sz="6" w:space="0" w:color="auto"/>
              <w:left w:val="nil"/>
              <w:bottom w:val="single" w:sz="4" w:space="0" w:color="auto"/>
              <w:right w:val="nil"/>
            </w:tcBorders>
          </w:tcPr>
          <w:p w14:paraId="448B74CC" w14:textId="4FC6918A"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r w:rsidRPr="00A3505C">
              <w:rPr>
                <w:rFonts w:ascii="Times New Roman" w:hAnsi="Times New Roman" w:cs="Times New Roman"/>
                <w:sz w:val="18"/>
                <w:szCs w:val="18"/>
                <w:vertAlign w:val="superscript"/>
              </w:rPr>
              <w:t>nd</w:t>
            </w:r>
            <w:r w:rsidRPr="00A3505C">
              <w:rPr>
                <w:rFonts w:ascii="Times New Roman" w:hAnsi="Times New Roman" w:cs="Times New Roman"/>
                <w:sz w:val="18"/>
                <w:szCs w:val="18"/>
              </w:rPr>
              <w:t xml:space="preserve"> stage</w:t>
            </w:r>
          </w:p>
        </w:tc>
        <w:tc>
          <w:tcPr>
            <w:tcW w:w="1749" w:type="dxa"/>
            <w:tcBorders>
              <w:top w:val="single" w:sz="6" w:space="0" w:color="auto"/>
              <w:left w:val="nil"/>
              <w:bottom w:val="single" w:sz="4" w:space="0" w:color="auto"/>
              <w:right w:val="nil"/>
            </w:tcBorders>
          </w:tcPr>
          <w:p w14:paraId="350C8A7B" w14:textId="58EDB373"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r w:rsidRPr="00A3505C">
              <w:rPr>
                <w:rFonts w:ascii="Times New Roman" w:hAnsi="Times New Roman" w:cs="Times New Roman"/>
                <w:sz w:val="18"/>
                <w:szCs w:val="18"/>
                <w:vertAlign w:val="superscript"/>
              </w:rPr>
              <w:t>st</w:t>
            </w:r>
            <w:r w:rsidRPr="00A3505C">
              <w:rPr>
                <w:rFonts w:ascii="Times New Roman" w:hAnsi="Times New Roman" w:cs="Times New Roman"/>
                <w:sz w:val="18"/>
                <w:szCs w:val="18"/>
              </w:rPr>
              <w:t xml:space="preserve"> stage</w:t>
            </w:r>
          </w:p>
        </w:tc>
        <w:tc>
          <w:tcPr>
            <w:tcW w:w="1748" w:type="dxa"/>
            <w:tcBorders>
              <w:top w:val="single" w:sz="6" w:space="0" w:color="auto"/>
              <w:left w:val="nil"/>
              <w:bottom w:val="single" w:sz="4" w:space="0" w:color="auto"/>
              <w:right w:val="nil"/>
            </w:tcBorders>
          </w:tcPr>
          <w:p w14:paraId="3D295864" w14:textId="4882DBD6"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r w:rsidRPr="00A3505C">
              <w:rPr>
                <w:rFonts w:ascii="Times New Roman" w:hAnsi="Times New Roman" w:cs="Times New Roman"/>
                <w:sz w:val="18"/>
                <w:szCs w:val="18"/>
                <w:vertAlign w:val="superscript"/>
              </w:rPr>
              <w:t>nd</w:t>
            </w:r>
            <w:r w:rsidRPr="00A3505C">
              <w:rPr>
                <w:rFonts w:ascii="Times New Roman" w:hAnsi="Times New Roman" w:cs="Times New Roman"/>
                <w:sz w:val="18"/>
                <w:szCs w:val="18"/>
              </w:rPr>
              <w:t xml:space="preserve"> stage</w:t>
            </w:r>
          </w:p>
        </w:tc>
        <w:tc>
          <w:tcPr>
            <w:tcW w:w="1749" w:type="dxa"/>
            <w:tcBorders>
              <w:top w:val="single" w:sz="6" w:space="0" w:color="auto"/>
              <w:left w:val="nil"/>
              <w:bottom w:val="single" w:sz="4" w:space="0" w:color="auto"/>
              <w:right w:val="nil"/>
            </w:tcBorders>
          </w:tcPr>
          <w:p w14:paraId="7630C7A5" w14:textId="15D1ABA6" w:rsidR="003F129B" w:rsidRPr="00A3505C" w:rsidRDefault="003F129B"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r w:rsidRPr="00A3505C">
              <w:rPr>
                <w:rFonts w:ascii="Times New Roman" w:hAnsi="Times New Roman" w:cs="Times New Roman"/>
                <w:sz w:val="18"/>
                <w:szCs w:val="18"/>
                <w:vertAlign w:val="superscript"/>
              </w:rPr>
              <w:t>nd</w:t>
            </w:r>
            <w:r w:rsidRPr="00A3505C">
              <w:rPr>
                <w:rFonts w:ascii="Times New Roman" w:hAnsi="Times New Roman" w:cs="Times New Roman"/>
                <w:sz w:val="18"/>
                <w:szCs w:val="18"/>
              </w:rPr>
              <w:t xml:space="preserve"> stage</w:t>
            </w:r>
          </w:p>
        </w:tc>
      </w:tr>
      <w:tr w:rsidR="00A3505C" w:rsidRPr="00A3505C" w14:paraId="08D876FB" w14:textId="77777777" w:rsidTr="0015329C">
        <w:trPr>
          <w:trHeight w:val="145"/>
          <w:jc w:val="center"/>
        </w:trPr>
        <w:tc>
          <w:tcPr>
            <w:tcW w:w="3543" w:type="dxa"/>
            <w:tcBorders>
              <w:top w:val="single" w:sz="4" w:space="0" w:color="auto"/>
              <w:left w:val="nil"/>
              <w:bottom w:val="nil"/>
              <w:right w:val="nil"/>
            </w:tcBorders>
          </w:tcPr>
          <w:p w14:paraId="59832F39" w14:textId="5289E34D" w:rsidR="00161D90" w:rsidRPr="00A3505C" w:rsidRDefault="00161D90" w:rsidP="00161D90">
            <w:pPr>
              <w:autoSpaceDE w:val="0"/>
              <w:autoSpaceDN w:val="0"/>
              <w:adjustRightInd w:val="0"/>
              <w:snapToGrid w:val="0"/>
              <w:spacing w:after="0" w:line="264" w:lineRule="auto"/>
              <w:rPr>
                <w:rFonts w:ascii="Times New Roman" w:eastAsia="DengXian" w:hAnsi="Times New Roman" w:cs="Times New Roman"/>
                <w:b/>
                <w:sz w:val="18"/>
                <w:szCs w:val="18"/>
              </w:rPr>
            </w:pPr>
            <w:r w:rsidRPr="00A3505C">
              <w:rPr>
                <w:rFonts w:ascii="Times New Roman" w:hAnsi="Times New Roman" w:cs="Times New Roman"/>
                <w:b/>
                <w:i/>
                <w:sz w:val="18"/>
                <w:szCs w:val="18"/>
              </w:rPr>
              <w:t>Growth</w:t>
            </w:r>
            <w:r w:rsidRPr="00A3505C">
              <w:rPr>
                <w:rFonts w:ascii="Times New Roman" w:hAnsi="Times New Roman" w:cs="Times New Roman"/>
                <w:b/>
                <w:i/>
                <w:iCs/>
                <w:sz w:val="18"/>
                <w:szCs w:val="18"/>
              </w:rPr>
              <w:t xml:space="preserve"> v. Profit and </w:t>
            </w:r>
            <w:r w:rsidR="00CE5C57" w:rsidRPr="00A3505C">
              <w:rPr>
                <w:rFonts w:ascii="Times New Roman" w:hAnsi="Times New Roman" w:cs="Times New Roman"/>
                <w:b/>
                <w:i/>
                <w:iCs/>
                <w:sz w:val="18"/>
                <w:szCs w:val="18"/>
              </w:rPr>
              <w:t>Neither-Nor</w:t>
            </w:r>
            <w:r w:rsidRPr="00A3505C">
              <w:rPr>
                <w:rFonts w:ascii="Times New Roman" w:hAnsi="Times New Roman" w:cs="Times New Roman"/>
                <w:b/>
                <w:i/>
                <w:iCs/>
                <w:sz w:val="18"/>
                <w:szCs w:val="18"/>
                <w:vertAlign w:val="subscript"/>
              </w:rPr>
              <w:t>t</w:t>
            </w:r>
            <w:r w:rsidRPr="00A3505C">
              <w:rPr>
                <w:rFonts w:ascii="Times New Roman" w:hAnsi="Times New Roman" w:cs="Times New Roman"/>
                <w:b/>
                <w:i/>
                <w:sz w:val="18"/>
                <w:szCs w:val="18"/>
                <w:vertAlign w:val="subscript"/>
              </w:rPr>
              <w:t xml:space="preserve">-1 </w:t>
            </w:r>
          </w:p>
        </w:tc>
        <w:tc>
          <w:tcPr>
            <w:tcW w:w="1748" w:type="dxa"/>
            <w:tcBorders>
              <w:top w:val="single" w:sz="4" w:space="0" w:color="auto"/>
              <w:left w:val="nil"/>
              <w:bottom w:val="nil"/>
              <w:right w:val="nil"/>
            </w:tcBorders>
          </w:tcPr>
          <w:p w14:paraId="18B778AC"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single" w:sz="4" w:space="0" w:color="auto"/>
              <w:left w:val="nil"/>
              <w:bottom w:val="nil"/>
              <w:right w:val="nil"/>
            </w:tcBorders>
          </w:tcPr>
          <w:p w14:paraId="519D2597" w14:textId="3F844243"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bCs/>
                <w:sz w:val="18"/>
                <w:szCs w:val="18"/>
              </w:rPr>
              <w:t>0.100***</w:t>
            </w:r>
          </w:p>
        </w:tc>
        <w:tc>
          <w:tcPr>
            <w:tcW w:w="1749" w:type="dxa"/>
            <w:tcBorders>
              <w:top w:val="single" w:sz="4" w:space="0" w:color="auto"/>
              <w:left w:val="nil"/>
              <w:bottom w:val="nil"/>
              <w:right w:val="nil"/>
            </w:tcBorders>
          </w:tcPr>
          <w:p w14:paraId="14B7FA29" w14:textId="170E1C12"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bCs/>
                <w:sz w:val="18"/>
                <w:szCs w:val="18"/>
              </w:rPr>
              <w:t>0.089***</w:t>
            </w:r>
          </w:p>
        </w:tc>
        <w:tc>
          <w:tcPr>
            <w:tcW w:w="1749" w:type="dxa"/>
            <w:tcBorders>
              <w:top w:val="single" w:sz="4" w:space="0" w:color="auto"/>
              <w:left w:val="nil"/>
              <w:bottom w:val="nil"/>
              <w:right w:val="nil"/>
            </w:tcBorders>
          </w:tcPr>
          <w:p w14:paraId="7104A460"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single" w:sz="4" w:space="0" w:color="auto"/>
              <w:left w:val="nil"/>
              <w:bottom w:val="nil"/>
              <w:right w:val="nil"/>
            </w:tcBorders>
          </w:tcPr>
          <w:p w14:paraId="5A22DA87"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single" w:sz="4" w:space="0" w:color="auto"/>
              <w:left w:val="nil"/>
              <w:bottom w:val="nil"/>
              <w:right w:val="nil"/>
            </w:tcBorders>
          </w:tcPr>
          <w:p w14:paraId="06265D5D"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r>
      <w:tr w:rsidR="00A3505C" w:rsidRPr="00A3505C" w14:paraId="75AEBFA6" w14:textId="77777777" w:rsidTr="0015329C">
        <w:trPr>
          <w:trHeight w:val="65"/>
          <w:jc w:val="center"/>
        </w:trPr>
        <w:tc>
          <w:tcPr>
            <w:tcW w:w="3543" w:type="dxa"/>
            <w:tcBorders>
              <w:top w:val="nil"/>
              <w:left w:val="nil"/>
              <w:bottom w:val="nil"/>
              <w:right w:val="nil"/>
            </w:tcBorders>
          </w:tcPr>
          <w:p w14:paraId="73592584" w14:textId="77777777" w:rsidR="00161D90" w:rsidRPr="00A3505C" w:rsidRDefault="00161D90" w:rsidP="00161D90">
            <w:pPr>
              <w:autoSpaceDE w:val="0"/>
              <w:autoSpaceDN w:val="0"/>
              <w:adjustRightInd w:val="0"/>
              <w:snapToGrid w:val="0"/>
              <w:spacing w:after="0" w:line="264" w:lineRule="auto"/>
              <w:rPr>
                <w:rFonts w:ascii="Times New Roman" w:eastAsia="DengXian" w:hAnsi="Times New Roman" w:cs="Times New Roman"/>
                <w:b/>
                <w:sz w:val="18"/>
                <w:szCs w:val="18"/>
              </w:rPr>
            </w:pPr>
          </w:p>
        </w:tc>
        <w:tc>
          <w:tcPr>
            <w:tcW w:w="1748" w:type="dxa"/>
            <w:tcBorders>
              <w:top w:val="nil"/>
              <w:left w:val="nil"/>
              <w:bottom w:val="nil"/>
              <w:right w:val="nil"/>
            </w:tcBorders>
          </w:tcPr>
          <w:p w14:paraId="3E012AD8"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4DD57DE7" w14:textId="234CC0D3"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3.239</w:t>
            </w:r>
            <w:r w:rsidRPr="00A3505C">
              <w:rPr>
                <w:rFonts w:ascii="Times New Roman" w:hAnsi="Times New Roman" w:cs="Times New Roman"/>
                <w:b/>
                <w:sz w:val="18"/>
                <w:szCs w:val="18"/>
              </w:rPr>
              <w:t>)</w:t>
            </w:r>
          </w:p>
        </w:tc>
        <w:tc>
          <w:tcPr>
            <w:tcW w:w="1749" w:type="dxa"/>
            <w:tcBorders>
              <w:top w:val="nil"/>
              <w:left w:val="nil"/>
              <w:bottom w:val="nil"/>
              <w:right w:val="nil"/>
            </w:tcBorders>
          </w:tcPr>
          <w:p w14:paraId="124BF42B" w14:textId="300F6584"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5.628</w:t>
            </w:r>
            <w:r w:rsidRPr="00A3505C">
              <w:rPr>
                <w:rFonts w:ascii="Times New Roman" w:hAnsi="Times New Roman" w:cs="Times New Roman"/>
                <w:b/>
                <w:sz w:val="18"/>
                <w:szCs w:val="18"/>
              </w:rPr>
              <w:t>)</w:t>
            </w:r>
          </w:p>
        </w:tc>
        <w:tc>
          <w:tcPr>
            <w:tcW w:w="1749" w:type="dxa"/>
            <w:tcBorders>
              <w:top w:val="nil"/>
              <w:left w:val="nil"/>
              <w:bottom w:val="nil"/>
              <w:right w:val="nil"/>
            </w:tcBorders>
          </w:tcPr>
          <w:p w14:paraId="06E2C2A8"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445260E0"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nil"/>
              <w:left w:val="nil"/>
              <w:bottom w:val="nil"/>
              <w:right w:val="nil"/>
            </w:tcBorders>
          </w:tcPr>
          <w:p w14:paraId="275B53E8" w14:textId="77777777" w:rsidR="00161D90" w:rsidRPr="00A3505C" w:rsidRDefault="00161D90" w:rsidP="00161D90">
            <w:pPr>
              <w:autoSpaceDE w:val="0"/>
              <w:autoSpaceDN w:val="0"/>
              <w:adjustRightInd w:val="0"/>
              <w:snapToGrid w:val="0"/>
              <w:spacing w:after="0" w:line="264" w:lineRule="auto"/>
              <w:jc w:val="center"/>
              <w:rPr>
                <w:rFonts w:ascii="Times New Roman" w:hAnsi="Times New Roman" w:cs="Times New Roman"/>
                <w:b/>
                <w:sz w:val="18"/>
                <w:szCs w:val="18"/>
              </w:rPr>
            </w:pPr>
          </w:p>
        </w:tc>
      </w:tr>
      <w:tr w:rsidR="00A3505C" w:rsidRPr="00A3505C" w14:paraId="38A51DD6" w14:textId="77777777" w:rsidTr="0015329C">
        <w:trPr>
          <w:trHeight w:val="65"/>
          <w:jc w:val="center"/>
        </w:trPr>
        <w:tc>
          <w:tcPr>
            <w:tcW w:w="3543" w:type="dxa"/>
            <w:tcBorders>
              <w:top w:val="nil"/>
              <w:left w:val="nil"/>
              <w:bottom w:val="nil"/>
              <w:right w:val="nil"/>
            </w:tcBorders>
          </w:tcPr>
          <w:p w14:paraId="4BFB3160" w14:textId="0EE1F171" w:rsidR="007045D5" w:rsidRPr="00A3505C" w:rsidRDefault="007045D5" w:rsidP="007045D5">
            <w:pPr>
              <w:autoSpaceDE w:val="0"/>
              <w:autoSpaceDN w:val="0"/>
              <w:adjustRightInd w:val="0"/>
              <w:snapToGrid w:val="0"/>
              <w:spacing w:after="0" w:line="264" w:lineRule="auto"/>
              <w:rPr>
                <w:rFonts w:ascii="Times New Roman" w:eastAsia="DengXian" w:hAnsi="Times New Roman" w:cs="Times New Roman"/>
                <w:sz w:val="18"/>
                <w:szCs w:val="18"/>
              </w:rPr>
            </w:pPr>
            <w:r w:rsidRPr="00A3505C">
              <w:rPr>
                <w:rFonts w:ascii="Times New Roman" w:hAnsi="Times New Roman" w:cs="Times New Roman"/>
                <w:i/>
                <w:iCs/>
                <w:sz w:val="18"/>
                <w:szCs w:val="18"/>
              </w:rPr>
              <w:t xml:space="preserve">IV_Growth v. Profit and </w:t>
            </w:r>
            <w:r w:rsidR="00CE5C57" w:rsidRPr="00A3505C">
              <w:rPr>
                <w:rFonts w:ascii="Times New Roman" w:hAnsi="Times New Roman" w:cs="Times New Roman"/>
                <w:i/>
                <w:iCs/>
                <w:sz w:val="18"/>
                <w:szCs w:val="18"/>
              </w:rPr>
              <w:t>Neither-Nor</w:t>
            </w:r>
            <w:r w:rsidRPr="00A3505C">
              <w:rPr>
                <w:rFonts w:ascii="Times New Roman" w:hAnsi="Times New Roman" w:cs="Times New Roman"/>
                <w:i/>
                <w:iCs/>
                <w:sz w:val="18"/>
                <w:szCs w:val="18"/>
                <w:vertAlign w:val="subscript"/>
              </w:rPr>
              <w:t>t</w:t>
            </w:r>
          </w:p>
        </w:tc>
        <w:tc>
          <w:tcPr>
            <w:tcW w:w="1748" w:type="dxa"/>
            <w:tcBorders>
              <w:top w:val="nil"/>
              <w:left w:val="nil"/>
              <w:bottom w:val="nil"/>
              <w:right w:val="nil"/>
            </w:tcBorders>
          </w:tcPr>
          <w:p w14:paraId="7EA20344" w14:textId="1567B945"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0.533***</w:t>
            </w:r>
          </w:p>
        </w:tc>
        <w:tc>
          <w:tcPr>
            <w:tcW w:w="1748" w:type="dxa"/>
            <w:tcBorders>
              <w:top w:val="nil"/>
              <w:left w:val="nil"/>
              <w:bottom w:val="nil"/>
              <w:right w:val="nil"/>
            </w:tcBorders>
          </w:tcPr>
          <w:p w14:paraId="28644E47"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2B1BB5F6"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612072BC"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34DE845E"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5788DD78"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224061DA" w14:textId="77777777" w:rsidTr="0015329C">
        <w:trPr>
          <w:trHeight w:val="65"/>
          <w:jc w:val="center"/>
        </w:trPr>
        <w:tc>
          <w:tcPr>
            <w:tcW w:w="3543" w:type="dxa"/>
            <w:tcBorders>
              <w:top w:val="nil"/>
              <w:left w:val="nil"/>
              <w:bottom w:val="nil"/>
              <w:right w:val="nil"/>
            </w:tcBorders>
          </w:tcPr>
          <w:p w14:paraId="31765B08" w14:textId="77777777" w:rsidR="007045D5" w:rsidRPr="00A3505C" w:rsidRDefault="007045D5" w:rsidP="007045D5">
            <w:pPr>
              <w:autoSpaceDE w:val="0"/>
              <w:autoSpaceDN w:val="0"/>
              <w:adjustRightInd w:val="0"/>
              <w:snapToGrid w:val="0"/>
              <w:spacing w:after="0" w:line="264" w:lineRule="auto"/>
              <w:rPr>
                <w:rFonts w:ascii="Times New Roman" w:eastAsia="DengXian" w:hAnsi="Times New Roman" w:cs="Times New Roman"/>
                <w:sz w:val="18"/>
                <w:szCs w:val="18"/>
              </w:rPr>
            </w:pPr>
          </w:p>
        </w:tc>
        <w:tc>
          <w:tcPr>
            <w:tcW w:w="1748" w:type="dxa"/>
            <w:tcBorders>
              <w:top w:val="nil"/>
              <w:left w:val="nil"/>
              <w:bottom w:val="nil"/>
              <w:right w:val="nil"/>
            </w:tcBorders>
          </w:tcPr>
          <w:p w14:paraId="248F15E7" w14:textId="45E4F5F9"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(13.799)</w:t>
            </w:r>
          </w:p>
        </w:tc>
        <w:tc>
          <w:tcPr>
            <w:tcW w:w="1748" w:type="dxa"/>
            <w:tcBorders>
              <w:top w:val="nil"/>
              <w:left w:val="nil"/>
              <w:bottom w:val="nil"/>
              <w:right w:val="nil"/>
            </w:tcBorders>
          </w:tcPr>
          <w:p w14:paraId="20480A26"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06BA155F"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2BD28E84"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47B22FD9"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19E28621" w14:textId="77777777" w:rsidR="007045D5" w:rsidRPr="00A3505C" w:rsidRDefault="007045D5" w:rsidP="007045D5">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61E9EEDE" w14:textId="77777777" w:rsidTr="0015329C">
        <w:trPr>
          <w:trHeight w:val="80"/>
          <w:jc w:val="center"/>
        </w:trPr>
        <w:tc>
          <w:tcPr>
            <w:tcW w:w="3543" w:type="dxa"/>
            <w:tcBorders>
              <w:top w:val="nil"/>
              <w:left w:val="nil"/>
              <w:bottom w:val="nil"/>
              <w:right w:val="nil"/>
            </w:tcBorders>
          </w:tcPr>
          <w:p w14:paraId="04BBBA39" w14:textId="0CF8482E" w:rsidR="00C41C02" w:rsidRPr="00A3505C" w:rsidRDefault="00C41C02" w:rsidP="00C41C02">
            <w:pPr>
              <w:autoSpaceDE w:val="0"/>
              <w:autoSpaceDN w:val="0"/>
              <w:adjustRightInd w:val="0"/>
              <w:snapToGrid w:val="0"/>
              <w:spacing w:after="0" w:line="264" w:lineRule="auto"/>
              <w:rPr>
                <w:rFonts w:ascii="Times New Roman" w:eastAsia="DengXian" w:hAnsi="Times New Roman" w:cs="Times New Roman"/>
                <w:b/>
                <w:sz w:val="18"/>
                <w:szCs w:val="18"/>
              </w:rPr>
            </w:pPr>
            <w:r w:rsidRPr="00A3505C">
              <w:rPr>
                <w:rFonts w:ascii="Times New Roman" w:hAnsi="Times New Roman" w:cs="Times New Roman"/>
                <w:b/>
                <w:i/>
                <w:sz w:val="18"/>
                <w:szCs w:val="18"/>
              </w:rPr>
              <w:t>Profit</w:t>
            </w:r>
            <w:r w:rsidRPr="00A3505C">
              <w:rPr>
                <w:rFonts w:ascii="Times New Roman" w:hAnsi="Times New Roman" w:cs="Times New Roman"/>
                <w:b/>
                <w:i/>
                <w:iCs/>
                <w:sz w:val="18"/>
                <w:szCs w:val="18"/>
              </w:rPr>
              <w:t xml:space="preserve"> v. Growth and </w:t>
            </w:r>
            <w:r w:rsidR="00CE5C57" w:rsidRPr="00A3505C">
              <w:rPr>
                <w:rFonts w:ascii="Times New Roman" w:hAnsi="Times New Roman" w:cs="Times New Roman"/>
                <w:b/>
                <w:i/>
                <w:iCs/>
                <w:sz w:val="18"/>
                <w:szCs w:val="18"/>
              </w:rPr>
              <w:t>Neither-Nor</w:t>
            </w:r>
            <w:r w:rsidRPr="00A3505C">
              <w:rPr>
                <w:rFonts w:ascii="Times New Roman" w:hAnsi="Times New Roman" w:cs="Times New Roman"/>
                <w:b/>
                <w:i/>
                <w:iCs/>
                <w:sz w:val="18"/>
                <w:szCs w:val="18"/>
                <w:vertAlign w:val="subscript"/>
              </w:rPr>
              <w:t>t</w:t>
            </w:r>
            <w:r w:rsidRPr="00A3505C">
              <w:rPr>
                <w:rFonts w:ascii="Times New Roman" w:hAnsi="Times New Roman" w:cs="Times New Roman"/>
                <w:b/>
                <w:i/>
                <w:sz w:val="18"/>
                <w:szCs w:val="18"/>
                <w:vertAlign w:val="subscript"/>
              </w:rPr>
              <w:t>-1</w:t>
            </w:r>
          </w:p>
        </w:tc>
        <w:tc>
          <w:tcPr>
            <w:tcW w:w="1748" w:type="dxa"/>
            <w:tcBorders>
              <w:top w:val="nil"/>
              <w:left w:val="nil"/>
              <w:bottom w:val="nil"/>
              <w:right w:val="nil"/>
            </w:tcBorders>
          </w:tcPr>
          <w:p w14:paraId="30E3C1A6"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2C88C5D6"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nil"/>
              <w:left w:val="nil"/>
              <w:bottom w:val="nil"/>
              <w:right w:val="nil"/>
            </w:tcBorders>
          </w:tcPr>
          <w:p w14:paraId="161A75FE" w14:textId="3B3A67AE"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nil"/>
              <w:left w:val="nil"/>
              <w:bottom w:val="nil"/>
              <w:right w:val="nil"/>
            </w:tcBorders>
          </w:tcPr>
          <w:p w14:paraId="102D3D2F"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3290F87C" w14:textId="3E8FA501"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-0.</w:t>
            </w:r>
            <w:r w:rsidRPr="00A3505C">
              <w:rPr>
                <w:rFonts w:ascii="Times New Roman" w:hAnsi="Times New Roman" w:cs="Times New Roman"/>
                <w:b/>
                <w:bCs/>
                <w:sz w:val="18"/>
                <w:szCs w:val="18"/>
              </w:rPr>
              <w:t>161***</w:t>
            </w:r>
          </w:p>
        </w:tc>
        <w:tc>
          <w:tcPr>
            <w:tcW w:w="1749" w:type="dxa"/>
            <w:tcBorders>
              <w:top w:val="nil"/>
              <w:left w:val="nil"/>
              <w:bottom w:val="nil"/>
              <w:right w:val="nil"/>
            </w:tcBorders>
          </w:tcPr>
          <w:p w14:paraId="7E9980AA" w14:textId="228CB365"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-0.</w:t>
            </w:r>
            <w:r w:rsidRPr="00A3505C">
              <w:rPr>
                <w:rFonts w:ascii="Times New Roman" w:hAnsi="Times New Roman" w:cs="Times New Roman"/>
                <w:b/>
                <w:bCs/>
                <w:sz w:val="18"/>
                <w:szCs w:val="18"/>
              </w:rPr>
              <w:t>097***</w:t>
            </w:r>
          </w:p>
        </w:tc>
      </w:tr>
      <w:tr w:rsidR="00A3505C" w:rsidRPr="00A3505C" w14:paraId="599A3259" w14:textId="77777777" w:rsidTr="0015329C">
        <w:trPr>
          <w:trHeight w:val="80"/>
          <w:jc w:val="center"/>
        </w:trPr>
        <w:tc>
          <w:tcPr>
            <w:tcW w:w="3543" w:type="dxa"/>
            <w:tcBorders>
              <w:top w:val="nil"/>
              <w:left w:val="nil"/>
              <w:bottom w:val="nil"/>
              <w:right w:val="nil"/>
            </w:tcBorders>
          </w:tcPr>
          <w:p w14:paraId="667DB741" w14:textId="77777777" w:rsidR="00C41C02" w:rsidRPr="00A3505C" w:rsidRDefault="00C41C02" w:rsidP="00C41C02">
            <w:pPr>
              <w:autoSpaceDE w:val="0"/>
              <w:autoSpaceDN w:val="0"/>
              <w:adjustRightInd w:val="0"/>
              <w:snapToGrid w:val="0"/>
              <w:spacing w:after="0" w:line="264" w:lineRule="auto"/>
              <w:rPr>
                <w:rFonts w:ascii="Times New Roman" w:eastAsia="DengXian" w:hAnsi="Times New Roman" w:cs="Times New Roman"/>
                <w:b/>
                <w:sz w:val="18"/>
                <w:szCs w:val="18"/>
              </w:rPr>
            </w:pPr>
          </w:p>
        </w:tc>
        <w:tc>
          <w:tcPr>
            <w:tcW w:w="1748" w:type="dxa"/>
            <w:tcBorders>
              <w:top w:val="nil"/>
              <w:left w:val="nil"/>
              <w:bottom w:val="nil"/>
              <w:right w:val="nil"/>
            </w:tcBorders>
          </w:tcPr>
          <w:p w14:paraId="7FEC1512"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1EF1594A"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nil"/>
              <w:left w:val="nil"/>
              <w:bottom w:val="nil"/>
              <w:right w:val="nil"/>
            </w:tcBorders>
          </w:tcPr>
          <w:p w14:paraId="2BFB2834" w14:textId="4AA859C6"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9" w:type="dxa"/>
            <w:tcBorders>
              <w:top w:val="nil"/>
              <w:left w:val="nil"/>
              <w:bottom w:val="nil"/>
              <w:right w:val="nil"/>
            </w:tcBorders>
          </w:tcPr>
          <w:p w14:paraId="5D420ED5" w14:textId="77777777"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p>
        </w:tc>
        <w:tc>
          <w:tcPr>
            <w:tcW w:w="1748" w:type="dxa"/>
            <w:tcBorders>
              <w:top w:val="nil"/>
              <w:left w:val="nil"/>
              <w:bottom w:val="nil"/>
              <w:right w:val="nil"/>
            </w:tcBorders>
          </w:tcPr>
          <w:p w14:paraId="4A3FE735" w14:textId="2473C235"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4.418</w:t>
            </w:r>
            <w:r w:rsidRPr="00A3505C">
              <w:rPr>
                <w:rFonts w:ascii="Times New Roman" w:hAnsi="Times New Roman" w:cs="Times New Roman"/>
                <w:b/>
                <w:sz w:val="18"/>
                <w:szCs w:val="18"/>
              </w:rPr>
              <w:t>)</w:t>
            </w:r>
          </w:p>
        </w:tc>
        <w:tc>
          <w:tcPr>
            <w:tcW w:w="1749" w:type="dxa"/>
            <w:tcBorders>
              <w:top w:val="nil"/>
              <w:left w:val="nil"/>
              <w:bottom w:val="nil"/>
              <w:right w:val="nil"/>
            </w:tcBorders>
          </w:tcPr>
          <w:p w14:paraId="1095B054" w14:textId="589E9541" w:rsidR="00C41C02" w:rsidRPr="00A3505C" w:rsidRDefault="00C41C02" w:rsidP="00C41C02">
            <w:pPr>
              <w:autoSpaceDE w:val="0"/>
              <w:autoSpaceDN w:val="0"/>
              <w:adjustRightInd w:val="0"/>
              <w:snapToGrid w:val="0"/>
              <w:spacing w:after="0" w:line="264" w:lineRule="auto"/>
              <w:jc w:val="center"/>
              <w:rPr>
                <w:rFonts w:ascii="Times New Roman" w:hAnsi="Times New Roman" w:cs="Times New Roman"/>
                <w:b/>
                <w:sz w:val="18"/>
                <w:szCs w:val="18"/>
              </w:rPr>
            </w:pPr>
            <w:r w:rsidRPr="00A3505C">
              <w:rPr>
                <w:rFonts w:ascii="Times New Roman" w:hAnsi="Times New Roman" w:cs="Times New Roman"/>
                <w:b/>
                <w:sz w:val="18"/>
                <w:szCs w:val="18"/>
              </w:rPr>
              <w:t>(-</w:t>
            </w:r>
            <w:r w:rsidRPr="00A3505C">
              <w:rPr>
                <w:rFonts w:ascii="Times New Roman" w:hAnsi="Times New Roman" w:cs="Times New Roman"/>
                <w:b/>
                <w:bCs/>
                <w:sz w:val="18"/>
                <w:szCs w:val="18"/>
              </w:rPr>
              <w:t>5.214</w:t>
            </w:r>
            <w:r w:rsidRPr="00A3505C">
              <w:rPr>
                <w:rFonts w:ascii="Times New Roman" w:hAnsi="Times New Roman" w:cs="Times New Roman"/>
                <w:b/>
                <w:sz w:val="18"/>
                <w:szCs w:val="18"/>
              </w:rPr>
              <w:t>)</w:t>
            </w:r>
          </w:p>
        </w:tc>
      </w:tr>
      <w:tr w:rsidR="00A3505C" w:rsidRPr="00A3505C" w14:paraId="05BF40CB" w14:textId="77777777" w:rsidTr="0015329C">
        <w:trPr>
          <w:jc w:val="center"/>
        </w:trPr>
        <w:tc>
          <w:tcPr>
            <w:tcW w:w="3543" w:type="dxa"/>
            <w:tcBorders>
              <w:top w:val="nil"/>
              <w:left w:val="nil"/>
              <w:bottom w:val="nil"/>
              <w:right w:val="nil"/>
            </w:tcBorders>
          </w:tcPr>
          <w:p w14:paraId="0C34B87C" w14:textId="2BF5D52B" w:rsidR="00EC2EA4" w:rsidRPr="00A3505C" w:rsidRDefault="00EC2EA4" w:rsidP="00EC2EA4">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i/>
                <w:iCs/>
                <w:sz w:val="18"/>
                <w:szCs w:val="18"/>
              </w:rPr>
              <w:t xml:space="preserve">IV_Profit v. Growth and </w:t>
            </w:r>
            <w:r w:rsidR="00CE5C57" w:rsidRPr="00A3505C">
              <w:rPr>
                <w:rFonts w:ascii="Times New Roman" w:hAnsi="Times New Roman" w:cs="Times New Roman"/>
                <w:i/>
                <w:iCs/>
                <w:sz w:val="18"/>
                <w:szCs w:val="18"/>
              </w:rPr>
              <w:t>Neither-Nor</w:t>
            </w:r>
            <w:r w:rsidR="009804F0" w:rsidRPr="00A3505C">
              <w:rPr>
                <w:rFonts w:ascii="Times New Roman" w:hAnsi="Times New Roman" w:cs="Times New Roman"/>
                <w:i/>
                <w:iCs/>
                <w:sz w:val="18"/>
                <w:szCs w:val="18"/>
                <w:vertAlign w:val="subscript"/>
              </w:rPr>
              <w:t>t</w:t>
            </w:r>
          </w:p>
        </w:tc>
        <w:tc>
          <w:tcPr>
            <w:tcW w:w="1748" w:type="dxa"/>
            <w:tcBorders>
              <w:top w:val="nil"/>
              <w:left w:val="nil"/>
              <w:bottom w:val="nil"/>
              <w:right w:val="nil"/>
            </w:tcBorders>
          </w:tcPr>
          <w:p w14:paraId="5D96168E"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61EC378D"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3E1C00A1"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5350E340" w14:textId="49A1FECE"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0.454***</w:t>
            </w:r>
          </w:p>
        </w:tc>
        <w:tc>
          <w:tcPr>
            <w:tcW w:w="1748" w:type="dxa"/>
            <w:tcBorders>
              <w:top w:val="nil"/>
              <w:left w:val="nil"/>
              <w:bottom w:val="nil"/>
              <w:right w:val="nil"/>
            </w:tcBorders>
          </w:tcPr>
          <w:p w14:paraId="612AE205" w14:textId="19611DD3"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452DB681"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07642436" w14:textId="77777777" w:rsidTr="0015329C">
        <w:trPr>
          <w:jc w:val="center"/>
        </w:trPr>
        <w:tc>
          <w:tcPr>
            <w:tcW w:w="3543" w:type="dxa"/>
            <w:tcBorders>
              <w:top w:val="nil"/>
              <w:left w:val="nil"/>
              <w:bottom w:val="nil"/>
              <w:right w:val="nil"/>
            </w:tcBorders>
          </w:tcPr>
          <w:p w14:paraId="15255BA1" w14:textId="77777777" w:rsidR="00EC2EA4" w:rsidRPr="00A3505C" w:rsidRDefault="00EC2EA4" w:rsidP="00EC2EA4">
            <w:pPr>
              <w:autoSpaceDE w:val="0"/>
              <w:autoSpaceDN w:val="0"/>
              <w:adjustRightInd w:val="0"/>
              <w:snapToGrid w:val="0"/>
              <w:spacing w:after="0" w:line="264" w:lineRule="auto"/>
              <w:rPr>
                <w:rFonts w:ascii="Times New Roman" w:hAnsi="Times New Roman" w:cs="Times New Roman"/>
                <w:i/>
                <w:sz w:val="18"/>
                <w:szCs w:val="18"/>
              </w:rPr>
            </w:pPr>
          </w:p>
        </w:tc>
        <w:tc>
          <w:tcPr>
            <w:tcW w:w="1748" w:type="dxa"/>
            <w:tcBorders>
              <w:top w:val="nil"/>
              <w:left w:val="nil"/>
              <w:bottom w:val="nil"/>
              <w:right w:val="nil"/>
            </w:tcBorders>
          </w:tcPr>
          <w:p w14:paraId="5538E596"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02CC8AE1"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7BF895FA"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0A9E9987" w14:textId="64D224B4"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(13.697)</w:t>
            </w:r>
          </w:p>
        </w:tc>
        <w:tc>
          <w:tcPr>
            <w:tcW w:w="1748" w:type="dxa"/>
            <w:tcBorders>
              <w:top w:val="nil"/>
              <w:left w:val="nil"/>
              <w:bottom w:val="nil"/>
              <w:right w:val="nil"/>
            </w:tcBorders>
          </w:tcPr>
          <w:p w14:paraId="01748446" w14:textId="3DC1F6DA"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6E0315B1" w14:textId="77777777" w:rsidR="00EC2EA4" w:rsidRPr="00A3505C" w:rsidRDefault="00EC2EA4" w:rsidP="00EC2EA4">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32BBA888" w14:textId="77777777" w:rsidTr="0015329C">
        <w:trPr>
          <w:jc w:val="center"/>
        </w:trPr>
        <w:tc>
          <w:tcPr>
            <w:tcW w:w="3543" w:type="dxa"/>
            <w:tcBorders>
              <w:top w:val="nil"/>
              <w:left w:val="nil"/>
              <w:bottom w:val="nil"/>
              <w:right w:val="nil"/>
            </w:tcBorders>
          </w:tcPr>
          <w:p w14:paraId="27CDE2D7" w14:textId="30F9FF2C" w:rsidR="00145B08" w:rsidRPr="00A3505C" w:rsidRDefault="00145B08" w:rsidP="00145B08">
            <w:pPr>
              <w:autoSpaceDE w:val="0"/>
              <w:autoSpaceDN w:val="0"/>
              <w:adjustRightInd w:val="0"/>
              <w:snapToGrid w:val="0"/>
              <w:spacing w:after="0" w:line="264" w:lineRule="auto"/>
              <w:rPr>
                <w:rFonts w:ascii="Times New Roman" w:hAnsi="Times New Roman" w:cs="Times New Roman"/>
                <w:i/>
                <w:sz w:val="18"/>
                <w:szCs w:val="18"/>
              </w:rPr>
            </w:pPr>
            <w:r w:rsidRPr="00A3505C">
              <w:rPr>
                <w:rFonts w:ascii="Times New Roman" w:hAnsi="Times New Roman" w:cs="Times New Roman"/>
                <w:i/>
                <w:sz w:val="18"/>
                <w:szCs w:val="18"/>
              </w:rPr>
              <w:t>Controls</w:t>
            </w:r>
            <w:r w:rsidRPr="00A3505C">
              <w:rPr>
                <w:rFonts w:ascii="Times New Roman" w:hAnsi="Times New Roman" w:cs="Times New Roman"/>
                <w:i/>
                <w:sz w:val="18"/>
                <w:szCs w:val="18"/>
                <w:vertAlign w:val="subscript"/>
              </w:rPr>
              <w:t>t-1</w:t>
            </w:r>
          </w:p>
        </w:tc>
        <w:tc>
          <w:tcPr>
            <w:tcW w:w="1748" w:type="dxa"/>
            <w:tcBorders>
              <w:top w:val="nil"/>
              <w:left w:val="nil"/>
              <w:bottom w:val="nil"/>
              <w:right w:val="nil"/>
            </w:tcBorders>
          </w:tcPr>
          <w:p w14:paraId="208426ED" w14:textId="592168F1"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08D61D41" w14:textId="679674DE"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192D0136" w14:textId="45360F22"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6E9429BD" w14:textId="5153165A"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45122F8C" w14:textId="3D13D9D1"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65B6D94F" w14:textId="6019DE5B"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1160AD90" w14:textId="77777777" w:rsidTr="0015329C">
        <w:trPr>
          <w:jc w:val="center"/>
        </w:trPr>
        <w:tc>
          <w:tcPr>
            <w:tcW w:w="3543" w:type="dxa"/>
            <w:tcBorders>
              <w:left w:val="nil"/>
              <w:bottom w:val="nil"/>
              <w:right w:val="nil"/>
            </w:tcBorders>
          </w:tcPr>
          <w:p w14:paraId="643D3468" w14:textId="1A95FBD8" w:rsidR="00145B08" w:rsidRPr="00A3505C" w:rsidRDefault="00145B08" w:rsidP="00145B0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1748" w:type="dxa"/>
            <w:tcBorders>
              <w:left w:val="nil"/>
              <w:bottom w:val="nil"/>
              <w:right w:val="nil"/>
            </w:tcBorders>
          </w:tcPr>
          <w:p w14:paraId="1B10732B" w14:textId="7EDFA1FF"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left w:val="nil"/>
              <w:bottom w:val="nil"/>
              <w:right w:val="nil"/>
            </w:tcBorders>
          </w:tcPr>
          <w:p w14:paraId="611EF5FC" w14:textId="4D6EE9A7"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7BCFBBAE" w14:textId="0D826989"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6B5FFB11" w14:textId="786C77E1"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left w:val="nil"/>
              <w:bottom w:val="nil"/>
              <w:right w:val="nil"/>
            </w:tcBorders>
          </w:tcPr>
          <w:p w14:paraId="5C2FBAED" w14:textId="0A6AFC00"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2E230AC3" w14:textId="150EF954"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742B6FB8" w14:textId="77777777" w:rsidTr="0015329C">
        <w:trPr>
          <w:jc w:val="center"/>
        </w:trPr>
        <w:tc>
          <w:tcPr>
            <w:tcW w:w="3543" w:type="dxa"/>
            <w:tcBorders>
              <w:left w:val="nil"/>
              <w:bottom w:val="nil"/>
              <w:right w:val="nil"/>
            </w:tcBorders>
          </w:tcPr>
          <w:p w14:paraId="58A7CA60" w14:textId="2F3EBF97" w:rsidR="00145B08" w:rsidRPr="00A3505C" w:rsidRDefault="00145B08" w:rsidP="00145B0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1748" w:type="dxa"/>
            <w:tcBorders>
              <w:left w:val="nil"/>
              <w:bottom w:val="nil"/>
              <w:right w:val="nil"/>
            </w:tcBorders>
          </w:tcPr>
          <w:p w14:paraId="380BB9B0" w14:textId="6456A1DB"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left w:val="nil"/>
              <w:bottom w:val="nil"/>
              <w:right w:val="nil"/>
            </w:tcBorders>
          </w:tcPr>
          <w:p w14:paraId="34DF7599" w14:textId="33068416"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7BAF2E31" w14:textId="5F175D06"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0A8C162D" w14:textId="743FDAD0"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left w:val="nil"/>
              <w:bottom w:val="nil"/>
              <w:right w:val="nil"/>
            </w:tcBorders>
          </w:tcPr>
          <w:p w14:paraId="3B3B5FF0" w14:textId="4552482B"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left w:val="nil"/>
              <w:bottom w:val="nil"/>
              <w:right w:val="nil"/>
            </w:tcBorders>
          </w:tcPr>
          <w:p w14:paraId="6FDC5EBD" w14:textId="7A7FC608"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4E5FCF79" w14:textId="77777777" w:rsidTr="0015329C">
        <w:trPr>
          <w:jc w:val="center"/>
        </w:trPr>
        <w:tc>
          <w:tcPr>
            <w:tcW w:w="3543" w:type="dxa"/>
            <w:tcBorders>
              <w:top w:val="nil"/>
              <w:left w:val="nil"/>
              <w:bottom w:val="nil"/>
              <w:right w:val="nil"/>
            </w:tcBorders>
          </w:tcPr>
          <w:p w14:paraId="44EF352B" w14:textId="77777777" w:rsidR="00145B08" w:rsidRPr="00A3505C" w:rsidRDefault="00145B08" w:rsidP="00145B0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1748" w:type="dxa"/>
            <w:tcBorders>
              <w:top w:val="nil"/>
              <w:left w:val="nil"/>
              <w:bottom w:val="nil"/>
              <w:right w:val="nil"/>
            </w:tcBorders>
          </w:tcPr>
          <w:p w14:paraId="27D793E1" w14:textId="1F1615CC"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1450EFBD" w14:textId="2D487E06"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0009E6B4" w14:textId="456AD80A"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16E42DFB" w14:textId="14A6E840"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4AC4BE91" w14:textId="323370FB"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78CF93A3" w14:textId="477FEA07"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7507FC9C" w14:textId="77777777" w:rsidTr="0015329C">
        <w:trPr>
          <w:jc w:val="center"/>
        </w:trPr>
        <w:tc>
          <w:tcPr>
            <w:tcW w:w="3543" w:type="dxa"/>
            <w:tcBorders>
              <w:top w:val="nil"/>
              <w:left w:val="nil"/>
              <w:bottom w:val="nil"/>
              <w:right w:val="nil"/>
            </w:tcBorders>
          </w:tcPr>
          <w:p w14:paraId="7C14EFB6" w14:textId="37664356" w:rsidR="00145B08" w:rsidRPr="00A3505C" w:rsidRDefault="00145B08" w:rsidP="00145B0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Entropy Balanced</w:t>
            </w:r>
          </w:p>
        </w:tc>
        <w:tc>
          <w:tcPr>
            <w:tcW w:w="1748" w:type="dxa"/>
            <w:tcBorders>
              <w:top w:val="nil"/>
              <w:left w:val="nil"/>
              <w:bottom w:val="nil"/>
              <w:right w:val="nil"/>
            </w:tcBorders>
          </w:tcPr>
          <w:p w14:paraId="4A3D23BC" w14:textId="2D4EF007"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2690BEA3" w14:textId="51177349"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19EE36CE" w14:textId="2EEEDC1D"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62B92A2A" w14:textId="6228AAC7"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8" w:type="dxa"/>
            <w:tcBorders>
              <w:top w:val="nil"/>
              <w:left w:val="nil"/>
              <w:bottom w:val="nil"/>
              <w:right w:val="nil"/>
            </w:tcBorders>
          </w:tcPr>
          <w:p w14:paraId="74938956" w14:textId="7A822080"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1749" w:type="dxa"/>
            <w:tcBorders>
              <w:top w:val="nil"/>
              <w:left w:val="nil"/>
              <w:bottom w:val="nil"/>
              <w:right w:val="nil"/>
            </w:tcBorders>
          </w:tcPr>
          <w:p w14:paraId="5B08A0A7" w14:textId="1141D9A0" w:rsidR="00145B08" w:rsidRPr="00A3505C" w:rsidRDefault="00145B08" w:rsidP="00145B0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64D911FB" w14:textId="77777777" w:rsidTr="0015329C">
        <w:trPr>
          <w:trHeight w:val="80"/>
          <w:jc w:val="center"/>
        </w:trPr>
        <w:tc>
          <w:tcPr>
            <w:tcW w:w="3543" w:type="dxa"/>
            <w:tcBorders>
              <w:top w:val="nil"/>
              <w:left w:val="nil"/>
              <w:right w:val="nil"/>
            </w:tcBorders>
          </w:tcPr>
          <w:p w14:paraId="4CA72727" w14:textId="44374214" w:rsidR="00A14D88" w:rsidRPr="00A3505C" w:rsidRDefault="00A14D88" w:rsidP="00A14D8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1748" w:type="dxa"/>
            <w:tcBorders>
              <w:top w:val="nil"/>
              <w:left w:val="nil"/>
              <w:right w:val="nil"/>
            </w:tcBorders>
          </w:tcPr>
          <w:p w14:paraId="4395E6F9" w14:textId="1D4DCF8F"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c>
          <w:tcPr>
            <w:tcW w:w="1748" w:type="dxa"/>
            <w:tcBorders>
              <w:top w:val="nil"/>
              <w:left w:val="nil"/>
              <w:right w:val="nil"/>
            </w:tcBorders>
          </w:tcPr>
          <w:p w14:paraId="68CAB632" w14:textId="6C22CD77"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c>
          <w:tcPr>
            <w:tcW w:w="1749" w:type="dxa"/>
            <w:tcBorders>
              <w:top w:val="nil"/>
              <w:left w:val="nil"/>
              <w:right w:val="nil"/>
            </w:tcBorders>
          </w:tcPr>
          <w:p w14:paraId="43BC90E7" w14:textId="1389B649"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c>
          <w:tcPr>
            <w:tcW w:w="1749" w:type="dxa"/>
            <w:tcBorders>
              <w:top w:val="nil"/>
              <w:left w:val="nil"/>
              <w:right w:val="nil"/>
            </w:tcBorders>
          </w:tcPr>
          <w:p w14:paraId="340FC79C" w14:textId="7ABAAB29"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c>
          <w:tcPr>
            <w:tcW w:w="1748" w:type="dxa"/>
            <w:tcBorders>
              <w:top w:val="nil"/>
              <w:left w:val="nil"/>
              <w:right w:val="nil"/>
            </w:tcBorders>
          </w:tcPr>
          <w:p w14:paraId="5C696F68" w14:textId="09EDA949"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c>
          <w:tcPr>
            <w:tcW w:w="1749" w:type="dxa"/>
            <w:tcBorders>
              <w:top w:val="nil"/>
              <w:left w:val="nil"/>
              <w:right w:val="nil"/>
            </w:tcBorders>
          </w:tcPr>
          <w:p w14:paraId="53E3CA69" w14:textId="4BE720FE"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19,019</w:t>
            </w:r>
          </w:p>
        </w:tc>
      </w:tr>
      <w:tr w:rsidR="00A3505C" w:rsidRPr="00A3505C" w14:paraId="32DB7629" w14:textId="77777777" w:rsidTr="0015329C">
        <w:tblPrEx>
          <w:tblBorders>
            <w:bottom w:val="single" w:sz="6" w:space="0" w:color="auto"/>
          </w:tblBorders>
        </w:tblPrEx>
        <w:trPr>
          <w:jc w:val="center"/>
        </w:trPr>
        <w:tc>
          <w:tcPr>
            <w:tcW w:w="3543" w:type="dxa"/>
            <w:tcBorders>
              <w:top w:val="nil"/>
              <w:left w:val="nil"/>
              <w:bottom w:val="nil"/>
              <w:right w:val="nil"/>
            </w:tcBorders>
          </w:tcPr>
          <w:p w14:paraId="7693C357" w14:textId="62A42A4C" w:rsidR="00A14D88" w:rsidRPr="00A3505C" w:rsidRDefault="00A14D88" w:rsidP="00A14D88">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1748" w:type="dxa"/>
            <w:tcBorders>
              <w:top w:val="nil"/>
              <w:left w:val="nil"/>
              <w:bottom w:val="nil"/>
              <w:right w:val="nil"/>
            </w:tcBorders>
          </w:tcPr>
          <w:p w14:paraId="1DB9D5CC" w14:textId="4295B881"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0.168</w:t>
            </w:r>
          </w:p>
        </w:tc>
        <w:tc>
          <w:tcPr>
            <w:tcW w:w="1748" w:type="dxa"/>
            <w:tcBorders>
              <w:top w:val="nil"/>
              <w:left w:val="nil"/>
              <w:bottom w:val="nil"/>
              <w:right w:val="nil"/>
            </w:tcBorders>
          </w:tcPr>
          <w:p w14:paraId="7D4BA9E1" w14:textId="571A41A7"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0.237</w:t>
            </w:r>
          </w:p>
        </w:tc>
        <w:tc>
          <w:tcPr>
            <w:tcW w:w="1749" w:type="dxa"/>
            <w:tcBorders>
              <w:top w:val="nil"/>
              <w:left w:val="nil"/>
              <w:bottom w:val="nil"/>
              <w:right w:val="nil"/>
            </w:tcBorders>
          </w:tcPr>
          <w:p w14:paraId="5AC11479" w14:textId="5EDEB1D1"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0.246</w:t>
            </w:r>
          </w:p>
        </w:tc>
        <w:tc>
          <w:tcPr>
            <w:tcW w:w="1749" w:type="dxa"/>
            <w:tcBorders>
              <w:top w:val="nil"/>
              <w:left w:val="nil"/>
              <w:bottom w:val="nil"/>
              <w:right w:val="nil"/>
            </w:tcBorders>
          </w:tcPr>
          <w:p w14:paraId="3C3B49FD" w14:textId="2584164C"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0.161</w:t>
            </w:r>
          </w:p>
        </w:tc>
        <w:tc>
          <w:tcPr>
            <w:tcW w:w="1748" w:type="dxa"/>
            <w:tcBorders>
              <w:top w:val="nil"/>
              <w:left w:val="nil"/>
              <w:bottom w:val="nil"/>
              <w:right w:val="nil"/>
            </w:tcBorders>
          </w:tcPr>
          <w:p w14:paraId="49923531" w14:textId="6B4A2659"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0.229</w:t>
            </w:r>
          </w:p>
        </w:tc>
        <w:tc>
          <w:tcPr>
            <w:tcW w:w="1749" w:type="dxa"/>
            <w:tcBorders>
              <w:top w:val="nil"/>
              <w:left w:val="nil"/>
              <w:bottom w:val="nil"/>
              <w:right w:val="nil"/>
            </w:tcBorders>
          </w:tcPr>
          <w:p w14:paraId="090F812E" w14:textId="308BBB3A" w:rsidR="00A14D88" w:rsidRPr="00A3505C" w:rsidRDefault="00A14D88" w:rsidP="00A14D88">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0.226</w:t>
            </w:r>
          </w:p>
        </w:tc>
      </w:tr>
      <w:tr w:rsidR="00A3505C" w:rsidRPr="00A3505C" w14:paraId="5F57A2FB" w14:textId="77777777" w:rsidTr="0015329C">
        <w:tblPrEx>
          <w:tblBorders>
            <w:bottom w:val="single" w:sz="6" w:space="0" w:color="auto"/>
          </w:tblBorders>
        </w:tblPrEx>
        <w:trPr>
          <w:jc w:val="center"/>
        </w:trPr>
        <w:tc>
          <w:tcPr>
            <w:tcW w:w="3543" w:type="dxa"/>
            <w:tcBorders>
              <w:top w:val="nil"/>
              <w:left w:val="nil"/>
              <w:bottom w:val="nil"/>
              <w:right w:val="nil"/>
            </w:tcBorders>
          </w:tcPr>
          <w:p w14:paraId="2850E26E" w14:textId="77777777" w:rsidR="002F6360" w:rsidRPr="00A3505C" w:rsidRDefault="002F6360" w:rsidP="009C6FF3">
            <w:pPr>
              <w:autoSpaceDE w:val="0"/>
              <w:autoSpaceDN w:val="0"/>
              <w:adjustRightInd w:val="0"/>
              <w:snapToGrid w:val="0"/>
              <w:spacing w:after="0" w:line="264" w:lineRule="auto"/>
              <w:rPr>
                <w:rFonts w:ascii="Times New Roman" w:hAnsi="Times New Roman" w:cs="Times New Roman"/>
                <w:i/>
                <w:sz w:val="18"/>
                <w:szCs w:val="18"/>
              </w:rPr>
            </w:pPr>
            <w:r w:rsidRPr="00A3505C">
              <w:rPr>
                <w:rFonts w:ascii="Times New Roman" w:hAnsi="Times New Roman" w:cs="Times New Roman"/>
                <w:i/>
                <w:sz w:val="18"/>
                <w:szCs w:val="18"/>
              </w:rPr>
              <w:t>Instrumental validity tests</w:t>
            </w:r>
          </w:p>
        </w:tc>
        <w:tc>
          <w:tcPr>
            <w:tcW w:w="1748" w:type="dxa"/>
            <w:tcBorders>
              <w:top w:val="nil"/>
              <w:left w:val="nil"/>
              <w:bottom w:val="nil"/>
              <w:right w:val="nil"/>
            </w:tcBorders>
          </w:tcPr>
          <w:p w14:paraId="420B6024"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4974182C"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05D03AB0"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2068183A"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54763BF1"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56E66258" w14:textId="77777777" w:rsidR="002F6360" w:rsidRPr="00A3505C" w:rsidRDefault="002F636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7576952D" w14:textId="77777777" w:rsidTr="0015329C">
        <w:tblPrEx>
          <w:tblBorders>
            <w:bottom w:val="single" w:sz="6" w:space="0" w:color="auto"/>
          </w:tblBorders>
        </w:tblPrEx>
        <w:trPr>
          <w:jc w:val="center"/>
        </w:trPr>
        <w:tc>
          <w:tcPr>
            <w:tcW w:w="3543" w:type="dxa"/>
            <w:tcBorders>
              <w:top w:val="nil"/>
              <w:left w:val="nil"/>
              <w:bottom w:val="nil"/>
              <w:right w:val="nil"/>
            </w:tcBorders>
          </w:tcPr>
          <w:p w14:paraId="11A2AECD" w14:textId="3F938B1A" w:rsidR="00534910" w:rsidRPr="00A3505C" w:rsidRDefault="00534910" w:rsidP="009C6FF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w:t>
            </w:r>
            <w:r w:rsidR="00622261" w:rsidRPr="00A3505C">
              <w:rPr>
                <w:rFonts w:ascii="Times New Roman" w:hAnsi="Times New Roman" w:cs="Times New Roman"/>
                <w:sz w:val="18"/>
                <w:szCs w:val="18"/>
              </w:rPr>
              <w:t>1</w:t>
            </w:r>
            <w:r w:rsidRPr="00A3505C">
              <w:rPr>
                <w:rFonts w:ascii="Times New Roman" w:hAnsi="Times New Roman" w:cs="Times New Roman"/>
                <w:sz w:val="18"/>
                <w:szCs w:val="18"/>
              </w:rPr>
              <w:t>) Under-identification test</w:t>
            </w:r>
          </w:p>
        </w:tc>
        <w:tc>
          <w:tcPr>
            <w:tcW w:w="1748" w:type="dxa"/>
            <w:tcBorders>
              <w:top w:val="nil"/>
              <w:left w:val="nil"/>
              <w:bottom w:val="nil"/>
              <w:right w:val="nil"/>
            </w:tcBorders>
          </w:tcPr>
          <w:p w14:paraId="2918A7DF"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31ECCEBC"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64C3C907"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4603FD5D"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221BC13D"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1DD0FC95"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5C51B4E8" w14:textId="77777777" w:rsidTr="0015329C">
        <w:tblPrEx>
          <w:tblBorders>
            <w:bottom w:val="single" w:sz="6" w:space="0" w:color="auto"/>
          </w:tblBorders>
        </w:tblPrEx>
        <w:trPr>
          <w:jc w:val="center"/>
        </w:trPr>
        <w:tc>
          <w:tcPr>
            <w:tcW w:w="3543" w:type="dxa"/>
            <w:tcBorders>
              <w:top w:val="nil"/>
              <w:left w:val="nil"/>
              <w:bottom w:val="nil"/>
              <w:right w:val="nil"/>
            </w:tcBorders>
          </w:tcPr>
          <w:p w14:paraId="6145D043" w14:textId="78E674A9" w:rsidR="00534910" w:rsidRPr="00A3505C" w:rsidRDefault="00CD17DA" w:rsidP="009C6FF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Anderson canon. corr. LM statistic</w:t>
            </w:r>
          </w:p>
        </w:tc>
        <w:tc>
          <w:tcPr>
            <w:tcW w:w="1748" w:type="dxa"/>
            <w:tcBorders>
              <w:top w:val="nil"/>
              <w:left w:val="nil"/>
              <w:bottom w:val="nil"/>
              <w:right w:val="nil"/>
            </w:tcBorders>
          </w:tcPr>
          <w:p w14:paraId="4E53905A" w14:textId="0F8B6E72" w:rsidR="00534910" w:rsidRPr="00A3505C" w:rsidRDefault="00CD17DA"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1,137.560</w:t>
            </w:r>
          </w:p>
        </w:tc>
        <w:tc>
          <w:tcPr>
            <w:tcW w:w="1748" w:type="dxa"/>
            <w:tcBorders>
              <w:top w:val="nil"/>
              <w:left w:val="nil"/>
              <w:bottom w:val="nil"/>
              <w:right w:val="nil"/>
            </w:tcBorders>
          </w:tcPr>
          <w:p w14:paraId="76D5A9C1"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7DDE41E0" w14:textId="0C989B16"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52923CD0" w14:textId="6CF1B71A" w:rsidR="00534910" w:rsidRPr="00A3505C" w:rsidRDefault="00D1219E"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893.320</w:t>
            </w:r>
          </w:p>
        </w:tc>
        <w:tc>
          <w:tcPr>
            <w:tcW w:w="1748" w:type="dxa"/>
            <w:tcBorders>
              <w:top w:val="nil"/>
              <w:left w:val="nil"/>
              <w:bottom w:val="nil"/>
              <w:right w:val="nil"/>
            </w:tcBorders>
          </w:tcPr>
          <w:p w14:paraId="4F33DCF1"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13AFDA2D"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704151CF" w14:textId="77777777" w:rsidTr="0015329C">
        <w:tblPrEx>
          <w:tblBorders>
            <w:bottom w:val="single" w:sz="6" w:space="0" w:color="auto"/>
          </w:tblBorders>
        </w:tblPrEx>
        <w:trPr>
          <w:jc w:val="center"/>
        </w:trPr>
        <w:tc>
          <w:tcPr>
            <w:tcW w:w="3543" w:type="dxa"/>
            <w:tcBorders>
              <w:top w:val="nil"/>
              <w:left w:val="nil"/>
              <w:bottom w:val="nil"/>
              <w:right w:val="nil"/>
            </w:tcBorders>
          </w:tcPr>
          <w:p w14:paraId="459609D6" w14:textId="7740E7BE" w:rsidR="00534910" w:rsidRPr="00A3505C" w:rsidRDefault="00534910" w:rsidP="009C6FF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w:t>
            </w:r>
            <w:r w:rsidR="00622261" w:rsidRPr="00A3505C">
              <w:rPr>
                <w:rFonts w:ascii="Times New Roman" w:hAnsi="Times New Roman" w:cs="Times New Roman"/>
                <w:sz w:val="18"/>
                <w:szCs w:val="18"/>
              </w:rPr>
              <w:t>2</w:t>
            </w:r>
            <w:r w:rsidRPr="00A3505C">
              <w:rPr>
                <w:rFonts w:ascii="Times New Roman" w:hAnsi="Times New Roman" w:cs="Times New Roman"/>
                <w:sz w:val="18"/>
                <w:szCs w:val="18"/>
              </w:rPr>
              <w:t>) Weak identification test</w:t>
            </w:r>
          </w:p>
        </w:tc>
        <w:tc>
          <w:tcPr>
            <w:tcW w:w="1748" w:type="dxa"/>
            <w:tcBorders>
              <w:top w:val="nil"/>
              <w:left w:val="nil"/>
              <w:bottom w:val="nil"/>
              <w:right w:val="nil"/>
            </w:tcBorders>
          </w:tcPr>
          <w:p w14:paraId="2804439D"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46A2B4F4"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6B04C317"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30BD2A04"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64019B37"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2CAC7CED"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46A4B561" w14:textId="77777777" w:rsidTr="0015329C">
        <w:tblPrEx>
          <w:tblBorders>
            <w:bottom w:val="single" w:sz="6" w:space="0" w:color="auto"/>
          </w:tblBorders>
        </w:tblPrEx>
        <w:trPr>
          <w:jc w:val="center"/>
        </w:trPr>
        <w:tc>
          <w:tcPr>
            <w:tcW w:w="3543" w:type="dxa"/>
            <w:tcBorders>
              <w:top w:val="nil"/>
              <w:left w:val="nil"/>
              <w:bottom w:val="nil"/>
              <w:right w:val="nil"/>
            </w:tcBorders>
          </w:tcPr>
          <w:p w14:paraId="2BCE5DC8" w14:textId="0ADCB449" w:rsidR="00534910" w:rsidRPr="00A3505C" w:rsidRDefault="006812C0" w:rsidP="009C6FF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Cragg-Donald Wald F statistic</w:t>
            </w:r>
          </w:p>
        </w:tc>
        <w:tc>
          <w:tcPr>
            <w:tcW w:w="1748" w:type="dxa"/>
            <w:tcBorders>
              <w:top w:val="nil"/>
              <w:left w:val="nil"/>
              <w:bottom w:val="nil"/>
              <w:right w:val="nil"/>
            </w:tcBorders>
          </w:tcPr>
          <w:p w14:paraId="26F09A4C" w14:textId="38BB42CF" w:rsidR="00534910" w:rsidRPr="00A3505C" w:rsidRDefault="006812C0"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1,201.790</w:t>
            </w:r>
          </w:p>
        </w:tc>
        <w:tc>
          <w:tcPr>
            <w:tcW w:w="1748" w:type="dxa"/>
            <w:tcBorders>
              <w:top w:val="nil"/>
              <w:left w:val="nil"/>
              <w:bottom w:val="nil"/>
              <w:right w:val="nil"/>
            </w:tcBorders>
          </w:tcPr>
          <w:p w14:paraId="775C2AE0"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25E5C857" w14:textId="066D3C3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7B4379E8" w14:textId="1BCCB9ED" w:rsidR="00534910" w:rsidRPr="00A3505C" w:rsidRDefault="00FF154A"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931.030</w:t>
            </w:r>
          </w:p>
        </w:tc>
        <w:tc>
          <w:tcPr>
            <w:tcW w:w="1748" w:type="dxa"/>
            <w:tcBorders>
              <w:top w:val="nil"/>
              <w:left w:val="nil"/>
              <w:bottom w:val="nil"/>
              <w:right w:val="nil"/>
            </w:tcBorders>
          </w:tcPr>
          <w:p w14:paraId="66A8C459"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738168F7"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2FBCED70" w14:textId="77777777" w:rsidTr="0015329C">
        <w:tblPrEx>
          <w:tblBorders>
            <w:bottom w:val="single" w:sz="6" w:space="0" w:color="auto"/>
          </w:tblBorders>
        </w:tblPrEx>
        <w:trPr>
          <w:jc w:val="center"/>
        </w:trPr>
        <w:tc>
          <w:tcPr>
            <w:tcW w:w="3543" w:type="dxa"/>
            <w:tcBorders>
              <w:top w:val="nil"/>
              <w:left w:val="nil"/>
              <w:bottom w:val="nil"/>
              <w:right w:val="nil"/>
            </w:tcBorders>
          </w:tcPr>
          <w:p w14:paraId="37CF2893" w14:textId="77777777" w:rsidR="00534910" w:rsidRPr="00A3505C" w:rsidRDefault="00534910" w:rsidP="009C6FF3">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Stock-Yogo weak ID test</w:t>
            </w:r>
          </w:p>
        </w:tc>
        <w:tc>
          <w:tcPr>
            <w:tcW w:w="1748" w:type="dxa"/>
            <w:tcBorders>
              <w:top w:val="nil"/>
              <w:left w:val="nil"/>
              <w:bottom w:val="nil"/>
              <w:right w:val="nil"/>
            </w:tcBorders>
          </w:tcPr>
          <w:p w14:paraId="21545D2E"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3C877604"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33C75C28"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0227492B"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8" w:type="dxa"/>
            <w:tcBorders>
              <w:top w:val="nil"/>
              <w:left w:val="nil"/>
              <w:bottom w:val="nil"/>
              <w:right w:val="nil"/>
            </w:tcBorders>
          </w:tcPr>
          <w:p w14:paraId="382EB9E8"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nil"/>
              <w:right w:val="nil"/>
            </w:tcBorders>
          </w:tcPr>
          <w:p w14:paraId="739ED777" w14:textId="77777777" w:rsidR="00534910" w:rsidRPr="00A3505C" w:rsidRDefault="00534910" w:rsidP="009C6FF3">
            <w:pPr>
              <w:autoSpaceDE w:val="0"/>
              <w:autoSpaceDN w:val="0"/>
              <w:adjustRightInd w:val="0"/>
              <w:snapToGrid w:val="0"/>
              <w:spacing w:after="0" w:line="264" w:lineRule="auto"/>
              <w:jc w:val="center"/>
              <w:rPr>
                <w:rFonts w:ascii="Times New Roman" w:hAnsi="Times New Roman" w:cs="Times New Roman"/>
                <w:sz w:val="18"/>
                <w:szCs w:val="18"/>
              </w:rPr>
            </w:pPr>
          </w:p>
        </w:tc>
      </w:tr>
      <w:tr w:rsidR="00DE5202" w:rsidRPr="00A3505C" w14:paraId="73AAED0E" w14:textId="77777777" w:rsidTr="00F842ED">
        <w:tblPrEx>
          <w:tblBorders>
            <w:bottom w:val="single" w:sz="6" w:space="0" w:color="auto"/>
          </w:tblBorders>
        </w:tblPrEx>
        <w:trPr>
          <w:jc w:val="center"/>
        </w:trPr>
        <w:tc>
          <w:tcPr>
            <w:tcW w:w="3543" w:type="dxa"/>
            <w:tcBorders>
              <w:top w:val="nil"/>
              <w:left w:val="nil"/>
              <w:bottom w:val="single" w:sz="4" w:space="0" w:color="auto"/>
              <w:right w:val="nil"/>
            </w:tcBorders>
          </w:tcPr>
          <w:p w14:paraId="7DEDA93E" w14:textId="4EC6E4EA" w:rsidR="00382CA8" w:rsidRPr="00A3505C" w:rsidRDefault="00382CA8" w:rsidP="009C6FF3">
            <w:pPr>
              <w:autoSpaceDE w:val="0"/>
              <w:autoSpaceDN w:val="0"/>
              <w:adjustRightInd w:val="0"/>
              <w:snapToGrid w:val="0"/>
              <w:spacing w:after="0" w:line="264" w:lineRule="auto"/>
              <w:ind w:firstLine="216"/>
              <w:rPr>
                <w:rFonts w:ascii="Times New Roman" w:hAnsi="Times New Roman" w:cs="Times New Roman"/>
                <w:sz w:val="18"/>
                <w:szCs w:val="18"/>
              </w:rPr>
            </w:pPr>
            <w:r w:rsidRPr="00A3505C">
              <w:rPr>
                <w:rFonts w:ascii="Times New Roman" w:hAnsi="Times New Roman" w:cs="Times New Roman"/>
                <w:sz w:val="18"/>
                <w:szCs w:val="18"/>
              </w:rPr>
              <w:t>10% maximal IV size</w:t>
            </w:r>
          </w:p>
        </w:tc>
        <w:tc>
          <w:tcPr>
            <w:tcW w:w="1748" w:type="dxa"/>
            <w:tcBorders>
              <w:top w:val="nil"/>
              <w:left w:val="nil"/>
              <w:bottom w:val="single" w:sz="4" w:space="0" w:color="auto"/>
              <w:right w:val="nil"/>
            </w:tcBorders>
          </w:tcPr>
          <w:p w14:paraId="21829B46" w14:textId="77777777"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16.380</w:t>
            </w:r>
          </w:p>
        </w:tc>
        <w:tc>
          <w:tcPr>
            <w:tcW w:w="1748" w:type="dxa"/>
            <w:tcBorders>
              <w:top w:val="nil"/>
              <w:left w:val="nil"/>
              <w:bottom w:val="single" w:sz="4" w:space="0" w:color="auto"/>
              <w:right w:val="nil"/>
            </w:tcBorders>
          </w:tcPr>
          <w:p w14:paraId="2A8B87B3" w14:textId="77777777"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single" w:sz="4" w:space="0" w:color="auto"/>
              <w:right w:val="nil"/>
            </w:tcBorders>
          </w:tcPr>
          <w:p w14:paraId="45E1AB81" w14:textId="27ABAC13"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single" w:sz="4" w:space="0" w:color="auto"/>
              <w:right w:val="nil"/>
            </w:tcBorders>
          </w:tcPr>
          <w:p w14:paraId="7D7D46A8" w14:textId="1989D5C1"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16.380</w:t>
            </w:r>
          </w:p>
        </w:tc>
        <w:tc>
          <w:tcPr>
            <w:tcW w:w="1748" w:type="dxa"/>
            <w:tcBorders>
              <w:top w:val="nil"/>
              <w:left w:val="nil"/>
              <w:bottom w:val="single" w:sz="4" w:space="0" w:color="auto"/>
              <w:right w:val="nil"/>
            </w:tcBorders>
          </w:tcPr>
          <w:p w14:paraId="4A0C9038" w14:textId="77777777"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p>
        </w:tc>
        <w:tc>
          <w:tcPr>
            <w:tcW w:w="1749" w:type="dxa"/>
            <w:tcBorders>
              <w:top w:val="nil"/>
              <w:left w:val="nil"/>
              <w:bottom w:val="single" w:sz="4" w:space="0" w:color="auto"/>
              <w:right w:val="nil"/>
            </w:tcBorders>
          </w:tcPr>
          <w:p w14:paraId="5F05917A" w14:textId="77777777" w:rsidR="00382CA8" w:rsidRPr="00A3505C" w:rsidRDefault="00382CA8" w:rsidP="009C6FF3">
            <w:pPr>
              <w:autoSpaceDE w:val="0"/>
              <w:autoSpaceDN w:val="0"/>
              <w:adjustRightInd w:val="0"/>
              <w:snapToGrid w:val="0"/>
              <w:spacing w:after="0" w:line="264" w:lineRule="auto"/>
              <w:jc w:val="center"/>
              <w:rPr>
                <w:rFonts w:ascii="Times New Roman" w:hAnsi="Times New Roman" w:cs="Times New Roman"/>
                <w:sz w:val="18"/>
                <w:szCs w:val="18"/>
              </w:rPr>
            </w:pPr>
          </w:p>
        </w:tc>
      </w:tr>
    </w:tbl>
    <w:p w14:paraId="633AD43C" w14:textId="77777777" w:rsidR="00044825" w:rsidRPr="00A3505C" w:rsidRDefault="00044825" w:rsidP="0015329C">
      <w:pPr>
        <w:adjustRightInd w:val="0"/>
        <w:snapToGrid w:val="0"/>
        <w:spacing w:after="0" w:line="264" w:lineRule="auto"/>
        <w:jc w:val="both"/>
        <w:rPr>
          <w:rFonts w:ascii="Times New Roman" w:hAnsi="Times New Roman" w:cs="Times New Roman"/>
          <w:sz w:val="20"/>
          <w:szCs w:val="20"/>
        </w:rPr>
      </w:pPr>
    </w:p>
    <w:p w14:paraId="36678EB8" w14:textId="77777777" w:rsidR="00044825" w:rsidRPr="00A3505C" w:rsidRDefault="00044825">
      <w:pPr>
        <w:rPr>
          <w:rFonts w:ascii="Times New Roman" w:hAnsi="Times New Roman" w:cs="Times New Roman"/>
          <w:sz w:val="20"/>
          <w:szCs w:val="20"/>
        </w:rPr>
      </w:pPr>
      <w:r w:rsidRPr="00A3505C">
        <w:rPr>
          <w:rFonts w:ascii="Times New Roman" w:hAnsi="Times New Roman" w:cs="Times New Roman"/>
          <w:sz w:val="20"/>
          <w:szCs w:val="20"/>
        </w:rPr>
        <w:br w:type="page"/>
      </w:r>
    </w:p>
    <w:p w14:paraId="16955EA7" w14:textId="379271A2" w:rsidR="00044825" w:rsidRPr="00A3505C" w:rsidRDefault="0066501E" w:rsidP="00044825">
      <w:pPr>
        <w:adjustRightInd w:val="0"/>
        <w:snapToGrid w:val="0"/>
        <w:spacing w:after="60" w:line="264" w:lineRule="auto"/>
        <w:jc w:val="both"/>
        <w:rPr>
          <w:rFonts w:ascii="Times New Roman" w:hAnsi="Times New Roman" w:cs="Times New Roman"/>
          <w:b/>
          <w:bCs/>
          <w:sz w:val="20"/>
          <w:szCs w:val="20"/>
        </w:rPr>
      </w:pPr>
      <w:r w:rsidRPr="00A3505C">
        <w:rPr>
          <w:rFonts w:ascii="Times New Roman" w:hAnsi="Times New Roman" w:cs="Times New Roman"/>
          <w:b/>
          <w:bCs/>
          <w:sz w:val="20"/>
          <w:szCs w:val="20"/>
        </w:rPr>
        <w:lastRenderedPageBreak/>
        <w:t>Table 8</w:t>
      </w:r>
      <w:r w:rsidR="00044825" w:rsidRPr="00A3505C">
        <w:rPr>
          <w:rFonts w:ascii="Times New Roman" w:hAnsi="Times New Roman" w:cs="Times New Roman"/>
          <w:b/>
          <w:bCs/>
          <w:sz w:val="20"/>
          <w:szCs w:val="20"/>
        </w:rPr>
        <w:t xml:space="preserve"> – </w:t>
      </w:r>
      <w:r w:rsidR="000936BC" w:rsidRPr="00A3505C">
        <w:rPr>
          <w:rFonts w:ascii="Times New Roman" w:hAnsi="Times New Roman" w:cs="Times New Roman"/>
          <w:b/>
          <w:bCs/>
          <w:sz w:val="20"/>
          <w:szCs w:val="20"/>
        </w:rPr>
        <w:t>(</w:t>
      </w:r>
      <w:r w:rsidR="00044825" w:rsidRPr="00A3505C">
        <w:rPr>
          <w:rFonts w:ascii="Times New Roman" w:hAnsi="Times New Roman" w:cs="Times New Roman"/>
          <w:b/>
          <w:bCs/>
          <w:sz w:val="20"/>
          <w:szCs w:val="20"/>
        </w:rPr>
        <w:t>Continued</w:t>
      </w:r>
      <w:r w:rsidR="000936BC" w:rsidRPr="00A3505C">
        <w:rPr>
          <w:rFonts w:ascii="Times New Roman" w:hAnsi="Times New Roman" w:cs="Times New Roman"/>
          <w:b/>
          <w:bCs/>
          <w:sz w:val="20"/>
          <w:szCs w:val="20"/>
        </w:rPr>
        <w:t>)</w:t>
      </w:r>
    </w:p>
    <w:tbl>
      <w:tblPr>
        <w:tblW w:w="14034" w:type="dxa"/>
        <w:jc w:val="center"/>
        <w:tblLayout w:type="fixed"/>
        <w:tblCellMar>
          <w:left w:w="75" w:type="dxa"/>
          <w:right w:w="75" w:type="dxa"/>
        </w:tblCellMar>
        <w:tblLook w:val="0000" w:firstRow="0" w:lastRow="0" w:firstColumn="0" w:lastColumn="0" w:noHBand="0" w:noVBand="0"/>
      </w:tblPr>
      <w:tblGrid>
        <w:gridCol w:w="2977"/>
        <w:gridCol w:w="2764"/>
        <w:gridCol w:w="2764"/>
        <w:gridCol w:w="2764"/>
        <w:gridCol w:w="2765"/>
      </w:tblGrid>
      <w:tr w:rsidR="00A3505C" w:rsidRPr="00A3505C" w14:paraId="256A291E" w14:textId="77777777" w:rsidTr="009C7B47">
        <w:trPr>
          <w:jc w:val="center"/>
        </w:trPr>
        <w:tc>
          <w:tcPr>
            <w:tcW w:w="14034" w:type="dxa"/>
            <w:gridSpan w:val="5"/>
            <w:tcBorders>
              <w:top w:val="single" w:sz="4" w:space="0" w:color="auto"/>
              <w:left w:val="nil"/>
              <w:bottom w:val="single" w:sz="4" w:space="0" w:color="auto"/>
              <w:right w:val="nil"/>
            </w:tcBorders>
          </w:tcPr>
          <w:p w14:paraId="25A0D077" w14:textId="77777777" w:rsidR="00044825" w:rsidRPr="00A3505C" w:rsidRDefault="00044825" w:rsidP="009C7B47">
            <w:pPr>
              <w:autoSpaceDE w:val="0"/>
              <w:autoSpaceDN w:val="0"/>
              <w:adjustRightInd w:val="0"/>
              <w:snapToGrid w:val="0"/>
              <w:spacing w:before="60" w:after="60" w:line="264" w:lineRule="auto"/>
              <w:jc w:val="both"/>
              <w:rPr>
                <w:rFonts w:ascii="Times New Roman" w:hAnsi="Times New Roman" w:cs="Times New Roman"/>
                <w:b/>
                <w:bCs/>
                <w:sz w:val="18"/>
                <w:szCs w:val="18"/>
              </w:rPr>
            </w:pPr>
            <w:r w:rsidRPr="00A3505C">
              <w:rPr>
                <w:rFonts w:ascii="Times New Roman" w:hAnsi="Times New Roman" w:cs="Times New Roman"/>
                <w:b/>
                <w:bCs/>
                <w:sz w:val="18"/>
                <w:szCs w:val="18"/>
              </w:rPr>
              <w:t>Panel B. The results after using a propensity-score-matched sample</w:t>
            </w:r>
          </w:p>
        </w:tc>
      </w:tr>
      <w:tr w:rsidR="00A3505C" w:rsidRPr="00A3505C" w14:paraId="640BE3D2" w14:textId="77777777" w:rsidTr="009C7B47">
        <w:trPr>
          <w:jc w:val="center"/>
        </w:trPr>
        <w:tc>
          <w:tcPr>
            <w:tcW w:w="2977" w:type="dxa"/>
            <w:tcBorders>
              <w:top w:val="single" w:sz="4" w:space="0" w:color="auto"/>
              <w:left w:val="nil"/>
              <w:right w:val="nil"/>
            </w:tcBorders>
          </w:tcPr>
          <w:p w14:paraId="74B82D1A"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Variables</w:t>
            </w:r>
          </w:p>
        </w:tc>
        <w:tc>
          <w:tcPr>
            <w:tcW w:w="2764" w:type="dxa"/>
            <w:tcBorders>
              <w:top w:val="single" w:sz="4" w:space="0" w:color="auto"/>
              <w:left w:val="nil"/>
              <w:bottom w:val="single" w:sz="4" w:space="0" w:color="auto"/>
              <w:right w:val="nil"/>
            </w:tcBorders>
          </w:tcPr>
          <w:p w14:paraId="58A72A0B"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2764" w:type="dxa"/>
            <w:tcBorders>
              <w:top w:val="single" w:sz="4" w:space="0" w:color="auto"/>
              <w:left w:val="nil"/>
              <w:bottom w:val="single" w:sz="4" w:space="0" w:color="auto"/>
              <w:right w:val="nil"/>
            </w:tcBorders>
          </w:tcPr>
          <w:p w14:paraId="2004BB8B"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c>
          <w:tcPr>
            <w:tcW w:w="2764" w:type="dxa"/>
            <w:tcBorders>
              <w:top w:val="single" w:sz="4" w:space="0" w:color="auto"/>
              <w:left w:val="nil"/>
              <w:bottom w:val="single" w:sz="4" w:space="0" w:color="auto"/>
              <w:right w:val="nil"/>
            </w:tcBorders>
          </w:tcPr>
          <w:p w14:paraId="709B8B46"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Dummy</w:t>
            </w:r>
          </w:p>
        </w:tc>
        <w:tc>
          <w:tcPr>
            <w:tcW w:w="2765" w:type="dxa"/>
            <w:tcBorders>
              <w:top w:val="single" w:sz="4" w:space="0" w:color="auto"/>
              <w:left w:val="nil"/>
              <w:bottom w:val="single" w:sz="4" w:space="0" w:color="auto"/>
              <w:right w:val="nil"/>
            </w:tcBorders>
          </w:tcPr>
          <w:p w14:paraId="1A3AFD16"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i/>
                <w:iCs/>
                <w:sz w:val="18"/>
                <w:szCs w:val="18"/>
              </w:rPr>
              <w:t>Green Revenues Ratio</w:t>
            </w:r>
          </w:p>
        </w:tc>
      </w:tr>
      <w:tr w:rsidR="00A3505C" w:rsidRPr="00A3505C" w14:paraId="352FB264" w14:textId="77777777" w:rsidTr="009C7B47">
        <w:trPr>
          <w:jc w:val="center"/>
        </w:trPr>
        <w:tc>
          <w:tcPr>
            <w:tcW w:w="2977" w:type="dxa"/>
            <w:tcBorders>
              <w:left w:val="nil"/>
              <w:bottom w:val="single" w:sz="4" w:space="0" w:color="auto"/>
              <w:right w:val="nil"/>
            </w:tcBorders>
          </w:tcPr>
          <w:p w14:paraId="372FDD49"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p>
        </w:tc>
        <w:tc>
          <w:tcPr>
            <w:tcW w:w="2764" w:type="dxa"/>
            <w:tcBorders>
              <w:top w:val="single" w:sz="6" w:space="0" w:color="auto"/>
              <w:left w:val="nil"/>
              <w:bottom w:val="single" w:sz="4" w:space="0" w:color="auto"/>
              <w:right w:val="nil"/>
            </w:tcBorders>
          </w:tcPr>
          <w:p w14:paraId="424905DF"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w:t>
            </w:r>
          </w:p>
        </w:tc>
        <w:tc>
          <w:tcPr>
            <w:tcW w:w="2764" w:type="dxa"/>
            <w:tcBorders>
              <w:top w:val="single" w:sz="6" w:space="0" w:color="auto"/>
              <w:left w:val="nil"/>
              <w:bottom w:val="single" w:sz="4" w:space="0" w:color="auto"/>
              <w:right w:val="nil"/>
            </w:tcBorders>
          </w:tcPr>
          <w:p w14:paraId="06731960"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(2)</w:t>
            </w:r>
          </w:p>
        </w:tc>
        <w:tc>
          <w:tcPr>
            <w:tcW w:w="2764" w:type="dxa"/>
            <w:tcBorders>
              <w:top w:val="single" w:sz="6" w:space="0" w:color="auto"/>
              <w:left w:val="nil"/>
              <w:bottom w:val="single" w:sz="4" w:space="0" w:color="auto"/>
              <w:right w:val="nil"/>
            </w:tcBorders>
          </w:tcPr>
          <w:p w14:paraId="08A137CB"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(3)</w:t>
            </w:r>
          </w:p>
        </w:tc>
        <w:tc>
          <w:tcPr>
            <w:tcW w:w="2765" w:type="dxa"/>
            <w:tcBorders>
              <w:top w:val="single" w:sz="6" w:space="0" w:color="auto"/>
              <w:left w:val="nil"/>
              <w:bottom w:val="single" w:sz="4" w:space="0" w:color="auto"/>
              <w:right w:val="nil"/>
            </w:tcBorders>
          </w:tcPr>
          <w:p w14:paraId="2BE617E7"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(4)</w:t>
            </w:r>
          </w:p>
        </w:tc>
      </w:tr>
      <w:tr w:rsidR="00A3505C" w:rsidRPr="00A3505C" w14:paraId="5AF8B6A4" w14:textId="77777777" w:rsidTr="009C7B47">
        <w:trPr>
          <w:trHeight w:val="145"/>
          <w:jc w:val="center"/>
        </w:trPr>
        <w:tc>
          <w:tcPr>
            <w:tcW w:w="2977" w:type="dxa"/>
            <w:tcBorders>
              <w:top w:val="single" w:sz="4" w:space="0" w:color="auto"/>
              <w:left w:val="nil"/>
              <w:bottom w:val="nil"/>
              <w:right w:val="nil"/>
            </w:tcBorders>
          </w:tcPr>
          <w:p w14:paraId="01DB6605" w14:textId="397FB3F3" w:rsidR="00044825" w:rsidRPr="00692F35" w:rsidRDefault="00044825" w:rsidP="009C7B47">
            <w:pPr>
              <w:autoSpaceDE w:val="0"/>
              <w:autoSpaceDN w:val="0"/>
              <w:adjustRightInd w:val="0"/>
              <w:snapToGrid w:val="0"/>
              <w:spacing w:after="0" w:line="264" w:lineRule="auto"/>
              <w:rPr>
                <w:rFonts w:ascii="Times New Roman" w:eastAsia="DengXian" w:hAnsi="Times New Roman" w:cs="Times New Roman"/>
                <w:b/>
                <w:bCs/>
                <w:iCs/>
                <w:sz w:val="18"/>
                <w:szCs w:val="18"/>
              </w:rPr>
            </w:pPr>
            <w:r w:rsidRPr="00692F35">
              <w:rPr>
                <w:rFonts w:ascii="Times New Roman" w:hAnsi="Times New Roman" w:cs="Times New Roman"/>
                <w:b/>
                <w:bCs/>
                <w:i/>
                <w:iCs/>
                <w:sz w:val="18"/>
                <w:szCs w:val="18"/>
              </w:rPr>
              <w:t xml:space="preserve">Growth v. Profit and </w:t>
            </w:r>
            <w:r w:rsidR="00CE5C57" w:rsidRPr="00692F35">
              <w:rPr>
                <w:rFonts w:ascii="Times New Roman" w:hAnsi="Times New Roman" w:cs="Times New Roman"/>
                <w:b/>
                <w:bCs/>
                <w:i/>
                <w:iCs/>
                <w:sz w:val="18"/>
                <w:szCs w:val="18"/>
              </w:rPr>
              <w:t>Neither-Nor</w:t>
            </w:r>
          </w:p>
        </w:tc>
        <w:tc>
          <w:tcPr>
            <w:tcW w:w="2764" w:type="dxa"/>
            <w:tcBorders>
              <w:top w:val="single" w:sz="4" w:space="0" w:color="auto"/>
              <w:left w:val="nil"/>
              <w:bottom w:val="nil"/>
              <w:right w:val="nil"/>
            </w:tcBorders>
          </w:tcPr>
          <w:p w14:paraId="58E5906D"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0.052***</w:t>
            </w:r>
          </w:p>
        </w:tc>
        <w:tc>
          <w:tcPr>
            <w:tcW w:w="2764" w:type="dxa"/>
            <w:tcBorders>
              <w:top w:val="single" w:sz="4" w:space="0" w:color="auto"/>
              <w:left w:val="nil"/>
              <w:bottom w:val="nil"/>
              <w:right w:val="nil"/>
            </w:tcBorders>
          </w:tcPr>
          <w:p w14:paraId="79E291CB"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0.031***</w:t>
            </w:r>
          </w:p>
        </w:tc>
        <w:tc>
          <w:tcPr>
            <w:tcW w:w="2764" w:type="dxa"/>
            <w:tcBorders>
              <w:top w:val="single" w:sz="4" w:space="0" w:color="auto"/>
              <w:left w:val="nil"/>
              <w:bottom w:val="nil"/>
              <w:right w:val="nil"/>
            </w:tcBorders>
          </w:tcPr>
          <w:p w14:paraId="040014AE"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2765" w:type="dxa"/>
            <w:tcBorders>
              <w:top w:val="single" w:sz="4" w:space="0" w:color="auto"/>
              <w:left w:val="nil"/>
              <w:bottom w:val="nil"/>
              <w:right w:val="nil"/>
            </w:tcBorders>
          </w:tcPr>
          <w:p w14:paraId="12261B79"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4A12AC9E" w14:textId="77777777" w:rsidTr="009C7B47">
        <w:trPr>
          <w:trHeight w:val="65"/>
          <w:jc w:val="center"/>
        </w:trPr>
        <w:tc>
          <w:tcPr>
            <w:tcW w:w="2977" w:type="dxa"/>
            <w:tcBorders>
              <w:top w:val="nil"/>
              <w:left w:val="nil"/>
              <w:bottom w:val="nil"/>
              <w:right w:val="nil"/>
            </w:tcBorders>
          </w:tcPr>
          <w:p w14:paraId="12838893" w14:textId="77777777" w:rsidR="00044825" w:rsidRPr="00692F35" w:rsidRDefault="00044825" w:rsidP="009C7B47">
            <w:pPr>
              <w:autoSpaceDE w:val="0"/>
              <w:autoSpaceDN w:val="0"/>
              <w:adjustRightInd w:val="0"/>
              <w:snapToGrid w:val="0"/>
              <w:spacing w:after="0" w:line="264" w:lineRule="auto"/>
              <w:rPr>
                <w:rFonts w:ascii="Times New Roman" w:eastAsia="DengXian" w:hAnsi="Times New Roman" w:cs="Times New Roman"/>
                <w:b/>
                <w:bCs/>
                <w:iCs/>
                <w:sz w:val="18"/>
                <w:szCs w:val="18"/>
              </w:rPr>
            </w:pPr>
          </w:p>
        </w:tc>
        <w:tc>
          <w:tcPr>
            <w:tcW w:w="2764" w:type="dxa"/>
            <w:tcBorders>
              <w:top w:val="nil"/>
              <w:left w:val="nil"/>
              <w:bottom w:val="nil"/>
              <w:right w:val="nil"/>
            </w:tcBorders>
          </w:tcPr>
          <w:p w14:paraId="5B1B1E75"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(4.071)</w:t>
            </w:r>
          </w:p>
        </w:tc>
        <w:tc>
          <w:tcPr>
            <w:tcW w:w="2764" w:type="dxa"/>
            <w:tcBorders>
              <w:top w:val="nil"/>
              <w:left w:val="nil"/>
              <w:bottom w:val="nil"/>
              <w:right w:val="nil"/>
            </w:tcBorders>
          </w:tcPr>
          <w:p w14:paraId="3A6C4B0A"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(4.147)</w:t>
            </w:r>
          </w:p>
        </w:tc>
        <w:tc>
          <w:tcPr>
            <w:tcW w:w="2764" w:type="dxa"/>
            <w:tcBorders>
              <w:top w:val="nil"/>
              <w:left w:val="nil"/>
              <w:bottom w:val="nil"/>
              <w:right w:val="nil"/>
            </w:tcBorders>
          </w:tcPr>
          <w:p w14:paraId="6787A4FC"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p>
        </w:tc>
        <w:tc>
          <w:tcPr>
            <w:tcW w:w="2765" w:type="dxa"/>
            <w:tcBorders>
              <w:top w:val="nil"/>
              <w:left w:val="nil"/>
              <w:bottom w:val="nil"/>
              <w:right w:val="nil"/>
            </w:tcBorders>
          </w:tcPr>
          <w:p w14:paraId="59D13608"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p>
        </w:tc>
      </w:tr>
      <w:tr w:rsidR="00A3505C" w:rsidRPr="00A3505C" w14:paraId="00A2A8C3" w14:textId="77777777" w:rsidTr="009C7B47">
        <w:trPr>
          <w:trHeight w:val="65"/>
          <w:jc w:val="center"/>
        </w:trPr>
        <w:tc>
          <w:tcPr>
            <w:tcW w:w="2977" w:type="dxa"/>
            <w:tcBorders>
              <w:top w:val="nil"/>
              <w:left w:val="nil"/>
              <w:bottom w:val="nil"/>
              <w:right w:val="nil"/>
            </w:tcBorders>
          </w:tcPr>
          <w:p w14:paraId="49750FD3" w14:textId="42351534" w:rsidR="00044825" w:rsidRPr="00692F35" w:rsidRDefault="00044825" w:rsidP="009C7B47">
            <w:pPr>
              <w:autoSpaceDE w:val="0"/>
              <w:autoSpaceDN w:val="0"/>
              <w:adjustRightInd w:val="0"/>
              <w:snapToGrid w:val="0"/>
              <w:spacing w:after="0" w:line="264" w:lineRule="auto"/>
              <w:rPr>
                <w:rFonts w:ascii="Times New Roman" w:eastAsia="DengXian" w:hAnsi="Times New Roman" w:cs="Times New Roman"/>
                <w:b/>
                <w:bCs/>
                <w:iCs/>
                <w:sz w:val="18"/>
                <w:szCs w:val="18"/>
              </w:rPr>
            </w:pPr>
            <w:r w:rsidRPr="00692F35">
              <w:rPr>
                <w:rFonts w:ascii="Times New Roman" w:hAnsi="Times New Roman" w:cs="Times New Roman"/>
                <w:b/>
                <w:bCs/>
                <w:i/>
                <w:iCs/>
                <w:sz w:val="18"/>
                <w:szCs w:val="18"/>
              </w:rPr>
              <w:t xml:space="preserve">Profit v. Growth and </w:t>
            </w:r>
            <w:r w:rsidR="00CE5C57" w:rsidRPr="00692F35">
              <w:rPr>
                <w:rFonts w:ascii="Times New Roman" w:hAnsi="Times New Roman" w:cs="Times New Roman"/>
                <w:b/>
                <w:bCs/>
                <w:i/>
                <w:iCs/>
                <w:sz w:val="18"/>
                <w:szCs w:val="18"/>
              </w:rPr>
              <w:t>Neither-Nor</w:t>
            </w:r>
          </w:p>
        </w:tc>
        <w:tc>
          <w:tcPr>
            <w:tcW w:w="2764" w:type="dxa"/>
            <w:tcBorders>
              <w:top w:val="nil"/>
              <w:left w:val="nil"/>
              <w:bottom w:val="nil"/>
              <w:right w:val="nil"/>
            </w:tcBorders>
          </w:tcPr>
          <w:p w14:paraId="2AECF71B"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2764" w:type="dxa"/>
            <w:tcBorders>
              <w:top w:val="nil"/>
              <w:left w:val="nil"/>
              <w:bottom w:val="nil"/>
              <w:right w:val="nil"/>
            </w:tcBorders>
          </w:tcPr>
          <w:p w14:paraId="5FD09E66"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2764" w:type="dxa"/>
            <w:tcBorders>
              <w:top w:val="nil"/>
              <w:left w:val="nil"/>
              <w:bottom w:val="nil"/>
              <w:right w:val="nil"/>
            </w:tcBorders>
          </w:tcPr>
          <w:p w14:paraId="615995DB"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-0.042***</w:t>
            </w:r>
          </w:p>
        </w:tc>
        <w:tc>
          <w:tcPr>
            <w:tcW w:w="2765" w:type="dxa"/>
            <w:tcBorders>
              <w:top w:val="nil"/>
              <w:left w:val="nil"/>
              <w:bottom w:val="nil"/>
              <w:right w:val="nil"/>
            </w:tcBorders>
          </w:tcPr>
          <w:p w14:paraId="44D6D47D"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-0.014***</w:t>
            </w:r>
          </w:p>
        </w:tc>
      </w:tr>
      <w:tr w:rsidR="00A3505C" w:rsidRPr="00A3505C" w14:paraId="78279EB1" w14:textId="77777777" w:rsidTr="009C7B47">
        <w:trPr>
          <w:trHeight w:val="65"/>
          <w:jc w:val="center"/>
        </w:trPr>
        <w:tc>
          <w:tcPr>
            <w:tcW w:w="2977" w:type="dxa"/>
            <w:tcBorders>
              <w:top w:val="nil"/>
              <w:left w:val="nil"/>
              <w:bottom w:val="nil"/>
              <w:right w:val="nil"/>
            </w:tcBorders>
          </w:tcPr>
          <w:p w14:paraId="7B310326" w14:textId="77777777" w:rsidR="00044825" w:rsidRPr="00692F35" w:rsidRDefault="00044825" w:rsidP="009C7B47">
            <w:pPr>
              <w:autoSpaceDE w:val="0"/>
              <w:autoSpaceDN w:val="0"/>
              <w:adjustRightInd w:val="0"/>
              <w:snapToGrid w:val="0"/>
              <w:spacing w:after="0" w:line="264" w:lineRule="auto"/>
              <w:rPr>
                <w:rFonts w:ascii="Times New Roman" w:eastAsia="DengXian" w:hAnsi="Times New Roman" w:cs="Times New Roman"/>
                <w:b/>
                <w:bCs/>
                <w:iCs/>
                <w:sz w:val="18"/>
                <w:szCs w:val="18"/>
              </w:rPr>
            </w:pPr>
          </w:p>
        </w:tc>
        <w:tc>
          <w:tcPr>
            <w:tcW w:w="2764" w:type="dxa"/>
            <w:tcBorders>
              <w:top w:val="nil"/>
              <w:left w:val="nil"/>
              <w:bottom w:val="nil"/>
              <w:right w:val="nil"/>
            </w:tcBorders>
          </w:tcPr>
          <w:p w14:paraId="2252BF7F"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2764" w:type="dxa"/>
            <w:tcBorders>
              <w:top w:val="nil"/>
              <w:left w:val="nil"/>
              <w:bottom w:val="nil"/>
              <w:right w:val="nil"/>
            </w:tcBorders>
          </w:tcPr>
          <w:p w14:paraId="5B891F5C"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p>
        </w:tc>
        <w:tc>
          <w:tcPr>
            <w:tcW w:w="2764" w:type="dxa"/>
            <w:tcBorders>
              <w:top w:val="nil"/>
              <w:left w:val="nil"/>
              <w:bottom w:val="nil"/>
              <w:right w:val="nil"/>
            </w:tcBorders>
          </w:tcPr>
          <w:p w14:paraId="3684FD6A"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(-4.191)</w:t>
            </w:r>
          </w:p>
        </w:tc>
        <w:tc>
          <w:tcPr>
            <w:tcW w:w="2765" w:type="dxa"/>
            <w:tcBorders>
              <w:top w:val="nil"/>
              <w:left w:val="nil"/>
              <w:bottom w:val="nil"/>
              <w:right w:val="nil"/>
            </w:tcBorders>
          </w:tcPr>
          <w:p w14:paraId="26FAA20D" w14:textId="77777777" w:rsidR="00044825" w:rsidRPr="00692F35" w:rsidRDefault="00044825" w:rsidP="009C7B47">
            <w:pPr>
              <w:autoSpaceDE w:val="0"/>
              <w:autoSpaceDN w:val="0"/>
              <w:adjustRightInd w:val="0"/>
              <w:snapToGrid w:val="0"/>
              <w:spacing w:after="0" w:line="264" w:lineRule="auto"/>
              <w:jc w:val="center"/>
              <w:rPr>
                <w:rFonts w:ascii="Times New Roman" w:hAnsi="Times New Roman" w:cs="Times New Roman"/>
                <w:b/>
                <w:bCs/>
                <w:sz w:val="18"/>
                <w:szCs w:val="18"/>
              </w:rPr>
            </w:pPr>
            <w:r w:rsidRPr="00692F35">
              <w:rPr>
                <w:rFonts w:ascii="Times New Roman" w:hAnsi="Times New Roman" w:cs="Times New Roman"/>
                <w:b/>
                <w:bCs/>
                <w:sz w:val="18"/>
                <w:szCs w:val="18"/>
              </w:rPr>
              <w:t>(-3.112)</w:t>
            </w:r>
          </w:p>
        </w:tc>
      </w:tr>
      <w:tr w:rsidR="00A3505C" w:rsidRPr="00A3505C" w14:paraId="72F5539B" w14:textId="77777777" w:rsidTr="009C7B47">
        <w:trPr>
          <w:trHeight w:val="80"/>
          <w:jc w:val="center"/>
        </w:trPr>
        <w:tc>
          <w:tcPr>
            <w:tcW w:w="2977" w:type="dxa"/>
            <w:tcBorders>
              <w:top w:val="nil"/>
              <w:left w:val="nil"/>
              <w:bottom w:val="nil"/>
              <w:right w:val="nil"/>
            </w:tcBorders>
          </w:tcPr>
          <w:p w14:paraId="22FFE191" w14:textId="77777777" w:rsidR="00044825" w:rsidRPr="00A3505C" w:rsidRDefault="00044825" w:rsidP="009C7B47">
            <w:pPr>
              <w:autoSpaceDE w:val="0"/>
              <w:autoSpaceDN w:val="0"/>
              <w:adjustRightInd w:val="0"/>
              <w:snapToGrid w:val="0"/>
              <w:spacing w:after="0" w:line="264" w:lineRule="auto"/>
              <w:rPr>
                <w:rFonts w:ascii="Times New Roman" w:eastAsia="DengXian" w:hAnsi="Times New Roman" w:cs="Times New Roman"/>
                <w:i/>
                <w:sz w:val="18"/>
                <w:szCs w:val="18"/>
              </w:rPr>
            </w:pPr>
            <w:r w:rsidRPr="00A3505C">
              <w:rPr>
                <w:rFonts w:ascii="Times New Roman" w:eastAsia="DengXian" w:hAnsi="Times New Roman" w:cs="Times New Roman"/>
                <w:i/>
                <w:sz w:val="18"/>
                <w:szCs w:val="18"/>
              </w:rPr>
              <w:t>Controls</w:t>
            </w:r>
          </w:p>
        </w:tc>
        <w:tc>
          <w:tcPr>
            <w:tcW w:w="2764" w:type="dxa"/>
            <w:tcBorders>
              <w:top w:val="nil"/>
              <w:left w:val="nil"/>
              <w:bottom w:val="nil"/>
              <w:right w:val="nil"/>
            </w:tcBorders>
          </w:tcPr>
          <w:p w14:paraId="4D7D357E"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top w:val="nil"/>
              <w:left w:val="nil"/>
              <w:bottom w:val="nil"/>
              <w:right w:val="nil"/>
            </w:tcBorders>
          </w:tcPr>
          <w:p w14:paraId="5779F6FE"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top w:val="nil"/>
              <w:left w:val="nil"/>
              <w:bottom w:val="nil"/>
              <w:right w:val="nil"/>
            </w:tcBorders>
          </w:tcPr>
          <w:p w14:paraId="7D054E67"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5" w:type="dxa"/>
            <w:tcBorders>
              <w:top w:val="nil"/>
              <w:left w:val="nil"/>
              <w:bottom w:val="nil"/>
              <w:right w:val="nil"/>
            </w:tcBorders>
          </w:tcPr>
          <w:p w14:paraId="4F9DC758"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1A312CBB" w14:textId="77777777" w:rsidTr="009C7B47">
        <w:trPr>
          <w:jc w:val="center"/>
        </w:trPr>
        <w:tc>
          <w:tcPr>
            <w:tcW w:w="2977" w:type="dxa"/>
            <w:tcBorders>
              <w:left w:val="nil"/>
              <w:bottom w:val="nil"/>
              <w:right w:val="nil"/>
            </w:tcBorders>
          </w:tcPr>
          <w:p w14:paraId="48955CF1"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Industry FE</w:t>
            </w:r>
          </w:p>
        </w:tc>
        <w:tc>
          <w:tcPr>
            <w:tcW w:w="2764" w:type="dxa"/>
            <w:tcBorders>
              <w:left w:val="nil"/>
              <w:bottom w:val="nil"/>
              <w:right w:val="nil"/>
            </w:tcBorders>
          </w:tcPr>
          <w:p w14:paraId="251B584D"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25175824"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0B9D3293"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5" w:type="dxa"/>
            <w:tcBorders>
              <w:left w:val="nil"/>
              <w:bottom w:val="nil"/>
              <w:right w:val="nil"/>
            </w:tcBorders>
          </w:tcPr>
          <w:p w14:paraId="28A9EE8C"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6D33D638" w14:textId="77777777" w:rsidTr="009C7B47">
        <w:trPr>
          <w:jc w:val="center"/>
        </w:trPr>
        <w:tc>
          <w:tcPr>
            <w:tcW w:w="2977" w:type="dxa"/>
            <w:tcBorders>
              <w:left w:val="nil"/>
              <w:bottom w:val="nil"/>
              <w:right w:val="nil"/>
            </w:tcBorders>
          </w:tcPr>
          <w:p w14:paraId="6B8DBA6D"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Region FE</w:t>
            </w:r>
          </w:p>
        </w:tc>
        <w:tc>
          <w:tcPr>
            <w:tcW w:w="2764" w:type="dxa"/>
            <w:tcBorders>
              <w:left w:val="nil"/>
              <w:bottom w:val="nil"/>
              <w:right w:val="nil"/>
            </w:tcBorders>
          </w:tcPr>
          <w:p w14:paraId="3735E627"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29CB3811"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7432AC1B"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5" w:type="dxa"/>
            <w:tcBorders>
              <w:left w:val="nil"/>
              <w:bottom w:val="nil"/>
              <w:right w:val="nil"/>
            </w:tcBorders>
          </w:tcPr>
          <w:p w14:paraId="57017008"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2A93DA5B" w14:textId="77777777" w:rsidTr="009C7B47">
        <w:trPr>
          <w:jc w:val="center"/>
        </w:trPr>
        <w:tc>
          <w:tcPr>
            <w:tcW w:w="2977" w:type="dxa"/>
            <w:tcBorders>
              <w:left w:val="nil"/>
              <w:bottom w:val="nil"/>
              <w:right w:val="nil"/>
            </w:tcBorders>
          </w:tcPr>
          <w:p w14:paraId="78AE1116"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Year FE</w:t>
            </w:r>
          </w:p>
        </w:tc>
        <w:tc>
          <w:tcPr>
            <w:tcW w:w="2764" w:type="dxa"/>
            <w:tcBorders>
              <w:left w:val="nil"/>
              <w:bottom w:val="nil"/>
              <w:right w:val="nil"/>
            </w:tcBorders>
          </w:tcPr>
          <w:p w14:paraId="48D264D0"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4A726816"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220FFCBE"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5" w:type="dxa"/>
            <w:tcBorders>
              <w:left w:val="nil"/>
              <w:bottom w:val="nil"/>
              <w:right w:val="nil"/>
            </w:tcBorders>
          </w:tcPr>
          <w:p w14:paraId="5A5FDC50"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34FEB126" w14:textId="77777777" w:rsidTr="009C7B47">
        <w:trPr>
          <w:jc w:val="center"/>
        </w:trPr>
        <w:tc>
          <w:tcPr>
            <w:tcW w:w="2977" w:type="dxa"/>
            <w:tcBorders>
              <w:left w:val="nil"/>
              <w:bottom w:val="nil"/>
              <w:right w:val="nil"/>
            </w:tcBorders>
          </w:tcPr>
          <w:p w14:paraId="052CA11D"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Propensity-Score Matched</w:t>
            </w:r>
          </w:p>
        </w:tc>
        <w:tc>
          <w:tcPr>
            <w:tcW w:w="2764" w:type="dxa"/>
            <w:tcBorders>
              <w:left w:val="nil"/>
              <w:bottom w:val="nil"/>
              <w:right w:val="nil"/>
            </w:tcBorders>
          </w:tcPr>
          <w:p w14:paraId="1C2D9706"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1C079195"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4" w:type="dxa"/>
            <w:tcBorders>
              <w:left w:val="nil"/>
              <w:bottom w:val="nil"/>
              <w:right w:val="nil"/>
            </w:tcBorders>
          </w:tcPr>
          <w:p w14:paraId="6968B0C8"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c>
          <w:tcPr>
            <w:tcW w:w="2765" w:type="dxa"/>
            <w:tcBorders>
              <w:left w:val="nil"/>
              <w:bottom w:val="nil"/>
              <w:right w:val="nil"/>
            </w:tcBorders>
          </w:tcPr>
          <w:p w14:paraId="7052D693"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Yes</w:t>
            </w:r>
          </w:p>
        </w:tc>
      </w:tr>
      <w:tr w:rsidR="00A3505C" w:rsidRPr="00A3505C" w14:paraId="5674E007" w14:textId="77777777" w:rsidTr="009C7B47">
        <w:trPr>
          <w:trHeight w:val="80"/>
          <w:jc w:val="center"/>
        </w:trPr>
        <w:tc>
          <w:tcPr>
            <w:tcW w:w="2977" w:type="dxa"/>
            <w:tcBorders>
              <w:top w:val="nil"/>
              <w:left w:val="nil"/>
              <w:right w:val="nil"/>
            </w:tcBorders>
          </w:tcPr>
          <w:p w14:paraId="29DEE070"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Observations</w:t>
            </w:r>
          </w:p>
        </w:tc>
        <w:tc>
          <w:tcPr>
            <w:tcW w:w="2764" w:type="dxa"/>
            <w:tcBorders>
              <w:top w:val="nil"/>
              <w:left w:val="nil"/>
              <w:right w:val="nil"/>
            </w:tcBorders>
          </w:tcPr>
          <w:p w14:paraId="6654F629"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16,678</w:t>
            </w:r>
          </w:p>
        </w:tc>
        <w:tc>
          <w:tcPr>
            <w:tcW w:w="2764" w:type="dxa"/>
            <w:tcBorders>
              <w:top w:val="nil"/>
              <w:left w:val="nil"/>
              <w:right w:val="nil"/>
            </w:tcBorders>
          </w:tcPr>
          <w:p w14:paraId="64747C0D"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16,678</w:t>
            </w:r>
          </w:p>
        </w:tc>
        <w:tc>
          <w:tcPr>
            <w:tcW w:w="2764" w:type="dxa"/>
            <w:tcBorders>
              <w:top w:val="nil"/>
              <w:left w:val="nil"/>
              <w:right w:val="nil"/>
            </w:tcBorders>
          </w:tcPr>
          <w:p w14:paraId="63C7F3E9"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18,638</w:t>
            </w:r>
          </w:p>
        </w:tc>
        <w:tc>
          <w:tcPr>
            <w:tcW w:w="2765" w:type="dxa"/>
            <w:tcBorders>
              <w:top w:val="nil"/>
              <w:left w:val="nil"/>
              <w:right w:val="nil"/>
            </w:tcBorders>
          </w:tcPr>
          <w:p w14:paraId="08E50EC9"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18,638</w:t>
            </w:r>
          </w:p>
        </w:tc>
      </w:tr>
      <w:tr w:rsidR="00A3505C" w:rsidRPr="00A3505C" w14:paraId="43FCDAF0" w14:textId="77777777" w:rsidTr="009C7B47">
        <w:tblPrEx>
          <w:tblBorders>
            <w:bottom w:val="single" w:sz="6" w:space="0" w:color="auto"/>
          </w:tblBorders>
        </w:tblPrEx>
        <w:trPr>
          <w:jc w:val="center"/>
        </w:trPr>
        <w:tc>
          <w:tcPr>
            <w:tcW w:w="2977" w:type="dxa"/>
            <w:tcBorders>
              <w:top w:val="nil"/>
              <w:left w:val="nil"/>
              <w:bottom w:val="single" w:sz="4" w:space="0" w:color="auto"/>
              <w:right w:val="nil"/>
            </w:tcBorders>
          </w:tcPr>
          <w:p w14:paraId="5CC3506C" w14:textId="77777777" w:rsidR="00044825" w:rsidRPr="00A3505C" w:rsidRDefault="00044825" w:rsidP="009C7B47">
            <w:pPr>
              <w:autoSpaceDE w:val="0"/>
              <w:autoSpaceDN w:val="0"/>
              <w:adjustRightInd w:val="0"/>
              <w:snapToGrid w:val="0"/>
              <w:spacing w:after="0" w:line="264" w:lineRule="auto"/>
              <w:rPr>
                <w:rFonts w:ascii="Times New Roman" w:hAnsi="Times New Roman" w:cs="Times New Roman"/>
                <w:sz w:val="18"/>
                <w:szCs w:val="18"/>
              </w:rPr>
            </w:pPr>
            <w:r w:rsidRPr="00A3505C">
              <w:rPr>
                <w:rFonts w:ascii="Times New Roman" w:hAnsi="Times New Roman" w:cs="Times New Roman"/>
                <w:sz w:val="18"/>
                <w:szCs w:val="18"/>
              </w:rPr>
              <w:t>Adjusted R</w:t>
            </w:r>
            <w:r w:rsidRPr="00A3505C">
              <w:rPr>
                <w:rFonts w:ascii="Times New Roman" w:hAnsi="Times New Roman" w:cs="Times New Roman"/>
                <w:sz w:val="18"/>
                <w:szCs w:val="18"/>
                <w:vertAlign w:val="superscript"/>
              </w:rPr>
              <w:t>2</w:t>
            </w:r>
          </w:p>
        </w:tc>
        <w:tc>
          <w:tcPr>
            <w:tcW w:w="2764" w:type="dxa"/>
            <w:tcBorders>
              <w:top w:val="nil"/>
              <w:left w:val="nil"/>
              <w:bottom w:val="single" w:sz="4" w:space="0" w:color="auto"/>
              <w:right w:val="nil"/>
            </w:tcBorders>
          </w:tcPr>
          <w:p w14:paraId="4BF11DF1"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0.248</w:t>
            </w:r>
          </w:p>
        </w:tc>
        <w:tc>
          <w:tcPr>
            <w:tcW w:w="2764" w:type="dxa"/>
            <w:tcBorders>
              <w:top w:val="nil"/>
              <w:left w:val="nil"/>
              <w:bottom w:val="single" w:sz="4" w:space="0" w:color="auto"/>
              <w:right w:val="nil"/>
            </w:tcBorders>
          </w:tcPr>
          <w:p w14:paraId="7C16972A"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0.208</w:t>
            </w:r>
          </w:p>
        </w:tc>
        <w:tc>
          <w:tcPr>
            <w:tcW w:w="2764" w:type="dxa"/>
            <w:tcBorders>
              <w:top w:val="nil"/>
              <w:left w:val="nil"/>
              <w:bottom w:val="single" w:sz="4" w:space="0" w:color="auto"/>
              <w:right w:val="nil"/>
            </w:tcBorders>
          </w:tcPr>
          <w:p w14:paraId="09B226B0"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0.246</w:t>
            </w:r>
          </w:p>
        </w:tc>
        <w:tc>
          <w:tcPr>
            <w:tcW w:w="2765" w:type="dxa"/>
            <w:tcBorders>
              <w:top w:val="nil"/>
              <w:left w:val="nil"/>
              <w:bottom w:val="single" w:sz="4" w:space="0" w:color="auto"/>
              <w:right w:val="nil"/>
            </w:tcBorders>
          </w:tcPr>
          <w:p w14:paraId="1282EE4E" w14:textId="77777777" w:rsidR="00044825" w:rsidRPr="00A3505C" w:rsidRDefault="00044825" w:rsidP="009C7B47">
            <w:pPr>
              <w:autoSpaceDE w:val="0"/>
              <w:autoSpaceDN w:val="0"/>
              <w:adjustRightInd w:val="0"/>
              <w:snapToGrid w:val="0"/>
              <w:spacing w:after="0" w:line="264" w:lineRule="auto"/>
              <w:jc w:val="center"/>
              <w:rPr>
                <w:rFonts w:ascii="Times New Roman" w:hAnsi="Times New Roman" w:cs="Times New Roman"/>
                <w:sz w:val="18"/>
                <w:szCs w:val="18"/>
              </w:rPr>
            </w:pPr>
            <w:r w:rsidRPr="00A3505C">
              <w:rPr>
                <w:rFonts w:ascii="Times New Roman" w:hAnsi="Times New Roman" w:cs="Times New Roman"/>
                <w:sz w:val="18"/>
                <w:szCs w:val="18"/>
              </w:rPr>
              <w:t>0.201</w:t>
            </w:r>
          </w:p>
        </w:tc>
      </w:tr>
    </w:tbl>
    <w:p w14:paraId="4735971A" w14:textId="5948C202" w:rsidR="00A46BEF" w:rsidRPr="00A3505C" w:rsidRDefault="002F6360" w:rsidP="007A50B5">
      <w:pPr>
        <w:adjustRightInd w:val="0"/>
        <w:snapToGrid w:val="0"/>
        <w:spacing w:before="120" w:after="0" w:line="240" w:lineRule="auto"/>
        <w:jc w:val="both"/>
        <w:rPr>
          <w:rFonts w:ascii="Times New Roman" w:hAnsi="Times New Roman" w:cs="Times New Roman"/>
          <w:sz w:val="20"/>
          <w:szCs w:val="20"/>
        </w:rPr>
        <w:sectPr w:rsidR="00A46BEF" w:rsidRPr="00A3505C" w:rsidSect="00000857">
          <w:pgSz w:w="16838" w:h="11906" w:orient="landscape"/>
          <w:pgMar w:top="1440" w:right="1440" w:bottom="1440" w:left="1440" w:header="709" w:footer="709" w:gutter="0"/>
          <w:cols w:space="708"/>
          <w:docGrid w:linePitch="360"/>
        </w:sectPr>
      </w:pPr>
      <w:r w:rsidRPr="00A3505C">
        <w:rPr>
          <w:rFonts w:ascii="Times New Roman" w:hAnsi="Times New Roman" w:cs="Times New Roman"/>
          <w:sz w:val="20"/>
          <w:szCs w:val="20"/>
        </w:rPr>
        <w:t>Note</w:t>
      </w:r>
      <w:r w:rsidR="00AE3F21" w:rsidRPr="00A3505C">
        <w:rPr>
          <w:rFonts w:ascii="Times New Roman" w:hAnsi="Times New Roman" w:cs="Times New Roman" w:hint="eastAsia"/>
          <w:sz w:val="20"/>
          <w:szCs w:val="20"/>
        </w:rPr>
        <w:t>s</w:t>
      </w:r>
      <w:r w:rsidRPr="00A3505C">
        <w:rPr>
          <w:rFonts w:ascii="Times New Roman" w:hAnsi="Times New Roman" w:cs="Times New Roman"/>
          <w:sz w:val="20"/>
          <w:szCs w:val="20"/>
        </w:rPr>
        <w:t>:</w:t>
      </w:r>
      <w:r w:rsidR="00F33503" w:rsidRPr="00A3505C">
        <w:rPr>
          <w:rFonts w:ascii="Times New Roman" w:hAnsi="Times New Roman" w:cs="Times New Roman"/>
          <w:sz w:val="20"/>
          <w:szCs w:val="20"/>
        </w:rPr>
        <w:t xml:space="preserve"> </w:t>
      </w:r>
      <w:r w:rsidR="0015329C" w:rsidRPr="00A3505C">
        <w:rPr>
          <w:rFonts w:ascii="Times New Roman" w:hAnsi="Times New Roman" w:cs="Times New Roman"/>
          <w:sz w:val="20"/>
          <w:szCs w:val="20"/>
        </w:rPr>
        <w:t>Panel A</w:t>
      </w:r>
      <w:r w:rsidR="00F33503" w:rsidRPr="00A3505C">
        <w:rPr>
          <w:rFonts w:ascii="Times New Roman" w:hAnsi="Times New Roman" w:cs="Times New Roman"/>
          <w:sz w:val="20"/>
          <w:szCs w:val="20"/>
        </w:rPr>
        <w:t xml:space="preserve"> shows the results of conducting </w:t>
      </w:r>
      <w:r w:rsidR="00CC30CE" w:rsidRPr="00A3505C">
        <w:rPr>
          <w:rFonts w:ascii="Times New Roman" w:hAnsi="Times New Roman" w:cs="Times New Roman"/>
          <w:sz w:val="20"/>
          <w:szCs w:val="20"/>
        </w:rPr>
        <w:t xml:space="preserve">an </w:t>
      </w:r>
      <w:r w:rsidR="00F33503" w:rsidRPr="00A3505C">
        <w:rPr>
          <w:rFonts w:ascii="Times New Roman" w:hAnsi="Times New Roman" w:cs="Times New Roman"/>
          <w:sz w:val="20"/>
          <w:szCs w:val="20"/>
        </w:rPr>
        <w:t xml:space="preserve">instrumental variable approach. </w:t>
      </w:r>
      <w:r w:rsidR="0042579C" w:rsidRPr="00A3505C">
        <w:rPr>
          <w:rFonts w:ascii="Times New Roman" w:hAnsi="Times New Roman" w:cs="Times New Roman"/>
          <w:sz w:val="20"/>
          <w:szCs w:val="20"/>
        </w:rPr>
        <w:t xml:space="preserve">Panel </w:t>
      </w:r>
      <w:r w:rsidR="00D247C1" w:rsidRPr="00A3505C">
        <w:rPr>
          <w:rFonts w:ascii="Times New Roman" w:hAnsi="Times New Roman" w:cs="Times New Roman"/>
          <w:sz w:val="20"/>
          <w:szCs w:val="20"/>
        </w:rPr>
        <w:t>B</w:t>
      </w:r>
      <w:r w:rsidR="0015329C" w:rsidRPr="00A3505C">
        <w:rPr>
          <w:rFonts w:ascii="Times New Roman" w:hAnsi="Times New Roman" w:cs="Times New Roman"/>
          <w:sz w:val="20"/>
          <w:szCs w:val="20"/>
        </w:rPr>
        <w:t xml:space="preserve"> shows the results of conducting the PSM approach. Appendix </w:t>
      </w:r>
      <w:r w:rsidR="00F61172" w:rsidRPr="00A3505C">
        <w:rPr>
          <w:rFonts w:ascii="Times New Roman" w:hAnsi="Times New Roman" w:cs="Times New Roman"/>
          <w:sz w:val="20"/>
          <w:szCs w:val="20"/>
        </w:rPr>
        <w:t>A</w:t>
      </w:r>
      <w:r w:rsidR="0015329C" w:rsidRPr="00A3505C">
        <w:rPr>
          <w:rFonts w:ascii="Times New Roman" w:hAnsi="Times New Roman" w:cs="Times New Roman"/>
          <w:sz w:val="20"/>
          <w:szCs w:val="20"/>
        </w:rPr>
        <w:t xml:space="preserve"> shows the definition of variables. The t-statistics are reported in parentheses. We adopt robust standard errors clustered at the firm level. *, **, and *** denote statistical significance at 10%, 5%, and 1% levels, respectively.</w:t>
      </w:r>
    </w:p>
    <w:p w14:paraId="03D3BEDC" w14:textId="3349C509" w:rsidR="0021694A" w:rsidRPr="00A3505C" w:rsidRDefault="000459E5" w:rsidP="00552A08">
      <w:pPr>
        <w:adjustRightInd w:val="0"/>
        <w:snapToGrid w:val="0"/>
        <w:spacing w:after="120" w:line="264" w:lineRule="auto"/>
        <w:jc w:val="center"/>
        <w:rPr>
          <w:rFonts w:ascii="Times New Roman" w:hAnsi="Times New Roman" w:cs="Times New Roman"/>
          <w:b/>
          <w:sz w:val="24"/>
          <w:szCs w:val="24"/>
        </w:rPr>
      </w:pPr>
      <w:r w:rsidRPr="00A3505C">
        <w:rPr>
          <w:rFonts w:ascii="Times New Roman" w:hAnsi="Times New Roman" w:cs="Times New Roman"/>
          <w:b/>
          <w:sz w:val="24"/>
          <w:szCs w:val="24"/>
        </w:rPr>
        <w:lastRenderedPageBreak/>
        <w:t>Appendix</w:t>
      </w:r>
      <w:r w:rsidR="0021694A" w:rsidRPr="00A3505C">
        <w:rPr>
          <w:rFonts w:ascii="Times New Roman" w:hAnsi="Times New Roman" w:cs="Times New Roman"/>
          <w:b/>
          <w:sz w:val="24"/>
          <w:szCs w:val="24"/>
        </w:rPr>
        <w:t xml:space="preserve"> </w:t>
      </w:r>
      <w:r w:rsidR="00F61172" w:rsidRPr="00A3505C">
        <w:rPr>
          <w:rFonts w:ascii="Times New Roman" w:hAnsi="Times New Roman" w:cs="Times New Roman"/>
          <w:b/>
          <w:sz w:val="24"/>
          <w:szCs w:val="24"/>
        </w:rPr>
        <w:t>A</w:t>
      </w:r>
      <w:r w:rsidR="0021694A" w:rsidRPr="00A3505C">
        <w:rPr>
          <w:rFonts w:ascii="Times New Roman" w:hAnsi="Times New Roman" w:cs="Times New Roman"/>
          <w:b/>
          <w:sz w:val="24"/>
          <w:szCs w:val="24"/>
        </w:rPr>
        <w:t>. Definition of variables</w:t>
      </w:r>
    </w:p>
    <w:tbl>
      <w:tblPr>
        <w:tblW w:w="5000" w:type="pct"/>
        <w:jc w:val="center"/>
        <w:tblLayout w:type="fixed"/>
        <w:tblLook w:val="04A0" w:firstRow="1" w:lastRow="0" w:firstColumn="1" w:lastColumn="0" w:noHBand="0" w:noVBand="1"/>
      </w:tblPr>
      <w:tblGrid>
        <w:gridCol w:w="3261"/>
        <w:gridCol w:w="10697"/>
      </w:tblGrid>
      <w:tr w:rsidR="00A3505C" w:rsidRPr="00A3505C" w14:paraId="1953CADA" w14:textId="77777777" w:rsidTr="00E37751">
        <w:trPr>
          <w:trHeight w:val="310"/>
          <w:jc w:val="center"/>
        </w:trPr>
        <w:tc>
          <w:tcPr>
            <w:tcW w:w="1168" w:type="pct"/>
            <w:tcBorders>
              <w:top w:val="single" w:sz="6" w:space="0" w:color="auto"/>
              <w:left w:val="nil"/>
              <w:bottom w:val="single" w:sz="4" w:space="0" w:color="auto"/>
              <w:right w:val="nil"/>
            </w:tcBorders>
          </w:tcPr>
          <w:p w14:paraId="6D4DB691" w14:textId="77777777" w:rsidR="0021694A" w:rsidRPr="00A3505C" w:rsidRDefault="0021694A" w:rsidP="006C53B9">
            <w:pPr>
              <w:adjustRightInd w:val="0"/>
              <w:snapToGrid w:val="0"/>
              <w:spacing w:after="0" w:line="240" w:lineRule="auto"/>
              <w:jc w:val="both"/>
              <w:rPr>
                <w:rFonts w:ascii="Times New Roman" w:hAnsi="Times New Roman" w:cs="Times New Roman"/>
                <w:bCs/>
                <w:sz w:val="20"/>
                <w:szCs w:val="20"/>
              </w:rPr>
            </w:pPr>
            <w:r w:rsidRPr="00A3505C">
              <w:rPr>
                <w:rFonts w:ascii="Times New Roman" w:hAnsi="Times New Roman" w:cs="Times New Roman"/>
                <w:bCs/>
                <w:sz w:val="20"/>
                <w:szCs w:val="20"/>
              </w:rPr>
              <w:t>Variable</w:t>
            </w:r>
          </w:p>
        </w:tc>
        <w:tc>
          <w:tcPr>
            <w:tcW w:w="3832" w:type="pct"/>
            <w:tcBorders>
              <w:top w:val="single" w:sz="6" w:space="0" w:color="auto"/>
              <w:left w:val="nil"/>
              <w:bottom w:val="single" w:sz="4" w:space="0" w:color="auto"/>
              <w:right w:val="nil"/>
            </w:tcBorders>
          </w:tcPr>
          <w:p w14:paraId="5961D5CC" w14:textId="77777777" w:rsidR="0021694A" w:rsidRPr="00A3505C" w:rsidRDefault="0021694A" w:rsidP="006C53B9">
            <w:pPr>
              <w:adjustRightInd w:val="0"/>
              <w:snapToGrid w:val="0"/>
              <w:spacing w:after="0" w:line="240" w:lineRule="auto"/>
              <w:jc w:val="both"/>
              <w:rPr>
                <w:rFonts w:ascii="Times New Roman" w:hAnsi="Times New Roman" w:cs="Times New Roman"/>
                <w:bCs/>
                <w:sz w:val="20"/>
                <w:szCs w:val="20"/>
              </w:rPr>
            </w:pPr>
            <w:r w:rsidRPr="00A3505C">
              <w:rPr>
                <w:rFonts w:ascii="Times New Roman" w:hAnsi="Times New Roman" w:cs="Times New Roman"/>
                <w:bCs/>
                <w:sz w:val="20"/>
                <w:szCs w:val="20"/>
              </w:rPr>
              <w:t>Definition</w:t>
            </w:r>
          </w:p>
        </w:tc>
      </w:tr>
      <w:tr w:rsidR="00A3505C" w:rsidRPr="00A3505C" w14:paraId="2F8949BB" w14:textId="77777777" w:rsidTr="00E37751">
        <w:trPr>
          <w:trHeight w:val="299"/>
          <w:jc w:val="center"/>
        </w:trPr>
        <w:tc>
          <w:tcPr>
            <w:tcW w:w="5000" w:type="pct"/>
            <w:gridSpan w:val="2"/>
            <w:tcBorders>
              <w:left w:val="nil"/>
              <w:right w:val="nil"/>
            </w:tcBorders>
          </w:tcPr>
          <w:p w14:paraId="3E99DB92" w14:textId="77777777" w:rsidR="0021694A" w:rsidRPr="00A3505C" w:rsidRDefault="0021694A" w:rsidP="006C53B9">
            <w:pPr>
              <w:adjustRightInd w:val="0"/>
              <w:snapToGrid w:val="0"/>
              <w:spacing w:after="0" w:line="240" w:lineRule="auto"/>
              <w:jc w:val="both"/>
              <w:rPr>
                <w:rFonts w:ascii="Times New Roman" w:hAnsi="Times New Roman" w:cs="Times New Roman"/>
                <w:b/>
                <w:bCs/>
                <w:sz w:val="20"/>
                <w:szCs w:val="20"/>
              </w:rPr>
            </w:pPr>
            <w:r w:rsidRPr="00A3505C">
              <w:rPr>
                <w:rFonts w:ascii="Times New Roman" w:hAnsi="Times New Roman" w:cs="Times New Roman"/>
                <w:b/>
                <w:bCs/>
                <w:sz w:val="20"/>
                <w:szCs w:val="20"/>
              </w:rPr>
              <w:t>Outcome and treatment variables</w:t>
            </w:r>
          </w:p>
        </w:tc>
      </w:tr>
      <w:tr w:rsidR="00A3505C" w:rsidRPr="00A3505C" w14:paraId="6F6DD496" w14:textId="77777777" w:rsidTr="00E37751">
        <w:trPr>
          <w:trHeight w:val="299"/>
          <w:jc w:val="center"/>
        </w:trPr>
        <w:tc>
          <w:tcPr>
            <w:tcW w:w="1168" w:type="pct"/>
            <w:tcBorders>
              <w:left w:val="nil"/>
              <w:right w:val="nil"/>
            </w:tcBorders>
          </w:tcPr>
          <w:p w14:paraId="40DE4EAB" w14:textId="0033E78C" w:rsidR="0021694A" w:rsidRPr="00A3505C" w:rsidRDefault="0021694A"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 xml:space="preserve">Green </w:t>
            </w:r>
            <w:r w:rsidR="003E3947" w:rsidRPr="00A3505C">
              <w:rPr>
                <w:rFonts w:ascii="Times New Roman" w:hAnsi="Times New Roman" w:cs="Times New Roman"/>
                <w:i/>
                <w:sz w:val="20"/>
                <w:szCs w:val="20"/>
              </w:rPr>
              <w:t>Revenues Dummy</w:t>
            </w:r>
          </w:p>
        </w:tc>
        <w:tc>
          <w:tcPr>
            <w:tcW w:w="3832" w:type="pct"/>
            <w:tcBorders>
              <w:left w:val="nil"/>
              <w:right w:val="nil"/>
            </w:tcBorders>
          </w:tcPr>
          <w:p w14:paraId="2B7CD7C1" w14:textId="5F294E23" w:rsidR="0021694A" w:rsidRPr="00A3505C" w:rsidRDefault="0021694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indicator variable of firms’ green revenues equals one when firm</w:t>
            </w:r>
            <w:r w:rsidR="00895631" w:rsidRPr="00A3505C">
              <w:rPr>
                <w:rFonts w:ascii="Times New Roman" w:hAnsi="Times New Roman" w:cs="Times New Roman"/>
                <w:sz w:val="20"/>
                <w:szCs w:val="20"/>
              </w:rPr>
              <w:t>-year observations</w:t>
            </w:r>
            <w:r w:rsidRPr="00A3505C">
              <w:rPr>
                <w:rFonts w:ascii="Times New Roman" w:hAnsi="Times New Roman" w:cs="Times New Roman"/>
                <w:sz w:val="20"/>
                <w:szCs w:val="20"/>
              </w:rPr>
              <w:t xml:space="preserve"> </w:t>
            </w:r>
            <w:r w:rsidR="00116C9E" w:rsidRPr="00A3505C">
              <w:rPr>
                <w:rFonts w:ascii="Times New Roman" w:hAnsi="Times New Roman" w:cs="Times New Roman"/>
                <w:sz w:val="20"/>
                <w:szCs w:val="20"/>
              </w:rPr>
              <w:t>derive</w:t>
            </w:r>
            <w:r w:rsidRPr="00A3505C">
              <w:rPr>
                <w:rFonts w:ascii="Times New Roman" w:hAnsi="Times New Roman" w:cs="Times New Roman"/>
                <w:sz w:val="20"/>
                <w:szCs w:val="20"/>
              </w:rPr>
              <w:t xml:space="preserve"> revenues from green-related businesses, and zero otherwise </w:t>
            </w:r>
          </w:p>
        </w:tc>
      </w:tr>
      <w:tr w:rsidR="00A3505C" w:rsidRPr="00A3505C" w14:paraId="14006EC8" w14:textId="77777777" w:rsidTr="00E37751">
        <w:trPr>
          <w:trHeight w:val="299"/>
          <w:jc w:val="center"/>
        </w:trPr>
        <w:tc>
          <w:tcPr>
            <w:tcW w:w="1168" w:type="pct"/>
            <w:tcBorders>
              <w:left w:val="nil"/>
              <w:right w:val="nil"/>
            </w:tcBorders>
          </w:tcPr>
          <w:p w14:paraId="638177A6" w14:textId="12EA3114" w:rsidR="0021694A" w:rsidRPr="00A3505C" w:rsidRDefault="0021694A"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i/>
                <w:iCs/>
                <w:sz w:val="20"/>
                <w:szCs w:val="20"/>
              </w:rPr>
              <w:t xml:space="preserve">Green </w:t>
            </w:r>
            <w:r w:rsidR="003E3947" w:rsidRPr="00A3505C">
              <w:rPr>
                <w:rFonts w:ascii="Times New Roman" w:hAnsi="Times New Roman" w:cs="Times New Roman"/>
                <w:i/>
                <w:sz w:val="20"/>
                <w:szCs w:val="20"/>
              </w:rPr>
              <w:t>Revenues</w:t>
            </w:r>
            <w:r w:rsidR="003E3947" w:rsidRPr="00A3505C">
              <w:rPr>
                <w:rFonts w:ascii="Times New Roman" w:hAnsi="Times New Roman" w:cs="Times New Roman"/>
                <w:i/>
                <w:sz w:val="20"/>
                <w:szCs w:val="20"/>
                <w:vertAlign w:val="superscript"/>
              </w:rPr>
              <w:t xml:space="preserve"> </w:t>
            </w:r>
            <w:r w:rsidR="003E3947" w:rsidRPr="00A3505C">
              <w:rPr>
                <w:rFonts w:ascii="Times New Roman" w:hAnsi="Times New Roman" w:cs="Times New Roman"/>
                <w:i/>
                <w:sz w:val="20"/>
                <w:szCs w:val="20"/>
              </w:rPr>
              <w:t>Ratio</w:t>
            </w:r>
          </w:p>
        </w:tc>
        <w:tc>
          <w:tcPr>
            <w:tcW w:w="3832" w:type="pct"/>
            <w:tcBorders>
              <w:left w:val="nil"/>
              <w:right w:val="nil"/>
            </w:tcBorders>
          </w:tcPr>
          <w:p w14:paraId="78D81090" w14:textId="3A343AE5" w:rsidR="0021694A" w:rsidRPr="00A3505C" w:rsidRDefault="0021694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w:t>
            </w:r>
            <w:r w:rsidR="0019394D" w:rsidRPr="00A3505C">
              <w:rPr>
                <w:rFonts w:ascii="Times New Roman" w:hAnsi="Times New Roman" w:cs="Times New Roman"/>
                <w:sz w:val="20"/>
                <w:szCs w:val="20"/>
              </w:rPr>
              <w:t>ratio of</w:t>
            </w:r>
            <w:r w:rsidRPr="00A3505C">
              <w:rPr>
                <w:rFonts w:ascii="Times New Roman" w:hAnsi="Times New Roman" w:cs="Times New Roman"/>
                <w:sz w:val="20"/>
                <w:szCs w:val="20"/>
              </w:rPr>
              <w:t xml:space="preserve"> firms’ green revenues </w:t>
            </w:r>
            <w:r w:rsidR="0019394D" w:rsidRPr="00A3505C">
              <w:rPr>
                <w:rFonts w:ascii="Times New Roman" w:hAnsi="Times New Roman" w:cs="Times New Roman"/>
                <w:sz w:val="20"/>
                <w:szCs w:val="20"/>
              </w:rPr>
              <w:t>to</w:t>
            </w:r>
            <w:r w:rsidRPr="00A3505C">
              <w:rPr>
                <w:rFonts w:ascii="Times New Roman" w:hAnsi="Times New Roman" w:cs="Times New Roman"/>
                <w:sz w:val="20"/>
                <w:szCs w:val="20"/>
              </w:rPr>
              <w:t xml:space="preserve"> total revenues</w:t>
            </w:r>
          </w:p>
        </w:tc>
      </w:tr>
      <w:tr w:rsidR="00A3505C" w:rsidRPr="00A3505C" w14:paraId="55593E1B" w14:textId="77777777" w:rsidTr="00E37751">
        <w:trPr>
          <w:trHeight w:val="299"/>
          <w:jc w:val="center"/>
        </w:trPr>
        <w:tc>
          <w:tcPr>
            <w:tcW w:w="1168" w:type="pct"/>
            <w:tcBorders>
              <w:left w:val="nil"/>
              <w:right w:val="nil"/>
            </w:tcBorders>
          </w:tcPr>
          <w:p w14:paraId="6FA6BBE8" w14:textId="5A9ED80D" w:rsidR="0051600F" w:rsidRPr="00A3505C" w:rsidRDefault="0051600F" w:rsidP="006C53B9">
            <w:pPr>
              <w:adjustRightInd w:val="0"/>
              <w:snapToGrid w:val="0"/>
              <w:spacing w:after="0" w:line="240" w:lineRule="auto"/>
              <w:jc w:val="both"/>
              <w:rPr>
                <w:rFonts w:ascii="Times New Roman" w:hAnsi="Times New Roman" w:cs="Times New Roman"/>
                <w:bCs/>
                <w:i/>
                <w:iCs/>
                <w:sz w:val="20"/>
                <w:szCs w:val="20"/>
              </w:rPr>
            </w:pPr>
            <w:r w:rsidRPr="00A3505C">
              <w:rPr>
                <w:rFonts w:ascii="Times New Roman" w:hAnsi="Times New Roman" w:cs="Times New Roman"/>
                <w:bCs/>
                <w:i/>
                <w:sz w:val="20"/>
                <w:szCs w:val="20"/>
              </w:rPr>
              <w:t>Growth</w:t>
            </w:r>
            <w:r w:rsidRPr="00A3505C">
              <w:rPr>
                <w:rFonts w:ascii="Times New Roman" w:hAnsi="Times New Roman" w:cs="Times New Roman"/>
                <w:bCs/>
                <w:i/>
                <w:iCs/>
                <w:sz w:val="20"/>
                <w:szCs w:val="20"/>
              </w:rPr>
              <w:t xml:space="preserve"> v. Profit and </w:t>
            </w:r>
            <w:r w:rsidR="00CE5C57" w:rsidRPr="00A3505C">
              <w:rPr>
                <w:rFonts w:ascii="Times New Roman" w:hAnsi="Times New Roman" w:cs="Times New Roman"/>
                <w:i/>
                <w:iCs/>
                <w:sz w:val="18"/>
                <w:szCs w:val="18"/>
              </w:rPr>
              <w:t>Neither-Nor</w:t>
            </w:r>
          </w:p>
        </w:tc>
        <w:tc>
          <w:tcPr>
            <w:tcW w:w="3832" w:type="pct"/>
            <w:tcBorders>
              <w:left w:val="nil"/>
              <w:right w:val="nil"/>
            </w:tcBorders>
          </w:tcPr>
          <w:p w14:paraId="6A839788" w14:textId="051CF211" w:rsidR="0051600F" w:rsidRPr="00A3505C" w:rsidRDefault="0051600F"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indicator variable is assigned a value of one when a firm’s sales growth exceeds the industry average based on </w:t>
            </w:r>
            <w:r w:rsidR="000458B0" w:rsidRPr="00A3505C">
              <w:rPr>
                <w:rFonts w:ascii="Times New Roman" w:hAnsi="Times New Roman" w:cs="Times New Roman"/>
                <w:sz w:val="20"/>
                <w:szCs w:val="20"/>
              </w:rPr>
              <w:t xml:space="preserve">the </w:t>
            </w:r>
            <w:r w:rsidRPr="00A3505C">
              <w:rPr>
                <w:rFonts w:ascii="Times New Roman" w:hAnsi="Times New Roman" w:cs="Times New Roman"/>
                <w:sz w:val="20"/>
                <w:szCs w:val="20"/>
              </w:rPr>
              <w:t>three-digit CSRC 2012 Industry Classification</w:t>
            </w:r>
            <w:r w:rsidR="000458B0" w:rsidRPr="00A3505C">
              <w:rPr>
                <w:rFonts w:ascii="Times New Roman" w:hAnsi="Times New Roman" w:cs="Times New Roman"/>
                <w:sz w:val="20"/>
                <w:szCs w:val="20"/>
              </w:rPr>
              <w:t>,</w:t>
            </w:r>
            <w:r w:rsidRPr="00A3505C">
              <w:rPr>
                <w:rFonts w:ascii="Times New Roman" w:hAnsi="Times New Roman" w:cs="Times New Roman"/>
                <w:sz w:val="20"/>
                <w:szCs w:val="20"/>
              </w:rPr>
              <w:t xml:space="preserve"> while its profit falls below the industry average based on </w:t>
            </w:r>
            <w:r w:rsidR="000458B0" w:rsidRPr="00A3505C">
              <w:rPr>
                <w:rFonts w:ascii="Times New Roman" w:hAnsi="Times New Roman" w:cs="Times New Roman"/>
                <w:sz w:val="20"/>
                <w:szCs w:val="20"/>
              </w:rPr>
              <w:t xml:space="preserve">the </w:t>
            </w:r>
            <w:r w:rsidRPr="00A3505C">
              <w:rPr>
                <w:rFonts w:ascii="Times New Roman" w:hAnsi="Times New Roman" w:cs="Times New Roman"/>
                <w:sz w:val="20"/>
                <w:szCs w:val="20"/>
              </w:rPr>
              <w:t>three-digit CSRC 2012 Industry Classification, and zero otherwise</w:t>
            </w:r>
          </w:p>
        </w:tc>
      </w:tr>
      <w:tr w:rsidR="00A3505C" w:rsidRPr="00A3505C" w14:paraId="3ECF8EB4" w14:textId="77777777" w:rsidTr="00E37751">
        <w:trPr>
          <w:trHeight w:val="299"/>
          <w:jc w:val="center"/>
        </w:trPr>
        <w:tc>
          <w:tcPr>
            <w:tcW w:w="1168" w:type="pct"/>
            <w:tcBorders>
              <w:left w:val="nil"/>
              <w:right w:val="nil"/>
            </w:tcBorders>
          </w:tcPr>
          <w:p w14:paraId="5BB07BC1" w14:textId="3758CA35" w:rsidR="0051600F" w:rsidRPr="00A3505C" w:rsidRDefault="0051600F" w:rsidP="006C53B9">
            <w:pPr>
              <w:adjustRightInd w:val="0"/>
              <w:snapToGrid w:val="0"/>
              <w:spacing w:after="0" w:line="240" w:lineRule="auto"/>
              <w:jc w:val="both"/>
              <w:rPr>
                <w:rFonts w:ascii="Times New Roman" w:hAnsi="Times New Roman" w:cs="Times New Roman"/>
                <w:bCs/>
                <w:i/>
                <w:iCs/>
                <w:sz w:val="20"/>
                <w:szCs w:val="20"/>
              </w:rPr>
            </w:pPr>
            <w:r w:rsidRPr="00A3505C">
              <w:rPr>
                <w:rFonts w:ascii="Times New Roman" w:hAnsi="Times New Roman" w:cs="Times New Roman"/>
                <w:bCs/>
                <w:i/>
                <w:sz w:val="20"/>
                <w:szCs w:val="20"/>
              </w:rPr>
              <w:t>Profit</w:t>
            </w:r>
            <w:r w:rsidRPr="00A3505C">
              <w:rPr>
                <w:rFonts w:ascii="Times New Roman" w:hAnsi="Times New Roman" w:cs="Times New Roman"/>
                <w:bCs/>
                <w:i/>
                <w:iCs/>
                <w:sz w:val="20"/>
                <w:szCs w:val="20"/>
              </w:rPr>
              <w:t xml:space="preserve"> v. Growth and </w:t>
            </w:r>
            <w:r w:rsidR="00CE5C57" w:rsidRPr="00A3505C">
              <w:rPr>
                <w:rFonts w:ascii="Times New Roman" w:hAnsi="Times New Roman" w:cs="Times New Roman"/>
                <w:i/>
                <w:iCs/>
                <w:sz w:val="18"/>
                <w:szCs w:val="18"/>
              </w:rPr>
              <w:t>Neither-Nor</w:t>
            </w:r>
          </w:p>
        </w:tc>
        <w:tc>
          <w:tcPr>
            <w:tcW w:w="3832" w:type="pct"/>
            <w:tcBorders>
              <w:left w:val="nil"/>
              <w:right w:val="nil"/>
            </w:tcBorders>
          </w:tcPr>
          <w:p w14:paraId="1C88952D" w14:textId="2B9C5C88" w:rsidR="0051600F" w:rsidRPr="00A3505C" w:rsidRDefault="0051600F"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indicator variable is assigned a value of one when a firm’s profit exceeds the industry average based on </w:t>
            </w:r>
            <w:r w:rsidR="000458B0" w:rsidRPr="00A3505C">
              <w:rPr>
                <w:rFonts w:ascii="Times New Roman" w:hAnsi="Times New Roman" w:cs="Times New Roman"/>
                <w:sz w:val="20"/>
                <w:szCs w:val="20"/>
              </w:rPr>
              <w:t xml:space="preserve">the </w:t>
            </w:r>
            <w:r w:rsidRPr="00A3505C">
              <w:rPr>
                <w:rFonts w:ascii="Times New Roman" w:hAnsi="Times New Roman" w:cs="Times New Roman"/>
                <w:sz w:val="20"/>
                <w:szCs w:val="20"/>
              </w:rPr>
              <w:t>three-digit CSRC 2012 Industry Classification</w:t>
            </w:r>
            <w:r w:rsidR="000458B0" w:rsidRPr="00A3505C">
              <w:rPr>
                <w:rFonts w:ascii="Times New Roman" w:hAnsi="Times New Roman" w:cs="Times New Roman"/>
                <w:sz w:val="20"/>
                <w:szCs w:val="20"/>
              </w:rPr>
              <w:t>,</w:t>
            </w:r>
            <w:r w:rsidRPr="00A3505C">
              <w:rPr>
                <w:rFonts w:ascii="Times New Roman" w:hAnsi="Times New Roman" w:cs="Times New Roman"/>
                <w:sz w:val="20"/>
                <w:szCs w:val="20"/>
              </w:rPr>
              <w:t xml:space="preserve"> while its sales growth falls below the industry average based on </w:t>
            </w:r>
            <w:r w:rsidR="000458B0" w:rsidRPr="00A3505C">
              <w:rPr>
                <w:rFonts w:ascii="Times New Roman" w:hAnsi="Times New Roman" w:cs="Times New Roman"/>
                <w:sz w:val="20"/>
                <w:szCs w:val="20"/>
              </w:rPr>
              <w:t xml:space="preserve">the </w:t>
            </w:r>
            <w:r w:rsidRPr="00A3505C">
              <w:rPr>
                <w:rFonts w:ascii="Times New Roman" w:hAnsi="Times New Roman" w:cs="Times New Roman"/>
                <w:sz w:val="20"/>
                <w:szCs w:val="20"/>
              </w:rPr>
              <w:t>three-digit CSRC 2012 Industry Classification, and zero otherwise</w:t>
            </w:r>
          </w:p>
        </w:tc>
      </w:tr>
      <w:tr w:rsidR="00A3505C" w:rsidRPr="00A3505C" w14:paraId="1D2E2A73" w14:textId="77777777" w:rsidTr="00E37751">
        <w:trPr>
          <w:trHeight w:val="299"/>
          <w:jc w:val="center"/>
        </w:trPr>
        <w:tc>
          <w:tcPr>
            <w:tcW w:w="1168" w:type="pct"/>
            <w:tcBorders>
              <w:left w:val="nil"/>
              <w:right w:val="nil"/>
            </w:tcBorders>
          </w:tcPr>
          <w:p w14:paraId="3A545DD6" w14:textId="17E45895" w:rsidR="00472EC9" w:rsidRPr="00A3505C" w:rsidRDefault="00E8091E"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bCs/>
                <w:i/>
                <w:sz w:val="20"/>
                <w:szCs w:val="20"/>
              </w:rPr>
              <w:t>Growth</w:t>
            </w:r>
            <w:r w:rsidRPr="00A3505C">
              <w:rPr>
                <w:rFonts w:ascii="Times New Roman" w:hAnsi="Times New Roman" w:cs="Times New Roman"/>
                <w:bCs/>
                <w:i/>
                <w:iCs/>
                <w:sz w:val="20"/>
                <w:szCs w:val="20"/>
              </w:rPr>
              <w:t xml:space="preserve"> v. Profit and </w:t>
            </w:r>
            <w:r w:rsidR="00CE5C57" w:rsidRPr="00A3505C">
              <w:rPr>
                <w:rFonts w:ascii="Times New Roman" w:hAnsi="Times New Roman" w:cs="Times New Roman"/>
                <w:i/>
                <w:iCs/>
                <w:sz w:val="18"/>
                <w:szCs w:val="18"/>
              </w:rPr>
              <w:t>Neither-Nor</w:t>
            </w:r>
            <w:r w:rsidRPr="00A3505C">
              <w:rPr>
                <w:rFonts w:ascii="Times New Roman" w:hAnsi="Times New Roman" w:cs="Times New Roman"/>
                <w:bCs/>
                <w:i/>
                <w:iCs/>
                <w:sz w:val="20"/>
                <w:szCs w:val="20"/>
              </w:rPr>
              <w:t>2</w:t>
            </w:r>
          </w:p>
        </w:tc>
        <w:tc>
          <w:tcPr>
            <w:tcW w:w="3832" w:type="pct"/>
            <w:tcBorders>
              <w:left w:val="nil"/>
              <w:right w:val="nil"/>
            </w:tcBorders>
          </w:tcPr>
          <w:p w14:paraId="51A0B435" w14:textId="14E850B4" w:rsidR="00472EC9" w:rsidRPr="00A3505C" w:rsidRDefault="00472EC9"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indicator variable is assigned a value of one when a firm’s sales growth exceeds the sample median</w:t>
            </w:r>
            <w:r w:rsidR="000458B0" w:rsidRPr="00A3505C">
              <w:rPr>
                <w:rFonts w:ascii="Times New Roman" w:hAnsi="Times New Roman" w:cs="Times New Roman"/>
                <w:sz w:val="20"/>
                <w:szCs w:val="20"/>
              </w:rPr>
              <w:t>,</w:t>
            </w:r>
            <w:r w:rsidRPr="00A3505C">
              <w:rPr>
                <w:rFonts w:ascii="Times New Roman" w:hAnsi="Times New Roman" w:cs="Times New Roman"/>
                <w:sz w:val="20"/>
                <w:szCs w:val="20"/>
              </w:rPr>
              <w:t xml:space="preserve"> while its profit falls below the sample median, and zero otherwise</w:t>
            </w:r>
          </w:p>
        </w:tc>
      </w:tr>
      <w:tr w:rsidR="00A3505C" w:rsidRPr="00A3505C" w14:paraId="579E4E6D" w14:textId="77777777" w:rsidTr="00E37751">
        <w:trPr>
          <w:trHeight w:val="299"/>
          <w:jc w:val="center"/>
        </w:trPr>
        <w:tc>
          <w:tcPr>
            <w:tcW w:w="1168" w:type="pct"/>
            <w:tcBorders>
              <w:left w:val="nil"/>
              <w:right w:val="nil"/>
            </w:tcBorders>
          </w:tcPr>
          <w:p w14:paraId="32FFD534" w14:textId="2E270D05" w:rsidR="00472EC9" w:rsidRPr="00A3505C" w:rsidRDefault="00E8091E"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bCs/>
                <w:i/>
                <w:sz w:val="20"/>
                <w:szCs w:val="20"/>
              </w:rPr>
              <w:t>Profit</w:t>
            </w:r>
            <w:r w:rsidRPr="00A3505C">
              <w:rPr>
                <w:rFonts w:ascii="Times New Roman" w:hAnsi="Times New Roman" w:cs="Times New Roman"/>
                <w:bCs/>
                <w:i/>
                <w:iCs/>
                <w:sz w:val="20"/>
                <w:szCs w:val="20"/>
              </w:rPr>
              <w:t xml:space="preserve"> v. Growth and </w:t>
            </w:r>
            <w:r w:rsidR="00CE5C57" w:rsidRPr="00A3505C">
              <w:rPr>
                <w:rFonts w:ascii="Times New Roman" w:hAnsi="Times New Roman" w:cs="Times New Roman"/>
                <w:i/>
                <w:iCs/>
                <w:sz w:val="18"/>
                <w:szCs w:val="18"/>
              </w:rPr>
              <w:t>Neither-Nor</w:t>
            </w:r>
            <w:r w:rsidRPr="00A3505C">
              <w:rPr>
                <w:rFonts w:ascii="Times New Roman" w:hAnsi="Times New Roman" w:cs="Times New Roman"/>
                <w:bCs/>
                <w:i/>
                <w:iCs/>
                <w:sz w:val="20"/>
                <w:szCs w:val="20"/>
              </w:rPr>
              <w:t>2</w:t>
            </w:r>
          </w:p>
        </w:tc>
        <w:tc>
          <w:tcPr>
            <w:tcW w:w="3832" w:type="pct"/>
            <w:tcBorders>
              <w:left w:val="nil"/>
              <w:right w:val="nil"/>
            </w:tcBorders>
          </w:tcPr>
          <w:p w14:paraId="1BA3025C" w14:textId="716D1D3B" w:rsidR="00472EC9" w:rsidRPr="00A3505C" w:rsidRDefault="00472EC9"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indicator variable is assigned a value of one when a firm’s profit exceeds the sample median</w:t>
            </w:r>
            <w:r w:rsidR="000458B0" w:rsidRPr="00A3505C">
              <w:rPr>
                <w:rFonts w:ascii="Times New Roman" w:hAnsi="Times New Roman" w:cs="Times New Roman"/>
                <w:sz w:val="20"/>
                <w:szCs w:val="20"/>
              </w:rPr>
              <w:t>,</w:t>
            </w:r>
            <w:r w:rsidRPr="00A3505C">
              <w:rPr>
                <w:rFonts w:ascii="Times New Roman" w:hAnsi="Times New Roman" w:cs="Times New Roman"/>
                <w:sz w:val="20"/>
                <w:szCs w:val="20"/>
              </w:rPr>
              <w:t xml:space="preserve"> while its sales growth falls below the sample median, and zero otherwise</w:t>
            </w:r>
          </w:p>
        </w:tc>
      </w:tr>
      <w:tr w:rsidR="00A3505C" w:rsidRPr="00A3505C" w14:paraId="150A7AFE" w14:textId="77777777" w:rsidTr="00E37751">
        <w:trPr>
          <w:trHeight w:val="299"/>
          <w:jc w:val="center"/>
        </w:trPr>
        <w:tc>
          <w:tcPr>
            <w:tcW w:w="1168" w:type="pct"/>
            <w:tcBorders>
              <w:left w:val="nil"/>
              <w:right w:val="nil"/>
            </w:tcBorders>
          </w:tcPr>
          <w:p w14:paraId="3455830D" w14:textId="2B2B37D5" w:rsidR="000C3465" w:rsidRPr="00A3505C" w:rsidRDefault="000C3465" w:rsidP="006C53B9">
            <w:pPr>
              <w:adjustRightInd w:val="0"/>
              <w:snapToGrid w:val="0"/>
              <w:spacing w:after="0" w:line="240" w:lineRule="auto"/>
              <w:jc w:val="both"/>
              <w:rPr>
                <w:rFonts w:ascii="Times New Roman" w:hAnsi="Times New Roman" w:cs="Times New Roman"/>
                <w:bCs/>
                <w:i/>
                <w:sz w:val="20"/>
                <w:szCs w:val="20"/>
              </w:rPr>
            </w:pPr>
            <w:r w:rsidRPr="00A3505C">
              <w:rPr>
                <w:rFonts w:ascii="Times New Roman" w:hAnsi="Times New Roman" w:cs="Times New Roman"/>
                <w:bCs/>
                <w:i/>
                <w:sz w:val="20"/>
                <w:szCs w:val="20"/>
              </w:rPr>
              <w:t>Growth</w:t>
            </w:r>
            <w:r w:rsidRPr="00A3505C">
              <w:rPr>
                <w:rFonts w:ascii="Times New Roman" w:hAnsi="Times New Roman" w:cs="Times New Roman"/>
                <w:bCs/>
                <w:i/>
                <w:iCs/>
                <w:sz w:val="20"/>
                <w:szCs w:val="20"/>
              </w:rPr>
              <w:t xml:space="preserve"> v. Profit and </w:t>
            </w:r>
            <w:r w:rsidR="00CE5C57" w:rsidRPr="00A3505C">
              <w:rPr>
                <w:rFonts w:ascii="Times New Roman" w:hAnsi="Times New Roman" w:cs="Times New Roman"/>
                <w:i/>
                <w:iCs/>
                <w:sz w:val="18"/>
                <w:szCs w:val="18"/>
              </w:rPr>
              <w:t>Neither-Nor</w:t>
            </w:r>
            <w:r w:rsidR="007F64B4" w:rsidRPr="00A3505C">
              <w:rPr>
                <w:rFonts w:ascii="Times New Roman" w:hAnsi="Times New Roman" w:cs="Times New Roman"/>
                <w:bCs/>
                <w:i/>
                <w:iCs/>
                <w:sz w:val="20"/>
                <w:szCs w:val="20"/>
              </w:rPr>
              <w:t>3</w:t>
            </w:r>
          </w:p>
        </w:tc>
        <w:tc>
          <w:tcPr>
            <w:tcW w:w="3832" w:type="pct"/>
            <w:tcBorders>
              <w:left w:val="nil"/>
              <w:right w:val="nil"/>
            </w:tcBorders>
          </w:tcPr>
          <w:p w14:paraId="4F91522D" w14:textId="2975BCD0" w:rsidR="000C3465" w:rsidRPr="00A3505C" w:rsidRDefault="000C3465"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indicator variable is assigned a value of one when a firm’s sales growth exceeds the industry average </w:t>
            </w:r>
            <w:r w:rsidR="00D2605B" w:rsidRPr="00A3505C">
              <w:rPr>
                <w:rFonts w:ascii="Times New Roman" w:hAnsi="Times New Roman" w:cs="Times New Roman"/>
                <w:sz w:val="20"/>
                <w:szCs w:val="20"/>
              </w:rPr>
              <w:t xml:space="preserve">based on </w:t>
            </w:r>
            <w:r w:rsidR="000F7692" w:rsidRPr="00A3505C">
              <w:rPr>
                <w:rFonts w:ascii="Times New Roman" w:hAnsi="Times New Roman" w:cs="Times New Roman"/>
                <w:sz w:val="20"/>
                <w:szCs w:val="20"/>
              </w:rPr>
              <w:t>one-digit CSRC 2012 Industry Classification</w:t>
            </w:r>
            <w:r w:rsidR="009513AE" w:rsidRPr="00A3505C">
              <w:rPr>
                <w:rFonts w:ascii="Times New Roman" w:hAnsi="Times New Roman" w:cs="Times New Roman"/>
                <w:sz w:val="20"/>
                <w:szCs w:val="20"/>
              </w:rPr>
              <w:t>,</w:t>
            </w:r>
            <w:r w:rsidR="000F7692" w:rsidRPr="00A3505C">
              <w:rPr>
                <w:rFonts w:ascii="Times New Roman" w:hAnsi="Times New Roman" w:cs="Times New Roman"/>
                <w:sz w:val="20"/>
                <w:szCs w:val="20"/>
              </w:rPr>
              <w:t xml:space="preserve"> </w:t>
            </w:r>
            <w:r w:rsidRPr="00A3505C">
              <w:rPr>
                <w:rFonts w:ascii="Times New Roman" w:hAnsi="Times New Roman" w:cs="Times New Roman"/>
                <w:sz w:val="20"/>
                <w:szCs w:val="20"/>
              </w:rPr>
              <w:t>while its profit falls below the industry average</w:t>
            </w:r>
            <w:r w:rsidR="000F7692" w:rsidRPr="00A3505C">
              <w:rPr>
                <w:rFonts w:ascii="Times New Roman" w:hAnsi="Times New Roman" w:cs="Times New Roman"/>
                <w:sz w:val="20"/>
                <w:szCs w:val="20"/>
              </w:rPr>
              <w:t xml:space="preserve"> based on one-digit CSRC 2012 Industry Classification</w:t>
            </w:r>
            <w:r w:rsidRPr="00A3505C">
              <w:rPr>
                <w:rFonts w:ascii="Times New Roman" w:hAnsi="Times New Roman" w:cs="Times New Roman"/>
                <w:sz w:val="20"/>
                <w:szCs w:val="20"/>
              </w:rPr>
              <w:t>, and zero otherwise</w:t>
            </w:r>
          </w:p>
        </w:tc>
      </w:tr>
      <w:tr w:rsidR="00A3505C" w:rsidRPr="00A3505C" w14:paraId="64EEAD96" w14:textId="77777777" w:rsidTr="00E37751">
        <w:trPr>
          <w:trHeight w:val="299"/>
          <w:jc w:val="center"/>
        </w:trPr>
        <w:tc>
          <w:tcPr>
            <w:tcW w:w="1168" w:type="pct"/>
            <w:tcBorders>
              <w:left w:val="nil"/>
              <w:right w:val="nil"/>
            </w:tcBorders>
          </w:tcPr>
          <w:p w14:paraId="22B481AA" w14:textId="3409B701" w:rsidR="000C3465" w:rsidRPr="00A3505C" w:rsidRDefault="000C3465" w:rsidP="006C53B9">
            <w:pPr>
              <w:adjustRightInd w:val="0"/>
              <w:snapToGrid w:val="0"/>
              <w:spacing w:after="0" w:line="240" w:lineRule="auto"/>
              <w:jc w:val="both"/>
              <w:rPr>
                <w:rFonts w:ascii="Times New Roman" w:hAnsi="Times New Roman" w:cs="Times New Roman"/>
                <w:bCs/>
                <w:i/>
                <w:sz w:val="20"/>
                <w:szCs w:val="20"/>
              </w:rPr>
            </w:pPr>
            <w:r w:rsidRPr="00A3505C">
              <w:rPr>
                <w:rFonts w:ascii="Times New Roman" w:hAnsi="Times New Roman" w:cs="Times New Roman"/>
                <w:bCs/>
                <w:i/>
                <w:sz w:val="20"/>
                <w:szCs w:val="20"/>
              </w:rPr>
              <w:t>Profit</w:t>
            </w:r>
            <w:r w:rsidRPr="00A3505C">
              <w:rPr>
                <w:rFonts w:ascii="Times New Roman" w:hAnsi="Times New Roman" w:cs="Times New Roman"/>
                <w:bCs/>
                <w:i/>
                <w:iCs/>
                <w:sz w:val="20"/>
                <w:szCs w:val="20"/>
              </w:rPr>
              <w:t xml:space="preserve"> v. Growth and </w:t>
            </w:r>
            <w:r w:rsidR="00CE5C57" w:rsidRPr="00A3505C">
              <w:rPr>
                <w:rFonts w:ascii="Times New Roman" w:hAnsi="Times New Roman" w:cs="Times New Roman"/>
                <w:i/>
                <w:iCs/>
                <w:sz w:val="18"/>
                <w:szCs w:val="18"/>
              </w:rPr>
              <w:t>Neither-Nor</w:t>
            </w:r>
            <w:r w:rsidR="007F64B4" w:rsidRPr="00A3505C">
              <w:rPr>
                <w:rFonts w:ascii="Times New Roman" w:hAnsi="Times New Roman" w:cs="Times New Roman"/>
                <w:bCs/>
                <w:i/>
                <w:iCs/>
                <w:sz w:val="20"/>
                <w:szCs w:val="20"/>
              </w:rPr>
              <w:t>3</w:t>
            </w:r>
          </w:p>
        </w:tc>
        <w:tc>
          <w:tcPr>
            <w:tcW w:w="3832" w:type="pct"/>
            <w:tcBorders>
              <w:left w:val="nil"/>
              <w:right w:val="nil"/>
            </w:tcBorders>
          </w:tcPr>
          <w:p w14:paraId="01DF0C7C" w14:textId="194895A6" w:rsidR="000C3465" w:rsidRPr="00A3505C" w:rsidRDefault="000C3465"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indicator variable is assigned a value of one when a firm’s profit exceeds the industry average </w:t>
            </w:r>
            <w:r w:rsidR="000F7692" w:rsidRPr="00A3505C">
              <w:rPr>
                <w:rFonts w:ascii="Times New Roman" w:hAnsi="Times New Roman" w:cs="Times New Roman"/>
                <w:sz w:val="20"/>
                <w:szCs w:val="20"/>
              </w:rPr>
              <w:t>based on one-digit CSRC 2012 Industry Classification</w:t>
            </w:r>
            <w:r w:rsidR="009513AE" w:rsidRPr="00A3505C">
              <w:rPr>
                <w:rFonts w:ascii="Times New Roman" w:hAnsi="Times New Roman" w:cs="Times New Roman"/>
                <w:sz w:val="20"/>
                <w:szCs w:val="20"/>
              </w:rPr>
              <w:t>,</w:t>
            </w:r>
            <w:r w:rsidR="000F7692" w:rsidRPr="00A3505C">
              <w:rPr>
                <w:rFonts w:ascii="Times New Roman" w:hAnsi="Times New Roman" w:cs="Times New Roman"/>
                <w:sz w:val="20"/>
                <w:szCs w:val="20"/>
              </w:rPr>
              <w:t xml:space="preserve"> </w:t>
            </w:r>
            <w:r w:rsidRPr="00A3505C">
              <w:rPr>
                <w:rFonts w:ascii="Times New Roman" w:hAnsi="Times New Roman" w:cs="Times New Roman"/>
                <w:sz w:val="20"/>
                <w:szCs w:val="20"/>
              </w:rPr>
              <w:t>while its sales growth falls below the industry average</w:t>
            </w:r>
            <w:r w:rsidR="000F7692" w:rsidRPr="00A3505C">
              <w:rPr>
                <w:rFonts w:ascii="Times New Roman" w:hAnsi="Times New Roman" w:cs="Times New Roman"/>
                <w:sz w:val="20"/>
                <w:szCs w:val="20"/>
              </w:rPr>
              <w:t xml:space="preserve"> based on one-digit CSRC 2012 Industry Classification</w:t>
            </w:r>
            <w:r w:rsidRPr="00A3505C">
              <w:rPr>
                <w:rFonts w:ascii="Times New Roman" w:hAnsi="Times New Roman" w:cs="Times New Roman"/>
                <w:sz w:val="20"/>
                <w:szCs w:val="20"/>
              </w:rPr>
              <w:t>, and zero otherwise</w:t>
            </w:r>
          </w:p>
        </w:tc>
      </w:tr>
      <w:tr w:rsidR="00A3505C" w:rsidRPr="00A3505C" w14:paraId="55468F5E" w14:textId="77777777" w:rsidTr="00E37751">
        <w:trPr>
          <w:trHeight w:val="299"/>
          <w:jc w:val="center"/>
        </w:trPr>
        <w:tc>
          <w:tcPr>
            <w:tcW w:w="1168" w:type="pct"/>
            <w:tcBorders>
              <w:left w:val="nil"/>
              <w:right w:val="nil"/>
            </w:tcBorders>
          </w:tcPr>
          <w:p w14:paraId="5AB3AAEC" w14:textId="3A85DCC6" w:rsidR="00647782" w:rsidRPr="00A3505C" w:rsidRDefault="00647782" w:rsidP="006C53B9">
            <w:pPr>
              <w:adjustRightInd w:val="0"/>
              <w:snapToGrid w:val="0"/>
              <w:spacing w:after="0" w:line="240" w:lineRule="auto"/>
              <w:jc w:val="both"/>
              <w:rPr>
                <w:rFonts w:ascii="Times New Roman" w:hAnsi="Times New Roman" w:cs="Times New Roman"/>
                <w:bCs/>
                <w:i/>
                <w:sz w:val="20"/>
                <w:szCs w:val="20"/>
              </w:rPr>
            </w:pPr>
            <w:r w:rsidRPr="00A3505C">
              <w:rPr>
                <w:rFonts w:ascii="Times New Roman" w:hAnsi="Times New Roman" w:cs="Times New Roman"/>
                <w:i/>
                <w:sz w:val="20"/>
                <w:szCs w:val="20"/>
              </w:rPr>
              <w:t>Historic peer Growth-oriented</w:t>
            </w:r>
          </w:p>
        </w:tc>
        <w:tc>
          <w:tcPr>
            <w:tcW w:w="3832" w:type="pct"/>
            <w:tcBorders>
              <w:left w:val="nil"/>
              <w:right w:val="nil"/>
            </w:tcBorders>
          </w:tcPr>
          <w:p w14:paraId="39B0F8D3" w14:textId="2941F3C0" w:rsidR="00647782" w:rsidRPr="00A3505C" w:rsidRDefault="00E05AFD"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One-year lagged peer averages of </w:t>
            </w:r>
            <w:r w:rsidRPr="00A3505C">
              <w:rPr>
                <w:rFonts w:ascii="Times New Roman" w:hAnsi="Times New Roman" w:cs="Times New Roman"/>
                <w:iCs/>
                <w:sz w:val="20"/>
                <w:szCs w:val="20"/>
              </w:rPr>
              <w:t xml:space="preserve">growth-oriented </w:t>
            </w:r>
            <w:r w:rsidRPr="00A3505C">
              <w:rPr>
                <w:rFonts w:ascii="Times New Roman" w:hAnsi="Times New Roman" w:cs="Times New Roman"/>
                <w:sz w:val="20"/>
                <w:szCs w:val="20"/>
              </w:rPr>
              <w:t>strategies of firms operating in the same industry</w:t>
            </w:r>
          </w:p>
        </w:tc>
      </w:tr>
      <w:tr w:rsidR="00A3505C" w:rsidRPr="00A3505C" w14:paraId="5846CA15" w14:textId="77777777" w:rsidTr="00E37751">
        <w:trPr>
          <w:trHeight w:val="299"/>
          <w:jc w:val="center"/>
        </w:trPr>
        <w:tc>
          <w:tcPr>
            <w:tcW w:w="1168" w:type="pct"/>
            <w:tcBorders>
              <w:left w:val="nil"/>
              <w:right w:val="nil"/>
            </w:tcBorders>
          </w:tcPr>
          <w:p w14:paraId="6A5B7708" w14:textId="3C73725E" w:rsidR="00647782" w:rsidRPr="00A3505C" w:rsidRDefault="00647782" w:rsidP="006C53B9">
            <w:pPr>
              <w:adjustRightInd w:val="0"/>
              <w:snapToGrid w:val="0"/>
              <w:spacing w:after="0" w:line="240" w:lineRule="auto"/>
              <w:jc w:val="both"/>
              <w:rPr>
                <w:rFonts w:ascii="Times New Roman" w:hAnsi="Times New Roman" w:cs="Times New Roman"/>
                <w:bCs/>
                <w:i/>
                <w:sz w:val="20"/>
                <w:szCs w:val="20"/>
              </w:rPr>
            </w:pPr>
            <w:r w:rsidRPr="00A3505C">
              <w:rPr>
                <w:rFonts w:ascii="Times New Roman" w:hAnsi="Times New Roman" w:cs="Times New Roman"/>
                <w:i/>
                <w:sz w:val="20"/>
                <w:szCs w:val="20"/>
              </w:rPr>
              <w:t>Historic peer Growth-oriented</w:t>
            </w:r>
          </w:p>
        </w:tc>
        <w:tc>
          <w:tcPr>
            <w:tcW w:w="3832" w:type="pct"/>
            <w:tcBorders>
              <w:left w:val="nil"/>
              <w:right w:val="nil"/>
            </w:tcBorders>
          </w:tcPr>
          <w:p w14:paraId="51F25229" w14:textId="189F59AF" w:rsidR="00647782" w:rsidRPr="00A3505C" w:rsidRDefault="00E05AFD"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One-year lagged peer averages of profit</w:t>
            </w:r>
            <w:r w:rsidRPr="00A3505C">
              <w:rPr>
                <w:rFonts w:ascii="Times New Roman" w:hAnsi="Times New Roman" w:cs="Times New Roman"/>
                <w:iCs/>
                <w:sz w:val="20"/>
                <w:szCs w:val="20"/>
              </w:rPr>
              <w:t xml:space="preserve">-oriented </w:t>
            </w:r>
            <w:r w:rsidRPr="00A3505C">
              <w:rPr>
                <w:rFonts w:ascii="Times New Roman" w:hAnsi="Times New Roman" w:cs="Times New Roman"/>
                <w:sz w:val="20"/>
                <w:szCs w:val="20"/>
              </w:rPr>
              <w:t>strategies of firms operating in the same industry</w:t>
            </w:r>
          </w:p>
        </w:tc>
      </w:tr>
      <w:tr w:rsidR="00A3505C" w:rsidRPr="00A3505C" w14:paraId="5F80DB8E" w14:textId="77777777" w:rsidTr="00E37751">
        <w:trPr>
          <w:trHeight w:val="299"/>
          <w:jc w:val="center"/>
        </w:trPr>
        <w:tc>
          <w:tcPr>
            <w:tcW w:w="5000" w:type="pct"/>
            <w:gridSpan w:val="2"/>
            <w:tcBorders>
              <w:left w:val="nil"/>
              <w:right w:val="nil"/>
            </w:tcBorders>
          </w:tcPr>
          <w:p w14:paraId="3BA26170" w14:textId="77777777" w:rsidR="0021694A" w:rsidRPr="00A3505C" w:rsidRDefault="0021694A" w:rsidP="006C53B9">
            <w:pPr>
              <w:adjustRightInd w:val="0"/>
              <w:snapToGrid w:val="0"/>
              <w:spacing w:after="0" w:line="240" w:lineRule="auto"/>
              <w:jc w:val="both"/>
              <w:rPr>
                <w:rFonts w:ascii="Times New Roman" w:hAnsi="Times New Roman" w:cs="Times New Roman"/>
                <w:b/>
                <w:bCs/>
                <w:sz w:val="20"/>
                <w:szCs w:val="20"/>
              </w:rPr>
            </w:pPr>
            <w:r w:rsidRPr="00A3505C">
              <w:rPr>
                <w:rFonts w:ascii="Times New Roman" w:hAnsi="Times New Roman" w:cs="Times New Roman"/>
                <w:b/>
                <w:bCs/>
                <w:sz w:val="20"/>
                <w:szCs w:val="20"/>
              </w:rPr>
              <w:t>Mechanism and additional variables</w:t>
            </w:r>
          </w:p>
        </w:tc>
      </w:tr>
      <w:tr w:rsidR="00A3505C" w:rsidRPr="00A3505C" w14:paraId="43CB767E" w14:textId="77777777" w:rsidTr="00E37751">
        <w:trPr>
          <w:trHeight w:val="299"/>
          <w:jc w:val="center"/>
        </w:trPr>
        <w:tc>
          <w:tcPr>
            <w:tcW w:w="1168" w:type="pct"/>
            <w:tcBorders>
              <w:left w:val="nil"/>
              <w:right w:val="nil"/>
            </w:tcBorders>
          </w:tcPr>
          <w:p w14:paraId="6D73B691" w14:textId="78D5ADF5" w:rsidR="0021694A" w:rsidRPr="00A3505C" w:rsidRDefault="0021694A"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 xml:space="preserve">Green </w:t>
            </w:r>
            <w:r w:rsidR="00CC627A" w:rsidRPr="00A3505C">
              <w:rPr>
                <w:rFonts w:ascii="Times New Roman" w:hAnsi="Times New Roman" w:cs="Times New Roman"/>
                <w:i/>
                <w:iCs/>
                <w:sz w:val="20"/>
                <w:szCs w:val="20"/>
              </w:rPr>
              <w:t>P</w:t>
            </w:r>
            <w:r w:rsidRPr="00A3505C">
              <w:rPr>
                <w:rFonts w:ascii="Times New Roman" w:hAnsi="Times New Roman" w:cs="Times New Roman"/>
                <w:i/>
                <w:iCs/>
                <w:sz w:val="20"/>
                <w:szCs w:val="20"/>
              </w:rPr>
              <w:t>atents</w:t>
            </w:r>
          </w:p>
        </w:tc>
        <w:tc>
          <w:tcPr>
            <w:tcW w:w="3832" w:type="pct"/>
            <w:tcBorders>
              <w:left w:val="nil"/>
              <w:right w:val="nil"/>
            </w:tcBorders>
          </w:tcPr>
          <w:p w14:paraId="0B2FCCAB" w14:textId="0D3ABCBF" w:rsidR="0021694A" w:rsidRPr="00A3505C" w:rsidRDefault="009168C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l</w:t>
            </w:r>
            <w:r w:rsidR="0021694A" w:rsidRPr="00A3505C">
              <w:rPr>
                <w:rFonts w:ascii="Times New Roman" w:hAnsi="Times New Roman" w:cs="Times New Roman"/>
                <w:sz w:val="20"/>
                <w:szCs w:val="20"/>
              </w:rPr>
              <w:t xml:space="preserve">ogarithmic value of </w:t>
            </w:r>
            <w:r w:rsidR="0019394D" w:rsidRPr="00A3505C">
              <w:rPr>
                <w:rFonts w:ascii="Times New Roman" w:hAnsi="Times New Roman" w:cs="Times New Roman"/>
                <w:sz w:val="20"/>
                <w:szCs w:val="20"/>
              </w:rPr>
              <w:t xml:space="preserve">one plus </w:t>
            </w:r>
            <w:r w:rsidR="0021694A" w:rsidRPr="00A3505C">
              <w:rPr>
                <w:rFonts w:ascii="Times New Roman" w:hAnsi="Times New Roman" w:cs="Times New Roman"/>
                <w:sz w:val="20"/>
                <w:szCs w:val="20"/>
              </w:rPr>
              <w:t>the number of applications of firms’ green</w:t>
            </w:r>
            <w:r w:rsidR="00CD75A2" w:rsidRPr="00A3505C">
              <w:rPr>
                <w:rFonts w:ascii="Times New Roman" w:hAnsi="Times New Roman" w:cs="Times New Roman"/>
                <w:sz w:val="20"/>
                <w:szCs w:val="20"/>
              </w:rPr>
              <w:t xml:space="preserve"> innovation</w:t>
            </w:r>
            <w:r w:rsidR="0021694A" w:rsidRPr="00A3505C">
              <w:rPr>
                <w:rFonts w:ascii="Times New Roman" w:hAnsi="Times New Roman" w:cs="Times New Roman"/>
                <w:sz w:val="20"/>
                <w:szCs w:val="20"/>
              </w:rPr>
              <w:t xml:space="preserve"> patents</w:t>
            </w:r>
          </w:p>
        </w:tc>
      </w:tr>
      <w:tr w:rsidR="00A3505C" w:rsidRPr="00A3505C" w14:paraId="3A9B9C9A" w14:textId="77777777" w:rsidTr="00E37751">
        <w:trPr>
          <w:trHeight w:val="299"/>
          <w:jc w:val="center"/>
        </w:trPr>
        <w:tc>
          <w:tcPr>
            <w:tcW w:w="1168" w:type="pct"/>
            <w:tcBorders>
              <w:left w:val="nil"/>
              <w:right w:val="nil"/>
            </w:tcBorders>
          </w:tcPr>
          <w:p w14:paraId="4CC13F6D" w14:textId="77777777" w:rsidR="0021694A" w:rsidRPr="00A3505C" w:rsidRDefault="0021694A"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EnvTran</w:t>
            </w:r>
          </w:p>
        </w:tc>
        <w:tc>
          <w:tcPr>
            <w:tcW w:w="3832" w:type="pct"/>
            <w:tcBorders>
              <w:left w:val="nil"/>
              <w:right w:val="nil"/>
            </w:tcBorders>
          </w:tcPr>
          <w:p w14:paraId="2CAB16EF" w14:textId="7F63B07B" w:rsidR="0021694A" w:rsidRPr="00A3505C" w:rsidRDefault="004A33AD"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logarithmic </w:t>
            </w:r>
            <w:r w:rsidR="0021694A" w:rsidRPr="00A3505C">
              <w:rPr>
                <w:rFonts w:ascii="Times New Roman" w:hAnsi="Times New Roman" w:cs="Times New Roman"/>
                <w:sz w:val="20"/>
                <w:szCs w:val="20"/>
              </w:rPr>
              <w:t xml:space="preserve">value of </w:t>
            </w:r>
            <w:r w:rsidR="0019394D" w:rsidRPr="00A3505C">
              <w:rPr>
                <w:rFonts w:ascii="Times New Roman" w:hAnsi="Times New Roman" w:cs="Times New Roman"/>
                <w:sz w:val="20"/>
                <w:szCs w:val="20"/>
              </w:rPr>
              <w:t xml:space="preserve">one plus </w:t>
            </w:r>
            <w:r w:rsidR="0021694A" w:rsidRPr="00A3505C">
              <w:rPr>
                <w:rFonts w:ascii="Times New Roman" w:hAnsi="Times New Roman" w:cs="Times New Roman"/>
                <w:sz w:val="20"/>
                <w:szCs w:val="20"/>
              </w:rPr>
              <w:t>the frequency of terms related to environmental transformation disclosed in firms’ annual reports</w:t>
            </w:r>
          </w:p>
        </w:tc>
      </w:tr>
      <w:tr w:rsidR="00A3505C" w:rsidRPr="00A3505C" w14:paraId="3D132E13" w14:textId="77777777" w:rsidTr="00E37751">
        <w:trPr>
          <w:trHeight w:val="299"/>
          <w:jc w:val="center"/>
        </w:trPr>
        <w:tc>
          <w:tcPr>
            <w:tcW w:w="1168" w:type="pct"/>
            <w:tcBorders>
              <w:left w:val="nil"/>
              <w:right w:val="nil"/>
            </w:tcBorders>
          </w:tcPr>
          <w:p w14:paraId="0E0D9FE8" w14:textId="77777777" w:rsidR="0021694A" w:rsidRPr="00A3505C" w:rsidRDefault="0021694A"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ENV</w:t>
            </w:r>
          </w:p>
        </w:tc>
        <w:tc>
          <w:tcPr>
            <w:tcW w:w="3832" w:type="pct"/>
            <w:tcBorders>
              <w:left w:val="nil"/>
              <w:right w:val="nil"/>
            </w:tcBorders>
          </w:tcPr>
          <w:p w14:paraId="3BBC2CE5" w14:textId="2CA35EA8" w:rsidR="0021694A" w:rsidRPr="00A3505C" w:rsidRDefault="0021694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frequency of terms related to environmental protection </w:t>
            </w:r>
            <w:r w:rsidR="0097269D" w:rsidRPr="00A3505C">
              <w:rPr>
                <w:rFonts w:ascii="Times New Roman" w:hAnsi="Times New Roman" w:cs="Times New Roman"/>
                <w:sz w:val="20"/>
                <w:szCs w:val="20"/>
              </w:rPr>
              <w:t xml:space="preserve">disclosed in cities’ </w:t>
            </w:r>
            <w:r w:rsidR="009F7E33" w:rsidRPr="00A3505C">
              <w:rPr>
                <w:rFonts w:ascii="Times New Roman" w:hAnsi="Times New Roman" w:cs="Times New Roman"/>
                <w:sz w:val="20"/>
                <w:szCs w:val="20"/>
              </w:rPr>
              <w:t xml:space="preserve">annual government </w:t>
            </w:r>
            <w:r w:rsidR="007F626D" w:rsidRPr="00A3505C">
              <w:rPr>
                <w:rFonts w:ascii="Times New Roman" w:hAnsi="Times New Roman" w:cs="Times New Roman"/>
                <w:sz w:val="20"/>
                <w:szCs w:val="20"/>
              </w:rPr>
              <w:t>work</w:t>
            </w:r>
            <w:r w:rsidR="009F7E33" w:rsidRPr="00A3505C">
              <w:rPr>
                <w:rFonts w:ascii="Times New Roman" w:hAnsi="Times New Roman" w:cs="Times New Roman"/>
                <w:sz w:val="20"/>
                <w:szCs w:val="20"/>
              </w:rPr>
              <w:t xml:space="preserve"> reports </w:t>
            </w:r>
            <w:r w:rsidR="004A33AD" w:rsidRPr="00A3505C">
              <w:rPr>
                <w:rFonts w:ascii="Times New Roman" w:hAnsi="Times New Roman" w:cs="Times New Roman"/>
                <w:sz w:val="20"/>
                <w:szCs w:val="20"/>
              </w:rPr>
              <w:t xml:space="preserve">is </w:t>
            </w:r>
            <w:r w:rsidRPr="00A3505C">
              <w:rPr>
                <w:rFonts w:ascii="Times New Roman" w:hAnsi="Times New Roman" w:cs="Times New Roman"/>
                <w:sz w:val="20"/>
                <w:szCs w:val="20"/>
              </w:rPr>
              <w:t xml:space="preserve">scaled by the total word count in </w:t>
            </w:r>
            <w:r w:rsidR="004A1FB0" w:rsidRPr="00A3505C">
              <w:rPr>
                <w:rFonts w:ascii="Times New Roman" w:hAnsi="Times New Roman" w:cs="Times New Roman"/>
                <w:sz w:val="20"/>
                <w:szCs w:val="20"/>
              </w:rPr>
              <w:t>these</w:t>
            </w:r>
            <w:r w:rsidRPr="00A3505C">
              <w:rPr>
                <w:rFonts w:ascii="Times New Roman" w:hAnsi="Times New Roman" w:cs="Times New Roman"/>
                <w:sz w:val="20"/>
                <w:szCs w:val="20"/>
              </w:rPr>
              <w:t xml:space="preserve"> reports</w:t>
            </w:r>
          </w:p>
        </w:tc>
      </w:tr>
      <w:tr w:rsidR="00A3505C" w:rsidRPr="00A3505C" w14:paraId="3FA8B1D1" w14:textId="77777777" w:rsidTr="00E37751">
        <w:trPr>
          <w:trHeight w:val="299"/>
          <w:jc w:val="center"/>
        </w:trPr>
        <w:tc>
          <w:tcPr>
            <w:tcW w:w="1168" w:type="pct"/>
            <w:tcBorders>
              <w:left w:val="nil"/>
              <w:right w:val="nil"/>
            </w:tcBorders>
          </w:tcPr>
          <w:p w14:paraId="23DB636C" w14:textId="5F7CC5FB" w:rsidR="0021694A" w:rsidRPr="00A3505C" w:rsidRDefault="00BA089D"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sz w:val="20"/>
                <w:szCs w:val="20"/>
              </w:rPr>
              <w:t>News Reports</w:t>
            </w:r>
          </w:p>
        </w:tc>
        <w:tc>
          <w:tcPr>
            <w:tcW w:w="3832" w:type="pct"/>
            <w:tcBorders>
              <w:left w:val="nil"/>
              <w:right w:val="nil"/>
            </w:tcBorders>
          </w:tcPr>
          <w:p w14:paraId="3281FBE1" w14:textId="069F49A4" w:rsidR="0021694A" w:rsidRPr="00A3505C" w:rsidRDefault="0021694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level of firms’ </w:t>
            </w:r>
            <w:r w:rsidR="00BA089D" w:rsidRPr="00A3505C">
              <w:rPr>
                <w:rFonts w:ascii="Times New Roman" w:hAnsi="Times New Roman" w:cs="Times New Roman"/>
                <w:sz w:val="20"/>
                <w:szCs w:val="20"/>
              </w:rPr>
              <w:t>positive news reports</w:t>
            </w:r>
            <w:r w:rsidRPr="00A3505C">
              <w:rPr>
                <w:rFonts w:ascii="Times New Roman" w:hAnsi="Times New Roman" w:cs="Times New Roman"/>
                <w:sz w:val="20"/>
                <w:szCs w:val="20"/>
              </w:rPr>
              <w:t xml:space="preserve">, </w:t>
            </w:r>
            <w:r w:rsidR="00A24614" w:rsidRPr="00A3505C">
              <w:rPr>
                <w:rFonts w:ascii="Times New Roman" w:hAnsi="Times New Roman" w:cs="Times New Roman"/>
                <w:sz w:val="20"/>
                <w:szCs w:val="20"/>
              </w:rPr>
              <w:t xml:space="preserve">measured by the logarithmic value of </w:t>
            </w:r>
            <w:r w:rsidR="00682837" w:rsidRPr="00A3505C">
              <w:rPr>
                <w:rFonts w:ascii="Times New Roman" w:hAnsi="Times New Roman" w:cs="Times New Roman"/>
                <w:sz w:val="20"/>
                <w:szCs w:val="20"/>
              </w:rPr>
              <w:t xml:space="preserve">one plus </w:t>
            </w:r>
            <w:r w:rsidR="00A24614" w:rsidRPr="00A3505C">
              <w:rPr>
                <w:rFonts w:ascii="Times New Roman" w:hAnsi="Times New Roman" w:cs="Times New Roman"/>
                <w:sz w:val="20"/>
                <w:szCs w:val="20"/>
              </w:rPr>
              <w:t xml:space="preserve">the number of original positive news </w:t>
            </w:r>
            <w:r w:rsidR="009513AE" w:rsidRPr="00A3505C">
              <w:rPr>
                <w:rFonts w:ascii="Times New Roman" w:hAnsi="Times New Roman" w:cs="Times New Roman"/>
                <w:sz w:val="20"/>
                <w:szCs w:val="20"/>
              </w:rPr>
              <w:t xml:space="preserve">reports </w:t>
            </w:r>
            <w:r w:rsidR="00A24614" w:rsidRPr="00A3505C">
              <w:rPr>
                <w:rFonts w:ascii="Times New Roman" w:hAnsi="Times New Roman" w:cs="Times New Roman"/>
                <w:sz w:val="20"/>
                <w:szCs w:val="20"/>
              </w:rPr>
              <w:t>about the firm</w:t>
            </w:r>
            <w:r w:rsidR="00A714D9" w:rsidRPr="00A3505C">
              <w:rPr>
                <w:rFonts w:ascii="Times New Roman" w:hAnsi="Times New Roman" w:cs="Times New Roman"/>
                <w:sz w:val="20"/>
                <w:szCs w:val="20"/>
              </w:rPr>
              <w:t>-year observations</w:t>
            </w:r>
            <w:r w:rsidR="00A24614" w:rsidRPr="00A3505C">
              <w:rPr>
                <w:rFonts w:ascii="Times New Roman" w:hAnsi="Times New Roman" w:cs="Times New Roman"/>
                <w:sz w:val="20"/>
                <w:szCs w:val="20"/>
              </w:rPr>
              <w:t xml:space="preserve"> in financial newspapers and </w:t>
            </w:r>
            <w:r w:rsidR="00A714D9" w:rsidRPr="00A3505C">
              <w:rPr>
                <w:rFonts w:ascii="Times New Roman" w:hAnsi="Times New Roman" w:cs="Times New Roman"/>
                <w:sz w:val="20"/>
                <w:szCs w:val="20"/>
              </w:rPr>
              <w:t>other social media platforms</w:t>
            </w:r>
          </w:p>
        </w:tc>
      </w:tr>
      <w:tr w:rsidR="00A3505C" w:rsidRPr="00A3505C" w14:paraId="12CEC827" w14:textId="77777777" w:rsidTr="00E37751">
        <w:trPr>
          <w:trHeight w:val="299"/>
          <w:jc w:val="center"/>
        </w:trPr>
        <w:tc>
          <w:tcPr>
            <w:tcW w:w="1168" w:type="pct"/>
            <w:tcBorders>
              <w:left w:val="nil"/>
              <w:right w:val="nil"/>
            </w:tcBorders>
          </w:tcPr>
          <w:p w14:paraId="71B09713" w14:textId="3B3D3494" w:rsidR="00CC627A" w:rsidRPr="00A3505C" w:rsidRDefault="00E53248"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i/>
                <w:iCs/>
                <w:sz w:val="20"/>
                <w:szCs w:val="20"/>
              </w:rPr>
              <w:t xml:space="preserve">CSR </w:t>
            </w:r>
            <w:r w:rsidR="00CC627A" w:rsidRPr="00A3505C">
              <w:rPr>
                <w:rFonts w:ascii="Times New Roman" w:hAnsi="Times New Roman" w:cs="Times New Roman"/>
                <w:i/>
                <w:iCs/>
                <w:sz w:val="20"/>
                <w:szCs w:val="20"/>
              </w:rPr>
              <w:t>Performance</w:t>
            </w:r>
          </w:p>
        </w:tc>
        <w:tc>
          <w:tcPr>
            <w:tcW w:w="3832" w:type="pct"/>
            <w:tcBorders>
              <w:left w:val="nil"/>
              <w:right w:val="nil"/>
            </w:tcBorders>
          </w:tcPr>
          <w:p w14:paraId="1EA09DB4" w14:textId="522FC69B" w:rsidR="00A16BFE" w:rsidRPr="00A3505C" w:rsidRDefault="0009442D"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sum of </w:t>
            </w:r>
            <w:r w:rsidR="0048279D" w:rsidRPr="00A3505C">
              <w:rPr>
                <w:rFonts w:ascii="Times New Roman" w:hAnsi="Times New Roman" w:cs="Times New Roman"/>
                <w:sz w:val="20"/>
                <w:szCs w:val="20"/>
              </w:rPr>
              <w:t xml:space="preserve">eleven indicator variables regarding firms’ </w:t>
            </w:r>
            <w:r w:rsidR="00E53248" w:rsidRPr="00A3505C">
              <w:rPr>
                <w:rFonts w:ascii="Times New Roman" w:hAnsi="Times New Roman" w:cs="Times New Roman"/>
                <w:sz w:val="20"/>
                <w:szCs w:val="20"/>
              </w:rPr>
              <w:t xml:space="preserve">CSR </w:t>
            </w:r>
            <w:r w:rsidR="0048279D" w:rsidRPr="00A3505C">
              <w:rPr>
                <w:rFonts w:ascii="Times New Roman" w:hAnsi="Times New Roman" w:cs="Times New Roman"/>
                <w:sz w:val="20"/>
                <w:szCs w:val="20"/>
              </w:rPr>
              <w:t xml:space="preserve">activities. </w:t>
            </w:r>
            <w:r w:rsidR="00274337" w:rsidRPr="00A3505C">
              <w:rPr>
                <w:rFonts w:ascii="Times New Roman" w:hAnsi="Times New Roman" w:cs="Times New Roman"/>
                <w:sz w:val="20"/>
                <w:szCs w:val="20"/>
              </w:rPr>
              <w:t xml:space="preserve">Specifically, </w:t>
            </w:r>
            <w:r w:rsidR="00E53248" w:rsidRPr="00A3505C">
              <w:rPr>
                <w:rFonts w:ascii="Times New Roman" w:hAnsi="Times New Roman" w:cs="Times New Roman"/>
                <w:i/>
                <w:iCs/>
                <w:sz w:val="20"/>
                <w:szCs w:val="20"/>
              </w:rPr>
              <w:t xml:space="preserve">CSR </w:t>
            </w:r>
            <w:r w:rsidR="001F131F" w:rsidRPr="00A3505C">
              <w:rPr>
                <w:rFonts w:ascii="Times New Roman" w:hAnsi="Times New Roman" w:cs="Times New Roman"/>
                <w:i/>
                <w:iCs/>
                <w:sz w:val="20"/>
                <w:szCs w:val="20"/>
              </w:rPr>
              <w:t>performance 1</w:t>
            </w:r>
            <w:r w:rsidR="001F131F" w:rsidRPr="00A3505C">
              <w:rPr>
                <w:rFonts w:ascii="Times New Roman" w:hAnsi="Times New Roman" w:cs="Times New Roman"/>
                <w:sz w:val="20"/>
                <w:szCs w:val="20"/>
              </w:rPr>
              <w:t xml:space="preserve"> is the indicator variable</w:t>
            </w:r>
            <w:r w:rsidR="00D964A1" w:rsidRPr="00A3505C">
              <w:rPr>
                <w:rFonts w:ascii="Times New Roman" w:hAnsi="Times New Roman" w:cs="Times New Roman"/>
                <w:sz w:val="20"/>
                <w:szCs w:val="20"/>
              </w:rPr>
              <w:t xml:space="preserve"> equals one when firm-year disclose the information on environmental concepts</w:t>
            </w:r>
            <w:r w:rsidR="00DA6F05" w:rsidRPr="00A3505C">
              <w:rPr>
                <w:rFonts w:ascii="Times New Roman" w:hAnsi="Times New Roman" w:cs="Times New Roman"/>
                <w:sz w:val="20"/>
                <w:szCs w:val="20"/>
              </w:rPr>
              <w:t>, and zero otherwise</w:t>
            </w:r>
            <w:r w:rsidR="00D964A1"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D964A1" w:rsidRPr="00A3505C">
              <w:rPr>
                <w:rFonts w:ascii="Times New Roman" w:hAnsi="Times New Roman" w:cs="Times New Roman"/>
                <w:i/>
                <w:iCs/>
                <w:sz w:val="20"/>
                <w:szCs w:val="20"/>
              </w:rPr>
              <w:t>performance 2</w:t>
            </w:r>
            <w:r w:rsidR="00D964A1" w:rsidRPr="00A3505C">
              <w:rPr>
                <w:rFonts w:ascii="Times New Roman" w:hAnsi="Times New Roman" w:cs="Times New Roman"/>
                <w:sz w:val="20"/>
                <w:szCs w:val="20"/>
              </w:rPr>
              <w:t xml:space="preserve"> is the indicator variable equals one when firm-year </w:t>
            </w:r>
            <w:r w:rsidR="00B73218" w:rsidRPr="00A3505C">
              <w:rPr>
                <w:rFonts w:ascii="Times New Roman" w:hAnsi="Times New Roman" w:cs="Times New Roman"/>
                <w:sz w:val="20"/>
                <w:szCs w:val="20"/>
              </w:rPr>
              <w:t>observations have</w:t>
            </w:r>
            <w:r w:rsidR="00D964A1" w:rsidRPr="00A3505C">
              <w:rPr>
                <w:rFonts w:ascii="Times New Roman" w:hAnsi="Times New Roman" w:cs="Times New Roman"/>
                <w:sz w:val="20"/>
                <w:szCs w:val="20"/>
              </w:rPr>
              <w:t xml:space="preserve"> </w:t>
            </w:r>
            <w:r w:rsidR="00983A13" w:rsidRPr="00A3505C">
              <w:rPr>
                <w:rFonts w:ascii="Times New Roman" w:hAnsi="Times New Roman" w:cs="Times New Roman"/>
                <w:sz w:val="20"/>
                <w:szCs w:val="20"/>
              </w:rPr>
              <w:t>environmental objectives</w:t>
            </w:r>
            <w:r w:rsidR="00DA6F05" w:rsidRPr="00A3505C">
              <w:rPr>
                <w:rFonts w:ascii="Times New Roman" w:hAnsi="Times New Roman" w:cs="Times New Roman"/>
                <w:sz w:val="20"/>
                <w:szCs w:val="20"/>
              </w:rPr>
              <w:t>, and zero otherwise</w:t>
            </w:r>
            <w:r w:rsidR="00983A13"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B73218" w:rsidRPr="00A3505C">
              <w:rPr>
                <w:rFonts w:ascii="Times New Roman" w:hAnsi="Times New Roman" w:cs="Times New Roman"/>
                <w:i/>
                <w:iCs/>
                <w:sz w:val="20"/>
                <w:szCs w:val="20"/>
              </w:rPr>
              <w:t xml:space="preserve">performance </w:t>
            </w:r>
            <w:r w:rsidR="00A53DE7" w:rsidRPr="00A3505C">
              <w:rPr>
                <w:rFonts w:ascii="Times New Roman" w:hAnsi="Times New Roman" w:cs="Times New Roman"/>
                <w:i/>
                <w:iCs/>
                <w:sz w:val="20"/>
                <w:szCs w:val="20"/>
              </w:rPr>
              <w:t>3</w:t>
            </w:r>
            <w:r w:rsidR="00B73218" w:rsidRPr="00A3505C">
              <w:rPr>
                <w:rFonts w:ascii="Times New Roman" w:hAnsi="Times New Roman" w:cs="Times New Roman"/>
                <w:sz w:val="20"/>
                <w:szCs w:val="20"/>
              </w:rPr>
              <w:t xml:space="preserve"> is the indicator variable equals one when firm-year observations have </w:t>
            </w:r>
            <w:r w:rsidR="00A53DE7" w:rsidRPr="00A3505C">
              <w:rPr>
                <w:rFonts w:ascii="Times New Roman" w:hAnsi="Times New Roman" w:cs="Times New Roman"/>
                <w:sz w:val="20"/>
                <w:szCs w:val="20"/>
              </w:rPr>
              <w:t>environmental management strategies</w:t>
            </w:r>
            <w:r w:rsidR="00DA6F05" w:rsidRPr="00A3505C">
              <w:rPr>
                <w:rFonts w:ascii="Times New Roman" w:hAnsi="Times New Roman" w:cs="Times New Roman"/>
                <w:sz w:val="20"/>
                <w:szCs w:val="20"/>
              </w:rPr>
              <w:t>, and zero otherwise</w:t>
            </w:r>
            <w:r w:rsidR="00A53DE7"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lastRenderedPageBreak/>
              <w:t>CSR</w:t>
            </w:r>
            <w:r w:rsidR="00E53248" w:rsidRPr="00A3505C" w:rsidDel="00E53248">
              <w:rPr>
                <w:rFonts w:ascii="Times New Roman" w:hAnsi="Times New Roman" w:cs="Times New Roman"/>
                <w:i/>
                <w:iCs/>
                <w:sz w:val="20"/>
                <w:szCs w:val="20"/>
              </w:rPr>
              <w:t xml:space="preserve"> </w:t>
            </w:r>
            <w:r w:rsidR="00A53DE7" w:rsidRPr="00A3505C">
              <w:rPr>
                <w:rFonts w:ascii="Times New Roman" w:hAnsi="Times New Roman" w:cs="Times New Roman"/>
                <w:i/>
                <w:iCs/>
                <w:sz w:val="20"/>
                <w:szCs w:val="20"/>
              </w:rPr>
              <w:t>performance 4</w:t>
            </w:r>
            <w:r w:rsidR="00A53DE7" w:rsidRPr="00A3505C">
              <w:rPr>
                <w:rFonts w:ascii="Times New Roman" w:hAnsi="Times New Roman" w:cs="Times New Roman"/>
                <w:sz w:val="20"/>
                <w:szCs w:val="20"/>
              </w:rPr>
              <w:t xml:space="preserve"> is the indicator variable equals one when firm-year observations have environmental education plans for employees</w:t>
            </w:r>
            <w:r w:rsidR="00DA6F05" w:rsidRPr="00A3505C">
              <w:rPr>
                <w:rFonts w:ascii="Times New Roman" w:hAnsi="Times New Roman" w:cs="Times New Roman"/>
                <w:sz w:val="20"/>
                <w:szCs w:val="20"/>
              </w:rPr>
              <w:t>, and zero otherwise</w:t>
            </w:r>
            <w:r w:rsidR="00A80EE2"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A80EE2" w:rsidRPr="00A3505C">
              <w:rPr>
                <w:rFonts w:ascii="Times New Roman" w:hAnsi="Times New Roman" w:cs="Times New Roman"/>
                <w:i/>
                <w:iCs/>
                <w:sz w:val="20"/>
                <w:szCs w:val="20"/>
              </w:rPr>
              <w:t>performance 5</w:t>
            </w:r>
            <w:r w:rsidR="00A80EE2" w:rsidRPr="00A3505C">
              <w:rPr>
                <w:rFonts w:ascii="Times New Roman" w:hAnsi="Times New Roman" w:cs="Times New Roman"/>
                <w:sz w:val="20"/>
                <w:szCs w:val="20"/>
              </w:rPr>
              <w:t xml:space="preserve"> is the indicator variable equals one when firm-year observations have environmental special projects</w:t>
            </w:r>
            <w:r w:rsidR="00DA6F05" w:rsidRPr="00A3505C">
              <w:rPr>
                <w:rFonts w:ascii="Times New Roman" w:hAnsi="Times New Roman" w:cs="Times New Roman"/>
                <w:sz w:val="20"/>
                <w:szCs w:val="20"/>
              </w:rPr>
              <w:t>, and zero otherwise</w:t>
            </w:r>
            <w:r w:rsidR="00A80EE2"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A80EE2" w:rsidRPr="00A3505C">
              <w:rPr>
                <w:rFonts w:ascii="Times New Roman" w:hAnsi="Times New Roman" w:cs="Times New Roman"/>
                <w:i/>
                <w:iCs/>
                <w:sz w:val="20"/>
                <w:szCs w:val="20"/>
              </w:rPr>
              <w:t>performance 6</w:t>
            </w:r>
            <w:r w:rsidR="00A80EE2" w:rsidRPr="00A3505C">
              <w:rPr>
                <w:rFonts w:ascii="Times New Roman" w:hAnsi="Times New Roman" w:cs="Times New Roman"/>
                <w:sz w:val="20"/>
                <w:szCs w:val="20"/>
              </w:rPr>
              <w:t xml:space="preserve"> is the indicator variable equals one when firm-year observations have environmental emergency countermeasures</w:t>
            </w:r>
            <w:r w:rsidR="00DA6F05" w:rsidRPr="00A3505C">
              <w:rPr>
                <w:rFonts w:ascii="Times New Roman" w:hAnsi="Times New Roman" w:cs="Times New Roman"/>
                <w:sz w:val="20"/>
                <w:szCs w:val="20"/>
              </w:rPr>
              <w:t>, and zero otherwise</w:t>
            </w:r>
            <w:r w:rsidR="00A80EE2"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A80EE2" w:rsidRPr="00A3505C">
              <w:rPr>
                <w:rFonts w:ascii="Times New Roman" w:hAnsi="Times New Roman" w:cs="Times New Roman"/>
                <w:i/>
                <w:iCs/>
                <w:sz w:val="20"/>
                <w:szCs w:val="20"/>
              </w:rPr>
              <w:t>performance 6</w:t>
            </w:r>
            <w:r w:rsidR="00A80EE2" w:rsidRPr="00A3505C">
              <w:rPr>
                <w:rFonts w:ascii="Times New Roman" w:hAnsi="Times New Roman" w:cs="Times New Roman"/>
                <w:sz w:val="20"/>
                <w:szCs w:val="20"/>
              </w:rPr>
              <w:t xml:space="preserve"> is the indicator variable equals one when firm-year observations have environmental emergency countermeasures</w:t>
            </w:r>
            <w:r w:rsidR="00DA6F05" w:rsidRPr="00A3505C">
              <w:rPr>
                <w:rFonts w:ascii="Times New Roman" w:hAnsi="Times New Roman" w:cs="Times New Roman"/>
                <w:sz w:val="20"/>
                <w:szCs w:val="20"/>
              </w:rPr>
              <w:t xml:space="preserve">, and zero otherwise;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DA6F05" w:rsidRPr="00A3505C">
              <w:rPr>
                <w:rFonts w:ascii="Times New Roman" w:hAnsi="Times New Roman" w:cs="Times New Roman"/>
                <w:i/>
                <w:iCs/>
                <w:sz w:val="20"/>
                <w:szCs w:val="20"/>
              </w:rPr>
              <w:t>performance 7</w:t>
            </w:r>
            <w:r w:rsidR="00DA6F05" w:rsidRPr="00A3505C">
              <w:rPr>
                <w:rFonts w:ascii="Times New Roman" w:hAnsi="Times New Roman" w:cs="Times New Roman"/>
                <w:sz w:val="20"/>
                <w:szCs w:val="20"/>
              </w:rPr>
              <w:t xml:space="preserve"> is the indicator variable equals one when firm-year observations disclose the information on environmental reward, and zero otherwise;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DA6F05" w:rsidRPr="00A3505C">
              <w:rPr>
                <w:rFonts w:ascii="Times New Roman" w:hAnsi="Times New Roman" w:cs="Times New Roman"/>
                <w:i/>
                <w:iCs/>
                <w:sz w:val="20"/>
                <w:szCs w:val="20"/>
              </w:rPr>
              <w:t>performance 8</w:t>
            </w:r>
            <w:r w:rsidR="00DA6F05" w:rsidRPr="00A3505C">
              <w:rPr>
                <w:rFonts w:ascii="Times New Roman" w:hAnsi="Times New Roman" w:cs="Times New Roman"/>
                <w:sz w:val="20"/>
                <w:szCs w:val="20"/>
              </w:rPr>
              <w:t xml:space="preserve"> is the indicator variable equals one when firm-year observations have</w:t>
            </w:r>
            <w:r w:rsidR="00315EBE" w:rsidRPr="00A3505C">
              <w:rPr>
                <w:rFonts w:ascii="Times New Roman" w:hAnsi="Times New Roman" w:cs="Times New Roman"/>
                <w:sz w:val="20"/>
                <w:szCs w:val="20"/>
              </w:rPr>
              <w:t xml:space="preserve"> been</w:t>
            </w:r>
            <w:r w:rsidR="00DA6F05" w:rsidRPr="00A3505C">
              <w:rPr>
                <w:rFonts w:ascii="Times New Roman" w:hAnsi="Times New Roman" w:cs="Times New Roman"/>
                <w:sz w:val="20"/>
                <w:szCs w:val="20"/>
              </w:rPr>
              <w:t xml:space="preserve"> granted ISO14001 (international standard of environmental protection), and zero otherwise</w:t>
            </w:r>
            <w:r w:rsidR="00315EBE"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315EBE" w:rsidRPr="00A3505C">
              <w:rPr>
                <w:rFonts w:ascii="Times New Roman" w:hAnsi="Times New Roman" w:cs="Times New Roman"/>
                <w:i/>
                <w:iCs/>
                <w:sz w:val="20"/>
                <w:szCs w:val="20"/>
              </w:rPr>
              <w:t>performance 9</w:t>
            </w:r>
            <w:r w:rsidR="00315EBE" w:rsidRPr="00A3505C">
              <w:rPr>
                <w:rFonts w:ascii="Times New Roman" w:hAnsi="Times New Roman" w:cs="Times New Roman"/>
                <w:sz w:val="20"/>
                <w:szCs w:val="20"/>
              </w:rPr>
              <w:t xml:space="preserve"> is the indicator variable equals one when firm-year observations have been granted ISO9001 (international standard of quality management), and zero otherwise;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315EBE" w:rsidRPr="00A3505C">
              <w:rPr>
                <w:rFonts w:ascii="Times New Roman" w:hAnsi="Times New Roman" w:cs="Times New Roman"/>
                <w:i/>
                <w:iCs/>
                <w:sz w:val="20"/>
                <w:szCs w:val="20"/>
              </w:rPr>
              <w:t>performance 10</w:t>
            </w:r>
            <w:r w:rsidR="00315EBE" w:rsidRPr="00A3505C">
              <w:rPr>
                <w:rFonts w:ascii="Times New Roman" w:hAnsi="Times New Roman" w:cs="Times New Roman"/>
                <w:sz w:val="20"/>
                <w:szCs w:val="20"/>
              </w:rPr>
              <w:t xml:space="preserve"> is the indicator variable equals one when firm-year observations </w:t>
            </w:r>
            <w:r w:rsidR="003D7284" w:rsidRPr="00A3505C">
              <w:rPr>
                <w:rFonts w:ascii="Times New Roman" w:hAnsi="Times New Roman" w:cs="Times New Roman"/>
                <w:sz w:val="20"/>
                <w:szCs w:val="20"/>
              </w:rPr>
              <w:t xml:space="preserve">are managed by CEOs with environmental </w:t>
            </w:r>
            <w:r w:rsidR="002D313F" w:rsidRPr="00A3505C">
              <w:rPr>
                <w:rFonts w:ascii="Times New Roman" w:hAnsi="Times New Roman" w:cs="Times New Roman"/>
                <w:sz w:val="20"/>
                <w:szCs w:val="20"/>
              </w:rPr>
              <w:t>expertise</w:t>
            </w:r>
            <w:r w:rsidR="003D7284" w:rsidRPr="00A3505C">
              <w:rPr>
                <w:rFonts w:ascii="Times New Roman" w:hAnsi="Times New Roman" w:cs="Times New Roman"/>
                <w:sz w:val="20"/>
                <w:szCs w:val="20"/>
              </w:rPr>
              <w:t xml:space="preserve">, </w:t>
            </w:r>
            <w:r w:rsidR="00315EBE" w:rsidRPr="00A3505C">
              <w:rPr>
                <w:rFonts w:ascii="Times New Roman" w:hAnsi="Times New Roman" w:cs="Times New Roman"/>
                <w:sz w:val="20"/>
                <w:szCs w:val="20"/>
              </w:rPr>
              <w:t>and zero otherwise</w:t>
            </w:r>
            <w:r w:rsidR="002D313F" w:rsidRPr="00A3505C">
              <w:rPr>
                <w:rFonts w:ascii="Times New Roman" w:hAnsi="Times New Roman" w:cs="Times New Roman"/>
                <w:sz w:val="20"/>
                <w:szCs w:val="20"/>
              </w:rPr>
              <w:t xml:space="preserve">; </w:t>
            </w:r>
            <w:r w:rsidR="00E53248" w:rsidRPr="00A3505C">
              <w:rPr>
                <w:rFonts w:ascii="Times New Roman" w:hAnsi="Times New Roman" w:cs="Times New Roman"/>
                <w:i/>
                <w:iCs/>
                <w:sz w:val="20"/>
                <w:szCs w:val="20"/>
              </w:rPr>
              <w:t>CSR</w:t>
            </w:r>
            <w:r w:rsidR="00E53248" w:rsidRPr="00A3505C" w:rsidDel="00E53248">
              <w:rPr>
                <w:rFonts w:ascii="Times New Roman" w:hAnsi="Times New Roman" w:cs="Times New Roman"/>
                <w:i/>
                <w:iCs/>
                <w:sz w:val="20"/>
                <w:szCs w:val="20"/>
              </w:rPr>
              <w:t xml:space="preserve"> </w:t>
            </w:r>
            <w:r w:rsidR="002D313F" w:rsidRPr="00A3505C">
              <w:rPr>
                <w:rFonts w:ascii="Times New Roman" w:hAnsi="Times New Roman" w:cs="Times New Roman"/>
                <w:i/>
                <w:iCs/>
                <w:sz w:val="20"/>
                <w:szCs w:val="20"/>
              </w:rPr>
              <w:t xml:space="preserve">performance </w:t>
            </w:r>
            <w:r w:rsidR="005316CB" w:rsidRPr="00A3505C">
              <w:rPr>
                <w:rFonts w:ascii="Times New Roman" w:hAnsi="Times New Roman" w:cs="Times New Roman"/>
                <w:i/>
                <w:iCs/>
                <w:sz w:val="20"/>
                <w:szCs w:val="20"/>
              </w:rPr>
              <w:t>11</w:t>
            </w:r>
            <w:r w:rsidR="002D313F" w:rsidRPr="00A3505C">
              <w:rPr>
                <w:rFonts w:ascii="Times New Roman" w:hAnsi="Times New Roman" w:cs="Times New Roman"/>
                <w:sz w:val="20"/>
                <w:szCs w:val="20"/>
              </w:rPr>
              <w:t xml:space="preserve"> is the indicator variable equals one when </w:t>
            </w:r>
            <w:r w:rsidR="00A732F0" w:rsidRPr="00A3505C">
              <w:rPr>
                <w:rFonts w:ascii="Times New Roman" w:hAnsi="Times New Roman" w:cs="Times New Roman"/>
                <w:sz w:val="20"/>
                <w:szCs w:val="20"/>
              </w:rPr>
              <w:t>the</w:t>
            </w:r>
            <w:r w:rsidR="00013677" w:rsidRPr="00A3505C">
              <w:rPr>
                <w:rFonts w:ascii="Times New Roman" w:hAnsi="Times New Roman" w:cs="Times New Roman"/>
                <w:sz w:val="20"/>
                <w:szCs w:val="20"/>
              </w:rPr>
              <w:t xml:space="preserve"> number of </w:t>
            </w:r>
            <w:r w:rsidR="00EB473B" w:rsidRPr="00A3505C">
              <w:rPr>
                <w:rFonts w:ascii="Times New Roman" w:hAnsi="Times New Roman" w:cs="Times New Roman"/>
                <w:sz w:val="20"/>
                <w:szCs w:val="20"/>
              </w:rPr>
              <w:t xml:space="preserve">board </w:t>
            </w:r>
            <w:r w:rsidR="00013677" w:rsidRPr="00A3505C">
              <w:rPr>
                <w:rFonts w:ascii="Times New Roman" w:hAnsi="Times New Roman" w:cs="Times New Roman"/>
                <w:sz w:val="20"/>
                <w:szCs w:val="20"/>
              </w:rPr>
              <w:t xml:space="preserve">directors </w:t>
            </w:r>
            <w:r w:rsidR="00EB473B" w:rsidRPr="00A3505C">
              <w:rPr>
                <w:rFonts w:ascii="Times New Roman" w:hAnsi="Times New Roman" w:cs="Times New Roman"/>
                <w:sz w:val="20"/>
                <w:szCs w:val="20"/>
              </w:rPr>
              <w:t xml:space="preserve">with environmental expertise </w:t>
            </w:r>
            <w:r w:rsidR="00013677" w:rsidRPr="00A3505C">
              <w:rPr>
                <w:rFonts w:ascii="Times New Roman" w:hAnsi="Times New Roman" w:cs="Times New Roman"/>
                <w:sz w:val="20"/>
                <w:szCs w:val="20"/>
              </w:rPr>
              <w:t>are above the sample median</w:t>
            </w:r>
            <w:r w:rsidR="002D313F" w:rsidRPr="00A3505C">
              <w:rPr>
                <w:rFonts w:ascii="Times New Roman" w:hAnsi="Times New Roman" w:cs="Times New Roman"/>
                <w:sz w:val="20"/>
                <w:szCs w:val="20"/>
              </w:rPr>
              <w:t xml:space="preserve"> , and zero otherwise</w:t>
            </w:r>
          </w:p>
        </w:tc>
      </w:tr>
      <w:tr w:rsidR="00A3505C" w:rsidRPr="00A3505C" w14:paraId="0D61F707" w14:textId="77777777" w:rsidTr="00E37751">
        <w:trPr>
          <w:trHeight w:val="299"/>
          <w:jc w:val="center"/>
        </w:trPr>
        <w:tc>
          <w:tcPr>
            <w:tcW w:w="1168" w:type="pct"/>
            <w:tcBorders>
              <w:left w:val="nil"/>
              <w:right w:val="nil"/>
            </w:tcBorders>
          </w:tcPr>
          <w:p w14:paraId="6237C3C5" w14:textId="12D6B40F" w:rsidR="00427E90" w:rsidRPr="00A3505C" w:rsidRDefault="00427E90"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i/>
                <w:iCs/>
                <w:sz w:val="20"/>
                <w:szCs w:val="20"/>
              </w:rPr>
              <w:lastRenderedPageBreak/>
              <w:t>CSR Activities</w:t>
            </w:r>
          </w:p>
        </w:tc>
        <w:tc>
          <w:tcPr>
            <w:tcW w:w="3832" w:type="pct"/>
            <w:tcBorders>
              <w:left w:val="nil"/>
              <w:right w:val="nil"/>
            </w:tcBorders>
          </w:tcPr>
          <w:p w14:paraId="105E514F" w14:textId="0E989F02"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w:t>
            </w:r>
            <w:r w:rsidR="00EC1E64" w:rsidRPr="00A3505C">
              <w:rPr>
                <w:rFonts w:ascii="Times New Roman" w:hAnsi="Times New Roman" w:cs="Times New Roman"/>
                <w:sz w:val="20"/>
                <w:szCs w:val="20"/>
              </w:rPr>
              <w:t>firm</w:t>
            </w:r>
            <w:r w:rsidR="00AC4FB1" w:rsidRPr="00A3505C">
              <w:rPr>
                <w:rFonts w:ascii="Times New Roman" w:hAnsi="Times New Roman" w:cs="Times New Roman"/>
                <w:sz w:val="20"/>
                <w:szCs w:val="20"/>
              </w:rPr>
              <w:t>’s CSR activities index is calculated by summing up</w:t>
            </w:r>
            <w:r w:rsidRPr="00A3505C">
              <w:rPr>
                <w:rFonts w:ascii="Times New Roman" w:hAnsi="Times New Roman" w:cs="Times New Roman"/>
                <w:sz w:val="20"/>
                <w:szCs w:val="20"/>
              </w:rPr>
              <w:t xml:space="preserve"> twelve indicator</w:t>
            </w:r>
            <w:r w:rsidR="00EC1E64" w:rsidRPr="00A3505C">
              <w:rPr>
                <w:rFonts w:ascii="Times New Roman" w:hAnsi="Times New Roman" w:cs="Times New Roman"/>
                <w:sz w:val="20"/>
                <w:szCs w:val="20"/>
              </w:rPr>
              <w:t xml:space="preserve"> variables </w:t>
            </w:r>
            <w:r w:rsidRPr="00A3505C">
              <w:rPr>
                <w:rFonts w:ascii="Times New Roman" w:hAnsi="Times New Roman" w:cs="Times New Roman"/>
                <w:sz w:val="20"/>
                <w:szCs w:val="20"/>
              </w:rPr>
              <w:t xml:space="preserve">of CSR activities. Specifically, </w:t>
            </w:r>
            <w:r w:rsidRPr="00A3505C">
              <w:rPr>
                <w:rFonts w:ascii="Times New Roman" w:hAnsi="Times New Roman" w:cs="Times New Roman"/>
                <w:i/>
                <w:iCs/>
                <w:sz w:val="20"/>
                <w:szCs w:val="20"/>
              </w:rPr>
              <w:t>CSR Activity 1</w:t>
            </w:r>
            <w:r w:rsidRPr="00A3505C">
              <w:rPr>
                <w:rFonts w:ascii="Times New Roman" w:hAnsi="Times New Roman" w:cs="Times New Roman"/>
                <w:sz w:val="20"/>
                <w:szCs w:val="20"/>
              </w:rPr>
              <w:t xml:space="preserve"> is the indicator variable equals one when firm-year observations disclose the information on third-party verification, and zero otherwise; </w:t>
            </w:r>
            <w:r w:rsidRPr="00A3505C">
              <w:rPr>
                <w:rFonts w:ascii="Times New Roman" w:hAnsi="Times New Roman" w:cs="Times New Roman"/>
                <w:i/>
                <w:iCs/>
                <w:sz w:val="20"/>
                <w:szCs w:val="20"/>
              </w:rPr>
              <w:t>CSR Activity 2</w:t>
            </w:r>
            <w:r w:rsidRPr="00A3505C">
              <w:rPr>
                <w:rFonts w:ascii="Times New Roman" w:hAnsi="Times New Roman" w:cs="Times New Roman"/>
                <w:sz w:val="20"/>
                <w:szCs w:val="20"/>
              </w:rPr>
              <w:t xml:space="preserve"> is the indicator variable equals one when firm-year observations disclose the information on compliance with GRI sustainability reporting guidelines, and zero otherwise; </w:t>
            </w:r>
            <w:r w:rsidRPr="00A3505C">
              <w:rPr>
                <w:rFonts w:ascii="Times New Roman" w:hAnsi="Times New Roman" w:cs="Times New Roman"/>
                <w:i/>
                <w:iCs/>
                <w:sz w:val="20"/>
                <w:szCs w:val="20"/>
              </w:rPr>
              <w:t>CSR Activity 3</w:t>
            </w:r>
            <w:r w:rsidRPr="00A3505C">
              <w:rPr>
                <w:rFonts w:ascii="Times New Roman" w:hAnsi="Times New Roman" w:cs="Times New Roman"/>
                <w:sz w:val="20"/>
                <w:szCs w:val="20"/>
              </w:rPr>
              <w:t xml:space="preserve"> is the indicator variable equals one when firm-year observations disclose the information on shareholder protection, and zero otherwise; </w:t>
            </w:r>
            <w:r w:rsidRPr="00A3505C">
              <w:rPr>
                <w:rFonts w:ascii="Times New Roman" w:hAnsi="Times New Roman" w:cs="Times New Roman"/>
                <w:i/>
                <w:iCs/>
                <w:sz w:val="20"/>
                <w:szCs w:val="20"/>
              </w:rPr>
              <w:t>CSR Activity 4</w:t>
            </w:r>
            <w:r w:rsidRPr="00A3505C">
              <w:rPr>
                <w:rFonts w:ascii="Times New Roman" w:hAnsi="Times New Roman" w:cs="Times New Roman"/>
                <w:sz w:val="20"/>
                <w:szCs w:val="20"/>
              </w:rPr>
              <w:t xml:space="preserve"> is the indicator variable equals one when firm-year observations disclose the information on debtholder protection, and zero otherwise; </w:t>
            </w:r>
            <w:r w:rsidRPr="00A3505C">
              <w:rPr>
                <w:rFonts w:ascii="Times New Roman" w:hAnsi="Times New Roman" w:cs="Times New Roman"/>
                <w:i/>
                <w:iCs/>
                <w:sz w:val="20"/>
                <w:szCs w:val="20"/>
              </w:rPr>
              <w:t>CSR Activity 5</w:t>
            </w:r>
            <w:r w:rsidRPr="00A3505C">
              <w:rPr>
                <w:rFonts w:ascii="Times New Roman" w:hAnsi="Times New Roman" w:cs="Times New Roman"/>
                <w:sz w:val="20"/>
                <w:szCs w:val="20"/>
              </w:rPr>
              <w:t xml:space="preserve"> is the indicator variable equals one when firm-year observations disclose the information on employee protection, and zero otherwise; </w:t>
            </w:r>
            <w:r w:rsidRPr="00A3505C">
              <w:rPr>
                <w:rFonts w:ascii="Times New Roman" w:hAnsi="Times New Roman" w:cs="Times New Roman"/>
                <w:i/>
                <w:iCs/>
                <w:sz w:val="20"/>
                <w:szCs w:val="20"/>
              </w:rPr>
              <w:t>CSR Activity 6</w:t>
            </w:r>
            <w:r w:rsidRPr="00A3505C">
              <w:rPr>
                <w:rFonts w:ascii="Times New Roman" w:hAnsi="Times New Roman" w:cs="Times New Roman"/>
                <w:sz w:val="20"/>
                <w:szCs w:val="20"/>
              </w:rPr>
              <w:t xml:space="preserve"> is the indicator variable equals one when firm-year observations disclose the information on supplier protection, and zero otherwise; </w:t>
            </w:r>
            <w:r w:rsidRPr="00A3505C">
              <w:rPr>
                <w:rFonts w:ascii="Times New Roman" w:hAnsi="Times New Roman" w:cs="Times New Roman"/>
                <w:i/>
                <w:iCs/>
                <w:sz w:val="20"/>
                <w:szCs w:val="20"/>
              </w:rPr>
              <w:t>CSR Activity 7</w:t>
            </w:r>
            <w:r w:rsidRPr="00A3505C">
              <w:rPr>
                <w:rFonts w:ascii="Times New Roman" w:hAnsi="Times New Roman" w:cs="Times New Roman"/>
                <w:sz w:val="20"/>
                <w:szCs w:val="20"/>
              </w:rPr>
              <w:t xml:space="preserve"> is the indicator variable equals one when firm-year observations disclose the information on customer protection, and zero otherwise; </w:t>
            </w:r>
            <w:r w:rsidRPr="00A3505C">
              <w:rPr>
                <w:rFonts w:ascii="Times New Roman" w:hAnsi="Times New Roman" w:cs="Times New Roman"/>
                <w:i/>
                <w:iCs/>
                <w:sz w:val="20"/>
                <w:szCs w:val="20"/>
              </w:rPr>
              <w:t>CSR Activity 8</w:t>
            </w:r>
            <w:r w:rsidRPr="00A3505C">
              <w:rPr>
                <w:rFonts w:ascii="Times New Roman" w:hAnsi="Times New Roman" w:cs="Times New Roman"/>
                <w:sz w:val="20"/>
                <w:szCs w:val="20"/>
              </w:rPr>
              <w:t xml:space="preserve"> is the indicator variable equals one when firm-year observations disclose the information on environmental and sustainable development initiatives, and zero otherwise; </w:t>
            </w:r>
            <w:r w:rsidRPr="00A3505C">
              <w:rPr>
                <w:rFonts w:ascii="Times New Roman" w:hAnsi="Times New Roman" w:cs="Times New Roman"/>
                <w:i/>
                <w:iCs/>
                <w:sz w:val="20"/>
                <w:szCs w:val="20"/>
              </w:rPr>
              <w:t>CSR Activity 9</w:t>
            </w:r>
            <w:r w:rsidRPr="00A3505C">
              <w:rPr>
                <w:rFonts w:ascii="Times New Roman" w:hAnsi="Times New Roman" w:cs="Times New Roman"/>
                <w:sz w:val="20"/>
                <w:szCs w:val="20"/>
              </w:rPr>
              <w:t xml:space="preserve"> is the indicator variable equals one when firm-year observations disclose the information on public relations and social welfare activities, and zero otherwise; </w:t>
            </w:r>
            <w:r w:rsidRPr="00A3505C">
              <w:rPr>
                <w:rFonts w:ascii="Times New Roman" w:hAnsi="Times New Roman" w:cs="Times New Roman"/>
                <w:i/>
                <w:iCs/>
                <w:sz w:val="20"/>
                <w:szCs w:val="20"/>
              </w:rPr>
              <w:t>CSR Activity 10</w:t>
            </w:r>
            <w:r w:rsidRPr="00A3505C">
              <w:rPr>
                <w:rFonts w:ascii="Times New Roman" w:hAnsi="Times New Roman" w:cs="Times New Roman"/>
                <w:sz w:val="20"/>
                <w:szCs w:val="20"/>
              </w:rPr>
              <w:t xml:space="preserve"> is the indicator variable equals one when firm-year observations disclose the information on construction and improvement of social responsibility systems, and zero otherwise; </w:t>
            </w:r>
            <w:r w:rsidRPr="00A3505C">
              <w:rPr>
                <w:rFonts w:ascii="Times New Roman" w:hAnsi="Times New Roman" w:cs="Times New Roman"/>
                <w:i/>
                <w:iCs/>
                <w:sz w:val="20"/>
                <w:szCs w:val="20"/>
              </w:rPr>
              <w:t>CSR Activity 11</w:t>
            </w:r>
            <w:r w:rsidRPr="00A3505C">
              <w:rPr>
                <w:rFonts w:ascii="Times New Roman" w:hAnsi="Times New Roman" w:cs="Times New Roman"/>
                <w:sz w:val="20"/>
                <w:szCs w:val="20"/>
              </w:rPr>
              <w:t xml:space="preserve"> is the indicator variable equals one when firm-year observations disclose the information on workplace safety, and zero otherwise; </w:t>
            </w:r>
            <w:r w:rsidRPr="00A3505C">
              <w:rPr>
                <w:rFonts w:ascii="Times New Roman" w:hAnsi="Times New Roman" w:cs="Times New Roman"/>
                <w:i/>
                <w:iCs/>
                <w:sz w:val="20"/>
                <w:szCs w:val="20"/>
              </w:rPr>
              <w:t>CSR Activity 12</w:t>
            </w:r>
            <w:r w:rsidRPr="00A3505C">
              <w:rPr>
                <w:rFonts w:ascii="Times New Roman" w:hAnsi="Times New Roman" w:cs="Times New Roman"/>
                <w:sz w:val="20"/>
                <w:szCs w:val="20"/>
              </w:rPr>
              <w:t xml:space="preserve"> is the indicator variable equals one when firm-year observations disclose the information on identification of potential deficiencies in current activities, and zero otherwise</w:t>
            </w:r>
          </w:p>
        </w:tc>
      </w:tr>
      <w:tr w:rsidR="00A3505C" w:rsidRPr="00A3505C" w14:paraId="4F6B3A30" w14:textId="77777777" w:rsidTr="00E37751">
        <w:trPr>
          <w:trHeight w:val="299"/>
          <w:jc w:val="center"/>
        </w:trPr>
        <w:tc>
          <w:tcPr>
            <w:tcW w:w="1168" w:type="pct"/>
            <w:tcBorders>
              <w:left w:val="nil"/>
              <w:right w:val="nil"/>
            </w:tcBorders>
          </w:tcPr>
          <w:p w14:paraId="36B9F44B" w14:textId="3BD58B4D" w:rsidR="00427E90" w:rsidRPr="00A3505C" w:rsidRDefault="00427E90"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i/>
                <w:iCs/>
                <w:sz w:val="20"/>
                <w:szCs w:val="20"/>
              </w:rPr>
              <w:t>CSR Scores</w:t>
            </w:r>
          </w:p>
        </w:tc>
        <w:tc>
          <w:tcPr>
            <w:tcW w:w="3832" w:type="pct"/>
            <w:tcBorders>
              <w:left w:val="nil"/>
              <w:right w:val="nil"/>
            </w:tcBorders>
          </w:tcPr>
          <w:p w14:paraId="16DDA0B7" w14:textId="156A292D" w:rsidR="00427E90" w:rsidRPr="00A3505C" w:rsidRDefault="006B079F"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CSR performance scores </w:t>
            </w:r>
            <w:r w:rsidR="009458CB" w:rsidRPr="00A3505C">
              <w:rPr>
                <w:rFonts w:ascii="Times New Roman" w:hAnsi="Times New Roman" w:cs="Times New Roman"/>
                <w:sz w:val="20"/>
                <w:szCs w:val="20"/>
              </w:rPr>
              <w:t xml:space="preserve">assessed by the Rankins </w:t>
            </w:r>
            <w:r w:rsidR="003B38CE" w:rsidRPr="00A3505C">
              <w:rPr>
                <w:rFonts w:ascii="Times New Roman" w:hAnsi="Times New Roman" w:cs="Times New Roman"/>
                <w:sz w:val="20"/>
                <w:szCs w:val="20"/>
              </w:rPr>
              <w:t>CSR R</w:t>
            </w:r>
            <w:r w:rsidR="009458CB" w:rsidRPr="00A3505C">
              <w:rPr>
                <w:rFonts w:ascii="Times New Roman" w:hAnsi="Times New Roman" w:cs="Times New Roman"/>
                <w:sz w:val="20"/>
                <w:szCs w:val="20"/>
              </w:rPr>
              <w:t>ating</w:t>
            </w:r>
            <w:r w:rsidR="003B38CE" w:rsidRPr="00A3505C">
              <w:rPr>
                <w:rFonts w:ascii="Times New Roman" w:hAnsi="Times New Roman" w:cs="Times New Roman"/>
                <w:sz w:val="20"/>
                <w:szCs w:val="20"/>
              </w:rPr>
              <w:t>s</w:t>
            </w:r>
          </w:p>
        </w:tc>
      </w:tr>
      <w:tr w:rsidR="00A3505C" w:rsidRPr="00A3505C" w14:paraId="7BE97173" w14:textId="77777777" w:rsidTr="00E37751">
        <w:trPr>
          <w:trHeight w:val="299"/>
          <w:jc w:val="center"/>
        </w:trPr>
        <w:tc>
          <w:tcPr>
            <w:tcW w:w="5000" w:type="pct"/>
            <w:gridSpan w:val="2"/>
            <w:tcBorders>
              <w:left w:val="nil"/>
              <w:right w:val="nil"/>
            </w:tcBorders>
          </w:tcPr>
          <w:p w14:paraId="214F57D6" w14:textId="77777777" w:rsidR="00427E90" w:rsidRPr="00A3505C" w:rsidRDefault="00427E90" w:rsidP="006C53B9">
            <w:pPr>
              <w:adjustRightInd w:val="0"/>
              <w:snapToGrid w:val="0"/>
              <w:spacing w:after="0" w:line="240" w:lineRule="auto"/>
              <w:jc w:val="both"/>
              <w:rPr>
                <w:rFonts w:ascii="Times New Roman" w:hAnsi="Times New Roman" w:cs="Times New Roman"/>
                <w:b/>
                <w:bCs/>
                <w:sz w:val="20"/>
                <w:szCs w:val="20"/>
              </w:rPr>
            </w:pPr>
            <w:r w:rsidRPr="00A3505C">
              <w:rPr>
                <w:rFonts w:ascii="Times New Roman" w:hAnsi="Times New Roman" w:cs="Times New Roman"/>
                <w:b/>
                <w:bCs/>
                <w:sz w:val="20"/>
                <w:szCs w:val="20"/>
              </w:rPr>
              <w:t>Control variables</w:t>
            </w:r>
          </w:p>
        </w:tc>
      </w:tr>
      <w:tr w:rsidR="00A3505C" w:rsidRPr="00A3505C" w14:paraId="799FEB54" w14:textId="77777777" w:rsidTr="00E37751">
        <w:trPr>
          <w:trHeight w:val="299"/>
          <w:jc w:val="center"/>
        </w:trPr>
        <w:tc>
          <w:tcPr>
            <w:tcW w:w="1168" w:type="pct"/>
            <w:tcBorders>
              <w:left w:val="nil"/>
              <w:right w:val="nil"/>
            </w:tcBorders>
          </w:tcPr>
          <w:p w14:paraId="45B23845"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Size</w:t>
            </w:r>
          </w:p>
        </w:tc>
        <w:tc>
          <w:tcPr>
            <w:tcW w:w="3832" w:type="pct"/>
            <w:tcBorders>
              <w:left w:val="nil"/>
              <w:right w:val="nil"/>
            </w:tcBorders>
          </w:tcPr>
          <w:p w14:paraId="612593B2" w14:textId="2AFAF599" w:rsidR="00427E90" w:rsidRPr="00A3505C" w:rsidRDefault="009168CA"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l</w:t>
            </w:r>
            <w:r w:rsidR="00427E90" w:rsidRPr="00A3505C">
              <w:rPr>
                <w:rFonts w:ascii="Times New Roman" w:hAnsi="Times New Roman" w:cs="Times New Roman"/>
                <w:sz w:val="20"/>
                <w:szCs w:val="20"/>
              </w:rPr>
              <w:t>ogarithmic value of total assets</w:t>
            </w:r>
          </w:p>
        </w:tc>
      </w:tr>
      <w:tr w:rsidR="00A3505C" w:rsidRPr="00A3505C" w14:paraId="158A711D" w14:textId="77777777" w:rsidTr="00E37751">
        <w:trPr>
          <w:trHeight w:val="299"/>
          <w:jc w:val="center"/>
        </w:trPr>
        <w:tc>
          <w:tcPr>
            <w:tcW w:w="1168" w:type="pct"/>
            <w:tcBorders>
              <w:left w:val="nil"/>
              <w:right w:val="nil"/>
            </w:tcBorders>
          </w:tcPr>
          <w:p w14:paraId="0713E34A"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SOE</w:t>
            </w:r>
          </w:p>
        </w:tc>
        <w:tc>
          <w:tcPr>
            <w:tcW w:w="3832" w:type="pct"/>
            <w:tcBorders>
              <w:left w:val="nil"/>
              <w:right w:val="nil"/>
            </w:tcBorders>
          </w:tcPr>
          <w:p w14:paraId="21034568" w14:textId="77777777"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firm’s ownership structure equals one when firm </w:t>
            </w:r>
            <w:r w:rsidRPr="00A3505C">
              <w:rPr>
                <w:rFonts w:ascii="Times New Roman" w:hAnsi="Times New Roman" w:cs="Times New Roman"/>
                <w:i/>
                <w:iCs/>
                <w:sz w:val="20"/>
                <w:szCs w:val="20"/>
              </w:rPr>
              <w:t>i</w:t>
            </w:r>
            <w:r w:rsidRPr="00A3505C">
              <w:rPr>
                <w:rFonts w:ascii="Times New Roman" w:hAnsi="Times New Roman" w:cs="Times New Roman"/>
                <w:sz w:val="20"/>
                <w:szCs w:val="20"/>
              </w:rPr>
              <w:t xml:space="preserve"> is a state-owned enterprise in year </w:t>
            </w:r>
            <w:r w:rsidRPr="00A3505C">
              <w:rPr>
                <w:rFonts w:ascii="Times New Roman" w:hAnsi="Times New Roman" w:cs="Times New Roman"/>
                <w:i/>
                <w:iCs/>
                <w:sz w:val="20"/>
                <w:szCs w:val="20"/>
              </w:rPr>
              <w:t>t</w:t>
            </w:r>
            <w:r w:rsidRPr="00A3505C">
              <w:rPr>
                <w:rFonts w:ascii="Times New Roman" w:hAnsi="Times New Roman" w:cs="Times New Roman"/>
                <w:sz w:val="20"/>
                <w:szCs w:val="20"/>
              </w:rPr>
              <w:t>, and zero otherwise</w:t>
            </w:r>
          </w:p>
        </w:tc>
      </w:tr>
      <w:tr w:rsidR="00A3505C" w:rsidRPr="00A3505C" w14:paraId="56470834" w14:textId="77777777" w:rsidTr="00E37751">
        <w:trPr>
          <w:trHeight w:val="299"/>
          <w:jc w:val="center"/>
        </w:trPr>
        <w:tc>
          <w:tcPr>
            <w:tcW w:w="1168" w:type="pct"/>
            <w:tcBorders>
              <w:left w:val="nil"/>
              <w:right w:val="nil"/>
            </w:tcBorders>
          </w:tcPr>
          <w:p w14:paraId="5F7EE3DD"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BTM</w:t>
            </w:r>
          </w:p>
        </w:tc>
        <w:tc>
          <w:tcPr>
            <w:tcW w:w="3832" w:type="pct"/>
            <w:tcBorders>
              <w:left w:val="nil"/>
              <w:right w:val="nil"/>
            </w:tcBorders>
          </w:tcPr>
          <w:p w14:paraId="21F8865B" w14:textId="77777777"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Book-to-market ratio</w:t>
            </w:r>
            <w:r w:rsidRPr="00A3505C">
              <w:rPr>
                <w:rFonts w:ascii="Times New Roman" w:hAnsi="Times New Roman" w:cs="Times New Roman"/>
                <w:sz w:val="20"/>
                <w:szCs w:val="20"/>
              </w:rPr>
              <w:tab/>
            </w:r>
          </w:p>
        </w:tc>
      </w:tr>
      <w:tr w:rsidR="00A3505C" w:rsidRPr="00A3505C" w14:paraId="4BA1B45C" w14:textId="77777777" w:rsidTr="00E37751">
        <w:trPr>
          <w:trHeight w:val="299"/>
          <w:jc w:val="center"/>
        </w:trPr>
        <w:tc>
          <w:tcPr>
            <w:tcW w:w="1168" w:type="pct"/>
            <w:tcBorders>
              <w:left w:val="nil"/>
              <w:right w:val="nil"/>
            </w:tcBorders>
          </w:tcPr>
          <w:p w14:paraId="7E12A71A"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NWC</w:t>
            </w:r>
          </w:p>
        </w:tc>
        <w:tc>
          <w:tcPr>
            <w:tcW w:w="3832" w:type="pct"/>
            <w:tcBorders>
              <w:left w:val="nil"/>
              <w:right w:val="nil"/>
            </w:tcBorders>
          </w:tcPr>
          <w:p w14:paraId="2CA18616" w14:textId="425171AB" w:rsidR="00427E90" w:rsidRPr="00A3505C" w:rsidRDefault="00D96F1F"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ratio of n</w:t>
            </w:r>
            <w:r w:rsidR="00427E90" w:rsidRPr="00A3505C">
              <w:rPr>
                <w:rFonts w:ascii="Times New Roman" w:hAnsi="Times New Roman" w:cs="Times New Roman"/>
                <w:sz w:val="20"/>
                <w:szCs w:val="20"/>
              </w:rPr>
              <w:t xml:space="preserve">et working capital </w:t>
            </w:r>
            <w:r w:rsidRPr="00A3505C">
              <w:rPr>
                <w:rFonts w:ascii="Times New Roman" w:hAnsi="Times New Roman" w:cs="Times New Roman"/>
                <w:sz w:val="20"/>
                <w:szCs w:val="20"/>
              </w:rPr>
              <w:t>to</w:t>
            </w:r>
            <w:r w:rsidR="00427E90" w:rsidRPr="00A3505C">
              <w:rPr>
                <w:rFonts w:ascii="Times New Roman" w:hAnsi="Times New Roman" w:cs="Times New Roman"/>
                <w:sz w:val="20"/>
                <w:szCs w:val="20"/>
              </w:rPr>
              <w:t xml:space="preserve"> total assets</w:t>
            </w:r>
          </w:p>
        </w:tc>
      </w:tr>
      <w:tr w:rsidR="00A3505C" w:rsidRPr="00A3505C" w14:paraId="69303199" w14:textId="77777777" w:rsidTr="00E37751">
        <w:trPr>
          <w:trHeight w:val="299"/>
          <w:jc w:val="center"/>
        </w:trPr>
        <w:tc>
          <w:tcPr>
            <w:tcW w:w="1168" w:type="pct"/>
            <w:tcBorders>
              <w:left w:val="nil"/>
              <w:right w:val="nil"/>
            </w:tcBorders>
          </w:tcPr>
          <w:p w14:paraId="15911A5F"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ROA</w:t>
            </w:r>
          </w:p>
        </w:tc>
        <w:tc>
          <w:tcPr>
            <w:tcW w:w="3832" w:type="pct"/>
            <w:tcBorders>
              <w:left w:val="nil"/>
              <w:right w:val="nil"/>
            </w:tcBorders>
          </w:tcPr>
          <w:p w14:paraId="7AAD6608" w14:textId="65398B5D" w:rsidR="00427E90" w:rsidRPr="00A3505C" w:rsidRDefault="00D96F1F"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ratio of net income to total assets</w:t>
            </w:r>
          </w:p>
        </w:tc>
      </w:tr>
      <w:tr w:rsidR="00A3505C" w:rsidRPr="00A3505C" w14:paraId="4E3FDCB6" w14:textId="77777777" w:rsidTr="00E37751">
        <w:trPr>
          <w:trHeight w:val="299"/>
          <w:jc w:val="center"/>
        </w:trPr>
        <w:tc>
          <w:tcPr>
            <w:tcW w:w="1168" w:type="pct"/>
            <w:tcBorders>
              <w:left w:val="nil"/>
              <w:right w:val="nil"/>
            </w:tcBorders>
          </w:tcPr>
          <w:p w14:paraId="606354EB"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lastRenderedPageBreak/>
              <w:t>Cash</w:t>
            </w:r>
          </w:p>
        </w:tc>
        <w:tc>
          <w:tcPr>
            <w:tcW w:w="3832" w:type="pct"/>
            <w:tcBorders>
              <w:left w:val="nil"/>
              <w:right w:val="nil"/>
            </w:tcBorders>
          </w:tcPr>
          <w:p w14:paraId="5DBD9D13" w14:textId="4B6C9C9E" w:rsidR="00427E90" w:rsidRPr="00A3505C" w:rsidRDefault="00D05A9D"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ratio of c</w:t>
            </w:r>
            <w:r w:rsidR="00427E90" w:rsidRPr="00A3505C">
              <w:rPr>
                <w:rFonts w:ascii="Times New Roman" w:hAnsi="Times New Roman" w:cs="Times New Roman"/>
                <w:sz w:val="20"/>
                <w:szCs w:val="20"/>
              </w:rPr>
              <w:t xml:space="preserve">ash and cash </w:t>
            </w:r>
            <w:r w:rsidR="009513AE" w:rsidRPr="00A3505C">
              <w:rPr>
                <w:rFonts w:ascii="Times New Roman" w:hAnsi="Times New Roman" w:cs="Times New Roman"/>
                <w:sz w:val="20"/>
                <w:szCs w:val="20"/>
              </w:rPr>
              <w:t xml:space="preserve">equivalents </w:t>
            </w:r>
            <w:r w:rsidR="00427E90" w:rsidRPr="00A3505C">
              <w:rPr>
                <w:rFonts w:ascii="Times New Roman" w:hAnsi="Times New Roman" w:cs="Times New Roman"/>
                <w:sz w:val="20"/>
                <w:szCs w:val="20"/>
              </w:rPr>
              <w:t>to total assets</w:t>
            </w:r>
          </w:p>
        </w:tc>
      </w:tr>
      <w:tr w:rsidR="00A3505C" w:rsidRPr="00A3505C" w14:paraId="546DBDEF" w14:textId="77777777" w:rsidTr="00E37751">
        <w:trPr>
          <w:trHeight w:val="299"/>
          <w:jc w:val="center"/>
        </w:trPr>
        <w:tc>
          <w:tcPr>
            <w:tcW w:w="1168" w:type="pct"/>
            <w:tcBorders>
              <w:left w:val="nil"/>
              <w:right w:val="nil"/>
            </w:tcBorders>
          </w:tcPr>
          <w:p w14:paraId="3218482D"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Tangible</w:t>
            </w:r>
          </w:p>
        </w:tc>
        <w:tc>
          <w:tcPr>
            <w:tcW w:w="3832" w:type="pct"/>
            <w:tcBorders>
              <w:left w:val="nil"/>
              <w:right w:val="nil"/>
            </w:tcBorders>
          </w:tcPr>
          <w:p w14:paraId="6895C32F" w14:textId="77777777"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Total tangible assets scaled by total assets</w:t>
            </w:r>
          </w:p>
        </w:tc>
      </w:tr>
      <w:tr w:rsidR="00A3505C" w:rsidRPr="00A3505C" w14:paraId="26FAC645" w14:textId="77777777" w:rsidTr="00E37751">
        <w:trPr>
          <w:trHeight w:val="299"/>
          <w:jc w:val="center"/>
        </w:trPr>
        <w:tc>
          <w:tcPr>
            <w:tcW w:w="1168" w:type="pct"/>
            <w:tcBorders>
              <w:left w:val="nil"/>
              <w:right w:val="nil"/>
            </w:tcBorders>
          </w:tcPr>
          <w:p w14:paraId="49BC95B3" w14:textId="77777777" w:rsidR="00427E90" w:rsidRPr="00A3505C" w:rsidRDefault="00427E90" w:rsidP="006C53B9">
            <w:pPr>
              <w:adjustRightInd w:val="0"/>
              <w:snapToGrid w:val="0"/>
              <w:spacing w:after="0" w:line="240" w:lineRule="auto"/>
              <w:jc w:val="both"/>
              <w:rPr>
                <w:rFonts w:ascii="Times New Roman" w:hAnsi="Times New Roman" w:cs="Times New Roman"/>
                <w:i/>
                <w:sz w:val="20"/>
                <w:szCs w:val="20"/>
              </w:rPr>
            </w:pPr>
            <w:r w:rsidRPr="00A3505C">
              <w:rPr>
                <w:rFonts w:ascii="Times New Roman" w:hAnsi="Times New Roman" w:cs="Times New Roman"/>
                <w:i/>
                <w:iCs/>
                <w:sz w:val="20"/>
                <w:szCs w:val="20"/>
              </w:rPr>
              <w:t>Market Share</w:t>
            </w:r>
          </w:p>
        </w:tc>
        <w:tc>
          <w:tcPr>
            <w:tcW w:w="3832" w:type="pct"/>
            <w:tcBorders>
              <w:left w:val="nil"/>
              <w:right w:val="nil"/>
            </w:tcBorders>
          </w:tcPr>
          <w:p w14:paraId="62C7D31C" w14:textId="77777777"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firm’s market share ratio</w:t>
            </w:r>
          </w:p>
        </w:tc>
      </w:tr>
      <w:tr w:rsidR="00A3505C" w:rsidRPr="00A3505C" w14:paraId="26C33B62" w14:textId="77777777" w:rsidTr="00E37751">
        <w:trPr>
          <w:trHeight w:val="285"/>
          <w:jc w:val="center"/>
        </w:trPr>
        <w:tc>
          <w:tcPr>
            <w:tcW w:w="1168" w:type="pct"/>
            <w:tcBorders>
              <w:left w:val="nil"/>
              <w:right w:val="nil"/>
            </w:tcBorders>
          </w:tcPr>
          <w:p w14:paraId="22649EB9" w14:textId="483CE3C6" w:rsidR="00427E90" w:rsidRPr="00A3505C" w:rsidRDefault="0098330A"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eastAsia="DengXian" w:hAnsi="Times New Roman" w:cs="Times New Roman"/>
                <w:i/>
                <w:sz w:val="20"/>
                <w:szCs w:val="20"/>
              </w:rPr>
              <w:t>WW</w:t>
            </w:r>
            <w:r w:rsidR="00427E90" w:rsidRPr="00A3505C">
              <w:rPr>
                <w:rFonts w:ascii="Times New Roman" w:eastAsia="DengXian" w:hAnsi="Times New Roman" w:cs="Times New Roman"/>
                <w:i/>
                <w:sz w:val="20"/>
                <w:szCs w:val="20"/>
              </w:rPr>
              <w:t xml:space="preserve"> Index</w:t>
            </w:r>
          </w:p>
        </w:tc>
        <w:tc>
          <w:tcPr>
            <w:tcW w:w="3832" w:type="pct"/>
            <w:tcBorders>
              <w:top w:val="nil"/>
              <w:left w:val="nil"/>
              <w:right w:val="nil"/>
            </w:tcBorders>
          </w:tcPr>
          <w:p w14:paraId="0929E1AC" w14:textId="289912D6"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 xml:space="preserve">The value of the </w:t>
            </w:r>
            <w:r w:rsidR="0098330A" w:rsidRPr="00A3505C">
              <w:rPr>
                <w:rFonts w:ascii="Times New Roman" w:hAnsi="Times New Roman" w:cs="Times New Roman"/>
                <w:sz w:val="20"/>
                <w:szCs w:val="20"/>
              </w:rPr>
              <w:t>WW</w:t>
            </w:r>
            <w:r w:rsidRPr="00A3505C">
              <w:rPr>
                <w:rFonts w:ascii="Times New Roman" w:hAnsi="Times New Roman" w:cs="Times New Roman"/>
                <w:sz w:val="20"/>
                <w:szCs w:val="20"/>
              </w:rPr>
              <w:t> index, measuring firms’ financial constraints</w:t>
            </w:r>
          </w:p>
        </w:tc>
      </w:tr>
      <w:tr w:rsidR="00DE5202" w:rsidRPr="00A3505C" w14:paraId="3245FA5F" w14:textId="77777777" w:rsidTr="00E37751">
        <w:trPr>
          <w:trHeight w:val="285"/>
          <w:jc w:val="center"/>
        </w:trPr>
        <w:tc>
          <w:tcPr>
            <w:tcW w:w="1168" w:type="pct"/>
            <w:tcBorders>
              <w:left w:val="nil"/>
              <w:bottom w:val="single" w:sz="4" w:space="0" w:color="auto"/>
              <w:right w:val="nil"/>
            </w:tcBorders>
          </w:tcPr>
          <w:p w14:paraId="2AC9E569" w14:textId="77777777" w:rsidR="00427E90" w:rsidRPr="00A3505C" w:rsidRDefault="00427E90" w:rsidP="006C53B9">
            <w:pPr>
              <w:adjustRightInd w:val="0"/>
              <w:snapToGrid w:val="0"/>
              <w:spacing w:after="0" w:line="240" w:lineRule="auto"/>
              <w:jc w:val="both"/>
              <w:rPr>
                <w:rFonts w:ascii="Times New Roman" w:hAnsi="Times New Roman" w:cs="Times New Roman"/>
                <w:i/>
                <w:iCs/>
                <w:sz w:val="20"/>
                <w:szCs w:val="20"/>
              </w:rPr>
            </w:pPr>
            <w:r w:rsidRPr="00A3505C">
              <w:rPr>
                <w:rFonts w:ascii="Times New Roman" w:hAnsi="Times New Roman" w:cs="Times New Roman"/>
                <w:i/>
                <w:iCs/>
                <w:sz w:val="20"/>
                <w:szCs w:val="20"/>
              </w:rPr>
              <w:t>InstitutionInv</w:t>
            </w:r>
          </w:p>
        </w:tc>
        <w:tc>
          <w:tcPr>
            <w:tcW w:w="3832" w:type="pct"/>
            <w:tcBorders>
              <w:top w:val="nil"/>
              <w:left w:val="nil"/>
              <w:bottom w:val="single" w:sz="4" w:space="0" w:color="auto"/>
              <w:right w:val="nil"/>
            </w:tcBorders>
          </w:tcPr>
          <w:p w14:paraId="1E72B993" w14:textId="77777777" w:rsidR="00427E90" w:rsidRPr="00A3505C" w:rsidRDefault="00427E90" w:rsidP="006C53B9">
            <w:pPr>
              <w:adjustRightInd w:val="0"/>
              <w:snapToGrid w:val="0"/>
              <w:spacing w:after="0" w:line="240" w:lineRule="auto"/>
              <w:jc w:val="both"/>
              <w:rPr>
                <w:rFonts w:ascii="Times New Roman" w:hAnsi="Times New Roman" w:cs="Times New Roman"/>
                <w:sz w:val="20"/>
                <w:szCs w:val="20"/>
              </w:rPr>
            </w:pPr>
            <w:r w:rsidRPr="00A3505C">
              <w:rPr>
                <w:rFonts w:ascii="Times New Roman" w:hAnsi="Times New Roman" w:cs="Times New Roman"/>
                <w:sz w:val="20"/>
                <w:szCs w:val="20"/>
              </w:rPr>
              <w:t>The proportion of shares held by institutional investors</w:t>
            </w:r>
          </w:p>
        </w:tc>
      </w:tr>
    </w:tbl>
    <w:p w14:paraId="5C2AB237" w14:textId="77777777" w:rsidR="00075FE6" w:rsidRPr="00A3505C" w:rsidRDefault="00075FE6" w:rsidP="00915B6C">
      <w:pPr>
        <w:adjustRightInd w:val="0"/>
        <w:snapToGrid w:val="0"/>
        <w:spacing w:after="120" w:line="264" w:lineRule="auto"/>
        <w:jc w:val="center"/>
        <w:rPr>
          <w:rFonts w:ascii="Times New Roman" w:hAnsi="Times New Roman" w:cs="Times New Roman"/>
          <w:b/>
          <w:bCs/>
          <w:sz w:val="24"/>
          <w:szCs w:val="24"/>
          <w:lang w:val="en-US"/>
        </w:rPr>
      </w:pPr>
    </w:p>
    <w:p w14:paraId="2806BED7" w14:textId="0277A46A" w:rsidR="002E71CD" w:rsidRPr="00A3505C" w:rsidRDefault="002E71CD" w:rsidP="00915B6C">
      <w:pPr>
        <w:adjustRightInd w:val="0"/>
        <w:snapToGrid w:val="0"/>
        <w:spacing w:after="120" w:line="264" w:lineRule="auto"/>
        <w:jc w:val="center"/>
        <w:rPr>
          <w:rFonts w:ascii="Times New Roman" w:hAnsi="Times New Roman" w:cs="Times New Roman"/>
          <w:b/>
          <w:sz w:val="24"/>
          <w:szCs w:val="24"/>
          <w:lang w:val="en-US"/>
        </w:rPr>
      </w:pPr>
      <w:r w:rsidRPr="00A3505C">
        <w:rPr>
          <w:rFonts w:ascii="Times New Roman" w:hAnsi="Times New Roman" w:cs="Times New Roman"/>
          <w:b/>
          <w:bCs/>
          <w:sz w:val="24"/>
          <w:szCs w:val="24"/>
          <w:lang w:val="en-US"/>
        </w:rPr>
        <w:t xml:space="preserve">Appendix </w:t>
      </w:r>
      <w:r w:rsidRPr="00A3505C">
        <w:rPr>
          <w:rFonts w:ascii="Times New Roman" w:hAnsi="Times New Roman" w:cs="Times New Roman" w:hint="eastAsia"/>
          <w:b/>
          <w:bCs/>
          <w:sz w:val="24"/>
          <w:szCs w:val="24"/>
          <w:lang w:val="en-US"/>
        </w:rPr>
        <w:t>B</w:t>
      </w:r>
      <w:r w:rsidRPr="00A3505C">
        <w:rPr>
          <w:rFonts w:ascii="Times New Roman" w:hAnsi="Times New Roman" w:cs="Times New Roman"/>
          <w:b/>
          <w:bCs/>
          <w:sz w:val="24"/>
          <w:szCs w:val="24"/>
          <w:lang w:val="en-US"/>
        </w:rPr>
        <w:t xml:space="preserve">. </w:t>
      </w:r>
      <w:r w:rsidRPr="00A3505C">
        <w:rPr>
          <w:rFonts w:ascii="Times New Roman" w:hAnsi="Times New Roman" w:cs="Times New Roman" w:hint="eastAsia"/>
          <w:b/>
          <w:sz w:val="24"/>
          <w:szCs w:val="24"/>
          <w:lang w:val="en-US"/>
        </w:rPr>
        <w:t>Real Examples of Strategy Classification</w:t>
      </w:r>
    </w:p>
    <w:p w14:paraId="67527280" w14:textId="7CC9DF8C" w:rsidR="002E71CD" w:rsidRPr="00A3505C" w:rsidRDefault="002E71CD" w:rsidP="00915B6C">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Bluesail Medical Company (stock code: SZ002382) in 2013 and Vanke Group (stock code: SZ000002) in 2014 are neither-nor-oriented firm-years. In 2013, Bluesail Medical Company had both sales growth and profit below the industry average. Therefore, we set both variables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for this firm to zero in 2013, as it falls into the group that prioritizes neither growth nor profitability. In 2014, Vanke Group exhibited both sales growth and profit above the industry average. Consequently, we also assign both variables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and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for this firm in 2014 as zero, as it belongs to the group that places equal emphasis on growth and profitability.</w:t>
      </w:r>
    </w:p>
    <w:p w14:paraId="60FF8465" w14:textId="405F329A" w:rsidR="002E71CD" w:rsidRPr="00A3505C" w:rsidRDefault="002E71CD" w:rsidP="00915B6C">
      <w:pPr>
        <w:adjustRightInd w:val="0"/>
        <w:snapToGrid w:val="0"/>
        <w:spacing w:after="120" w:line="360" w:lineRule="auto"/>
        <w:ind w:firstLine="425"/>
        <w:jc w:val="both"/>
        <w:rPr>
          <w:rFonts w:ascii="Times New Roman" w:hAnsi="Times New Roman" w:cs="Times New Roman"/>
          <w:sz w:val="24"/>
          <w:szCs w:val="24"/>
        </w:rPr>
      </w:pPr>
      <w:r w:rsidRPr="00A3505C">
        <w:rPr>
          <w:rFonts w:ascii="Times New Roman" w:hAnsi="Times New Roman" w:cs="Times New Roman"/>
          <w:sz w:val="24"/>
          <w:szCs w:val="24"/>
        </w:rPr>
        <w:t xml:space="preserve">Zhuhai Port (stock code: SH000507) in 2018 was a growth-oriented firm-year. In 2018, Zhuhai Port had sales growth above the industry average, while its profit was below the industry average. Thus, we define the variable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of this firm in 2018 as equal to one since this firm-year observation aligns with the definition of adopting growth-oriented strategies. The variable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for this firm in 2018 equals zero</w:t>
      </w:r>
      <w:r w:rsidRPr="00A3505C">
        <w:rPr>
          <w:rFonts w:ascii="Times New Roman" w:hAnsi="Times New Roman" w:cs="Times New Roman" w:hint="eastAsia"/>
          <w:sz w:val="24"/>
          <w:szCs w:val="24"/>
        </w:rPr>
        <w:t>,</w:t>
      </w:r>
      <w:r w:rsidRPr="00A3505C">
        <w:rPr>
          <w:rFonts w:ascii="Times New Roman" w:hAnsi="Times New Roman" w:cs="Times New Roman"/>
          <w:sz w:val="24"/>
          <w:szCs w:val="24"/>
        </w:rPr>
        <w:t xml:space="preserve"> as this firm-year observation does not meet the definition of using profit-oriented strategies. In contrast, Lingnan Group (stock code: SZ000524) in 2014 was a profit-oriented </w:t>
      </w:r>
      <w:r w:rsidR="00C10C96" w:rsidRPr="00A3505C">
        <w:rPr>
          <w:rFonts w:ascii="Times New Roman" w:hAnsi="Times New Roman" w:cs="Times New Roman"/>
          <w:sz w:val="24"/>
          <w:szCs w:val="24"/>
        </w:rPr>
        <w:t>firm</w:t>
      </w:r>
      <w:r w:rsidRPr="00A3505C">
        <w:rPr>
          <w:rFonts w:ascii="Times New Roman" w:hAnsi="Times New Roman" w:cs="Times New Roman"/>
          <w:sz w:val="24"/>
          <w:szCs w:val="24"/>
        </w:rPr>
        <w:t xml:space="preserve">. In 2014, Lingnan Group had a profit above the industry average, whereas its sales growth was below the industry average. Therefore, the variable </w:t>
      </w:r>
      <w:r w:rsidRPr="00A3505C">
        <w:rPr>
          <w:rFonts w:ascii="Times New Roman" w:hAnsi="Times New Roman" w:cs="Times New Roman"/>
          <w:i/>
          <w:sz w:val="24"/>
          <w:szCs w:val="24"/>
        </w:rPr>
        <w:t>Profit</w:t>
      </w:r>
      <w:r w:rsidRPr="00A3505C">
        <w:rPr>
          <w:rFonts w:ascii="Times New Roman" w:hAnsi="Times New Roman" w:cs="Times New Roman"/>
          <w:i/>
          <w:iCs/>
          <w:sz w:val="24"/>
          <w:szCs w:val="24"/>
        </w:rPr>
        <w:t xml:space="preserve"> v. Growth and Neither-Nor</w:t>
      </w:r>
      <w:r w:rsidRPr="00A3505C">
        <w:rPr>
          <w:rFonts w:ascii="Times New Roman" w:hAnsi="Times New Roman" w:cs="Times New Roman"/>
          <w:sz w:val="24"/>
          <w:szCs w:val="24"/>
        </w:rPr>
        <w:t xml:space="preserve"> of Lingnan Group in 2014 equals one since this firm-year observation aligns with the definition of pursuing profit-oriented strategies. The variable of </w:t>
      </w:r>
      <w:r w:rsidRPr="00A3505C">
        <w:rPr>
          <w:rFonts w:ascii="Times New Roman" w:hAnsi="Times New Roman" w:cs="Times New Roman"/>
          <w:i/>
          <w:sz w:val="24"/>
          <w:szCs w:val="24"/>
        </w:rPr>
        <w:t>Growth</w:t>
      </w:r>
      <w:r w:rsidRPr="00A3505C">
        <w:rPr>
          <w:rFonts w:ascii="Times New Roman" w:hAnsi="Times New Roman" w:cs="Times New Roman"/>
          <w:i/>
          <w:iCs/>
          <w:sz w:val="24"/>
          <w:szCs w:val="24"/>
        </w:rPr>
        <w:t xml:space="preserve"> v. Profit and Neither-Nor</w:t>
      </w:r>
      <w:r w:rsidRPr="00A3505C">
        <w:rPr>
          <w:rFonts w:ascii="Times New Roman" w:hAnsi="Times New Roman" w:cs="Times New Roman"/>
          <w:sz w:val="24"/>
          <w:szCs w:val="24"/>
        </w:rPr>
        <w:t xml:space="preserve"> of this firm-year observation equals zero since Lingnan Group in 2014 does not meet the definition of using growth-oriented strategies.</w:t>
      </w:r>
    </w:p>
    <w:p w14:paraId="05218F63" w14:textId="2682ECA0" w:rsidR="0021694A" w:rsidRPr="00A3505C" w:rsidRDefault="00915B6C" w:rsidP="006C53B9">
      <w:pPr>
        <w:rPr>
          <w:rFonts w:ascii="Times New Roman" w:hAnsi="Times New Roman" w:cs="Times New Roman"/>
          <w:b/>
          <w:sz w:val="24"/>
          <w:szCs w:val="24"/>
          <w:lang w:val="en-US"/>
        </w:rPr>
      </w:pPr>
      <w:r w:rsidRPr="00A3505C">
        <w:rPr>
          <w:rFonts w:ascii="Times New Roman" w:hAnsi="Times New Roman" w:cs="Times New Roman"/>
          <w:b/>
          <w:bCs/>
          <w:sz w:val="24"/>
          <w:szCs w:val="24"/>
          <w:lang w:val="en-US"/>
        </w:rPr>
        <w:br w:type="page"/>
      </w:r>
      <w:r w:rsidR="000459E5" w:rsidRPr="00A3505C">
        <w:rPr>
          <w:rFonts w:ascii="Times New Roman" w:hAnsi="Times New Roman" w:cs="Times New Roman"/>
          <w:b/>
          <w:bCs/>
          <w:sz w:val="24"/>
          <w:szCs w:val="24"/>
          <w:lang w:val="en-US"/>
        </w:rPr>
        <w:lastRenderedPageBreak/>
        <w:t>Appendix</w:t>
      </w:r>
      <w:r w:rsidR="0021694A" w:rsidRPr="00A3505C">
        <w:rPr>
          <w:rFonts w:ascii="Times New Roman" w:hAnsi="Times New Roman" w:cs="Times New Roman"/>
          <w:b/>
          <w:bCs/>
          <w:sz w:val="24"/>
          <w:szCs w:val="24"/>
          <w:lang w:val="en-US"/>
        </w:rPr>
        <w:t xml:space="preserve"> </w:t>
      </w:r>
      <w:r w:rsidR="002E71CD" w:rsidRPr="00A3505C">
        <w:rPr>
          <w:rFonts w:ascii="Times New Roman" w:hAnsi="Times New Roman" w:cs="Times New Roman" w:hint="eastAsia"/>
          <w:b/>
          <w:bCs/>
          <w:sz w:val="24"/>
          <w:szCs w:val="24"/>
          <w:lang w:val="en-US"/>
        </w:rPr>
        <w:t>C</w:t>
      </w:r>
      <w:r w:rsidR="0021694A" w:rsidRPr="00A3505C">
        <w:rPr>
          <w:rFonts w:ascii="Times New Roman" w:hAnsi="Times New Roman" w:cs="Times New Roman"/>
          <w:b/>
          <w:bCs/>
          <w:sz w:val="24"/>
          <w:szCs w:val="24"/>
          <w:lang w:val="en-US"/>
        </w:rPr>
        <w:t xml:space="preserve">. </w:t>
      </w:r>
      <w:r w:rsidR="0021694A" w:rsidRPr="00A3505C">
        <w:rPr>
          <w:rFonts w:ascii="Times New Roman" w:hAnsi="Times New Roman" w:cs="Times New Roman"/>
          <w:b/>
          <w:sz w:val="24"/>
          <w:szCs w:val="24"/>
          <w:lang w:val="en-US"/>
        </w:rPr>
        <w:t>Key terms of environmental transformations</w:t>
      </w:r>
    </w:p>
    <w:tbl>
      <w:tblPr>
        <w:tblStyle w:val="TableGrid"/>
        <w:tblW w:w="5000" w:type="pct"/>
        <w:tblLook w:val="04A0" w:firstRow="1" w:lastRow="0" w:firstColumn="1" w:lastColumn="0" w:noHBand="0" w:noVBand="1"/>
      </w:tblPr>
      <w:tblGrid>
        <w:gridCol w:w="4176"/>
        <w:gridCol w:w="9782"/>
      </w:tblGrid>
      <w:tr w:rsidR="00A3505C" w:rsidRPr="00A3505C" w14:paraId="22CC5AFF" w14:textId="77777777" w:rsidTr="00E37751">
        <w:tc>
          <w:tcPr>
            <w:tcW w:w="1496" w:type="pct"/>
            <w:tcBorders>
              <w:top w:val="single" w:sz="4" w:space="0" w:color="auto"/>
              <w:left w:val="nil"/>
              <w:bottom w:val="single" w:sz="4" w:space="0" w:color="auto"/>
              <w:right w:val="nil"/>
            </w:tcBorders>
          </w:tcPr>
          <w:p w14:paraId="7386740C"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sz w:val="20"/>
                <w:szCs w:val="20"/>
                <w:lang w:val="en-US"/>
              </w:rPr>
              <w:t>Classifications</w:t>
            </w:r>
          </w:p>
        </w:tc>
        <w:tc>
          <w:tcPr>
            <w:tcW w:w="3504" w:type="pct"/>
            <w:tcBorders>
              <w:top w:val="single" w:sz="4" w:space="0" w:color="auto"/>
              <w:left w:val="nil"/>
              <w:bottom w:val="single" w:sz="4" w:space="0" w:color="auto"/>
              <w:right w:val="nil"/>
            </w:tcBorders>
          </w:tcPr>
          <w:p w14:paraId="081EDB36"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sz w:val="20"/>
                <w:szCs w:val="20"/>
                <w:lang w:val="en-US"/>
              </w:rPr>
              <w:t>Key terms</w:t>
            </w:r>
          </w:p>
        </w:tc>
      </w:tr>
      <w:tr w:rsidR="00A3505C" w:rsidRPr="00A3505C" w14:paraId="33E98081" w14:textId="77777777" w:rsidTr="00E37751">
        <w:tc>
          <w:tcPr>
            <w:tcW w:w="1496" w:type="pct"/>
            <w:tcBorders>
              <w:top w:val="single" w:sz="4" w:space="0" w:color="auto"/>
              <w:left w:val="nil"/>
              <w:bottom w:val="nil"/>
              <w:right w:val="nil"/>
            </w:tcBorders>
          </w:tcPr>
          <w:p w14:paraId="14CB9AD7" w14:textId="77777777" w:rsidR="0021694A" w:rsidRPr="00A3505C" w:rsidRDefault="0021694A" w:rsidP="00CF628E">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iCs/>
                <w:sz w:val="20"/>
                <w:szCs w:val="20"/>
                <w:lang w:val="en-US"/>
              </w:rPr>
              <w:t>Transformation in environmental protection strategy and policy</w:t>
            </w:r>
          </w:p>
        </w:tc>
        <w:tc>
          <w:tcPr>
            <w:tcW w:w="3504" w:type="pct"/>
            <w:tcBorders>
              <w:top w:val="single" w:sz="4" w:space="0" w:color="auto"/>
              <w:left w:val="nil"/>
              <w:bottom w:val="nil"/>
              <w:right w:val="nil"/>
            </w:tcBorders>
          </w:tcPr>
          <w:p w14:paraId="61FFF867" w14:textId="77777777" w:rsidR="0021694A" w:rsidRPr="00A3505C" w:rsidRDefault="0021694A" w:rsidP="009C6FF3">
            <w:pPr>
              <w:adjustRightInd w:val="0"/>
              <w:snapToGrid w:val="0"/>
              <w:spacing w:line="264" w:lineRule="auto"/>
              <w:rPr>
                <w:rFonts w:ascii="Times New Roman" w:hAnsi="Times New Roman" w:cs="Times New Roman"/>
                <w:sz w:val="20"/>
                <w:szCs w:val="20"/>
                <w:lang w:val="fr-FR"/>
              </w:rPr>
            </w:pPr>
            <w:r w:rsidRPr="00A3505C">
              <w:rPr>
                <w:rFonts w:ascii="Times New Roman" w:hAnsi="Times New Roman" w:cs="Times New Roman"/>
                <w:sz w:val="20"/>
                <w:szCs w:val="20"/>
                <w:lang w:val="fr-FR"/>
              </w:rPr>
              <w:t>Environmental protection strategy; Environmental protection concept; Environmental protection policy; Environmental audit; Environmental protection law; Environmental protection regulation</w:t>
            </w:r>
          </w:p>
        </w:tc>
      </w:tr>
      <w:tr w:rsidR="00A3505C" w:rsidRPr="00A3505C" w14:paraId="4E6C5671" w14:textId="77777777" w:rsidTr="00E37751">
        <w:tc>
          <w:tcPr>
            <w:tcW w:w="1496" w:type="pct"/>
            <w:tcBorders>
              <w:top w:val="nil"/>
              <w:left w:val="nil"/>
              <w:bottom w:val="nil"/>
              <w:right w:val="nil"/>
            </w:tcBorders>
          </w:tcPr>
          <w:p w14:paraId="1FF39CB9"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iCs/>
                <w:sz w:val="20"/>
                <w:szCs w:val="20"/>
                <w:lang w:val="en-US"/>
              </w:rPr>
              <w:t>Evolution towards low-carbon and enhanced environmental governance</w:t>
            </w:r>
          </w:p>
        </w:tc>
        <w:tc>
          <w:tcPr>
            <w:tcW w:w="3504" w:type="pct"/>
            <w:tcBorders>
              <w:top w:val="nil"/>
              <w:left w:val="nil"/>
              <w:bottom w:val="nil"/>
              <w:right w:val="nil"/>
            </w:tcBorders>
          </w:tcPr>
          <w:p w14:paraId="5FD02019"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sz w:val="20"/>
                <w:szCs w:val="20"/>
                <w:lang w:val="en-US"/>
              </w:rPr>
              <w:t>Emission reduction; Environmental protection; Energy conservation; Low carbon; Environmental governance; Environmental protection governance; Pollution governance</w:t>
            </w:r>
          </w:p>
        </w:tc>
      </w:tr>
      <w:tr w:rsidR="00A3505C" w:rsidRPr="00A3505C" w14:paraId="78BA2819" w14:textId="77777777" w:rsidTr="00E37751">
        <w:tc>
          <w:tcPr>
            <w:tcW w:w="1496" w:type="pct"/>
            <w:tcBorders>
              <w:top w:val="nil"/>
              <w:left w:val="nil"/>
              <w:bottom w:val="nil"/>
              <w:right w:val="nil"/>
            </w:tcBorders>
          </w:tcPr>
          <w:p w14:paraId="2D3D1474"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iCs/>
                <w:sz w:val="20"/>
                <w:szCs w:val="20"/>
                <w:lang w:val="en-US"/>
              </w:rPr>
              <w:t>Development of environmental infrastructure</w:t>
            </w:r>
          </w:p>
        </w:tc>
        <w:tc>
          <w:tcPr>
            <w:tcW w:w="3504" w:type="pct"/>
            <w:tcBorders>
              <w:top w:val="nil"/>
              <w:left w:val="nil"/>
              <w:bottom w:val="nil"/>
              <w:right w:val="nil"/>
            </w:tcBorders>
          </w:tcPr>
          <w:p w14:paraId="1B467318"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sz w:val="20"/>
                <w:szCs w:val="20"/>
                <w:lang w:val="en-US"/>
              </w:rPr>
              <w:t>Environmental management agency; Environmental technology development; Environmental department; Environmental protection work</w:t>
            </w:r>
          </w:p>
        </w:tc>
      </w:tr>
      <w:tr w:rsidR="00DE5202" w:rsidRPr="00A3505C" w14:paraId="5332F405" w14:textId="77777777" w:rsidTr="00E37751">
        <w:tc>
          <w:tcPr>
            <w:tcW w:w="1496" w:type="pct"/>
            <w:tcBorders>
              <w:top w:val="nil"/>
              <w:left w:val="nil"/>
              <w:bottom w:val="single" w:sz="4" w:space="0" w:color="auto"/>
              <w:right w:val="nil"/>
            </w:tcBorders>
          </w:tcPr>
          <w:p w14:paraId="18A132C2" w14:textId="77777777" w:rsidR="0021694A" w:rsidRPr="00A3505C" w:rsidRDefault="0021694A" w:rsidP="00CF628E">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iCs/>
                <w:sz w:val="20"/>
                <w:szCs w:val="20"/>
                <w:lang w:val="en-US"/>
              </w:rPr>
              <w:t>Promotion of employee environmental awareness and education</w:t>
            </w:r>
          </w:p>
        </w:tc>
        <w:tc>
          <w:tcPr>
            <w:tcW w:w="3504" w:type="pct"/>
            <w:tcBorders>
              <w:top w:val="nil"/>
              <w:left w:val="nil"/>
              <w:bottom w:val="single" w:sz="4" w:space="0" w:color="auto"/>
              <w:right w:val="nil"/>
            </w:tcBorders>
          </w:tcPr>
          <w:p w14:paraId="7B24F0B3" w14:textId="77777777" w:rsidR="0021694A" w:rsidRPr="00A3505C" w:rsidRDefault="0021694A" w:rsidP="009C6FF3">
            <w:pPr>
              <w:adjustRightInd w:val="0"/>
              <w:snapToGrid w:val="0"/>
              <w:spacing w:line="264" w:lineRule="auto"/>
              <w:rPr>
                <w:rFonts w:ascii="Times New Roman" w:hAnsi="Times New Roman" w:cs="Times New Roman"/>
                <w:sz w:val="20"/>
                <w:szCs w:val="20"/>
                <w:lang w:val="en-US"/>
              </w:rPr>
            </w:pPr>
            <w:r w:rsidRPr="00A3505C">
              <w:rPr>
                <w:rFonts w:ascii="Times New Roman" w:hAnsi="Times New Roman" w:cs="Times New Roman"/>
                <w:sz w:val="20"/>
                <w:szCs w:val="20"/>
                <w:lang w:val="en-US"/>
              </w:rPr>
              <w:t>Environmental education; Environmental training; Environmental supervision; Environmental inspection</w:t>
            </w:r>
          </w:p>
        </w:tc>
      </w:tr>
    </w:tbl>
    <w:p w14:paraId="2B7BDB4C" w14:textId="1E349F9F" w:rsidR="006173AF" w:rsidRPr="00A3505C" w:rsidRDefault="006173AF" w:rsidP="00055203">
      <w:pPr>
        <w:rPr>
          <w:rFonts w:ascii="Times New Roman" w:hAnsi="Times New Roman" w:cs="Times New Roman"/>
          <w:sz w:val="24"/>
          <w:szCs w:val="24"/>
        </w:rPr>
      </w:pPr>
    </w:p>
    <w:sectPr w:rsidR="006173AF" w:rsidRPr="00A3505C" w:rsidSect="00E377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3A5D" w14:textId="77777777" w:rsidR="00301AFC" w:rsidRPr="0071013C" w:rsidRDefault="00301AFC" w:rsidP="009F0B42">
      <w:pPr>
        <w:spacing w:after="0" w:line="240" w:lineRule="auto"/>
      </w:pPr>
      <w:r w:rsidRPr="0071013C">
        <w:separator/>
      </w:r>
    </w:p>
  </w:endnote>
  <w:endnote w:type="continuationSeparator" w:id="0">
    <w:p w14:paraId="7FDF26E5" w14:textId="77777777" w:rsidR="00301AFC" w:rsidRPr="0071013C" w:rsidRDefault="00301AFC" w:rsidP="009F0B42">
      <w:pPr>
        <w:spacing w:after="0" w:line="240" w:lineRule="auto"/>
      </w:pPr>
      <w:r w:rsidRPr="0071013C">
        <w:continuationSeparator/>
      </w:r>
    </w:p>
  </w:endnote>
  <w:endnote w:type="continuationNotice" w:id="1">
    <w:p w14:paraId="7E64B094" w14:textId="77777777" w:rsidR="00301AFC" w:rsidRPr="0071013C" w:rsidRDefault="00301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32117"/>
      <w:docPartObj>
        <w:docPartGallery w:val="Page Numbers (Bottom of Page)"/>
        <w:docPartUnique/>
      </w:docPartObj>
    </w:sdtPr>
    <w:sdtEndPr>
      <w:rPr>
        <w:rStyle w:val="PageNumber"/>
      </w:rPr>
    </w:sdtEndPr>
    <w:sdtContent>
      <w:p w14:paraId="0E074449" w14:textId="0D4D8AE1" w:rsidR="00C607A8" w:rsidRPr="0071013C" w:rsidRDefault="00C607A8" w:rsidP="00DE64DE">
        <w:pPr>
          <w:pStyle w:val="Footer"/>
          <w:framePr w:wrap="none" w:vAnchor="text" w:hAnchor="margin" w:xAlign="center" w:y="1"/>
          <w:rPr>
            <w:rStyle w:val="PageNumber"/>
          </w:rPr>
        </w:pPr>
        <w:r w:rsidRPr="0071013C">
          <w:rPr>
            <w:rStyle w:val="PageNumber"/>
          </w:rPr>
          <w:fldChar w:fldCharType="begin"/>
        </w:r>
        <w:r w:rsidRPr="0071013C">
          <w:rPr>
            <w:rStyle w:val="PageNumber"/>
          </w:rPr>
          <w:instrText xml:space="preserve"> PAGE </w:instrText>
        </w:r>
        <w:r w:rsidRPr="0071013C">
          <w:rPr>
            <w:rStyle w:val="PageNumber"/>
          </w:rPr>
          <w:fldChar w:fldCharType="separate"/>
        </w:r>
        <w:r w:rsidR="0033505D" w:rsidRPr="0071013C">
          <w:rPr>
            <w:rStyle w:val="PageNumber"/>
          </w:rPr>
          <w:t>31</w:t>
        </w:r>
        <w:r w:rsidRPr="0071013C">
          <w:rPr>
            <w:rStyle w:val="PageNumber"/>
          </w:rPr>
          <w:fldChar w:fldCharType="end"/>
        </w:r>
      </w:p>
    </w:sdtContent>
  </w:sdt>
  <w:p w14:paraId="47D36A47" w14:textId="77777777" w:rsidR="00C607A8" w:rsidRPr="0071013C" w:rsidRDefault="00C60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819797"/>
      <w:docPartObj>
        <w:docPartGallery w:val="Page Numbers (Bottom of Page)"/>
        <w:docPartUnique/>
      </w:docPartObj>
    </w:sdtPr>
    <w:sdtEndPr>
      <w:rPr>
        <w:noProof/>
      </w:rPr>
    </w:sdtEndPr>
    <w:sdtContent>
      <w:p w14:paraId="0B03ABA0" w14:textId="7BE20DA2" w:rsidR="008860C6" w:rsidRDefault="008860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77928" w14:textId="77777777" w:rsidR="008860C6" w:rsidRDefault="00886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37820"/>
      <w:docPartObj>
        <w:docPartGallery w:val="Page Numbers (Bottom of Page)"/>
        <w:docPartUnique/>
      </w:docPartObj>
    </w:sdtPr>
    <w:sdtEndPr>
      <w:rPr>
        <w:rFonts w:ascii="Times New Roman" w:hAnsi="Times New Roman" w:cs="Times New Roman"/>
        <w:noProof/>
      </w:rPr>
    </w:sdtEndPr>
    <w:sdtContent>
      <w:p w14:paraId="2B4F7603" w14:textId="3867F643" w:rsidR="008860C6" w:rsidRPr="00C00EE2" w:rsidRDefault="008860C6" w:rsidP="00C00EE2">
        <w:pPr>
          <w:pStyle w:val="Footer"/>
          <w:jc w:val="center"/>
          <w:rPr>
            <w:rFonts w:ascii="Times New Roman" w:hAnsi="Times New Roman" w:cs="Times New Roman"/>
          </w:rPr>
        </w:pPr>
        <w:r w:rsidRPr="00C00EE2">
          <w:rPr>
            <w:rFonts w:ascii="Times New Roman" w:hAnsi="Times New Roman" w:cs="Times New Roman"/>
          </w:rPr>
          <w:fldChar w:fldCharType="begin"/>
        </w:r>
        <w:r w:rsidRPr="00C00EE2">
          <w:rPr>
            <w:rFonts w:ascii="Times New Roman" w:hAnsi="Times New Roman" w:cs="Times New Roman"/>
          </w:rPr>
          <w:instrText xml:space="preserve"> PAGE   \* MERGEFORMAT </w:instrText>
        </w:r>
        <w:r w:rsidRPr="00C00EE2">
          <w:rPr>
            <w:rFonts w:ascii="Times New Roman" w:hAnsi="Times New Roman" w:cs="Times New Roman"/>
          </w:rPr>
          <w:fldChar w:fldCharType="separate"/>
        </w:r>
        <w:r w:rsidRPr="00C00EE2">
          <w:rPr>
            <w:rFonts w:ascii="Times New Roman" w:hAnsi="Times New Roman" w:cs="Times New Roman"/>
            <w:noProof/>
          </w:rPr>
          <w:t>2</w:t>
        </w:r>
        <w:r w:rsidRPr="00C00EE2">
          <w:rPr>
            <w:rFonts w:ascii="Times New Roman" w:hAnsi="Times New Roman" w:cs="Times New Roma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4D98" w14:textId="77777777" w:rsidR="008860C6" w:rsidRDefault="0088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68E4" w14:textId="77777777" w:rsidR="00301AFC" w:rsidRPr="0071013C" w:rsidRDefault="00301AFC" w:rsidP="009F0B42">
      <w:pPr>
        <w:spacing w:after="0" w:line="240" w:lineRule="auto"/>
      </w:pPr>
      <w:r w:rsidRPr="0071013C">
        <w:separator/>
      </w:r>
    </w:p>
  </w:footnote>
  <w:footnote w:type="continuationSeparator" w:id="0">
    <w:p w14:paraId="58D5E2CD" w14:textId="77777777" w:rsidR="00301AFC" w:rsidRPr="0071013C" w:rsidRDefault="00301AFC" w:rsidP="009F0B42">
      <w:pPr>
        <w:spacing w:after="0" w:line="240" w:lineRule="auto"/>
      </w:pPr>
      <w:r w:rsidRPr="0071013C">
        <w:continuationSeparator/>
      </w:r>
    </w:p>
  </w:footnote>
  <w:footnote w:type="continuationNotice" w:id="1">
    <w:p w14:paraId="368F742D" w14:textId="77777777" w:rsidR="00301AFC" w:rsidRPr="0071013C" w:rsidRDefault="00301AFC">
      <w:pPr>
        <w:spacing w:after="0" w:line="240" w:lineRule="auto"/>
      </w:pPr>
    </w:p>
  </w:footnote>
  <w:footnote w:id="2">
    <w:p w14:paraId="25C977AF"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Although firms may balance profit and growth in their strategic orientations, resource scarcity hinders the aggressive pursuance of both orientations at a time </w:t>
      </w:r>
      <w:r w:rsidRPr="009909FC">
        <w:rPr>
          <w:rFonts w:ascii="Times New Roman" w:hAnsi="Times New Roman" w:cs="Times New Roman"/>
          <w:sz w:val="20"/>
          <w:szCs w:val="20"/>
        </w:rPr>
        <w:fldChar w:fldCharType="begin"/>
      </w:r>
      <w:r w:rsidRPr="009909FC">
        <w:rPr>
          <w:rFonts w:ascii="Times New Roman" w:hAnsi="Times New Roman" w:cs="Times New Roman"/>
          <w:sz w:val="20"/>
          <w:szCs w:val="20"/>
        </w:rPr>
        <w:instrText xml:space="preserve"> ADDIN EN.CITE &lt;EndNote&gt;&lt;Cite&gt;&lt;Author&gt;Zhou&lt;/Author&gt;&lt;Year&gt;2005&lt;/Year&gt;&lt;RecNum&gt;9001&lt;/RecNum&gt;&lt;DisplayText&gt;(Zhou&lt;style face="italic"&gt; et al.&lt;/style&gt;, 2005)&lt;/DisplayText&gt;&lt;record&gt;&lt;rec-number&gt;9001&lt;/rec-number&gt;&lt;foreign-keys&gt;&lt;key app="EN" db-id="tt95vv9zf20xf0ewve7x0fsl990xeeasafzs" timestamp="1708870411"&gt;9001&lt;/key&gt;&lt;/foreign-keys&gt;&lt;ref-type name="Journal Article"&gt;17&lt;/ref-type&gt;&lt;contributors&gt;&lt;authors&gt;&lt;author&gt;Zhou, Kevin Zheng&lt;/author&gt;&lt;author&gt;Yim, Chi Kin (Bennett)&lt;/author&gt;&lt;author&gt;Tse, David K.&lt;/author&gt;&lt;/authors&gt;&lt;/contributors&gt;&lt;titles&gt;&lt;title&gt;The effects of strategic orientations on technology- and market-based breakthrough innovations&lt;/title&gt;&lt;secondary-title&gt;Journal of Marketing&lt;/secondary-title&gt;&lt;/titles&gt;&lt;periodical&gt;&lt;full-title&gt;Journal of Marketing&lt;/full-title&gt;&lt;/periodical&gt;&lt;pages&gt;42-60&lt;/pages&gt;&lt;volume&gt;69&lt;/volume&gt;&lt;number&gt;2&lt;/number&gt;&lt;dates&gt;&lt;year&gt;2005&lt;/year&gt;&lt;/dates&gt;&lt;urls&gt;&lt;/urls&gt;&lt;electronic-resource-num&gt;10.1509/jmkg.69.2.42.60&lt;/electronic-resource-num&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noProof/>
          <w:sz w:val="20"/>
          <w:szCs w:val="20"/>
        </w:rPr>
        <w:t>(Zhou</w:t>
      </w:r>
      <w:r w:rsidRPr="009909FC">
        <w:rPr>
          <w:rFonts w:ascii="Times New Roman" w:hAnsi="Times New Roman" w:cs="Times New Roman"/>
          <w:i/>
          <w:noProof/>
          <w:sz w:val="20"/>
          <w:szCs w:val="20"/>
        </w:rPr>
        <w:t xml:space="preserve"> et al.</w:t>
      </w:r>
      <w:r w:rsidRPr="009909FC">
        <w:rPr>
          <w:rFonts w:ascii="Times New Roman" w:hAnsi="Times New Roman" w:cs="Times New Roman"/>
          <w:noProof/>
          <w:sz w:val="20"/>
          <w:szCs w:val="20"/>
        </w:rPr>
        <w:t>, 2005)</w:t>
      </w:r>
      <w:r w:rsidRPr="009909FC">
        <w:rPr>
          <w:rFonts w:ascii="Times New Roman" w:hAnsi="Times New Roman" w:cs="Times New Roman"/>
          <w:sz w:val="20"/>
          <w:szCs w:val="20"/>
        </w:rPr>
        <w:fldChar w:fldCharType="end"/>
      </w:r>
      <w:r w:rsidRPr="009909FC">
        <w:rPr>
          <w:rFonts w:ascii="Times New Roman" w:hAnsi="Times New Roman" w:cs="Times New Roman"/>
          <w:sz w:val="20"/>
          <w:szCs w:val="20"/>
          <w:lang w:val="en-AU"/>
        </w:rPr>
        <w:t xml:space="preserve">. Therefore, beyond the two main groups (profit-oriented and growth-oriented firms), some firms may prioritize both or neither (hereafter, we refer to them as </w:t>
      </w:r>
      <w:r w:rsidRPr="009909FC">
        <w:rPr>
          <w:rFonts w:ascii="Times New Roman" w:hAnsi="Times New Roman" w:cs="Times New Roman"/>
          <w:sz w:val="20"/>
          <w:szCs w:val="20"/>
        </w:rPr>
        <w:t>neither-nor-oriented</w:t>
      </w:r>
      <w:r w:rsidRPr="009909FC">
        <w:rPr>
          <w:rFonts w:ascii="Times New Roman" w:hAnsi="Times New Roman" w:cs="Times New Roman"/>
          <w:sz w:val="20"/>
          <w:szCs w:val="20"/>
          <w:lang w:val="en-AU"/>
        </w:rPr>
        <w:t xml:space="preserve"> firms). Consistent with the assumption of resource scarcity, we argue that firms optimize resource utilization. Accordingly, our analysis focuses exclusively on the distinct resource characteristics of profit- and growth-oriented firms.</w:t>
      </w:r>
    </w:p>
  </w:footnote>
  <w:footnote w:id="3">
    <w:p w14:paraId="3D012A00"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The China Securities Regulatory Commission (CSRC) classifies a firm as an ST firm when it faces severe financial challenges or undergoes significant disasters. This classification is based on criteria such as sustained losses for two consecutive years, net assets dropping below the stock’s par value, or facing the risk of operational halt due to major disasters or accidents.</w:t>
      </w:r>
    </w:p>
  </w:footnote>
  <w:footnote w:id="4">
    <w:p w14:paraId="70B50908"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The industry classification employed in this study is based on the three-digit CSRC 2012 Industry Classification system, which uses alphabetical letters combined with two-digit numbers. For instance, classification C37 represents the “Manufacture of railway, ship, aerospace, and other transportation equipment,” while C39 denotes the “Manufacturing of computers, communication, and other electronic equipment.”</w:t>
      </w:r>
    </w:p>
  </w:footnote>
  <w:footnote w:id="5">
    <w:p w14:paraId="47C5C660" w14:textId="705ED185" w:rsidR="00034E3E" w:rsidRPr="009909FC" w:rsidRDefault="00034E3E" w:rsidP="00034E3E">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To mitigate concerns regarding the sensitivity of our findings to fixed‐effects specifications and alternative measures of strategic orientation, we re-estimate our baseline models using firm fixed effects and alternative measures of strategic orientation. The results remain statistically significant under these additional tests.</w:t>
      </w:r>
    </w:p>
  </w:footnote>
  <w:footnote w:id="6">
    <w:p w14:paraId="6C28593C"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Our results remain consistent and robust across different treatments of outliers using winsorization. We winsorize continuous variables at the 1</w:t>
      </w:r>
      <w:r w:rsidRPr="009909FC">
        <w:rPr>
          <w:rFonts w:ascii="Times New Roman" w:hAnsi="Times New Roman" w:cs="Times New Roman"/>
          <w:sz w:val="20"/>
          <w:szCs w:val="20"/>
          <w:vertAlign w:val="superscript"/>
        </w:rPr>
        <w:t>st</w:t>
      </w:r>
      <w:r w:rsidRPr="009909FC">
        <w:rPr>
          <w:rFonts w:ascii="Times New Roman" w:hAnsi="Times New Roman" w:cs="Times New Roman"/>
          <w:sz w:val="20"/>
          <w:szCs w:val="20"/>
        </w:rPr>
        <w:t xml:space="preserve"> and 99</w:t>
      </w:r>
      <w:r w:rsidRPr="009909FC">
        <w:rPr>
          <w:rFonts w:ascii="Times New Roman" w:hAnsi="Times New Roman" w:cs="Times New Roman"/>
          <w:sz w:val="20"/>
          <w:szCs w:val="20"/>
          <w:vertAlign w:val="superscript"/>
        </w:rPr>
        <w:t>th</w:t>
      </w:r>
      <w:r w:rsidRPr="009909FC">
        <w:rPr>
          <w:rFonts w:ascii="Times New Roman" w:hAnsi="Times New Roman" w:cs="Times New Roman"/>
          <w:sz w:val="20"/>
          <w:szCs w:val="20"/>
        </w:rPr>
        <w:t xml:space="preserve"> percentiles to mitigate the impact of outliers on our estimations and when continuous variables are winsorized at the 5</w:t>
      </w:r>
      <w:r w:rsidRPr="009909FC">
        <w:rPr>
          <w:rFonts w:ascii="Times New Roman" w:hAnsi="Times New Roman" w:cs="Times New Roman"/>
          <w:sz w:val="20"/>
          <w:szCs w:val="20"/>
          <w:vertAlign w:val="superscript"/>
        </w:rPr>
        <w:t>th</w:t>
      </w:r>
      <w:r w:rsidRPr="009909FC">
        <w:rPr>
          <w:rFonts w:ascii="Times New Roman" w:hAnsi="Times New Roman" w:cs="Times New Roman"/>
          <w:sz w:val="20"/>
          <w:szCs w:val="20"/>
        </w:rPr>
        <w:t xml:space="preserve"> and 95</w:t>
      </w:r>
      <w:r w:rsidRPr="009909FC">
        <w:rPr>
          <w:rFonts w:ascii="Times New Roman" w:hAnsi="Times New Roman" w:cs="Times New Roman"/>
          <w:sz w:val="20"/>
          <w:szCs w:val="20"/>
          <w:vertAlign w:val="superscript"/>
        </w:rPr>
        <w:t>th</w:t>
      </w:r>
      <w:r w:rsidRPr="009909FC">
        <w:rPr>
          <w:rFonts w:ascii="Times New Roman" w:hAnsi="Times New Roman" w:cs="Times New Roman"/>
          <w:sz w:val="20"/>
          <w:szCs w:val="20"/>
        </w:rPr>
        <w:t xml:space="preserve"> percentiles. These findings suggest that our results are not sensitive to the choice of winsorization procedure.</w:t>
      </w:r>
    </w:p>
  </w:footnote>
  <w:footnote w:id="7">
    <w:p w14:paraId="62F45133" w14:textId="77777777" w:rsidR="000F7DAA" w:rsidRPr="009909FC" w:rsidRDefault="000F7DAA" w:rsidP="000F7DAA">
      <w:pPr>
        <w:pStyle w:val="FootnoteText"/>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More detail, refer to </w:t>
      </w:r>
      <w:hyperlink r:id="rId1" w:history="1">
        <w:r w:rsidRPr="009909FC">
          <w:rPr>
            <w:rStyle w:val="Hyperlink"/>
            <w:rFonts w:ascii="Times New Roman" w:hAnsi="Times New Roman" w:cs="Times New Roman"/>
            <w:color w:val="auto"/>
            <w:sz w:val="20"/>
            <w:szCs w:val="20"/>
          </w:rPr>
          <w:t>https://www.shanghai.gov.cn/cmsres/32/32688250a2a04d0199748a1cd1387fc0/dc4d0ae4b8416dd07607a68791ba8936.pdf</w:t>
        </w:r>
      </w:hyperlink>
      <w:r w:rsidRPr="009909FC">
        <w:rPr>
          <w:rFonts w:ascii="Times New Roman" w:hAnsi="Times New Roman" w:cs="Times New Roman"/>
          <w:sz w:val="20"/>
          <w:szCs w:val="20"/>
        </w:rPr>
        <w:t xml:space="preserve">, accessed on 20 May 2025. </w:t>
      </w:r>
    </w:p>
  </w:footnote>
  <w:footnote w:id="8">
    <w:p w14:paraId="51DBFBDA"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We contend that utilizing the GIGC to identify firms’ green revenues is both valid and reliable. GIGC’s primary aim is to deliver an objective and standardized framework for categorizing green-related business activities. The specific business activities outlined within the GIGC were already in existence prior to its release. This makes it a relevant and authoritative benchmark for classifying and assessing green revenues. Furthermore, as the GIGC is issued by a ministry of the central government, it constitutes an exogenous document. This means that firm-level business activities and revenues are unlikely to influence its formulation and issuance. This ensures that the GIGC provides a systematic and rigorous method for identifying and categorizing revenues from activities related to green and environmental sustainability.</w:t>
      </w:r>
    </w:p>
  </w:footnote>
  <w:footnote w:id="9">
    <w:p w14:paraId="7F59AA5D"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Compared to growth-oriented firms (</w:t>
      </w:r>
      <w:r w:rsidRPr="009909FC">
        <w:rPr>
          <w:rFonts w:ascii="Times New Roman" w:hAnsi="Times New Roman" w:cs="Times New Roman"/>
          <w:i/>
          <w:iCs/>
          <w:sz w:val="20"/>
          <w:szCs w:val="20"/>
        </w:rPr>
        <w:t>Growth-oriented</w:t>
      </w:r>
      <w:r w:rsidRPr="009909FC">
        <w:rPr>
          <w:rFonts w:ascii="Times New Roman" w:hAnsi="Times New Roman" w:cs="Times New Roman"/>
          <w:sz w:val="20"/>
          <w:szCs w:val="20"/>
        </w:rPr>
        <w:t xml:space="preserve"> = 1), other firms include those that prioritize profitability over growth (</w:t>
      </w:r>
      <w:r w:rsidRPr="009909FC">
        <w:rPr>
          <w:rFonts w:ascii="Times New Roman" w:hAnsi="Times New Roman" w:cs="Times New Roman"/>
          <w:i/>
          <w:iCs/>
          <w:sz w:val="20"/>
          <w:szCs w:val="20"/>
        </w:rPr>
        <w:t>Growth-oriented</w:t>
      </w:r>
      <w:r w:rsidRPr="009909FC">
        <w:rPr>
          <w:rFonts w:ascii="Times New Roman" w:hAnsi="Times New Roman" w:cs="Times New Roman"/>
          <w:sz w:val="20"/>
          <w:szCs w:val="20"/>
        </w:rPr>
        <w:t xml:space="preserve"> = 0 &amp; </w:t>
      </w:r>
      <w:r w:rsidRPr="009909FC">
        <w:rPr>
          <w:rFonts w:ascii="Times New Roman" w:hAnsi="Times New Roman" w:cs="Times New Roman"/>
          <w:i/>
          <w:iCs/>
          <w:sz w:val="20"/>
          <w:szCs w:val="20"/>
        </w:rPr>
        <w:t>Profit-oriented</w:t>
      </w:r>
      <w:r w:rsidRPr="009909FC">
        <w:rPr>
          <w:rFonts w:ascii="Times New Roman" w:hAnsi="Times New Roman" w:cs="Times New Roman"/>
          <w:sz w:val="20"/>
          <w:szCs w:val="20"/>
        </w:rPr>
        <w:t xml:space="preserve"> = 1) and those without a priority (</w:t>
      </w:r>
      <w:r w:rsidRPr="009909FC">
        <w:rPr>
          <w:rFonts w:ascii="Times New Roman" w:hAnsi="Times New Roman" w:cs="Times New Roman"/>
          <w:i/>
          <w:iCs/>
          <w:sz w:val="20"/>
          <w:szCs w:val="20"/>
        </w:rPr>
        <w:t>Growth-oriented</w:t>
      </w:r>
      <w:r w:rsidRPr="009909FC">
        <w:rPr>
          <w:rFonts w:ascii="Times New Roman" w:hAnsi="Times New Roman" w:cs="Times New Roman"/>
          <w:sz w:val="20"/>
          <w:szCs w:val="20"/>
        </w:rPr>
        <w:t xml:space="preserve"> = 0 &amp; </w:t>
      </w:r>
      <w:r w:rsidRPr="009909FC">
        <w:rPr>
          <w:rFonts w:ascii="Times New Roman" w:hAnsi="Times New Roman" w:cs="Times New Roman"/>
          <w:i/>
          <w:iCs/>
          <w:sz w:val="20"/>
          <w:szCs w:val="20"/>
        </w:rPr>
        <w:t>Profit-oriented</w:t>
      </w:r>
      <w:r w:rsidRPr="009909FC">
        <w:rPr>
          <w:rFonts w:ascii="Times New Roman" w:hAnsi="Times New Roman" w:cs="Times New Roman"/>
          <w:sz w:val="20"/>
          <w:szCs w:val="20"/>
        </w:rPr>
        <w:t xml:space="preserve"> = 0).</w:t>
      </w:r>
    </w:p>
  </w:footnote>
  <w:footnote w:id="10">
    <w:p w14:paraId="2DE9BFA0" w14:textId="77777777" w:rsidR="000F7DAA" w:rsidRPr="009909FC" w:rsidRDefault="000F7DAA" w:rsidP="000F7DAA">
      <w:pPr>
        <w:pStyle w:val="FootnoteText"/>
        <w:jc w:val="both"/>
        <w:rPr>
          <w:rFonts w:ascii="Times New Roman" w:hAnsi="Times New Roman" w:cs="Times New Roman"/>
          <w:sz w:val="20"/>
          <w:szCs w:val="20"/>
          <w:lang w:val="en-AU"/>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Compared to profit-oriented firms (</w:t>
      </w:r>
      <w:r w:rsidRPr="009909FC">
        <w:rPr>
          <w:rFonts w:ascii="Times New Roman" w:hAnsi="Times New Roman" w:cs="Times New Roman"/>
          <w:i/>
          <w:iCs/>
          <w:sz w:val="20"/>
          <w:szCs w:val="20"/>
        </w:rPr>
        <w:t>Profit-oriented</w:t>
      </w:r>
      <w:r w:rsidRPr="009909FC">
        <w:rPr>
          <w:rFonts w:ascii="Times New Roman" w:hAnsi="Times New Roman" w:cs="Times New Roman"/>
          <w:sz w:val="20"/>
          <w:szCs w:val="20"/>
        </w:rPr>
        <w:t xml:space="preserve"> = 1), other firms include those that prioritize growth over profitability (</w:t>
      </w:r>
      <w:r w:rsidRPr="009909FC">
        <w:rPr>
          <w:rFonts w:ascii="Times New Roman" w:hAnsi="Times New Roman" w:cs="Times New Roman"/>
          <w:i/>
          <w:iCs/>
          <w:sz w:val="20"/>
          <w:szCs w:val="20"/>
        </w:rPr>
        <w:t>Profit-oriented</w:t>
      </w:r>
      <w:r w:rsidRPr="009909FC">
        <w:rPr>
          <w:rFonts w:ascii="Times New Roman" w:hAnsi="Times New Roman" w:cs="Times New Roman"/>
          <w:sz w:val="20"/>
          <w:szCs w:val="20"/>
        </w:rPr>
        <w:t xml:space="preserve"> = 0 &amp; </w:t>
      </w:r>
      <w:r w:rsidRPr="009909FC">
        <w:rPr>
          <w:rFonts w:ascii="Times New Roman" w:hAnsi="Times New Roman" w:cs="Times New Roman"/>
          <w:i/>
          <w:iCs/>
          <w:sz w:val="20"/>
          <w:szCs w:val="20"/>
        </w:rPr>
        <w:t>Growth-oriented</w:t>
      </w:r>
      <w:r w:rsidRPr="009909FC">
        <w:rPr>
          <w:rFonts w:ascii="Times New Roman" w:hAnsi="Times New Roman" w:cs="Times New Roman"/>
          <w:sz w:val="20"/>
          <w:szCs w:val="20"/>
        </w:rPr>
        <w:t xml:space="preserve"> = 1) and those without a priority (</w:t>
      </w:r>
      <w:r w:rsidRPr="009909FC">
        <w:rPr>
          <w:rFonts w:ascii="Times New Roman" w:hAnsi="Times New Roman" w:cs="Times New Roman"/>
          <w:i/>
          <w:iCs/>
          <w:sz w:val="20"/>
          <w:szCs w:val="20"/>
        </w:rPr>
        <w:t>Profit-oriented</w:t>
      </w:r>
      <w:r w:rsidRPr="009909FC">
        <w:rPr>
          <w:rFonts w:ascii="Times New Roman" w:hAnsi="Times New Roman" w:cs="Times New Roman"/>
          <w:sz w:val="20"/>
          <w:szCs w:val="20"/>
        </w:rPr>
        <w:t xml:space="preserve"> = 0 &amp; </w:t>
      </w:r>
      <w:r w:rsidRPr="009909FC">
        <w:rPr>
          <w:rFonts w:ascii="Times New Roman" w:hAnsi="Times New Roman" w:cs="Times New Roman"/>
          <w:i/>
          <w:iCs/>
          <w:sz w:val="20"/>
          <w:szCs w:val="20"/>
        </w:rPr>
        <w:t>Growth-oriented</w:t>
      </w:r>
      <w:r w:rsidRPr="009909FC">
        <w:rPr>
          <w:rFonts w:ascii="Times New Roman" w:hAnsi="Times New Roman" w:cs="Times New Roman"/>
          <w:sz w:val="20"/>
          <w:szCs w:val="20"/>
        </w:rPr>
        <w:t xml:space="preserve"> = 0).</w:t>
      </w:r>
    </w:p>
  </w:footnote>
  <w:footnote w:id="11">
    <w:p w14:paraId="7B69311E" w14:textId="13184B47" w:rsidR="000F7DAA" w:rsidRPr="009909FC" w:rsidRDefault="000F7DAA" w:rsidP="000F7DAA">
      <w:pPr>
        <w:adjustRightInd w:val="0"/>
        <w:snapToGrid w:val="0"/>
        <w:spacing w:after="0" w:line="240" w:lineRule="auto"/>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w:t>
      </w:r>
      <w:r w:rsidRPr="009909FC">
        <w:rPr>
          <w:rFonts w:ascii="Times New Roman" w:hAnsi="Times New Roman" w:cs="Times New Roman"/>
          <w:sz w:val="20"/>
          <w:szCs w:val="20"/>
        </w:rPr>
        <w:fldChar w:fldCharType="begin"/>
      </w:r>
      <w:r w:rsidRPr="009909FC">
        <w:rPr>
          <w:rFonts w:ascii="Times New Roman" w:hAnsi="Times New Roman" w:cs="Times New Roman"/>
          <w:sz w:val="20"/>
          <w:szCs w:val="20"/>
        </w:rPr>
        <w:instrText xml:space="preserve"> ADDIN EN.CITE &lt;EndNote&gt;&lt;Cite AuthorYear="1"&gt;&lt;Author&gt;Teece&lt;/Author&gt;&lt;Year&gt;1997&lt;/Year&gt;&lt;RecNum&gt;9030&lt;/RecNum&gt;&lt;DisplayText&gt;Teece&lt;style face="italic"&gt; et al.&lt;/style&gt; (1997)&lt;/DisplayText&gt;&lt;record&gt;&lt;rec-number&gt;9030&lt;/rec-number&gt;&lt;foreign-keys&gt;&lt;key app="EN" db-id="tt95vv9zf20xf0ewve7x0fsl990xeeasafzs" timestamp="1709287892"&gt;9030&lt;/key&gt;&lt;/foreign-keys&gt;&lt;ref-type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Journal&lt;/full-title&gt;&lt;abbr-1&gt;Strateg. Manag. J.&lt;/abbr-1&gt;&lt;/periodical&gt;&lt;pages&gt;509-533&lt;/pages&gt;&lt;volume&gt;18&lt;/volume&gt;&lt;number&gt;7&lt;/number&gt;&lt;dates&gt;&lt;year&gt;1997&lt;/year&gt;&lt;/dates&gt;&lt;urls&gt;&lt;related-urls&gt;&lt;url&gt;https://www.jstor.org/stable/3088148&lt;/url&gt;&lt;/related-urls&gt;&lt;/urls&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noProof/>
          <w:sz w:val="20"/>
          <w:szCs w:val="20"/>
        </w:rPr>
        <w:t>Teece</w:t>
      </w:r>
      <w:r w:rsidRPr="009909FC">
        <w:rPr>
          <w:rFonts w:ascii="Times New Roman" w:hAnsi="Times New Roman" w:cs="Times New Roman"/>
          <w:i/>
          <w:noProof/>
          <w:sz w:val="20"/>
          <w:szCs w:val="20"/>
        </w:rPr>
        <w:t xml:space="preserve"> et al.</w:t>
      </w:r>
      <w:r w:rsidRPr="009909FC">
        <w:rPr>
          <w:rFonts w:ascii="Times New Roman" w:hAnsi="Times New Roman" w:cs="Times New Roman"/>
          <w:noProof/>
          <w:sz w:val="20"/>
          <w:szCs w:val="20"/>
        </w:rPr>
        <w:t xml:space="preserve"> (1997)</w:t>
      </w:r>
      <w:r w:rsidRPr="009909FC">
        <w:rPr>
          <w:rFonts w:ascii="Times New Roman" w:hAnsi="Times New Roman" w:cs="Times New Roman"/>
          <w:sz w:val="20"/>
          <w:szCs w:val="20"/>
        </w:rPr>
        <w:fldChar w:fldCharType="end"/>
      </w:r>
      <w:r w:rsidRPr="009909FC">
        <w:rPr>
          <w:rFonts w:ascii="Times New Roman" w:hAnsi="Times New Roman" w:cs="Times New Roman"/>
          <w:sz w:val="20"/>
          <w:szCs w:val="20"/>
        </w:rPr>
        <w:t xml:space="preserve"> demonstrate that firms have the capacity to generate, adapt, and utilize their resources and capabilities in reaction to swiftly evolving market dynamics. They characterize dynamic capabilities as the ability of a firm to integrate, develop, and restructure internal and external competencies to navigate rapidly shifting environments. The concept of dynamic capabilities suggests that a firm’s competitive advantages are significantly derived from its ability to adapt, innovate, and manage resources effectively. </w:t>
      </w:r>
      <w:r w:rsidRPr="007829B8">
        <w:rPr>
          <w:rFonts w:ascii="Times New Roman" w:hAnsi="Times New Roman" w:cs="Times New Roman"/>
          <w:color w:val="FF0000"/>
          <w:sz w:val="20"/>
          <w:szCs w:val="20"/>
        </w:rPr>
        <w:t xml:space="preserve">Growth-oriented firms prioritize market share growth and sustainability </w:t>
      </w:r>
      <w:r w:rsidRPr="007829B8">
        <w:rPr>
          <w:rFonts w:ascii="Times New Roman" w:hAnsi="Times New Roman" w:cs="Times New Roman"/>
          <w:color w:val="FF0000"/>
          <w:sz w:val="20"/>
          <w:szCs w:val="20"/>
        </w:rPr>
        <w:fldChar w:fldCharType="begin"/>
      </w:r>
      <w:r w:rsidRPr="007829B8">
        <w:rPr>
          <w:rFonts w:ascii="Times New Roman" w:hAnsi="Times New Roman" w:cs="Times New Roman"/>
          <w:color w:val="FF0000"/>
          <w:sz w:val="20"/>
          <w:szCs w:val="20"/>
        </w:rPr>
        <w:instrText xml:space="preserve"> ADDIN EN.CITE &lt;EndNote&gt;&lt;Cite&gt;&lt;Author&gt;Barney&lt;/Author&gt;&lt;Year&gt;1991&lt;/Year&gt;&lt;RecNum&gt;9002&lt;/RecNum&gt;&lt;DisplayText&gt;(Barney, 1991; Barney and Hesterly, 2019)&lt;/DisplayText&gt;&lt;record&gt;&lt;rec-number&gt;9002&lt;/rec-number&gt;&lt;foreign-keys&gt;&lt;key app="EN" db-id="tt95vv9zf20xf0ewve7x0fsl990xeeasafzs" timestamp="1708914949"&gt;9002&lt;/key&gt;&lt;/foreign-keys&gt;&lt;ref-type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Management&lt;/full-title&gt;&lt;abbr-1&gt;J. Manag.&lt;/abbr-1&gt;&lt;/periodical&gt;&lt;pages&gt;99-120&lt;/pages&gt;&lt;volume&gt;17&lt;/volume&gt;&lt;number&gt;1&lt;/number&gt;&lt;dates&gt;&lt;year&gt;1991&lt;/year&gt;&lt;/dates&gt;&lt;urls&gt;&lt;/urls&gt;&lt;electronic-resource-num&gt;10.1177/014920639101700108&lt;/electronic-resource-num&gt;&lt;/record&gt;&lt;/Cite&gt;&lt;Cite&gt;&lt;Author&gt;Barney&lt;/Author&gt;&lt;Year&gt;2019&lt;/Year&gt;&lt;RecNum&gt;9065&lt;/RecNum&gt;&lt;record&gt;&lt;rec-number&gt;9065&lt;/rec-number&gt;&lt;foreign-keys&gt;&lt;key app="EN" db-id="tt95vv9zf20xf0ewve7x0fsl990xeeasafzs" timestamp="1710060700"&gt;9065&lt;/key&gt;&lt;/foreign-keys&gt;&lt;ref-type name="Book"&gt;6&lt;/ref-type&gt;&lt;contributors&gt;&lt;authors&gt;&lt;author&gt;Barney, Jay B.&lt;/author&gt;&lt;author&gt;Hesterly, William S.&lt;/author&gt;&lt;/authors&gt;&lt;/contributors&gt;&lt;titles&gt;&lt;title&gt;Strategic Management and Competitive Advantage: Concepts and Cases&lt;/title&gt;&lt;/titles&gt;&lt;dates&gt;&lt;year&gt;2019&lt;/year&gt;&lt;/dates&gt;&lt;publisher&gt;Pearson&lt;/publisher&gt;&lt;urls&gt;&lt;/urls&gt;&lt;/record&gt;&lt;/Cite&gt;&lt;/EndNote&gt;</w:instrText>
      </w:r>
      <w:r w:rsidRPr="007829B8">
        <w:rPr>
          <w:rFonts w:ascii="Times New Roman" w:hAnsi="Times New Roman" w:cs="Times New Roman"/>
          <w:color w:val="FF0000"/>
          <w:sz w:val="20"/>
          <w:szCs w:val="20"/>
        </w:rPr>
        <w:fldChar w:fldCharType="separate"/>
      </w:r>
      <w:r w:rsidRPr="007829B8">
        <w:rPr>
          <w:rFonts w:ascii="Times New Roman" w:hAnsi="Times New Roman" w:cs="Times New Roman"/>
          <w:noProof/>
          <w:color w:val="FF0000"/>
          <w:sz w:val="20"/>
          <w:szCs w:val="20"/>
        </w:rPr>
        <w:t>(Barney, 1991; Barney and Hesterly, 2019)</w:t>
      </w:r>
      <w:r w:rsidRPr="007829B8">
        <w:rPr>
          <w:rFonts w:ascii="Times New Roman" w:hAnsi="Times New Roman" w:cs="Times New Roman"/>
          <w:color w:val="FF0000"/>
          <w:sz w:val="20"/>
          <w:szCs w:val="20"/>
        </w:rPr>
        <w:fldChar w:fldCharType="end"/>
      </w:r>
      <w:r w:rsidRPr="009909FC">
        <w:rPr>
          <w:rFonts w:ascii="Times New Roman" w:hAnsi="Times New Roman" w:cs="Times New Roman"/>
          <w:sz w:val="20"/>
          <w:szCs w:val="20"/>
        </w:rPr>
        <w:t xml:space="preserve">. Thus, green patents can be regarded as a dynamic capability, empowering growth-oriented firms to address environmental challenges and seize opportunities, thereby facilitating sustainable growth </w:t>
      </w:r>
      <w:r w:rsidRPr="009909FC">
        <w:rPr>
          <w:rFonts w:ascii="Times New Roman" w:hAnsi="Times New Roman" w:cs="Times New Roman"/>
          <w:sz w:val="20"/>
          <w:szCs w:val="20"/>
        </w:rPr>
        <w:fldChar w:fldCharType="begin"/>
      </w:r>
      <w:r w:rsidRPr="009909FC">
        <w:rPr>
          <w:rFonts w:ascii="Times New Roman" w:hAnsi="Times New Roman" w:cs="Times New Roman"/>
          <w:sz w:val="20"/>
          <w:szCs w:val="20"/>
        </w:rPr>
        <w:instrText xml:space="preserve"> ADDIN EN.CITE &lt;EndNote&gt;&lt;Cite&gt;&lt;Author&gt;Arranz&lt;/Author&gt;&lt;Year&gt;2020&lt;/Year&gt;&lt;RecNum&gt;9073&lt;/RecNum&gt;&lt;DisplayText&gt;(Arranz&lt;style face="italic"&gt; et al.&lt;/style&gt;, 2020)&lt;/DisplayText&gt;&lt;record&gt;&lt;rec-number&gt;9073&lt;/rec-number&gt;&lt;foreign-keys&gt;&lt;key app="EN" db-id="tt95vv9zf20xf0ewve7x0fsl990xeeasafzs" timestamp="1710062313"&gt;9073&lt;/key&gt;&lt;/foreign-keys&gt;&lt;ref-type name="Journal Article"&gt;17&lt;/ref-type&gt;&lt;contributors&gt;&lt;authors&gt;&lt;author&gt;Arranz, Nieves&lt;/author&gt;&lt;author&gt;Arroyabe, Marta&lt;/author&gt;&lt;author&gt;Li, Jun&lt;/author&gt;&lt;author&gt;Fernandez de Arroyabe, Juan Carlos&lt;/author&gt;&lt;/authors&gt;&lt;/contributors&gt;&lt;titles&gt;&lt;title&gt;Innovation as a driver of eco‐innovation in the firm: An approach from the dynamic capabilities theory&lt;/title&gt;&lt;secondary-title&gt;Business Strategy and the Environment&lt;/secondary-title&gt;&lt;/titles&gt;&lt;periodical&gt;&lt;full-title&gt;Business Strategy and the Environment&lt;/full-title&gt;&lt;abbr-1&gt;Bus. Strateg. Environ.&lt;/abbr-1&gt;&lt;/periodical&gt;&lt;pages&gt;1494-1503&lt;/pages&gt;&lt;volume&gt;29&lt;/volume&gt;&lt;number&gt;3&lt;/number&gt;&lt;section&gt;1494&lt;/section&gt;&lt;dates&gt;&lt;year&gt;2020&lt;/year&gt;&lt;/dates&gt;&lt;isbn&gt;0964-4733&amp;#xD;1099-0836&lt;/isbn&gt;&lt;urls&gt;&lt;/urls&gt;&lt;electronic-resource-num&gt;10.1002/bse.2448&lt;/electronic-resource-num&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noProof/>
          <w:sz w:val="20"/>
          <w:szCs w:val="20"/>
        </w:rPr>
        <w:t>(Arranz</w:t>
      </w:r>
      <w:r w:rsidRPr="009909FC">
        <w:rPr>
          <w:rFonts w:ascii="Times New Roman" w:hAnsi="Times New Roman" w:cs="Times New Roman"/>
          <w:i/>
          <w:noProof/>
          <w:sz w:val="20"/>
          <w:szCs w:val="20"/>
        </w:rPr>
        <w:t xml:space="preserve"> et al.</w:t>
      </w:r>
      <w:r w:rsidRPr="009909FC">
        <w:rPr>
          <w:rFonts w:ascii="Times New Roman" w:hAnsi="Times New Roman" w:cs="Times New Roman"/>
          <w:noProof/>
          <w:sz w:val="20"/>
          <w:szCs w:val="20"/>
        </w:rPr>
        <w:t>, 2020)</w:t>
      </w:r>
      <w:r w:rsidRPr="009909FC">
        <w:rPr>
          <w:rFonts w:ascii="Times New Roman" w:hAnsi="Times New Roman" w:cs="Times New Roman"/>
          <w:sz w:val="20"/>
          <w:szCs w:val="20"/>
        </w:rPr>
        <w:fldChar w:fldCharType="end"/>
      </w:r>
      <w:r w:rsidRPr="009909FC">
        <w:rPr>
          <w:rFonts w:ascii="Times New Roman" w:hAnsi="Times New Roman" w:cs="Times New Roman"/>
          <w:sz w:val="20"/>
          <w:szCs w:val="20"/>
        </w:rPr>
        <w:t>.</w:t>
      </w:r>
    </w:p>
  </w:footnote>
  <w:footnote w:id="12">
    <w:p w14:paraId="0D8E3D7E"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Four key dimensions: (</w:t>
      </w:r>
      <w:r w:rsidRPr="009909FC">
        <w:rPr>
          <w:rFonts w:ascii="Times New Roman" w:hAnsi="Times New Roman" w:cs="Times New Roman"/>
          <w:iCs/>
          <w:sz w:val="20"/>
          <w:szCs w:val="20"/>
        </w:rPr>
        <w:t>1) transformation in environmental protection strategy and policy, (2) evolution towards low-carbon and enhanced environmental governance, (3) development of environmental infrastructure, and (4) promotion of employee environmental awareness and education.</w:t>
      </w:r>
    </w:p>
  </w:footnote>
  <w:footnote w:id="13">
    <w:p w14:paraId="24D9CC56" w14:textId="77777777"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lang w:val="en-AU"/>
        </w:rPr>
        <w:t xml:space="preserve"> </w:t>
      </w:r>
      <w:bookmarkStart w:id="2" w:name="_Hlk215577921"/>
      <w:r w:rsidRPr="009909FC">
        <w:rPr>
          <w:rFonts w:ascii="Times New Roman" w:hAnsi="Times New Roman" w:cs="Times New Roman"/>
          <w:sz w:val="20"/>
          <w:szCs w:val="20"/>
        </w:rPr>
        <w:fldChar w:fldCharType="begin"/>
      </w:r>
      <w:r w:rsidRPr="009909FC">
        <w:rPr>
          <w:rFonts w:ascii="Times New Roman" w:hAnsi="Times New Roman" w:cs="Times New Roman"/>
          <w:sz w:val="20"/>
          <w:szCs w:val="20"/>
          <w:lang w:val="en-AU"/>
        </w:rPr>
        <w:instrText xml:space="preserve"> ADDIN EN.CITE &lt;EndNote&gt;&lt;Cite AuthorYear="1"&gt;&lt;Author&gt;Dorobantu&lt;/Author&gt;&lt;Year&gt;2017&lt;/Year&gt;&lt;RecNum&gt;9185&lt;/RecNum&gt;&lt;DisplayText&gt;Dorobantu&lt;style face="italic"&gt; et al.&lt;/style&gt; (2017)&lt;/DisplayText&gt;&lt;record&gt;&lt;rec-number&gt;9185&lt;/rec-number&gt;&lt;foreign-keys&gt;&lt;key app="EN" db-id="tt95vv9zf20xf0ewve7x0fsl990xeeasafzs" timestamp="1713288414"&gt;9185&lt;/key&gt;&lt;/foreign-keys&gt;&lt;ref-type name="Journal Article"&gt;17&lt;/ref-type&gt;&lt;contributors&gt;&lt;authors&gt;&lt;author&gt;Dorobantu, Sinziana&lt;/author&gt;&lt;author&gt;Henisz, Witold J.&lt;/author&gt;&lt;author&gt;Nartey, Lite&lt;/author&gt;&lt;/authors&gt;&lt;/contributors&gt;&lt;titles&gt;&lt;title&gt;Not all sparks light a fire: Stakeholder and shareholder reactions to critical events in contested markets&lt;/title&gt;&lt;secondary-title&gt;Administrative Science Quarterly&lt;/secondary-title&gt;&lt;/titles&gt;&lt;periodical&gt;&lt;full-title&gt;Administrative Science Quarterly&lt;/full-title&gt;&lt;abbr-1&gt;Admin. Sci. Q.&lt;/abbr-1&gt;&lt;/periodical&gt;&lt;pages&gt;561-597&lt;/pages&gt;&lt;volume&gt;62&lt;/volume&gt;&lt;number&gt;3&lt;/number&gt;&lt;section&gt;561&lt;/section&gt;&lt;dates&gt;&lt;year&gt;2017&lt;/year&gt;&lt;/dates&gt;&lt;isbn&gt;0001-8392&amp;#xD;1930-3815&lt;/isbn&gt;&lt;urls&gt;&lt;/urls&gt;&lt;electronic-resource-num&gt;10.1177/0001839216687743&lt;/electronic-resource-num&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sz w:val="20"/>
          <w:szCs w:val="20"/>
          <w:lang w:val="en-AU"/>
        </w:rPr>
        <w:t>Dorobantu</w:t>
      </w:r>
      <w:r w:rsidRPr="009909FC">
        <w:rPr>
          <w:rFonts w:ascii="Times New Roman" w:hAnsi="Times New Roman" w:cs="Times New Roman"/>
          <w:i/>
          <w:sz w:val="20"/>
          <w:szCs w:val="20"/>
          <w:lang w:val="en-AU"/>
        </w:rPr>
        <w:t xml:space="preserve"> et al.</w:t>
      </w:r>
      <w:r w:rsidRPr="009909FC">
        <w:rPr>
          <w:rFonts w:ascii="Times New Roman" w:hAnsi="Times New Roman" w:cs="Times New Roman"/>
          <w:sz w:val="20"/>
          <w:szCs w:val="20"/>
          <w:lang w:val="en-AU"/>
        </w:rPr>
        <w:t xml:space="preserve"> (2017)</w:t>
      </w:r>
      <w:r w:rsidRPr="009909FC">
        <w:rPr>
          <w:rFonts w:ascii="Times New Roman" w:hAnsi="Times New Roman" w:cs="Times New Roman"/>
          <w:sz w:val="20"/>
          <w:szCs w:val="20"/>
        </w:rPr>
        <w:fldChar w:fldCharType="end"/>
      </w:r>
      <w:bookmarkEnd w:id="2"/>
      <w:r w:rsidRPr="009909FC">
        <w:rPr>
          <w:rFonts w:ascii="Times New Roman" w:hAnsi="Times New Roman" w:cs="Times New Roman"/>
          <w:sz w:val="20"/>
          <w:szCs w:val="20"/>
        </w:rPr>
        <w:t xml:space="preserve"> document that a corpus of articles may exhibit selection and description biases. However, they also argue that these two biases can be partially offset by using a large corpus of articles. Therefore, we gather all articles pertinent to positive news and also acquire the original articles related to positive news about firms as robust measures.</w:t>
      </w:r>
    </w:p>
  </w:footnote>
  <w:footnote w:id="14">
    <w:p w14:paraId="5280D69C" w14:textId="77777777" w:rsidR="000F7DAA" w:rsidRPr="009909FC" w:rsidRDefault="000F7DAA" w:rsidP="000F7DAA">
      <w:pPr>
        <w:pStyle w:val="FootnoteText"/>
        <w:jc w:val="both"/>
        <w:rPr>
          <w:rFonts w:ascii="Times New Roman" w:hAnsi="Times New Roman" w:cs="Times New Roman"/>
          <w:sz w:val="20"/>
          <w:szCs w:val="20"/>
          <w:lang w:val="en-AU"/>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Securing and sustaining a social reputation can significantly enhance a firm’s operational success, strategic positioning, and long-term sustainability, contributing to brand reputation, investor appeal, compliance efforts, and public relations </w:t>
      </w:r>
      <w:r w:rsidRPr="009909FC">
        <w:rPr>
          <w:rFonts w:ascii="Times New Roman" w:hAnsi="Times New Roman" w:cs="Times New Roman"/>
          <w:sz w:val="20"/>
          <w:szCs w:val="20"/>
        </w:rPr>
        <w:fldChar w:fldCharType="begin"/>
      </w:r>
      <w:r w:rsidRPr="009909FC">
        <w:rPr>
          <w:rFonts w:ascii="Times New Roman" w:hAnsi="Times New Roman" w:cs="Times New Roman"/>
          <w:sz w:val="20"/>
          <w:szCs w:val="20"/>
        </w:rPr>
        <w:instrText xml:space="preserve"> ADDIN EN.CITE &lt;EndNote&gt;&lt;Cite&gt;&lt;Author&gt;Demuijnck&lt;/Author&gt;&lt;Year&gt;2016&lt;/Year&gt;&lt;RecNum&gt;9063&lt;/RecNum&gt;&lt;DisplayText&gt;(Demuijnck and Fasterling, 2016)&lt;/DisplayText&gt;&lt;record&gt;&lt;rec-number&gt;9063&lt;/rec-number&gt;&lt;foreign-keys&gt;&lt;key app="EN" db-id="tt95vv9zf20xf0ewve7x0fsl990xeeasafzs" timestamp="1709952134"&gt;9063&lt;/key&gt;&lt;/foreign-keys&gt;&lt;ref-type name="Journal Article"&gt;17&lt;/ref-type&gt;&lt;contributors&gt;&lt;authors&gt;&lt;author&gt;Demuijnck, Geert&lt;/author&gt;&lt;author&gt;Fasterling, Björn&lt;/author&gt;&lt;/authors&gt;&lt;/contributors&gt;&lt;titles&gt;&lt;title&gt;The social license to operate&lt;/title&gt;&lt;secondary-title&gt;Journal of Business Ethics&lt;/secondary-title&gt;&lt;/titles&gt;&lt;periodical&gt;&lt;full-title&gt;Journal of Business Ethics&lt;/full-title&gt;&lt;abbr-1&gt;J. Bus. Ethics&lt;/abbr-1&gt;&lt;/periodical&gt;&lt;pages&gt;675-685&lt;/pages&gt;&lt;volume&gt;136&lt;/volume&gt;&lt;number&gt;4&lt;/number&gt;&lt;section&gt;675&lt;/section&gt;&lt;dates&gt;&lt;year&gt;2016&lt;/year&gt;&lt;/dates&gt;&lt;isbn&gt;0167-4544&amp;#xD;1573-0697&lt;/isbn&gt;&lt;urls&gt;&lt;/urls&gt;&lt;electronic-resource-num&gt;10.1007/s10551-015-2976-7&lt;/electronic-resource-num&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noProof/>
          <w:sz w:val="20"/>
          <w:szCs w:val="20"/>
        </w:rPr>
        <w:t>(Demuijnck and Fasterling, 2016)</w:t>
      </w:r>
      <w:r w:rsidRPr="009909FC">
        <w:rPr>
          <w:rFonts w:ascii="Times New Roman" w:hAnsi="Times New Roman" w:cs="Times New Roman"/>
          <w:sz w:val="20"/>
          <w:szCs w:val="20"/>
        </w:rPr>
        <w:fldChar w:fldCharType="end"/>
      </w:r>
      <w:r w:rsidRPr="009909FC">
        <w:rPr>
          <w:rFonts w:ascii="Times New Roman" w:hAnsi="Times New Roman" w:cs="Times New Roman"/>
          <w:sz w:val="20"/>
          <w:szCs w:val="20"/>
        </w:rPr>
        <w:t>.</w:t>
      </w:r>
    </w:p>
  </w:footnote>
  <w:footnote w:id="15">
    <w:p w14:paraId="009570C1" w14:textId="043C19A6" w:rsidR="00774702" w:rsidRPr="009909FC" w:rsidRDefault="00774702" w:rsidP="00774702">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We acknowledge the limitations of this proxy</w:t>
      </w:r>
      <w:r w:rsidR="006224AD" w:rsidRPr="009909FC">
        <w:rPr>
          <w:rFonts w:ascii="Times New Roman" w:hAnsi="Times New Roman" w:cs="Times New Roman" w:hint="eastAsia"/>
          <w:sz w:val="20"/>
          <w:szCs w:val="20"/>
        </w:rPr>
        <w:t>,</w:t>
      </w:r>
      <w:r w:rsidRPr="009909FC">
        <w:rPr>
          <w:rFonts w:ascii="Times New Roman" w:hAnsi="Times New Roman" w:cs="Times New Roman"/>
          <w:sz w:val="20"/>
          <w:szCs w:val="20"/>
        </w:rPr>
        <w:t xml:space="preserve"> </w:t>
      </w:r>
      <w:r w:rsidR="006224AD" w:rsidRPr="009909FC">
        <w:rPr>
          <w:rFonts w:ascii="Times New Roman" w:hAnsi="Times New Roman" w:cs="Times New Roman" w:hint="eastAsia"/>
          <w:sz w:val="20"/>
          <w:szCs w:val="20"/>
        </w:rPr>
        <w:t xml:space="preserve">which may not capture comprehensive social impact </w:t>
      </w:r>
      <w:r w:rsidRPr="009909FC">
        <w:rPr>
          <w:rFonts w:ascii="Times New Roman" w:hAnsi="Times New Roman" w:cs="Times New Roman"/>
          <w:sz w:val="20"/>
          <w:szCs w:val="20"/>
        </w:rPr>
        <w:t xml:space="preserve">while noting its widespread use in prior literature linking media sentiment to firms’ social evaluations (e.g., Engdahl and Lidskog, 2014; Dorobantu </w:t>
      </w:r>
      <w:r w:rsidRPr="009909FC">
        <w:rPr>
          <w:rFonts w:ascii="Times New Roman" w:hAnsi="Times New Roman" w:cs="Times New Roman"/>
          <w:i/>
          <w:iCs/>
          <w:sz w:val="20"/>
          <w:szCs w:val="20"/>
        </w:rPr>
        <w:t>et al</w:t>
      </w:r>
      <w:r w:rsidRPr="009909FC">
        <w:rPr>
          <w:rFonts w:ascii="Times New Roman" w:hAnsi="Times New Roman" w:cs="Times New Roman"/>
          <w:sz w:val="20"/>
          <w:szCs w:val="20"/>
        </w:rPr>
        <w:t xml:space="preserve">., 2017; Ho </w:t>
      </w:r>
      <w:r w:rsidRPr="009909FC">
        <w:rPr>
          <w:rFonts w:ascii="Times New Roman" w:hAnsi="Times New Roman" w:cs="Times New Roman"/>
          <w:i/>
          <w:iCs/>
          <w:sz w:val="20"/>
          <w:szCs w:val="20"/>
        </w:rPr>
        <w:t>et al</w:t>
      </w:r>
      <w:r w:rsidRPr="009909FC">
        <w:rPr>
          <w:rFonts w:ascii="Times New Roman" w:hAnsi="Times New Roman" w:cs="Times New Roman"/>
          <w:sz w:val="20"/>
          <w:szCs w:val="20"/>
        </w:rPr>
        <w:t>., 2022)</w:t>
      </w:r>
      <w:r w:rsidRPr="009909FC">
        <w:rPr>
          <w:rFonts w:ascii="Times New Roman" w:hAnsi="Times New Roman" w:cs="Times New Roman" w:hint="eastAsia"/>
          <w:sz w:val="20"/>
          <w:szCs w:val="20"/>
        </w:rPr>
        <w:t>.</w:t>
      </w:r>
    </w:p>
  </w:footnote>
  <w:footnote w:id="16">
    <w:p w14:paraId="33B5F092" w14:textId="3450791B" w:rsidR="000F7DAA" w:rsidRPr="009909FC" w:rsidRDefault="000F7DAA" w:rsidP="000F7DAA">
      <w:pPr>
        <w:pStyle w:val="FootnoteText"/>
        <w:jc w:val="both"/>
        <w:rPr>
          <w:rFonts w:ascii="Times New Roman" w:hAnsi="Times New Roman" w:cs="Times New Roman"/>
          <w:sz w:val="20"/>
          <w:szCs w:val="20"/>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w:t>
      </w:r>
      <w:r w:rsidRPr="00F867F2">
        <w:rPr>
          <w:rFonts w:ascii="Times New Roman" w:hAnsi="Times New Roman" w:cs="Times New Roman"/>
          <w:sz w:val="20"/>
          <w:szCs w:val="20"/>
        </w:rPr>
        <w:t>This library includes business financial media and news reports of firms from major Chinese newspapers and financial magazines since 1992.</w:t>
      </w:r>
      <w:r w:rsidR="00F867F2" w:rsidRPr="00F867F2">
        <w:rPr>
          <w:rFonts w:ascii="Times New Roman" w:hAnsi="Times New Roman" w:cs="Times New Roman" w:hint="eastAsia"/>
          <w:sz w:val="20"/>
          <w:szCs w:val="20"/>
        </w:rPr>
        <w:t xml:space="preserve"> </w:t>
      </w:r>
      <w:r w:rsidR="00F867F2" w:rsidRPr="00F867F2">
        <w:rPr>
          <w:rFonts w:ascii="Times New Roman" w:hAnsi="Times New Roman" w:cs="Times New Roman"/>
          <w:sz w:val="20"/>
          <w:szCs w:val="20"/>
        </w:rPr>
        <w:t>We remove company-issued announcements, financial reports, and analyst reports.</w:t>
      </w:r>
      <w:r w:rsidR="00F867F2" w:rsidRPr="00A3505C">
        <w:rPr>
          <w:rFonts w:ascii="Times New Roman" w:hAnsi="Times New Roman" w:cs="Times New Roman"/>
          <w:sz w:val="24"/>
          <w:szCs w:val="24"/>
        </w:rPr>
        <w:t xml:space="preserve"> </w:t>
      </w:r>
    </w:p>
  </w:footnote>
  <w:footnote w:id="17">
    <w:p w14:paraId="65DAD8F8" w14:textId="77777777" w:rsidR="000F7DAA" w:rsidRPr="009909FC" w:rsidRDefault="000F7DAA" w:rsidP="000F7DAA">
      <w:pPr>
        <w:pStyle w:val="FootnoteText"/>
        <w:jc w:val="both"/>
        <w:rPr>
          <w:rFonts w:ascii="Times New Roman" w:hAnsi="Times New Roman" w:cs="Times New Roman"/>
          <w:sz w:val="20"/>
          <w:szCs w:val="20"/>
          <w:lang w:val="en-AU"/>
        </w:rPr>
      </w:pPr>
      <w:r w:rsidRPr="009909FC">
        <w:rPr>
          <w:rStyle w:val="FootnoteReference"/>
          <w:rFonts w:ascii="Times New Roman" w:hAnsi="Times New Roman" w:cs="Times New Roman"/>
          <w:sz w:val="20"/>
          <w:szCs w:val="20"/>
        </w:rPr>
        <w:footnoteRef/>
      </w:r>
      <w:r w:rsidRPr="009909FC">
        <w:rPr>
          <w:rFonts w:ascii="Times New Roman" w:hAnsi="Times New Roman" w:cs="Times New Roman"/>
          <w:sz w:val="20"/>
          <w:szCs w:val="20"/>
        </w:rPr>
        <w:t xml:space="preserve"> RKS independently develops China’s first CSR report rating system for listed firms and annually hosts the A-share Listed Firms CSR Report Summit, which has become a leading platform for CSR communication. RKS’s expertise spans several corporate rating areas, including CSR report evaluations, making it a prominent institution in rating firms’ CSR performance </w:t>
      </w:r>
      <w:r w:rsidRPr="009909FC">
        <w:rPr>
          <w:rFonts w:ascii="Times New Roman" w:hAnsi="Times New Roman" w:cs="Times New Roman"/>
          <w:sz w:val="20"/>
          <w:szCs w:val="20"/>
        </w:rPr>
        <w:fldChar w:fldCharType="begin"/>
      </w:r>
      <w:r w:rsidRPr="009909FC">
        <w:rPr>
          <w:rFonts w:ascii="Times New Roman" w:hAnsi="Times New Roman" w:cs="Times New Roman"/>
          <w:sz w:val="20"/>
          <w:szCs w:val="20"/>
        </w:rPr>
        <w:instrText xml:space="preserve"> ADDIN EN.CITE &lt;EndNote&gt;&lt;Cite&gt;&lt;Author&gt;McGuinness&lt;/Author&gt;&lt;Year&gt;2017&lt;/Year&gt;&lt;RecNum&gt;10199&lt;/RecNum&gt;&lt;DisplayText&gt;(McGuinness&lt;style face="italic"&gt; et al.&lt;/style&gt;, 2017)&lt;/DisplayText&gt;&lt;record&gt;&lt;rec-number&gt;10199&lt;/rec-number&gt;&lt;foreign-keys&gt;&lt;key app="EN" db-id="tt95vv9zf20xf0ewve7x0fsl990xeeasafzs" timestamp="1730961228"&gt;10199&lt;/key&gt;&lt;/foreign-keys&gt;&lt;ref-type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Finance&lt;/full-title&gt;&lt;abbr-1&gt;J. Corp. Financ.&lt;/abbr-1&gt;&lt;/periodical&gt;&lt;pages&gt;75-99&lt;/pages&gt;&lt;volume&gt;42&lt;/volume&gt;&lt;section&gt;75&lt;/section&gt;&lt;dates&gt;&lt;year&gt;2017&lt;/year&gt;&lt;/dates&gt;&lt;isbn&gt;09291199&lt;/isbn&gt;&lt;urls&gt;&lt;/urls&gt;&lt;electronic-resource-num&gt;10.1016/j.jcorpfin.2016.11.001&lt;/electronic-resource-num&gt;&lt;/record&gt;&lt;/Cite&gt;&lt;/EndNote&gt;</w:instrText>
      </w:r>
      <w:r w:rsidRPr="009909FC">
        <w:rPr>
          <w:rFonts w:ascii="Times New Roman" w:hAnsi="Times New Roman" w:cs="Times New Roman"/>
          <w:sz w:val="20"/>
          <w:szCs w:val="20"/>
        </w:rPr>
        <w:fldChar w:fldCharType="separate"/>
      </w:r>
      <w:r w:rsidRPr="009909FC">
        <w:rPr>
          <w:rFonts w:ascii="Times New Roman" w:hAnsi="Times New Roman" w:cs="Times New Roman"/>
          <w:noProof/>
          <w:sz w:val="20"/>
          <w:szCs w:val="20"/>
        </w:rPr>
        <w:t>(McGuinness</w:t>
      </w:r>
      <w:r w:rsidRPr="009909FC">
        <w:rPr>
          <w:rFonts w:ascii="Times New Roman" w:hAnsi="Times New Roman" w:cs="Times New Roman"/>
          <w:i/>
          <w:noProof/>
          <w:sz w:val="20"/>
          <w:szCs w:val="20"/>
        </w:rPr>
        <w:t xml:space="preserve"> et al.</w:t>
      </w:r>
      <w:r w:rsidRPr="009909FC">
        <w:rPr>
          <w:rFonts w:ascii="Times New Roman" w:hAnsi="Times New Roman" w:cs="Times New Roman"/>
          <w:noProof/>
          <w:sz w:val="20"/>
          <w:szCs w:val="20"/>
        </w:rPr>
        <w:t>, 2017)</w:t>
      </w:r>
      <w:r w:rsidRPr="009909FC">
        <w:rPr>
          <w:rFonts w:ascii="Times New Roman" w:hAnsi="Times New Roman" w:cs="Times New Roman"/>
          <w:sz w:val="20"/>
          <w:szCs w:val="20"/>
        </w:rPr>
        <w:fldChar w:fldCharType="end"/>
      </w:r>
      <w:r w:rsidRPr="009909FC">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13A"/>
    <w:multiLevelType w:val="hybridMultilevel"/>
    <w:tmpl w:val="C610F00C"/>
    <w:lvl w:ilvl="0" w:tplc="BE926220">
      <w:start w:val="1"/>
      <w:numFmt w:val="decimal"/>
      <w:lvlText w:val="%1."/>
      <w:lvlJc w:val="left"/>
      <w:pPr>
        <w:ind w:left="1020" w:hanging="360"/>
      </w:pPr>
    </w:lvl>
    <w:lvl w:ilvl="1" w:tplc="C6C87192">
      <w:start w:val="1"/>
      <w:numFmt w:val="decimal"/>
      <w:lvlText w:val="%2."/>
      <w:lvlJc w:val="left"/>
      <w:pPr>
        <w:ind w:left="1020" w:hanging="360"/>
      </w:pPr>
    </w:lvl>
    <w:lvl w:ilvl="2" w:tplc="8D380102">
      <w:start w:val="1"/>
      <w:numFmt w:val="decimal"/>
      <w:lvlText w:val="%3."/>
      <w:lvlJc w:val="left"/>
      <w:pPr>
        <w:ind w:left="1020" w:hanging="360"/>
      </w:pPr>
    </w:lvl>
    <w:lvl w:ilvl="3" w:tplc="F8D23CFC">
      <w:start w:val="1"/>
      <w:numFmt w:val="decimal"/>
      <w:lvlText w:val="%4."/>
      <w:lvlJc w:val="left"/>
      <w:pPr>
        <w:ind w:left="1020" w:hanging="360"/>
      </w:pPr>
    </w:lvl>
    <w:lvl w:ilvl="4" w:tplc="F4840190">
      <w:start w:val="1"/>
      <w:numFmt w:val="decimal"/>
      <w:lvlText w:val="%5."/>
      <w:lvlJc w:val="left"/>
      <w:pPr>
        <w:ind w:left="1020" w:hanging="360"/>
      </w:pPr>
    </w:lvl>
    <w:lvl w:ilvl="5" w:tplc="5E86CD4A">
      <w:start w:val="1"/>
      <w:numFmt w:val="decimal"/>
      <w:lvlText w:val="%6."/>
      <w:lvlJc w:val="left"/>
      <w:pPr>
        <w:ind w:left="1020" w:hanging="360"/>
      </w:pPr>
    </w:lvl>
    <w:lvl w:ilvl="6" w:tplc="2E62BC34">
      <w:start w:val="1"/>
      <w:numFmt w:val="decimal"/>
      <w:lvlText w:val="%7."/>
      <w:lvlJc w:val="left"/>
      <w:pPr>
        <w:ind w:left="1020" w:hanging="360"/>
      </w:pPr>
    </w:lvl>
    <w:lvl w:ilvl="7" w:tplc="BDAE30A2">
      <w:start w:val="1"/>
      <w:numFmt w:val="decimal"/>
      <w:lvlText w:val="%8."/>
      <w:lvlJc w:val="left"/>
      <w:pPr>
        <w:ind w:left="1020" w:hanging="360"/>
      </w:pPr>
    </w:lvl>
    <w:lvl w:ilvl="8" w:tplc="0FD22FE0">
      <w:start w:val="1"/>
      <w:numFmt w:val="decimal"/>
      <w:lvlText w:val="%9."/>
      <w:lvlJc w:val="left"/>
      <w:pPr>
        <w:ind w:left="1020" w:hanging="360"/>
      </w:pPr>
    </w:lvl>
  </w:abstractNum>
  <w:abstractNum w:abstractNumId="1" w15:restartNumberingAfterBreak="0">
    <w:nsid w:val="0D966466"/>
    <w:multiLevelType w:val="hybridMultilevel"/>
    <w:tmpl w:val="BE4C1F3E"/>
    <w:lvl w:ilvl="0" w:tplc="00AC2A00">
      <w:start w:val="1"/>
      <w:numFmt w:val="decimal"/>
      <w:lvlText w:val="%1."/>
      <w:lvlJc w:val="left"/>
      <w:pPr>
        <w:ind w:left="1020" w:hanging="360"/>
      </w:pPr>
    </w:lvl>
    <w:lvl w:ilvl="1" w:tplc="B49C5DCE">
      <w:start w:val="1"/>
      <w:numFmt w:val="decimal"/>
      <w:lvlText w:val="%2."/>
      <w:lvlJc w:val="left"/>
      <w:pPr>
        <w:ind w:left="1020" w:hanging="360"/>
      </w:pPr>
    </w:lvl>
    <w:lvl w:ilvl="2" w:tplc="02F49B32">
      <w:start w:val="1"/>
      <w:numFmt w:val="decimal"/>
      <w:lvlText w:val="%3."/>
      <w:lvlJc w:val="left"/>
      <w:pPr>
        <w:ind w:left="1020" w:hanging="360"/>
      </w:pPr>
    </w:lvl>
    <w:lvl w:ilvl="3" w:tplc="3CF2A39E">
      <w:start w:val="1"/>
      <w:numFmt w:val="decimal"/>
      <w:lvlText w:val="%4."/>
      <w:lvlJc w:val="left"/>
      <w:pPr>
        <w:ind w:left="1020" w:hanging="360"/>
      </w:pPr>
    </w:lvl>
    <w:lvl w:ilvl="4" w:tplc="563A67DC">
      <w:start w:val="1"/>
      <w:numFmt w:val="decimal"/>
      <w:lvlText w:val="%5."/>
      <w:lvlJc w:val="left"/>
      <w:pPr>
        <w:ind w:left="1020" w:hanging="360"/>
      </w:pPr>
    </w:lvl>
    <w:lvl w:ilvl="5" w:tplc="F92CD14C">
      <w:start w:val="1"/>
      <w:numFmt w:val="decimal"/>
      <w:lvlText w:val="%6."/>
      <w:lvlJc w:val="left"/>
      <w:pPr>
        <w:ind w:left="1020" w:hanging="360"/>
      </w:pPr>
    </w:lvl>
    <w:lvl w:ilvl="6" w:tplc="0A3AB81C">
      <w:start w:val="1"/>
      <w:numFmt w:val="decimal"/>
      <w:lvlText w:val="%7."/>
      <w:lvlJc w:val="left"/>
      <w:pPr>
        <w:ind w:left="1020" w:hanging="360"/>
      </w:pPr>
    </w:lvl>
    <w:lvl w:ilvl="7" w:tplc="85741B3E">
      <w:start w:val="1"/>
      <w:numFmt w:val="decimal"/>
      <w:lvlText w:val="%8."/>
      <w:lvlJc w:val="left"/>
      <w:pPr>
        <w:ind w:left="1020" w:hanging="360"/>
      </w:pPr>
    </w:lvl>
    <w:lvl w:ilvl="8" w:tplc="669A9952">
      <w:start w:val="1"/>
      <w:numFmt w:val="decimal"/>
      <w:lvlText w:val="%9."/>
      <w:lvlJc w:val="left"/>
      <w:pPr>
        <w:ind w:left="1020" w:hanging="360"/>
      </w:pPr>
    </w:lvl>
  </w:abstractNum>
  <w:abstractNum w:abstractNumId="2" w15:restartNumberingAfterBreak="0">
    <w:nsid w:val="194F32CB"/>
    <w:multiLevelType w:val="hybridMultilevel"/>
    <w:tmpl w:val="9502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F6312"/>
    <w:multiLevelType w:val="hybridMultilevel"/>
    <w:tmpl w:val="FF90E016"/>
    <w:lvl w:ilvl="0" w:tplc="273A571C">
      <w:start w:val="1"/>
      <w:numFmt w:val="decimal"/>
      <w:lvlText w:val="%1."/>
      <w:lvlJc w:val="left"/>
      <w:pPr>
        <w:ind w:left="1020" w:hanging="360"/>
      </w:pPr>
    </w:lvl>
    <w:lvl w:ilvl="1" w:tplc="619C381E">
      <w:start w:val="1"/>
      <w:numFmt w:val="decimal"/>
      <w:lvlText w:val="%2."/>
      <w:lvlJc w:val="left"/>
      <w:pPr>
        <w:ind w:left="1020" w:hanging="360"/>
      </w:pPr>
    </w:lvl>
    <w:lvl w:ilvl="2" w:tplc="3A0AFACE">
      <w:start w:val="1"/>
      <w:numFmt w:val="decimal"/>
      <w:lvlText w:val="%3."/>
      <w:lvlJc w:val="left"/>
      <w:pPr>
        <w:ind w:left="1020" w:hanging="360"/>
      </w:pPr>
    </w:lvl>
    <w:lvl w:ilvl="3" w:tplc="582AB1B0">
      <w:start w:val="1"/>
      <w:numFmt w:val="decimal"/>
      <w:lvlText w:val="%4."/>
      <w:lvlJc w:val="left"/>
      <w:pPr>
        <w:ind w:left="1020" w:hanging="360"/>
      </w:pPr>
    </w:lvl>
    <w:lvl w:ilvl="4" w:tplc="5F686CB8">
      <w:start w:val="1"/>
      <w:numFmt w:val="decimal"/>
      <w:lvlText w:val="%5."/>
      <w:lvlJc w:val="left"/>
      <w:pPr>
        <w:ind w:left="1020" w:hanging="360"/>
      </w:pPr>
    </w:lvl>
    <w:lvl w:ilvl="5" w:tplc="27404638">
      <w:start w:val="1"/>
      <w:numFmt w:val="decimal"/>
      <w:lvlText w:val="%6."/>
      <w:lvlJc w:val="left"/>
      <w:pPr>
        <w:ind w:left="1020" w:hanging="360"/>
      </w:pPr>
    </w:lvl>
    <w:lvl w:ilvl="6" w:tplc="266C5554">
      <w:start w:val="1"/>
      <w:numFmt w:val="decimal"/>
      <w:lvlText w:val="%7."/>
      <w:lvlJc w:val="left"/>
      <w:pPr>
        <w:ind w:left="1020" w:hanging="360"/>
      </w:pPr>
    </w:lvl>
    <w:lvl w:ilvl="7" w:tplc="13948570">
      <w:start w:val="1"/>
      <w:numFmt w:val="decimal"/>
      <w:lvlText w:val="%8."/>
      <w:lvlJc w:val="left"/>
      <w:pPr>
        <w:ind w:left="1020" w:hanging="360"/>
      </w:pPr>
    </w:lvl>
    <w:lvl w:ilvl="8" w:tplc="AC42CF4A">
      <w:start w:val="1"/>
      <w:numFmt w:val="decimal"/>
      <w:lvlText w:val="%9."/>
      <w:lvlJc w:val="left"/>
      <w:pPr>
        <w:ind w:left="1020" w:hanging="360"/>
      </w:pPr>
    </w:lvl>
  </w:abstractNum>
  <w:abstractNum w:abstractNumId="4" w15:restartNumberingAfterBreak="0">
    <w:nsid w:val="43ED1D2A"/>
    <w:multiLevelType w:val="hybridMultilevel"/>
    <w:tmpl w:val="2D5A6036"/>
    <w:lvl w:ilvl="0" w:tplc="8E3AE1DA">
      <w:start w:val="1"/>
      <w:numFmt w:val="decimal"/>
      <w:lvlText w:val="%1."/>
      <w:lvlJc w:val="left"/>
      <w:pPr>
        <w:ind w:left="1020" w:hanging="360"/>
      </w:pPr>
    </w:lvl>
    <w:lvl w:ilvl="1" w:tplc="EB3A9166">
      <w:start w:val="1"/>
      <w:numFmt w:val="decimal"/>
      <w:lvlText w:val="%2."/>
      <w:lvlJc w:val="left"/>
      <w:pPr>
        <w:ind w:left="1020" w:hanging="360"/>
      </w:pPr>
    </w:lvl>
    <w:lvl w:ilvl="2" w:tplc="5F920186">
      <w:start w:val="1"/>
      <w:numFmt w:val="decimal"/>
      <w:lvlText w:val="%3."/>
      <w:lvlJc w:val="left"/>
      <w:pPr>
        <w:ind w:left="1020" w:hanging="360"/>
      </w:pPr>
    </w:lvl>
    <w:lvl w:ilvl="3" w:tplc="CF0EE2B6">
      <w:start w:val="1"/>
      <w:numFmt w:val="decimal"/>
      <w:lvlText w:val="%4."/>
      <w:lvlJc w:val="left"/>
      <w:pPr>
        <w:ind w:left="1020" w:hanging="360"/>
      </w:pPr>
    </w:lvl>
    <w:lvl w:ilvl="4" w:tplc="11F66CB8">
      <w:start w:val="1"/>
      <w:numFmt w:val="decimal"/>
      <w:lvlText w:val="%5."/>
      <w:lvlJc w:val="left"/>
      <w:pPr>
        <w:ind w:left="1020" w:hanging="360"/>
      </w:pPr>
    </w:lvl>
    <w:lvl w:ilvl="5" w:tplc="4E069360">
      <w:start w:val="1"/>
      <w:numFmt w:val="decimal"/>
      <w:lvlText w:val="%6."/>
      <w:lvlJc w:val="left"/>
      <w:pPr>
        <w:ind w:left="1020" w:hanging="360"/>
      </w:pPr>
    </w:lvl>
    <w:lvl w:ilvl="6" w:tplc="4F3C217C">
      <w:start w:val="1"/>
      <w:numFmt w:val="decimal"/>
      <w:lvlText w:val="%7."/>
      <w:lvlJc w:val="left"/>
      <w:pPr>
        <w:ind w:left="1020" w:hanging="360"/>
      </w:pPr>
    </w:lvl>
    <w:lvl w:ilvl="7" w:tplc="10D403D0">
      <w:start w:val="1"/>
      <w:numFmt w:val="decimal"/>
      <w:lvlText w:val="%8."/>
      <w:lvlJc w:val="left"/>
      <w:pPr>
        <w:ind w:left="1020" w:hanging="360"/>
      </w:pPr>
    </w:lvl>
    <w:lvl w:ilvl="8" w:tplc="7AD0EE76">
      <w:start w:val="1"/>
      <w:numFmt w:val="decimal"/>
      <w:lvlText w:val="%9."/>
      <w:lvlJc w:val="left"/>
      <w:pPr>
        <w:ind w:left="1020" w:hanging="360"/>
      </w:pPr>
    </w:lvl>
  </w:abstractNum>
  <w:abstractNum w:abstractNumId="5" w15:restartNumberingAfterBreak="0">
    <w:nsid w:val="57CA388C"/>
    <w:multiLevelType w:val="hybridMultilevel"/>
    <w:tmpl w:val="037CEADE"/>
    <w:lvl w:ilvl="0" w:tplc="DF962AC8">
      <w:start w:val="1"/>
      <w:numFmt w:val="decimal"/>
      <w:lvlText w:val="%1."/>
      <w:lvlJc w:val="left"/>
      <w:pPr>
        <w:ind w:left="1020" w:hanging="360"/>
      </w:pPr>
    </w:lvl>
    <w:lvl w:ilvl="1" w:tplc="BA000F84">
      <w:start w:val="1"/>
      <w:numFmt w:val="decimal"/>
      <w:lvlText w:val="%2."/>
      <w:lvlJc w:val="left"/>
      <w:pPr>
        <w:ind w:left="1020" w:hanging="360"/>
      </w:pPr>
    </w:lvl>
    <w:lvl w:ilvl="2" w:tplc="C19E683E">
      <w:start w:val="1"/>
      <w:numFmt w:val="decimal"/>
      <w:lvlText w:val="%3."/>
      <w:lvlJc w:val="left"/>
      <w:pPr>
        <w:ind w:left="1020" w:hanging="360"/>
      </w:pPr>
    </w:lvl>
    <w:lvl w:ilvl="3" w:tplc="872C3FCE">
      <w:start w:val="1"/>
      <w:numFmt w:val="decimal"/>
      <w:lvlText w:val="%4."/>
      <w:lvlJc w:val="left"/>
      <w:pPr>
        <w:ind w:left="1020" w:hanging="360"/>
      </w:pPr>
    </w:lvl>
    <w:lvl w:ilvl="4" w:tplc="3038242C">
      <w:start w:val="1"/>
      <w:numFmt w:val="decimal"/>
      <w:lvlText w:val="%5."/>
      <w:lvlJc w:val="left"/>
      <w:pPr>
        <w:ind w:left="1020" w:hanging="360"/>
      </w:pPr>
    </w:lvl>
    <w:lvl w:ilvl="5" w:tplc="05ACDF96">
      <w:start w:val="1"/>
      <w:numFmt w:val="decimal"/>
      <w:lvlText w:val="%6."/>
      <w:lvlJc w:val="left"/>
      <w:pPr>
        <w:ind w:left="1020" w:hanging="360"/>
      </w:pPr>
    </w:lvl>
    <w:lvl w:ilvl="6" w:tplc="2A7096CC">
      <w:start w:val="1"/>
      <w:numFmt w:val="decimal"/>
      <w:lvlText w:val="%7."/>
      <w:lvlJc w:val="left"/>
      <w:pPr>
        <w:ind w:left="1020" w:hanging="360"/>
      </w:pPr>
    </w:lvl>
    <w:lvl w:ilvl="7" w:tplc="8D568E36">
      <w:start w:val="1"/>
      <w:numFmt w:val="decimal"/>
      <w:lvlText w:val="%8."/>
      <w:lvlJc w:val="left"/>
      <w:pPr>
        <w:ind w:left="1020" w:hanging="360"/>
      </w:pPr>
    </w:lvl>
    <w:lvl w:ilvl="8" w:tplc="17DEE04E">
      <w:start w:val="1"/>
      <w:numFmt w:val="decimal"/>
      <w:lvlText w:val="%9."/>
      <w:lvlJc w:val="left"/>
      <w:pPr>
        <w:ind w:left="1020" w:hanging="360"/>
      </w:pPr>
    </w:lvl>
  </w:abstractNum>
  <w:abstractNum w:abstractNumId="6" w15:restartNumberingAfterBreak="0">
    <w:nsid w:val="6D077C85"/>
    <w:multiLevelType w:val="hybridMultilevel"/>
    <w:tmpl w:val="BB2C3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0F281A"/>
    <w:multiLevelType w:val="hybridMultilevel"/>
    <w:tmpl w:val="33E0A282"/>
    <w:lvl w:ilvl="0" w:tplc="BD747EF6">
      <w:start w:val="1"/>
      <w:numFmt w:val="decimal"/>
      <w:lvlText w:val="%1."/>
      <w:lvlJc w:val="left"/>
      <w:pPr>
        <w:ind w:left="1020" w:hanging="360"/>
      </w:pPr>
    </w:lvl>
    <w:lvl w:ilvl="1" w:tplc="4BA8CCCA">
      <w:start w:val="1"/>
      <w:numFmt w:val="decimal"/>
      <w:lvlText w:val="%2."/>
      <w:lvlJc w:val="left"/>
      <w:pPr>
        <w:ind w:left="1020" w:hanging="360"/>
      </w:pPr>
    </w:lvl>
    <w:lvl w:ilvl="2" w:tplc="0AFE1E76">
      <w:start w:val="1"/>
      <w:numFmt w:val="decimal"/>
      <w:lvlText w:val="%3."/>
      <w:lvlJc w:val="left"/>
      <w:pPr>
        <w:ind w:left="1020" w:hanging="360"/>
      </w:pPr>
    </w:lvl>
    <w:lvl w:ilvl="3" w:tplc="E264B778">
      <w:start w:val="1"/>
      <w:numFmt w:val="decimal"/>
      <w:lvlText w:val="%4."/>
      <w:lvlJc w:val="left"/>
      <w:pPr>
        <w:ind w:left="1020" w:hanging="360"/>
      </w:pPr>
    </w:lvl>
    <w:lvl w:ilvl="4" w:tplc="0686BA6E">
      <w:start w:val="1"/>
      <w:numFmt w:val="decimal"/>
      <w:lvlText w:val="%5."/>
      <w:lvlJc w:val="left"/>
      <w:pPr>
        <w:ind w:left="1020" w:hanging="360"/>
      </w:pPr>
    </w:lvl>
    <w:lvl w:ilvl="5" w:tplc="C2048BF8">
      <w:start w:val="1"/>
      <w:numFmt w:val="decimal"/>
      <w:lvlText w:val="%6."/>
      <w:lvlJc w:val="left"/>
      <w:pPr>
        <w:ind w:left="1020" w:hanging="360"/>
      </w:pPr>
    </w:lvl>
    <w:lvl w:ilvl="6" w:tplc="4F5E1E30">
      <w:start w:val="1"/>
      <w:numFmt w:val="decimal"/>
      <w:lvlText w:val="%7."/>
      <w:lvlJc w:val="left"/>
      <w:pPr>
        <w:ind w:left="1020" w:hanging="360"/>
      </w:pPr>
    </w:lvl>
    <w:lvl w:ilvl="7" w:tplc="835273D4">
      <w:start w:val="1"/>
      <w:numFmt w:val="decimal"/>
      <w:lvlText w:val="%8."/>
      <w:lvlJc w:val="left"/>
      <w:pPr>
        <w:ind w:left="1020" w:hanging="360"/>
      </w:pPr>
    </w:lvl>
    <w:lvl w:ilvl="8" w:tplc="19FC440A">
      <w:start w:val="1"/>
      <w:numFmt w:val="decimal"/>
      <w:lvlText w:val="%9."/>
      <w:lvlJc w:val="left"/>
      <w:pPr>
        <w:ind w:left="1020" w:hanging="360"/>
      </w:pPr>
    </w:lvl>
  </w:abstractNum>
  <w:num w:numId="1" w16cid:durableId="771248361">
    <w:abstractNumId w:val="2"/>
  </w:num>
  <w:num w:numId="2" w16cid:durableId="1425764240">
    <w:abstractNumId w:val="6"/>
  </w:num>
  <w:num w:numId="3" w16cid:durableId="1417173074">
    <w:abstractNumId w:val="4"/>
  </w:num>
  <w:num w:numId="4" w16cid:durableId="974675667">
    <w:abstractNumId w:val="1"/>
  </w:num>
  <w:num w:numId="5" w16cid:durableId="1059089942">
    <w:abstractNumId w:val="7"/>
  </w:num>
  <w:num w:numId="6" w16cid:durableId="1222594210">
    <w:abstractNumId w:val="5"/>
  </w:num>
  <w:num w:numId="7" w16cid:durableId="277221188">
    <w:abstractNumId w:val="0"/>
  </w:num>
  <w:num w:numId="8" w16cid:durableId="1762332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G0NDAwMDUytzSzMDZQ0lEKTi0uzszPAykwMqgFAEU9YhYtAAAA"/>
    <w:docVar w:name="EN.InstantFormat" w:val="&lt;ENInstantFormat&gt;&lt;Enabled&gt;0&lt;/Enabled&gt;&lt;ScanUnformatted&gt;1&lt;/ScanUnformatted&gt;&lt;ScanChanges&gt;1&lt;/ScanChanges&gt;&lt;Suspended&gt;0&lt;/Suspended&gt;&lt;/ENInstantFormat&gt;"/>
    <w:docVar w:name="EN.Layout" w:val="&lt;ENLayout&gt;&lt;Style&gt;Harvard_-_BJ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95vv9zf20xf0ewve7x0fsl990xeeasafzs&quot;&gt;My EndNote LibraryHP&lt;record-ids&gt;&lt;item&gt;2853&lt;/item&gt;&lt;item&gt;2855&lt;/item&gt;&lt;item&gt;2857&lt;/item&gt;&lt;item&gt;2860&lt;/item&gt;&lt;item&gt;2868&lt;/item&gt;&lt;item&gt;2877&lt;/item&gt;&lt;item&gt;2949&lt;/item&gt;&lt;item&gt;2990&lt;/item&gt;&lt;item&gt;2991&lt;/item&gt;&lt;item&gt;2992&lt;/item&gt;&lt;item&gt;2997&lt;/item&gt;&lt;item&gt;3002&lt;/item&gt;&lt;item&gt;3080&lt;/item&gt;&lt;item&gt;5258&lt;/item&gt;&lt;item&gt;5440&lt;/item&gt;&lt;item&gt;8015&lt;/item&gt;&lt;item&gt;8491&lt;/item&gt;&lt;item&gt;8494&lt;/item&gt;&lt;item&gt;8497&lt;/item&gt;&lt;item&gt;8501&lt;/item&gt;&lt;item&gt;8507&lt;/item&gt;&lt;item&gt;8547&lt;/item&gt;&lt;item&gt;8976&lt;/item&gt;&lt;item&gt;8982&lt;/item&gt;&lt;item&gt;8994&lt;/item&gt;&lt;item&gt;8995&lt;/item&gt;&lt;item&gt;8998&lt;/item&gt;&lt;item&gt;9001&lt;/item&gt;&lt;item&gt;9002&lt;/item&gt;&lt;item&gt;9004&lt;/item&gt;&lt;item&gt;9005&lt;/item&gt;&lt;item&gt;9006&lt;/item&gt;&lt;item&gt;9007&lt;/item&gt;&lt;item&gt;9008&lt;/item&gt;&lt;item&gt;9009&lt;/item&gt;&lt;item&gt;9010&lt;/item&gt;&lt;item&gt;9011&lt;/item&gt;&lt;item&gt;9012&lt;/item&gt;&lt;item&gt;9013&lt;/item&gt;&lt;item&gt;9030&lt;/item&gt;&lt;item&gt;9032&lt;/item&gt;&lt;item&gt;9033&lt;/item&gt;&lt;item&gt;9034&lt;/item&gt;&lt;item&gt;9035&lt;/item&gt;&lt;item&gt;9039&lt;/item&gt;&lt;item&gt;9040&lt;/item&gt;&lt;item&gt;9044&lt;/item&gt;&lt;item&gt;9045&lt;/item&gt;&lt;item&gt;9046&lt;/item&gt;&lt;item&gt;9054&lt;/item&gt;&lt;item&gt;9055&lt;/item&gt;&lt;item&gt;9063&lt;/item&gt;&lt;item&gt;9065&lt;/item&gt;&lt;item&gt;9066&lt;/item&gt;&lt;item&gt;9069&lt;/item&gt;&lt;item&gt;9070&lt;/item&gt;&lt;item&gt;9073&lt;/item&gt;&lt;item&gt;9075&lt;/item&gt;&lt;item&gt;9080&lt;/item&gt;&lt;item&gt;9081&lt;/item&gt;&lt;item&gt;9097&lt;/item&gt;&lt;item&gt;9100&lt;/item&gt;&lt;item&gt;9101&lt;/item&gt;&lt;item&gt;9102&lt;/item&gt;&lt;item&gt;9103&lt;/item&gt;&lt;item&gt;9108&lt;/item&gt;&lt;item&gt;9110&lt;/item&gt;&lt;item&gt;9111&lt;/item&gt;&lt;item&gt;9112&lt;/item&gt;&lt;item&gt;9113&lt;/item&gt;&lt;item&gt;9114&lt;/item&gt;&lt;item&gt;9115&lt;/item&gt;&lt;item&gt;9116&lt;/item&gt;&lt;item&gt;9117&lt;/item&gt;&lt;item&gt;9118&lt;/item&gt;&lt;item&gt;9119&lt;/item&gt;&lt;item&gt;9184&lt;/item&gt;&lt;item&gt;9185&lt;/item&gt;&lt;item&gt;9186&lt;/item&gt;&lt;item&gt;9187&lt;/item&gt;&lt;item&gt;9220&lt;/item&gt;&lt;item&gt;9468&lt;/item&gt;&lt;item&gt;10065&lt;/item&gt;&lt;item&gt;10105&lt;/item&gt;&lt;item&gt;10115&lt;/item&gt;&lt;item&gt;10116&lt;/item&gt;&lt;item&gt;10118&lt;/item&gt;&lt;item&gt;10142&lt;/item&gt;&lt;item&gt;10143&lt;/item&gt;&lt;item&gt;10166&lt;/item&gt;&lt;item&gt;10199&lt;/item&gt;&lt;item&gt;10256&lt;/item&gt;&lt;item&gt;10573&lt;/item&gt;&lt;item&gt;13853&lt;/item&gt;&lt;item&gt;13854&lt;/item&gt;&lt;item&gt;13855&lt;/item&gt;&lt;item&gt;13857&lt;/item&gt;&lt;item&gt;13859&lt;/item&gt;&lt;item&gt;13862&lt;/item&gt;&lt;item&gt;13863&lt;/item&gt;&lt;item&gt;14056&lt;/item&gt;&lt;item&gt;14058&lt;/item&gt;&lt;item&gt;14066&lt;/item&gt;&lt;item&gt;14067&lt;/item&gt;&lt;item&gt;14068&lt;/item&gt;&lt;item&gt;14069&lt;/item&gt;&lt;item&gt;14070&lt;/item&gt;&lt;item&gt;14071&lt;/item&gt;&lt;item&gt;14072&lt;/item&gt;&lt;item&gt;14073&lt;/item&gt;&lt;item&gt;14074&lt;/item&gt;&lt;item&gt;14075&lt;/item&gt;&lt;item&gt;14076&lt;/item&gt;&lt;item&gt;14077&lt;/item&gt;&lt;item&gt;14078&lt;/item&gt;&lt;item&gt;14079&lt;/item&gt;&lt;item&gt;14088&lt;/item&gt;&lt;item&gt;14089&lt;/item&gt;&lt;item&gt;14091&lt;/item&gt;&lt;item&gt;14092&lt;/item&gt;&lt;item&gt;14124&lt;/item&gt;&lt;item&gt;14125&lt;/item&gt;&lt;item&gt;14126&lt;/item&gt;&lt;item&gt;14127&lt;/item&gt;&lt;/record-ids&gt;&lt;/item&gt;&lt;/Libraries&gt;"/>
  </w:docVars>
  <w:rsids>
    <w:rsidRoot w:val="004773CE"/>
    <w:rsid w:val="00000133"/>
    <w:rsid w:val="000001AD"/>
    <w:rsid w:val="000001EE"/>
    <w:rsid w:val="00000857"/>
    <w:rsid w:val="000012DE"/>
    <w:rsid w:val="00001446"/>
    <w:rsid w:val="0000189B"/>
    <w:rsid w:val="00001A73"/>
    <w:rsid w:val="00001C3A"/>
    <w:rsid w:val="00001F10"/>
    <w:rsid w:val="0000218F"/>
    <w:rsid w:val="000029D8"/>
    <w:rsid w:val="0000372D"/>
    <w:rsid w:val="000037B8"/>
    <w:rsid w:val="00003BB5"/>
    <w:rsid w:val="00003F02"/>
    <w:rsid w:val="000041CC"/>
    <w:rsid w:val="00004D75"/>
    <w:rsid w:val="00004EEF"/>
    <w:rsid w:val="00005584"/>
    <w:rsid w:val="00005BE1"/>
    <w:rsid w:val="00005CA1"/>
    <w:rsid w:val="00005DFA"/>
    <w:rsid w:val="000061A3"/>
    <w:rsid w:val="000061B2"/>
    <w:rsid w:val="0000639C"/>
    <w:rsid w:val="0000670A"/>
    <w:rsid w:val="00006AA7"/>
    <w:rsid w:val="000071FE"/>
    <w:rsid w:val="00007379"/>
    <w:rsid w:val="00007ADD"/>
    <w:rsid w:val="00007D45"/>
    <w:rsid w:val="00010000"/>
    <w:rsid w:val="0001083B"/>
    <w:rsid w:val="00010A10"/>
    <w:rsid w:val="00010ACC"/>
    <w:rsid w:val="000111E7"/>
    <w:rsid w:val="0001125E"/>
    <w:rsid w:val="000114C2"/>
    <w:rsid w:val="00011732"/>
    <w:rsid w:val="00011A06"/>
    <w:rsid w:val="00011ED4"/>
    <w:rsid w:val="00011F69"/>
    <w:rsid w:val="0001314B"/>
    <w:rsid w:val="00013321"/>
    <w:rsid w:val="00013432"/>
    <w:rsid w:val="000134DB"/>
    <w:rsid w:val="00013677"/>
    <w:rsid w:val="000138CE"/>
    <w:rsid w:val="0001391F"/>
    <w:rsid w:val="000139FD"/>
    <w:rsid w:val="00013FFF"/>
    <w:rsid w:val="00014B22"/>
    <w:rsid w:val="00014D16"/>
    <w:rsid w:val="00014DDC"/>
    <w:rsid w:val="000150F6"/>
    <w:rsid w:val="0001538C"/>
    <w:rsid w:val="000156FE"/>
    <w:rsid w:val="00015DBC"/>
    <w:rsid w:val="00016050"/>
    <w:rsid w:val="00016711"/>
    <w:rsid w:val="000169E6"/>
    <w:rsid w:val="00016AD6"/>
    <w:rsid w:val="00016C31"/>
    <w:rsid w:val="00016F85"/>
    <w:rsid w:val="00016FE8"/>
    <w:rsid w:val="00017198"/>
    <w:rsid w:val="00017A1C"/>
    <w:rsid w:val="00017F17"/>
    <w:rsid w:val="00017F58"/>
    <w:rsid w:val="00017FAB"/>
    <w:rsid w:val="00020261"/>
    <w:rsid w:val="000202B3"/>
    <w:rsid w:val="0002070E"/>
    <w:rsid w:val="00020802"/>
    <w:rsid w:val="00020A2A"/>
    <w:rsid w:val="00021BB6"/>
    <w:rsid w:val="00021E5C"/>
    <w:rsid w:val="00022479"/>
    <w:rsid w:val="000227D9"/>
    <w:rsid w:val="00022BC8"/>
    <w:rsid w:val="000233A8"/>
    <w:rsid w:val="00023B7F"/>
    <w:rsid w:val="00023E46"/>
    <w:rsid w:val="00023F62"/>
    <w:rsid w:val="00024202"/>
    <w:rsid w:val="0002423F"/>
    <w:rsid w:val="00024411"/>
    <w:rsid w:val="0002460E"/>
    <w:rsid w:val="00024710"/>
    <w:rsid w:val="0002475B"/>
    <w:rsid w:val="00024786"/>
    <w:rsid w:val="00024B86"/>
    <w:rsid w:val="00024B8C"/>
    <w:rsid w:val="00024FEC"/>
    <w:rsid w:val="000251F3"/>
    <w:rsid w:val="00025379"/>
    <w:rsid w:val="00025FDE"/>
    <w:rsid w:val="00026985"/>
    <w:rsid w:val="00026AFE"/>
    <w:rsid w:val="00026D67"/>
    <w:rsid w:val="00026F04"/>
    <w:rsid w:val="000271F9"/>
    <w:rsid w:val="0002758F"/>
    <w:rsid w:val="00027C34"/>
    <w:rsid w:val="00027EF4"/>
    <w:rsid w:val="00027F19"/>
    <w:rsid w:val="000300EC"/>
    <w:rsid w:val="00030128"/>
    <w:rsid w:val="000302C4"/>
    <w:rsid w:val="00030425"/>
    <w:rsid w:val="0003083C"/>
    <w:rsid w:val="00030C08"/>
    <w:rsid w:val="00031007"/>
    <w:rsid w:val="00032358"/>
    <w:rsid w:val="00032487"/>
    <w:rsid w:val="00032579"/>
    <w:rsid w:val="000326AD"/>
    <w:rsid w:val="00032D53"/>
    <w:rsid w:val="00032FAF"/>
    <w:rsid w:val="00033063"/>
    <w:rsid w:val="0003364E"/>
    <w:rsid w:val="00033B97"/>
    <w:rsid w:val="000345B6"/>
    <w:rsid w:val="00034688"/>
    <w:rsid w:val="00034DE7"/>
    <w:rsid w:val="00034DF2"/>
    <w:rsid w:val="00034E3E"/>
    <w:rsid w:val="00034E45"/>
    <w:rsid w:val="00034E67"/>
    <w:rsid w:val="00034F02"/>
    <w:rsid w:val="0003632B"/>
    <w:rsid w:val="00036501"/>
    <w:rsid w:val="00036F20"/>
    <w:rsid w:val="00037238"/>
    <w:rsid w:val="0003760E"/>
    <w:rsid w:val="000377CE"/>
    <w:rsid w:val="00037AF9"/>
    <w:rsid w:val="00037D27"/>
    <w:rsid w:val="0004064E"/>
    <w:rsid w:val="0004072D"/>
    <w:rsid w:val="000409A3"/>
    <w:rsid w:val="00040AB6"/>
    <w:rsid w:val="00040C23"/>
    <w:rsid w:val="00041450"/>
    <w:rsid w:val="00041D29"/>
    <w:rsid w:val="00041E78"/>
    <w:rsid w:val="00042A84"/>
    <w:rsid w:val="00042BD3"/>
    <w:rsid w:val="00042D19"/>
    <w:rsid w:val="00042DC8"/>
    <w:rsid w:val="00043667"/>
    <w:rsid w:val="00043FE1"/>
    <w:rsid w:val="000441B8"/>
    <w:rsid w:val="0004470A"/>
    <w:rsid w:val="00044825"/>
    <w:rsid w:val="00044942"/>
    <w:rsid w:val="00044E33"/>
    <w:rsid w:val="00045231"/>
    <w:rsid w:val="0004529C"/>
    <w:rsid w:val="0004564A"/>
    <w:rsid w:val="000458B0"/>
    <w:rsid w:val="00045982"/>
    <w:rsid w:val="000459A0"/>
    <w:rsid w:val="000459E5"/>
    <w:rsid w:val="00045CC3"/>
    <w:rsid w:val="00045E3A"/>
    <w:rsid w:val="00045FCB"/>
    <w:rsid w:val="0004604D"/>
    <w:rsid w:val="00046295"/>
    <w:rsid w:val="00046411"/>
    <w:rsid w:val="000465CF"/>
    <w:rsid w:val="000465D9"/>
    <w:rsid w:val="00046AD0"/>
    <w:rsid w:val="00046B0C"/>
    <w:rsid w:val="00046D22"/>
    <w:rsid w:val="00047047"/>
    <w:rsid w:val="00047103"/>
    <w:rsid w:val="000479DE"/>
    <w:rsid w:val="000509E6"/>
    <w:rsid w:val="000510F3"/>
    <w:rsid w:val="000513D9"/>
    <w:rsid w:val="000515E0"/>
    <w:rsid w:val="00051855"/>
    <w:rsid w:val="00051982"/>
    <w:rsid w:val="00051F59"/>
    <w:rsid w:val="00052097"/>
    <w:rsid w:val="000526CC"/>
    <w:rsid w:val="00052937"/>
    <w:rsid w:val="00052E30"/>
    <w:rsid w:val="00053124"/>
    <w:rsid w:val="00053167"/>
    <w:rsid w:val="00053239"/>
    <w:rsid w:val="00053574"/>
    <w:rsid w:val="00053761"/>
    <w:rsid w:val="00053DF9"/>
    <w:rsid w:val="0005409E"/>
    <w:rsid w:val="00054124"/>
    <w:rsid w:val="00054E30"/>
    <w:rsid w:val="00055203"/>
    <w:rsid w:val="00055317"/>
    <w:rsid w:val="00055576"/>
    <w:rsid w:val="00055AA9"/>
    <w:rsid w:val="00055BC0"/>
    <w:rsid w:val="00055C1A"/>
    <w:rsid w:val="00055EE1"/>
    <w:rsid w:val="00056031"/>
    <w:rsid w:val="000561D2"/>
    <w:rsid w:val="00056297"/>
    <w:rsid w:val="0005637B"/>
    <w:rsid w:val="00056646"/>
    <w:rsid w:val="00056E1B"/>
    <w:rsid w:val="000571D7"/>
    <w:rsid w:val="00057544"/>
    <w:rsid w:val="0005755E"/>
    <w:rsid w:val="0005780E"/>
    <w:rsid w:val="00057A34"/>
    <w:rsid w:val="00057AAD"/>
    <w:rsid w:val="0006034A"/>
    <w:rsid w:val="00060388"/>
    <w:rsid w:val="000605F1"/>
    <w:rsid w:val="00060852"/>
    <w:rsid w:val="00060F82"/>
    <w:rsid w:val="00061172"/>
    <w:rsid w:val="000618E8"/>
    <w:rsid w:val="00061A8C"/>
    <w:rsid w:val="00062767"/>
    <w:rsid w:val="00063063"/>
    <w:rsid w:val="00063594"/>
    <w:rsid w:val="00063A2C"/>
    <w:rsid w:val="00063CE4"/>
    <w:rsid w:val="00063DD5"/>
    <w:rsid w:val="0006403B"/>
    <w:rsid w:val="00064A5B"/>
    <w:rsid w:val="00064E2E"/>
    <w:rsid w:val="00064FF9"/>
    <w:rsid w:val="00065B15"/>
    <w:rsid w:val="00065B92"/>
    <w:rsid w:val="00065C81"/>
    <w:rsid w:val="00066504"/>
    <w:rsid w:val="0006654A"/>
    <w:rsid w:val="00066EE3"/>
    <w:rsid w:val="00066F4D"/>
    <w:rsid w:val="000670AC"/>
    <w:rsid w:val="000674C2"/>
    <w:rsid w:val="0006754A"/>
    <w:rsid w:val="00067BC5"/>
    <w:rsid w:val="000701CA"/>
    <w:rsid w:val="0007044E"/>
    <w:rsid w:val="000705E3"/>
    <w:rsid w:val="00070654"/>
    <w:rsid w:val="00070B15"/>
    <w:rsid w:val="00070FCC"/>
    <w:rsid w:val="00070FF1"/>
    <w:rsid w:val="00071541"/>
    <w:rsid w:val="00071798"/>
    <w:rsid w:val="00071A83"/>
    <w:rsid w:val="00071DC1"/>
    <w:rsid w:val="00071F20"/>
    <w:rsid w:val="000722B5"/>
    <w:rsid w:val="00072E3D"/>
    <w:rsid w:val="00072F76"/>
    <w:rsid w:val="0007311E"/>
    <w:rsid w:val="000731BD"/>
    <w:rsid w:val="0007322D"/>
    <w:rsid w:val="00073287"/>
    <w:rsid w:val="000733E1"/>
    <w:rsid w:val="000736E4"/>
    <w:rsid w:val="00073D5C"/>
    <w:rsid w:val="000741DB"/>
    <w:rsid w:val="00074365"/>
    <w:rsid w:val="00074685"/>
    <w:rsid w:val="00074A5A"/>
    <w:rsid w:val="00074AA6"/>
    <w:rsid w:val="00074E92"/>
    <w:rsid w:val="0007500C"/>
    <w:rsid w:val="000757D1"/>
    <w:rsid w:val="00075BE5"/>
    <w:rsid w:val="00075D04"/>
    <w:rsid w:val="00075EF9"/>
    <w:rsid w:val="00075FE6"/>
    <w:rsid w:val="0007611B"/>
    <w:rsid w:val="00076195"/>
    <w:rsid w:val="000762F0"/>
    <w:rsid w:val="00076737"/>
    <w:rsid w:val="00076E7B"/>
    <w:rsid w:val="00076F08"/>
    <w:rsid w:val="00077282"/>
    <w:rsid w:val="000773E1"/>
    <w:rsid w:val="00077C59"/>
    <w:rsid w:val="00077D33"/>
    <w:rsid w:val="00080027"/>
    <w:rsid w:val="0008007B"/>
    <w:rsid w:val="0008031D"/>
    <w:rsid w:val="000807E4"/>
    <w:rsid w:val="00080818"/>
    <w:rsid w:val="00080B5C"/>
    <w:rsid w:val="00080C05"/>
    <w:rsid w:val="000814CD"/>
    <w:rsid w:val="000815F7"/>
    <w:rsid w:val="00081A69"/>
    <w:rsid w:val="00081B89"/>
    <w:rsid w:val="00081BFB"/>
    <w:rsid w:val="00081C74"/>
    <w:rsid w:val="00081D5E"/>
    <w:rsid w:val="00081EB9"/>
    <w:rsid w:val="0008212D"/>
    <w:rsid w:val="00082699"/>
    <w:rsid w:val="00082AB9"/>
    <w:rsid w:val="00082DE4"/>
    <w:rsid w:val="00083199"/>
    <w:rsid w:val="00083422"/>
    <w:rsid w:val="00083430"/>
    <w:rsid w:val="00083B33"/>
    <w:rsid w:val="00083C4C"/>
    <w:rsid w:val="00083F43"/>
    <w:rsid w:val="00084079"/>
    <w:rsid w:val="00084088"/>
    <w:rsid w:val="00084258"/>
    <w:rsid w:val="0008450B"/>
    <w:rsid w:val="00084572"/>
    <w:rsid w:val="000845C1"/>
    <w:rsid w:val="000849A6"/>
    <w:rsid w:val="00085756"/>
    <w:rsid w:val="00085A94"/>
    <w:rsid w:val="00085AF7"/>
    <w:rsid w:val="00085C97"/>
    <w:rsid w:val="00085FFC"/>
    <w:rsid w:val="0008686F"/>
    <w:rsid w:val="000868E1"/>
    <w:rsid w:val="00086932"/>
    <w:rsid w:val="00086FB4"/>
    <w:rsid w:val="0008714A"/>
    <w:rsid w:val="0008754D"/>
    <w:rsid w:val="00087741"/>
    <w:rsid w:val="0008794A"/>
    <w:rsid w:val="0009031D"/>
    <w:rsid w:val="00090AE3"/>
    <w:rsid w:val="00090B36"/>
    <w:rsid w:val="00090BF9"/>
    <w:rsid w:val="000911D9"/>
    <w:rsid w:val="00091452"/>
    <w:rsid w:val="000917F9"/>
    <w:rsid w:val="000918B9"/>
    <w:rsid w:val="00091B6F"/>
    <w:rsid w:val="00091D75"/>
    <w:rsid w:val="00091DF4"/>
    <w:rsid w:val="00091E94"/>
    <w:rsid w:val="00091F90"/>
    <w:rsid w:val="0009248B"/>
    <w:rsid w:val="000926AE"/>
    <w:rsid w:val="00092946"/>
    <w:rsid w:val="000929D2"/>
    <w:rsid w:val="00092C03"/>
    <w:rsid w:val="00092F7B"/>
    <w:rsid w:val="000936B7"/>
    <w:rsid w:val="000936BC"/>
    <w:rsid w:val="000939DD"/>
    <w:rsid w:val="00093ADE"/>
    <w:rsid w:val="000941E5"/>
    <w:rsid w:val="000942E1"/>
    <w:rsid w:val="0009435E"/>
    <w:rsid w:val="00094422"/>
    <w:rsid w:val="0009442D"/>
    <w:rsid w:val="00094450"/>
    <w:rsid w:val="000948C6"/>
    <w:rsid w:val="00094B38"/>
    <w:rsid w:val="00094B3D"/>
    <w:rsid w:val="000950AA"/>
    <w:rsid w:val="0009538F"/>
    <w:rsid w:val="00095525"/>
    <w:rsid w:val="0009574D"/>
    <w:rsid w:val="00095E52"/>
    <w:rsid w:val="000961F1"/>
    <w:rsid w:val="00096213"/>
    <w:rsid w:val="00096C0E"/>
    <w:rsid w:val="0009700A"/>
    <w:rsid w:val="00097510"/>
    <w:rsid w:val="00097563"/>
    <w:rsid w:val="00097843"/>
    <w:rsid w:val="00097B7B"/>
    <w:rsid w:val="00097E34"/>
    <w:rsid w:val="00097EA2"/>
    <w:rsid w:val="000A026A"/>
    <w:rsid w:val="000A0AEC"/>
    <w:rsid w:val="000A10F9"/>
    <w:rsid w:val="000A1B8F"/>
    <w:rsid w:val="000A2051"/>
    <w:rsid w:val="000A20FF"/>
    <w:rsid w:val="000A25A7"/>
    <w:rsid w:val="000A2A3B"/>
    <w:rsid w:val="000A2B4E"/>
    <w:rsid w:val="000A2F50"/>
    <w:rsid w:val="000A3868"/>
    <w:rsid w:val="000A3A99"/>
    <w:rsid w:val="000A434C"/>
    <w:rsid w:val="000A4D92"/>
    <w:rsid w:val="000A511D"/>
    <w:rsid w:val="000A52C7"/>
    <w:rsid w:val="000A62DD"/>
    <w:rsid w:val="000A65DB"/>
    <w:rsid w:val="000A67CA"/>
    <w:rsid w:val="000A721B"/>
    <w:rsid w:val="000A7546"/>
    <w:rsid w:val="000A7987"/>
    <w:rsid w:val="000A7A51"/>
    <w:rsid w:val="000B010B"/>
    <w:rsid w:val="000B040C"/>
    <w:rsid w:val="000B084F"/>
    <w:rsid w:val="000B0868"/>
    <w:rsid w:val="000B123B"/>
    <w:rsid w:val="000B13DB"/>
    <w:rsid w:val="000B14F9"/>
    <w:rsid w:val="000B22B7"/>
    <w:rsid w:val="000B24F5"/>
    <w:rsid w:val="000B25C3"/>
    <w:rsid w:val="000B2753"/>
    <w:rsid w:val="000B2C9F"/>
    <w:rsid w:val="000B2D44"/>
    <w:rsid w:val="000B2E5D"/>
    <w:rsid w:val="000B2EE3"/>
    <w:rsid w:val="000B3511"/>
    <w:rsid w:val="000B398E"/>
    <w:rsid w:val="000B3E62"/>
    <w:rsid w:val="000B4026"/>
    <w:rsid w:val="000B44D1"/>
    <w:rsid w:val="000B492B"/>
    <w:rsid w:val="000B4C38"/>
    <w:rsid w:val="000B4D4A"/>
    <w:rsid w:val="000B5833"/>
    <w:rsid w:val="000B5888"/>
    <w:rsid w:val="000B590B"/>
    <w:rsid w:val="000B5D1C"/>
    <w:rsid w:val="000B5E71"/>
    <w:rsid w:val="000B65C4"/>
    <w:rsid w:val="000B6A38"/>
    <w:rsid w:val="000B6AD4"/>
    <w:rsid w:val="000B6F67"/>
    <w:rsid w:val="000B7117"/>
    <w:rsid w:val="000B72BC"/>
    <w:rsid w:val="000B7397"/>
    <w:rsid w:val="000B7718"/>
    <w:rsid w:val="000B7DB8"/>
    <w:rsid w:val="000C02BA"/>
    <w:rsid w:val="000C062F"/>
    <w:rsid w:val="000C087E"/>
    <w:rsid w:val="000C0BFB"/>
    <w:rsid w:val="000C0C84"/>
    <w:rsid w:val="000C12A1"/>
    <w:rsid w:val="000C1392"/>
    <w:rsid w:val="000C1483"/>
    <w:rsid w:val="000C1ABD"/>
    <w:rsid w:val="000C1B66"/>
    <w:rsid w:val="000C1BDE"/>
    <w:rsid w:val="000C1DCB"/>
    <w:rsid w:val="000C1F21"/>
    <w:rsid w:val="000C1FAE"/>
    <w:rsid w:val="000C2632"/>
    <w:rsid w:val="000C28D7"/>
    <w:rsid w:val="000C29D9"/>
    <w:rsid w:val="000C32C6"/>
    <w:rsid w:val="000C3465"/>
    <w:rsid w:val="000C3B5B"/>
    <w:rsid w:val="000C422D"/>
    <w:rsid w:val="000C479C"/>
    <w:rsid w:val="000C47D7"/>
    <w:rsid w:val="000C47EF"/>
    <w:rsid w:val="000C491C"/>
    <w:rsid w:val="000C5131"/>
    <w:rsid w:val="000C52EE"/>
    <w:rsid w:val="000C53FD"/>
    <w:rsid w:val="000C579A"/>
    <w:rsid w:val="000C5DC3"/>
    <w:rsid w:val="000C6642"/>
    <w:rsid w:val="000C689D"/>
    <w:rsid w:val="000C6C0B"/>
    <w:rsid w:val="000C6C5D"/>
    <w:rsid w:val="000C6E02"/>
    <w:rsid w:val="000C74D0"/>
    <w:rsid w:val="000C7648"/>
    <w:rsid w:val="000C7695"/>
    <w:rsid w:val="000C7A58"/>
    <w:rsid w:val="000C7CD6"/>
    <w:rsid w:val="000D042E"/>
    <w:rsid w:val="000D0463"/>
    <w:rsid w:val="000D05DB"/>
    <w:rsid w:val="000D0C2E"/>
    <w:rsid w:val="000D15CE"/>
    <w:rsid w:val="000D190E"/>
    <w:rsid w:val="000D27D0"/>
    <w:rsid w:val="000D320D"/>
    <w:rsid w:val="000D32E8"/>
    <w:rsid w:val="000D339D"/>
    <w:rsid w:val="000D33F6"/>
    <w:rsid w:val="000D3545"/>
    <w:rsid w:val="000D354A"/>
    <w:rsid w:val="000D39F4"/>
    <w:rsid w:val="000D4252"/>
    <w:rsid w:val="000D4F02"/>
    <w:rsid w:val="000D532B"/>
    <w:rsid w:val="000D547C"/>
    <w:rsid w:val="000D59B9"/>
    <w:rsid w:val="000D5D73"/>
    <w:rsid w:val="000D5EEF"/>
    <w:rsid w:val="000D60C1"/>
    <w:rsid w:val="000D62D8"/>
    <w:rsid w:val="000D6658"/>
    <w:rsid w:val="000D69FF"/>
    <w:rsid w:val="000D6B70"/>
    <w:rsid w:val="000D6BBD"/>
    <w:rsid w:val="000D6E63"/>
    <w:rsid w:val="000D7049"/>
    <w:rsid w:val="000D764D"/>
    <w:rsid w:val="000D780B"/>
    <w:rsid w:val="000D7AE1"/>
    <w:rsid w:val="000E0024"/>
    <w:rsid w:val="000E0541"/>
    <w:rsid w:val="000E0B46"/>
    <w:rsid w:val="000E0B6F"/>
    <w:rsid w:val="000E0D9D"/>
    <w:rsid w:val="000E1049"/>
    <w:rsid w:val="000E17FC"/>
    <w:rsid w:val="000E1A53"/>
    <w:rsid w:val="000E1A98"/>
    <w:rsid w:val="000E1BDB"/>
    <w:rsid w:val="000E1E5A"/>
    <w:rsid w:val="000E1F62"/>
    <w:rsid w:val="000E21C6"/>
    <w:rsid w:val="000E24CC"/>
    <w:rsid w:val="000E2993"/>
    <w:rsid w:val="000E2B29"/>
    <w:rsid w:val="000E2D03"/>
    <w:rsid w:val="000E2D57"/>
    <w:rsid w:val="000E3F05"/>
    <w:rsid w:val="000E4627"/>
    <w:rsid w:val="000E4663"/>
    <w:rsid w:val="000E4F33"/>
    <w:rsid w:val="000E4F66"/>
    <w:rsid w:val="000E4FA1"/>
    <w:rsid w:val="000E50F5"/>
    <w:rsid w:val="000E52CF"/>
    <w:rsid w:val="000E564C"/>
    <w:rsid w:val="000E5666"/>
    <w:rsid w:val="000E5B3A"/>
    <w:rsid w:val="000E5FE3"/>
    <w:rsid w:val="000E607E"/>
    <w:rsid w:val="000E62E4"/>
    <w:rsid w:val="000E6398"/>
    <w:rsid w:val="000E6474"/>
    <w:rsid w:val="000E6D1A"/>
    <w:rsid w:val="000E6D48"/>
    <w:rsid w:val="000E6D71"/>
    <w:rsid w:val="000E7070"/>
    <w:rsid w:val="000E77B9"/>
    <w:rsid w:val="000E7A2E"/>
    <w:rsid w:val="000E7C93"/>
    <w:rsid w:val="000F0826"/>
    <w:rsid w:val="000F099D"/>
    <w:rsid w:val="000F0AA2"/>
    <w:rsid w:val="000F0BE1"/>
    <w:rsid w:val="000F0C0B"/>
    <w:rsid w:val="000F0EE3"/>
    <w:rsid w:val="000F0FDD"/>
    <w:rsid w:val="000F15F3"/>
    <w:rsid w:val="000F18D6"/>
    <w:rsid w:val="000F1BA9"/>
    <w:rsid w:val="000F1FAD"/>
    <w:rsid w:val="000F2127"/>
    <w:rsid w:val="000F23A4"/>
    <w:rsid w:val="000F27B1"/>
    <w:rsid w:val="000F2A53"/>
    <w:rsid w:val="000F319D"/>
    <w:rsid w:val="000F31D6"/>
    <w:rsid w:val="000F3AC2"/>
    <w:rsid w:val="000F3B94"/>
    <w:rsid w:val="000F4004"/>
    <w:rsid w:val="000F4666"/>
    <w:rsid w:val="000F4792"/>
    <w:rsid w:val="000F4A11"/>
    <w:rsid w:val="000F5608"/>
    <w:rsid w:val="000F5745"/>
    <w:rsid w:val="000F5A3A"/>
    <w:rsid w:val="000F5CF5"/>
    <w:rsid w:val="000F6529"/>
    <w:rsid w:val="000F6572"/>
    <w:rsid w:val="000F6BE5"/>
    <w:rsid w:val="000F7692"/>
    <w:rsid w:val="000F79B6"/>
    <w:rsid w:val="000F7B5F"/>
    <w:rsid w:val="000F7DAA"/>
    <w:rsid w:val="00100165"/>
    <w:rsid w:val="00100552"/>
    <w:rsid w:val="001010BB"/>
    <w:rsid w:val="00101191"/>
    <w:rsid w:val="001019D7"/>
    <w:rsid w:val="00101A15"/>
    <w:rsid w:val="00101FF0"/>
    <w:rsid w:val="0010260B"/>
    <w:rsid w:val="001028D2"/>
    <w:rsid w:val="00102B0B"/>
    <w:rsid w:val="00102BFF"/>
    <w:rsid w:val="001036A7"/>
    <w:rsid w:val="0010391B"/>
    <w:rsid w:val="00103973"/>
    <w:rsid w:val="00104C9E"/>
    <w:rsid w:val="00105D5C"/>
    <w:rsid w:val="00105E00"/>
    <w:rsid w:val="00105F52"/>
    <w:rsid w:val="0010600F"/>
    <w:rsid w:val="00106094"/>
    <w:rsid w:val="001066FA"/>
    <w:rsid w:val="00106ECF"/>
    <w:rsid w:val="00107C91"/>
    <w:rsid w:val="00107F38"/>
    <w:rsid w:val="00110982"/>
    <w:rsid w:val="00110E82"/>
    <w:rsid w:val="001110F1"/>
    <w:rsid w:val="001120AC"/>
    <w:rsid w:val="0011267B"/>
    <w:rsid w:val="00112EC5"/>
    <w:rsid w:val="00113062"/>
    <w:rsid w:val="00113145"/>
    <w:rsid w:val="00113595"/>
    <w:rsid w:val="001135C7"/>
    <w:rsid w:val="00113D90"/>
    <w:rsid w:val="00114646"/>
    <w:rsid w:val="001148F2"/>
    <w:rsid w:val="00114AC7"/>
    <w:rsid w:val="00114D96"/>
    <w:rsid w:val="00114FCD"/>
    <w:rsid w:val="00115166"/>
    <w:rsid w:val="001151FB"/>
    <w:rsid w:val="0011533A"/>
    <w:rsid w:val="001156E9"/>
    <w:rsid w:val="00115F15"/>
    <w:rsid w:val="0011650D"/>
    <w:rsid w:val="00116C9E"/>
    <w:rsid w:val="00116F07"/>
    <w:rsid w:val="0011708B"/>
    <w:rsid w:val="0011755D"/>
    <w:rsid w:val="0011763A"/>
    <w:rsid w:val="00117A9E"/>
    <w:rsid w:val="00117F2E"/>
    <w:rsid w:val="0012018D"/>
    <w:rsid w:val="001203A4"/>
    <w:rsid w:val="0012093A"/>
    <w:rsid w:val="001209FE"/>
    <w:rsid w:val="00120A7B"/>
    <w:rsid w:val="0012102D"/>
    <w:rsid w:val="00121105"/>
    <w:rsid w:val="001212A0"/>
    <w:rsid w:val="001214FD"/>
    <w:rsid w:val="001217F2"/>
    <w:rsid w:val="0012187A"/>
    <w:rsid w:val="00121B3E"/>
    <w:rsid w:val="00121C29"/>
    <w:rsid w:val="00121C61"/>
    <w:rsid w:val="001220C6"/>
    <w:rsid w:val="001222F2"/>
    <w:rsid w:val="00122524"/>
    <w:rsid w:val="001225E3"/>
    <w:rsid w:val="001225F0"/>
    <w:rsid w:val="00122883"/>
    <w:rsid w:val="0012297D"/>
    <w:rsid w:val="00122A76"/>
    <w:rsid w:val="00122C88"/>
    <w:rsid w:val="001230AE"/>
    <w:rsid w:val="0012314B"/>
    <w:rsid w:val="00123257"/>
    <w:rsid w:val="001235A3"/>
    <w:rsid w:val="00123762"/>
    <w:rsid w:val="00123A33"/>
    <w:rsid w:val="00123B3E"/>
    <w:rsid w:val="00123BDB"/>
    <w:rsid w:val="00123C7E"/>
    <w:rsid w:val="00123D77"/>
    <w:rsid w:val="00123E68"/>
    <w:rsid w:val="0012420F"/>
    <w:rsid w:val="001244EE"/>
    <w:rsid w:val="00124C4B"/>
    <w:rsid w:val="00124E3B"/>
    <w:rsid w:val="0012569A"/>
    <w:rsid w:val="00125B16"/>
    <w:rsid w:val="00125B4B"/>
    <w:rsid w:val="00125CBC"/>
    <w:rsid w:val="00125F97"/>
    <w:rsid w:val="00126064"/>
    <w:rsid w:val="0012607B"/>
    <w:rsid w:val="00126711"/>
    <w:rsid w:val="00126C6B"/>
    <w:rsid w:val="00127357"/>
    <w:rsid w:val="001274AE"/>
    <w:rsid w:val="001279AF"/>
    <w:rsid w:val="00127E4B"/>
    <w:rsid w:val="00127EC5"/>
    <w:rsid w:val="00130420"/>
    <w:rsid w:val="001307BB"/>
    <w:rsid w:val="0013151F"/>
    <w:rsid w:val="001315B7"/>
    <w:rsid w:val="001318C4"/>
    <w:rsid w:val="0013194A"/>
    <w:rsid w:val="00131AF0"/>
    <w:rsid w:val="00131BD3"/>
    <w:rsid w:val="0013215C"/>
    <w:rsid w:val="001326F8"/>
    <w:rsid w:val="00132CE5"/>
    <w:rsid w:val="00132CF2"/>
    <w:rsid w:val="00133153"/>
    <w:rsid w:val="001331B3"/>
    <w:rsid w:val="00133245"/>
    <w:rsid w:val="001332B0"/>
    <w:rsid w:val="00133390"/>
    <w:rsid w:val="0013350B"/>
    <w:rsid w:val="00133586"/>
    <w:rsid w:val="00133756"/>
    <w:rsid w:val="00133839"/>
    <w:rsid w:val="001338AA"/>
    <w:rsid w:val="001341B6"/>
    <w:rsid w:val="00134497"/>
    <w:rsid w:val="00135169"/>
    <w:rsid w:val="001355F4"/>
    <w:rsid w:val="001357CD"/>
    <w:rsid w:val="001359B7"/>
    <w:rsid w:val="00135AB3"/>
    <w:rsid w:val="00135B48"/>
    <w:rsid w:val="00136334"/>
    <w:rsid w:val="00136390"/>
    <w:rsid w:val="001365E5"/>
    <w:rsid w:val="001366DA"/>
    <w:rsid w:val="00136A31"/>
    <w:rsid w:val="00136A37"/>
    <w:rsid w:val="00137905"/>
    <w:rsid w:val="001407E0"/>
    <w:rsid w:val="00140C0D"/>
    <w:rsid w:val="00140F0F"/>
    <w:rsid w:val="00141859"/>
    <w:rsid w:val="001418AD"/>
    <w:rsid w:val="00141930"/>
    <w:rsid w:val="00141C30"/>
    <w:rsid w:val="00141CD0"/>
    <w:rsid w:val="00141E73"/>
    <w:rsid w:val="00142001"/>
    <w:rsid w:val="0014216F"/>
    <w:rsid w:val="001421D2"/>
    <w:rsid w:val="001426B7"/>
    <w:rsid w:val="00142708"/>
    <w:rsid w:val="00142958"/>
    <w:rsid w:val="00142E3A"/>
    <w:rsid w:val="001430F4"/>
    <w:rsid w:val="001433F4"/>
    <w:rsid w:val="001436FE"/>
    <w:rsid w:val="00143837"/>
    <w:rsid w:val="001438D6"/>
    <w:rsid w:val="0014397F"/>
    <w:rsid w:val="00143AC1"/>
    <w:rsid w:val="00143AC4"/>
    <w:rsid w:val="00143B81"/>
    <w:rsid w:val="00143B86"/>
    <w:rsid w:val="00143E90"/>
    <w:rsid w:val="001449B2"/>
    <w:rsid w:val="00144C1E"/>
    <w:rsid w:val="00144C74"/>
    <w:rsid w:val="00144CB9"/>
    <w:rsid w:val="00144CCA"/>
    <w:rsid w:val="00144D2B"/>
    <w:rsid w:val="0014508A"/>
    <w:rsid w:val="00145B08"/>
    <w:rsid w:val="00145E48"/>
    <w:rsid w:val="001466C1"/>
    <w:rsid w:val="00146813"/>
    <w:rsid w:val="00147179"/>
    <w:rsid w:val="00147343"/>
    <w:rsid w:val="00147445"/>
    <w:rsid w:val="00147DE6"/>
    <w:rsid w:val="001502BD"/>
    <w:rsid w:val="00151740"/>
    <w:rsid w:val="00151D11"/>
    <w:rsid w:val="00152104"/>
    <w:rsid w:val="00152774"/>
    <w:rsid w:val="0015293F"/>
    <w:rsid w:val="00152A49"/>
    <w:rsid w:val="00152AB5"/>
    <w:rsid w:val="00152ABD"/>
    <w:rsid w:val="001531CE"/>
    <w:rsid w:val="0015329C"/>
    <w:rsid w:val="0015339E"/>
    <w:rsid w:val="001549CD"/>
    <w:rsid w:val="00154A7E"/>
    <w:rsid w:val="00154C3D"/>
    <w:rsid w:val="00154C4E"/>
    <w:rsid w:val="00155119"/>
    <w:rsid w:val="001556B0"/>
    <w:rsid w:val="001558F4"/>
    <w:rsid w:val="001559DF"/>
    <w:rsid w:val="00155A41"/>
    <w:rsid w:val="00155A4A"/>
    <w:rsid w:val="00155B85"/>
    <w:rsid w:val="00156205"/>
    <w:rsid w:val="00156408"/>
    <w:rsid w:val="001566AF"/>
    <w:rsid w:val="001568D3"/>
    <w:rsid w:val="0015698E"/>
    <w:rsid w:val="00156B75"/>
    <w:rsid w:val="0016014E"/>
    <w:rsid w:val="001601DB"/>
    <w:rsid w:val="00160ABB"/>
    <w:rsid w:val="00160AF3"/>
    <w:rsid w:val="00160B6D"/>
    <w:rsid w:val="00161318"/>
    <w:rsid w:val="00161348"/>
    <w:rsid w:val="00161AAC"/>
    <w:rsid w:val="00161D90"/>
    <w:rsid w:val="00162417"/>
    <w:rsid w:val="0016258D"/>
    <w:rsid w:val="00162A40"/>
    <w:rsid w:val="00162BBE"/>
    <w:rsid w:val="00163221"/>
    <w:rsid w:val="001635B2"/>
    <w:rsid w:val="001636D8"/>
    <w:rsid w:val="00163A76"/>
    <w:rsid w:val="00163C4C"/>
    <w:rsid w:val="00163DC3"/>
    <w:rsid w:val="00164297"/>
    <w:rsid w:val="00164556"/>
    <w:rsid w:val="00164625"/>
    <w:rsid w:val="00164A7A"/>
    <w:rsid w:val="00164B6F"/>
    <w:rsid w:val="00164DDD"/>
    <w:rsid w:val="00165028"/>
    <w:rsid w:val="00165408"/>
    <w:rsid w:val="001656DA"/>
    <w:rsid w:val="00165F16"/>
    <w:rsid w:val="00166019"/>
    <w:rsid w:val="001665F1"/>
    <w:rsid w:val="001667FC"/>
    <w:rsid w:val="00166833"/>
    <w:rsid w:val="00166D95"/>
    <w:rsid w:val="001673BC"/>
    <w:rsid w:val="00167B9E"/>
    <w:rsid w:val="001702CA"/>
    <w:rsid w:val="00170D23"/>
    <w:rsid w:val="00170FCD"/>
    <w:rsid w:val="00171012"/>
    <w:rsid w:val="001710F1"/>
    <w:rsid w:val="0017189D"/>
    <w:rsid w:val="00171DEA"/>
    <w:rsid w:val="0017211E"/>
    <w:rsid w:val="001724E7"/>
    <w:rsid w:val="00172761"/>
    <w:rsid w:val="00172A6D"/>
    <w:rsid w:val="0017302C"/>
    <w:rsid w:val="00173033"/>
    <w:rsid w:val="00173134"/>
    <w:rsid w:val="00173404"/>
    <w:rsid w:val="0017374C"/>
    <w:rsid w:val="00173CB0"/>
    <w:rsid w:val="00173DC6"/>
    <w:rsid w:val="00173F8F"/>
    <w:rsid w:val="0017449D"/>
    <w:rsid w:val="00174FEF"/>
    <w:rsid w:val="0017517C"/>
    <w:rsid w:val="00175217"/>
    <w:rsid w:val="001753E6"/>
    <w:rsid w:val="0017586A"/>
    <w:rsid w:val="00175CF6"/>
    <w:rsid w:val="00175F2D"/>
    <w:rsid w:val="001762C7"/>
    <w:rsid w:val="00176447"/>
    <w:rsid w:val="00176461"/>
    <w:rsid w:val="001766B2"/>
    <w:rsid w:val="00176881"/>
    <w:rsid w:val="00176BCB"/>
    <w:rsid w:val="00176D83"/>
    <w:rsid w:val="00177186"/>
    <w:rsid w:val="001771F7"/>
    <w:rsid w:val="001778C3"/>
    <w:rsid w:val="00177E14"/>
    <w:rsid w:val="001802E4"/>
    <w:rsid w:val="001802FE"/>
    <w:rsid w:val="0018089E"/>
    <w:rsid w:val="00180B76"/>
    <w:rsid w:val="00180F6D"/>
    <w:rsid w:val="0018123A"/>
    <w:rsid w:val="00181259"/>
    <w:rsid w:val="001814F4"/>
    <w:rsid w:val="00181799"/>
    <w:rsid w:val="001819EA"/>
    <w:rsid w:val="00182152"/>
    <w:rsid w:val="00182429"/>
    <w:rsid w:val="00182790"/>
    <w:rsid w:val="00182894"/>
    <w:rsid w:val="001829EA"/>
    <w:rsid w:val="00182C9C"/>
    <w:rsid w:val="00182E32"/>
    <w:rsid w:val="00182EB0"/>
    <w:rsid w:val="00182FDD"/>
    <w:rsid w:val="001830A0"/>
    <w:rsid w:val="001835AD"/>
    <w:rsid w:val="001835EF"/>
    <w:rsid w:val="001838A0"/>
    <w:rsid w:val="00183DFA"/>
    <w:rsid w:val="00184011"/>
    <w:rsid w:val="001845FD"/>
    <w:rsid w:val="00184699"/>
    <w:rsid w:val="00184854"/>
    <w:rsid w:val="001850AE"/>
    <w:rsid w:val="00185147"/>
    <w:rsid w:val="00185275"/>
    <w:rsid w:val="001852AD"/>
    <w:rsid w:val="001853CE"/>
    <w:rsid w:val="00185801"/>
    <w:rsid w:val="00186435"/>
    <w:rsid w:val="00186731"/>
    <w:rsid w:val="0018692E"/>
    <w:rsid w:val="00186A05"/>
    <w:rsid w:val="00187287"/>
    <w:rsid w:val="00187C09"/>
    <w:rsid w:val="001901BF"/>
    <w:rsid w:val="001905D8"/>
    <w:rsid w:val="00190618"/>
    <w:rsid w:val="001907A4"/>
    <w:rsid w:val="0019080E"/>
    <w:rsid w:val="00190B75"/>
    <w:rsid w:val="00190BE4"/>
    <w:rsid w:val="0019140C"/>
    <w:rsid w:val="00191496"/>
    <w:rsid w:val="00191748"/>
    <w:rsid w:val="00191C42"/>
    <w:rsid w:val="00191E30"/>
    <w:rsid w:val="00192382"/>
    <w:rsid w:val="0019246F"/>
    <w:rsid w:val="00192552"/>
    <w:rsid w:val="00192C26"/>
    <w:rsid w:val="00192CEF"/>
    <w:rsid w:val="00192D96"/>
    <w:rsid w:val="00192EFD"/>
    <w:rsid w:val="00192F75"/>
    <w:rsid w:val="00193595"/>
    <w:rsid w:val="0019394D"/>
    <w:rsid w:val="00193B53"/>
    <w:rsid w:val="001943DA"/>
    <w:rsid w:val="0019440F"/>
    <w:rsid w:val="0019448B"/>
    <w:rsid w:val="00194551"/>
    <w:rsid w:val="0019490D"/>
    <w:rsid w:val="00194F1B"/>
    <w:rsid w:val="00194FFC"/>
    <w:rsid w:val="00195BD3"/>
    <w:rsid w:val="00195F42"/>
    <w:rsid w:val="00196739"/>
    <w:rsid w:val="001967DF"/>
    <w:rsid w:val="00196EE0"/>
    <w:rsid w:val="001971D9"/>
    <w:rsid w:val="00197422"/>
    <w:rsid w:val="00197D07"/>
    <w:rsid w:val="001A030D"/>
    <w:rsid w:val="001A0728"/>
    <w:rsid w:val="001A1619"/>
    <w:rsid w:val="001A1A5B"/>
    <w:rsid w:val="001A1CCC"/>
    <w:rsid w:val="001A219E"/>
    <w:rsid w:val="001A278D"/>
    <w:rsid w:val="001A2AC1"/>
    <w:rsid w:val="001A31A6"/>
    <w:rsid w:val="001A3465"/>
    <w:rsid w:val="001A3700"/>
    <w:rsid w:val="001A3CFD"/>
    <w:rsid w:val="001A40B2"/>
    <w:rsid w:val="001A4128"/>
    <w:rsid w:val="001A4501"/>
    <w:rsid w:val="001A45B9"/>
    <w:rsid w:val="001A4964"/>
    <w:rsid w:val="001A4989"/>
    <w:rsid w:val="001A4A67"/>
    <w:rsid w:val="001A4D7A"/>
    <w:rsid w:val="001A4EF9"/>
    <w:rsid w:val="001A54B9"/>
    <w:rsid w:val="001A5829"/>
    <w:rsid w:val="001A59B8"/>
    <w:rsid w:val="001A59C7"/>
    <w:rsid w:val="001A654A"/>
    <w:rsid w:val="001A6D1A"/>
    <w:rsid w:val="001A6DBD"/>
    <w:rsid w:val="001A6F49"/>
    <w:rsid w:val="001A728B"/>
    <w:rsid w:val="001A7485"/>
    <w:rsid w:val="001A76F3"/>
    <w:rsid w:val="001A78EF"/>
    <w:rsid w:val="001A7CDB"/>
    <w:rsid w:val="001A7D90"/>
    <w:rsid w:val="001B02B0"/>
    <w:rsid w:val="001B088C"/>
    <w:rsid w:val="001B0A46"/>
    <w:rsid w:val="001B0C1A"/>
    <w:rsid w:val="001B1040"/>
    <w:rsid w:val="001B10F0"/>
    <w:rsid w:val="001B1115"/>
    <w:rsid w:val="001B11ED"/>
    <w:rsid w:val="001B1285"/>
    <w:rsid w:val="001B1931"/>
    <w:rsid w:val="001B233E"/>
    <w:rsid w:val="001B27B0"/>
    <w:rsid w:val="001B30D3"/>
    <w:rsid w:val="001B31FA"/>
    <w:rsid w:val="001B36CA"/>
    <w:rsid w:val="001B43E4"/>
    <w:rsid w:val="001B4A30"/>
    <w:rsid w:val="001B4E6B"/>
    <w:rsid w:val="001B4ECD"/>
    <w:rsid w:val="001B50E7"/>
    <w:rsid w:val="001B5384"/>
    <w:rsid w:val="001B5874"/>
    <w:rsid w:val="001B5BE1"/>
    <w:rsid w:val="001B5CB4"/>
    <w:rsid w:val="001B62FD"/>
    <w:rsid w:val="001B6302"/>
    <w:rsid w:val="001B643B"/>
    <w:rsid w:val="001B64CD"/>
    <w:rsid w:val="001B6521"/>
    <w:rsid w:val="001B679C"/>
    <w:rsid w:val="001B690B"/>
    <w:rsid w:val="001B6B38"/>
    <w:rsid w:val="001B6BD3"/>
    <w:rsid w:val="001B6C7C"/>
    <w:rsid w:val="001B6E5A"/>
    <w:rsid w:val="001B789A"/>
    <w:rsid w:val="001B78E8"/>
    <w:rsid w:val="001C00FF"/>
    <w:rsid w:val="001C043A"/>
    <w:rsid w:val="001C09A5"/>
    <w:rsid w:val="001C0DA0"/>
    <w:rsid w:val="001C111D"/>
    <w:rsid w:val="001C1387"/>
    <w:rsid w:val="001C1503"/>
    <w:rsid w:val="001C16E3"/>
    <w:rsid w:val="001C1939"/>
    <w:rsid w:val="001C1CF6"/>
    <w:rsid w:val="001C1D63"/>
    <w:rsid w:val="001C1DFE"/>
    <w:rsid w:val="001C268B"/>
    <w:rsid w:val="001C26E8"/>
    <w:rsid w:val="001C27E6"/>
    <w:rsid w:val="001C2DCD"/>
    <w:rsid w:val="001C2F7E"/>
    <w:rsid w:val="001C32D8"/>
    <w:rsid w:val="001C364A"/>
    <w:rsid w:val="001C366B"/>
    <w:rsid w:val="001C37B2"/>
    <w:rsid w:val="001C3B48"/>
    <w:rsid w:val="001C3FD0"/>
    <w:rsid w:val="001C41AE"/>
    <w:rsid w:val="001C4260"/>
    <w:rsid w:val="001C42E2"/>
    <w:rsid w:val="001C44E3"/>
    <w:rsid w:val="001C48FE"/>
    <w:rsid w:val="001C4B38"/>
    <w:rsid w:val="001C4FB7"/>
    <w:rsid w:val="001C5069"/>
    <w:rsid w:val="001C5214"/>
    <w:rsid w:val="001C53D6"/>
    <w:rsid w:val="001C53F2"/>
    <w:rsid w:val="001C5E25"/>
    <w:rsid w:val="001C5F53"/>
    <w:rsid w:val="001C6692"/>
    <w:rsid w:val="001C6EB1"/>
    <w:rsid w:val="001C75FA"/>
    <w:rsid w:val="001C76B5"/>
    <w:rsid w:val="001C78EF"/>
    <w:rsid w:val="001C7E6C"/>
    <w:rsid w:val="001D015D"/>
    <w:rsid w:val="001D08FE"/>
    <w:rsid w:val="001D0BEB"/>
    <w:rsid w:val="001D0FEC"/>
    <w:rsid w:val="001D15A6"/>
    <w:rsid w:val="001D1832"/>
    <w:rsid w:val="001D1A92"/>
    <w:rsid w:val="001D21FA"/>
    <w:rsid w:val="001D22AB"/>
    <w:rsid w:val="001D236F"/>
    <w:rsid w:val="001D2A1B"/>
    <w:rsid w:val="001D2E41"/>
    <w:rsid w:val="001D34F3"/>
    <w:rsid w:val="001D371F"/>
    <w:rsid w:val="001D3A6B"/>
    <w:rsid w:val="001D3AA2"/>
    <w:rsid w:val="001D3AD7"/>
    <w:rsid w:val="001D3EC4"/>
    <w:rsid w:val="001D4963"/>
    <w:rsid w:val="001D4AC8"/>
    <w:rsid w:val="001D4BFB"/>
    <w:rsid w:val="001D4EE9"/>
    <w:rsid w:val="001D59F7"/>
    <w:rsid w:val="001D5A2F"/>
    <w:rsid w:val="001D5BB4"/>
    <w:rsid w:val="001D5BDF"/>
    <w:rsid w:val="001D5D9E"/>
    <w:rsid w:val="001D5EF5"/>
    <w:rsid w:val="001D5FD3"/>
    <w:rsid w:val="001D6042"/>
    <w:rsid w:val="001D649F"/>
    <w:rsid w:val="001D66D6"/>
    <w:rsid w:val="001D6DFB"/>
    <w:rsid w:val="001D7B3D"/>
    <w:rsid w:val="001E0058"/>
    <w:rsid w:val="001E01C5"/>
    <w:rsid w:val="001E0C19"/>
    <w:rsid w:val="001E0D86"/>
    <w:rsid w:val="001E1895"/>
    <w:rsid w:val="001E1C14"/>
    <w:rsid w:val="001E1D3F"/>
    <w:rsid w:val="001E1D67"/>
    <w:rsid w:val="001E1E09"/>
    <w:rsid w:val="001E2278"/>
    <w:rsid w:val="001E2C2E"/>
    <w:rsid w:val="001E2EAA"/>
    <w:rsid w:val="001E2FE1"/>
    <w:rsid w:val="001E314F"/>
    <w:rsid w:val="001E3279"/>
    <w:rsid w:val="001E32BC"/>
    <w:rsid w:val="001E33B0"/>
    <w:rsid w:val="001E3676"/>
    <w:rsid w:val="001E3737"/>
    <w:rsid w:val="001E38A8"/>
    <w:rsid w:val="001E38F6"/>
    <w:rsid w:val="001E3B47"/>
    <w:rsid w:val="001E3F03"/>
    <w:rsid w:val="001E41A9"/>
    <w:rsid w:val="001E4211"/>
    <w:rsid w:val="001E4687"/>
    <w:rsid w:val="001E4AFD"/>
    <w:rsid w:val="001E50B7"/>
    <w:rsid w:val="001E54B0"/>
    <w:rsid w:val="001E5D82"/>
    <w:rsid w:val="001E5FE5"/>
    <w:rsid w:val="001E6305"/>
    <w:rsid w:val="001E6307"/>
    <w:rsid w:val="001E647D"/>
    <w:rsid w:val="001E663B"/>
    <w:rsid w:val="001E665D"/>
    <w:rsid w:val="001E6EA1"/>
    <w:rsid w:val="001E7250"/>
    <w:rsid w:val="001E7511"/>
    <w:rsid w:val="001E77F4"/>
    <w:rsid w:val="001E780E"/>
    <w:rsid w:val="001E7A9A"/>
    <w:rsid w:val="001E7CBD"/>
    <w:rsid w:val="001E7EF4"/>
    <w:rsid w:val="001F018B"/>
    <w:rsid w:val="001F0725"/>
    <w:rsid w:val="001F0B10"/>
    <w:rsid w:val="001F0DD2"/>
    <w:rsid w:val="001F0DFC"/>
    <w:rsid w:val="001F0FAB"/>
    <w:rsid w:val="001F10F8"/>
    <w:rsid w:val="001F131F"/>
    <w:rsid w:val="001F14DD"/>
    <w:rsid w:val="001F14EC"/>
    <w:rsid w:val="001F172C"/>
    <w:rsid w:val="001F17F4"/>
    <w:rsid w:val="001F18D5"/>
    <w:rsid w:val="001F1D07"/>
    <w:rsid w:val="001F1FFF"/>
    <w:rsid w:val="001F205A"/>
    <w:rsid w:val="001F29FB"/>
    <w:rsid w:val="001F2BE3"/>
    <w:rsid w:val="001F2D05"/>
    <w:rsid w:val="001F30D4"/>
    <w:rsid w:val="001F3898"/>
    <w:rsid w:val="001F3CE0"/>
    <w:rsid w:val="001F3FB3"/>
    <w:rsid w:val="001F42B3"/>
    <w:rsid w:val="001F4538"/>
    <w:rsid w:val="001F4803"/>
    <w:rsid w:val="001F4921"/>
    <w:rsid w:val="001F49A5"/>
    <w:rsid w:val="001F4A8D"/>
    <w:rsid w:val="001F4B01"/>
    <w:rsid w:val="001F5148"/>
    <w:rsid w:val="001F51F5"/>
    <w:rsid w:val="001F596C"/>
    <w:rsid w:val="001F61DC"/>
    <w:rsid w:val="001F6792"/>
    <w:rsid w:val="001F695F"/>
    <w:rsid w:val="001F6989"/>
    <w:rsid w:val="001F6C13"/>
    <w:rsid w:val="001F6E73"/>
    <w:rsid w:val="001F7788"/>
    <w:rsid w:val="002008DB"/>
    <w:rsid w:val="00200939"/>
    <w:rsid w:val="00200AD8"/>
    <w:rsid w:val="00200B76"/>
    <w:rsid w:val="00200BF5"/>
    <w:rsid w:val="0020105E"/>
    <w:rsid w:val="00201223"/>
    <w:rsid w:val="0020156D"/>
    <w:rsid w:val="00201D37"/>
    <w:rsid w:val="00202145"/>
    <w:rsid w:val="00202213"/>
    <w:rsid w:val="0020240E"/>
    <w:rsid w:val="0020243A"/>
    <w:rsid w:val="002025EC"/>
    <w:rsid w:val="00202A41"/>
    <w:rsid w:val="00203107"/>
    <w:rsid w:val="002036BB"/>
    <w:rsid w:val="002037B9"/>
    <w:rsid w:val="002037E1"/>
    <w:rsid w:val="002037F7"/>
    <w:rsid w:val="002038C6"/>
    <w:rsid w:val="00203C17"/>
    <w:rsid w:val="00203F52"/>
    <w:rsid w:val="00204484"/>
    <w:rsid w:val="0020501E"/>
    <w:rsid w:val="002050EA"/>
    <w:rsid w:val="00205432"/>
    <w:rsid w:val="00205F4A"/>
    <w:rsid w:val="00206057"/>
    <w:rsid w:val="00206394"/>
    <w:rsid w:val="00206734"/>
    <w:rsid w:val="00206B7C"/>
    <w:rsid w:val="00207388"/>
    <w:rsid w:val="00207B2F"/>
    <w:rsid w:val="00207CC8"/>
    <w:rsid w:val="00207F12"/>
    <w:rsid w:val="0021023C"/>
    <w:rsid w:val="00210B2F"/>
    <w:rsid w:val="00210C70"/>
    <w:rsid w:val="00210EA7"/>
    <w:rsid w:val="002113AB"/>
    <w:rsid w:val="002115A9"/>
    <w:rsid w:val="002120AE"/>
    <w:rsid w:val="00212218"/>
    <w:rsid w:val="00212895"/>
    <w:rsid w:val="002130A7"/>
    <w:rsid w:val="0021336E"/>
    <w:rsid w:val="00213373"/>
    <w:rsid w:val="00213631"/>
    <w:rsid w:val="00213677"/>
    <w:rsid w:val="00213B4C"/>
    <w:rsid w:val="0021404B"/>
    <w:rsid w:val="002140A5"/>
    <w:rsid w:val="00214225"/>
    <w:rsid w:val="002142EC"/>
    <w:rsid w:val="00214513"/>
    <w:rsid w:val="002146D7"/>
    <w:rsid w:val="00214A61"/>
    <w:rsid w:val="00215530"/>
    <w:rsid w:val="00215572"/>
    <w:rsid w:val="00215856"/>
    <w:rsid w:val="00215858"/>
    <w:rsid w:val="00215A02"/>
    <w:rsid w:val="00215C2B"/>
    <w:rsid w:val="00215F14"/>
    <w:rsid w:val="002160F2"/>
    <w:rsid w:val="0021694A"/>
    <w:rsid w:val="002169F4"/>
    <w:rsid w:val="00216DE2"/>
    <w:rsid w:val="00217015"/>
    <w:rsid w:val="002201E2"/>
    <w:rsid w:val="002204B1"/>
    <w:rsid w:val="0022056B"/>
    <w:rsid w:val="0022059E"/>
    <w:rsid w:val="0022085B"/>
    <w:rsid w:val="00220D83"/>
    <w:rsid w:val="00220FE2"/>
    <w:rsid w:val="002212DD"/>
    <w:rsid w:val="00221522"/>
    <w:rsid w:val="0022189B"/>
    <w:rsid w:val="00221B0D"/>
    <w:rsid w:val="00221C3B"/>
    <w:rsid w:val="00221DCA"/>
    <w:rsid w:val="00221FF0"/>
    <w:rsid w:val="002223D8"/>
    <w:rsid w:val="002225A9"/>
    <w:rsid w:val="002225C3"/>
    <w:rsid w:val="002225F4"/>
    <w:rsid w:val="002226BA"/>
    <w:rsid w:val="00222C1B"/>
    <w:rsid w:val="00223353"/>
    <w:rsid w:val="00223962"/>
    <w:rsid w:val="00223B46"/>
    <w:rsid w:val="00223CAD"/>
    <w:rsid w:val="00223FBF"/>
    <w:rsid w:val="002240F4"/>
    <w:rsid w:val="00224160"/>
    <w:rsid w:val="00224314"/>
    <w:rsid w:val="00224CA7"/>
    <w:rsid w:val="00224DE6"/>
    <w:rsid w:val="00225027"/>
    <w:rsid w:val="002252B4"/>
    <w:rsid w:val="002253F8"/>
    <w:rsid w:val="00225499"/>
    <w:rsid w:val="00225917"/>
    <w:rsid w:val="0022605D"/>
    <w:rsid w:val="002261A8"/>
    <w:rsid w:val="002264EC"/>
    <w:rsid w:val="00226565"/>
    <w:rsid w:val="0022659A"/>
    <w:rsid w:val="00226611"/>
    <w:rsid w:val="00226B71"/>
    <w:rsid w:val="00227254"/>
    <w:rsid w:val="00227680"/>
    <w:rsid w:val="002278A2"/>
    <w:rsid w:val="00227D01"/>
    <w:rsid w:val="00227FC2"/>
    <w:rsid w:val="0023016F"/>
    <w:rsid w:val="0023041B"/>
    <w:rsid w:val="002305A7"/>
    <w:rsid w:val="00230987"/>
    <w:rsid w:val="00231154"/>
    <w:rsid w:val="0023133B"/>
    <w:rsid w:val="00231AE6"/>
    <w:rsid w:val="00231D50"/>
    <w:rsid w:val="0023211B"/>
    <w:rsid w:val="00232172"/>
    <w:rsid w:val="0023252E"/>
    <w:rsid w:val="00232A26"/>
    <w:rsid w:val="00232ADE"/>
    <w:rsid w:val="00233309"/>
    <w:rsid w:val="002335ED"/>
    <w:rsid w:val="00233601"/>
    <w:rsid w:val="00233CDE"/>
    <w:rsid w:val="00233D63"/>
    <w:rsid w:val="00234148"/>
    <w:rsid w:val="002343BF"/>
    <w:rsid w:val="00234612"/>
    <w:rsid w:val="002346E4"/>
    <w:rsid w:val="00234B9E"/>
    <w:rsid w:val="00234F25"/>
    <w:rsid w:val="002353AE"/>
    <w:rsid w:val="0023615E"/>
    <w:rsid w:val="002368F0"/>
    <w:rsid w:val="0023694F"/>
    <w:rsid w:val="00236A3B"/>
    <w:rsid w:val="00236F05"/>
    <w:rsid w:val="0023740E"/>
    <w:rsid w:val="0023760B"/>
    <w:rsid w:val="00237BF2"/>
    <w:rsid w:val="00240112"/>
    <w:rsid w:val="0024028B"/>
    <w:rsid w:val="002403C8"/>
    <w:rsid w:val="002404EB"/>
    <w:rsid w:val="00241244"/>
    <w:rsid w:val="002416B3"/>
    <w:rsid w:val="00241E3C"/>
    <w:rsid w:val="00242026"/>
    <w:rsid w:val="00242D06"/>
    <w:rsid w:val="00242D98"/>
    <w:rsid w:val="00243909"/>
    <w:rsid w:val="00243A16"/>
    <w:rsid w:val="00243DF5"/>
    <w:rsid w:val="00243E1A"/>
    <w:rsid w:val="00243E9C"/>
    <w:rsid w:val="00243FCC"/>
    <w:rsid w:val="0024430C"/>
    <w:rsid w:val="00244BD4"/>
    <w:rsid w:val="00245076"/>
    <w:rsid w:val="002451DC"/>
    <w:rsid w:val="0024549C"/>
    <w:rsid w:val="002454FE"/>
    <w:rsid w:val="002457B3"/>
    <w:rsid w:val="00245831"/>
    <w:rsid w:val="00245AEE"/>
    <w:rsid w:val="00245C7E"/>
    <w:rsid w:val="00245D8B"/>
    <w:rsid w:val="00245E87"/>
    <w:rsid w:val="0024603F"/>
    <w:rsid w:val="00246356"/>
    <w:rsid w:val="0024648E"/>
    <w:rsid w:val="002464DF"/>
    <w:rsid w:val="00246792"/>
    <w:rsid w:val="00246D58"/>
    <w:rsid w:val="00246EFC"/>
    <w:rsid w:val="00246F8B"/>
    <w:rsid w:val="002471BA"/>
    <w:rsid w:val="0024798F"/>
    <w:rsid w:val="00247A47"/>
    <w:rsid w:val="00250207"/>
    <w:rsid w:val="00250268"/>
    <w:rsid w:val="00250825"/>
    <w:rsid w:val="00250E9B"/>
    <w:rsid w:val="00251148"/>
    <w:rsid w:val="00251233"/>
    <w:rsid w:val="002516BD"/>
    <w:rsid w:val="00251D89"/>
    <w:rsid w:val="00251F0A"/>
    <w:rsid w:val="0025209E"/>
    <w:rsid w:val="00252939"/>
    <w:rsid w:val="002529DD"/>
    <w:rsid w:val="00253295"/>
    <w:rsid w:val="00253A8E"/>
    <w:rsid w:val="00253CEE"/>
    <w:rsid w:val="00254249"/>
    <w:rsid w:val="00254308"/>
    <w:rsid w:val="0025490A"/>
    <w:rsid w:val="00254923"/>
    <w:rsid w:val="00255022"/>
    <w:rsid w:val="002550EA"/>
    <w:rsid w:val="002550F8"/>
    <w:rsid w:val="0025537F"/>
    <w:rsid w:val="00255838"/>
    <w:rsid w:val="00255D0A"/>
    <w:rsid w:val="00256661"/>
    <w:rsid w:val="0025677A"/>
    <w:rsid w:val="0025695B"/>
    <w:rsid w:val="00256BBA"/>
    <w:rsid w:val="00257096"/>
    <w:rsid w:val="002571B0"/>
    <w:rsid w:val="00257484"/>
    <w:rsid w:val="00257B53"/>
    <w:rsid w:val="00257FCB"/>
    <w:rsid w:val="0026029E"/>
    <w:rsid w:val="00260563"/>
    <w:rsid w:val="0026059B"/>
    <w:rsid w:val="002608D3"/>
    <w:rsid w:val="00260E16"/>
    <w:rsid w:val="00260F4C"/>
    <w:rsid w:val="002610F5"/>
    <w:rsid w:val="00261D6A"/>
    <w:rsid w:val="00262522"/>
    <w:rsid w:val="00262713"/>
    <w:rsid w:val="00262D03"/>
    <w:rsid w:val="00262D88"/>
    <w:rsid w:val="00262DD3"/>
    <w:rsid w:val="002633FA"/>
    <w:rsid w:val="00263491"/>
    <w:rsid w:val="00263B6B"/>
    <w:rsid w:val="00263F59"/>
    <w:rsid w:val="00264478"/>
    <w:rsid w:val="00264998"/>
    <w:rsid w:val="00264F8B"/>
    <w:rsid w:val="0026534F"/>
    <w:rsid w:val="00265A2C"/>
    <w:rsid w:val="00265CC0"/>
    <w:rsid w:val="002667FE"/>
    <w:rsid w:val="00266959"/>
    <w:rsid w:val="002669BC"/>
    <w:rsid w:val="00267242"/>
    <w:rsid w:val="0026733C"/>
    <w:rsid w:val="002675A1"/>
    <w:rsid w:val="00267823"/>
    <w:rsid w:val="00270438"/>
    <w:rsid w:val="002704B0"/>
    <w:rsid w:val="0027076E"/>
    <w:rsid w:val="00270948"/>
    <w:rsid w:val="00270D46"/>
    <w:rsid w:val="002710A4"/>
    <w:rsid w:val="0027144F"/>
    <w:rsid w:val="00271681"/>
    <w:rsid w:val="002720AE"/>
    <w:rsid w:val="002720E9"/>
    <w:rsid w:val="00272166"/>
    <w:rsid w:val="00272B53"/>
    <w:rsid w:val="00273217"/>
    <w:rsid w:val="002732B4"/>
    <w:rsid w:val="0027361F"/>
    <w:rsid w:val="00273637"/>
    <w:rsid w:val="002739B9"/>
    <w:rsid w:val="00273F60"/>
    <w:rsid w:val="00273F79"/>
    <w:rsid w:val="00274337"/>
    <w:rsid w:val="002743AC"/>
    <w:rsid w:val="002745A4"/>
    <w:rsid w:val="002749C2"/>
    <w:rsid w:val="00275695"/>
    <w:rsid w:val="002759D6"/>
    <w:rsid w:val="00275FA9"/>
    <w:rsid w:val="002766AF"/>
    <w:rsid w:val="00276887"/>
    <w:rsid w:val="00276E1C"/>
    <w:rsid w:val="00276E2E"/>
    <w:rsid w:val="002771A3"/>
    <w:rsid w:val="00277DE6"/>
    <w:rsid w:val="002801F3"/>
    <w:rsid w:val="0028059B"/>
    <w:rsid w:val="002806A1"/>
    <w:rsid w:val="00280788"/>
    <w:rsid w:val="00280847"/>
    <w:rsid w:val="00280C5E"/>
    <w:rsid w:val="00280F7F"/>
    <w:rsid w:val="002812DC"/>
    <w:rsid w:val="0028133A"/>
    <w:rsid w:val="00281589"/>
    <w:rsid w:val="00281663"/>
    <w:rsid w:val="002816F1"/>
    <w:rsid w:val="00281798"/>
    <w:rsid w:val="0028239D"/>
    <w:rsid w:val="0028268D"/>
    <w:rsid w:val="002828FC"/>
    <w:rsid w:val="00283B8A"/>
    <w:rsid w:val="00283E0E"/>
    <w:rsid w:val="00283E67"/>
    <w:rsid w:val="00283EA1"/>
    <w:rsid w:val="00283EF0"/>
    <w:rsid w:val="00284041"/>
    <w:rsid w:val="0028414A"/>
    <w:rsid w:val="0028443A"/>
    <w:rsid w:val="0028473E"/>
    <w:rsid w:val="00284A51"/>
    <w:rsid w:val="00284AF5"/>
    <w:rsid w:val="00284DD4"/>
    <w:rsid w:val="00285171"/>
    <w:rsid w:val="00285203"/>
    <w:rsid w:val="002853F7"/>
    <w:rsid w:val="00285532"/>
    <w:rsid w:val="002862F9"/>
    <w:rsid w:val="00286949"/>
    <w:rsid w:val="00286C6C"/>
    <w:rsid w:val="00287584"/>
    <w:rsid w:val="002876DC"/>
    <w:rsid w:val="00287E70"/>
    <w:rsid w:val="00290053"/>
    <w:rsid w:val="002906B1"/>
    <w:rsid w:val="0029075E"/>
    <w:rsid w:val="00290E2C"/>
    <w:rsid w:val="00291277"/>
    <w:rsid w:val="002912C0"/>
    <w:rsid w:val="00291581"/>
    <w:rsid w:val="002915B8"/>
    <w:rsid w:val="0029166F"/>
    <w:rsid w:val="00291879"/>
    <w:rsid w:val="00291933"/>
    <w:rsid w:val="0029240F"/>
    <w:rsid w:val="00292517"/>
    <w:rsid w:val="002926A0"/>
    <w:rsid w:val="002927A8"/>
    <w:rsid w:val="002929D6"/>
    <w:rsid w:val="00292F26"/>
    <w:rsid w:val="002937A6"/>
    <w:rsid w:val="00293D8B"/>
    <w:rsid w:val="0029402C"/>
    <w:rsid w:val="00294343"/>
    <w:rsid w:val="002949B7"/>
    <w:rsid w:val="00294BBD"/>
    <w:rsid w:val="00294D92"/>
    <w:rsid w:val="0029507E"/>
    <w:rsid w:val="00295376"/>
    <w:rsid w:val="00295397"/>
    <w:rsid w:val="002953AC"/>
    <w:rsid w:val="002956E8"/>
    <w:rsid w:val="00295922"/>
    <w:rsid w:val="00295938"/>
    <w:rsid w:val="002963A3"/>
    <w:rsid w:val="00296482"/>
    <w:rsid w:val="00296871"/>
    <w:rsid w:val="00297E4A"/>
    <w:rsid w:val="002A005A"/>
    <w:rsid w:val="002A0322"/>
    <w:rsid w:val="002A097B"/>
    <w:rsid w:val="002A0E0A"/>
    <w:rsid w:val="002A12EA"/>
    <w:rsid w:val="002A1530"/>
    <w:rsid w:val="002A1837"/>
    <w:rsid w:val="002A1A29"/>
    <w:rsid w:val="002A1F2A"/>
    <w:rsid w:val="002A27B6"/>
    <w:rsid w:val="002A2A9D"/>
    <w:rsid w:val="002A2B40"/>
    <w:rsid w:val="002A31A8"/>
    <w:rsid w:val="002A32A4"/>
    <w:rsid w:val="002A34B4"/>
    <w:rsid w:val="002A34DA"/>
    <w:rsid w:val="002A3728"/>
    <w:rsid w:val="002A40FB"/>
    <w:rsid w:val="002A4202"/>
    <w:rsid w:val="002A43DE"/>
    <w:rsid w:val="002A5252"/>
    <w:rsid w:val="002A55A0"/>
    <w:rsid w:val="002A60E0"/>
    <w:rsid w:val="002A61D3"/>
    <w:rsid w:val="002A6614"/>
    <w:rsid w:val="002A6699"/>
    <w:rsid w:val="002A68BB"/>
    <w:rsid w:val="002A6A67"/>
    <w:rsid w:val="002A6A8D"/>
    <w:rsid w:val="002A6AAF"/>
    <w:rsid w:val="002A6AF4"/>
    <w:rsid w:val="002A6B6F"/>
    <w:rsid w:val="002A6EDD"/>
    <w:rsid w:val="002A6EE2"/>
    <w:rsid w:val="002A701D"/>
    <w:rsid w:val="002A70C8"/>
    <w:rsid w:val="002A71BC"/>
    <w:rsid w:val="002A73F4"/>
    <w:rsid w:val="002A74E5"/>
    <w:rsid w:val="002A767B"/>
    <w:rsid w:val="002A7972"/>
    <w:rsid w:val="002A7E50"/>
    <w:rsid w:val="002A7F8D"/>
    <w:rsid w:val="002B0609"/>
    <w:rsid w:val="002B0725"/>
    <w:rsid w:val="002B0B5B"/>
    <w:rsid w:val="002B0EC1"/>
    <w:rsid w:val="002B0FAC"/>
    <w:rsid w:val="002B14B1"/>
    <w:rsid w:val="002B1B22"/>
    <w:rsid w:val="002B1B92"/>
    <w:rsid w:val="002B21DF"/>
    <w:rsid w:val="002B2506"/>
    <w:rsid w:val="002B2B81"/>
    <w:rsid w:val="002B2C02"/>
    <w:rsid w:val="002B2E37"/>
    <w:rsid w:val="002B2FDB"/>
    <w:rsid w:val="002B3026"/>
    <w:rsid w:val="002B3081"/>
    <w:rsid w:val="002B3249"/>
    <w:rsid w:val="002B3760"/>
    <w:rsid w:val="002B3C43"/>
    <w:rsid w:val="002B4471"/>
    <w:rsid w:val="002B4DB9"/>
    <w:rsid w:val="002B4EDD"/>
    <w:rsid w:val="002B52BA"/>
    <w:rsid w:val="002B52FD"/>
    <w:rsid w:val="002B536D"/>
    <w:rsid w:val="002B5824"/>
    <w:rsid w:val="002B63A5"/>
    <w:rsid w:val="002B6866"/>
    <w:rsid w:val="002B6ECD"/>
    <w:rsid w:val="002B7432"/>
    <w:rsid w:val="002C01EA"/>
    <w:rsid w:val="002C1489"/>
    <w:rsid w:val="002C162B"/>
    <w:rsid w:val="002C173B"/>
    <w:rsid w:val="002C1B2C"/>
    <w:rsid w:val="002C1F22"/>
    <w:rsid w:val="002C1F54"/>
    <w:rsid w:val="002C2549"/>
    <w:rsid w:val="002C25AF"/>
    <w:rsid w:val="002C296D"/>
    <w:rsid w:val="002C2AF1"/>
    <w:rsid w:val="002C3C78"/>
    <w:rsid w:val="002C40CD"/>
    <w:rsid w:val="002C4321"/>
    <w:rsid w:val="002C4AB6"/>
    <w:rsid w:val="002C5013"/>
    <w:rsid w:val="002C53D8"/>
    <w:rsid w:val="002C54A5"/>
    <w:rsid w:val="002C5EC1"/>
    <w:rsid w:val="002C6004"/>
    <w:rsid w:val="002C62A1"/>
    <w:rsid w:val="002C62FF"/>
    <w:rsid w:val="002C65D5"/>
    <w:rsid w:val="002C6B6D"/>
    <w:rsid w:val="002C6EAD"/>
    <w:rsid w:val="002C76CF"/>
    <w:rsid w:val="002C7ED0"/>
    <w:rsid w:val="002D07C4"/>
    <w:rsid w:val="002D0824"/>
    <w:rsid w:val="002D0BB2"/>
    <w:rsid w:val="002D115C"/>
    <w:rsid w:val="002D1305"/>
    <w:rsid w:val="002D1ACD"/>
    <w:rsid w:val="002D1BA3"/>
    <w:rsid w:val="002D1BD1"/>
    <w:rsid w:val="002D2112"/>
    <w:rsid w:val="002D276F"/>
    <w:rsid w:val="002D2A92"/>
    <w:rsid w:val="002D2D87"/>
    <w:rsid w:val="002D313F"/>
    <w:rsid w:val="002D320E"/>
    <w:rsid w:val="002D38CB"/>
    <w:rsid w:val="002D439B"/>
    <w:rsid w:val="002D446A"/>
    <w:rsid w:val="002D4724"/>
    <w:rsid w:val="002D4769"/>
    <w:rsid w:val="002D4FFD"/>
    <w:rsid w:val="002D508E"/>
    <w:rsid w:val="002D54CF"/>
    <w:rsid w:val="002D5556"/>
    <w:rsid w:val="002D5C52"/>
    <w:rsid w:val="002D5E69"/>
    <w:rsid w:val="002D5FFD"/>
    <w:rsid w:val="002D64CE"/>
    <w:rsid w:val="002D6616"/>
    <w:rsid w:val="002D79E4"/>
    <w:rsid w:val="002D7B39"/>
    <w:rsid w:val="002D7F05"/>
    <w:rsid w:val="002D7F3C"/>
    <w:rsid w:val="002E00C7"/>
    <w:rsid w:val="002E0478"/>
    <w:rsid w:val="002E0940"/>
    <w:rsid w:val="002E0A8E"/>
    <w:rsid w:val="002E0BF7"/>
    <w:rsid w:val="002E0DDA"/>
    <w:rsid w:val="002E0F8C"/>
    <w:rsid w:val="002E13D2"/>
    <w:rsid w:val="002E14E9"/>
    <w:rsid w:val="002E1524"/>
    <w:rsid w:val="002E16EC"/>
    <w:rsid w:val="002E1A46"/>
    <w:rsid w:val="002E1F8F"/>
    <w:rsid w:val="002E2622"/>
    <w:rsid w:val="002E270C"/>
    <w:rsid w:val="002E2879"/>
    <w:rsid w:val="002E2A3A"/>
    <w:rsid w:val="002E2DC6"/>
    <w:rsid w:val="002E31CB"/>
    <w:rsid w:val="002E3203"/>
    <w:rsid w:val="002E3809"/>
    <w:rsid w:val="002E3B25"/>
    <w:rsid w:val="002E3BC0"/>
    <w:rsid w:val="002E4385"/>
    <w:rsid w:val="002E49BF"/>
    <w:rsid w:val="002E4CAA"/>
    <w:rsid w:val="002E53A2"/>
    <w:rsid w:val="002E584A"/>
    <w:rsid w:val="002E5D64"/>
    <w:rsid w:val="002E5D6F"/>
    <w:rsid w:val="002E5D89"/>
    <w:rsid w:val="002E5DFE"/>
    <w:rsid w:val="002E60B1"/>
    <w:rsid w:val="002E6363"/>
    <w:rsid w:val="002E6CB8"/>
    <w:rsid w:val="002E6E04"/>
    <w:rsid w:val="002E71CD"/>
    <w:rsid w:val="002E790A"/>
    <w:rsid w:val="002F00CE"/>
    <w:rsid w:val="002F0193"/>
    <w:rsid w:val="002F0210"/>
    <w:rsid w:val="002F0353"/>
    <w:rsid w:val="002F0933"/>
    <w:rsid w:val="002F094C"/>
    <w:rsid w:val="002F095A"/>
    <w:rsid w:val="002F0C20"/>
    <w:rsid w:val="002F0FAF"/>
    <w:rsid w:val="002F13B9"/>
    <w:rsid w:val="002F13D5"/>
    <w:rsid w:val="002F1451"/>
    <w:rsid w:val="002F1554"/>
    <w:rsid w:val="002F1BDB"/>
    <w:rsid w:val="002F2047"/>
    <w:rsid w:val="002F205C"/>
    <w:rsid w:val="002F2A35"/>
    <w:rsid w:val="002F301B"/>
    <w:rsid w:val="002F3235"/>
    <w:rsid w:val="002F3415"/>
    <w:rsid w:val="002F4043"/>
    <w:rsid w:val="002F46E1"/>
    <w:rsid w:val="002F4C59"/>
    <w:rsid w:val="002F551F"/>
    <w:rsid w:val="002F5AE5"/>
    <w:rsid w:val="002F5C5B"/>
    <w:rsid w:val="002F5D06"/>
    <w:rsid w:val="002F601B"/>
    <w:rsid w:val="002F6360"/>
    <w:rsid w:val="002F654D"/>
    <w:rsid w:val="002F65D6"/>
    <w:rsid w:val="002F6B1A"/>
    <w:rsid w:val="002F6D79"/>
    <w:rsid w:val="002F6F7F"/>
    <w:rsid w:val="002F71F5"/>
    <w:rsid w:val="002F7370"/>
    <w:rsid w:val="002F75E4"/>
    <w:rsid w:val="002F7603"/>
    <w:rsid w:val="002F7BC6"/>
    <w:rsid w:val="00300298"/>
    <w:rsid w:val="00300302"/>
    <w:rsid w:val="003006E1"/>
    <w:rsid w:val="003008EA"/>
    <w:rsid w:val="00300B60"/>
    <w:rsid w:val="0030175C"/>
    <w:rsid w:val="003017A3"/>
    <w:rsid w:val="0030199B"/>
    <w:rsid w:val="00301AFC"/>
    <w:rsid w:val="00301B49"/>
    <w:rsid w:val="00301B92"/>
    <w:rsid w:val="00301BE5"/>
    <w:rsid w:val="00301D06"/>
    <w:rsid w:val="00301D5F"/>
    <w:rsid w:val="00301E5D"/>
    <w:rsid w:val="00301FFC"/>
    <w:rsid w:val="00302259"/>
    <w:rsid w:val="00302446"/>
    <w:rsid w:val="00302715"/>
    <w:rsid w:val="003029A6"/>
    <w:rsid w:val="003033A5"/>
    <w:rsid w:val="00303935"/>
    <w:rsid w:val="00303A26"/>
    <w:rsid w:val="00303DA1"/>
    <w:rsid w:val="00304135"/>
    <w:rsid w:val="003043EA"/>
    <w:rsid w:val="00304679"/>
    <w:rsid w:val="0030494E"/>
    <w:rsid w:val="00304D31"/>
    <w:rsid w:val="00304E6D"/>
    <w:rsid w:val="00305080"/>
    <w:rsid w:val="00305449"/>
    <w:rsid w:val="00305479"/>
    <w:rsid w:val="00305868"/>
    <w:rsid w:val="00305924"/>
    <w:rsid w:val="00305C81"/>
    <w:rsid w:val="00305E60"/>
    <w:rsid w:val="00306268"/>
    <w:rsid w:val="003062CB"/>
    <w:rsid w:val="003066A1"/>
    <w:rsid w:val="00306D2A"/>
    <w:rsid w:val="003073B6"/>
    <w:rsid w:val="00307C06"/>
    <w:rsid w:val="00310166"/>
    <w:rsid w:val="003105A2"/>
    <w:rsid w:val="00310C29"/>
    <w:rsid w:val="00310C9F"/>
    <w:rsid w:val="00310F9C"/>
    <w:rsid w:val="00310FE8"/>
    <w:rsid w:val="00311459"/>
    <w:rsid w:val="00311799"/>
    <w:rsid w:val="00311AF9"/>
    <w:rsid w:val="00311F0F"/>
    <w:rsid w:val="00312059"/>
    <w:rsid w:val="003120F1"/>
    <w:rsid w:val="003122F7"/>
    <w:rsid w:val="0031232D"/>
    <w:rsid w:val="0031263F"/>
    <w:rsid w:val="003126DA"/>
    <w:rsid w:val="00312A05"/>
    <w:rsid w:val="00312B65"/>
    <w:rsid w:val="00312EEF"/>
    <w:rsid w:val="00312F96"/>
    <w:rsid w:val="0031314E"/>
    <w:rsid w:val="00313F73"/>
    <w:rsid w:val="0031419A"/>
    <w:rsid w:val="00314D64"/>
    <w:rsid w:val="00314E2F"/>
    <w:rsid w:val="00315AE3"/>
    <w:rsid w:val="00315EBE"/>
    <w:rsid w:val="00316451"/>
    <w:rsid w:val="0031656C"/>
    <w:rsid w:val="00316854"/>
    <w:rsid w:val="0031689A"/>
    <w:rsid w:val="00316935"/>
    <w:rsid w:val="00316F23"/>
    <w:rsid w:val="00317544"/>
    <w:rsid w:val="00317580"/>
    <w:rsid w:val="003178F2"/>
    <w:rsid w:val="00317960"/>
    <w:rsid w:val="003179B5"/>
    <w:rsid w:val="00317B09"/>
    <w:rsid w:val="00317FC6"/>
    <w:rsid w:val="00320024"/>
    <w:rsid w:val="003201DE"/>
    <w:rsid w:val="003205A0"/>
    <w:rsid w:val="0032077D"/>
    <w:rsid w:val="0032099B"/>
    <w:rsid w:val="003209E4"/>
    <w:rsid w:val="00320B91"/>
    <w:rsid w:val="003214A6"/>
    <w:rsid w:val="0032196A"/>
    <w:rsid w:val="00321EA9"/>
    <w:rsid w:val="00322092"/>
    <w:rsid w:val="0032218F"/>
    <w:rsid w:val="00322213"/>
    <w:rsid w:val="00322BCC"/>
    <w:rsid w:val="00322C66"/>
    <w:rsid w:val="00322E45"/>
    <w:rsid w:val="00322EFE"/>
    <w:rsid w:val="00323371"/>
    <w:rsid w:val="00323B7A"/>
    <w:rsid w:val="00323BEB"/>
    <w:rsid w:val="00323E56"/>
    <w:rsid w:val="00323EF9"/>
    <w:rsid w:val="00323F8D"/>
    <w:rsid w:val="003246CB"/>
    <w:rsid w:val="0032490C"/>
    <w:rsid w:val="003249FB"/>
    <w:rsid w:val="003253A6"/>
    <w:rsid w:val="00325512"/>
    <w:rsid w:val="003259CE"/>
    <w:rsid w:val="00325C55"/>
    <w:rsid w:val="00325D9D"/>
    <w:rsid w:val="00325E46"/>
    <w:rsid w:val="00326032"/>
    <w:rsid w:val="0032626F"/>
    <w:rsid w:val="003266BC"/>
    <w:rsid w:val="00326974"/>
    <w:rsid w:val="00326BD4"/>
    <w:rsid w:val="003271A0"/>
    <w:rsid w:val="00327369"/>
    <w:rsid w:val="00327E36"/>
    <w:rsid w:val="0033022D"/>
    <w:rsid w:val="003303AA"/>
    <w:rsid w:val="00331051"/>
    <w:rsid w:val="003312BB"/>
    <w:rsid w:val="003313C0"/>
    <w:rsid w:val="0033149E"/>
    <w:rsid w:val="0033176D"/>
    <w:rsid w:val="0033193A"/>
    <w:rsid w:val="00331A23"/>
    <w:rsid w:val="00331C43"/>
    <w:rsid w:val="00331E27"/>
    <w:rsid w:val="00331F16"/>
    <w:rsid w:val="0033217D"/>
    <w:rsid w:val="003325F6"/>
    <w:rsid w:val="00332F48"/>
    <w:rsid w:val="00332FBC"/>
    <w:rsid w:val="00333536"/>
    <w:rsid w:val="00334139"/>
    <w:rsid w:val="00334280"/>
    <w:rsid w:val="0033505D"/>
    <w:rsid w:val="0033518D"/>
    <w:rsid w:val="0033541F"/>
    <w:rsid w:val="00335446"/>
    <w:rsid w:val="00335BCE"/>
    <w:rsid w:val="00335EA1"/>
    <w:rsid w:val="0033675A"/>
    <w:rsid w:val="00336A17"/>
    <w:rsid w:val="00336B50"/>
    <w:rsid w:val="003371D0"/>
    <w:rsid w:val="003372AC"/>
    <w:rsid w:val="0034044B"/>
    <w:rsid w:val="00340CB0"/>
    <w:rsid w:val="00340EAD"/>
    <w:rsid w:val="0034108B"/>
    <w:rsid w:val="0034120E"/>
    <w:rsid w:val="00341AED"/>
    <w:rsid w:val="00341D37"/>
    <w:rsid w:val="00341D5C"/>
    <w:rsid w:val="00341E36"/>
    <w:rsid w:val="003425BB"/>
    <w:rsid w:val="00342E2C"/>
    <w:rsid w:val="00342F8D"/>
    <w:rsid w:val="0034368D"/>
    <w:rsid w:val="00343A44"/>
    <w:rsid w:val="00344DAB"/>
    <w:rsid w:val="00345867"/>
    <w:rsid w:val="00345B4F"/>
    <w:rsid w:val="00346905"/>
    <w:rsid w:val="00346968"/>
    <w:rsid w:val="00346C2D"/>
    <w:rsid w:val="00346DC0"/>
    <w:rsid w:val="00346FF8"/>
    <w:rsid w:val="003470F5"/>
    <w:rsid w:val="00347273"/>
    <w:rsid w:val="00347609"/>
    <w:rsid w:val="003503B5"/>
    <w:rsid w:val="003505F9"/>
    <w:rsid w:val="0035083C"/>
    <w:rsid w:val="00350BE9"/>
    <w:rsid w:val="00350F4F"/>
    <w:rsid w:val="003510B4"/>
    <w:rsid w:val="00351895"/>
    <w:rsid w:val="00351A8C"/>
    <w:rsid w:val="00351B82"/>
    <w:rsid w:val="0035230E"/>
    <w:rsid w:val="00352626"/>
    <w:rsid w:val="003528CF"/>
    <w:rsid w:val="00353179"/>
    <w:rsid w:val="00353655"/>
    <w:rsid w:val="0035365A"/>
    <w:rsid w:val="00353C76"/>
    <w:rsid w:val="00353E81"/>
    <w:rsid w:val="003545AD"/>
    <w:rsid w:val="003545E1"/>
    <w:rsid w:val="0035471E"/>
    <w:rsid w:val="003549A2"/>
    <w:rsid w:val="00354A2F"/>
    <w:rsid w:val="00354CD4"/>
    <w:rsid w:val="003550BB"/>
    <w:rsid w:val="003550CB"/>
    <w:rsid w:val="0035539C"/>
    <w:rsid w:val="00355BFB"/>
    <w:rsid w:val="00355F1E"/>
    <w:rsid w:val="00356657"/>
    <w:rsid w:val="003566C7"/>
    <w:rsid w:val="00356B11"/>
    <w:rsid w:val="00356D4D"/>
    <w:rsid w:val="00356D8F"/>
    <w:rsid w:val="00356E02"/>
    <w:rsid w:val="0035702B"/>
    <w:rsid w:val="00357495"/>
    <w:rsid w:val="00357C9D"/>
    <w:rsid w:val="00357E6D"/>
    <w:rsid w:val="003601D3"/>
    <w:rsid w:val="003605CC"/>
    <w:rsid w:val="00360D9F"/>
    <w:rsid w:val="00360EC5"/>
    <w:rsid w:val="00360FB9"/>
    <w:rsid w:val="0036102E"/>
    <w:rsid w:val="003615AF"/>
    <w:rsid w:val="00361AA0"/>
    <w:rsid w:val="00361FC0"/>
    <w:rsid w:val="00362C4C"/>
    <w:rsid w:val="003630CA"/>
    <w:rsid w:val="003632F6"/>
    <w:rsid w:val="0036369F"/>
    <w:rsid w:val="00363C37"/>
    <w:rsid w:val="00363D1D"/>
    <w:rsid w:val="003644B7"/>
    <w:rsid w:val="00364684"/>
    <w:rsid w:val="00364691"/>
    <w:rsid w:val="003646A1"/>
    <w:rsid w:val="003648DF"/>
    <w:rsid w:val="00364F7D"/>
    <w:rsid w:val="00365097"/>
    <w:rsid w:val="003656C8"/>
    <w:rsid w:val="00365D9A"/>
    <w:rsid w:val="00366590"/>
    <w:rsid w:val="00366CC6"/>
    <w:rsid w:val="00366EC8"/>
    <w:rsid w:val="00366F63"/>
    <w:rsid w:val="00367656"/>
    <w:rsid w:val="00367743"/>
    <w:rsid w:val="00367D09"/>
    <w:rsid w:val="0037031B"/>
    <w:rsid w:val="00370588"/>
    <w:rsid w:val="00370C76"/>
    <w:rsid w:val="00370E2D"/>
    <w:rsid w:val="00370F86"/>
    <w:rsid w:val="003715E8"/>
    <w:rsid w:val="003716A3"/>
    <w:rsid w:val="00371926"/>
    <w:rsid w:val="00371AA7"/>
    <w:rsid w:val="00371F4D"/>
    <w:rsid w:val="00372040"/>
    <w:rsid w:val="0037239E"/>
    <w:rsid w:val="003723CD"/>
    <w:rsid w:val="003727B5"/>
    <w:rsid w:val="003728F4"/>
    <w:rsid w:val="00372A77"/>
    <w:rsid w:val="00372CBD"/>
    <w:rsid w:val="0037336B"/>
    <w:rsid w:val="003734C8"/>
    <w:rsid w:val="00373908"/>
    <w:rsid w:val="00373DB3"/>
    <w:rsid w:val="00373E14"/>
    <w:rsid w:val="003742D8"/>
    <w:rsid w:val="00374547"/>
    <w:rsid w:val="00374887"/>
    <w:rsid w:val="003748B0"/>
    <w:rsid w:val="00374BA7"/>
    <w:rsid w:val="00374C49"/>
    <w:rsid w:val="00375601"/>
    <w:rsid w:val="00375722"/>
    <w:rsid w:val="00375BE0"/>
    <w:rsid w:val="00375D6A"/>
    <w:rsid w:val="0037737B"/>
    <w:rsid w:val="003773BC"/>
    <w:rsid w:val="0037772B"/>
    <w:rsid w:val="00377B57"/>
    <w:rsid w:val="0038010F"/>
    <w:rsid w:val="0038020F"/>
    <w:rsid w:val="003807B9"/>
    <w:rsid w:val="003807BA"/>
    <w:rsid w:val="00380A8C"/>
    <w:rsid w:val="00380D33"/>
    <w:rsid w:val="00380D51"/>
    <w:rsid w:val="00380DA8"/>
    <w:rsid w:val="0038165A"/>
    <w:rsid w:val="00381AC2"/>
    <w:rsid w:val="00381D1D"/>
    <w:rsid w:val="00381E27"/>
    <w:rsid w:val="00382179"/>
    <w:rsid w:val="003824D1"/>
    <w:rsid w:val="003825B5"/>
    <w:rsid w:val="00382A8A"/>
    <w:rsid w:val="00382CA8"/>
    <w:rsid w:val="00382FF8"/>
    <w:rsid w:val="003836D6"/>
    <w:rsid w:val="003839F4"/>
    <w:rsid w:val="00383BCF"/>
    <w:rsid w:val="00383DFF"/>
    <w:rsid w:val="003842C1"/>
    <w:rsid w:val="0038491F"/>
    <w:rsid w:val="00384E37"/>
    <w:rsid w:val="00385316"/>
    <w:rsid w:val="003853B5"/>
    <w:rsid w:val="00385862"/>
    <w:rsid w:val="0038594E"/>
    <w:rsid w:val="00385A75"/>
    <w:rsid w:val="00385AC4"/>
    <w:rsid w:val="00385B41"/>
    <w:rsid w:val="00385D56"/>
    <w:rsid w:val="00386110"/>
    <w:rsid w:val="0038669C"/>
    <w:rsid w:val="00386A9E"/>
    <w:rsid w:val="00386ACF"/>
    <w:rsid w:val="00386EF9"/>
    <w:rsid w:val="00386FA2"/>
    <w:rsid w:val="00387ADF"/>
    <w:rsid w:val="00387E22"/>
    <w:rsid w:val="00387E66"/>
    <w:rsid w:val="003905DD"/>
    <w:rsid w:val="00390D04"/>
    <w:rsid w:val="00390F2F"/>
    <w:rsid w:val="00391316"/>
    <w:rsid w:val="00391520"/>
    <w:rsid w:val="003917F7"/>
    <w:rsid w:val="00391C90"/>
    <w:rsid w:val="00391E2A"/>
    <w:rsid w:val="003927D9"/>
    <w:rsid w:val="00392B51"/>
    <w:rsid w:val="00393053"/>
    <w:rsid w:val="0039315B"/>
    <w:rsid w:val="003932F9"/>
    <w:rsid w:val="0039361A"/>
    <w:rsid w:val="003937D5"/>
    <w:rsid w:val="00393CA0"/>
    <w:rsid w:val="00393CFC"/>
    <w:rsid w:val="003946EE"/>
    <w:rsid w:val="003947CC"/>
    <w:rsid w:val="00395268"/>
    <w:rsid w:val="00395B40"/>
    <w:rsid w:val="00395F1E"/>
    <w:rsid w:val="003960A5"/>
    <w:rsid w:val="003961A1"/>
    <w:rsid w:val="0039642E"/>
    <w:rsid w:val="00396535"/>
    <w:rsid w:val="00396C71"/>
    <w:rsid w:val="00396EEE"/>
    <w:rsid w:val="003972FE"/>
    <w:rsid w:val="003973DB"/>
    <w:rsid w:val="00397619"/>
    <w:rsid w:val="00397D22"/>
    <w:rsid w:val="003A0035"/>
    <w:rsid w:val="003A0A8B"/>
    <w:rsid w:val="003A0A8E"/>
    <w:rsid w:val="003A0F83"/>
    <w:rsid w:val="003A1247"/>
    <w:rsid w:val="003A1456"/>
    <w:rsid w:val="003A157B"/>
    <w:rsid w:val="003A1BC3"/>
    <w:rsid w:val="003A1D6E"/>
    <w:rsid w:val="003A1FC9"/>
    <w:rsid w:val="003A2347"/>
    <w:rsid w:val="003A27E0"/>
    <w:rsid w:val="003A291C"/>
    <w:rsid w:val="003A33A1"/>
    <w:rsid w:val="003A33F1"/>
    <w:rsid w:val="003A3479"/>
    <w:rsid w:val="003A3973"/>
    <w:rsid w:val="003A3988"/>
    <w:rsid w:val="003A39C4"/>
    <w:rsid w:val="003A3BF7"/>
    <w:rsid w:val="003A3DAC"/>
    <w:rsid w:val="003A3E0D"/>
    <w:rsid w:val="003A4180"/>
    <w:rsid w:val="003A4623"/>
    <w:rsid w:val="003A4B40"/>
    <w:rsid w:val="003A6086"/>
    <w:rsid w:val="003A673E"/>
    <w:rsid w:val="003A6E39"/>
    <w:rsid w:val="003A6E9B"/>
    <w:rsid w:val="003A6F7A"/>
    <w:rsid w:val="003A7355"/>
    <w:rsid w:val="003A7384"/>
    <w:rsid w:val="003A7E53"/>
    <w:rsid w:val="003A7EB1"/>
    <w:rsid w:val="003B0041"/>
    <w:rsid w:val="003B00C1"/>
    <w:rsid w:val="003B027F"/>
    <w:rsid w:val="003B0489"/>
    <w:rsid w:val="003B06FE"/>
    <w:rsid w:val="003B09F1"/>
    <w:rsid w:val="003B0A51"/>
    <w:rsid w:val="003B0B2D"/>
    <w:rsid w:val="003B0F98"/>
    <w:rsid w:val="003B13D4"/>
    <w:rsid w:val="003B1996"/>
    <w:rsid w:val="003B1A94"/>
    <w:rsid w:val="003B1BEB"/>
    <w:rsid w:val="003B1CCD"/>
    <w:rsid w:val="003B2010"/>
    <w:rsid w:val="003B2158"/>
    <w:rsid w:val="003B2398"/>
    <w:rsid w:val="003B250A"/>
    <w:rsid w:val="003B29D3"/>
    <w:rsid w:val="003B2A0E"/>
    <w:rsid w:val="003B2B54"/>
    <w:rsid w:val="003B2CAC"/>
    <w:rsid w:val="003B33BE"/>
    <w:rsid w:val="003B3435"/>
    <w:rsid w:val="003B38CE"/>
    <w:rsid w:val="003B3DDF"/>
    <w:rsid w:val="003B3FF9"/>
    <w:rsid w:val="003B40AF"/>
    <w:rsid w:val="003B4205"/>
    <w:rsid w:val="003B4339"/>
    <w:rsid w:val="003B536C"/>
    <w:rsid w:val="003B5C01"/>
    <w:rsid w:val="003B6DC5"/>
    <w:rsid w:val="003B6F84"/>
    <w:rsid w:val="003B79AF"/>
    <w:rsid w:val="003B7D7D"/>
    <w:rsid w:val="003C02A2"/>
    <w:rsid w:val="003C058E"/>
    <w:rsid w:val="003C0A0A"/>
    <w:rsid w:val="003C0EE4"/>
    <w:rsid w:val="003C1503"/>
    <w:rsid w:val="003C15EB"/>
    <w:rsid w:val="003C17AE"/>
    <w:rsid w:val="003C2532"/>
    <w:rsid w:val="003C35B5"/>
    <w:rsid w:val="003C3E37"/>
    <w:rsid w:val="003C40B0"/>
    <w:rsid w:val="003C40CE"/>
    <w:rsid w:val="003C41E2"/>
    <w:rsid w:val="003C46CD"/>
    <w:rsid w:val="003C4B86"/>
    <w:rsid w:val="003C4CA1"/>
    <w:rsid w:val="003C5339"/>
    <w:rsid w:val="003C5513"/>
    <w:rsid w:val="003C59E2"/>
    <w:rsid w:val="003C5ABE"/>
    <w:rsid w:val="003C5F7F"/>
    <w:rsid w:val="003C668A"/>
    <w:rsid w:val="003C6CA3"/>
    <w:rsid w:val="003C723C"/>
    <w:rsid w:val="003C7C29"/>
    <w:rsid w:val="003C7C8B"/>
    <w:rsid w:val="003C7F33"/>
    <w:rsid w:val="003D0573"/>
    <w:rsid w:val="003D07F9"/>
    <w:rsid w:val="003D0C56"/>
    <w:rsid w:val="003D0DAF"/>
    <w:rsid w:val="003D0E3D"/>
    <w:rsid w:val="003D141E"/>
    <w:rsid w:val="003D1594"/>
    <w:rsid w:val="003D1817"/>
    <w:rsid w:val="003D1A18"/>
    <w:rsid w:val="003D1E4A"/>
    <w:rsid w:val="003D2282"/>
    <w:rsid w:val="003D264C"/>
    <w:rsid w:val="003D2719"/>
    <w:rsid w:val="003D28C6"/>
    <w:rsid w:val="003D3481"/>
    <w:rsid w:val="003D3657"/>
    <w:rsid w:val="003D3696"/>
    <w:rsid w:val="003D3890"/>
    <w:rsid w:val="003D397F"/>
    <w:rsid w:val="003D3A24"/>
    <w:rsid w:val="003D3D18"/>
    <w:rsid w:val="003D495C"/>
    <w:rsid w:val="003D4A66"/>
    <w:rsid w:val="003D4D98"/>
    <w:rsid w:val="003D4F06"/>
    <w:rsid w:val="003D54D1"/>
    <w:rsid w:val="003D55C7"/>
    <w:rsid w:val="003D56FC"/>
    <w:rsid w:val="003D5929"/>
    <w:rsid w:val="003D5E15"/>
    <w:rsid w:val="003D605D"/>
    <w:rsid w:val="003D626F"/>
    <w:rsid w:val="003D6DE0"/>
    <w:rsid w:val="003D7284"/>
    <w:rsid w:val="003E0062"/>
    <w:rsid w:val="003E0224"/>
    <w:rsid w:val="003E04D4"/>
    <w:rsid w:val="003E091F"/>
    <w:rsid w:val="003E0B95"/>
    <w:rsid w:val="003E1468"/>
    <w:rsid w:val="003E18DD"/>
    <w:rsid w:val="003E1A8A"/>
    <w:rsid w:val="003E1AA3"/>
    <w:rsid w:val="003E1C69"/>
    <w:rsid w:val="003E1CD0"/>
    <w:rsid w:val="003E1DBB"/>
    <w:rsid w:val="003E1E16"/>
    <w:rsid w:val="003E2376"/>
    <w:rsid w:val="003E2534"/>
    <w:rsid w:val="003E2580"/>
    <w:rsid w:val="003E2790"/>
    <w:rsid w:val="003E2C08"/>
    <w:rsid w:val="003E3031"/>
    <w:rsid w:val="003E3410"/>
    <w:rsid w:val="003E3567"/>
    <w:rsid w:val="003E3947"/>
    <w:rsid w:val="003E3BDF"/>
    <w:rsid w:val="003E44EF"/>
    <w:rsid w:val="003E44F6"/>
    <w:rsid w:val="003E45E2"/>
    <w:rsid w:val="003E467C"/>
    <w:rsid w:val="003E4FDD"/>
    <w:rsid w:val="003E530F"/>
    <w:rsid w:val="003E5A0E"/>
    <w:rsid w:val="003E5CCA"/>
    <w:rsid w:val="003E5EBF"/>
    <w:rsid w:val="003E6388"/>
    <w:rsid w:val="003E65EE"/>
    <w:rsid w:val="003E6A89"/>
    <w:rsid w:val="003E71C1"/>
    <w:rsid w:val="003E73E3"/>
    <w:rsid w:val="003E7A46"/>
    <w:rsid w:val="003E7ACF"/>
    <w:rsid w:val="003F04DA"/>
    <w:rsid w:val="003F056C"/>
    <w:rsid w:val="003F080D"/>
    <w:rsid w:val="003F0EB9"/>
    <w:rsid w:val="003F0F63"/>
    <w:rsid w:val="003F0F74"/>
    <w:rsid w:val="003F129B"/>
    <w:rsid w:val="003F167B"/>
    <w:rsid w:val="003F1A35"/>
    <w:rsid w:val="003F23BA"/>
    <w:rsid w:val="003F266C"/>
    <w:rsid w:val="003F290A"/>
    <w:rsid w:val="003F29C4"/>
    <w:rsid w:val="003F2A0F"/>
    <w:rsid w:val="003F322B"/>
    <w:rsid w:val="003F397C"/>
    <w:rsid w:val="003F3BFB"/>
    <w:rsid w:val="003F4545"/>
    <w:rsid w:val="003F4623"/>
    <w:rsid w:val="003F4E21"/>
    <w:rsid w:val="003F5431"/>
    <w:rsid w:val="003F5613"/>
    <w:rsid w:val="003F56EB"/>
    <w:rsid w:val="003F58D8"/>
    <w:rsid w:val="003F5E22"/>
    <w:rsid w:val="003F62CF"/>
    <w:rsid w:val="003F6421"/>
    <w:rsid w:val="003F6694"/>
    <w:rsid w:val="003F67A0"/>
    <w:rsid w:val="003F6BD4"/>
    <w:rsid w:val="003F6C8E"/>
    <w:rsid w:val="003F6DC0"/>
    <w:rsid w:val="003F7229"/>
    <w:rsid w:val="003F74F2"/>
    <w:rsid w:val="003F7EE5"/>
    <w:rsid w:val="004001D2"/>
    <w:rsid w:val="00400533"/>
    <w:rsid w:val="00400C2F"/>
    <w:rsid w:val="00400D87"/>
    <w:rsid w:val="00400E72"/>
    <w:rsid w:val="004012B8"/>
    <w:rsid w:val="0040150B"/>
    <w:rsid w:val="004015D5"/>
    <w:rsid w:val="00401D62"/>
    <w:rsid w:val="004021D9"/>
    <w:rsid w:val="004025BC"/>
    <w:rsid w:val="0040268F"/>
    <w:rsid w:val="0040336B"/>
    <w:rsid w:val="004035AA"/>
    <w:rsid w:val="00403C5F"/>
    <w:rsid w:val="00403F45"/>
    <w:rsid w:val="00404A51"/>
    <w:rsid w:val="00404D39"/>
    <w:rsid w:val="00404D95"/>
    <w:rsid w:val="00405265"/>
    <w:rsid w:val="004056A7"/>
    <w:rsid w:val="00405811"/>
    <w:rsid w:val="00405EC5"/>
    <w:rsid w:val="00405F94"/>
    <w:rsid w:val="004060C8"/>
    <w:rsid w:val="00406954"/>
    <w:rsid w:val="00406D43"/>
    <w:rsid w:val="00406E23"/>
    <w:rsid w:val="0040753E"/>
    <w:rsid w:val="0040765C"/>
    <w:rsid w:val="004077AA"/>
    <w:rsid w:val="00407C2D"/>
    <w:rsid w:val="00407DD9"/>
    <w:rsid w:val="00407FBF"/>
    <w:rsid w:val="00410086"/>
    <w:rsid w:val="004100FB"/>
    <w:rsid w:val="00410376"/>
    <w:rsid w:val="00410A53"/>
    <w:rsid w:val="00410E6B"/>
    <w:rsid w:val="00411186"/>
    <w:rsid w:val="00411397"/>
    <w:rsid w:val="004113C8"/>
    <w:rsid w:val="00411B5D"/>
    <w:rsid w:val="00411E36"/>
    <w:rsid w:val="004121F4"/>
    <w:rsid w:val="0041249B"/>
    <w:rsid w:val="004124B8"/>
    <w:rsid w:val="004129FA"/>
    <w:rsid w:val="00412C5F"/>
    <w:rsid w:val="00412E15"/>
    <w:rsid w:val="00412E33"/>
    <w:rsid w:val="004132CE"/>
    <w:rsid w:val="004134B1"/>
    <w:rsid w:val="00413EAE"/>
    <w:rsid w:val="00413FA6"/>
    <w:rsid w:val="004144B0"/>
    <w:rsid w:val="004144E0"/>
    <w:rsid w:val="00414710"/>
    <w:rsid w:val="0041475C"/>
    <w:rsid w:val="004149AF"/>
    <w:rsid w:val="00414FC5"/>
    <w:rsid w:val="00414FD9"/>
    <w:rsid w:val="00415090"/>
    <w:rsid w:val="0041514B"/>
    <w:rsid w:val="004151BB"/>
    <w:rsid w:val="00415365"/>
    <w:rsid w:val="00415754"/>
    <w:rsid w:val="004160B5"/>
    <w:rsid w:val="00416936"/>
    <w:rsid w:val="00416D86"/>
    <w:rsid w:val="00417001"/>
    <w:rsid w:val="004172C3"/>
    <w:rsid w:val="00417368"/>
    <w:rsid w:val="00417728"/>
    <w:rsid w:val="004179BF"/>
    <w:rsid w:val="00417FB4"/>
    <w:rsid w:val="00420B3A"/>
    <w:rsid w:val="00420D28"/>
    <w:rsid w:val="00420DFA"/>
    <w:rsid w:val="004211BC"/>
    <w:rsid w:val="004212F4"/>
    <w:rsid w:val="00421451"/>
    <w:rsid w:val="0042169A"/>
    <w:rsid w:val="00421E93"/>
    <w:rsid w:val="00421F30"/>
    <w:rsid w:val="00421F73"/>
    <w:rsid w:val="00422337"/>
    <w:rsid w:val="004229E2"/>
    <w:rsid w:val="00422C48"/>
    <w:rsid w:val="00422D14"/>
    <w:rsid w:val="00422E2D"/>
    <w:rsid w:val="00422EB1"/>
    <w:rsid w:val="0042301D"/>
    <w:rsid w:val="0042314B"/>
    <w:rsid w:val="004233C9"/>
    <w:rsid w:val="004237F4"/>
    <w:rsid w:val="004239F6"/>
    <w:rsid w:val="00423DDA"/>
    <w:rsid w:val="00423EB1"/>
    <w:rsid w:val="004242E9"/>
    <w:rsid w:val="0042466B"/>
    <w:rsid w:val="0042473F"/>
    <w:rsid w:val="004249A0"/>
    <w:rsid w:val="00424BAF"/>
    <w:rsid w:val="00424F0F"/>
    <w:rsid w:val="00424F8D"/>
    <w:rsid w:val="004253D7"/>
    <w:rsid w:val="00425743"/>
    <w:rsid w:val="0042579C"/>
    <w:rsid w:val="00425A4D"/>
    <w:rsid w:val="00425C25"/>
    <w:rsid w:val="00426079"/>
    <w:rsid w:val="00426336"/>
    <w:rsid w:val="00426903"/>
    <w:rsid w:val="00426A26"/>
    <w:rsid w:val="0042714B"/>
    <w:rsid w:val="004272D4"/>
    <w:rsid w:val="004277CE"/>
    <w:rsid w:val="00427C0A"/>
    <w:rsid w:val="00427E90"/>
    <w:rsid w:val="004303B5"/>
    <w:rsid w:val="004308BE"/>
    <w:rsid w:val="00430A24"/>
    <w:rsid w:val="004312F2"/>
    <w:rsid w:val="004316D7"/>
    <w:rsid w:val="004316FF"/>
    <w:rsid w:val="00432E9B"/>
    <w:rsid w:val="00433217"/>
    <w:rsid w:val="00433F61"/>
    <w:rsid w:val="0043425B"/>
    <w:rsid w:val="00434266"/>
    <w:rsid w:val="00434543"/>
    <w:rsid w:val="00434C71"/>
    <w:rsid w:val="0043520E"/>
    <w:rsid w:val="004355C1"/>
    <w:rsid w:val="00435657"/>
    <w:rsid w:val="004356E2"/>
    <w:rsid w:val="00435AA1"/>
    <w:rsid w:val="00435C42"/>
    <w:rsid w:val="00435D68"/>
    <w:rsid w:val="00436639"/>
    <w:rsid w:val="00436737"/>
    <w:rsid w:val="00436C11"/>
    <w:rsid w:val="00436C78"/>
    <w:rsid w:val="00436DDC"/>
    <w:rsid w:val="00437254"/>
    <w:rsid w:val="0043734C"/>
    <w:rsid w:val="00437586"/>
    <w:rsid w:val="00437D34"/>
    <w:rsid w:val="00437D54"/>
    <w:rsid w:val="00437D73"/>
    <w:rsid w:val="00437D81"/>
    <w:rsid w:val="00437E22"/>
    <w:rsid w:val="00440200"/>
    <w:rsid w:val="004404AE"/>
    <w:rsid w:val="004409E9"/>
    <w:rsid w:val="00440C53"/>
    <w:rsid w:val="004418C5"/>
    <w:rsid w:val="004423CE"/>
    <w:rsid w:val="00442574"/>
    <w:rsid w:val="0044294D"/>
    <w:rsid w:val="00443929"/>
    <w:rsid w:val="00443AE5"/>
    <w:rsid w:val="00443BF1"/>
    <w:rsid w:val="00443C87"/>
    <w:rsid w:val="00443C9B"/>
    <w:rsid w:val="00443E49"/>
    <w:rsid w:val="00443FA9"/>
    <w:rsid w:val="004440A6"/>
    <w:rsid w:val="0044440D"/>
    <w:rsid w:val="0044446C"/>
    <w:rsid w:val="00444B1C"/>
    <w:rsid w:val="00444D75"/>
    <w:rsid w:val="0044517A"/>
    <w:rsid w:val="00445705"/>
    <w:rsid w:val="0044582A"/>
    <w:rsid w:val="00445A0F"/>
    <w:rsid w:val="0044614C"/>
    <w:rsid w:val="00446881"/>
    <w:rsid w:val="00446AD4"/>
    <w:rsid w:val="00446D12"/>
    <w:rsid w:val="004475D0"/>
    <w:rsid w:val="004476CC"/>
    <w:rsid w:val="00447C64"/>
    <w:rsid w:val="00447D01"/>
    <w:rsid w:val="00447E88"/>
    <w:rsid w:val="00447EE7"/>
    <w:rsid w:val="00450E5B"/>
    <w:rsid w:val="004512F9"/>
    <w:rsid w:val="0045166C"/>
    <w:rsid w:val="0045169E"/>
    <w:rsid w:val="0045171D"/>
    <w:rsid w:val="0045179D"/>
    <w:rsid w:val="004521CE"/>
    <w:rsid w:val="00452972"/>
    <w:rsid w:val="0045330F"/>
    <w:rsid w:val="00453330"/>
    <w:rsid w:val="004533F7"/>
    <w:rsid w:val="00453465"/>
    <w:rsid w:val="00453B90"/>
    <w:rsid w:val="00453CF4"/>
    <w:rsid w:val="00454259"/>
    <w:rsid w:val="00454877"/>
    <w:rsid w:val="00454A7C"/>
    <w:rsid w:val="00454F69"/>
    <w:rsid w:val="00455408"/>
    <w:rsid w:val="00455A54"/>
    <w:rsid w:val="00455AB7"/>
    <w:rsid w:val="00455AF7"/>
    <w:rsid w:val="00455CAB"/>
    <w:rsid w:val="0045618E"/>
    <w:rsid w:val="00456361"/>
    <w:rsid w:val="004563D5"/>
    <w:rsid w:val="00456450"/>
    <w:rsid w:val="00456916"/>
    <w:rsid w:val="00456A09"/>
    <w:rsid w:val="00456D18"/>
    <w:rsid w:val="00456D6A"/>
    <w:rsid w:val="00456F87"/>
    <w:rsid w:val="0045704E"/>
    <w:rsid w:val="00457362"/>
    <w:rsid w:val="004575C5"/>
    <w:rsid w:val="00457849"/>
    <w:rsid w:val="00457B23"/>
    <w:rsid w:val="00457C3F"/>
    <w:rsid w:val="00457D68"/>
    <w:rsid w:val="00460277"/>
    <w:rsid w:val="00460710"/>
    <w:rsid w:val="004609B8"/>
    <w:rsid w:val="00460D49"/>
    <w:rsid w:val="004613A6"/>
    <w:rsid w:val="004615CE"/>
    <w:rsid w:val="00461691"/>
    <w:rsid w:val="00461934"/>
    <w:rsid w:val="0046197F"/>
    <w:rsid w:val="00461BB3"/>
    <w:rsid w:val="004621B6"/>
    <w:rsid w:val="004623D1"/>
    <w:rsid w:val="004625DA"/>
    <w:rsid w:val="004628D3"/>
    <w:rsid w:val="00462974"/>
    <w:rsid w:val="00462D6E"/>
    <w:rsid w:val="00462E54"/>
    <w:rsid w:val="0046315D"/>
    <w:rsid w:val="004632E9"/>
    <w:rsid w:val="00463815"/>
    <w:rsid w:val="00463D4C"/>
    <w:rsid w:val="00463EA2"/>
    <w:rsid w:val="0046416A"/>
    <w:rsid w:val="004643C4"/>
    <w:rsid w:val="00464A77"/>
    <w:rsid w:val="00464B69"/>
    <w:rsid w:val="00464DF2"/>
    <w:rsid w:val="00464FE0"/>
    <w:rsid w:val="004653EE"/>
    <w:rsid w:val="00465783"/>
    <w:rsid w:val="00465C52"/>
    <w:rsid w:val="004664D0"/>
    <w:rsid w:val="00466533"/>
    <w:rsid w:val="00466F3F"/>
    <w:rsid w:val="00467318"/>
    <w:rsid w:val="004676E7"/>
    <w:rsid w:val="00467794"/>
    <w:rsid w:val="00467F1B"/>
    <w:rsid w:val="00470F66"/>
    <w:rsid w:val="004711DA"/>
    <w:rsid w:val="004714DD"/>
    <w:rsid w:val="00471B9F"/>
    <w:rsid w:val="00471BEA"/>
    <w:rsid w:val="004722D3"/>
    <w:rsid w:val="004723F8"/>
    <w:rsid w:val="004727B4"/>
    <w:rsid w:val="00472B3D"/>
    <w:rsid w:val="00472C62"/>
    <w:rsid w:val="00472E0A"/>
    <w:rsid w:val="00472EC9"/>
    <w:rsid w:val="00473320"/>
    <w:rsid w:val="004736B6"/>
    <w:rsid w:val="004746D0"/>
    <w:rsid w:val="004747BB"/>
    <w:rsid w:val="0047506A"/>
    <w:rsid w:val="00475857"/>
    <w:rsid w:val="004758B2"/>
    <w:rsid w:val="004761D1"/>
    <w:rsid w:val="00476448"/>
    <w:rsid w:val="004767C3"/>
    <w:rsid w:val="00476CB6"/>
    <w:rsid w:val="004772A0"/>
    <w:rsid w:val="004773CE"/>
    <w:rsid w:val="00477956"/>
    <w:rsid w:val="00477ED0"/>
    <w:rsid w:val="00480437"/>
    <w:rsid w:val="0048055E"/>
    <w:rsid w:val="00481145"/>
    <w:rsid w:val="004813A5"/>
    <w:rsid w:val="004818D1"/>
    <w:rsid w:val="004818FA"/>
    <w:rsid w:val="00481AD3"/>
    <w:rsid w:val="00481D45"/>
    <w:rsid w:val="0048205B"/>
    <w:rsid w:val="004822E2"/>
    <w:rsid w:val="00482416"/>
    <w:rsid w:val="0048279D"/>
    <w:rsid w:val="00482927"/>
    <w:rsid w:val="00482A40"/>
    <w:rsid w:val="00482A9F"/>
    <w:rsid w:val="00482FE4"/>
    <w:rsid w:val="0048309C"/>
    <w:rsid w:val="0048337A"/>
    <w:rsid w:val="0048354F"/>
    <w:rsid w:val="004839C1"/>
    <w:rsid w:val="00484297"/>
    <w:rsid w:val="004844CE"/>
    <w:rsid w:val="00484574"/>
    <w:rsid w:val="00484790"/>
    <w:rsid w:val="00484903"/>
    <w:rsid w:val="00484F65"/>
    <w:rsid w:val="0048532A"/>
    <w:rsid w:val="00485AD3"/>
    <w:rsid w:val="00486046"/>
    <w:rsid w:val="004862FE"/>
    <w:rsid w:val="00486421"/>
    <w:rsid w:val="00486467"/>
    <w:rsid w:val="004865CD"/>
    <w:rsid w:val="004876FF"/>
    <w:rsid w:val="00487870"/>
    <w:rsid w:val="0048799E"/>
    <w:rsid w:val="00487AF8"/>
    <w:rsid w:val="00490455"/>
    <w:rsid w:val="00490DF6"/>
    <w:rsid w:val="00491122"/>
    <w:rsid w:val="0049162D"/>
    <w:rsid w:val="00491848"/>
    <w:rsid w:val="004918BC"/>
    <w:rsid w:val="00491944"/>
    <w:rsid w:val="00492384"/>
    <w:rsid w:val="0049252E"/>
    <w:rsid w:val="00492AD3"/>
    <w:rsid w:val="00492F7A"/>
    <w:rsid w:val="0049311C"/>
    <w:rsid w:val="00493129"/>
    <w:rsid w:val="00493153"/>
    <w:rsid w:val="0049387B"/>
    <w:rsid w:val="00493F3B"/>
    <w:rsid w:val="00493F58"/>
    <w:rsid w:val="0049429C"/>
    <w:rsid w:val="00494482"/>
    <w:rsid w:val="004946AF"/>
    <w:rsid w:val="00494AF3"/>
    <w:rsid w:val="00494C54"/>
    <w:rsid w:val="00494FEF"/>
    <w:rsid w:val="0049521F"/>
    <w:rsid w:val="0049522E"/>
    <w:rsid w:val="004954C1"/>
    <w:rsid w:val="00495500"/>
    <w:rsid w:val="0049591B"/>
    <w:rsid w:val="00495A3A"/>
    <w:rsid w:val="00495F44"/>
    <w:rsid w:val="00496093"/>
    <w:rsid w:val="0049642A"/>
    <w:rsid w:val="004965CB"/>
    <w:rsid w:val="004965FF"/>
    <w:rsid w:val="0049677E"/>
    <w:rsid w:val="00496DD1"/>
    <w:rsid w:val="00497068"/>
    <w:rsid w:val="00497A04"/>
    <w:rsid w:val="00497A4B"/>
    <w:rsid w:val="00497BB9"/>
    <w:rsid w:val="00497C54"/>
    <w:rsid w:val="00497DBC"/>
    <w:rsid w:val="00497F86"/>
    <w:rsid w:val="004A00DB"/>
    <w:rsid w:val="004A1724"/>
    <w:rsid w:val="004A1D87"/>
    <w:rsid w:val="004A1FB0"/>
    <w:rsid w:val="004A22DB"/>
    <w:rsid w:val="004A2583"/>
    <w:rsid w:val="004A2615"/>
    <w:rsid w:val="004A2B72"/>
    <w:rsid w:val="004A2BEC"/>
    <w:rsid w:val="004A33AD"/>
    <w:rsid w:val="004A34D5"/>
    <w:rsid w:val="004A37E9"/>
    <w:rsid w:val="004A3BCC"/>
    <w:rsid w:val="004A40CD"/>
    <w:rsid w:val="004A415E"/>
    <w:rsid w:val="004A43A3"/>
    <w:rsid w:val="004A4DA3"/>
    <w:rsid w:val="004A4F45"/>
    <w:rsid w:val="004A593E"/>
    <w:rsid w:val="004A5B25"/>
    <w:rsid w:val="004A5CC2"/>
    <w:rsid w:val="004A613E"/>
    <w:rsid w:val="004A67F0"/>
    <w:rsid w:val="004A6BC5"/>
    <w:rsid w:val="004A6EB6"/>
    <w:rsid w:val="004A785B"/>
    <w:rsid w:val="004A7975"/>
    <w:rsid w:val="004A7C6B"/>
    <w:rsid w:val="004B0078"/>
    <w:rsid w:val="004B0140"/>
    <w:rsid w:val="004B0E16"/>
    <w:rsid w:val="004B13FF"/>
    <w:rsid w:val="004B205E"/>
    <w:rsid w:val="004B2403"/>
    <w:rsid w:val="004B24DC"/>
    <w:rsid w:val="004B2623"/>
    <w:rsid w:val="004B26B9"/>
    <w:rsid w:val="004B27AE"/>
    <w:rsid w:val="004B2951"/>
    <w:rsid w:val="004B2B5C"/>
    <w:rsid w:val="004B317A"/>
    <w:rsid w:val="004B34B0"/>
    <w:rsid w:val="004B3616"/>
    <w:rsid w:val="004B423E"/>
    <w:rsid w:val="004B4861"/>
    <w:rsid w:val="004B4C81"/>
    <w:rsid w:val="004B5939"/>
    <w:rsid w:val="004B5F93"/>
    <w:rsid w:val="004B660C"/>
    <w:rsid w:val="004B6768"/>
    <w:rsid w:val="004B6BDF"/>
    <w:rsid w:val="004B6D98"/>
    <w:rsid w:val="004B6FFB"/>
    <w:rsid w:val="004B706D"/>
    <w:rsid w:val="004B70DA"/>
    <w:rsid w:val="004B7788"/>
    <w:rsid w:val="004B7EA6"/>
    <w:rsid w:val="004B7F5B"/>
    <w:rsid w:val="004B7FEC"/>
    <w:rsid w:val="004C0146"/>
    <w:rsid w:val="004C049C"/>
    <w:rsid w:val="004C0789"/>
    <w:rsid w:val="004C151B"/>
    <w:rsid w:val="004C1B51"/>
    <w:rsid w:val="004C1F16"/>
    <w:rsid w:val="004C234B"/>
    <w:rsid w:val="004C23E1"/>
    <w:rsid w:val="004C246E"/>
    <w:rsid w:val="004C26B7"/>
    <w:rsid w:val="004C2808"/>
    <w:rsid w:val="004C28E0"/>
    <w:rsid w:val="004C3036"/>
    <w:rsid w:val="004C378F"/>
    <w:rsid w:val="004C3837"/>
    <w:rsid w:val="004C3D6F"/>
    <w:rsid w:val="004C3E91"/>
    <w:rsid w:val="004C3F34"/>
    <w:rsid w:val="004C3FB9"/>
    <w:rsid w:val="004C40C5"/>
    <w:rsid w:val="004C5014"/>
    <w:rsid w:val="004C5199"/>
    <w:rsid w:val="004C5517"/>
    <w:rsid w:val="004C551E"/>
    <w:rsid w:val="004C555E"/>
    <w:rsid w:val="004C5C3B"/>
    <w:rsid w:val="004C61F8"/>
    <w:rsid w:val="004C64D2"/>
    <w:rsid w:val="004C6680"/>
    <w:rsid w:val="004C66C9"/>
    <w:rsid w:val="004C69EF"/>
    <w:rsid w:val="004C6B7E"/>
    <w:rsid w:val="004C6BC6"/>
    <w:rsid w:val="004C6D63"/>
    <w:rsid w:val="004C7498"/>
    <w:rsid w:val="004C76F6"/>
    <w:rsid w:val="004C7988"/>
    <w:rsid w:val="004C7AD3"/>
    <w:rsid w:val="004C7F5E"/>
    <w:rsid w:val="004D0294"/>
    <w:rsid w:val="004D0625"/>
    <w:rsid w:val="004D06A0"/>
    <w:rsid w:val="004D13D6"/>
    <w:rsid w:val="004D19BA"/>
    <w:rsid w:val="004D219A"/>
    <w:rsid w:val="004D21A4"/>
    <w:rsid w:val="004D2B99"/>
    <w:rsid w:val="004D2D9C"/>
    <w:rsid w:val="004D30C2"/>
    <w:rsid w:val="004D3B48"/>
    <w:rsid w:val="004D3CF0"/>
    <w:rsid w:val="004D3DD1"/>
    <w:rsid w:val="004D4419"/>
    <w:rsid w:val="004D45E2"/>
    <w:rsid w:val="004D4BA3"/>
    <w:rsid w:val="004D4CA4"/>
    <w:rsid w:val="004D52D5"/>
    <w:rsid w:val="004D5345"/>
    <w:rsid w:val="004D54E3"/>
    <w:rsid w:val="004D6697"/>
    <w:rsid w:val="004D6C2D"/>
    <w:rsid w:val="004D6E2C"/>
    <w:rsid w:val="004D7086"/>
    <w:rsid w:val="004D76EA"/>
    <w:rsid w:val="004D7730"/>
    <w:rsid w:val="004D7759"/>
    <w:rsid w:val="004D7763"/>
    <w:rsid w:val="004D7A0C"/>
    <w:rsid w:val="004D7FF7"/>
    <w:rsid w:val="004E011A"/>
    <w:rsid w:val="004E018C"/>
    <w:rsid w:val="004E09F6"/>
    <w:rsid w:val="004E0E1F"/>
    <w:rsid w:val="004E0E91"/>
    <w:rsid w:val="004E12AD"/>
    <w:rsid w:val="004E143B"/>
    <w:rsid w:val="004E1E95"/>
    <w:rsid w:val="004E22F1"/>
    <w:rsid w:val="004E2860"/>
    <w:rsid w:val="004E29F7"/>
    <w:rsid w:val="004E2AD4"/>
    <w:rsid w:val="004E2D7B"/>
    <w:rsid w:val="004E2DEA"/>
    <w:rsid w:val="004E3401"/>
    <w:rsid w:val="004E4520"/>
    <w:rsid w:val="004E48B5"/>
    <w:rsid w:val="004E48D6"/>
    <w:rsid w:val="004E5000"/>
    <w:rsid w:val="004E515A"/>
    <w:rsid w:val="004E51AC"/>
    <w:rsid w:val="004E5608"/>
    <w:rsid w:val="004E5FC4"/>
    <w:rsid w:val="004E6672"/>
    <w:rsid w:val="004E6C3A"/>
    <w:rsid w:val="004E6CF4"/>
    <w:rsid w:val="004E75A4"/>
    <w:rsid w:val="004F036E"/>
    <w:rsid w:val="004F0400"/>
    <w:rsid w:val="004F0849"/>
    <w:rsid w:val="004F0905"/>
    <w:rsid w:val="004F0B28"/>
    <w:rsid w:val="004F0D9D"/>
    <w:rsid w:val="004F2062"/>
    <w:rsid w:val="004F268E"/>
    <w:rsid w:val="004F288D"/>
    <w:rsid w:val="004F2B9C"/>
    <w:rsid w:val="004F31B4"/>
    <w:rsid w:val="004F31C3"/>
    <w:rsid w:val="004F342B"/>
    <w:rsid w:val="004F44EA"/>
    <w:rsid w:val="004F4649"/>
    <w:rsid w:val="004F4D3C"/>
    <w:rsid w:val="004F501B"/>
    <w:rsid w:val="004F54F9"/>
    <w:rsid w:val="004F5585"/>
    <w:rsid w:val="004F6027"/>
    <w:rsid w:val="004F6677"/>
    <w:rsid w:val="004F689C"/>
    <w:rsid w:val="004F6ABD"/>
    <w:rsid w:val="004F6C28"/>
    <w:rsid w:val="004F70A8"/>
    <w:rsid w:val="004F71F5"/>
    <w:rsid w:val="004F73CA"/>
    <w:rsid w:val="004F74EA"/>
    <w:rsid w:val="004F750E"/>
    <w:rsid w:val="004F787A"/>
    <w:rsid w:val="004F78D7"/>
    <w:rsid w:val="004F79E9"/>
    <w:rsid w:val="004F7DFE"/>
    <w:rsid w:val="004F7FDB"/>
    <w:rsid w:val="005003DB"/>
    <w:rsid w:val="005004C6"/>
    <w:rsid w:val="00500722"/>
    <w:rsid w:val="0050146F"/>
    <w:rsid w:val="0050176E"/>
    <w:rsid w:val="00501B90"/>
    <w:rsid w:val="00501BA4"/>
    <w:rsid w:val="005020FC"/>
    <w:rsid w:val="00502783"/>
    <w:rsid w:val="00502802"/>
    <w:rsid w:val="005029AB"/>
    <w:rsid w:val="00502B24"/>
    <w:rsid w:val="00503000"/>
    <w:rsid w:val="005030C8"/>
    <w:rsid w:val="005039BC"/>
    <w:rsid w:val="00503D29"/>
    <w:rsid w:val="00503DA1"/>
    <w:rsid w:val="005041C0"/>
    <w:rsid w:val="00504300"/>
    <w:rsid w:val="0050486D"/>
    <w:rsid w:val="00504A6E"/>
    <w:rsid w:val="00504ADC"/>
    <w:rsid w:val="0050501E"/>
    <w:rsid w:val="00505501"/>
    <w:rsid w:val="005056B3"/>
    <w:rsid w:val="00505A34"/>
    <w:rsid w:val="00505BDF"/>
    <w:rsid w:val="0050623C"/>
    <w:rsid w:val="0050669A"/>
    <w:rsid w:val="005066BB"/>
    <w:rsid w:val="0050674A"/>
    <w:rsid w:val="00506BC4"/>
    <w:rsid w:val="00510103"/>
    <w:rsid w:val="00510200"/>
    <w:rsid w:val="00510385"/>
    <w:rsid w:val="0051080A"/>
    <w:rsid w:val="00510A7A"/>
    <w:rsid w:val="00510C78"/>
    <w:rsid w:val="00510F8B"/>
    <w:rsid w:val="00511093"/>
    <w:rsid w:val="00511401"/>
    <w:rsid w:val="00511971"/>
    <w:rsid w:val="00511B57"/>
    <w:rsid w:val="00511D8A"/>
    <w:rsid w:val="00512214"/>
    <w:rsid w:val="005126F2"/>
    <w:rsid w:val="00512993"/>
    <w:rsid w:val="00512A6F"/>
    <w:rsid w:val="00512E1C"/>
    <w:rsid w:val="00512E21"/>
    <w:rsid w:val="00512F4A"/>
    <w:rsid w:val="0051304F"/>
    <w:rsid w:val="005133B6"/>
    <w:rsid w:val="00513465"/>
    <w:rsid w:val="00513532"/>
    <w:rsid w:val="005136DB"/>
    <w:rsid w:val="0051383D"/>
    <w:rsid w:val="00514084"/>
    <w:rsid w:val="00514114"/>
    <w:rsid w:val="00514356"/>
    <w:rsid w:val="00514468"/>
    <w:rsid w:val="0051450D"/>
    <w:rsid w:val="00514657"/>
    <w:rsid w:val="005149C0"/>
    <w:rsid w:val="00515594"/>
    <w:rsid w:val="00515749"/>
    <w:rsid w:val="005157A6"/>
    <w:rsid w:val="00515E78"/>
    <w:rsid w:val="00515EA9"/>
    <w:rsid w:val="0051600F"/>
    <w:rsid w:val="005160DC"/>
    <w:rsid w:val="00516B9C"/>
    <w:rsid w:val="00516FC7"/>
    <w:rsid w:val="005171DC"/>
    <w:rsid w:val="00517636"/>
    <w:rsid w:val="00517A4B"/>
    <w:rsid w:val="0052013D"/>
    <w:rsid w:val="00520468"/>
    <w:rsid w:val="00520A38"/>
    <w:rsid w:val="00520F3B"/>
    <w:rsid w:val="00521206"/>
    <w:rsid w:val="005212EC"/>
    <w:rsid w:val="0052143A"/>
    <w:rsid w:val="00521907"/>
    <w:rsid w:val="00521F74"/>
    <w:rsid w:val="005220A2"/>
    <w:rsid w:val="00522847"/>
    <w:rsid w:val="0052295F"/>
    <w:rsid w:val="00522971"/>
    <w:rsid w:val="00522E08"/>
    <w:rsid w:val="00522ED7"/>
    <w:rsid w:val="005231C6"/>
    <w:rsid w:val="00523432"/>
    <w:rsid w:val="00524AE8"/>
    <w:rsid w:val="005256FA"/>
    <w:rsid w:val="005258BA"/>
    <w:rsid w:val="00525AF7"/>
    <w:rsid w:val="0052623E"/>
    <w:rsid w:val="005266A5"/>
    <w:rsid w:val="00526C7D"/>
    <w:rsid w:val="00526D58"/>
    <w:rsid w:val="00527341"/>
    <w:rsid w:val="005303A0"/>
    <w:rsid w:val="005309F1"/>
    <w:rsid w:val="00530C1E"/>
    <w:rsid w:val="00530C57"/>
    <w:rsid w:val="00530D70"/>
    <w:rsid w:val="005312E3"/>
    <w:rsid w:val="00531324"/>
    <w:rsid w:val="00531489"/>
    <w:rsid w:val="0053152F"/>
    <w:rsid w:val="005316CB"/>
    <w:rsid w:val="00531CD0"/>
    <w:rsid w:val="00531D34"/>
    <w:rsid w:val="00531E61"/>
    <w:rsid w:val="00532316"/>
    <w:rsid w:val="005326E6"/>
    <w:rsid w:val="00532B9D"/>
    <w:rsid w:val="00532C92"/>
    <w:rsid w:val="00532FE2"/>
    <w:rsid w:val="00533058"/>
    <w:rsid w:val="0053325B"/>
    <w:rsid w:val="00533436"/>
    <w:rsid w:val="005337F4"/>
    <w:rsid w:val="005339AB"/>
    <w:rsid w:val="00533A1C"/>
    <w:rsid w:val="00533CE6"/>
    <w:rsid w:val="00533CF2"/>
    <w:rsid w:val="00534910"/>
    <w:rsid w:val="00534B68"/>
    <w:rsid w:val="00534B98"/>
    <w:rsid w:val="00535077"/>
    <w:rsid w:val="00535083"/>
    <w:rsid w:val="005350CA"/>
    <w:rsid w:val="0053531D"/>
    <w:rsid w:val="005353CC"/>
    <w:rsid w:val="005359AE"/>
    <w:rsid w:val="00535B9E"/>
    <w:rsid w:val="00535D4B"/>
    <w:rsid w:val="00536410"/>
    <w:rsid w:val="00536545"/>
    <w:rsid w:val="00536AC7"/>
    <w:rsid w:val="00537132"/>
    <w:rsid w:val="0053773E"/>
    <w:rsid w:val="00537A54"/>
    <w:rsid w:val="00537AF4"/>
    <w:rsid w:val="00537DEF"/>
    <w:rsid w:val="00537F96"/>
    <w:rsid w:val="005403A7"/>
    <w:rsid w:val="005403D5"/>
    <w:rsid w:val="00540720"/>
    <w:rsid w:val="005407A6"/>
    <w:rsid w:val="0054092A"/>
    <w:rsid w:val="00540ED5"/>
    <w:rsid w:val="00541245"/>
    <w:rsid w:val="00541514"/>
    <w:rsid w:val="00541D96"/>
    <w:rsid w:val="00542065"/>
    <w:rsid w:val="00542A0B"/>
    <w:rsid w:val="00542A31"/>
    <w:rsid w:val="00543294"/>
    <w:rsid w:val="00543393"/>
    <w:rsid w:val="00543799"/>
    <w:rsid w:val="005437B5"/>
    <w:rsid w:val="00543CF7"/>
    <w:rsid w:val="00544879"/>
    <w:rsid w:val="005449BC"/>
    <w:rsid w:val="00544AA7"/>
    <w:rsid w:val="00544EC6"/>
    <w:rsid w:val="00545362"/>
    <w:rsid w:val="00545A48"/>
    <w:rsid w:val="005462C7"/>
    <w:rsid w:val="0054653A"/>
    <w:rsid w:val="005466AF"/>
    <w:rsid w:val="0054679F"/>
    <w:rsid w:val="0054713B"/>
    <w:rsid w:val="00547623"/>
    <w:rsid w:val="005477B2"/>
    <w:rsid w:val="005478F1"/>
    <w:rsid w:val="00547BE1"/>
    <w:rsid w:val="005500C1"/>
    <w:rsid w:val="0055063C"/>
    <w:rsid w:val="005506C0"/>
    <w:rsid w:val="00550E3F"/>
    <w:rsid w:val="00550F8B"/>
    <w:rsid w:val="00550F8F"/>
    <w:rsid w:val="005513C2"/>
    <w:rsid w:val="00551506"/>
    <w:rsid w:val="00551A3C"/>
    <w:rsid w:val="00552898"/>
    <w:rsid w:val="00552A08"/>
    <w:rsid w:val="00552BD9"/>
    <w:rsid w:val="00552DAF"/>
    <w:rsid w:val="00552DCC"/>
    <w:rsid w:val="00553557"/>
    <w:rsid w:val="00553819"/>
    <w:rsid w:val="0055406B"/>
    <w:rsid w:val="00554131"/>
    <w:rsid w:val="005541AE"/>
    <w:rsid w:val="0055491A"/>
    <w:rsid w:val="00554BCB"/>
    <w:rsid w:val="00554CC3"/>
    <w:rsid w:val="00554D3B"/>
    <w:rsid w:val="00554D97"/>
    <w:rsid w:val="00554FF4"/>
    <w:rsid w:val="005552DD"/>
    <w:rsid w:val="0055543E"/>
    <w:rsid w:val="00555570"/>
    <w:rsid w:val="00557097"/>
    <w:rsid w:val="00557181"/>
    <w:rsid w:val="00557530"/>
    <w:rsid w:val="00557651"/>
    <w:rsid w:val="00557784"/>
    <w:rsid w:val="00557B1A"/>
    <w:rsid w:val="0056045B"/>
    <w:rsid w:val="005609D4"/>
    <w:rsid w:val="00560FBB"/>
    <w:rsid w:val="00561521"/>
    <w:rsid w:val="00561974"/>
    <w:rsid w:val="005619F0"/>
    <w:rsid w:val="00561FB1"/>
    <w:rsid w:val="0056269B"/>
    <w:rsid w:val="00562856"/>
    <w:rsid w:val="005634C5"/>
    <w:rsid w:val="005639E2"/>
    <w:rsid w:val="00563DB0"/>
    <w:rsid w:val="00564248"/>
    <w:rsid w:val="00564430"/>
    <w:rsid w:val="0056455F"/>
    <w:rsid w:val="00564611"/>
    <w:rsid w:val="00564A4E"/>
    <w:rsid w:val="00564F35"/>
    <w:rsid w:val="0056570A"/>
    <w:rsid w:val="005657B5"/>
    <w:rsid w:val="005657DD"/>
    <w:rsid w:val="00565876"/>
    <w:rsid w:val="00565A7B"/>
    <w:rsid w:val="00565E8F"/>
    <w:rsid w:val="005661AF"/>
    <w:rsid w:val="00566535"/>
    <w:rsid w:val="00566B63"/>
    <w:rsid w:val="00566BA6"/>
    <w:rsid w:val="00566F84"/>
    <w:rsid w:val="0056768D"/>
    <w:rsid w:val="005677DC"/>
    <w:rsid w:val="00567D51"/>
    <w:rsid w:val="005707B3"/>
    <w:rsid w:val="00570C61"/>
    <w:rsid w:val="0057121D"/>
    <w:rsid w:val="00571253"/>
    <w:rsid w:val="005714D1"/>
    <w:rsid w:val="00571D33"/>
    <w:rsid w:val="00572B57"/>
    <w:rsid w:val="00572E73"/>
    <w:rsid w:val="0057330E"/>
    <w:rsid w:val="005737A5"/>
    <w:rsid w:val="00573E5E"/>
    <w:rsid w:val="005740F6"/>
    <w:rsid w:val="005748A4"/>
    <w:rsid w:val="00574CEC"/>
    <w:rsid w:val="00574D4B"/>
    <w:rsid w:val="00574FEA"/>
    <w:rsid w:val="00575413"/>
    <w:rsid w:val="005755C8"/>
    <w:rsid w:val="00575603"/>
    <w:rsid w:val="0057576E"/>
    <w:rsid w:val="005758E1"/>
    <w:rsid w:val="005759E9"/>
    <w:rsid w:val="00575B56"/>
    <w:rsid w:val="00576202"/>
    <w:rsid w:val="00576420"/>
    <w:rsid w:val="005764D5"/>
    <w:rsid w:val="00576A1B"/>
    <w:rsid w:val="00576A3B"/>
    <w:rsid w:val="00576EAA"/>
    <w:rsid w:val="0057700F"/>
    <w:rsid w:val="00577099"/>
    <w:rsid w:val="0057729F"/>
    <w:rsid w:val="005773A9"/>
    <w:rsid w:val="00577910"/>
    <w:rsid w:val="00577D37"/>
    <w:rsid w:val="00580173"/>
    <w:rsid w:val="00581086"/>
    <w:rsid w:val="00581360"/>
    <w:rsid w:val="00581615"/>
    <w:rsid w:val="00581F81"/>
    <w:rsid w:val="005823D0"/>
    <w:rsid w:val="00582501"/>
    <w:rsid w:val="00582BB8"/>
    <w:rsid w:val="00582C0A"/>
    <w:rsid w:val="00582CB5"/>
    <w:rsid w:val="00582EB9"/>
    <w:rsid w:val="00583393"/>
    <w:rsid w:val="005837D3"/>
    <w:rsid w:val="00584221"/>
    <w:rsid w:val="00584484"/>
    <w:rsid w:val="005849C1"/>
    <w:rsid w:val="00584C5E"/>
    <w:rsid w:val="005852DF"/>
    <w:rsid w:val="005852E0"/>
    <w:rsid w:val="00585475"/>
    <w:rsid w:val="0058548A"/>
    <w:rsid w:val="005854D4"/>
    <w:rsid w:val="00585577"/>
    <w:rsid w:val="005855A6"/>
    <w:rsid w:val="00585BB0"/>
    <w:rsid w:val="005860D3"/>
    <w:rsid w:val="005867A8"/>
    <w:rsid w:val="0058687B"/>
    <w:rsid w:val="00586922"/>
    <w:rsid w:val="00586955"/>
    <w:rsid w:val="00586A7E"/>
    <w:rsid w:val="00586BCA"/>
    <w:rsid w:val="00586E2C"/>
    <w:rsid w:val="005871EB"/>
    <w:rsid w:val="005875AF"/>
    <w:rsid w:val="00587664"/>
    <w:rsid w:val="00587D69"/>
    <w:rsid w:val="00587E19"/>
    <w:rsid w:val="00587E3E"/>
    <w:rsid w:val="00590424"/>
    <w:rsid w:val="0059066B"/>
    <w:rsid w:val="00590692"/>
    <w:rsid w:val="00590785"/>
    <w:rsid w:val="00590C8B"/>
    <w:rsid w:val="00590CB9"/>
    <w:rsid w:val="00590FF8"/>
    <w:rsid w:val="00591D5E"/>
    <w:rsid w:val="00592002"/>
    <w:rsid w:val="00592022"/>
    <w:rsid w:val="00592635"/>
    <w:rsid w:val="00592ED3"/>
    <w:rsid w:val="00593599"/>
    <w:rsid w:val="005937AE"/>
    <w:rsid w:val="00593803"/>
    <w:rsid w:val="00593E46"/>
    <w:rsid w:val="00593E68"/>
    <w:rsid w:val="00595025"/>
    <w:rsid w:val="00595108"/>
    <w:rsid w:val="00595226"/>
    <w:rsid w:val="005953FB"/>
    <w:rsid w:val="0059559F"/>
    <w:rsid w:val="00595C1B"/>
    <w:rsid w:val="00595E53"/>
    <w:rsid w:val="00596075"/>
    <w:rsid w:val="00596362"/>
    <w:rsid w:val="005966EF"/>
    <w:rsid w:val="00596F69"/>
    <w:rsid w:val="00597028"/>
    <w:rsid w:val="00597136"/>
    <w:rsid w:val="00597312"/>
    <w:rsid w:val="005976AD"/>
    <w:rsid w:val="00597E3B"/>
    <w:rsid w:val="005A0984"/>
    <w:rsid w:val="005A0BD1"/>
    <w:rsid w:val="005A0ED4"/>
    <w:rsid w:val="005A1838"/>
    <w:rsid w:val="005A1BC9"/>
    <w:rsid w:val="005A1DA9"/>
    <w:rsid w:val="005A1F7F"/>
    <w:rsid w:val="005A20ED"/>
    <w:rsid w:val="005A286D"/>
    <w:rsid w:val="005A29A5"/>
    <w:rsid w:val="005A2D86"/>
    <w:rsid w:val="005A2E1B"/>
    <w:rsid w:val="005A3146"/>
    <w:rsid w:val="005A34F5"/>
    <w:rsid w:val="005A35ED"/>
    <w:rsid w:val="005A3718"/>
    <w:rsid w:val="005A37FC"/>
    <w:rsid w:val="005A3E04"/>
    <w:rsid w:val="005A44ED"/>
    <w:rsid w:val="005A47F6"/>
    <w:rsid w:val="005A4F75"/>
    <w:rsid w:val="005A502F"/>
    <w:rsid w:val="005A52BA"/>
    <w:rsid w:val="005A54BB"/>
    <w:rsid w:val="005A58CB"/>
    <w:rsid w:val="005A5C44"/>
    <w:rsid w:val="005A6313"/>
    <w:rsid w:val="005A632A"/>
    <w:rsid w:val="005A6463"/>
    <w:rsid w:val="005A67EA"/>
    <w:rsid w:val="005A7049"/>
    <w:rsid w:val="005A709D"/>
    <w:rsid w:val="005A73CE"/>
    <w:rsid w:val="005A7D33"/>
    <w:rsid w:val="005B063B"/>
    <w:rsid w:val="005B063D"/>
    <w:rsid w:val="005B0BFB"/>
    <w:rsid w:val="005B0C93"/>
    <w:rsid w:val="005B18BE"/>
    <w:rsid w:val="005B1B4C"/>
    <w:rsid w:val="005B1C92"/>
    <w:rsid w:val="005B21DD"/>
    <w:rsid w:val="005B2608"/>
    <w:rsid w:val="005B3250"/>
    <w:rsid w:val="005B3621"/>
    <w:rsid w:val="005B36C2"/>
    <w:rsid w:val="005B3B7C"/>
    <w:rsid w:val="005B3C8E"/>
    <w:rsid w:val="005B3D93"/>
    <w:rsid w:val="005B3F3F"/>
    <w:rsid w:val="005B407A"/>
    <w:rsid w:val="005B4161"/>
    <w:rsid w:val="005B454A"/>
    <w:rsid w:val="005B48CE"/>
    <w:rsid w:val="005B506F"/>
    <w:rsid w:val="005B58E2"/>
    <w:rsid w:val="005B5CA7"/>
    <w:rsid w:val="005B64F2"/>
    <w:rsid w:val="005B6E07"/>
    <w:rsid w:val="005B7108"/>
    <w:rsid w:val="005B7617"/>
    <w:rsid w:val="005B7B14"/>
    <w:rsid w:val="005C084E"/>
    <w:rsid w:val="005C0FCF"/>
    <w:rsid w:val="005C14FB"/>
    <w:rsid w:val="005C1665"/>
    <w:rsid w:val="005C1680"/>
    <w:rsid w:val="005C2521"/>
    <w:rsid w:val="005C25CC"/>
    <w:rsid w:val="005C26D8"/>
    <w:rsid w:val="005C2706"/>
    <w:rsid w:val="005C272B"/>
    <w:rsid w:val="005C2D70"/>
    <w:rsid w:val="005C2E20"/>
    <w:rsid w:val="005C2FE6"/>
    <w:rsid w:val="005C2FF3"/>
    <w:rsid w:val="005C39E7"/>
    <w:rsid w:val="005C4566"/>
    <w:rsid w:val="005C48C8"/>
    <w:rsid w:val="005C4932"/>
    <w:rsid w:val="005C49C7"/>
    <w:rsid w:val="005C5419"/>
    <w:rsid w:val="005C5429"/>
    <w:rsid w:val="005C69C2"/>
    <w:rsid w:val="005C6DA3"/>
    <w:rsid w:val="005C6EEC"/>
    <w:rsid w:val="005C6F70"/>
    <w:rsid w:val="005C7366"/>
    <w:rsid w:val="005C7374"/>
    <w:rsid w:val="005C77AC"/>
    <w:rsid w:val="005C7979"/>
    <w:rsid w:val="005D02FC"/>
    <w:rsid w:val="005D09C8"/>
    <w:rsid w:val="005D0A0E"/>
    <w:rsid w:val="005D0A49"/>
    <w:rsid w:val="005D0ACB"/>
    <w:rsid w:val="005D0E35"/>
    <w:rsid w:val="005D16D8"/>
    <w:rsid w:val="005D1760"/>
    <w:rsid w:val="005D19AF"/>
    <w:rsid w:val="005D224E"/>
    <w:rsid w:val="005D245E"/>
    <w:rsid w:val="005D2CCD"/>
    <w:rsid w:val="005D2CFC"/>
    <w:rsid w:val="005D2ED8"/>
    <w:rsid w:val="005D31B7"/>
    <w:rsid w:val="005D3FE8"/>
    <w:rsid w:val="005D43BC"/>
    <w:rsid w:val="005D44BA"/>
    <w:rsid w:val="005D4E7D"/>
    <w:rsid w:val="005D5095"/>
    <w:rsid w:val="005D5294"/>
    <w:rsid w:val="005D52E7"/>
    <w:rsid w:val="005D5D23"/>
    <w:rsid w:val="005D5D9B"/>
    <w:rsid w:val="005D615D"/>
    <w:rsid w:val="005D649A"/>
    <w:rsid w:val="005D65BE"/>
    <w:rsid w:val="005D6835"/>
    <w:rsid w:val="005D690F"/>
    <w:rsid w:val="005D6D07"/>
    <w:rsid w:val="005D711C"/>
    <w:rsid w:val="005D7404"/>
    <w:rsid w:val="005D74F1"/>
    <w:rsid w:val="005D78FC"/>
    <w:rsid w:val="005E00E7"/>
    <w:rsid w:val="005E0277"/>
    <w:rsid w:val="005E0EA1"/>
    <w:rsid w:val="005E11F0"/>
    <w:rsid w:val="005E15A1"/>
    <w:rsid w:val="005E16AD"/>
    <w:rsid w:val="005E1793"/>
    <w:rsid w:val="005E1B1D"/>
    <w:rsid w:val="005E2696"/>
    <w:rsid w:val="005E2699"/>
    <w:rsid w:val="005E2886"/>
    <w:rsid w:val="005E2AE2"/>
    <w:rsid w:val="005E2AF8"/>
    <w:rsid w:val="005E2BB8"/>
    <w:rsid w:val="005E2DEB"/>
    <w:rsid w:val="005E2F1E"/>
    <w:rsid w:val="005E2F2D"/>
    <w:rsid w:val="005E38FF"/>
    <w:rsid w:val="005E3951"/>
    <w:rsid w:val="005E3F04"/>
    <w:rsid w:val="005E45FC"/>
    <w:rsid w:val="005E49DF"/>
    <w:rsid w:val="005E4A6B"/>
    <w:rsid w:val="005E4AC8"/>
    <w:rsid w:val="005E4B4F"/>
    <w:rsid w:val="005E4D8F"/>
    <w:rsid w:val="005E5146"/>
    <w:rsid w:val="005E530F"/>
    <w:rsid w:val="005E53D4"/>
    <w:rsid w:val="005E5553"/>
    <w:rsid w:val="005E56CF"/>
    <w:rsid w:val="005E609D"/>
    <w:rsid w:val="005E60DF"/>
    <w:rsid w:val="005E6461"/>
    <w:rsid w:val="005E665D"/>
    <w:rsid w:val="005E671F"/>
    <w:rsid w:val="005E7712"/>
    <w:rsid w:val="005E79A2"/>
    <w:rsid w:val="005E79F5"/>
    <w:rsid w:val="005E7C94"/>
    <w:rsid w:val="005F0F1B"/>
    <w:rsid w:val="005F11B2"/>
    <w:rsid w:val="005F1518"/>
    <w:rsid w:val="005F16B6"/>
    <w:rsid w:val="005F17B4"/>
    <w:rsid w:val="005F1893"/>
    <w:rsid w:val="005F1A95"/>
    <w:rsid w:val="005F1EE8"/>
    <w:rsid w:val="005F1FA9"/>
    <w:rsid w:val="005F2266"/>
    <w:rsid w:val="005F2705"/>
    <w:rsid w:val="005F2F9F"/>
    <w:rsid w:val="005F2FD9"/>
    <w:rsid w:val="005F39FD"/>
    <w:rsid w:val="005F39FE"/>
    <w:rsid w:val="005F3B7D"/>
    <w:rsid w:val="005F3D91"/>
    <w:rsid w:val="005F3EBD"/>
    <w:rsid w:val="005F421B"/>
    <w:rsid w:val="005F4BE6"/>
    <w:rsid w:val="005F4C43"/>
    <w:rsid w:val="005F4C7D"/>
    <w:rsid w:val="005F527E"/>
    <w:rsid w:val="005F52C3"/>
    <w:rsid w:val="005F595A"/>
    <w:rsid w:val="005F59AC"/>
    <w:rsid w:val="005F6022"/>
    <w:rsid w:val="005F6C7B"/>
    <w:rsid w:val="005F71E4"/>
    <w:rsid w:val="005F733D"/>
    <w:rsid w:val="005F7808"/>
    <w:rsid w:val="005F7B65"/>
    <w:rsid w:val="005F7BF4"/>
    <w:rsid w:val="005F7E3F"/>
    <w:rsid w:val="00600703"/>
    <w:rsid w:val="00600AEC"/>
    <w:rsid w:val="00600BBE"/>
    <w:rsid w:val="0060131F"/>
    <w:rsid w:val="0060160D"/>
    <w:rsid w:val="00601858"/>
    <w:rsid w:val="00601909"/>
    <w:rsid w:val="006019A6"/>
    <w:rsid w:val="00601A3B"/>
    <w:rsid w:val="00601C01"/>
    <w:rsid w:val="00601C23"/>
    <w:rsid w:val="00601C24"/>
    <w:rsid w:val="006028B0"/>
    <w:rsid w:val="00602D0A"/>
    <w:rsid w:val="00603051"/>
    <w:rsid w:val="0060307A"/>
    <w:rsid w:val="006033F3"/>
    <w:rsid w:val="00603A5A"/>
    <w:rsid w:val="0060445A"/>
    <w:rsid w:val="006047A4"/>
    <w:rsid w:val="00604872"/>
    <w:rsid w:val="00604C83"/>
    <w:rsid w:val="006054E8"/>
    <w:rsid w:val="00605856"/>
    <w:rsid w:val="00605BCA"/>
    <w:rsid w:val="00605C9E"/>
    <w:rsid w:val="0060678D"/>
    <w:rsid w:val="006069F3"/>
    <w:rsid w:val="00606BE9"/>
    <w:rsid w:val="00606C30"/>
    <w:rsid w:val="00606D1D"/>
    <w:rsid w:val="00606FCC"/>
    <w:rsid w:val="006072D8"/>
    <w:rsid w:val="0060734F"/>
    <w:rsid w:val="00607378"/>
    <w:rsid w:val="006076FD"/>
    <w:rsid w:val="0060791E"/>
    <w:rsid w:val="00607B76"/>
    <w:rsid w:val="00610319"/>
    <w:rsid w:val="0061042C"/>
    <w:rsid w:val="00610545"/>
    <w:rsid w:val="00610737"/>
    <w:rsid w:val="00610D3B"/>
    <w:rsid w:val="006113DF"/>
    <w:rsid w:val="00611461"/>
    <w:rsid w:val="0061169C"/>
    <w:rsid w:val="00611719"/>
    <w:rsid w:val="006117DC"/>
    <w:rsid w:val="00611FD8"/>
    <w:rsid w:val="006125F3"/>
    <w:rsid w:val="00612743"/>
    <w:rsid w:val="00612C72"/>
    <w:rsid w:val="00613B68"/>
    <w:rsid w:val="00614AB3"/>
    <w:rsid w:val="00615981"/>
    <w:rsid w:val="006159AA"/>
    <w:rsid w:val="00616848"/>
    <w:rsid w:val="00616965"/>
    <w:rsid w:val="006169A6"/>
    <w:rsid w:val="00616C96"/>
    <w:rsid w:val="00616F19"/>
    <w:rsid w:val="00617179"/>
    <w:rsid w:val="006173AF"/>
    <w:rsid w:val="006174A2"/>
    <w:rsid w:val="00617868"/>
    <w:rsid w:val="006203A1"/>
    <w:rsid w:val="00620822"/>
    <w:rsid w:val="00620CFD"/>
    <w:rsid w:val="00620FE5"/>
    <w:rsid w:val="006210DB"/>
    <w:rsid w:val="006213BA"/>
    <w:rsid w:val="006213EC"/>
    <w:rsid w:val="00621575"/>
    <w:rsid w:val="00621AAC"/>
    <w:rsid w:val="00621ED0"/>
    <w:rsid w:val="00622261"/>
    <w:rsid w:val="00622424"/>
    <w:rsid w:val="006224AD"/>
    <w:rsid w:val="006225D6"/>
    <w:rsid w:val="0062261E"/>
    <w:rsid w:val="00622CDC"/>
    <w:rsid w:val="00622D0C"/>
    <w:rsid w:val="00623157"/>
    <w:rsid w:val="006233DF"/>
    <w:rsid w:val="006233EA"/>
    <w:rsid w:val="00623C1A"/>
    <w:rsid w:val="00623C61"/>
    <w:rsid w:val="00624035"/>
    <w:rsid w:val="00624E36"/>
    <w:rsid w:val="00624E53"/>
    <w:rsid w:val="00625450"/>
    <w:rsid w:val="00625B38"/>
    <w:rsid w:val="00626836"/>
    <w:rsid w:val="00626A88"/>
    <w:rsid w:val="00626B44"/>
    <w:rsid w:val="00626B83"/>
    <w:rsid w:val="00626DF5"/>
    <w:rsid w:val="00626E28"/>
    <w:rsid w:val="00626F9A"/>
    <w:rsid w:val="006273EE"/>
    <w:rsid w:val="006279C6"/>
    <w:rsid w:val="00630039"/>
    <w:rsid w:val="006303D3"/>
    <w:rsid w:val="00630BF8"/>
    <w:rsid w:val="00630F38"/>
    <w:rsid w:val="00631520"/>
    <w:rsid w:val="00631D60"/>
    <w:rsid w:val="00632608"/>
    <w:rsid w:val="006327EA"/>
    <w:rsid w:val="00632AEE"/>
    <w:rsid w:val="0063301A"/>
    <w:rsid w:val="006332B1"/>
    <w:rsid w:val="0063361C"/>
    <w:rsid w:val="006337B6"/>
    <w:rsid w:val="00633C69"/>
    <w:rsid w:val="00633E5E"/>
    <w:rsid w:val="006343FC"/>
    <w:rsid w:val="00634B03"/>
    <w:rsid w:val="00634EA7"/>
    <w:rsid w:val="006350A7"/>
    <w:rsid w:val="00635425"/>
    <w:rsid w:val="00635431"/>
    <w:rsid w:val="006359A1"/>
    <w:rsid w:val="006359AC"/>
    <w:rsid w:val="00635CB0"/>
    <w:rsid w:val="00636155"/>
    <w:rsid w:val="006363CA"/>
    <w:rsid w:val="006364AB"/>
    <w:rsid w:val="00636E36"/>
    <w:rsid w:val="00637262"/>
    <w:rsid w:val="0063740F"/>
    <w:rsid w:val="00637AEB"/>
    <w:rsid w:val="00637F4B"/>
    <w:rsid w:val="006407E7"/>
    <w:rsid w:val="00640864"/>
    <w:rsid w:val="006408EA"/>
    <w:rsid w:val="00640BDC"/>
    <w:rsid w:val="00641605"/>
    <w:rsid w:val="006419F3"/>
    <w:rsid w:val="00641A1B"/>
    <w:rsid w:val="00641EB7"/>
    <w:rsid w:val="00641F2B"/>
    <w:rsid w:val="00642296"/>
    <w:rsid w:val="006423CD"/>
    <w:rsid w:val="0064273C"/>
    <w:rsid w:val="006428A3"/>
    <w:rsid w:val="00642E91"/>
    <w:rsid w:val="006437D2"/>
    <w:rsid w:val="00644990"/>
    <w:rsid w:val="00644D50"/>
    <w:rsid w:val="00644F18"/>
    <w:rsid w:val="00644F34"/>
    <w:rsid w:val="0064509A"/>
    <w:rsid w:val="006452DE"/>
    <w:rsid w:val="006453AB"/>
    <w:rsid w:val="006459F8"/>
    <w:rsid w:val="00645FA3"/>
    <w:rsid w:val="0064664A"/>
    <w:rsid w:val="006468B6"/>
    <w:rsid w:val="006468CF"/>
    <w:rsid w:val="00646B13"/>
    <w:rsid w:val="00646BB8"/>
    <w:rsid w:val="00646BD1"/>
    <w:rsid w:val="006470D1"/>
    <w:rsid w:val="00647300"/>
    <w:rsid w:val="00647570"/>
    <w:rsid w:val="00647782"/>
    <w:rsid w:val="00647950"/>
    <w:rsid w:val="00647BA0"/>
    <w:rsid w:val="00647E47"/>
    <w:rsid w:val="00650325"/>
    <w:rsid w:val="006507AD"/>
    <w:rsid w:val="00650B4E"/>
    <w:rsid w:val="006511C1"/>
    <w:rsid w:val="0065124C"/>
    <w:rsid w:val="00651748"/>
    <w:rsid w:val="0065192F"/>
    <w:rsid w:val="0065197A"/>
    <w:rsid w:val="00651AAB"/>
    <w:rsid w:val="00651F80"/>
    <w:rsid w:val="006520B6"/>
    <w:rsid w:val="00652500"/>
    <w:rsid w:val="00652D6F"/>
    <w:rsid w:val="00652F96"/>
    <w:rsid w:val="00653690"/>
    <w:rsid w:val="0065373A"/>
    <w:rsid w:val="0065375D"/>
    <w:rsid w:val="00653841"/>
    <w:rsid w:val="006540A6"/>
    <w:rsid w:val="0065423E"/>
    <w:rsid w:val="006544A5"/>
    <w:rsid w:val="006544A7"/>
    <w:rsid w:val="00654574"/>
    <w:rsid w:val="006547DF"/>
    <w:rsid w:val="00654A7C"/>
    <w:rsid w:val="00654ED3"/>
    <w:rsid w:val="00655090"/>
    <w:rsid w:val="006554E5"/>
    <w:rsid w:val="00655B7E"/>
    <w:rsid w:val="006561F6"/>
    <w:rsid w:val="006563C6"/>
    <w:rsid w:val="006569BC"/>
    <w:rsid w:val="00656E03"/>
    <w:rsid w:val="00656F14"/>
    <w:rsid w:val="006572F4"/>
    <w:rsid w:val="0065793D"/>
    <w:rsid w:val="006579D1"/>
    <w:rsid w:val="006600A9"/>
    <w:rsid w:val="00660209"/>
    <w:rsid w:val="0066080C"/>
    <w:rsid w:val="00660BDC"/>
    <w:rsid w:val="00660C7F"/>
    <w:rsid w:val="00660F7B"/>
    <w:rsid w:val="006612E3"/>
    <w:rsid w:val="006615F3"/>
    <w:rsid w:val="006619D7"/>
    <w:rsid w:val="00661D7F"/>
    <w:rsid w:val="00661E4E"/>
    <w:rsid w:val="00661E5C"/>
    <w:rsid w:val="00662030"/>
    <w:rsid w:val="00662066"/>
    <w:rsid w:val="006620A0"/>
    <w:rsid w:val="006621D8"/>
    <w:rsid w:val="0066245D"/>
    <w:rsid w:val="00662CC2"/>
    <w:rsid w:val="00662E15"/>
    <w:rsid w:val="00662F6C"/>
    <w:rsid w:val="00663038"/>
    <w:rsid w:val="006635B9"/>
    <w:rsid w:val="0066370F"/>
    <w:rsid w:val="00663924"/>
    <w:rsid w:val="00663DEC"/>
    <w:rsid w:val="00664534"/>
    <w:rsid w:val="006648FA"/>
    <w:rsid w:val="00664985"/>
    <w:rsid w:val="00664E57"/>
    <w:rsid w:val="0066501E"/>
    <w:rsid w:val="006650A1"/>
    <w:rsid w:val="00665443"/>
    <w:rsid w:val="00665569"/>
    <w:rsid w:val="0066580E"/>
    <w:rsid w:val="006658CA"/>
    <w:rsid w:val="006658E9"/>
    <w:rsid w:val="00665CBA"/>
    <w:rsid w:val="006662B9"/>
    <w:rsid w:val="00666418"/>
    <w:rsid w:val="0066666E"/>
    <w:rsid w:val="006672F8"/>
    <w:rsid w:val="00667399"/>
    <w:rsid w:val="006673E9"/>
    <w:rsid w:val="00667ACE"/>
    <w:rsid w:val="00667C8A"/>
    <w:rsid w:val="006705C3"/>
    <w:rsid w:val="00670753"/>
    <w:rsid w:val="00670E38"/>
    <w:rsid w:val="006719C1"/>
    <w:rsid w:val="00671B24"/>
    <w:rsid w:val="00671C3D"/>
    <w:rsid w:val="00671DF1"/>
    <w:rsid w:val="0067229B"/>
    <w:rsid w:val="00672362"/>
    <w:rsid w:val="006726F5"/>
    <w:rsid w:val="0067272B"/>
    <w:rsid w:val="00672C42"/>
    <w:rsid w:val="00673298"/>
    <w:rsid w:val="006741BD"/>
    <w:rsid w:val="00674CA7"/>
    <w:rsid w:val="00674F23"/>
    <w:rsid w:val="006756B8"/>
    <w:rsid w:val="00675DF9"/>
    <w:rsid w:val="00676086"/>
    <w:rsid w:val="006760BE"/>
    <w:rsid w:val="0067625A"/>
    <w:rsid w:val="006768AB"/>
    <w:rsid w:val="00676B81"/>
    <w:rsid w:val="00676C38"/>
    <w:rsid w:val="00676D9E"/>
    <w:rsid w:val="0067722D"/>
    <w:rsid w:val="00677367"/>
    <w:rsid w:val="00677AB8"/>
    <w:rsid w:val="00677FDB"/>
    <w:rsid w:val="00680133"/>
    <w:rsid w:val="00680262"/>
    <w:rsid w:val="00680A8D"/>
    <w:rsid w:val="00680B44"/>
    <w:rsid w:val="00680DA8"/>
    <w:rsid w:val="006812C0"/>
    <w:rsid w:val="0068152D"/>
    <w:rsid w:val="0068159C"/>
    <w:rsid w:val="00681914"/>
    <w:rsid w:val="0068244B"/>
    <w:rsid w:val="00682837"/>
    <w:rsid w:val="00682A2E"/>
    <w:rsid w:val="00682DA2"/>
    <w:rsid w:val="00682DB6"/>
    <w:rsid w:val="00683346"/>
    <w:rsid w:val="00683785"/>
    <w:rsid w:val="006839F9"/>
    <w:rsid w:val="00683A79"/>
    <w:rsid w:val="00684861"/>
    <w:rsid w:val="00684B9F"/>
    <w:rsid w:val="00684D9B"/>
    <w:rsid w:val="0068520F"/>
    <w:rsid w:val="006855BE"/>
    <w:rsid w:val="006860E3"/>
    <w:rsid w:val="0068697F"/>
    <w:rsid w:val="00686DD7"/>
    <w:rsid w:val="00686E3E"/>
    <w:rsid w:val="00687359"/>
    <w:rsid w:val="00690053"/>
    <w:rsid w:val="006905FC"/>
    <w:rsid w:val="00690B7D"/>
    <w:rsid w:val="00690EE1"/>
    <w:rsid w:val="00691090"/>
    <w:rsid w:val="006911D7"/>
    <w:rsid w:val="00691357"/>
    <w:rsid w:val="006913E8"/>
    <w:rsid w:val="006914E3"/>
    <w:rsid w:val="006917B2"/>
    <w:rsid w:val="00691AC0"/>
    <w:rsid w:val="00691BA4"/>
    <w:rsid w:val="00691FCE"/>
    <w:rsid w:val="0069201A"/>
    <w:rsid w:val="00692500"/>
    <w:rsid w:val="006929D1"/>
    <w:rsid w:val="00692F35"/>
    <w:rsid w:val="00693B66"/>
    <w:rsid w:val="00693E98"/>
    <w:rsid w:val="00694357"/>
    <w:rsid w:val="00694460"/>
    <w:rsid w:val="00694A57"/>
    <w:rsid w:val="006956E1"/>
    <w:rsid w:val="0069571B"/>
    <w:rsid w:val="0069586A"/>
    <w:rsid w:val="00695961"/>
    <w:rsid w:val="00695C9C"/>
    <w:rsid w:val="00695DEA"/>
    <w:rsid w:val="00695FEE"/>
    <w:rsid w:val="00696011"/>
    <w:rsid w:val="0069631E"/>
    <w:rsid w:val="0069659F"/>
    <w:rsid w:val="00696671"/>
    <w:rsid w:val="00696739"/>
    <w:rsid w:val="0069694A"/>
    <w:rsid w:val="00696A85"/>
    <w:rsid w:val="00696CEB"/>
    <w:rsid w:val="00696F41"/>
    <w:rsid w:val="006978A1"/>
    <w:rsid w:val="00697E73"/>
    <w:rsid w:val="006A020F"/>
    <w:rsid w:val="006A02D7"/>
    <w:rsid w:val="006A057C"/>
    <w:rsid w:val="006A0762"/>
    <w:rsid w:val="006A0837"/>
    <w:rsid w:val="006A0E26"/>
    <w:rsid w:val="006A0FC1"/>
    <w:rsid w:val="006A1934"/>
    <w:rsid w:val="006A1AD8"/>
    <w:rsid w:val="006A1CF6"/>
    <w:rsid w:val="006A1E42"/>
    <w:rsid w:val="006A2145"/>
    <w:rsid w:val="006A2179"/>
    <w:rsid w:val="006A23A6"/>
    <w:rsid w:val="006A2CFC"/>
    <w:rsid w:val="006A2F55"/>
    <w:rsid w:val="006A31D4"/>
    <w:rsid w:val="006A34F5"/>
    <w:rsid w:val="006A3548"/>
    <w:rsid w:val="006A39B0"/>
    <w:rsid w:val="006A39CA"/>
    <w:rsid w:val="006A3FC6"/>
    <w:rsid w:val="006A4F09"/>
    <w:rsid w:val="006A5625"/>
    <w:rsid w:val="006A59A9"/>
    <w:rsid w:val="006A5A08"/>
    <w:rsid w:val="006A5C5B"/>
    <w:rsid w:val="006A5ECE"/>
    <w:rsid w:val="006A64DB"/>
    <w:rsid w:val="006A677D"/>
    <w:rsid w:val="006A6D62"/>
    <w:rsid w:val="006A6FEE"/>
    <w:rsid w:val="006A704A"/>
    <w:rsid w:val="006A758E"/>
    <w:rsid w:val="006A7911"/>
    <w:rsid w:val="006A7BC7"/>
    <w:rsid w:val="006A7BF8"/>
    <w:rsid w:val="006B05A3"/>
    <w:rsid w:val="006B05AF"/>
    <w:rsid w:val="006B079F"/>
    <w:rsid w:val="006B12E9"/>
    <w:rsid w:val="006B14EE"/>
    <w:rsid w:val="006B1885"/>
    <w:rsid w:val="006B197B"/>
    <w:rsid w:val="006B1B26"/>
    <w:rsid w:val="006B1C1E"/>
    <w:rsid w:val="006B1C9A"/>
    <w:rsid w:val="006B1D02"/>
    <w:rsid w:val="006B1D80"/>
    <w:rsid w:val="006B1F6B"/>
    <w:rsid w:val="006B20C6"/>
    <w:rsid w:val="006B2113"/>
    <w:rsid w:val="006B22FA"/>
    <w:rsid w:val="006B266D"/>
    <w:rsid w:val="006B2902"/>
    <w:rsid w:val="006B2DCA"/>
    <w:rsid w:val="006B2F0E"/>
    <w:rsid w:val="006B35AE"/>
    <w:rsid w:val="006B4434"/>
    <w:rsid w:val="006B48BE"/>
    <w:rsid w:val="006B4C79"/>
    <w:rsid w:val="006B4D4C"/>
    <w:rsid w:val="006B5070"/>
    <w:rsid w:val="006B51A1"/>
    <w:rsid w:val="006B53C9"/>
    <w:rsid w:val="006B575B"/>
    <w:rsid w:val="006B5A61"/>
    <w:rsid w:val="006B60F6"/>
    <w:rsid w:val="006B6748"/>
    <w:rsid w:val="006B6BE9"/>
    <w:rsid w:val="006B75DA"/>
    <w:rsid w:val="006B7847"/>
    <w:rsid w:val="006B7861"/>
    <w:rsid w:val="006B7E2E"/>
    <w:rsid w:val="006C0081"/>
    <w:rsid w:val="006C0242"/>
    <w:rsid w:val="006C036F"/>
    <w:rsid w:val="006C04A0"/>
    <w:rsid w:val="006C089B"/>
    <w:rsid w:val="006C08B1"/>
    <w:rsid w:val="006C097E"/>
    <w:rsid w:val="006C1172"/>
    <w:rsid w:val="006C146D"/>
    <w:rsid w:val="006C14B8"/>
    <w:rsid w:val="006C1770"/>
    <w:rsid w:val="006C1805"/>
    <w:rsid w:val="006C1E12"/>
    <w:rsid w:val="006C23B2"/>
    <w:rsid w:val="006C2713"/>
    <w:rsid w:val="006C2B2F"/>
    <w:rsid w:val="006C2FAB"/>
    <w:rsid w:val="006C2FF8"/>
    <w:rsid w:val="006C30B4"/>
    <w:rsid w:val="006C3806"/>
    <w:rsid w:val="006C3DDB"/>
    <w:rsid w:val="006C4024"/>
    <w:rsid w:val="006C4065"/>
    <w:rsid w:val="006C4485"/>
    <w:rsid w:val="006C4C68"/>
    <w:rsid w:val="006C53B9"/>
    <w:rsid w:val="006C5B1A"/>
    <w:rsid w:val="006C5FFA"/>
    <w:rsid w:val="006C68F5"/>
    <w:rsid w:val="006C69BC"/>
    <w:rsid w:val="006C6A0A"/>
    <w:rsid w:val="006C6A2E"/>
    <w:rsid w:val="006C6AD5"/>
    <w:rsid w:val="006C6F8F"/>
    <w:rsid w:val="006C710D"/>
    <w:rsid w:val="006C7127"/>
    <w:rsid w:val="006C7AFA"/>
    <w:rsid w:val="006C7DAE"/>
    <w:rsid w:val="006D004B"/>
    <w:rsid w:val="006D046C"/>
    <w:rsid w:val="006D0676"/>
    <w:rsid w:val="006D07C6"/>
    <w:rsid w:val="006D0A66"/>
    <w:rsid w:val="006D1269"/>
    <w:rsid w:val="006D15F7"/>
    <w:rsid w:val="006D1813"/>
    <w:rsid w:val="006D1978"/>
    <w:rsid w:val="006D19EA"/>
    <w:rsid w:val="006D1EF8"/>
    <w:rsid w:val="006D283C"/>
    <w:rsid w:val="006D2EFA"/>
    <w:rsid w:val="006D3491"/>
    <w:rsid w:val="006D34A1"/>
    <w:rsid w:val="006D36F4"/>
    <w:rsid w:val="006D3CF2"/>
    <w:rsid w:val="006D4A80"/>
    <w:rsid w:val="006D4D58"/>
    <w:rsid w:val="006D4E87"/>
    <w:rsid w:val="006D4E96"/>
    <w:rsid w:val="006D52BA"/>
    <w:rsid w:val="006D562D"/>
    <w:rsid w:val="006D5FCA"/>
    <w:rsid w:val="006D6306"/>
    <w:rsid w:val="006D6B2C"/>
    <w:rsid w:val="006D6BCA"/>
    <w:rsid w:val="006D6EFF"/>
    <w:rsid w:val="006D6FDD"/>
    <w:rsid w:val="006D720E"/>
    <w:rsid w:val="006D7215"/>
    <w:rsid w:val="006D792E"/>
    <w:rsid w:val="006D79B2"/>
    <w:rsid w:val="006D7FD9"/>
    <w:rsid w:val="006E027C"/>
    <w:rsid w:val="006E066A"/>
    <w:rsid w:val="006E083A"/>
    <w:rsid w:val="006E0910"/>
    <w:rsid w:val="006E0AC3"/>
    <w:rsid w:val="006E0BD1"/>
    <w:rsid w:val="006E0E32"/>
    <w:rsid w:val="006E0F10"/>
    <w:rsid w:val="006E133C"/>
    <w:rsid w:val="006E1655"/>
    <w:rsid w:val="006E1718"/>
    <w:rsid w:val="006E1B63"/>
    <w:rsid w:val="006E1D3C"/>
    <w:rsid w:val="006E1D55"/>
    <w:rsid w:val="006E1E57"/>
    <w:rsid w:val="006E1EFC"/>
    <w:rsid w:val="006E21AB"/>
    <w:rsid w:val="006E27C4"/>
    <w:rsid w:val="006E2870"/>
    <w:rsid w:val="006E2C45"/>
    <w:rsid w:val="006E301A"/>
    <w:rsid w:val="006E3204"/>
    <w:rsid w:val="006E348D"/>
    <w:rsid w:val="006E375E"/>
    <w:rsid w:val="006E3DCB"/>
    <w:rsid w:val="006E4037"/>
    <w:rsid w:val="006E40E1"/>
    <w:rsid w:val="006E424B"/>
    <w:rsid w:val="006E4254"/>
    <w:rsid w:val="006E448E"/>
    <w:rsid w:val="006E484A"/>
    <w:rsid w:val="006E48F8"/>
    <w:rsid w:val="006E4C2A"/>
    <w:rsid w:val="006E5989"/>
    <w:rsid w:val="006E5BA3"/>
    <w:rsid w:val="006E5EA7"/>
    <w:rsid w:val="006E6224"/>
    <w:rsid w:val="006E62C2"/>
    <w:rsid w:val="006E6362"/>
    <w:rsid w:val="006E6A25"/>
    <w:rsid w:val="006E6DE2"/>
    <w:rsid w:val="006E70BA"/>
    <w:rsid w:val="006E72E8"/>
    <w:rsid w:val="006E771C"/>
    <w:rsid w:val="006E7728"/>
    <w:rsid w:val="006E7A0A"/>
    <w:rsid w:val="006E7C5E"/>
    <w:rsid w:val="006F0585"/>
    <w:rsid w:val="006F07BD"/>
    <w:rsid w:val="006F07BF"/>
    <w:rsid w:val="006F093D"/>
    <w:rsid w:val="006F0D07"/>
    <w:rsid w:val="006F0E4E"/>
    <w:rsid w:val="006F14BA"/>
    <w:rsid w:val="006F1D43"/>
    <w:rsid w:val="006F2439"/>
    <w:rsid w:val="006F265A"/>
    <w:rsid w:val="006F2CBF"/>
    <w:rsid w:val="006F2F5A"/>
    <w:rsid w:val="006F32E3"/>
    <w:rsid w:val="006F330B"/>
    <w:rsid w:val="006F3489"/>
    <w:rsid w:val="006F34DB"/>
    <w:rsid w:val="006F39E9"/>
    <w:rsid w:val="006F3A7A"/>
    <w:rsid w:val="006F3D2C"/>
    <w:rsid w:val="006F3E69"/>
    <w:rsid w:val="006F3F2A"/>
    <w:rsid w:val="006F47C0"/>
    <w:rsid w:val="006F5095"/>
    <w:rsid w:val="006F541A"/>
    <w:rsid w:val="006F586D"/>
    <w:rsid w:val="006F6B7B"/>
    <w:rsid w:val="006F75DB"/>
    <w:rsid w:val="006F7600"/>
    <w:rsid w:val="006F7620"/>
    <w:rsid w:val="006F7D3E"/>
    <w:rsid w:val="006F7F1B"/>
    <w:rsid w:val="00700E3E"/>
    <w:rsid w:val="00700EB1"/>
    <w:rsid w:val="00700ECA"/>
    <w:rsid w:val="00700ED6"/>
    <w:rsid w:val="007012EC"/>
    <w:rsid w:val="00701F61"/>
    <w:rsid w:val="00701F8D"/>
    <w:rsid w:val="00702C85"/>
    <w:rsid w:val="007032D3"/>
    <w:rsid w:val="00703553"/>
    <w:rsid w:val="007036B7"/>
    <w:rsid w:val="007038D9"/>
    <w:rsid w:val="00703939"/>
    <w:rsid w:val="00703D9A"/>
    <w:rsid w:val="00703DC7"/>
    <w:rsid w:val="007043EA"/>
    <w:rsid w:val="0070447F"/>
    <w:rsid w:val="007045D5"/>
    <w:rsid w:val="007048AE"/>
    <w:rsid w:val="00704C17"/>
    <w:rsid w:val="00704CA3"/>
    <w:rsid w:val="00704E33"/>
    <w:rsid w:val="00704F17"/>
    <w:rsid w:val="007051AE"/>
    <w:rsid w:val="007052A1"/>
    <w:rsid w:val="007053EE"/>
    <w:rsid w:val="00705684"/>
    <w:rsid w:val="0070617C"/>
    <w:rsid w:val="00706C71"/>
    <w:rsid w:val="00706E0F"/>
    <w:rsid w:val="00707135"/>
    <w:rsid w:val="007073FD"/>
    <w:rsid w:val="00707694"/>
    <w:rsid w:val="0070773A"/>
    <w:rsid w:val="007077E8"/>
    <w:rsid w:val="00707CC6"/>
    <w:rsid w:val="00707E27"/>
    <w:rsid w:val="00710115"/>
    <w:rsid w:val="0071013C"/>
    <w:rsid w:val="007102D1"/>
    <w:rsid w:val="007102F6"/>
    <w:rsid w:val="00710B99"/>
    <w:rsid w:val="00711099"/>
    <w:rsid w:val="007112A4"/>
    <w:rsid w:val="00711D78"/>
    <w:rsid w:val="00711D94"/>
    <w:rsid w:val="00711E36"/>
    <w:rsid w:val="0071223A"/>
    <w:rsid w:val="00712682"/>
    <w:rsid w:val="00712783"/>
    <w:rsid w:val="007128A8"/>
    <w:rsid w:val="00712A7E"/>
    <w:rsid w:val="00712B29"/>
    <w:rsid w:val="00712C63"/>
    <w:rsid w:val="00712E38"/>
    <w:rsid w:val="00712ECE"/>
    <w:rsid w:val="00712FD3"/>
    <w:rsid w:val="00712FF7"/>
    <w:rsid w:val="00713498"/>
    <w:rsid w:val="00713A7D"/>
    <w:rsid w:val="00713DDD"/>
    <w:rsid w:val="00713F3D"/>
    <w:rsid w:val="0071481D"/>
    <w:rsid w:val="00714A02"/>
    <w:rsid w:val="00714E91"/>
    <w:rsid w:val="0071511C"/>
    <w:rsid w:val="007152D0"/>
    <w:rsid w:val="007153E7"/>
    <w:rsid w:val="00715AB4"/>
    <w:rsid w:val="00715F5E"/>
    <w:rsid w:val="007160E9"/>
    <w:rsid w:val="0071678E"/>
    <w:rsid w:val="007167FB"/>
    <w:rsid w:val="00716AF0"/>
    <w:rsid w:val="00716B61"/>
    <w:rsid w:val="00716EFE"/>
    <w:rsid w:val="00717374"/>
    <w:rsid w:val="00717432"/>
    <w:rsid w:val="00717898"/>
    <w:rsid w:val="00717B79"/>
    <w:rsid w:val="00717E3C"/>
    <w:rsid w:val="007203E3"/>
    <w:rsid w:val="00720FC3"/>
    <w:rsid w:val="00721098"/>
    <w:rsid w:val="0072123C"/>
    <w:rsid w:val="0072161F"/>
    <w:rsid w:val="00721644"/>
    <w:rsid w:val="007218A8"/>
    <w:rsid w:val="00721B0D"/>
    <w:rsid w:val="00721BDE"/>
    <w:rsid w:val="00721EF0"/>
    <w:rsid w:val="00722529"/>
    <w:rsid w:val="007228F6"/>
    <w:rsid w:val="007229A8"/>
    <w:rsid w:val="00722C72"/>
    <w:rsid w:val="00722EBB"/>
    <w:rsid w:val="00723456"/>
    <w:rsid w:val="0072395E"/>
    <w:rsid w:val="00723AE7"/>
    <w:rsid w:val="00723B2D"/>
    <w:rsid w:val="00723C37"/>
    <w:rsid w:val="00724A9E"/>
    <w:rsid w:val="00725198"/>
    <w:rsid w:val="007252C5"/>
    <w:rsid w:val="0072635A"/>
    <w:rsid w:val="00726929"/>
    <w:rsid w:val="0072696C"/>
    <w:rsid w:val="00726E77"/>
    <w:rsid w:val="00726F7F"/>
    <w:rsid w:val="00726FA4"/>
    <w:rsid w:val="00727415"/>
    <w:rsid w:val="0072784D"/>
    <w:rsid w:val="00727BF6"/>
    <w:rsid w:val="0073003E"/>
    <w:rsid w:val="0073014B"/>
    <w:rsid w:val="0073017A"/>
    <w:rsid w:val="007302B3"/>
    <w:rsid w:val="00731AEB"/>
    <w:rsid w:val="00731D0D"/>
    <w:rsid w:val="00731DE5"/>
    <w:rsid w:val="00731E72"/>
    <w:rsid w:val="00731EE7"/>
    <w:rsid w:val="007323C9"/>
    <w:rsid w:val="007324C5"/>
    <w:rsid w:val="00732C3F"/>
    <w:rsid w:val="00733035"/>
    <w:rsid w:val="0073309F"/>
    <w:rsid w:val="00733805"/>
    <w:rsid w:val="00734093"/>
    <w:rsid w:val="00734347"/>
    <w:rsid w:val="007344EE"/>
    <w:rsid w:val="007347B6"/>
    <w:rsid w:val="00734F36"/>
    <w:rsid w:val="007353AC"/>
    <w:rsid w:val="00735411"/>
    <w:rsid w:val="00735CBA"/>
    <w:rsid w:val="0073671F"/>
    <w:rsid w:val="007369E4"/>
    <w:rsid w:val="00736A4B"/>
    <w:rsid w:val="00736E22"/>
    <w:rsid w:val="00736F1F"/>
    <w:rsid w:val="0073775D"/>
    <w:rsid w:val="007377CE"/>
    <w:rsid w:val="00737859"/>
    <w:rsid w:val="00737BCD"/>
    <w:rsid w:val="00740629"/>
    <w:rsid w:val="007411A7"/>
    <w:rsid w:val="0074131B"/>
    <w:rsid w:val="007415A7"/>
    <w:rsid w:val="0074184A"/>
    <w:rsid w:val="00741C8A"/>
    <w:rsid w:val="00741CA6"/>
    <w:rsid w:val="00741CF8"/>
    <w:rsid w:val="00741FB7"/>
    <w:rsid w:val="0074239E"/>
    <w:rsid w:val="007424E9"/>
    <w:rsid w:val="00742896"/>
    <w:rsid w:val="00742903"/>
    <w:rsid w:val="00742DF2"/>
    <w:rsid w:val="00743073"/>
    <w:rsid w:val="00743095"/>
    <w:rsid w:val="007430B6"/>
    <w:rsid w:val="00743A46"/>
    <w:rsid w:val="00743BBD"/>
    <w:rsid w:val="00743C45"/>
    <w:rsid w:val="00743FDA"/>
    <w:rsid w:val="007442D5"/>
    <w:rsid w:val="00744543"/>
    <w:rsid w:val="00744A20"/>
    <w:rsid w:val="00744B0B"/>
    <w:rsid w:val="00745437"/>
    <w:rsid w:val="007459B7"/>
    <w:rsid w:val="00745A05"/>
    <w:rsid w:val="00745A55"/>
    <w:rsid w:val="00745AEB"/>
    <w:rsid w:val="007462D4"/>
    <w:rsid w:val="0074689D"/>
    <w:rsid w:val="007468C4"/>
    <w:rsid w:val="00746F72"/>
    <w:rsid w:val="0074730B"/>
    <w:rsid w:val="00750460"/>
    <w:rsid w:val="00750AA7"/>
    <w:rsid w:val="0075138F"/>
    <w:rsid w:val="0075155C"/>
    <w:rsid w:val="00751741"/>
    <w:rsid w:val="00751B51"/>
    <w:rsid w:val="00752406"/>
    <w:rsid w:val="00752472"/>
    <w:rsid w:val="00752993"/>
    <w:rsid w:val="00752CF9"/>
    <w:rsid w:val="007530EE"/>
    <w:rsid w:val="00753BE7"/>
    <w:rsid w:val="00754023"/>
    <w:rsid w:val="00754DE8"/>
    <w:rsid w:val="007550C5"/>
    <w:rsid w:val="00755764"/>
    <w:rsid w:val="00755BAF"/>
    <w:rsid w:val="00755D77"/>
    <w:rsid w:val="00755EE5"/>
    <w:rsid w:val="00755FA4"/>
    <w:rsid w:val="007566C3"/>
    <w:rsid w:val="0075675F"/>
    <w:rsid w:val="0075684A"/>
    <w:rsid w:val="00756A68"/>
    <w:rsid w:val="00756B44"/>
    <w:rsid w:val="00756FF0"/>
    <w:rsid w:val="00757015"/>
    <w:rsid w:val="00757250"/>
    <w:rsid w:val="00757300"/>
    <w:rsid w:val="00757687"/>
    <w:rsid w:val="00757F43"/>
    <w:rsid w:val="00760848"/>
    <w:rsid w:val="00760B82"/>
    <w:rsid w:val="00760E21"/>
    <w:rsid w:val="00761C67"/>
    <w:rsid w:val="00761F00"/>
    <w:rsid w:val="007623D0"/>
    <w:rsid w:val="007629A4"/>
    <w:rsid w:val="00762EEA"/>
    <w:rsid w:val="00763ED5"/>
    <w:rsid w:val="00764164"/>
    <w:rsid w:val="0076446B"/>
    <w:rsid w:val="007648A8"/>
    <w:rsid w:val="0076490A"/>
    <w:rsid w:val="00764D86"/>
    <w:rsid w:val="00764E6A"/>
    <w:rsid w:val="00765D6F"/>
    <w:rsid w:val="00765EA8"/>
    <w:rsid w:val="00766419"/>
    <w:rsid w:val="007664A0"/>
    <w:rsid w:val="00766865"/>
    <w:rsid w:val="0076723C"/>
    <w:rsid w:val="007674AE"/>
    <w:rsid w:val="00767583"/>
    <w:rsid w:val="00767E6C"/>
    <w:rsid w:val="0077010E"/>
    <w:rsid w:val="007702CF"/>
    <w:rsid w:val="00770349"/>
    <w:rsid w:val="007705D0"/>
    <w:rsid w:val="0077061F"/>
    <w:rsid w:val="00770BE4"/>
    <w:rsid w:val="00770DC3"/>
    <w:rsid w:val="00770FDD"/>
    <w:rsid w:val="007710DE"/>
    <w:rsid w:val="00771177"/>
    <w:rsid w:val="007711F3"/>
    <w:rsid w:val="00771AAF"/>
    <w:rsid w:val="00771BD2"/>
    <w:rsid w:val="007724E2"/>
    <w:rsid w:val="007727FB"/>
    <w:rsid w:val="00772C07"/>
    <w:rsid w:val="007735A0"/>
    <w:rsid w:val="00773618"/>
    <w:rsid w:val="007736B3"/>
    <w:rsid w:val="007738C1"/>
    <w:rsid w:val="00773AF1"/>
    <w:rsid w:val="00773F4F"/>
    <w:rsid w:val="00773FD3"/>
    <w:rsid w:val="00774702"/>
    <w:rsid w:val="00774776"/>
    <w:rsid w:val="0077491C"/>
    <w:rsid w:val="00774A57"/>
    <w:rsid w:val="00774A94"/>
    <w:rsid w:val="007751ED"/>
    <w:rsid w:val="00775EF5"/>
    <w:rsid w:val="00777174"/>
    <w:rsid w:val="0077725B"/>
    <w:rsid w:val="0077725F"/>
    <w:rsid w:val="007805EA"/>
    <w:rsid w:val="00780949"/>
    <w:rsid w:val="007809B8"/>
    <w:rsid w:val="00780BB2"/>
    <w:rsid w:val="007814D7"/>
    <w:rsid w:val="007819AD"/>
    <w:rsid w:val="00781A09"/>
    <w:rsid w:val="00781A24"/>
    <w:rsid w:val="00781A8B"/>
    <w:rsid w:val="00781B23"/>
    <w:rsid w:val="00781EA9"/>
    <w:rsid w:val="00781EB1"/>
    <w:rsid w:val="00781F5A"/>
    <w:rsid w:val="00781FC9"/>
    <w:rsid w:val="00782484"/>
    <w:rsid w:val="0078278F"/>
    <w:rsid w:val="007828A0"/>
    <w:rsid w:val="007828A1"/>
    <w:rsid w:val="007829B8"/>
    <w:rsid w:val="00782A5F"/>
    <w:rsid w:val="00782EA7"/>
    <w:rsid w:val="00783046"/>
    <w:rsid w:val="0078315C"/>
    <w:rsid w:val="00783271"/>
    <w:rsid w:val="00783478"/>
    <w:rsid w:val="00783606"/>
    <w:rsid w:val="00783669"/>
    <w:rsid w:val="007838F1"/>
    <w:rsid w:val="00783A26"/>
    <w:rsid w:val="0078412E"/>
    <w:rsid w:val="0078415F"/>
    <w:rsid w:val="007844FF"/>
    <w:rsid w:val="0078547F"/>
    <w:rsid w:val="00785896"/>
    <w:rsid w:val="007861FC"/>
    <w:rsid w:val="00786262"/>
    <w:rsid w:val="00786646"/>
    <w:rsid w:val="007866AE"/>
    <w:rsid w:val="00786B4C"/>
    <w:rsid w:val="00786E54"/>
    <w:rsid w:val="00787187"/>
    <w:rsid w:val="007871C9"/>
    <w:rsid w:val="00787376"/>
    <w:rsid w:val="007873AA"/>
    <w:rsid w:val="0079016B"/>
    <w:rsid w:val="0079028A"/>
    <w:rsid w:val="0079058F"/>
    <w:rsid w:val="007907D3"/>
    <w:rsid w:val="007907F4"/>
    <w:rsid w:val="00790983"/>
    <w:rsid w:val="007909EE"/>
    <w:rsid w:val="00790A68"/>
    <w:rsid w:val="00790AD2"/>
    <w:rsid w:val="00790BFF"/>
    <w:rsid w:val="00790D61"/>
    <w:rsid w:val="007915AF"/>
    <w:rsid w:val="0079190D"/>
    <w:rsid w:val="00791AB9"/>
    <w:rsid w:val="00792284"/>
    <w:rsid w:val="00793813"/>
    <w:rsid w:val="00793BC1"/>
    <w:rsid w:val="00794076"/>
    <w:rsid w:val="007945AB"/>
    <w:rsid w:val="00794B15"/>
    <w:rsid w:val="00795E0F"/>
    <w:rsid w:val="00796168"/>
    <w:rsid w:val="00796514"/>
    <w:rsid w:val="007967C1"/>
    <w:rsid w:val="00796DB4"/>
    <w:rsid w:val="00796EA9"/>
    <w:rsid w:val="00796FA1"/>
    <w:rsid w:val="0079724C"/>
    <w:rsid w:val="007975DD"/>
    <w:rsid w:val="00797974"/>
    <w:rsid w:val="00797B67"/>
    <w:rsid w:val="00797C5B"/>
    <w:rsid w:val="00797C5F"/>
    <w:rsid w:val="00797CAD"/>
    <w:rsid w:val="00797CC7"/>
    <w:rsid w:val="007A02FA"/>
    <w:rsid w:val="007A0682"/>
    <w:rsid w:val="007A083D"/>
    <w:rsid w:val="007A0A27"/>
    <w:rsid w:val="007A0BED"/>
    <w:rsid w:val="007A1BC7"/>
    <w:rsid w:val="007A1CD1"/>
    <w:rsid w:val="007A2512"/>
    <w:rsid w:val="007A2648"/>
    <w:rsid w:val="007A2C89"/>
    <w:rsid w:val="007A2F94"/>
    <w:rsid w:val="007A327F"/>
    <w:rsid w:val="007A335F"/>
    <w:rsid w:val="007A33CF"/>
    <w:rsid w:val="007A35D6"/>
    <w:rsid w:val="007A37B7"/>
    <w:rsid w:val="007A3C6A"/>
    <w:rsid w:val="007A3E00"/>
    <w:rsid w:val="007A43CC"/>
    <w:rsid w:val="007A45C8"/>
    <w:rsid w:val="007A4D81"/>
    <w:rsid w:val="007A4DB9"/>
    <w:rsid w:val="007A4F15"/>
    <w:rsid w:val="007A4F4C"/>
    <w:rsid w:val="007A50B5"/>
    <w:rsid w:val="007A5704"/>
    <w:rsid w:val="007A5876"/>
    <w:rsid w:val="007A63D1"/>
    <w:rsid w:val="007A671D"/>
    <w:rsid w:val="007A6755"/>
    <w:rsid w:val="007A698D"/>
    <w:rsid w:val="007A6CF5"/>
    <w:rsid w:val="007A708B"/>
    <w:rsid w:val="007A7402"/>
    <w:rsid w:val="007A7936"/>
    <w:rsid w:val="007A7E35"/>
    <w:rsid w:val="007A7FCD"/>
    <w:rsid w:val="007B017A"/>
    <w:rsid w:val="007B0384"/>
    <w:rsid w:val="007B0556"/>
    <w:rsid w:val="007B0695"/>
    <w:rsid w:val="007B0A48"/>
    <w:rsid w:val="007B0B31"/>
    <w:rsid w:val="007B0BD6"/>
    <w:rsid w:val="007B0C4A"/>
    <w:rsid w:val="007B0C6C"/>
    <w:rsid w:val="007B0C6D"/>
    <w:rsid w:val="007B0CCB"/>
    <w:rsid w:val="007B0E35"/>
    <w:rsid w:val="007B11CC"/>
    <w:rsid w:val="007B12D8"/>
    <w:rsid w:val="007B1398"/>
    <w:rsid w:val="007B156A"/>
    <w:rsid w:val="007B199A"/>
    <w:rsid w:val="007B1FEA"/>
    <w:rsid w:val="007B23B6"/>
    <w:rsid w:val="007B256B"/>
    <w:rsid w:val="007B25D7"/>
    <w:rsid w:val="007B291D"/>
    <w:rsid w:val="007B2939"/>
    <w:rsid w:val="007B2DCB"/>
    <w:rsid w:val="007B3033"/>
    <w:rsid w:val="007B3C08"/>
    <w:rsid w:val="007B3E16"/>
    <w:rsid w:val="007B4A11"/>
    <w:rsid w:val="007B4C82"/>
    <w:rsid w:val="007B4ECA"/>
    <w:rsid w:val="007B5306"/>
    <w:rsid w:val="007B5A44"/>
    <w:rsid w:val="007B6065"/>
    <w:rsid w:val="007B6209"/>
    <w:rsid w:val="007B62EE"/>
    <w:rsid w:val="007B6476"/>
    <w:rsid w:val="007B6B09"/>
    <w:rsid w:val="007B6BAF"/>
    <w:rsid w:val="007B6DDF"/>
    <w:rsid w:val="007B6FF7"/>
    <w:rsid w:val="007B7635"/>
    <w:rsid w:val="007B7C53"/>
    <w:rsid w:val="007B7C72"/>
    <w:rsid w:val="007C035D"/>
    <w:rsid w:val="007C04F1"/>
    <w:rsid w:val="007C0952"/>
    <w:rsid w:val="007C10DB"/>
    <w:rsid w:val="007C1152"/>
    <w:rsid w:val="007C1571"/>
    <w:rsid w:val="007C1A18"/>
    <w:rsid w:val="007C1A55"/>
    <w:rsid w:val="007C1CDD"/>
    <w:rsid w:val="007C1E4D"/>
    <w:rsid w:val="007C1F6D"/>
    <w:rsid w:val="007C26A2"/>
    <w:rsid w:val="007C28EC"/>
    <w:rsid w:val="007C2BBA"/>
    <w:rsid w:val="007C2D26"/>
    <w:rsid w:val="007C32E5"/>
    <w:rsid w:val="007C362D"/>
    <w:rsid w:val="007C362F"/>
    <w:rsid w:val="007C38A6"/>
    <w:rsid w:val="007C3D15"/>
    <w:rsid w:val="007C3E51"/>
    <w:rsid w:val="007C40E9"/>
    <w:rsid w:val="007C5026"/>
    <w:rsid w:val="007C52C6"/>
    <w:rsid w:val="007C55A6"/>
    <w:rsid w:val="007C5DEC"/>
    <w:rsid w:val="007C6441"/>
    <w:rsid w:val="007C647F"/>
    <w:rsid w:val="007C673D"/>
    <w:rsid w:val="007C6B5F"/>
    <w:rsid w:val="007C6D2D"/>
    <w:rsid w:val="007C6F0F"/>
    <w:rsid w:val="007C6F64"/>
    <w:rsid w:val="007C763D"/>
    <w:rsid w:val="007C76BE"/>
    <w:rsid w:val="007C7D48"/>
    <w:rsid w:val="007C7F62"/>
    <w:rsid w:val="007D014A"/>
    <w:rsid w:val="007D01D0"/>
    <w:rsid w:val="007D04F7"/>
    <w:rsid w:val="007D0E95"/>
    <w:rsid w:val="007D1219"/>
    <w:rsid w:val="007D185B"/>
    <w:rsid w:val="007D1916"/>
    <w:rsid w:val="007D1D10"/>
    <w:rsid w:val="007D25DC"/>
    <w:rsid w:val="007D2969"/>
    <w:rsid w:val="007D3597"/>
    <w:rsid w:val="007D396B"/>
    <w:rsid w:val="007D3E0B"/>
    <w:rsid w:val="007D4259"/>
    <w:rsid w:val="007D4594"/>
    <w:rsid w:val="007D45A3"/>
    <w:rsid w:val="007D4B9F"/>
    <w:rsid w:val="007D4F9C"/>
    <w:rsid w:val="007D5C03"/>
    <w:rsid w:val="007D5C17"/>
    <w:rsid w:val="007D5F35"/>
    <w:rsid w:val="007D5FD4"/>
    <w:rsid w:val="007D605E"/>
    <w:rsid w:val="007D60FF"/>
    <w:rsid w:val="007D6635"/>
    <w:rsid w:val="007D66E2"/>
    <w:rsid w:val="007D6900"/>
    <w:rsid w:val="007D6C25"/>
    <w:rsid w:val="007D6C65"/>
    <w:rsid w:val="007D6D86"/>
    <w:rsid w:val="007D72F3"/>
    <w:rsid w:val="007D7996"/>
    <w:rsid w:val="007D7C0F"/>
    <w:rsid w:val="007D7F1F"/>
    <w:rsid w:val="007D7FB0"/>
    <w:rsid w:val="007E0187"/>
    <w:rsid w:val="007E01E8"/>
    <w:rsid w:val="007E08F2"/>
    <w:rsid w:val="007E0B1E"/>
    <w:rsid w:val="007E0C6D"/>
    <w:rsid w:val="007E0E10"/>
    <w:rsid w:val="007E0EFE"/>
    <w:rsid w:val="007E10D5"/>
    <w:rsid w:val="007E131F"/>
    <w:rsid w:val="007E1861"/>
    <w:rsid w:val="007E19C7"/>
    <w:rsid w:val="007E1FE0"/>
    <w:rsid w:val="007E2095"/>
    <w:rsid w:val="007E2306"/>
    <w:rsid w:val="007E23BD"/>
    <w:rsid w:val="007E3338"/>
    <w:rsid w:val="007E3AE2"/>
    <w:rsid w:val="007E3D5E"/>
    <w:rsid w:val="007E4398"/>
    <w:rsid w:val="007E48B0"/>
    <w:rsid w:val="007E4B5F"/>
    <w:rsid w:val="007E4BDB"/>
    <w:rsid w:val="007E51E8"/>
    <w:rsid w:val="007E54E7"/>
    <w:rsid w:val="007E5A02"/>
    <w:rsid w:val="007E5C31"/>
    <w:rsid w:val="007E5FBB"/>
    <w:rsid w:val="007E6269"/>
    <w:rsid w:val="007E62BE"/>
    <w:rsid w:val="007E6375"/>
    <w:rsid w:val="007E7154"/>
    <w:rsid w:val="007F0396"/>
    <w:rsid w:val="007F06D6"/>
    <w:rsid w:val="007F0953"/>
    <w:rsid w:val="007F0DBF"/>
    <w:rsid w:val="007F0EEB"/>
    <w:rsid w:val="007F10F3"/>
    <w:rsid w:val="007F1ED5"/>
    <w:rsid w:val="007F231F"/>
    <w:rsid w:val="007F24BE"/>
    <w:rsid w:val="007F2566"/>
    <w:rsid w:val="007F2660"/>
    <w:rsid w:val="007F28E9"/>
    <w:rsid w:val="007F2978"/>
    <w:rsid w:val="007F29AB"/>
    <w:rsid w:val="007F3BE2"/>
    <w:rsid w:val="007F3FEA"/>
    <w:rsid w:val="007F4348"/>
    <w:rsid w:val="007F4468"/>
    <w:rsid w:val="007F47FE"/>
    <w:rsid w:val="007F539A"/>
    <w:rsid w:val="007F5421"/>
    <w:rsid w:val="007F56B8"/>
    <w:rsid w:val="007F5AAF"/>
    <w:rsid w:val="007F5ADC"/>
    <w:rsid w:val="007F5DB3"/>
    <w:rsid w:val="007F6105"/>
    <w:rsid w:val="007F626D"/>
    <w:rsid w:val="007F6469"/>
    <w:rsid w:val="007F64B4"/>
    <w:rsid w:val="007F6757"/>
    <w:rsid w:val="007F6E02"/>
    <w:rsid w:val="007F72C6"/>
    <w:rsid w:val="007F7301"/>
    <w:rsid w:val="007F7473"/>
    <w:rsid w:val="0080013D"/>
    <w:rsid w:val="0080020B"/>
    <w:rsid w:val="00800220"/>
    <w:rsid w:val="00800500"/>
    <w:rsid w:val="00800542"/>
    <w:rsid w:val="00800566"/>
    <w:rsid w:val="00800650"/>
    <w:rsid w:val="0080085A"/>
    <w:rsid w:val="0080093E"/>
    <w:rsid w:val="00800A57"/>
    <w:rsid w:val="0080119A"/>
    <w:rsid w:val="0080131C"/>
    <w:rsid w:val="0080137E"/>
    <w:rsid w:val="00801812"/>
    <w:rsid w:val="00801B52"/>
    <w:rsid w:val="00801E38"/>
    <w:rsid w:val="008025BF"/>
    <w:rsid w:val="00802BC9"/>
    <w:rsid w:val="00802EBF"/>
    <w:rsid w:val="0080325C"/>
    <w:rsid w:val="00803B85"/>
    <w:rsid w:val="00803C96"/>
    <w:rsid w:val="0080416B"/>
    <w:rsid w:val="00804DD4"/>
    <w:rsid w:val="008058B7"/>
    <w:rsid w:val="00805AEB"/>
    <w:rsid w:val="00805D70"/>
    <w:rsid w:val="00806154"/>
    <w:rsid w:val="008061EF"/>
    <w:rsid w:val="00806386"/>
    <w:rsid w:val="0080641C"/>
    <w:rsid w:val="00806B58"/>
    <w:rsid w:val="00806CDD"/>
    <w:rsid w:val="00807BA1"/>
    <w:rsid w:val="00807D21"/>
    <w:rsid w:val="00810480"/>
    <w:rsid w:val="0081068F"/>
    <w:rsid w:val="008109D0"/>
    <w:rsid w:val="00810A54"/>
    <w:rsid w:val="00810C19"/>
    <w:rsid w:val="00810C86"/>
    <w:rsid w:val="00810D59"/>
    <w:rsid w:val="00810E82"/>
    <w:rsid w:val="00811147"/>
    <w:rsid w:val="008111CA"/>
    <w:rsid w:val="0081143D"/>
    <w:rsid w:val="008117A4"/>
    <w:rsid w:val="0081188B"/>
    <w:rsid w:val="00811F95"/>
    <w:rsid w:val="00812005"/>
    <w:rsid w:val="0081207C"/>
    <w:rsid w:val="0081217F"/>
    <w:rsid w:val="0081257B"/>
    <w:rsid w:val="008126DD"/>
    <w:rsid w:val="008129BD"/>
    <w:rsid w:val="00812B51"/>
    <w:rsid w:val="00813E8F"/>
    <w:rsid w:val="00814100"/>
    <w:rsid w:val="008144CC"/>
    <w:rsid w:val="00814FAB"/>
    <w:rsid w:val="008153A3"/>
    <w:rsid w:val="00815AAD"/>
    <w:rsid w:val="00815D63"/>
    <w:rsid w:val="0081626F"/>
    <w:rsid w:val="008162D6"/>
    <w:rsid w:val="008163F7"/>
    <w:rsid w:val="008164AC"/>
    <w:rsid w:val="008166BA"/>
    <w:rsid w:val="008170F2"/>
    <w:rsid w:val="00817195"/>
    <w:rsid w:val="008175E6"/>
    <w:rsid w:val="0081770D"/>
    <w:rsid w:val="00817A30"/>
    <w:rsid w:val="00817EE7"/>
    <w:rsid w:val="00817FF8"/>
    <w:rsid w:val="00820039"/>
    <w:rsid w:val="00820047"/>
    <w:rsid w:val="0082076A"/>
    <w:rsid w:val="00820A6A"/>
    <w:rsid w:val="00820F15"/>
    <w:rsid w:val="00821421"/>
    <w:rsid w:val="008218B8"/>
    <w:rsid w:val="0082195E"/>
    <w:rsid w:val="00822149"/>
    <w:rsid w:val="00822622"/>
    <w:rsid w:val="00823049"/>
    <w:rsid w:val="00823132"/>
    <w:rsid w:val="00823134"/>
    <w:rsid w:val="008234C8"/>
    <w:rsid w:val="00823894"/>
    <w:rsid w:val="00823982"/>
    <w:rsid w:val="00823CB3"/>
    <w:rsid w:val="00823F76"/>
    <w:rsid w:val="00824101"/>
    <w:rsid w:val="0082414D"/>
    <w:rsid w:val="0082428F"/>
    <w:rsid w:val="00824E9B"/>
    <w:rsid w:val="008251C8"/>
    <w:rsid w:val="008253C9"/>
    <w:rsid w:val="0082568B"/>
    <w:rsid w:val="008259AB"/>
    <w:rsid w:val="00825CD3"/>
    <w:rsid w:val="00826597"/>
    <w:rsid w:val="0082699D"/>
    <w:rsid w:val="00826F24"/>
    <w:rsid w:val="008270FD"/>
    <w:rsid w:val="0082724D"/>
    <w:rsid w:val="008274FE"/>
    <w:rsid w:val="00827EB1"/>
    <w:rsid w:val="008303AD"/>
    <w:rsid w:val="008303EE"/>
    <w:rsid w:val="00830610"/>
    <w:rsid w:val="00830AB8"/>
    <w:rsid w:val="00830AC4"/>
    <w:rsid w:val="00830D6A"/>
    <w:rsid w:val="00830FAD"/>
    <w:rsid w:val="00831B06"/>
    <w:rsid w:val="00832090"/>
    <w:rsid w:val="00832153"/>
    <w:rsid w:val="00832765"/>
    <w:rsid w:val="00832E17"/>
    <w:rsid w:val="0083310B"/>
    <w:rsid w:val="008331F2"/>
    <w:rsid w:val="008332E2"/>
    <w:rsid w:val="008333F8"/>
    <w:rsid w:val="008335EE"/>
    <w:rsid w:val="00833D07"/>
    <w:rsid w:val="00833E2C"/>
    <w:rsid w:val="00834265"/>
    <w:rsid w:val="00834CB6"/>
    <w:rsid w:val="00834D85"/>
    <w:rsid w:val="00834F6D"/>
    <w:rsid w:val="008350D7"/>
    <w:rsid w:val="00835A8F"/>
    <w:rsid w:val="00835D31"/>
    <w:rsid w:val="00835D54"/>
    <w:rsid w:val="00836038"/>
    <w:rsid w:val="0083648A"/>
    <w:rsid w:val="00836F6F"/>
    <w:rsid w:val="0083708C"/>
    <w:rsid w:val="00837157"/>
    <w:rsid w:val="00837B94"/>
    <w:rsid w:val="00837CB7"/>
    <w:rsid w:val="008400DA"/>
    <w:rsid w:val="008402AC"/>
    <w:rsid w:val="00840408"/>
    <w:rsid w:val="00840A4A"/>
    <w:rsid w:val="00840A8A"/>
    <w:rsid w:val="00841362"/>
    <w:rsid w:val="0084138F"/>
    <w:rsid w:val="00841587"/>
    <w:rsid w:val="00841620"/>
    <w:rsid w:val="00841777"/>
    <w:rsid w:val="008420C9"/>
    <w:rsid w:val="008421A7"/>
    <w:rsid w:val="008422DB"/>
    <w:rsid w:val="0084237C"/>
    <w:rsid w:val="0084297E"/>
    <w:rsid w:val="00842983"/>
    <w:rsid w:val="00842A33"/>
    <w:rsid w:val="00842A3C"/>
    <w:rsid w:val="00842E59"/>
    <w:rsid w:val="00843147"/>
    <w:rsid w:val="0084334B"/>
    <w:rsid w:val="00843407"/>
    <w:rsid w:val="0084348E"/>
    <w:rsid w:val="00843593"/>
    <w:rsid w:val="0084394C"/>
    <w:rsid w:val="00843F23"/>
    <w:rsid w:val="0084430C"/>
    <w:rsid w:val="00844417"/>
    <w:rsid w:val="00844A65"/>
    <w:rsid w:val="00845028"/>
    <w:rsid w:val="008458C0"/>
    <w:rsid w:val="00845AC5"/>
    <w:rsid w:val="00845B58"/>
    <w:rsid w:val="0084660C"/>
    <w:rsid w:val="00846F40"/>
    <w:rsid w:val="00847A02"/>
    <w:rsid w:val="00847B5C"/>
    <w:rsid w:val="00847D0E"/>
    <w:rsid w:val="00847D9B"/>
    <w:rsid w:val="00847E19"/>
    <w:rsid w:val="00850008"/>
    <w:rsid w:val="008501E8"/>
    <w:rsid w:val="0085031B"/>
    <w:rsid w:val="00850567"/>
    <w:rsid w:val="00850679"/>
    <w:rsid w:val="00850863"/>
    <w:rsid w:val="0085145C"/>
    <w:rsid w:val="0085146C"/>
    <w:rsid w:val="008516C8"/>
    <w:rsid w:val="008517EE"/>
    <w:rsid w:val="00851BA1"/>
    <w:rsid w:val="00851D40"/>
    <w:rsid w:val="00851FB5"/>
    <w:rsid w:val="008520FA"/>
    <w:rsid w:val="008526C9"/>
    <w:rsid w:val="0085275D"/>
    <w:rsid w:val="00852EEA"/>
    <w:rsid w:val="00853C04"/>
    <w:rsid w:val="00854066"/>
    <w:rsid w:val="00854087"/>
    <w:rsid w:val="008542A2"/>
    <w:rsid w:val="00854907"/>
    <w:rsid w:val="00854CA5"/>
    <w:rsid w:val="00855339"/>
    <w:rsid w:val="00855415"/>
    <w:rsid w:val="008558BF"/>
    <w:rsid w:val="008558FF"/>
    <w:rsid w:val="00855BC5"/>
    <w:rsid w:val="00855BF4"/>
    <w:rsid w:val="00856155"/>
    <w:rsid w:val="008563E9"/>
    <w:rsid w:val="00856854"/>
    <w:rsid w:val="008574EA"/>
    <w:rsid w:val="00857AB4"/>
    <w:rsid w:val="00857FE4"/>
    <w:rsid w:val="00860B41"/>
    <w:rsid w:val="00860B5C"/>
    <w:rsid w:val="00860D6E"/>
    <w:rsid w:val="008611B0"/>
    <w:rsid w:val="0086123C"/>
    <w:rsid w:val="00861713"/>
    <w:rsid w:val="00861A44"/>
    <w:rsid w:val="00861AA5"/>
    <w:rsid w:val="00861C88"/>
    <w:rsid w:val="00861D38"/>
    <w:rsid w:val="00862114"/>
    <w:rsid w:val="0086236A"/>
    <w:rsid w:val="00862829"/>
    <w:rsid w:val="00862AFB"/>
    <w:rsid w:val="00862B02"/>
    <w:rsid w:val="00862B82"/>
    <w:rsid w:val="00862D6B"/>
    <w:rsid w:val="00862EE1"/>
    <w:rsid w:val="00862F97"/>
    <w:rsid w:val="0086313C"/>
    <w:rsid w:val="00863339"/>
    <w:rsid w:val="0086334B"/>
    <w:rsid w:val="0086377F"/>
    <w:rsid w:val="0086389E"/>
    <w:rsid w:val="00863B52"/>
    <w:rsid w:val="00863B92"/>
    <w:rsid w:val="008641A3"/>
    <w:rsid w:val="008646C7"/>
    <w:rsid w:val="00864714"/>
    <w:rsid w:val="0086505B"/>
    <w:rsid w:val="008651E2"/>
    <w:rsid w:val="00865669"/>
    <w:rsid w:val="008658D9"/>
    <w:rsid w:val="00865DF1"/>
    <w:rsid w:val="00865F45"/>
    <w:rsid w:val="0086608B"/>
    <w:rsid w:val="008664BE"/>
    <w:rsid w:val="00866908"/>
    <w:rsid w:val="008671A7"/>
    <w:rsid w:val="0086787F"/>
    <w:rsid w:val="00867C66"/>
    <w:rsid w:val="00867E89"/>
    <w:rsid w:val="00867FF2"/>
    <w:rsid w:val="0087006A"/>
    <w:rsid w:val="0087015B"/>
    <w:rsid w:val="0087016E"/>
    <w:rsid w:val="00870182"/>
    <w:rsid w:val="00870211"/>
    <w:rsid w:val="0087025E"/>
    <w:rsid w:val="008707C9"/>
    <w:rsid w:val="00870B5A"/>
    <w:rsid w:val="00870F3C"/>
    <w:rsid w:val="00871835"/>
    <w:rsid w:val="0087184A"/>
    <w:rsid w:val="00871876"/>
    <w:rsid w:val="00871EB8"/>
    <w:rsid w:val="00872151"/>
    <w:rsid w:val="0087255B"/>
    <w:rsid w:val="00872A12"/>
    <w:rsid w:val="008734A6"/>
    <w:rsid w:val="00873567"/>
    <w:rsid w:val="008739BB"/>
    <w:rsid w:val="00873B4D"/>
    <w:rsid w:val="00873FEC"/>
    <w:rsid w:val="00874272"/>
    <w:rsid w:val="008742D7"/>
    <w:rsid w:val="00874832"/>
    <w:rsid w:val="00874B2A"/>
    <w:rsid w:val="0087505F"/>
    <w:rsid w:val="008751F6"/>
    <w:rsid w:val="008756A8"/>
    <w:rsid w:val="008756CB"/>
    <w:rsid w:val="00875DBF"/>
    <w:rsid w:val="008760B9"/>
    <w:rsid w:val="008765A9"/>
    <w:rsid w:val="0087662C"/>
    <w:rsid w:val="008768DC"/>
    <w:rsid w:val="00876CE3"/>
    <w:rsid w:val="00876D23"/>
    <w:rsid w:val="00876D33"/>
    <w:rsid w:val="00876F5E"/>
    <w:rsid w:val="008770F8"/>
    <w:rsid w:val="0087742E"/>
    <w:rsid w:val="008774E8"/>
    <w:rsid w:val="0087752E"/>
    <w:rsid w:val="0087796A"/>
    <w:rsid w:val="00877A91"/>
    <w:rsid w:val="00877BBF"/>
    <w:rsid w:val="00880208"/>
    <w:rsid w:val="008803A6"/>
    <w:rsid w:val="00880D9F"/>
    <w:rsid w:val="00880DDD"/>
    <w:rsid w:val="00880EBD"/>
    <w:rsid w:val="0088105D"/>
    <w:rsid w:val="008810D3"/>
    <w:rsid w:val="00881D8B"/>
    <w:rsid w:val="00881E55"/>
    <w:rsid w:val="0088215B"/>
    <w:rsid w:val="008826DC"/>
    <w:rsid w:val="00882BFE"/>
    <w:rsid w:val="008833F1"/>
    <w:rsid w:val="008836AB"/>
    <w:rsid w:val="00883926"/>
    <w:rsid w:val="00883E18"/>
    <w:rsid w:val="0088402E"/>
    <w:rsid w:val="0088418D"/>
    <w:rsid w:val="008843AA"/>
    <w:rsid w:val="0088442A"/>
    <w:rsid w:val="008848D9"/>
    <w:rsid w:val="00884FC8"/>
    <w:rsid w:val="0088537D"/>
    <w:rsid w:val="00885885"/>
    <w:rsid w:val="00885EFF"/>
    <w:rsid w:val="008860C6"/>
    <w:rsid w:val="008863F4"/>
    <w:rsid w:val="00886C67"/>
    <w:rsid w:val="00887169"/>
    <w:rsid w:val="00887403"/>
    <w:rsid w:val="008876C3"/>
    <w:rsid w:val="0089010B"/>
    <w:rsid w:val="008901EE"/>
    <w:rsid w:val="0089028B"/>
    <w:rsid w:val="008904DB"/>
    <w:rsid w:val="0089055A"/>
    <w:rsid w:val="0089056C"/>
    <w:rsid w:val="00890D42"/>
    <w:rsid w:val="0089102B"/>
    <w:rsid w:val="00891393"/>
    <w:rsid w:val="00891526"/>
    <w:rsid w:val="008917FB"/>
    <w:rsid w:val="00891CE3"/>
    <w:rsid w:val="00891FF7"/>
    <w:rsid w:val="008921E3"/>
    <w:rsid w:val="0089223F"/>
    <w:rsid w:val="00892309"/>
    <w:rsid w:val="00892375"/>
    <w:rsid w:val="0089260B"/>
    <w:rsid w:val="0089283C"/>
    <w:rsid w:val="00892AF8"/>
    <w:rsid w:val="00892CC3"/>
    <w:rsid w:val="0089313E"/>
    <w:rsid w:val="008934D8"/>
    <w:rsid w:val="00893C36"/>
    <w:rsid w:val="00893CC3"/>
    <w:rsid w:val="00894294"/>
    <w:rsid w:val="008942CC"/>
    <w:rsid w:val="0089449B"/>
    <w:rsid w:val="008946AF"/>
    <w:rsid w:val="008947FB"/>
    <w:rsid w:val="008950C2"/>
    <w:rsid w:val="0089551E"/>
    <w:rsid w:val="00895631"/>
    <w:rsid w:val="00896227"/>
    <w:rsid w:val="0089629B"/>
    <w:rsid w:val="008965F8"/>
    <w:rsid w:val="00896F96"/>
    <w:rsid w:val="00897386"/>
    <w:rsid w:val="00897495"/>
    <w:rsid w:val="008978B0"/>
    <w:rsid w:val="00897B90"/>
    <w:rsid w:val="00897BB6"/>
    <w:rsid w:val="00897D02"/>
    <w:rsid w:val="00897E60"/>
    <w:rsid w:val="008A009D"/>
    <w:rsid w:val="008A025C"/>
    <w:rsid w:val="008A094B"/>
    <w:rsid w:val="008A0AD4"/>
    <w:rsid w:val="008A0CCF"/>
    <w:rsid w:val="008A0D71"/>
    <w:rsid w:val="008A0F83"/>
    <w:rsid w:val="008A10CE"/>
    <w:rsid w:val="008A12C9"/>
    <w:rsid w:val="008A1A96"/>
    <w:rsid w:val="008A2421"/>
    <w:rsid w:val="008A2625"/>
    <w:rsid w:val="008A2788"/>
    <w:rsid w:val="008A2D57"/>
    <w:rsid w:val="008A2DEF"/>
    <w:rsid w:val="008A3020"/>
    <w:rsid w:val="008A345E"/>
    <w:rsid w:val="008A3501"/>
    <w:rsid w:val="008A37F4"/>
    <w:rsid w:val="008A3F53"/>
    <w:rsid w:val="008A411C"/>
    <w:rsid w:val="008A422A"/>
    <w:rsid w:val="008A45E5"/>
    <w:rsid w:val="008A46DE"/>
    <w:rsid w:val="008A48B0"/>
    <w:rsid w:val="008A49EF"/>
    <w:rsid w:val="008A4A8F"/>
    <w:rsid w:val="008A506D"/>
    <w:rsid w:val="008A557F"/>
    <w:rsid w:val="008A5C42"/>
    <w:rsid w:val="008A6C3B"/>
    <w:rsid w:val="008A7061"/>
    <w:rsid w:val="008A729A"/>
    <w:rsid w:val="008A7AF5"/>
    <w:rsid w:val="008B01F3"/>
    <w:rsid w:val="008B0D12"/>
    <w:rsid w:val="008B0E5D"/>
    <w:rsid w:val="008B1029"/>
    <w:rsid w:val="008B135A"/>
    <w:rsid w:val="008B1615"/>
    <w:rsid w:val="008B1A33"/>
    <w:rsid w:val="008B1E0F"/>
    <w:rsid w:val="008B2139"/>
    <w:rsid w:val="008B24C9"/>
    <w:rsid w:val="008B25E8"/>
    <w:rsid w:val="008B268E"/>
    <w:rsid w:val="008B2A86"/>
    <w:rsid w:val="008B2C93"/>
    <w:rsid w:val="008B2F30"/>
    <w:rsid w:val="008B36B6"/>
    <w:rsid w:val="008B3D1F"/>
    <w:rsid w:val="008B3D43"/>
    <w:rsid w:val="008B41E3"/>
    <w:rsid w:val="008B4730"/>
    <w:rsid w:val="008B48AA"/>
    <w:rsid w:val="008B5F14"/>
    <w:rsid w:val="008B63D4"/>
    <w:rsid w:val="008B647F"/>
    <w:rsid w:val="008B6491"/>
    <w:rsid w:val="008B6CC6"/>
    <w:rsid w:val="008B6F8E"/>
    <w:rsid w:val="008B6FAB"/>
    <w:rsid w:val="008B6FB4"/>
    <w:rsid w:val="008B6FE8"/>
    <w:rsid w:val="008B7564"/>
    <w:rsid w:val="008B7939"/>
    <w:rsid w:val="008B7CE6"/>
    <w:rsid w:val="008C0419"/>
    <w:rsid w:val="008C067C"/>
    <w:rsid w:val="008C0F8E"/>
    <w:rsid w:val="008C113D"/>
    <w:rsid w:val="008C13F6"/>
    <w:rsid w:val="008C15D5"/>
    <w:rsid w:val="008C1700"/>
    <w:rsid w:val="008C1C0D"/>
    <w:rsid w:val="008C206A"/>
    <w:rsid w:val="008C208C"/>
    <w:rsid w:val="008C2B3A"/>
    <w:rsid w:val="008C3083"/>
    <w:rsid w:val="008C34A4"/>
    <w:rsid w:val="008C34F0"/>
    <w:rsid w:val="008C399A"/>
    <w:rsid w:val="008C39E5"/>
    <w:rsid w:val="008C3A15"/>
    <w:rsid w:val="008C3A34"/>
    <w:rsid w:val="008C3A86"/>
    <w:rsid w:val="008C3C6A"/>
    <w:rsid w:val="008C4099"/>
    <w:rsid w:val="008C43B5"/>
    <w:rsid w:val="008C444A"/>
    <w:rsid w:val="008C4526"/>
    <w:rsid w:val="008C48D4"/>
    <w:rsid w:val="008C49AF"/>
    <w:rsid w:val="008C4E08"/>
    <w:rsid w:val="008C4F3C"/>
    <w:rsid w:val="008C4F9B"/>
    <w:rsid w:val="008C51A4"/>
    <w:rsid w:val="008C54C2"/>
    <w:rsid w:val="008C5547"/>
    <w:rsid w:val="008C5BD3"/>
    <w:rsid w:val="008C6097"/>
    <w:rsid w:val="008C60CF"/>
    <w:rsid w:val="008C633C"/>
    <w:rsid w:val="008C6AB6"/>
    <w:rsid w:val="008C6CF5"/>
    <w:rsid w:val="008C6FD0"/>
    <w:rsid w:val="008C7136"/>
    <w:rsid w:val="008C7453"/>
    <w:rsid w:val="008C74DB"/>
    <w:rsid w:val="008C7ED2"/>
    <w:rsid w:val="008D007B"/>
    <w:rsid w:val="008D0441"/>
    <w:rsid w:val="008D04F3"/>
    <w:rsid w:val="008D0713"/>
    <w:rsid w:val="008D094A"/>
    <w:rsid w:val="008D2154"/>
    <w:rsid w:val="008D2742"/>
    <w:rsid w:val="008D28A2"/>
    <w:rsid w:val="008D290D"/>
    <w:rsid w:val="008D2D4A"/>
    <w:rsid w:val="008D3C14"/>
    <w:rsid w:val="008D40FF"/>
    <w:rsid w:val="008D41EA"/>
    <w:rsid w:val="008D4379"/>
    <w:rsid w:val="008D4A54"/>
    <w:rsid w:val="008D4A8D"/>
    <w:rsid w:val="008D4F81"/>
    <w:rsid w:val="008D5297"/>
    <w:rsid w:val="008D5323"/>
    <w:rsid w:val="008D574E"/>
    <w:rsid w:val="008D5AA7"/>
    <w:rsid w:val="008D5FF9"/>
    <w:rsid w:val="008D6C4A"/>
    <w:rsid w:val="008D6CA8"/>
    <w:rsid w:val="008D730B"/>
    <w:rsid w:val="008D77AA"/>
    <w:rsid w:val="008D79E4"/>
    <w:rsid w:val="008D7C5A"/>
    <w:rsid w:val="008E03C2"/>
    <w:rsid w:val="008E0469"/>
    <w:rsid w:val="008E05AE"/>
    <w:rsid w:val="008E0C97"/>
    <w:rsid w:val="008E1054"/>
    <w:rsid w:val="008E1191"/>
    <w:rsid w:val="008E119D"/>
    <w:rsid w:val="008E175D"/>
    <w:rsid w:val="008E2021"/>
    <w:rsid w:val="008E2347"/>
    <w:rsid w:val="008E23D6"/>
    <w:rsid w:val="008E2818"/>
    <w:rsid w:val="008E2EDF"/>
    <w:rsid w:val="008E2FC9"/>
    <w:rsid w:val="008E314A"/>
    <w:rsid w:val="008E35D1"/>
    <w:rsid w:val="008E3869"/>
    <w:rsid w:val="008E3B20"/>
    <w:rsid w:val="008E42C3"/>
    <w:rsid w:val="008E452F"/>
    <w:rsid w:val="008E4DDA"/>
    <w:rsid w:val="008E51EB"/>
    <w:rsid w:val="008E5A44"/>
    <w:rsid w:val="008E5BF9"/>
    <w:rsid w:val="008E60E2"/>
    <w:rsid w:val="008E6253"/>
    <w:rsid w:val="008E6923"/>
    <w:rsid w:val="008E69B8"/>
    <w:rsid w:val="008E6E0A"/>
    <w:rsid w:val="008E7624"/>
    <w:rsid w:val="008E7DE4"/>
    <w:rsid w:val="008E7EE3"/>
    <w:rsid w:val="008F04CD"/>
    <w:rsid w:val="008F066B"/>
    <w:rsid w:val="008F15C3"/>
    <w:rsid w:val="008F213A"/>
    <w:rsid w:val="008F29E7"/>
    <w:rsid w:val="008F2CB6"/>
    <w:rsid w:val="008F2D33"/>
    <w:rsid w:val="008F3070"/>
    <w:rsid w:val="008F307D"/>
    <w:rsid w:val="008F3A53"/>
    <w:rsid w:val="008F3C76"/>
    <w:rsid w:val="008F3E51"/>
    <w:rsid w:val="008F416F"/>
    <w:rsid w:val="008F453C"/>
    <w:rsid w:val="008F4B10"/>
    <w:rsid w:val="008F4CE4"/>
    <w:rsid w:val="008F4D86"/>
    <w:rsid w:val="008F5005"/>
    <w:rsid w:val="008F5071"/>
    <w:rsid w:val="008F53E6"/>
    <w:rsid w:val="008F5400"/>
    <w:rsid w:val="008F63C6"/>
    <w:rsid w:val="008F647F"/>
    <w:rsid w:val="008F6540"/>
    <w:rsid w:val="008F6CFE"/>
    <w:rsid w:val="008F6D69"/>
    <w:rsid w:val="008F6F60"/>
    <w:rsid w:val="008F6F63"/>
    <w:rsid w:val="008F70A8"/>
    <w:rsid w:val="008F7647"/>
    <w:rsid w:val="0090007E"/>
    <w:rsid w:val="0090027C"/>
    <w:rsid w:val="00900423"/>
    <w:rsid w:val="00900518"/>
    <w:rsid w:val="0090057B"/>
    <w:rsid w:val="00900604"/>
    <w:rsid w:val="00900788"/>
    <w:rsid w:val="0090086D"/>
    <w:rsid w:val="00900922"/>
    <w:rsid w:val="00900BCA"/>
    <w:rsid w:val="00901734"/>
    <w:rsid w:val="00901BC6"/>
    <w:rsid w:val="00901BF2"/>
    <w:rsid w:val="00901C8A"/>
    <w:rsid w:val="00902024"/>
    <w:rsid w:val="00902731"/>
    <w:rsid w:val="00903A1D"/>
    <w:rsid w:val="00903B86"/>
    <w:rsid w:val="00903BA6"/>
    <w:rsid w:val="00903BDA"/>
    <w:rsid w:val="00903C6A"/>
    <w:rsid w:val="00903E53"/>
    <w:rsid w:val="009040C3"/>
    <w:rsid w:val="00904714"/>
    <w:rsid w:val="009048D5"/>
    <w:rsid w:val="00905073"/>
    <w:rsid w:val="009064A4"/>
    <w:rsid w:val="00906794"/>
    <w:rsid w:val="00906F59"/>
    <w:rsid w:val="00906FB1"/>
    <w:rsid w:val="00907125"/>
    <w:rsid w:val="00907215"/>
    <w:rsid w:val="009073F8"/>
    <w:rsid w:val="009078B2"/>
    <w:rsid w:val="009101BC"/>
    <w:rsid w:val="009107BA"/>
    <w:rsid w:val="00910957"/>
    <w:rsid w:val="00910A09"/>
    <w:rsid w:val="00910BE8"/>
    <w:rsid w:val="0091111F"/>
    <w:rsid w:val="009112E1"/>
    <w:rsid w:val="00911761"/>
    <w:rsid w:val="00911EF6"/>
    <w:rsid w:val="0091226A"/>
    <w:rsid w:val="0091250B"/>
    <w:rsid w:val="00912B1F"/>
    <w:rsid w:val="009131C9"/>
    <w:rsid w:val="0091431D"/>
    <w:rsid w:val="00914394"/>
    <w:rsid w:val="0091470C"/>
    <w:rsid w:val="00914929"/>
    <w:rsid w:val="00914BCB"/>
    <w:rsid w:val="00914FFA"/>
    <w:rsid w:val="00915373"/>
    <w:rsid w:val="009158C2"/>
    <w:rsid w:val="00915968"/>
    <w:rsid w:val="00915B6C"/>
    <w:rsid w:val="00915EFF"/>
    <w:rsid w:val="00915F45"/>
    <w:rsid w:val="009160AA"/>
    <w:rsid w:val="0091627D"/>
    <w:rsid w:val="0091665E"/>
    <w:rsid w:val="009168CA"/>
    <w:rsid w:val="00916A72"/>
    <w:rsid w:val="00916E47"/>
    <w:rsid w:val="00917806"/>
    <w:rsid w:val="009178D6"/>
    <w:rsid w:val="00917BE1"/>
    <w:rsid w:val="00917F79"/>
    <w:rsid w:val="009201A5"/>
    <w:rsid w:val="009206BA"/>
    <w:rsid w:val="00920B49"/>
    <w:rsid w:val="00920EBE"/>
    <w:rsid w:val="00921334"/>
    <w:rsid w:val="00921443"/>
    <w:rsid w:val="00921686"/>
    <w:rsid w:val="00922740"/>
    <w:rsid w:val="009227A3"/>
    <w:rsid w:val="009233F0"/>
    <w:rsid w:val="0092362C"/>
    <w:rsid w:val="00923AD5"/>
    <w:rsid w:val="00923B73"/>
    <w:rsid w:val="00923E72"/>
    <w:rsid w:val="009242DD"/>
    <w:rsid w:val="009244B1"/>
    <w:rsid w:val="00924772"/>
    <w:rsid w:val="00924961"/>
    <w:rsid w:val="00924B52"/>
    <w:rsid w:val="00925202"/>
    <w:rsid w:val="00925400"/>
    <w:rsid w:val="00925543"/>
    <w:rsid w:val="00925664"/>
    <w:rsid w:val="0092577A"/>
    <w:rsid w:val="009258A0"/>
    <w:rsid w:val="00925F4A"/>
    <w:rsid w:val="009262B1"/>
    <w:rsid w:val="00926D47"/>
    <w:rsid w:val="00926D68"/>
    <w:rsid w:val="00926DCF"/>
    <w:rsid w:val="00926FCD"/>
    <w:rsid w:val="009273BB"/>
    <w:rsid w:val="009274CE"/>
    <w:rsid w:val="009274F5"/>
    <w:rsid w:val="0092772F"/>
    <w:rsid w:val="00927809"/>
    <w:rsid w:val="00927A76"/>
    <w:rsid w:val="00927AAE"/>
    <w:rsid w:val="00927DBB"/>
    <w:rsid w:val="00927EBC"/>
    <w:rsid w:val="00927F7C"/>
    <w:rsid w:val="00930359"/>
    <w:rsid w:val="009307A3"/>
    <w:rsid w:val="00930EDE"/>
    <w:rsid w:val="009313D9"/>
    <w:rsid w:val="009318FB"/>
    <w:rsid w:val="009319D7"/>
    <w:rsid w:val="0093263B"/>
    <w:rsid w:val="00932C21"/>
    <w:rsid w:val="00932DF6"/>
    <w:rsid w:val="009330C0"/>
    <w:rsid w:val="009330DF"/>
    <w:rsid w:val="009331E4"/>
    <w:rsid w:val="009335FC"/>
    <w:rsid w:val="00933700"/>
    <w:rsid w:val="00933C1F"/>
    <w:rsid w:val="00934D36"/>
    <w:rsid w:val="00934EC9"/>
    <w:rsid w:val="009351B0"/>
    <w:rsid w:val="00935563"/>
    <w:rsid w:val="00935B76"/>
    <w:rsid w:val="00936054"/>
    <w:rsid w:val="00936078"/>
    <w:rsid w:val="00936079"/>
    <w:rsid w:val="009364A5"/>
    <w:rsid w:val="009364E5"/>
    <w:rsid w:val="0093689C"/>
    <w:rsid w:val="00936A1C"/>
    <w:rsid w:val="009373BF"/>
    <w:rsid w:val="009379D3"/>
    <w:rsid w:val="00940227"/>
    <w:rsid w:val="009405F0"/>
    <w:rsid w:val="00940B48"/>
    <w:rsid w:val="00941102"/>
    <w:rsid w:val="009412B6"/>
    <w:rsid w:val="00941307"/>
    <w:rsid w:val="00941412"/>
    <w:rsid w:val="009414C1"/>
    <w:rsid w:val="0094185E"/>
    <w:rsid w:val="00941C2B"/>
    <w:rsid w:val="00941CF4"/>
    <w:rsid w:val="00942172"/>
    <w:rsid w:val="009424C8"/>
    <w:rsid w:val="00942982"/>
    <w:rsid w:val="00943364"/>
    <w:rsid w:val="00943372"/>
    <w:rsid w:val="009433DC"/>
    <w:rsid w:val="00944149"/>
    <w:rsid w:val="00944808"/>
    <w:rsid w:val="009449CE"/>
    <w:rsid w:val="00944BB5"/>
    <w:rsid w:val="00944E7A"/>
    <w:rsid w:val="009452C4"/>
    <w:rsid w:val="00945496"/>
    <w:rsid w:val="009454C5"/>
    <w:rsid w:val="009456A3"/>
    <w:rsid w:val="009458CB"/>
    <w:rsid w:val="00946337"/>
    <w:rsid w:val="00946397"/>
    <w:rsid w:val="0094647F"/>
    <w:rsid w:val="009467C0"/>
    <w:rsid w:val="00946B54"/>
    <w:rsid w:val="0094758C"/>
    <w:rsid w:val="00947723"/>
    <w:rsid w:val="00947C1D"/>
    <w:rsid w:val="0095001E"/>
    <w:rsid w:val="00950999"/>
    <w:rsid w:val="00950AAA"/>
    <w:rsid w:val="00950D9B"/>
    <w:rsid w:val="0095104B"/>
    <w:rsid w:val="00951292"/>
    <w:rsid w:val="009513AE"/>
    <w:rsid w:val="009513B4"/>
    <w:rsid w:val="009519A6"/>
    <w:rsid w:val="00952623"/>
    <w:rsid w:val="00952FED"/>
    <w:rsid w:val="0095310D"/>
    <w:rsid w:val="0095319C"/>
    <w:rsid w:val="00953412"/>
    <w:rsid w:val="009544F3"/>
    <w:rsid w:val="009548C0"/>
    <w:rsid w:val="00954A88"/>
    <w:rsid w:val="00954DA9"/>
    <w:rsid w:val="00954F02"/>
    <w:rsid w:val="0095516E"/>
    <w:rsid w:val="0095560B"/>
    <w:rsid w:val="00955701"/>
    <w:rsid w:val="0095685D"/>
    <w:rsid w:val="00956B9B"/>
    <w:rsid w:val="0095731B"/>
    <w:rsid w:val="0095738C"/>
    <w:rsid w:val="00957525"/>
    <w:rsid w:val="00957600"/>
    <w:rsid w:val="009577A1"/>
    <w:rsid w:val="00957D4A"/>
    <w:rsid w:val="00957DB2"/>
    <w:rsid w:val="00960137"/>
    <w:rsid w:val="009602B1"/>
    <w:rsid w:val="00960CF9"/>
    <w:rsid w:val="009611DD"/>
    <w:rsid w:val="0096170A"/>
    <w:rsid w:val="00961994"/>
    <w:rsid w:val="00961AE8"/>
    <w:rsid w:val="00961B81"/>
    <w:rsid w:val="0096267A"/>
    <w:rsid w:val="009634F5"/>
    <w:rsid w:val="0096388E"/>
    <w:rsid w:val="00963982"/>
    <w:rsid w:val="00963C52"/>
    <w:rsid w:val="00964004"/>
    <w:rsid w:val="0096426E"/>
    <w:rsid w:val="009642B9"/>
    <w:rsid w:val="009645C0"/>
    <w:rsid w:val="00964873"/>
    <w:rsid w:val="00964B7E"/>
    <w:rsid w:val="00965622"/>
    <w:rsid w:val="0096579F"/>
    <w:rsid w:val="00965AFF"/>
    <w:rsid w:val="00965C6E"/>
    <w:rsid w:val="00966358"/>
    <w:rsid w:val="00966421"/>
    <w:rsid w:val="0096642B"/>
    <w:rsid w:val="0096674D"/>
    <w:rsid w:val="0096674F"/>
    <w:rsid w:val="0096689A"/>
    <w:rsid w:val="009668EA"/>
    <w:rsid w:val="00966ABF"/>
    <w:rsid w:val="00966DF5"/>
    <w:rsid w:val="00966E46"/>
    <w:rsid w:val="009671CA"/>
    <w:rsid w:val="00967637"/>
    <w:rsid w:val="00967A57"/>
    <w:rsid w:val="0097010B"/>
    <w:rsid w:val="0097035F"/>
    <w:rsid w:val="009704D1"/>
    <w:rsid w:val="00970587"/>
    <w:rsid w:val="00970888"/>
    <w:rsid w:val="0097103A"/>
    <w:rsid w:val="00971195"/>
    <w:rsid w:val="009711AA"/>
    <w:rsid w:val="009715EC"/>
    <w:rsid w:val="0097179A"/>
    <w:rsid w:val="009718FB"/>
    <w:rsid w:val="00971D81"/>
    <w:rsid w:val="00971F27"/>
    <w:rsid w:val="009725DC"/>
    <w:rsid w:val="0097269D"/>
    <w:rsid w:val="00972988"/>
    <w:rsid w:val="00972A0E"/>
    <w:rsid w:val="0097362F"/>
    <w:rsid w:val="009739E4"/>
    <w:rsid w:val="00973B3C"/>
    <w:rsid w:val="00973D9B"/>
    <w:rsid w:val="00974044"/>
    <w:rsid w:val="009740CE"/>
    <w:rsid w:val="00974110"/>
    <w:rsid w:val="00974229"/>
    <w:rsid w:val="00974ACC"/>
    <w:rsid w:val="00975485"/>
    <w:rsid w:val="00975ABB"/>
    <w:rsid w:val="00975E42"/>
    <w:rsid w:val="00975FEA"/>
    <w:rsid w:val="00976162"/>
    <w:rsid w:val="009763E4"/>
    <w:rsid w:val="00976907"/>
    <w:rsid w:val="009769A3"/>
    <w:rsid w:val="00976D29"/>
    <w:rsid w:val="00976F5D"/>
    <w:rsid w:val="009770F1"/>
    <w:rsid w:val="00977150"/>
    <w:rsid w:val="00977ACA"/>
    <w:rsid w:val="00977ACF"/>
    <w:rsid w:val="0098028F"/>
    <w:rsid w:val="009804F0"/>
    <w:rsid w:val="009808EA"/>
    <w:rsid w:val="00980918"/>
    <w:rsid w:val="00980BB0"/>
    <w:rsid w:val="00981289"/>
    <w:rsid w:val="009813BA"/>
    <w:rsid w:val="0098143D"/>
    <w:rsid w:val="00981763"/>
    <w:rsid w:val="00981766"/>
    <w:rsid w:val="00982020"/>
    <w:rsid w:val="00982080"/>
    <w:rsid w:val="00982B00"/>
    <w:rsid w:val="0098330A"/>
    <w:rsid w:val="00983528"/>
    <w:rsid w:val="00983A13"/>
    <w:rsid w:val="00983A7D"/>
    <w:rsid w:val="00983CF3"/>
    <w:rsid w:val="00984A9D"/>
    <w:rsid w:val="00984B44"/>
    <w:rsid w:val="00984CEC"/>
    <w:rsid w:val="00984F05"/>
    <w:rsid w:val="00984F11"/>
    <w:rsid w:val="009851D6"/>
    <w:rsid w:val="00985508"/>
    <w:rsid w:val="009855F8"/>
    <w:rsid w:val="009857CD"/>
    <w:rsid w:val="00985B2C"/>
    <w:rsid w:val="0098619B"/>
    <w:rsid w:val="009866E5"/>
    <w:rsid w:val="00986769"/>
    <w:rsid w:val="00986DEC"/>
    <w:rsid w:val="00987096"/>
    <w:rsid w:val="00987260"/>
    <w:rsid w:val="009872F0"/>
    <w:rsid w:val="00987531"/>
    <w:rsid w:val="0098781D"/>
    <w:rsid w:val="00990705"/>
    <w:rsid w:val="0099083E"/>
    <w:rsid w:val="009909FC"/>
    <w:rsid w:val="00990B0E"/>
    <w:rsid w:val="00990E5F"/>
    <w:rsid w:val="00991204"/>
    <w:rsid w:val="0099134B"/>
    <w:rsid w:val="009915AA"/>
    <w:rsid w:val="009915AB"/>
    <w:rsid w:val="0099161B"/>
    <w:rsid w:val="00991A3A"/>
    <w:rsid w:val="00991DBC"/>
    <w:rsid w:val="00991F99"/>
    <w:rsid w:val="009926D7"/>
    <w:rsid w:val="0099282E"/>
    <w:rsid w:val="00992A16"/>
    <w:rsid w:val="00992D22"/>
    <w:rsid w:val="00992EC1"/>
    <w:rsid w:val="00993277"/>
    <w:rsid w:val="00993671"/>
    <w:rsid w:val="009937D6"/>
    <w:rsid w:val="009938DE"/>
    <w:rsid w:val="00993D20"/>
    <w:rsid w:val="00993F62"/>
    <w:rsid w:val="0099467F"/>
    <w:rsid w:val="00994BE9"/>
    <w:rsid w:val="00994D6F"/>
    <w:rsid w:val="00994DA1"/>
    <w:rsid w:val="00994E34"/>
    <w:rsid w:val="00994FC8"/>
    <w:rsid w:val="00995693"/>
    <w:rsid w:val="009958DE"/>
    <w:rsid w:val="0099598C"/>
    <w:rsid w:val="00995A34"/>
    <w:rsid w:val="00995CA0"/>
    <w:rsid w:val="00995FC0"/>
    <w:rsid w:val="00996166"/>
    <w:rsid w:val="009967A7"/>
    <w:rsid w:val="00996B73"/>
    <w:rsid w:val="00996CEB"/>
    <w:rsid w:val="0099729B"/>
    <w:rsid w:val="009973B3"/>
    <w:rsid w:val="009975A9"/>
    <w:rsid w:val="00997A53"/>
    <w:rsid w:val="00997D6D"/>
    <w:rsid w:val="009A0010"/>
    <w:rsid w:val="009A020E"/>
    <w:rsid w:val="009A0413"/>
    <w:rsid w:val="009A0C09"/>
    <w:rsid w:val="009A105B"/>
    <w:rsid w:val="009A166D"/>
    <w:rsid w:val="009A1D48"/>
    <w:rsid w:val="009A2608"/>
    <w:rsid w:val="009A29CE"/>
    <w:rsid w:val="009A2CB4"/>
    <w:rsid w:val="009A2D36"/>
    <w:rsid w:val="009A2E3E"/>
    <w:rsid w:val="009A2FC2"/>
    <w:rsid w:val="009A3485"/>
    <w:rsid w:val="009A3730"/>
    <w:rsid w:val="009A375A"/>
    <w:rsid w:val="009A38F9"/>
    <w:rsid w:val="009A3CAD"/>
    <w:rsid w:val="009A3E36"/>
    <w:rsid w:val="009A440E"/>
    <w:rsid w:val="009A47C6"/>
    <w:rsid w:val="009A4B82"/>
    <w:rsid w:val="009A4C78"/>
    <w:rsid w:val="009A542C"/>
    <w:rsid w:val="009A579A"/>
    <w:rsid w:val="009A6261"/>
    <w:rsid w:val="009A65BF"/>
    <w:rsid w:val="009A6858"/>
    <w:rsid w:val="009A71A7"/>
    <w:rsid w:val="009A747E"/>
    <w:rsid w:val="009A7515"/>
    <w:rsid w:val="009A76C1"/>
    <w:rsid w:val="009A7945"/>
    <w:rsid w:val="009A7E8F"/>
    <w:rsid w:val="009A7EE7"/>
    <w:rsid w:val="009B007F"/>
    <w:rsid w:val="009B0363"/>
    <w:rsid w:val="009B04F1"/>
    <w:rsid w:val="009B1086"/>
    <w:rsid w:val="009B10BA"/>
    <w:rsid w:val="009B1163"/>
    <w:rsid w:val="009B1607"/>
    <w:rsid w:val="009B1D66"/>
    <w:rsid w:val="009B209D"/>
    <w:rsid w:val="009B2143"/>
    <w:rsid w:val="009B24B8"/>
    <w:rsid w:val="009B27D6"/>
    <w:rsid w:val="009B2D78"/>
    <w:rsid w:val="009B36CB"/>
    <w:rsid w:val="009B38F3"/>
    <w:rsid w:val="009B3D3F"/>
    <w:rsid w:val="009B3D7E"/>
    <w:rsid w:val="009B41C9"/>
    <w:rsid w:val="009B4D24"/>
    <w:rsid w:val="009B4D87"/>
    <w:rsid w:val="009B50E2"/>
    <w:rsid w:val="009B5170"/>
    <w:rsid w:val="009B52EA"/>
    <w:rsid w:val="009B540C"/>
    <w:rsid w:val="009B5527"/>
    <w:rsid w:val="009B5A68"/>
    <w:rsid w:val="009B5B2F"/>
    <w:rsid w:val="009B5BFE"/>
    <w:rsid w:val="009B5C18"/>
    <w:rsid w:val="009B6300"/>
    <w:rsid w:val="009B6D0C"/>
    <w:rsid w:val="009B6EDD"/>
    <w:rsid w:val="009B75FB"/>
    <w:rsid w:val="009B7CDC"/>
    <w:rsid w:val="009B7FDF"/>
    <w:rsid w:val="009C005B"/>
    <w:rsid w:val="009C0285"/>
    <w:rsid w:val="009C0588"/>
    <w:rsid w:val="009C05B2"/>
    <w:rsid w:val="009C06BD"/>
    <w:rsid w:val="009C07C3"/>
    <w:rsid w:val="009C0A24"/>
    <w:rsid w:val="009C0DB2"/>
    <w:rsid w:val="009C0DBE"/>
    <w:rsid w:val="009C115F"/>
    <w:rsid w:val="009C122C"/>
    <w:rsid w:val="009C1642"/>
    <w:rsid w:val="009C183B"/>
    <w:rsid w:val="009C2027"/>
    <w:rsid w:val="009C2291"/>
    <w:rsid w:val="009C24D8"/>
    <w:rsid w:val="009C2A27"/>
    <w:rsid w:val="009C2F5F"/>
    <w:rsid w:val="009C3335"/>
    <w:rsid w:val="009C349A"/>
    <w:rsid w:val="009C4131"/>
    <w:rsid w:val="009C4680"/>
    <w:rsid w:val="009C4844"/>
    <w:rsid w:val="009C4920"/>
    <w:rsid w:val="009C4DE5"/>
    <w:rsid w:val="009C4E84"/>
    <w:rsid w:val="009C5407"/>
    <w:rsid w:val="009C5881"/>
    <w:rsid w:val="009C5C22"/>
    <w:rsid w:val="009C6154"/>
    <w:rsid w:val="009C6645"/>
    <w:rsid w:val="009C6662"/>
    <w:rsid w:val="009C6853"/>
    <w:rsid w:val="009C6A13"/>
    <w:rsid w:val="009C6E21"/>
    <w:rsid w:val="009C6F4F"/>
    <w:rsid w:val="009C6FF3"/>
    <w:rsid w:val="009C718A"/>
    <w:rsid w:val="009C74E7"/>
    <w:rsid w:val="009C754E"/>
    <w:rsid w:val="009C792B"/>
    <w:rsid w:val="009C7E7F"/>
    <w:rsid w:val="009D075D"/>
    <w:rsid w:val="009D0860"/>
    <w:rsid w:val="009D08BE"/>
    <w:rsid w:val="009D0A1C"/>
    <w:rsid w:val="009D0CD7"/>
    <w:rsid w:val="009D0D80"/>
    <w:rsid w:val="009D0E43"/>
    <w:rsid w:val="009D10AA"/>
    <w:rsid w:val="009D13DA"/>
    <w:rsid w:val="009D16EA"/>
    <w:rsid w:val="009D1798"/>
    <w:rsid w:val="009D1BD9"/>
    <w:rsid w:val="009D1CA1"/>
    <w:rsid w:val="009D1FCB"/>
    <w:rsid w:val="009D20B3"/>
    <w:rsid w:val="009D23EF"/>
    <w:rsid w:val="009D2572"/>
    <w:rsid w:val="009D314B"/>
    <w:rsid w:val="009D317C"/>
    <w:rsid w:val="009D3397"/>
    <w:rsid w:val="009D355F"/>
    <w:rsid w:val="009D373F"/>
    <w:rsid w:val="009D426C"/>
    <w:rsid w:val="009D49A9"/>
    <w:rsid w:val="009D4A28"/>
    <w:rsid w:val="009D4C1D"/>
    <w:rsid w:val="009D5459"/>
    <w:rsid w:val="009D556B"/>
    <w:rsid w:val="009D59B5"/>
    <w:rsid w:val="009D5EB4"/>
    <w:rsid w:val="009D61E8"/>
    <w:rsid w:val="009D64BE"/>
    <w:rsid w:val="009D65C0"/>
    <w:rsid w:val="009D676D"/>
    <w:rsid w:val="009D687B"/>
    <w:rsid w:val="009D6893"/>
    <w:rsid w:val="009D6D90"/>
    <w:rsid w:val="009D7359"/>
    <w:rsid w:val="009D7426"/>
    <w:rsid w:val="009D7551"/>
    <w:rsid w:val="009D7A9A"/>
    <w:rsid w:val="009E0146"/>
    <w:rsid w:val="009E02ED"/>
    <w:rsid w:val="009E07FD"/>
    <w:rsid w:val="009E1749"/>
    <w:rsid w:val="009E18C6"/>
    <w:rsid w:val="009E1C05"/>
    <w:rsid w:val="009E22D3"/>
    <w:rsid w:val="009E2944"/>
    <w:rsid w:val="009E2ACE"/>
    <w:rsid w:val="009E2CE3"/>
    <w:rsid w:val="009E305D"/>
    <w:rsid w:val="009E3F09"/>
    <w:rsid w:val="009E4715"/>
    <w:rsid w:val="009E47A8"/>
    <w:rsid w:val="009E482F"/>
    <w:rsid w:val="009E55E0"/>
    <w:rsid w:val="009E5701"/>
    <w:rsid w:val="009E5A07"/>
    <w:rsid w:val="009E5C6F"/>
    <w:rsid w:val="009E5E9F"/>
    <w:rsid w:val="009E5EF9"/>
    <w:rsid w:val="009E6396"/>
    <w:rsid w:val="009E7053"/>
    <w:rsid w:val="009E779E"/>
    <w:rsid w:val="009E7810"/>
    <w:rsid w:val="009E7E5D"/>
    <w:rsid w:val="009E7F93"/>
    <w:rsid w:val="009F0115"/>
    <w:rsid w:val="009F0B42"/>
    <w:rsid w:val="009F0C43"/>
    <w:rsid w:val="009F0E74"/>
    <w:rsid w:val="009F10D5"/>
    <w:rsid w:val="009F1340"/>
    <w:rsid w:val="009F13DB"/>
    <w:rsid w:val="009F1A5E"/>
    <w:rsid w:val="009F1AA4"/>
    <w:rsid w:val="009F1B6E"/>
    <w:rsid w:val="009F1D3B"/>
    <w:rsid w:val="009F2401"/>
    <w:rsid w:val="009F2753"/>
    <w:rsid w:val="009F283C"/>
    <w:rsid w:val="009F2B42"/>
    <w:rsid w:val="009F37D5"/>
    <w:rsid w:val="009F3FD8"/>
    <w:rsid w:val="009F40C2"/>
    <w:rsid w:val="009F4190"/>
    <w:rsid w:val="009F469A"/>
    <w:rsid w:val="009F48AE"/>
    <w:rsid w:val="009F49F5"/>
    <w:rsid w:val="009F4A7C"/>
    <w:rsid w:val="009F54FC"/>
    <w:rsid w:val="009F6379"/>
    <w:rsid w:val="009F7182"/>
    <w:rsid w:val="009F769A"/>
    <w:rsid w:val="009F7AD6"/>
    <w:rsid w:val="009F7C7B"/>
    <w:rsid w:val="009F7E33"/>
    <w:rsid w:val="00A000F3"/>
    <w:rsid w:val="00A0031D"/>
    <w:rsid w:val="00A00416"/>
    <w:rsid w:val="00A00E70"/>
    <w:rsid w:val="00A00F41"/>
    <w:rsid w:val="00A00F9C"/>
    <w:rsid w:val="00A01200"/>
    <w:rsid w:val="00A0186F"/>
    <w:rsid w:val="00A01C2F"/>
    <w:rsid w:val="00A01E88"/>
    <w:rsid w:val="00A01F87"/>
    <w:rsid w:val="00A01FC1"/>
    <w:rsid w:val="00A02351"/>
    <w:rsid w:val="00A0267D"/>
    <w:rsid w:val="00A02DEB"/>
    <w:rsid w:val="00A035DF"/>
    <w:rsid w:val="00A03838"/>
    <w:rsid w:val="00A04303"/>
    <w:rsid w:val="00A049AD"/>
    <w:rsid w:val="00A04F95"/>
    <w:rsid w:val="00A0508D"/>
    <w:rsid w:val="00A0525E"/>
    <w:rsid w:val="00A057AD"/>
    <w:rsid w:val="00A05D49"/>
    <w:rsid w:val="00A05FC6"/>
    <w:rsid w:val="00A066CF"/>
    <w:rsid w:val="00A06BB3"/>
    <w:rsid w:val="00A0748F"/>
    <w:rsid w:val="00A07501"/>
    <w:rsid w:val="00A075D5"/>
    <w:rsid w:val="00A077A2"/>
    <w:rsid w:val="00A0785E"/>
    <w:rsid w:val="00A0786B"/>
    <w:rsid w:val="00A100F8"/>
    <w:rsid w:val="00A1026D"/>
    <w:rsid w:val="00A11080"/>
    <w:rsid w:val="00A113C4"/>
    <w:rsid w:val="00A11729"/>
    <w:rsid w:val="00A1177F"/>
    <w:rsid w:val="00A11990"/>
    <w:rsid w:val="00A11B86"/>
    <w:rsid w:val="00A11FC2"/>
    <w:rsid w:val="00A123A8"/>
    <w:rsid w:val="00A1254E"/>
    <w:rsid w:val="00A1256C"/>
    <w:rsid w:val="00A125CA"/>
    <w:rsid w:val="00A125F2"/>
    <w:rsid w:val="00A1287B"/>
    <w:rsid w:val="00A12960"/>
    <w:rsid w:val="00A12B40"/>
    <w:rsid w:val="00A12FF2"/>
    <w:rsid w:val="00A13A8F"/>
    <w:rsid w:val="00A13ABC"/>
    <w:rsid w:val="00A1451D"/>
    <w:rsid w:val="00A14D88"/>
    <w:rsid w:val="00A14E30"/>
    <w:rsid w:val="00A14F3E"/>
    <w:rsid w:val="00A1556C"/>
    <w:rsid w:val="00A156BF"/>
    <w:rsid w:val="00A157EA"/>
    <w:rsid w:val="00A15950"/>
    <w:rsid w:val="00A16110"/>
    <w:rsid w:val="00A1613F"/>
    <w:rsid w:val="00A16720"/>
    <w:rsid w:val="00A1677A"/>
    <w:rsid w:val="00A16791"/>
    <w:rsid w:val="00A16BFE"/>
    <w:rsid w:val="00A170C5"/>
    <w:rsid w:val="00A1720C"/>
    <w:rsid w:val="00A173E6"/>
    <w:rsid w:val="00A17588"/>
    <w:rsid w:val="00A17814"/>
    <w:rsid w:val="00A17E9E"/>
    <w:rsid w:val="00A17EE6"/>
    <w:rsid w:val="00A201AD"/>
    <w:rsid w:val="00A2034A"/>
    <w:rsid w:val="00A20579"/>
    <w:rsid w:val="00A20A61"/>
    <w:rsid w:val="00A21166"/>
    <w:rsid w:val="00A2176F"/>
    <w:rsid w:val="00A218B7"/>
    <w:rsid w:val="00A219BE"/>
    <w:rsid w:val="00A21D3D"/>
    <w:rsid w:val="00A22100"/>
    <w:rsid w:val="00A222F3"/>
    <w:rsid w:val="00A223D6"/>
    <w:rsid w:val="00A2243A"/>
    <w:rsid w:val="00A224F3"/>
    <w:rsid w:val="00A2275F"/>
    <w:rsid w:val="00A227F7"/>
    <w:rsid w:val="00A22A31"/>
    <w:rsid w:val="00A22B69"/>
    <w:rsid w:val="00A2303C"/>
    <w:rsid w:val="00A23096"/>
    <w:rsid w:val="00A2370C"/>
    <w:rsid w:val="00A2392D"/>
    <w:rsid w:val="00A23B87"/>
    <w:rsid w:val="00A23C9D"/>
    <w:rsid w:val="00A23FCB"/>
    <w:rsid w:val="00A24049"/>
    <w:rsid w:val="00A240B1"/>
    <w:rsid w:val="00A24384"/>
    <w:rsid w:val="00A24614"/>
    <w:rsid w:val="00A24A45"/>
    <w:rsid w:val="00A254FA"/>
    <w:rsid w:val="00A25909"/>
    <w:rsid w:val="00A25A9A"/>
    <w:rsid w:val="00A26315"/>
    <w:rsid w:val="00A26750"/>
    <w:rsid w:val="00A268EF"/>
    <w:rsid w:val="00A26DA7"/>
    <w:rsid w:val="00A2751F"/>
    <w:rsid w:val="00A2753A"/>
    <w:rsid w:val="00A27644"/>
    <w:rsid w:val="00A2779F"/>
    <w:rsid w:val="00A278E8"/>
    <w:rsid w:val="00A3032C"/>
    <w:rsid w:val="00A309A8"/>
    <w:rsid w:val="00A312FD"/>
    <w:rsid w:val="00A31455"/>
    <w:rsid w:val="00A31A94"/>
    <w:rsid w:val="00A31DC7"/>
    <w:rsid w:val="00A31E40"/>
    <w:rsid w:val="00A31F5F"/>
    <w:rsid w:val="00A31FFC"/>
    <w:rsid w:val="00A321C0"/>
    <w:rsid w:val="00A32460"/>
    <w:rsid w:val="00A326F4"/>
    <w:rsid w:val="00A32908"/>
    <w:rsid w:val="00A32AEB"/>
    <w:rsid w:val="00A32E0A"/>
    <w:rsid w:val="00A32EF8"/>
    <w:rsid w:val="00A33910"/>
    <w:rsid w:val="00A33AB4"/>
    <w:rsid w:val="00A33F82"/>
    <w:rsid w:val="00A346FF"/>
    <w:rsid w:val="00A34F47"/>
    <w:rsid w:val="00A34F76"/>
    <w:rsid w:val="00A34F98"/>
    <w:rsid w:val="00A3505C"/>
    <w:rsid w:val="00A35C0E"/>
    <w:rsid w:val="00A35FED"/>
    <w:rsid w:val="00A362D5"/>
    <w:rsid w:val="00A36D78"/>
    <w:rsid w:val="00A36EE9"/>
    <w:rsid w:val="00A370E2"/>
    <w:rsid w:val="00A3777E"/>
    <w:rsid w:val="00A37F60"/>
    <w:rsid w:val="00A4026F"/>
    <w:rsid w:val="00A40428"/>
    <w:rsid w:val="00A40605"/>
    <w:rsid w:val="00A40BD5"/>
    <w:rsid w:val="00A40C0A"/>
    <w:rsid w:val="00A41B5D"/>
    <w:rsid w:val="00A41F05"/>
    <w:rsid w:val="00A41F68"/>
    <w:rsid w:val="00A41FCC"/>
    <w:rsid w:val="00A42235"/>
    <w:rsid w:val="00A42552"/>
    <w:rsid w:val="00A42870"/>
    <w:rsid w:val="00A42BE9"/>
    <w:rsid w:val="00A42E39"/>
    <w:rsid w:val="00A42F0F"/>
    <w:rsid w:val="00A43167"/>
    <w:rsid w:val="00A431A8"/>
    <w:rsid w:val="00A43547"/>
    <w:rsid w:val="00A438C1"/>
    <w:rsid w:val="00A43BCC"/>
    <w:rsid w:val="00A44724"/>
    <w:rsid w:val="00A44CF9"/>
    <w:rsid w:val="00A44DF4"/>
    <w:rsid w:val="00A44F9A"/>
    <w:rsid w:val="00A4512F"/>
    <w:rsid w:val="00A45392"/>
    <w:rsid w:val="00A453E5"/>
    <w:rsid w:val="00A4558E"/>
    <w:rsid w:val="00A458DE"/>
    <w:rsid w:val="00A45B78"/>
    <w:rsid w:val="00A45C33"/>
    <w:rsid w:val="00A45FAE"/>
    <w:rsid w:val="00A462DC"/>
    <w:rsid w:val="00A46BEF"/>
    <w:rsid w:val="00A46D3F"/>
    <w:rsid w:val="00A47124"/>
    <w:rsid w:val="00A47295"/>
    <w:rsid w:val="00A4775F"/>
    <w:rsid w:val="00A47CEB"/>
    <w:rsid w:val="00A500AF"/>
    <w:rsid w:val="00A5010D"/>
    <w:rsid w:val="00A50404"/>
    <w:rsid w:val="00A50836"/>
    <w:rsid w:val="00A512C2"/>
    <w:rsid w:val="00A5130F"/>
    <w:rsid w:val="00A51396"/>
    <w:rsid w:val="00A51D9E"/>
    <w:rsid w:val="00A5232F"/>
    <w:rsid w:val="00A52373"/>
    <w:rsid w:val="00A5245D"/>
    <w:rsid w:val="00A52B3C"/>
    <w:rsid w:val="00A52D74"/>
    <w:rsid w:val="00A52E8B"/>
    <w:rsid w:val="00A535C2"/>
    <w:rsid w:val="00A53DE7"/>
    <w:rsid w:val="00A53E33"/>
    <w:rsid w:val="00A544FD"/>
    <w:rsid w:val="00A5480B"/>
    <w:rsid w:val="00A55033"/>
    <w:rsid w:val="00A550A2"/>
    <w:rsid w:val="00A55204"/>
    <w:rsid w:val="00A55453"/>
    <w:rsid w:val="00A55988"/>
    <w:rsid w:val="00A563FC"/>
    <w:rsid w:val="00A56527"/>
    <w:rsid w:val="00A56654"/>
    <w:rsid w:val="00A56735"/>
    <w:rsid w:val="00A56A21"/>
    <w:rsid w:val="00A56A88"/>
    <w:rsid w:val="00A56FBC"/>
    <w:rsid w:val="00A571CF"/>
    <w:rsid w:val="00A5762F"/>
    <w:rsid w:val="00A576BC"/>
    <w:rsid w:val="00A57845"/>
    <w:rsid w:val="00A57B7E"/>
    <w:rsid w:val="00A57B9C"/>
    <w:rsid w:val="00A57BF8"/>
    <w:rsid w:val="00A60140"/>
    <w:rsid w:val="00A603AB"/>
    <w:rsid w:val="00A6061A"/>
    <w:rsid w:val="00A60A5D"/>
    <w:rsid w:val="00A60FEA"/>
    <w:rsid w:val="00A612FE"/>
    <w:rsid w:val="00A61308"/>
    <w:rsid w:val="00A6130E"/>
    <w:rsid w:val="00A61B60"/>
    <w:rsid w:val="00A61B7E"/>
    <w:rsid w:val="00A61E68"/>
    <w:rsid w:val="00A62888"/>
    <w:rsid w:val="00A62F52"/>
    <w:rsid w:val="00A638A0"/>
    <w:rsid w:val="00A63DC8"/>
    <w:rsid w:val="00A63E55"/>
    <w:rsid w:val="00A6408B"/>
    <w:rsid w:val="00A64414"/>
    <w:rsid w:val="00A64B33"/>
    <w:rsid w:val="00A652BB"/>
    <w:rsid w:val="00A65370"/>
    <w:rsid w:val="00A65401"/>
    <w:rsid w:val="00A654F2"/>
    <w:rsid w:val="00A655B0"/>
    <w:rsid w:val="00A655C9"/>
    <w:rsid w:val="00A6581F"/>
    <w:rsid w:val="00A659B8"/>
    <w:rsid w:val="00A65A42"/>
    <w:rsid w:val="00A65B3C"/>
    <w:rsid w:val="00A65C5E"/>
    <w:rsid w:val="00A65DAD"/>
    <w:rsid w:val="00A65F2B"/>
    <w:rsid w:val="00A65F54"/>
    <w:rsid w:val="00A6649E"/>
    <w:rsid w:val="00A66533"/>
    <w:rsid w:val="00A66C4A"/>
    <w:rsid w:val="00A67B84"/>
    <w:rsid w:val="00A67E64"/>
    <w:rsid w:val="00A67EC0"/>
    <w:rsid w:val="00A702BD"/>
    <w:rsid w:val="00A703DB"/>
    <w:rsid w:val="00A70B73"/>
    <w:rsid w:val="00A712DE"/>
    <w:rsid w:val="00A714CC"/>
    <w:rsid w:val="00A714D9"/>
    <w:rsid w:val="00A71506"/>
    <w:rsid w:val="00A7158F"/>
    <w:rsid w:val="00A71DF9"/>
    <w:rsid w:val="00A71E42"/>
    <w:rsid w:val="00A721BA"/>
    <w:rsid w:val="00A72266"/>
    <w:rsid w:val="00A723D7"/>
    <w:rsid w:val="00A72451"/>
    <w:rsid w:val="00A7277A"/>
    <w:rsid w:val="00A72B1C"/>
    <w:rsid w:val="00A72E15"/>
    <w:rsid w:val="00A730CE"/>
    <w:rsid w:val="00A732F0"/>
    <w:rsid w:val="00A7366E"/>
    <w:rsid w:val="00A739B5"/>
    <w:rsid w:val="00A7444E"/>
    <w:rsid w:val="00A74480"/>
    <w:rsid w:val="00A74790"/>
    <w:rsid w:val="00A747DC"/>
    <w:rsid w:val="00A74954"/>
    <w:rsid w:val="00A74AC8"/>
    <w:rsid w:val="00A74B30"/>
    <w:rsid w:val="00A74FC9"/>
    <w:rsid w:val="00A74FF5"/>
    <w:rsid w:val="00A75112"/>
    <w:rsid w:val="00A75278"/>
    <w:rsid w:val="00A756BA"/>
    <w:rsid w:val="00A756EE"/>
    <w:rsid w:val="00A7595D"/>
    <w:rsid w:val="00A759E2"/>
    <w:rsid w:val="00A75DB8"/>
    <w:rsid w:val="00A7620E"/>
    <w:rsid w:val="00A762A6"/>
    <w:rsid w:val="00A762CC"/>
    <w:rsid w:val="00A764E4"/>
    <w:rsid w:val="00A77748"/>
    <w:rsid w:val="00A77850"/>
    <w:rsid w:val="00A7799F"/>
    <w:rsid w:val="00A77D3A"/>
    <w:rsid w:val="00A801A4"/>
    <w:rsid w:val="00A8038D"/>
    <w:rsid w:val="00A80401"/>
    <w:rsid w:val="00A8058D"/>
    <w:rsid w:val="00A80622"/>
    <w:rsid w:val="00A80674"/>
    <w:rsid w:val="00A806D5"/>
    <w:rsid w:val="00A8070A"/>
    <w:rsid w:val="00A80E1D"/>
    <w:rsid w:val="00A80EE2"/>
    <w:rsid w:val="00A80FE4"/>
    <w:rsid w:val="00A812C3"/>
    <w:rsid w:val="00A815C9"/>
    <w:rsid w:val="00A817AE"/>
    <w:rsid w:val="00A81986"/>
    <w:rsid w:val="00A81CB9"/>
    <w:rsid w:val="00A821F7"/>
    <w:rsid w:val="00A8245F"/>
    <w:rsid w:val="00A829FD"/>
    <w:rsid w:val="00A83F2B"/>
    <w:rsid w:val="00A84084"/>
    <w:rsid w:val="00A8448E"/>
    <w:rsid w:val="00A845F0"/>
    <w:rsid w:val="00A8496F"/>
    <w:rsid w:val="00A84A5B"/>
    <w:rsid w:val="00A84A99"/>
    <w:rsid w:val="00A84D91"/>
    <w:rsid w:val="00A85012"/>
    <w:rsid w:val="00A85511"/>
    <w:rsid w:val="00A8598B"/>
    <w:rsid w:val="00A85A28"/>
    <w:rsid w:val="00A85BB7"/>
    <w:rsid w:val="00A86D6A"/>
    <w:rsid w:val="00A87192"/>
    <w:rsid w:val="00A87243"/>
    <w:rsid w:val="00A87A40"/>
    <w:rsid w:val="00A87BD4"/>
    <w:rsid w:val="00A87EF3"/>
    <w:rsid w:val="00A90987"/>
    <w:rsid w:val="00A90BC8"/>
    <w:rsid w:val="00A90C9F"/>
    <w:rsid w:val="00A91382"/>
    <w:rsid w:val="00A918C5"/>
    <w:rsid w:val="00A91D88"/>
    <w:rsid w:val="00A93536"/>
    <w:rsid w:val="00A935EA"/>
    <w:rsid w:val="00A944AA"/>
    <w:rsid w:val="00A94A7A"/>
    <w:rsid w:val="00A94B47"/>
    <w:rsid w:val="00A94B92"/>
    <w:rsid w:val="00A94DFE"/>
    <w:rsid w:val="00A95025"/>
    <w:rsid w:val="00A9518B"/>
    <w:rsid w:val="00A955F3"/>
    <w:rsid w:val="00A95908"/>
    <w:rsid w:val="00A9592D"/>
    <w:rsid w:val="00A96295"/>
    <w:rsid w:val="00A96341"/>
    <w:rsid w:val="00A96546"/>
    <w:rsid w:val="00A96841"/>
    <w:rsid w:val="00A968EC"/>
    <w:rsid w:val="00A96964"/>
    <w:rsid w:val="00A96B9D"/>
    <w:rsid w:val="00A96BBA"/>
    <w:rsid w:val="00A96CC4"/>
    <w:rsid w:val="00A97038"/>
    <w:rsid w:val="00A97261"/>
    <w:rsid w:val="00A97B4A"/>
    <w:rsid w:val="00AA1277"/>
    <w:rsid w:val="00AA130A"/>
    <w:rsid w:val="00AA13AE"/>
    <w:rsid w:val="00AA147A"/>
    <w:rsid w:val="00AA1613"/>
    <w:rsid w:val="00AA16BE"/>
    <w:rsid w:val="00AA176D"/>
    <w:rsid w:val="00AA1BAC"/>
    <w:rsid w:val="00AA20B1"/>
    <w:rsid w:val="00AA20D1"/>
    <w:rsid w:val="00AA218D"/>
    <w:rsid w:val="00AA23D3"/>
    <w:rsid w:val="00AA2467"/>
    <w:rsid w:val="00AA2AC4"/>
    <w:rsid w:val="00AA32DB"/>
    <w:rsid w:val="00AA36DF"/>
    <w:rsid w:val="00AA3B1D"/>
    <w:rsid w:val="00AA3E43"/>
    <w:rsid w:val="00AA448F"/>
    <w:rsid w:val="00AA4607"/>
    <w:rsid w:val="00AA4793"/>
    <w:rsid w:val="00AA4A3F"/>
    <w:rsid w:val="00AA541A"/>
    <w:rsid w:val="00AA587B"/>
    <w:rsid w:val="00AA5914"/>
    <w:rsid w:val="00AA5BCE"/>
    <w:rsid w:val="00AA6B00"/>
    <w:rsid w:val="00AA6CA3"/>
    <w:rsid w:val="00AA72CE"/>
    <w:rsid w:val="00AA7AF2"/>
    <w:rsid w:val="00AA7D26"/>
    <w:rsid w:val="00AB01AE"/>
    <w:rsid w:val="00AB02D5"/>
    <w:rsid w:val="00AB075F"/>
    <w:rsid w:val="00AB07C8"/>
    <w:rsid w:val="00AB0A3B"/>
    <w:rsid w:val="00AB0C68"/>
    <w:rsid w:val="00AB16B9"/>
    <w:rsid w:val="00AB1B9B"/>
    <w:rsid w:val="00AB1C3B"/>
    <w:rsid w:val="00AB1C55"/>
    <w:rsid w:val="00AB2085"/>
    <w:rsid w:val="00AB212F"/>
    <w:rsid w:val="00AB2A9C"/>
    <w:rsid w:val="00AB2B6E"/>
    <w:rsid w:val="00AB3B20"/>
    <w:rsid w:val="00AB3BEA"/>
    <w:rsid w:val="00AB3DE7"/>
    <w:rsid w:val="00AB3FE6"/>
    <w:rsid w:val="00AB434F"/>
    <w:rsid w:val="00AB4496"/>
    <w:rsid w:val="00AB47AD"/>
    <w:rsid w:val="00AB4A35"/>
    <w:rsid w:val="00AB5AC0"/>
    <w:rsid w:val="00AB5CCA"/>
    <w:rsid w:val="00AB63AC"/>
    <w:rsid w:val="00AB6735"/>
    <w:rsid w:val="00AB68F5"/>
    <w:rsid w:val="00AB6982"/>
    <w:rsid w:val="00AB70B8"/>
    <w:rsid w:val="00AB747F"/>
    <w:rsid w:val="00AB770E"/>
    <w:rsid w:val="00AB7889"/>
    <w:rsid w:val="00AB7BFD"/>
    <w:rsid w:val="00AB7E03"/>
    <w:rsid w:val="00AB7E4E"/>
    <w:rsid w:val="00AB7FB0"/>
    <w:rsid w:val="00AC0788"/>
    <w:rsid w:val="00AC0863"/>
    <w:rsid w:val="00AC0ECF"/>
    <w:rsid w:val="00AC15F4"/>
    <w:rsid w:val="00AC1D4E"/>
    <w:rsid w:val="00AC1F7B"/>
    <w:rsid w:val="00AC1F83"/>
    <w:rsid w:val="00AC240F"/>
    <w:rsid w:val="00AC247A"/>
    <w:rsid w:val="00AC26AE"/>
    <w:rsid w:val="00AC2E21"/>
    <w:rsid w:val="00AC30D6"/>
    <w:rsid w:val="00AC3646"/>
    <w:rsid w:val="00AC36CC"/>
    <w:rsid w:val="00AC3996"/>
    <w:rsid w:val="00AC3D16"/>
    <w:rsid w:val="00AC4469"/>
    <w:rsid w:val="00AC469A"/>
    <w:rsid w:val="00AC4C49"/>
    <w:rsid w:val="00AC4FB1"/>
    <w:rsid w:val="00AC50AC"/>
    <w:rsid w:val="00AC523F"/>
    <w:rsid w:val="00AC543B"/>
    <w:rsid w:val="00AC5484"/>
    <w:rsid w:val="00AC5B96"/>
    <w:rsid w:val="00AC5D55"/>
    <w:rsid w:val="00AC64D0"/>
    <w:rsid w:val="00AC6848"/>
    <w:rsid w:val="00AC68FD"/>
    <w:rsid w:val="00AC6F55"/>
    <w:rsid w:val="00AC6FDD"/>
    <w:rsid w:val="00AC73C1"/>
    <w:rsid w:val="00AC766A"/>
    <w:rsid w:val="00AC7AA3"/>
    <w:rsid w:val="00AC7FB5"/>
    <w:rsid w:val="00AD0566"/>
    <w:rsid w:val="00AD07E9"/>
    <w:rsid w:val="00AD09C5"/>
    <w:rsid w:val="00AD0FFA"/>
    <w:rsid w:val="00AD1060"/>
    <w:rsid w:val="00AD118E"/>
    <w:rsid w:val="00AD1947"/>
    <w:rsid w:val="00AD1A0F"/>
    <w:rsid w:val="00AD1B27"/>
    <w:rsid w:val="00AD1BE8"/>
    <w:rsid w:val="00AD1DB7"/>
    <w:rsid w:val="00AD2123"/>
    <w:rsid w:val="00AD23C5"/>
    <w:rsid w:val="00AD2484"/>
    <w:rsid w:val="00AD27A2"/>
    <w:rsid w:val="00AD2C62"/>
    <w:rsid w:val="00AD32D9"/>
    <w:rsid w:val="00AD34B6"/>
    <w:rsid w:val="00AD3A41"/>
    <w:rsid w:val="00AD4067"/>
    <w:rsid w:val="00AD448C"/>
    <w:rsid w:val="00AD44F8"/>
    <w:rsid w:val="00AD45E3"/>
    <w:rsid w:val="00AD49B8"/>
    <w:rsid w:val="00AD49F5"/>
    <w:rsid w:val="00AD4B65"/>
    <w:rsid w:val="00AD569B"/>
    <w:rsid w:val="00AD5E42"/>
    <w:rsid w:val="00AD646B"/>
    <w:rsid w:val="00AD655F"/>
    <w:rsid w:val="00AD6BAE"/>
    <w:rsid w:val="00AD729E"/>
    <w:rsid w:val="00AD7408"/>
    <w:rsid w:val="00AD7457"/>
    <w:rsid w:val="00AD772F"/>
    <w:rsid w:val="00AD792C"/>
    <w:rsid w:val="00AD7BC7"/>
    <w:rsid w:val="00AD7C19"/>
    <w:rsid w:val="00AE00FC"/>
    <w:rsid w:val="00AE0AF3"/>
    <w:rsid w:val="00AE0D94"/>
    <w:rsid w:val="00AE106E"/>
    <w:rsid w:val="00AE144E"/>
    <w:rsid w:val="00AE1A28"/>
    <w:rsid w:val="00AE1CF4"/>
    <w:rsid w:val="00AE1D7F"/>
    <w:rsid w:val="00AE2349"/>
    <w:rsid w:val="00AE27C1"/>
    <w:rsid w:val="00AE2B3E"/>
    <w:rsid w:val="00AE30D1"/>
    <w:rsid w:val="00AE3971"/>
    <w:rsid w:val="00AE3B26"/>
    <w:rsid w:val="00AE3F21"/>
    <w:rsid w:val="00AE44D3"/>
    <w:rsid w:val="00AE46B6"/>
    <w:rsid w:val="00AE48E4"/>
    <w:rsid w:val="00AE4BC6"/>
    <w:rsid w:val="00AE4DB2"/>
    <w:rsid w:val="00AE52BA"/>
    <w:rsid w:val="00AE53AB"/>
    <w:rsid w:val="00AE5674"/>
    <w:rsid w:val="00AE6384"/>
    <w:rsid w:val="00AE64FA"/>
    <w:rsid w:val="00AE66B5"/>
    <w:rsid w:val="00AE6802"/>
    <w:rsid w:val="00AE6BAF"/>
    <w:rsid w:val="00AE6D20"/>
    <w:rsid w:val="00AE6D34"/>
    <w:rsid w:val="00AE6DA6"/>
    <w:rsid w:val="00AE72B8"/>
    <w:rsid w:val="00AE73B8"/>
    <w:rsid w:val="00AE7611"/>
    <w:rsid w:val="00AE78D8"/>
    <w:rsid w:val="00AF0689"/>
    <w:rsid w:val="00AF0E11"/>
    <w:rsid w:val="00AF13D2"/>
    <w:rsid w:val="00AF150C"/>
    <w:rsid w:val="00AF201A"/>
    <w:rsid w:val="00AF3188"/>
    <w:rsid w:val="00AF3393"/>
    <w:rsid w:val="00AF39AC"/>
    <w:rsid w:val="00AF3DAB"/>
    <w:rsid w:val="00AF3F3B"/>
    <w:rsid w:val="00AF4247"/>
    <w:rsid w:val="00AF48D8"/>
    <w:rsid w:val="00AF4A4F"/>
    <w:rsid w:val="00AF4B03"/>
    <w:rsid w:val="00AF5136"/>
    <w:rsid w:val="00AF54F0"/>
    <w:rsid w:val="00AF587B"/>
    <w:rsid w:val="00AF5ACE"/>
    <w:rsid w:val="00AF5D92"/>
    <w:rsid w:val="00AF6075"/>
    <w:rsid w:val="00AF61C9"/>
    <w:rsid w:val="00AF62AD"/>
    <w:rsid w:val="00AF62C4"/>
    <w:rsid w:val="00AF663C"/>
    <w:rsid w:val="00AF6841"/>
    <w:rsid w:val="00AF6FDA"/>
    <w:rsid w:val="00AF7049"/>
    <w:rsid w:val="00AF70CD"/>
    <w:rsid w:val="00AF7546"/>
    <w:rsid w:val="00AF76C9"/>
    <w:rsid w:val="00AF78B1"/>
    <w:rsid w:val="00AF79DE"/>
    <w:rsid w:val="00B00220"/>
    <w:rsid w:val="00B006E6"/>
    <w:rsid w:val="00B00941"/>
    <w:rsid w:val="00B016D7"/>
    <w:rsid w:val="00B01AC9"/>
    <w:rsid w:val="00B0219D"/>
    <w:rsid w:val="00B0238D"/>
    <w:rsid w:val="00B023C0"/>
    <w:rsid w:val="00B0269B"/>
    <w:rsid w:val="00B029CE"/>
    <w:rsid w:val="00B02A7C"/>
    <w:rsid w:val="00B02D46"/>
    <w:rsid w:val="00B03370"/>
    <w:rsid w:val="00B03DBA"/>
    <w:rsid w:val="00B046A9"/>
    <w:rsid w:val="00B04BA8"/>
    <w:rsid w:val="00B04C60"/>
    <w:rsid w:val="00B05471"/>
    <w:rsid w:val="00B05481"/>
    <w:rsid w:val="00B05644"/>
    <w:rsid w:val="00B058C9"/>
    <w:rsid w:val="00B058FE"/>
    <w:rsid w:val="00B059E6"/>
    <w:rsid w:val="00B05D35"/>
    <w:rsid w:val="00B05E64"/>
    <w:rsid w:val="00B05F83"/>
    <w:rsid w:val="00B0620D"/>
    <w:rsid w:val="00B062E9"/>
    <w:rsid w:val="00B064A9"/>
    <w:rsid w:val="00B06F2D"/>
    <w:rsid w:val="00B07028"/>
    <w:rsid w:val="00B07192"/>
    <w:rsid w:val="00B07231"/>
    <w:rsid w:val="00B072C1"/>
    <w:rsid w:val="00B07706"/>
    <w:rsid w:val="00B07C5B"/>
    <w:rsid w:val="00B07DF2"/>
    <w:rsid w:val="00B07E6D"/>
    <w:rsid w:val="00B108E5"/>
    <w:rsid w:val="00B10DBA"/>
    <w:rsid w:val="00B10EF0"/>
    <w:rsid w:val="00B111D1"/>
    <w:rsid w:val="00B112CC"/>
    <w:rsid w:val="00B11555"/>
    <w:rsid w:val="00B11D08"/>
    <w:rsid w:val="00B12448"/>
    <w:rsid w:val="00B1245B"/>
    <w:rsid w:val="00B1265E"/>
    <w:rsid w:val="00B12663"/>
    <w:rsid w:val="00B129A9"/>
    <w:rsid w:val="00B129E7"/>
    <w:rsid w:val="00B12C06"/>
    <w:rsid w:val="00B131D2"/>
    <w:rsid w:val="00B135B7"/>
    <w:rsid w:val="00B13622"/>
    <w:rsid w:val="00B13BDD"/>
    <w:rsid w:val="00B13C24"/>
    <w:rsid w:val="00B13FB9"/>
    <w:rsid w:val="00B1432A"/>
    <w:rsid w:val="00B145A5"/>
    <w:rsid w:val="00B146A6"/>
    <w:rsid w:val="00B146B5"/>
    <w:rsid w:val="00B146CD"/>
    <w:rsid w:val="00B14C17"/>
    <w:rsid w:val="00B14DBA"/>
    <w:rsid w:val="00B1540B"/>
    <w:rsid w:val="00B1553F"/>
    <w:rsid w:val="00B15678"/>
    <w:rsid w:val="00B157BD"/>
    <w:rsid w:val="00B15A28"/>
    <w:rsid w:val="00B15C29"/>
    <w:rsid w:val="00B1603E"/>
    <w:rsid w:val="00B1610F"/>
    <w:rsid w:val="00B16245"/>
    <w:rsid w:val="00B16880"/>
    <w:rsid w:val="00B16ADE"/>
    <w:rsid w:val="00B16E3C"/>
    <w:rsid w:val="00B16ED0"/>
    <w:rsid w:val="00B17189"/>
    <w:rsid w:val="00B17227"/>
    <w:rsid w:val="00B17536"/>
    <w:rsid w:val="00B17749"/>
    <w:rsid w:val="00B1780B"/>
    <w:rsid w:val="00B17F8C"/>
    <w:rsid w:val="00B20815"/>
    <w:rsid w:val="00B20A06"/>
    <w:rsid w:val="00B21651"/>
    <w:rsid w:val="00B2168E"/>
    <w:rsid w:val="00B21B06"/>
    <w:rsid w:val="00B224AD"/>
    <w:rsid w:val="00B224FF"/>
    <w:rsid w:val="00B22965"/>
    <w:rsid w:val="00B22D01"/>
    <w:rsid w:val="00B22DC1"/>
    <w:rsid w:val="00B22F9B"/>
    <w:rsid w:val="00B2305F"/>
    <w:rsid w:val="00B2335C"/>
    <w:rsid w:val="00B23580"/>
    <w:rsid w:val="00B236A4"/>
    <w:rsid w:val="00B237DA"/>
    <w:rsid w:val="00B23819"/>
    <w:rsid w:val="00B2397E"/>
    <w:rsid w:val="00B23D0E"/>
    <w:rsid w:val="00B24370"/>
    <w:rsid w:val="00B247FD"/>
    <w:rsid w:val="00B24823"/>
    <w:rsid w:val="00B25477"/>
    <w:rsid w:val="00B257C7"/>
    <w:rsid w:val="00B258F4"/>
    <w:rsid w:val="00B25C22"/>
    <w:rsid w:val="00B25F77"/>
    <w:rsid w:val="00B2602A"/>
    <w:rsid w:val="00B26288"/>
    <w:rsid w:val="00B262BF"/>
    <w:rsid w:val="00B2636F"/>
    <w:rsid w:val="00B26AD5"/>
    <w:rsid w:val="00B26AE5"/>
    <w:rsid w:val="00B26B57"/>
    <w:rsid w:val="00B26D0D"/>
    <w:rsid w:val="00B26EB0"/>
    <w:rsid w:val="00B276B8"/>
    <w:rsid w:val="00B27E89"/>
    <w:rsid w:val="00B30069"/>
    <w:rsid w:val="00B301AC"/>
    <w:rsid w:val="00B302F6"/>
    <w:rsid w:val="00B304A8"/>
    <w:rsid w:val="00B30A45"/>
    <w:rsid w:val="00B30A99"/>
    <w:rsid w:val="00B30C6B"/>
    <w:rsid w:val="00B316B7"/>
    <w:rsid w:val="00B326F9"/>
    <w:rsid w:val="00B3287F"/>
    <w:rsid w:val="00B32CE8"/>
    <w:rsid w:val="00B335C1"/>
    <w:rsid w:val="00B33A6F"/>
    <w:rsid w:val="00B33B2B"/>
    <w:rsid w:val="00B33D90"/>
    <w:rsid w:val="00B3414A"/>
    <w:rsid w:val="00B3423E"/>
    <w:rsid w:val="00B34333"/>
    <w:rsid w:val="00B34405"/>
    <w:rsid w:val="00B34EE3"/>
    <w:rsid w:val="00B35523"/>
    <w:rsid w:val="00B356D0"/>
    <w:rsid w:val="00B3591E"/>
    <w:rsid w:val="00B35A74"/>
    <w:rsid w:val="00B35DDF"/>
    <w:rsid w:val="00B35F7E"/>
    <w:rsid w:val="00B36207"/>
    <w:rsid w:val="00B3649D"/>
    <w:rsid w:val="00B36749"/>
    <w:rsid w:val="00B36817"/>
    <w:rsid w:val="00B368BF"/>
    <w:rsid w:val="00B36A7C"/>
    <w:rsid w:val="00B36E1B"/>
    <w:rsid w:val="00B37521"/>
    <w:rsid w:val="00B37545"/>
    <w:rsid w:val="00B37C29"/>
    <w:rsid w:val="00B37E36"/>
    <w:rsid w:val="00B402E0"/>
    <w:rsid w:val="00B41AF0"/>
    <w:rsid w:val="00B41C1B"/>
    <w:rsid w:val="00B41C20"/>
    <w:rsid w:val="00B42042"/>
    <w:rsid w:val="00B42278"/>
    <w:rsid w:val="00B42393"/>
    <w:rsid w:val="00B4249C"/>
    <w:rsid w:val="00B42536"/>
    <w:rsid w:val="00B428D6"/>
    <w:rsid w:val="00B42BD9"/>
    <w:rsid w:val="00B42D24"/>
    <w:rsid w:val="00B42E93"/>
    <w:rsid w:val="00B43088"/>
    <w:rsid w:val="00B43141"/>
    <w:rsid w:val="00B433BC"/>
    <w:rsid w:val="00B434C9"/>
    <w:rsid w:val="00B43931"/>
    <w:rsid w:val="00B43ED6"/>
    <w:rsid w:val="00B440C0"/>
    <w:rsid w:val="00B44E47"/>
    <w:rsid w:val="00B4517E"/>
    <w:rsid w:val="00B45440"/>
    <w:rsid w:val="00B45767"/>
    <w:rsid w:val="00B45FDA"/>
    <w:rsid w:val="00B46256"/>
    <w:rsid w:val="00B462E6"/>
    <w:rsid w:val="00B463E9"/>
    <w:rsid w:val="00B463EF"/>
    <w:rsid w:val="00B466F2"/>
    <w:rsid w:val="00B46909"/>
    <w:rsid w:val="00B46B44"/>
    <w:rsid w:val="00B46DF6"/>
    <w:rsid w:val="00B47110"/>
    <w:rsid w:val="00B47264"/>
    <w:rsid w:val="00B4748B"/>
    <w:rsid w:val="00B4751B"/>
    <w:rsid w:val="00B47602"/>
    <w:rsid w:val="00B47E4D"/>
    <w:rsid w:val="00B5055B"/>
    <w:rsid w:val="00B50C0F"/>
    <w:rsid w:val="00B51023"/>
    <w:rsid w:val="00B510BA"/>
    <w:rsid w:val="00B5124C"/>
    <w:rsid w:val="00B5148D"/>
    <w:rsid w:val="00B5149B"/>
    <w:rsid w:val="00B5169A"/>
    <w:rsid w:val="00B51B9F"/>
    <w:rsid w:val="00B51C72"/>
    <w:rsid w:val="00B5231E"/>
    <w:rsid w:val="00B52475"/>
    <w:rsid w:val="00B528F0"/>
    <w:rsid w:val="00B52975"/>
    <w:rsid w:val="00B52B51"/>
    <w:rsid w:val="00B53005"/>
    <w:rsid w:val="00B53831"/>
    <w:rsid w:val="00B53835"/>
    <w:rsid w:val="00B53A95"/>
    <w:rsid w:val="00B53A9D"/>
    <w:rsid w:val="00B53EB0"/>
    <w:rsid w:val="00B53EF7"/>
    <w:rsid w:val="00B543F7"/>
    <w:rsid w:val="00B54884"/>
    <w:rsid w:val="00B54949"/>
    <w:rsid w:val="00B5510E"/>
    <w:rsid w:val="00B552F4"/>
    <w:rsid w:val="00B553AC"/>
    <w:rsid w:val="00B5543B"/>
    <w:rsid w:val="00B55B50"/>
    <w:rsid w:val="00B55C68"/>
    <w:rsid w:val="00B56147"/>
    <w:rsid w:val="00B562A4"/>
    <w:rsid w:val="00B56657"/>
    <w:rsid w:val="00B56BC8"/>
    <w:rsid w:val="00B56F4E"/>
    <w:rsid w:val="00B570D8"/>
    <w:rsid w:val="00B57192"/>
    <w:rsid w:val="00B57435"/>
    <w:rsid w:val="00B5746E"/>
    <w:rsid w:val="00B5750D"/>
    <w:rsid w:val="00B578CF"/>
    <w:rsid w:val="00B57AFF"/>
    <w:rsid w:val="00B57E6C"/>
    <w:rsid w:val="00B601EE"/>
    <w:rsid w:val="00B6083A"/>
    <w:rsid w:val="00B60949"/>
    <w:rsid w:val="00B60D97"/>
    <w:rsid w:val="00B60F71"/>
    <w:rsid w:val="00B61039"/>
    <w:rsid w:val="00B61052"/>
    <w:rsid w:val="00B611C2"/>
    <w:rsid w:val="00B611DE"/>
    <w:rsid w:val="00B612ED"/>
    <w:rsid w:val="00B616C8"/>
    <w:rsid w:val="00B61AF5"/>
    <w:rsid w:val="00B61B21"/>
    <w:rsid w:val="00B61CD7"/>
    <w:rsid w:val="00B62C0A"/>
    <w:rsid w:val="00B62DFF"/>
    <w:rsid w:val="00B63214"/>
    <w:rsid w:val="00B634C6"/>
    <w:rsid w:val="00B63835"/>
    <w:rsid w:val="00B63CAD"/>
    <w:rsid w:val="00B63EBC"/>
    <w:rsid w:val="00B63F45"/>
    <w:rsid w:val="00B644EA"/>
    <w:rsid w:val="00B64585"/>
    <w:rsid w:val="00B646C7"/>
    <w:rsid w:val="00B64D0F"/>
    <w:rsid w:val="00B64FDB"/>
    <w:rsid w:val="00B6524C"/>
    <w:rsid w:val="00B65482"/>
    <w:rsid w:val="00B65807"/>
    <w:rsid w:val="00B65EDB"/>
    <w:rsid w:val="00B66230"/>
    <w:rsid w:val="00B66A2E"/>
    <w:rsid w:val="00B66C78"/>
    <w:rsid w:val="00B67061"/>
    <w:rsid w:val="00B67074"/>
    <w:rsid w:val="00B67742"/>
    <w:rsid w:val="00B67BB0"/>
    <w:rsid w:val="00B7055D"/>
    <w:rsid w:val="00B70621"/>
    <w:rsid w:val="00B707B9"/>
    <w:rsid w:val="00B70DB9"/>
    <w:rsid w:val="00B70DE1"/>
    <w:rsid w:val="00B710DA"/>
    <w:rsid w:val="00B71333"/>
    <w:rsid w:val="00B716EB"/>
    <w:rsid w:val="00B7178F"/>
    <w:rsid w:val="00B7180B"/>
    <w:rsid w:val="00B71D97"/>
    <w:rsid w:val="00B7220A"/>
    <w:rsid w:val="00B72651"/>
    <w:rsid w:val="00B72A88"/>
    <w:rsid w:val="00B72AFF"/>
    <w:rsid w:val="00B72B24"/>
    <w:rsid w:val="00B73057"/>
    <w:rsid w:val="00B7312F"/>
    <w:rsid w:val="00B731AB"/>
    <w:rsid w:val="00B73218"/>
    <w:rsid w:val="00B73EDF"/>
    <w:rsid w:val="00B741EC"/>
    <w:rsid w:val="00B74A23"/>
    <w:rsid w:val="00B74A71"/>
    <w:rsid w:val="00B74DFD"/>
    <w:rsid w:val="00B75031"/>
    <w:rsid w:val="00B758E9"/>
    <w:rsid w:val="00B75D74"/>
    <w:rsid w:val="00B76166"/>
    <w:rsid w:val="00B76996"/>
    <w:rsid w:val="00B76AB0"/>
    <w:rsid w:val="00B77451"/>
    <w:rsid w:val="00B77D75"/>
    <w:rsid w:val="00B77E34"/>
    <w:rsid w:val="00B77FF0"/>
    <w:rsid w:val="00B801D0"/>
    <w:rsid w:val="00B801FA"/>
    <w:rsid w:val="00B803C9"/>
    <w:rsid w:val="00B80661"/>
    <w:rsid w:val="00B806DD"/>
    <w:rsid w:val="00B80D70"/>
    <w:rsid w:val="00B80D89"/>
    <w:rsid w:val="00B811B2"/>
    <w:rsid w:val="00B81451"/>
    <w:rsid w:val="00B82179"/>
    <w:rsid w:val="00B828AE"/>
    <w:rsid w:val="00B82A15"/>
    <w:rsid w:val="00B82CE4"/>
    <w:rsid w:val="00B832F1"/>
    <w:rsid w:val="00B83562"/>
    <w:rsid w:val="00B835D9"/>
    <w:rsid w:val="00B84204"/>
    <w:rsid w:val="00B842B1"/>
    <w:rsid w:val="00B84729"/>
    <w:rsid w:val="00B854D5"/>
    <w:rsid w:val="00B8597E"/>
    <w:rsid w:val="00B859D1"/>
    <w:rsid w:val="00B85BC3"/>
    <w:rsid w:val="00B85DA7"/>
    <w:rsid w:val="00B85ED6"/>
    <w:rsid w:val="00B86AAF"/>
    <w:rsid w:val="00B870A4"/>
    <w:rsid w:val="00B8713C"/>
    <w:rsid w:val="00B8734F"/>
    <w:rsid w:val="00B8742D"/>
    <w:rsid w:val="00B8761C"/>
    <w:rsid w:val="00B87874"/>
    <w:rsid w:val="00B87AED"/>
    <w:rsid w:val="00B87D9D"/>
    <w:rsid w:val="00B90862"/>
    <w:rsid w:val="00B90880"/>
    <w:rsid w:val="00B90885"/>
    <w:rsid w:val="00B90B60"/>
    <w:rsid w:val="00B90BD2"/>
    <w:rsid w:val="00B920DF"/>
    <w:rsid w:val="00B932F2"/>
    <w:rsid w:val="00B9363E"/>
    <w:rsid w:val="00B93724"/>
    <w:rsid w:val="00B937E2"/>
    <w:rsid w:val="00B942F5"/>
    <w:rsid w:val="00B94B52"/>
    <w:rsid w:val="00B94B74"/>
    <w:rsid w:val="00B94EFF"/>
    <w:rsid w:val="00B95008"/>
    <w:rsid w:val="00B951E6"/>
    <w:rsid w:val="00B95243"/>
    <w:rsid w:val="00B95293"/>
    <w:rsid w:val="00B953BD"/>
    <w:rsid w:val="00B956FC"/>
    <w:rsid w:val="00B957D9"/>
    <w:rsid w:val="00B95B43"/>
    <w:rsid w:val="00B95BBC"/>
    <w:rsid w:val="00B96158"/>
    <w:rsid w:val="00B96241"/>
    <w:rsid w:val="00B965AA"/>
    <w:rsid w:val="00B96795"/>
    <w:rsid w:val="00B969D3"/>
    <w:rsid w:val="00B969FB"/>
    <w:rsid w:val="00B96BD4"/>
    <w:rsid w:val="00B96FF3"/>
    <w:rsid w:val="00B9718E"/>
    <w:rsid w:val="00B97842"/>
    <w:rsid w:val="00B97B5D"/>
    <w:rsid w:val="00B97BAC"/>
    <w:rsid w:val="00B97C6E"/>
    <w:rsid w:val="00B97FED"/>
    <w:rsid w:val="00BA0086"/>
    <w:rsid w:val="00BA0350"/>
    <w:rsid w:val="00BA0483"/>
    <w:rsid w:val="00BA0891"/>
    <w:rsid w:val="00BA089D"/>
    <w:rsid w:val="00BA0A40"/>
    <w:rsid w:val="00BA0A9D"/>
    <w:rsid w:val="00BA0B55"/>
    <w:rsid w:val="00BA0C97"/>
    <w:rsid w:val="00BA0D39"/>
    <w:rsid w:val="00BA0FE1"/>
    <w:rsid w:val="00BA112A"/>
    <w:rsid w:val="00BA13AA"/>
    <w:rsid w:val="00BA1406"/>
    <w:rsid w:val="00BA1D8F"/>
    <w:rsid w:val="00BA22D5"/>
    <w:rsid w:val="00BA2548"/>
    <w:rsid w:val="00BA27A5"/>
    <w:rsid w:val="00BA296F"/>
    <w:rsid w:val="00BA2C76"/>
    <w:rsid w:val="00BA2CA2"/>
    <w:rsid w:val="00BA2CF0"/>
    <w:rsid w:val="00BA36BF"/>
    <w:rsid w:val="00BA3B10"/>
    <w:rsid w:val="00BA3C33"/>
    <w:rsid w:val="00BA43AC"/>
    <w:rsid w:val="00BA46A0"/>
    <w:rsid w:val="00BA4795"/>
    <w:rsid w:val="00BA4CAB"/>
    <w:rsid w:val="00BA4DC8"/>
    <w:rsid w:val="00BA4EBC"/>
    <w:rsid w:val="00BA4F65"/>
    <w:rsid w:val="00BA55BE"/>
    <w:rsid w:val="00BA57F6"/>
    <w:rsid w:val="00BA5A2D"/>
    <w:rsid w:val="00BA5A84"/>
    <w:rsid w:val="00BA5BB4"/>
    <w:rsid w:val="00BA5FD5"/>
    <w:rsid w:val="00BA6221"/>
    <w:rsid w:val="00BA6F28"/>
    <w:rsid w:val="00BA71BF"/>
    <w:rsid w:val="00BA7247"/>
    <w:rsid w:val="00BA739E"/>
    <w:rsid w:val="00BA79B4"/>
    <w:rsid w:val="00BA7C56"/>
    <w:rsid w:val="00BA7E58"/>
    <w:rsid w:val="00BB04FD"/>
    <w:rsid w:val="00BB068D"/>
    <w:rsid w:val="00BB08CC"/>
    <w:rsid w:val="00BB0A6D"/>
    <w:rsid w:val="00BB0D96"/>
    <w:rsid w:val="00BB0E3B"/>
    <w:rsid w:val="00BB126E"/>
    <w:rsid w:val="00BB1C95"/>
    <w:rsid w:val="00BB2110"/>
    <w:rsid w:val="00BB234C"/>
    <w:rsid w:val="00BB2740"/>
    <w:rsid w:val="00BB2AB3"/>
    <w:rsid w:val="00BB2CA5"/>
    <w:rsid w:val="00BB2E14"/>
    <w:rsid w:val="00BB36A8"/>
    <w:rsid w:val="00BB38DA"/>
    <w:rsid w:val="00BB3A3B"/>
    <w:rsid w:val="00BB3E3D"/>
    <w:rsid w:val="00BB4AB9"/>
    <w:rsid w:val="00BB4B1E"/>
    <w:rsid w:val="00BB4B35"/>
    <w:rsid w:val="00BB4E38"/>
    <w:rsid w:val="00BB4EBE"/>
    <w:rsid w:val="00BB53D1"/>
    <w:rsid w:val="00BB53FF"/>
    <w:rsid w:val="00BB56D0"/>
    <w:rsid w:val="00BB581F"/>
    <w:rsid w:val="00BB58C1"/>
    <w:rsid w:val="00BB5D1B"/>
    <w:rsid w:val="00BB5FB0"/>
    <w:rsid w:val="00BB6448"/>
    <w:rsid w:val="00BB666F"/>
    <w:rsid w:val="00BB6F5C"/>
    <w:rsid w:val="00BB7057"/>
    <w:rsid w:val="00BB7070"/>
    <w:rsid w:val="00BB75F9"/>
    <w:rsid w:val="00BB7867"/>
    <w:rsid w:val="00BB7A96"/>
    <w:rsid w:val="00BB7B37"/>
    <w:rsid w:val="00BB7C80"/>
    <w:rsid w:val="00BC00D0"/>
    <w:rsid w:val="00BC00F3"/>
    <w:rsid w:val="00BC054A"/>
    <w:rsid w:val="00BC06C0"/>
    <w:rsid w:val="00BC09EE"/>
    <w:rsid w:val="00BC0BC3"/>
    <w:rsid w:val="00BC0F68"/>
    <w:rsid w:val="00BC101D"/>
    <w:rsid w:val="00BC1196"/>
    <w:rsid w:val="00BC1396"/>
    <w:rsid w:val="00BC200A"/>
    <w:rsid w:val="00BC22B0"/>
    <w:rsid w:val="00BC237A"/>
    <w:rsid w:val="00BC2775"/>
    <w:rsid w:val="00BC2C73"/>
    <w:rsid w:val="00BC2F4B"/>
    <w:rsid w:val="00BC3234"/>
    <w:rsid w:val="00BC3A30"/>
    <w:rsid w:val="00BC3A89"/>
    <w:rsid w:val="00BC3C94"/>
    <w:rsid w:val="00BC3CC2"/>
    <w:rsid w:val="00BC40E8"/>
    <w:rsid w:val="00BC432A"/>
    <w:rsid w:val="00BC4581"/>
    <w:rsid w:val="00BC4725"/>
    <w:rsid w:val="00BC477C"/>
    <w:rsid w:val="00BC4D36"/>
    <w:rsid w:val="00BC4E07"/>
    <w:rsid w:val="00BC5447"/>
    <w:rsid w:val="00BC5935"/>
    <w:rsid w:val="00BC61DE"/>
    <w:rsid w:val="00BC62D3"/>
    <w:rsid w:val="00BC6316"/>
    <w:rsid w:val="00BC64C8"/>
    <w:rsid w:val="00BC6659"/>
    <w:rsid w:val="00BC6C8D"/>
    <w:rsid w:val="00BC73D1"/>
    <w:rsid w:val="00BC75F4"/>
    <w:rsid w:val="00BC7E26"/>
    <w:rsid w:val="00BD00D5"/>
    <w:rsid w:val="00BD0296"/>
    <w:rsid w:val="00BD085A"/>
    <w:rsid w:val="00BD0D1F"/>
    <w:rsid w:val="00BD1220"/>
    <w:rsid w:val="00BD13F1"/>
    <w:rsid w:val="00BD1ACA"/>
    <w:rsid w:val="00BD1F84"/>
    <w:rsid w:val="00BD25B7"/>
    <w:rsid w:val="00BD2712"/>
    <w:rsid w:val="00BD2A56"/>
    <w:rsid w:val="00BD3624"/>
    <w:rsid w:val="00BD3A81"/>
    <w:rsid w:val="00BD3AE2"/>
    <w:rsid w:val="00BD3E33"/>
    <w:rsid w:val="00BD3FF8"/>
    <w:rsid w:val="00BD425C"/>
    <w:rsid w:val="00BD4C3D"/>
    <w:rsid w:val="00BD5048"/>
    <w:rsid w:val="00BD5338"/>
    <w:rsid w:val="00BD5418"/>
    <w:rsid w:val="00BD58DF"/>
    <w:rsid w:val="00BD6066"/>
    <w:rsid w:val="00BD66C3"/>
    <w:rsid w:val="00BD68F3"/>
    <w:rsid w:val="00BD71E6"/>
    <w:rsid w:val="00BD7257"/>
    <w:rsid w:val="00BD7342"/>
    <w:rsid w:val="00BD739C"/>
    <w:rsid w:val="00BD77F6"/>
    <w:rsid w:val="00BD7887"/>
    <w:rsid w:val="00BD7DE1"/>
    <w:rsid w:val="00BD7EE0"/>
    <w:rsid w:val="00BD7F2B"/>
    <w:rsid w:val="00BE00BF"/>
    <w:rsid w:val="00BE0420"/>
    <w:rsid w:val="00BE0463"/>
    <w:rsid w:val="00BE0709"/>
    <w:rsid w:val="00BE086B"/>
    <w:rsid w:val="00BE0CFF"/>
    <w:rsid w:val="00BE1350"/>
    <w:rsid w:val="00BE1412"/>
    <w:rsid w:val="00BE1BA1"/>
    <w:rsid w:val="00BE220C"/>
    <w:rsid w:val="00BE2750"/>
    <w:rsid w:val="00BE28EF"/>
    <w:rsid w:val="00BE2A58"/>
    <w:rsid w:val="00BE2AC2"/>
    <w:rsid w:val="00BE2E36"/>
    <w:rsid w:val="00BE2E9F"/>
    <w:rsid w:val="00BE3000"/>
    <w:rsid w:val="00BE30A8"/>
    <w:rsid w:val="00BE326D"/>
    <w:rsid w:val="00BE3349"/>
    <w:rsid w:val="00BE3398"/>
    <w:rsid w:val="00BE397C"/>
    <w:rsid w:val="00BE3A46"/>
    <w:rsid w:val="00BE43F0"/>
    <w:rsid w:val="00BE4438"/>
    <w:rsid w:val="00BE44EF"/>
    <w:rsid w:val="00BE4555"/>
    <w:rsid w:val="00BE4A5E"/>
    <w:rsid w:val="00BE4C1F"/>
    <w:rsid w:val="00BE58A4"/>
    <w:rsid w:val="00BE595A"/>
    <w:rsid w:val="00BE59BF"/>
    <w:rsid w:val="00BE5C0F"/>
    <w:rsid w:val="00BE5C30"/>
    <w:rsid w:val="00BE5F8E"/>
    <w:rsid w:val="00BE63DB"/>
    <w:rsid w:val="00BE6467"/>
    <w:rsid w:val="00BE684A"/>
    <w:rsid w:val="00BE6ED4"/>
    <w:rsid w:val="00BE71BD"/>
    <w:rsid w:val="00BE758F"/>
    <w:rsid w:val="00BE786E"/>
    <w:rsid w:val="00BE7BE9"/>
    <w:rsid w:val="00BF06DA"/>
    <w:rsid w:val="00BF0803"/>
    <w:rsid w:val="00BF087D"/>
    <w:rsid w:val="00BF0975"/>
    <w:rsid w:val="00BF0A87"/>
    <w:rsid w:val="00BF0D5E"/>
    <w:rsid w:val="00BF1082"/>
    <w:rsid w:val="00BF10F2"/>
    <w:rsid w:val="00BF156B"/>
    <w:rsid w:val="00BF19E1"/>
    <w:rsid w:val="00BF26C6"/>
    <w:rsid w:val="00BF2D94"/>
    <w:rsid w:val="00BF431F"/>
    <w:rsid w:val="00BF4399"/>
    <w:rsid w:val="00BF45ED"/>
    <w:rsid w:val="00BF47B5"/>
    <w:rsid w:val="00BF4A99"/>
    <w:rsid w:val="00BF4DBA"/>
    <w:rsid w:val="00BF50A4"/>
    <w:rsid w:val="00BF51DA"/>
    <w:rsid w:val="00BF5498"/>
    <w:rsid w:val="00BF54F8"/>
    <w:rsid w:val="00BF5E59"/>
    <w:rsid w:val="00BF5F55"/>
    <w:rsid w:val="00BF5F6C"/>
    <w:rsid w:val="00BF6634"/>
    <w:rsid w:val="00BF68A8"/>
    <w:rsid w:val="00BF72DA"/>
    <w:rsid w:val="00BF755B"/>
    <w:rsid w:val="00BF79CB"/>
    <w:rsid w:val="00BF7F97"/>
    <w:rsid w:val="00BF7FCF"/>
    <w:rsid w:val="00C00EE2"/>
    <w:rsid w:val="00C0105D"/>
    <w:rsid w:val="00C012B9"/>
    <w:rsid w:val="00C0169B"/>
    <w:rsid w:val="00C01978"/>
    <w:rsid w:val="00C01CC7"/>
    <w:rsid w:val="00C0234E"/>
    <w:rsid w:val="00C023C6"/>
    <w:rsid w:val="00C02A25"/>
    <w:rsid w:val="00C02B90"/>
    <w:rsid w:val="00C03475"/>
    <w:rsid w:val="00C0374C"/>
    <w:rsid w:val="00C03930"/>
    <w:rsid w:val="00C03942"/>
    <w:rsid w:val="00C03A24"/>
    <w:rsid w:val="00C03C46"/>
    <w:rsid w:val="00C03CBC"/>
    <w:rsid w:val="00C03E60"/>
    <w:rsid w:val="00C0424D"/>
    <w:rsid w:val="00C04851"/>
    <w:rsid w:val="00C05268"/>
    <w:rsid w:val="00C05384"/>
    <w:rsid w:val="00C05F53"/>
    <w:rsid w:val="00C06480"/>
    <w:rsid w:val="00C064E0"/>
    <w:rsid w:val="00C06D1A"/>
    <w:rsid w:val="00C06E6C"/>
    <w:rsid w:val="00C0749B"/>
    <w:rsid w:val="00C07D5F"/>
    <w:rsid w:val="00C07E80"/>
    <w:rsid w:val="00C07F17"/>
    <w:rsid w:val="00C07FED"/>
    <w:rsid w:val="00C10018"/>
    <w:rsid w:val="00C102BD"/>
    <w:rsid w:val="00C10C00"/>
    <w:rsid w:val="00C10C96"/>
    <w:rsid w:val="00C10EA5"/>
    <w:rsid w:val="00C10F06"/>
    <w:rsid w:val="00C110E0"/>
    <w:rsid w:val="00C11A23"/>
    <w:rsid w:val="00C11C95"/>
    <w:rsid w:val="00C11FF9"/>
    <w:rsid w:val="00C12158"/>
    <w:rsid w:val="00C121A2"/>
    <w:rsid w:val="00C123C8"/>
    <w:rsid w:val="00C12672"/>
    <w:rsid w:val="00C12FB6"/>
    <w:rsid w:val="00C13F9D"/>
    <w:rsid w:val="00C141D0"/>
    <w:rsid w:val="00C14204"/>
    <w:rsid w:val="00C14837"/>
    <w:rsid w:val="00C14B27"/>
    <w:rsid w:val="00C14BC2"/>
    <w:rsid w:val="00C1540B"/>
    <w:rsid w:val="00C157CC"/>
    <w:rsid w:val="00C15B2C"/>
    <w:rsid w:val="00C15C25"/>
    <w:rsid w:val="00C161AC"/>
    <w:rsid w:val="00C16729"/>
    <w:rsid w:val="00C1690F"/>
    <w:rsid w:val="00C16E73"/>
    <w:rsid w:val="00C1732F"/>
    <w:rsid w:val="00C17A8A"/>
    <w:rsid w:val="00C201B8"/>
    <w:rsid w:val="00C201E8"/>
    <w:rsid w:val="00C2073F"/>
    <w:rsid w:val="00C20785"/>
    <w:rsid w:val="00C20B69"/>
    <w:rsid w:val="00C20B7D"/>
    <w:rsid w:val="00C2171F"/>
    <w:rsid w:val="00C218BC"/>
    <w:rsid w:val="00C21AA0"/>
    <w:rsid w:val="00C22255"/>
    <w:rsid w:val="00C2229F"/>
    <w:rsid w:val="00C224D8"/>
    <w:rsid w:val="00C225BE"/>
    <w:rsid w:val="00C22B06"/>
    <w:rsid w:val="00C22C40"/>
    <w:rsid w:val="00C22CF3"/>
    <w:rsid w:val="00C22F88"/>
    <w:rsid w:val="00C2360C"/>
    <w:rsid w:val="00C23A9C"/>
    <w:rsid w:val="00C23AB3"/>
    <w:rsid w:val="00C24061"/>
    <w:rsid w:val="00C242B1"/>
    <w:rsid w:val="00C2449D"/>
    <w:rsid w:val="00C245FC"/>
    <w:rsid w:val="00C24730"/>
    <w:rsid w:val="00C247BF"/>
    <w:rsid w:val="00C25168"/>
    <w:rsid w:val="00C25279"/>
    <w:rsid w:val="00C25701"/>
    <w:rsid w:val="00C2589E"/>
    <w:rsid w:val="00C25DCC"/>
    <w:rsid w:val="00C26030"/>
    <w:rsid w:val="00C26AEC"/>
    <w:rsid w:val="00C26B40"/>
    <w:rsid w:val="00C26D85"/>
    <w:rsid w:val="00C26E30"/>
    <w:rsid w:val="00C271BA"/>
    <w:rsid w:val="00C27339"/>
    <w:rsid w:val="00C27AF6"/>
    <w:rsid w:val="00C302A5"/>
    <w:rsid w:val="00C30398"/>
    <w:rsid w:val="00C307B6"/>
    <w:rsid w:val="00C30CC4"/>
    <w:rsid w:val="00C30CDE"/>
    <w:rsid w:val="00C30EFE"/>
    <w:rsid w:val="00C30F7A"/>
    <w:rsid w:val="00C31417"/>
    <w:rsid w:val="00C317CF"/>
    <w:rsid w:val="00C3223E"/>
    <w:rsid w:val="00C329E4"/>
    <w:rsid w:val="00C32C27"/>
    <w:rsid w:val="00C335C9"/>
    <w:rsid w:val="00C338A8"/>
    <w:rsid w:val="00C339C9"/>
    <w:rsid w:val="00C33A50"/>
    <w:rsid w:val="00C33C6D"/>
    <w:rsid w:val="00C3417B"/>
    <w:rsid w:val="00C342DF"/>
    <w:rsid w:val="00C343BD"/>
    <w:rsid w:val="00C34701"/>
    <w:rsid w:val="00C34F29"/>
    <w:rsid w:val="00C34F31"/>
    <w:rsid w:val="00C350C8"/>
    <w:rsid w:val="00C350DA"/>
    <w:rsid w:val="00C350E0"/>
    <w:rsid w:val="00C35212"/>
    <w:rsid w:val="00C3538F"/>
    <w:rsid w:val="00C3562D"/>
    <w:rsid w:val="00C35681"/>
    <w:rsid w:val="00C35C64"/>
    <w:rsid w:val="00C363BA"/>
    <w:rsid w:val="00C367BA"/>
    <w:rsid w:val="00C36E06"/>
    <w:rsid w:val="00C371EA"/>
    <w:rsid w:val="00C375F9"/>
    <w:rsid w:val="00C37637"/>
    <w:rsid w:val="00C37753"/>
    <w:rsid w:val="00C40077"/>
    <w:rsid w:val="00C40181"/>
    <w:rsid w:val="00C401B7"/>
    <w:rsid w:val="00C403A6"/>
    <w:rsid w:val="00C4101A"/>
    <w:rsid w:val="00C41465"/>
    <w:rsid w:val="00C4157D"/>
    <w:rsid w:val="00C41841"/>
    <w:rsid w:val="00C41904"/>
    <w:rsid w:val="00C41937"/>
    <w:rsid w:val="00C41B19"/>
    <w:rsid w:val="00C41C02"/>
    <w:rsid w:val="00C42243"/>
    <w:rsid w:val="00C4244C"/>
    <w:rsid w:val="00C424D2"/>
    <w:rsid w:val="00C42506"/>
    <w:rsid w:val="00C42AB6"/>
    <w:rsid w:val="00C42AD8"/>
    <w:rsid w:val="00C42F50"/>
    <w:rsid w:val="00C43823"/>
    <w:rsid w:val="00C4397E"/>
    <w:rsid w:val="00C43F70"/>
    <w:rsid w:val="00C44260"/>
    <w:rsid w:val="00C44E45"/>
    <w:rsid w:val="00C44F45"/>
    <w:rsid w:val="00C453A1"/>
    <w:rsid w:val="00C45440"/>
    <w:rsid w:val="00C456B5"/>
    <w:rsid w:val="00C4586B"/>
    <w:rsid w:val="00C46707"/>
    <w:rsid w:val="00C471B2"/>
    <w:rsid w:val="00C4792C"/>
    <w:rsid w:val="00C47E43"/>
    <w:rsid w:val="00C505C1"/>
    <w:rsid w:val="00C50630"/>
    <w:rsid w:val="00C506A9"/>
    <w:rsid w:val="00C50E78"/>
    <w:rsid w:val="00C50E80"/>
    <w:rsid w:val="00C51092"/>
    <w:rsid w:val="00C510B9"/>
    <w:rsid w:val="00C514CE"/>
    <w:rsid w:val="00C51826"/>
    <w:rsid w:val="00C5191E"/>
    <w:rsid w:val="00C51A14"/>
    <w:rsid w:val="00C51D1B"/>
    <w:rsid w:val="00C51D3D"/>
    <w:rsid w:val="00C51DF4"/>
    <w:rsid w:val="00C52089"/>
    <w:rsid w:val="00C5252E"/>
    <w:rsid w:val="00C529AB"/>
    <w:rsid w:val="00C52C4E"/>
    <w:rsid w:val="00C533D6"/>
    <w:rsid w:val="00C536CB"/>
    <w:rsid w:val="00C539D4"/>
    <w:rsid w:val="00C546D8"/>
    <w:rsid w:val="00C54A74"/>
    <w:rsid w:val="00C550B0"/>
    <w:rsid w:val="00C55447"/>
    <w:rsid w:val="00C55A93"/>
    <w:rsid w:val="00C55CC0"/>
    <w:rsid w:val="00C55F43"/>
    <w:rsid w:val="00C568CB"/>
    <w:rsid w:val="00C569B9"/>
    <w:rsid w:val="00C56C45"/>
    <w:rsid w:val="00C56DEF"/>
    <w:rsid w:val="00C572DF"/>
    <w:rsid w:val="00C5787E"/>
    <w:rsid w:val="00C57AB1"/>
    <w:rsid w:val="00C607A8"/>
    <w:rsid w:val="00C60BE5"/>
    <w:rsid w:val="00C60EF8"/>
    <w:rsid w:val="00C60F27"/>
    <w:rsid w:val="00C61381"/>
    <w:rsid w:val="00C617FB"/>
    <w:rsid w:val="00C61AAE"/>
    <w:rsid w:val="00C61E61"/>
    <w:rsid w:val="00C6206A"/>
    <w:rsid w:val="00C6216B"/>
    <w:rsid w:val="00C62A43"/>
    <w:rsid w:val="00C6309D"/>
    <w:rsid w:val="00C63203"/>
    <w:rsid w:val="00C63885"/>
    <w:rsid w:val="00C63A20"/>
    <w:rsid w:val="00C63B00"/>
    <w:rsid w:val="00C63CA3"/>
    <w:rsid w:val="00C63FBD"/>
    <w:rsid w:val="00C642AA"/>
    <w:rsid w:val="00C6432C"/>
    <w:rsid w:val="00C64410"/>
    <w:rsid w:val="00C6486E"/>
    <w:rsid w:val="00C648C6"/>
    <w:rsid w:val="00C64DD9"/>
    <w:rsid w:val="00C64EFE"/>
    <w:rsid w:val="00C65558"/>
    <w:rsid w:val="00C663FF"/>
    <w:rsid w:val="00C66481"/>
    <w:rsid w:val="00C66877"/>
    <w:rsid w:val="00C6698E"/>
    <w:rsid w:val="00C66D03"/>
    <w:rsid w:val="00C66FB3"/>
    <w:rsid w:val="00C67403"/>
    <w:rsid w:val="00C674D8"/>
    <w:rsid w:val="00C7031F"/>
    <w:rsid w:val="00C703BB"/>
    <w:rsid w:val="00C715CA"/>
    <w:rsid w:val="00C71695"/>
    <w:rsid w:val="00C718DB"/>
    <w:rsid w:val="00C71BD8"/>
    <w:rsid w:val="00C71BE6"/>
    <w:rsid w:val="00C71CF8"/>
    <w:rsid w:val="00C722E5"/>
    <w:rsid w:val="00C722FB"/>
    <w:rsid w:val="00C7255B"/>
    <w:rsid w:val="00C73437"/>
    <w:rsid w:val="00C73947"/>
    <w:rsid w:val="00C739F4"/>
    <w:rsid w:val="00C73D2A"/>
    <w:rsid w:val="00C73FE5"/>
    <w:rsid w:val="00C7494C"/>
    <w:rsid w:val="00C74A09"/>
    <w:rsid w:val="00C74D47"/>
    <w:rsid w:val="00C74EF8"/>
    <w:rsid w:val="00C74F42"/>
    <w:rsid w:val="00C757AF"/>
    <w:rsid w:val="00C757FC"/>
    <w:rsid w:val="00C758ED"/>
    <w:rsid w:val="00C76059"/>
    <w:rsid w:val="00C7629B"/>
    <w:rsid w:val="00C76453"/>
    <w:rsid w:val="00C76A16"/>
    <w:rsid w:val="00C76D91"/>
    <w:rsid w:val="00C76E8B"/>
    <w:rsid w:val="00C76EF2"/>
    <w:rsid w:val="00C77091"/>
    <w:rsid w:val="00C770FE"/>
    <w:rsid w:val="00C77F43"/>
    <w:rsid w:val="00C77FFB"/>
    <w:rsid w:val="00C80591"/>
    <w:rsid w:val="00C8093F"/>
    <w:rsid w:val="00C809C8"/>
    <w:rsid w:val="00C80A08"/>
    <w:rsid w:val="00C80A5D"/>
    <w:rsid w:val="00C81060"/>
    <w:rsid w:val="00C811FC"/>
    <w:rsid w:val="00C81734"/>
    <w:rsid w:val="00C81980"/>
    <w:rsid w:val="00C81F48"/>
    <w:rsid w:val="00C82085"/>
    <w:rsid w:val="00C82315"/>
    <w:rsid w:val="00C825B1"/>
    <w:rsid w:val="00C82EC1"/>
    <w:rsid w:val="00C8339F"/>
    <w:rsid w:val="00C83753"/>
    <w:rsid w:val="00C8394A"/>
    <w:rsid w:val="00C83D47"/>
    <w:rsid w:val="00C8400D"/>
    <w:rsid w:val="00C842E7"/>
    <w:rsid w:val="00C84357"/>
    <w:rsid w:val="00C84733"/>
    <w:rsid w:val="00C8497A"/>
    <w:rsid w:val="00C84C29"/>
    <w:rsid w:val="00C850C0"/>
    <w:rsid w:val="00C85574"/>
    <w:rsid w:val="00C85BE6"/>
    <w:rsid w:val="00C85D19"/>
    <w:rsid w:val="00C85DBC"/>
    <w:rsid w:val="00C85DC1"/>
    <w:rsid w:val="00C85E38"/>
    <w:rsid w:val="00C8643A"/>
    <w:rsid w:val="00C8665A"/>
    <w:rsid w:val="00C8694C"/>
    <w:rsid w:val="00C86E05"/>
    <w:rsid w:val="00C8729E"/>
    <w:rsid w:val="00C873CD"/>
    <w:rsid w:val="00C87DD3"/>
    <w:rsid w:val="00C87EE8"/>
    <w:rsid w:val="00C9071D"/>
    <w:rsid w:val="00C9088F"/>
    <w:rsid w:val="00C9163E"/>
    <w:rsid w:val="00C91F66"/>
    <w:rsid w:val="00C928F3"/>
    <w:rsid w:val="00C92983"/>
    <w:rsid w:val="00C92C56"/>
    <w:rsid w:val="00C93181"/>
    <w:rsid w:val="00C93B2C"/>
    <w:rsid w:val="00C93E82"/>
    <w:rsid w:val="00C93FF9"/>
    <w:rsid w:val="00C94178"/>
    <w:rsid w:val="00C9469B"/>
    <w:rsid w:val="00C946C7"/>
    <w:rsid w:val="00C946DF"/>
    <w:rsid w:val="00C946ED"/>
    <w:rsid w:val="00C94F3E"/>
    <w:rsid w:val="00C95394"/>
    <w:rsid w:val="00C9589F"/>
    <w:rsid w:val="00C95BB3"/>
    <w:rsid w:val="00C95C78"/>
    <w:rsid w:val="00C961B4"/>
    <w:rsid w:val="00C96320"/>
    <w:rsid w:val="00C964DA"/>
    <w:rsid w:val="00C9660F"/>
    <w:rsid w:val="00C96B53"/>
    <w:rsid w:val="00C96D80"/>
    <w:rsid w:val="00C97122"/>
    <w:rsid w:val="00C97631"/>
    <w:rsid w:val="00C97E8C"/>
    <w:rsid w:val="00C97F55"/>
    <w:rsid w:val="00CA0083"/>
    <w:rsid w:val="00CA0273"/>
    <w:rsid w:val="00CA0342"/>
    <w:rsid w:val="00CA1292"/>
    <w:rsid w:val="00CA139D"/>
    <w:rsid w:val="00CA16A2"/>
    <w:rsid w:val="00CA1915"/>
    <w:rsid w:val="00CA1F91"/>
    <w:rsid w:val="00CA1FC6"/>
    <w:rsid w:val="00CA2030"/>
    <w:rsid w:val="00CA2143"/>
    <w:rsid w:val="00CA216C"/>
    <w:rsid w:val="00CA265E"/>
    <w:rsid w:val="00CA27F4"/>
    <w:rsid w:val="00CA2CF5"/>
    <w:rsid w:val="00CA3454"/>
    <w:rsid w:val="00CA39FA"/>
    <w:rsid w:val="00CA3E99"/>
    <w:rsid w:val="00CA3F53"/>
    <w:rsid w:val="00CA3F84"/>
    <w:rsid w:val="00CA409F"/>
    <w:rsid w:val="00CA4323"/>
    <w:rsid w:val="00CA46B3"/>
    <w:rsid w:val="00CA4B1E"/>
    <w:rsid w:val="00CA500A"/>
    <w:rsid w:val="00CA50B8"/>
    <w:rsid w:val="00CA511B"/>
    <w:rsid w:val="00CA511D"/>
    <w:rsid w:val="00CA5566"/>
    <w:rsid w:val="00CA5CB3"/>
    <w:rsid w:val="00CA5DC6"/>
    <w:rsid w:val="00CA5EAE"/>
    <w:rsid w:val="00CA663C"/>
    <w:rsid w:val="00CA66EA"/>
    <w:rsid w:val="00CA6863"/>
    <w:rsid w:val="00CA6A99"/>
    <w:rsid w:val="00CA7010"/>
    <w:rsid w:val="00CA7617"/>
    <w:rsid w:val="00CA7CF0"/>
    <w:rsid w:val="00CA7E05"/>
    <w:rsid w:val="00CB07BC"/>
    <w:rsid w:val="00CB07F3"/>
    <w:rsid w:val="00CB087F"/>
    <w:rsid w:val="00CB0E30"/>
    <w:rsid w:val="00CB1054"/>
    <w:rsid w:val="00CB14D1"/>
    <w:rsid w:val="00CB15B7"/>
    <w:rsid w:val="00CB1A29"/>
    <w:rsid w:val="00CB1E3A"/>
    <w:rsid w:val="00CB2565"/>
    <w:rsid w:val="00CB2625"/>
    <w:rsid w:val="00CB281D"/>
    <w:rsid w:val="00CB2952"/>
    <w:rsid w:val="00CB2ACD"/>
    <w:rsid w:val="00CB2CA3"/>
    <w:rsid w:val="00CB2CF9"/>
    <w:rsid w:val="00CB2E3F"/>
    <w:rsid w:val="00CB2F08"/>
    <w:rsid w:val="00CB3939"/>
    <w:rsid w:val="00CB4343"/>
    <w:rsid w:val="00CB44B1"/>
    <w:rsid w:val="00CB44E2"/>
    <w:rsid w:val="00CB45F0"/>
    <w:rsid w:val="00CB5B23"/>
    <w:rsid w:val="00CB5DC3"/>
    <w:rsid w:val="00CB61A8"/>
    <w:rsid w:val="00CB6533"/>
    <w:rsid w:val="00CB663D"/>
    <w:rsid w:val="00CB6759"/>
    <w:rsid w:val="00CB6E35"/>
    <w:rsid w:val="00CB7131"/>
    <w:rsid w:val="00CB7483"/>
    <w:rsid w:val="00CB797D"/>
    <w:rsid w:val="00CB7A8E"/>
    <w:rsid w:val="00CB7B09"/>
    <w:rsid w:val="00CB7C29"/>
    <w:rsid w:val="00CC01E3"/>
    <w:rsid w:val="00CC02B0"/>
    <w:rsid w:val="00CC0301"/>
    <w:rsid w:val="00CC03FE"/>
    <w:rsid w:val="00CC11E9"/>
    <w:rsid w:val="00CC12CE"/>
    <w:rsid w:val="00CC13A0"/>
    <w:rsid w:val="00CC1DA5"/>
    <w:rsid w:val="00CC2315"/>
    <w:rsid w:val="00CC2915"/>
    <w:rsid w:val="00CC2942"/>
    <w:rsid w:val="00CC2A58"/>
    <w:rsid w:val="00CC2D8E"/>
    <w:rsid w:val="00CC2DF4"/>
    <w:rsid w:val="00CC2F79"/>
    <w:rsid w:val="00CC30CE"/>
    <w:rsid w:val="00CC3186"/>
    <w:rsid w:val="00CC3B25"/>
    <w:rsid w:val="00CC3E5E"/>
    <w:rsid w:val="00CC4029"/>
    <w:rsid w:val="00CC40B9"/>
    <w:rsid w:val="00CC44AE"/>
    <w:rsid w:val="00CC4E23"/>
    <w:rsid w:val="00CC4E86"/>
    <w:rsid w:val="00CC5084"/>
    <w:rsid w:val="00CC51BE"/>
    <w:rsid w:val="00CC546B"/>
    <w:rsid w:val="00CC56CA"/>
    <w:rsid w:val="00CC5936"/>
    <w:rsid w:val="00CC5B56"/>
    <w:rsid w:val="00CC5B5B"/>
    <w:rsid w:val="00CC5D4E"/>
    <w:rsid w:val="00CC5DB6"/>
    <w:rsid w:val="00CC6028"/>
    <w:rsid w:val="00CC6069"/>
    <w:rsid w:val="00CC627A"/>
    <w:rsid w:val="00CC645C"/>
    <w:rsid w:val="00CC660C"/>
    <w:rsid w:val="00CC68EE"/>
    <w:rsid w:val="00CC6957"/>
    <w:rsid w:val="00CC6C2C"/>
    <w:rsid w:val="00CC6E50"/>
    <w:rsid w:val="00CD0127"/>
    <w:rsid w:val="00CD065B"/>
    <w:rsid w:val="00CD0B90"/>
    <w:rsid w:val="00CD0F0C"/>
    <w:rsid w:val="00CD10A5"/>
    <w:rsid w:val="00CD1284"/>
    <w:rsid w:val="00CD17DA"/>
    <w:rsid w:val="00CD197C"/>
    <w:rsid w:val="00CD1AC6"/>
    <w:rsid w:val="00CD1BB6"/>
    <w:rsid w:val="00CD22C6"/>
    <w:rsid w:val="00CD2474"/>
    <w:rsid w:val="00CD2987"/>
    <w:rsid w:val="00CD2E71"/>
    <w:rsid w:val="00CD328F"/>
    <w:rsid w:val="00CD32C3"/>
    <w:rsid w:val="00CD3633"/>
    <w:rsid w:val="00CD3700"/>
    <w:rsid w:val="00CD37BF"/>
    <w:rsid w:val="00CD38B2"/>
    <w:rsid w:val="00CD409E"/>
    <w:rsid w:val="00CD40B0"/>
    <w:rsid w:val="00CD4105"/>
    <w:rsid w:val="00CD45AD"/>
    <w:rsid w:val="00CD4D01"/>
    <w:rsid w:val="00CD5465"/>
    <w:rsid w:val="00CD54E6"/>
    <w:rsid w:val="00CD5902"/>
    <w:rsid w:val="00CD5CE6"/>
    <w:rsid w:val="00CD64AC"/>
    <w:rsid w:val="00CD652F"/>
    <w:rsid w:val="00CD6560"/>
    <w:rsid w:val="00CD75A2"/>
    <w:rsid w:val="00CD773D"/>
    <w:rsid w:val="00CD7EE2"/>
    <w:rsid w:val="00CE0603"/>
    <w:rsid w:val="00CE065D"/>
    <w:rsid w:val="00CE07C3"/>
    <w:rsid w:val="00CE0C8E"/>
    <w:rsid w:val="00CE0F1A"/>
    <w:rsid w:val="00CE0F37"/>
    <w:rsid w:val="00CE112A"/>
    <w:rsid w:val="00CE1193"/>
    <w:rsid w:val="00CE11C8"/>
    <w:rsid w:val="00CE19D6"/>
    <w:rsid w:val="00CE1B23"/>
    <w:rsid w:val="00CE1C25"/>
    <w:rsid w:val="00CE247A"/>
    <w:rsid w:val="00CE27BD"/>
    <w:rsid w:val="00CE3009"/>
    <w:rsid w:val="00CE3236"/>
    <w:rsid w:val="00CE3268"/>
    <w:rsid w:val="00CE367B"/>
    <w:rsid w:val="00CE36D1"/>
    <w:rsid w:val="00CE379F"/>
    <w:rsid w:val="00CE37B6"/>
    <w:rsid w:val="00CE3943"/>
    <w:rsid w:val="00CE3A77"/>
    <w:rsid w:val="00CE3ADD"/>
    <w:rsid w:val="00CE4105"/>
    <w:rsid w:val="00CE421D"/>
    <w:rsid w:val="00CE444F"/>
    <w:rsid w:val="00CE4501"/>
    <w:rsid w:val="00CE46E1"/>
    <w:rsid w:val="00CE4A2B"/>
    <w:rsid w:val="00CE4AA6"/>
    <w:rsid w:val="00CE4AC5"/>
    <w:rsid w:val="00CE4CBF"/>
    <w:rsid w:val="00CE4FBD"/>
    <w:rsid w:val="00CE51EF"/>
    <w:rsid w:val="00CE553F"/>
    <w:rsid w:val="00CE5C57"/>
    <w:rsid w:val="00CE5E5A"/>
    <w:rsid w:val="00CE5FA5"/>
    <w:rsid w:val="00CE61F9"/>
    <w:rsid w:val="00CE6D5D"/>
    <w:rsid w:val="00CE6FF4"/>
    <w:rsid w:val="00CE7168"/>
    <w:rsid w:val="00CE775C"/>
    <w:rsid w:val="00CE7A81"/>
    <w:rsid w:val="00CE7AAF"/>
    <w:rsid w:val="00CE7AC4"/>
    <w:rsid w:val="00CE7BB2"/>
    <w:rsid w:val="00CE7D27"/>
    <w:rsid w:val="00CE7DE6"/>
    <w:rsid w:val="00CE7EEE"/>
    <w:rsid w:val="00CF0304"/>
    <w:rsid w:val="00CF03F8"/>
    <w:rsid w:val="00CF0750"/>
    <w:rsid w:val="00CF07C4"/>
    <w:rsid w:val="00CF096B"/>
    <w:rsid w:val="00CF0E01"/>
    <w:rsid w:val="00CF0F72"/>
    <w:rsid w:val="00CF16E4"/>
    <w:rsid w:val="00CF1BBC"/>
    <w:rsid w:val="00CF1C28"/>
    <w:rsid w:val="00CF1C66"/>
    <w:rsid w:val="00CF1DE4"/>
    <w:rsid w:val="00CF1F1F"/>
    <w:rsid w:val="00CF2B20"/>
    <w:rsid w:val="00CF2C32"/>
    <w:rsid w:val="00CF2FB3"/>
    <w:rsid w:val="00CF3305"/>
    <w:rsid w:val="00CF3567"/>
    <w:rsid w:val="00CF35EF"/>
    <w:rsid w:val="00CF3A83"/>
    <w:rsid w:val="00CF3CDA"/>
    <w:rsid w:val="00CF401E"/>
    <w:rsid w:val="00CF461F"/>
    <w:rsid w:val="00CF4747"/>
    <w:rsid w:val="00CF47E9"/>
    <w:rsid w:val="00CF57F1"/>
    <w:rsid w:val="00CF584F"/>
    <w:rsid w:val="00CF5B44"/>
    <w:rsid w:val="00CF5D09"/>
    <w:rsid w:val="00CF60C1"/>
    <w:rsid w:val="00CF60D6"/>
    <w:rsid w:val="00CF628E"/>
    <w:rsid w:val="00CF632D"/>
    <w:rsid w:val="00CF6503"/>
    <w:rsid w:val="00CF665E"/>
    <w:rsid w:val="00CF6B5D"/>
    <w:rsid w:val="00CF737A"/>
    <w:rsid w:val="00CF758A"/>
    <w:rsid w:val="00CF7676"/>
    <w:rsid w:val="00CF7732"/>
    <w:rsid w:val="00CF7E61"/>
    <w:rsid w:val="00CF7F26"/>
    <w:rsid w:val="00D00160"/>
    <w:rsid w:val="00D001BA"/>
    <w:rsid w:val="00D00690"/>
    <w:rsid w:val="00D0074C"/>
    <w:rsid w:val="00D01541"/>
    <w:rsid w:val="00D01790"/>
    <w:rsid w:val="00D017CB"/>
    <w:rsid w:val="00D0203C"/>
    <w:rsid w:val="00D02128"/>
    <w:rsid w:val="00D024EB"/>
    <w:rsid w:val="00D02D2B"/>
    <w:rsid w:val="00D0372C"/>
    <w:rsid w:val="00D03968"/>
    <w:rsid w:val="00D03ACF"/>
    <w:rsid w:val="00D042B9"/>
    <w:rsid w:val="00D04939"/>
    <w:rsid w:val="00D04E13"/>
    <w:rsid w:val="00D04EB3"/>
    <w:rsid w:val="00D04EE0"/>
    <w:rsid w:val="00D05003"/>
    <w:rsid w:val="00D053B7"/>
    <w:rsid w:val="00D05642"/>
    <w:rsid w:val="00D05A9D"/>
    <w:rsid w:val="00D05C11"/>
    <w:rsid w:val="00D05F12"/>
    <w:rsid w:val="00D05F95"/>
    <w:rsid w:val="00D05FCB"/>
    <w:rsid w:val="00D06142"/>
    <w:rsid w:val="00D06513"/>
    <w:rsid w:val="00D06629"/>
    <w:rsid w:val="00D06735"/>
    <w:rsid w:val="00D068CD"/>
    <w:rsid w:val="00D07303"/>
    <w:rsid w:val="00D073F9"/>
    <w:rsid w:val="00D07535"/>
    <w:rsid w:val="00D076BA"/>
    <w:rsid w:val="00D07955"/>
    <w:rsid w:val="00D07967"/>
    <w:rsid w:val="00D100BE"/>
    <w:rsid w:val="00D106A0"/>
    <w:rsid w:val="00D10783"/>
    <w:rsid w:val="00D108D5"/>
    <w:rsid w:val="00D10EAC"/>
    <w:rsid w:val="00D1108E"/>
    <w:rsid w:val="00D110B6"/>
    <w:rsid w:val="00D1189F"/>
    <w:rsid w:val="00D11E47"/>
    <w:rsid w:val="00D12102"/>
    <w:rsid w:val="00D12130"/>
    <w:rsid w:val="00D1219E"/>
    <w:rsid w:val="00D12281"/>
    <w:rsid w:val="00D124BB"/>
    <w:rsid w:val="00D12576"/>
    <w:rsid w:val="00D125A6"/>
    <w:rsid w:val="00D12606"/>
    <w:rsid w:val="00D12662"/>
    <w:rsid w:val="00D135FD"/>
    <w:rsid w:val="00D139DC"/>
    <w:rsid w:val="00D13EDB"/>
    <w:rsid w:val="00D140B2"/>
    <w:rsid w:val="00D14106"/>
    <w:rsid w:val="00D14DFA"/>
    <w:rsid w:val="00D150EF"/>
    <w:rsid w:val="00D15126"/>
    <w:rsid w:val="00D15382"/>
    <w:rsid w:val="00D158CA"/>
    <w:rsid w:val="00D159AD"/>
    <w:rsid w:val="00D15B59"/>
    <w:rsid w:val="00D15C6F"/>
    <w:rsid w:val="00D16042"/>
    <w:rsid w:val="00D163F0"/>
    <w:rsid w:val="00D167AF"/>
    <w:rsid w:val="00D16911"/>
    <w:rsid w:val="00D16D1E"/>
    <w:rsid w:val="00D177E7"/>
    <w:rsid w:val="00D17A2A"/>
    <w:rsid w:val="00D17A31"/>
    <w:rsid w:val="00D17EFA"/>
    <w:rsid w:val="00D20412"/>
    <w:rsid w:val="00D209A4"/>
    <w:rsid w:val="00D20ACB"/>
    <w:rsid w:val="00D20C5E"/>
    <w:rsid w:val="00D20F72"/>
    <w:rsid w:val="00D21115"/>
    <w:rsid w:val="00D21155"/>
    <w:rsid w:val="00D2118F"/>
    <w:rsid w:val="00D212A2"/>
    <w:rsid w:val="00D21656"/>
    <w:rsid w:val="00D218E0"/>
    <w:rsid w:val="00D21F2B"/>
    <w:rsid w:val="00D2201D"/>
    <w:rsid w:val="00D22669"/>
    <w:rsid w:val="00D226DF"/>
    <w:rsid w:val="00D22BD9"/>
    <w:rsid w:val="00D22D42"/>
    <w:rsid w:val="00D22F89"/>
    <w:rsid w:val="00D23132"/>
    <w:rsid w:val="00D2368C"/>
    <w:rsid w:val="00D23B7F"/>
    <w:rsid w:val="00D23D45"/>
    <w:rsid w:val="00D23D85"/>
    <w:rsid w:val="00D2475F"/>
    <w:rsid w:val="00D247C1"/>
    <w:rsid w:val="00D24AE8"/>
    <w:rsid w:val="00D24BB6"/>
    <w:rsid w:val="00D25106"/>
    <w:rsid w:val="00D25385"/>
    <w:rsid w:val="00D253A8"/>
    <w:rsid w:val="00D254A5"/>
    <w:rsid w:val="00D2579C"/>
    <w:rsid w:val="00D2584B"/>
    <w:rsid w:val="00D2605B"/>
    <w:rsid w:val="00D26277"/>
    <w:rsid w:val="00D270ED"/>
    <w:rsid w:val="00D27345"/>
    <w:rsid w:val="00D275C9"/>
    <w:rsid w:val="00D279D1"/>
    <w:rsid w:val="00D27A1C"/>
    <w:rsid w:val="00D27A24"/>
    <w:rsid w:val="00D30288"/>
    <w:rsid w:val="00D302A8"/>
    <w:rsid w:val="00D3045B"/>
    <w:rsid w:val="00D30877"/>
    <w:rsid w:val="00D3094A"/>
    <w:rsid w:val="00D30A4A"/>
    <w:rsid w:val="00D30F08"/>
    <w:rsid w:val="00D310CB"/>
    <w:rsid w:val="00D31201"/>
    <w:rsid w:val="00D31279"/>
    <w:rsid w:val="00D3188C"/>
    <w:rsid w:val="00D319A3"/>
    <w:rsid w:val="00D31A1D"/>
    <w:rsid w:val="00D32641"/>
    <w:rsid w:val="00D32CE7"/>
    <w:rsid w:val="00D33292"/>
    <w:rsid w:val="00D3394F"/>
    <w:rsid w:val="00D33AE8"/>
    <w:rsid w:val="00D33D6B"/>
    <w:rsid w:val="00D33FD7"/>
    <w:rsid w:val="00D349DF"/>
    <w:rsid w:val="00D354BA"/>
    <w:rsid w:val="00D358AC"/>
    <w:rsid w:val="00D35993"/>
    <w:rsid w:val="00D35F2E"/>
    <w:rsid w:val="00D3681F"/>
    <w:rsid w:val="00D36B43"/>
    <w:rsid w:val="00D37344"/>
    <w:rsid w:val="00D379F2"/>
    <w:rsid w:val="00D37A17"/>
    <w:rsid w:val="00D37A3E"/>
    <w:rsid w:val="00D37C22"/>
    <w:rsid w:val="00D37F72"/>
    <w:rsid w:val="00D40434"/>
    <w:rsid w:val="00D4061A"/>
    <w:rsid w:val="00D407FD"/>
    <w:rsid w:val="00D4092B"/>
    <w:rsid w:val="00D4117D"/>
    <w:rsid w:val="00D41262"/>
    <w:rsid w:val="00D414DD"/>
    <w:rsid w:val="00D41CCB"/>
    <w:rsid w:val="00D41CF4"/>
    <w:rsid w:val="00D4258B"/>
    <w:rsid w:val="00D42694"/>
    <w:rsid w:val="00D42AA5"/>
    <w:rsid w:val="00D42B1A"/>
    <w:rsid w:val="00D42D74"/>
    <w:rsid w:val="00D43155"/>
    <w:rsid w:val="00D437EF"/>
    <w:rsid w:val="00D43BAF"/>
    <w:rsid w:val="00D43F75"/>
    <w:rsid w:val="00D444DC"/>
    <w:rsid w:val="00D4498D"/>
    <w:rsid w:val="00D44E0E"/>
    <w:rsid w:val="00D44F24"/>
    <w:rsid w:val="00D4573E"/>
    <w:rsid w:val="00D45A7C"/>
    <w:rsid w:val="00D45E3A"/>
    <w:rsid w:val="00D46483"/>
    <w:rsid w:val="00D46680"/>
    <w:rsid w:val="00D4697D"/>
    <w:rsid w:val="00D46C81"/>
    <w:rsid w:val="00D46FBF"/>
    <w:rsid w:val="00D4762A"/>
    <w:rsid w:val="00D47CD1"/>
    <w:rsid w:val="00D50E13"/>
    <w:rsid w:val="00D50EFF"/>
    <w:rsid w:val="00D51898"/>
    <w:rsid w:val="00D51E77"/>
    <w:rsid w:val="00D52626"/>
    <w:rsid w:val="00D52807"/>
    <w:rsid w:val="00D528A2"/>
    <w:rsid w:val="00D52928"/>
    <w:rsid w:val="00D530F8"/>
    <w:rsid w:val="00D53860"/>
    <w:rsid w:val="00D53946"/>
    <w:rsid w:val="00D53970"/>
    <w:rsid w:val="00D53AF9"/>
    <w:rsid w:val="00D53B82"/>
    <w:rsid w:val="00D545AA"/>
    <w:rsid w:val="00D547F5"/>
    <w:rsid w:val="00D548AC"/>
    <w:rsid w:val="00D54D82"/>
    <w:rsid w:val="00D54F1F"/>
    <w:rsid w:val="00D54F4F"/>
    <w:rsid w:val="00D55370"/>
    <w:rsid w:val="00D559DC"/>
    <w:rsid w:val="00D55BD4"/>
    <w:rsid w:val="00D55CDF"/>
    <w:rsid w:val="00D561ED"/>
    <w:rsid w:val="00D56301"/>
    <w:rsid w:val="00D563E4"/>
    <w:rsid w:val="00D56F1D"/>
    <w:rsid w:val="00D5729E"/>
    <w:rsid w:val="00D57AE0"/>
    <w:rsid w:val="00D57BAB"/>
    <w:rsid w:val="00D57CB4"/>
    <w:rsid w:val="00D60077"/>
    <w:rsid w:val="00D60118"/>
    <w:rsid w:val="00D604F1"/>
    <w:rsid w:val="00D605C1"/>
    <w:rsid w:val="00D60819"/>
    <w:rsid w:val="00D60A64"/>
    <w:rsid w:val="00D60D26"/>
    <w:rsid w:val="00D60EEA"/>
    <w:rsid w:val="00D60FDC"/>
    <w:rsid w:val="00D6120E"/>
    <w:rsid w:val="00D6122B"/>
    <w:rsid w:val="00D6147F"/>
    <w:rsid w:val="00D61683"/>
    <w:rsid w:val="00D61B2D"/>
    <w:rsid w:val="00D61E7A"/>
    <w:rsid w:val="00D61F91"/>
    <w:rsid w:val="00D6244A"/>
    <w:rsid w:val="00D62628"/>
    <w:rsid w:val="00D62677"/>
    <w:rsid w:val="00D62B7E"/>
    <w:rsid w:val="00D62BAE"/>
    <w:rsid w:val="00D62C68"/>
    <w:rsid w:val="00D63433"/>
    <w:rsid w:val="00D6357F"/>
    <w:rsid w:val="00D63894"/>
    <w:rsid w:val="00D63D0F"/>
    <w:rsid w:val="00D63DFE"/>
    <w:rsid w:val="00D63E36"/>
    <w:rsid w:val="00D64523"/>
    <w:rsid w:val="00D64DDB"/>
    <w:rsid w:val="00D64EF7"/>
    <w:rsid w:val="00D65075"/>
    <w:rsid w:val="00D6524A"/>
    <w:rsid w:val="00D6556B"/>
    <w:rsid w:val="00D65634"/>
    <w:rsid w:val="00D65C1E"/>
    <w:rsid w:val="00D65D02"/>
    <w:rsid w:val="00D65F70"/>
    <w:rsid w:val="00D6655D"/>
    <w:rsid w:val="00D66704"/>
    <w:rsid w:val="00D66EB9"/>
    <w:rsid w:val="00D67520"/>
    <w:rsid w:val="00D67556"/>
    <w:rsid w:val="00D67A3D"/>
    <w:rsid w:val="00D67C0B"/>
    <w:rsid w:val="00D70313"/>
    <w:rsid w:val="00D703AF"/>
    <w:rsid w:val="00D704AD"/>
    <w:rsid w:val="00D70755"/>
    <w:rsid w:val="00D708D4"/>
    <w:rsid w:val="00D70F89"/>
    <w:rsid w:val="00D711D7"/>
    <w:rsid w:val="00D71231"/>
    <w:rsid w:val="00D71785"/>
    <w:rsid w:val="00D719F1"/>
    <w:rsid w:val="00D71B33"/>
    <w:rsid w:val="00D71F5D"/>
    <w:rsid w:val="00D7208A"/>
    <w:rsid w:val="00D72B0E"/>
    <w:rsid w:val="00D72D04"/>
    <w:rsid w:val="00D72F35"/>
    <w:rsid w:val="00D72F62"/>
    <w:rsid w:val="00D7357D"/>
    <w:rsid w:val="00D73B82"/>
    <w:rsid w:val="00D740A7"/>
    <w:rsid w:val="00D741D7"/>
    <w:rsid w:val="00D74D3F"/>
    <w:rsid w:val="00D7558A"/>
    <w:rsid w:val="00D75A0C"/>
    <w:rsid w:val="00D75A6F"/>
    <w:rsid w:val="00D75B25"/>
    <w:rsid w:val="00D75E6D"/>
    <w:rsid w:val="00D7614D"/>
    <w:rsid w:val="00D76175"/>
    <w:rsid w:val="00D76852"/>
    <w:rsid w:val="00D76FD7"/>
    <w:rsid w:val="00D77658"/>
    <w:rsid w:val="00D77A57"/>
    <w:rsid w:val="00D77CAF"/>
    <w:rsid w:val="00D77E34"/>
    <w:rsid w:val="00D803D0"/>
    <w:rsid w:val="00D80955"/>
    <w:rsid w:val="00D80EFC"/>
    <w:rsid w:val="00D81273"/>
    <w:rsid w:val="00D814A9"/>
    <w:rsid w:val="00D81706"/>
    <w:rsid w:val="00D81A49"/>
    <w:rsid w:val="00D81B96"/>
    <w:rsid w:val="00D81BDE"/>
    <w:rsid w:val="00D8205F"/>
    <w:rsid w:val="00D824C3"/>
    <w:rsid w:val="00D826FC"/>
    <w:rsid w:val="00D8309A"/>
    <w:rsid w:val="00D83639"/>
    <w:rsid w:val="00D83ACC"/>
    <w:rsid w:val="00D845BE"/>
    <w:rsid w:val="00D846E7"/>
    <w:rsid w:val="00D847B1"/>
    <w:rsid w:val="00D847E1"/>
    <w:rsid w:val="00D84A72"/>
    <w:rsid w:val="00D84C15"/>
    <w:rsid w:val="00D84D9B"/>
    <w:rsid w:val="00D84DEE"/>
    <w:rsid w:val="00D84F8C"/>
    <w:rsid w:val="00D851FA"/>
    <w:rsid w:val="00D85388"/>
    <w:rsid w:val="00D8562F"/>
    <w:rsid w:val="00D856FD"/>
    <w:rsid w:val="00D85A2B"/>
    <w:rsid w:val="00D85E4E"/>
    <w:rsid w:val="00D86881"/>
    <w:rsid w:val="00D86B0D"/>
    <w:rsid w:val="00D86ED8"/>
    <w:rsid w:val="00D86EE1"/>
    <w:rsid w:val="00D87477"/>
    <w:rsid w:val="00D87620"/>
    <w:rsid w:val="00D87E84"/>
    <w:rsid w:val="00D87F51"/>
    <w:rsid w:val="00D87FD0"/>
    <w:rsid w:val="00D90429"/>
    <w:rsid w:val="00D9082F"/>
    <w:rsid w:val="00D90C9D"/>
    <w:rsid w:val="00D90FDC"/>
    <w:rsid w:val="00D914F3"/>
    <w:rsid w:val="00D91D64"/>
    <w:rsid w:val="00D920C7"/>
    <w:rsid w:val="00D92277"/>
    <w:rsid w:val="00D92C86"/>
    <w:rsid w:val="00D92CC8"/>
    <w:rsid w:val="00D930DD"/>
    <w:rsid w:val="00D9335C"/>
    <w:rsid w:val="00D93423"/>
    <w:rsid w:val="00D93E98"/>
    <w:rsid w:val="00D9408C"/>
    <w:rsid w:val="00D94837"/>
    <w:rsid w:val="00D94BE7"/>
    <w:rsid w:val="00D95152"/>
    <w:rsid w:val="00D9518D"/>
    <w:rsid w:val="00D9562E"/>
    <w:rsid w:val="00D95E74"/>
    <w:rsid w:val="00D960A1"/>
    <w:rsid w:val="00D961D6"/>
    <w:rsid w:val="00D964A1"/>
    <w:rsid w:val="00D967F3"/>
    <w:rsid w:val="00D969F0"/>
    <w:rsid w:val="00D96B50"/>
    <w:rsid w:val="00D96D0C"/>
    <w:rsid w:val="00D96D6C"/>
    <w:rsid w:val="00D96DEA"/>
    <w:rsid w:val="00D96F1F"/>
    <w:rsid w:val="00D978F1"/>
    <w:rsid w:val="00D97ABE"/>
    <w:rsid w:val="00D97D62"/>
    <w:rsid w:val="00D97F92"/>
    <w:rsid w:val="00DA01A9"/>
    <w:rsid w:val="00DA0284"/>
    <w:rsid w:val="00DA0429"/>
    <w:rsid w:val="00DA0646"/>
    <w:rsid w:val="00DA075F"/>
    <w:rsid w:val="00DA0A2E"/>
    <w:rsid w:val="00DA0D4E"/>
    <w:rsid w:val="00DA178D"/>
    <w:rsid w:val="00DA1B06"/>
    <w:rsid w:val="00DA1B8F"/>
    <w:rsid w:val="00DA20F7"/>
    <w:rsid w:val="00DA22C8"/>
    <w:rsid w:val="00DA27DD"/>
    <w:rsid w:val="00DA2A8B"/>
    <w:rsid w:val="00DA2B0B"/>
    <w:rsid w:val="00DA2B71"/>
    <w:rsid w:val="00DA2C55"/>
    <w:rsid w:val="00DA353B"/>
    <w:rsid w:val="00DA37EB"/>
    <w:rsid w:val="00DA411B"/>
    <w:rsid w:val="00DA44EB"/>
    <w:rsid w:val="00DA4661"/>
    <w:rsid w:val="00DA46E7"/>
    <w:rsid w:val="00DA48F4"/>
    <w:rsid w:val="00DA5954"/>
    <w:rsid w:val="00DA5B20"/>
    <w:rsid w:val="00DA5C76"/>
    <w:rsid w:val="00DA6A04"/>
    <w:rsid w:val="00DA6A2D"/>
    <w:rsid w:val="00DA6C9C"/>
    <w:rsid w:val="00DA6DCA"/>
    <w:rsid w:val="00DA6F05"/>
    <w:rsid w:val="00DA70A1"/>
    <w:rsid w:val="00DA7321"/>
    <w:rsid w:val="00DA7338"/>
    <w:rsid w:val="00DA7A72"/>
    <w:rsid w:val="00DB0079"/>
    <w:rsid w:val="00DB0219"/>
    <w:rsid w:val="00DB04F1"/>
    <w:rsid w:val="00DB093E"/>
    <w:rsid w:val="00DB09A3"/>
    <w:rsid w:val="00DB0B6C"/>
    <w:rsid w:val="00DB151B"/>
    <w:rsid w:val="00DB1824"/>
    <w:rsid w:val="00DB183A"/>
    <w:rsid w:val="00DB2543"/>
    <w:rsid w:val="00DB29B1"/>
    <w:rsid w:val="00DB322B"/>
    <w:rsid w:val="00DB38E6"/>
    <w:rsid w:val="00DB47EF"/>
    <w:rsid w:val="00DB518D"/>
    <w:rsid w:val="00DB58A9"/>
    <w:rsid w:val="00DB5A9C"/>
    <w:rsid w:val="00DB5AE8"/>
    <w:rsid w:val="00DB5FA8"/>
    <w:rsid w:val="00DB624A"/>
    <w:rsid w:val="00DB6D4D"/>
    <w:rsid w:val="00DB70ED"/>
    <w:rsid w:val="00DB70FD"/>
    <w:rsid w:val="00DB752B"/>
    <w:rsid w:val="00DB7CA6"/>
    <w:rsid w:val="00DC0827"/>
    <w:rsid w:val="00DC08D4"/>
    <w:rsid w:val="00DC0B19"/>
    <w:rsid w:val="00DC13BF"/>
    <w:rsid w:val="00DC13EF"/>
    <w:rsid w:val="00DC26D9"/>
    <w:rsid w:val="00DC26F5"/>
    <w:rsid w:val="00DC2EDE"/>
    <w:rsid w:val="00DC2F31"/>
    <w:rsid w:val="00DC2FCA"/>
    <w:rsid w:val="00DC3050"/>
    <w:rsid w:val="00DC30BD"/>
    <w:rsid w:val="00DC30C2"/>
    <w:rsid w:val="00DC3CA1"/>
    <w:rsid w:val="00DC3D05"/>
    <w:rsid w:val="00DC3D6F"/>
    <w:rsid w:val="00DC4269"/>
    <w:rsid w:val="00DC4605"/>
    <w:rsid w:val="00DC4E2D"/>
    <w:rsid w:val="00DC56E7"/>
    <w:rsid w:val="00DC59CC"/>
    <w:rsid w:val="00DC5D81"/>
    <w:rsid w:val="00DC5FAB"/>
    <w:rsid w:val="00DC65AA"/>
    <w:rsid w:val="00DC6D9A"/>
    <w:rsid w:val="00DC75B6"/>
    <w:rsid w:val="00DC76A3"/>
    <w:rsid w:val="00DC77A6"/>
    <w:rsid w:val="00DD00E1"/>
    <w:rsid w:val="00DD015D"/>
    <w:rsid w:val="00DD0353"/>
    <w:rsid w:val="00DD0E0B"/>
    <w:rsid w:val="00DD1E0C"/>
    <w:rsid w:val="00DD1FCE"/>
    <w:rsid w:val="00DD217D"/>
    <w:rsid w:val="00DD24B4"/>
    <w:rsid w:val="00DD2951"/>
    <w:rsid w:val="00DD2B78"/>
    <w:rsid w:val="00DD3905"/>
    <w:rsid w:val="00DD39FB"/>
    <w:rsid w:val="00DD4014"/>
    <w:rsid w:val="00DD40CE"/>
    <w:rsid w:val="00DD486E"/>
    <w:rsid w:val="00DD4B73"/>
    <w:rsid w:val="00DD5115"/>
    <w:rsid w:val="00DD52A2"/>
    <w:rsid w:val="00DD5317"/>
    <w:rsid w:val="00DD53A6"/>
    <w:rsid w:val="00DD5476"/>
    <w:rsid w:val="00DD5841"/>
    <w:rsid w:val="00DD5BBD"/>
    <w:rsid w:val="00DD5EB5"/>
    <w:rsid w:val="00DD6450"/>
    <w:rsid w:val="00DD68BD"/>
    <w:rsid w:val="00DD6F04"/>
    <w:rsid w:val="00DD7614"/>
    <w:rsid w:val="00DD76DB"/>
    <w:rsid w:val="00DD7703"/>
    <w:rsid w:val="00DD7789"/>
    <w:rsid w:val="00DD77E2"/>
    <w:rsid w:val="00DD78C0"/>
    <w:rsid w:val="00DD7ACC"/>
    <w:rsid w:val="00DD7CFF"/>
    <w:rsid w:val="00DE009C"/>
    <w:rsid w:val="00DE00B5"/>
    <w:rsid w:val="00DE03EB"/>
    <w:rsid w:val="00DE0BA8"/>
    <w:rsid w:val="00DE0C4B"/>
    <w:rsid w:val="00DE0EFF"/>
    <w:rsid w:val="00DE0F8C"/>
    <w:rsid w:val="00DE0F94"/>
    <w:rsid w:val="00DE1935"/>
    <w:rsid w:val="00DE1EEE"/>
    <w:rsid w:val="00DE1F17"/>
    <w:rsid w:val="00DE2055"/>
    <w:rsid w:val="00DE22FA"/>
    <w:rsid w:val="00DE2714"/>
    <w:rsid w:val="00DE2C43"/>
    <w:rsid w:val="00DE2CF4"/>
    <w:rsid w:val="00DE3156"/>
    <w:rsid w:val="00DE3599"/>
    <w:rsid w:val="00DE35C7"/>
    <w:rsid w:val="00DE3BCD"/>
    <w:rsid w:val="00DE3D84"/>
    <w:rsid w:val="00DE3F79"/>
    <w:rsid w:val="00DE445C"/>
    <w:rsid w:val="00DE4640"/>
    <w:rsid w:val="00DE4D82"/>
    <w:rsid w:val="00DE5202"/>
    <w:rsid w:val="00DE538C"/>
    <w:rsid w:val="00DE575B"/>
    <w:rsid w:val="00DE588E"/>
    <w:rsid w:val="00DE64DE"/>
    <w:rsid w:val="00DE6A86"/>
    <w:rsid w:val="00DE737B"/>
    <w:rsid w:val="00DE7608"/>
    <w:rsid w:val="00DE7680"/>
    <w:rsid w:val="00DE7A47"/>
    <w:rsid w:val="00DE7DA9"/>
    <w:rsid w:val="00DF0666"/>
    <w:rsid w:val="00DF0698"/>
    <w:rsid w:val="00DF0892"/>
    <w:rsid w:val="00DF0BC8"/>
    <w:rsid w:val="00DF0CAD"/>
    <w:rsid w:val="00DF0DD2"/>
    <w:rsid w:val="00DF1257"/>
    <w:rsid w:val="00DF1491"/>
    <w:rsid w:val="00DF1576"/>
    <w:rsid w:val="00DF18E9"/>
    <w:rsid w:val="00DF190A"/>
    <w:rsid w:val="00DF1B18"/>
    <w:rsid w:val="00DF1BC8"/>
    <w:rsid w:val="00DF1C75"/>
    <w:rsid w:val="00DF1E7E"/>
    <w:rsid w:val="00DF215F"/>
    <w:rsid w:val="00DF2BA1"/>
    <w:rsid w:val="00DF2F90"/>
    <w:rsid w:val="00DF31A0"/>
    <w:rsid w:val="00DF31BF"/>
    <w:rsid w:val="00DF39C1"/>
    <w:rsid w:val="00DF47E8"/>
    <w:rsid w:val="00DF488B"/>
    <w:rsid w:val="00DF4AA8"/>
    <w:rsid w:val="00DF4AB0"/>
    <w:rsid w:val="00DF4EDE"/>
    <w:rsid w:val="00DF54F6"/>
    <w:rsid w:val="00DF56C2"/>
    <w:rsid w:val="00DF5A9B"/>
    <w:rsid w:val="00DF5D52"/>
    <w:rsid w:val="00DF5E51"/>
    <w:rsid w:val="00DF602A"/>
    <w:rsid w:val="00DF6353"/>
    <w:rsid w:val="00DF653F"/>
    <w:rsid w:val="00DF65FC"/>
    <w:rsid w:val="00DF6BCF"/>
    <w:rsid w:val="00DF6F38"/>
    <w:rsid w:val="00DF6FB6"/>
    <w:rsid w:val="00E0062D"/>
    <w:rsid w:val="00E0072F"/>
    <w:rsid w:val="00E009A2"/>
    <w:rsid w:val="00E00D90"/>
    <w:rsid w:val="00E00DCA"/>
    <w:rsid w:val="00E0119B"/>
    <w:rsid w:val="00E01359"/>
    <w:rsid w:val="00E017C7"/>
    <w:rsid w:val="00E02AEF"/>
    <w:rsid w:val="00E02B3A"/>
    <w:rsid w:val="00E02BB0"/>
    <w:rsid w:val="00E0359A"/>
    <w:rsid w:val="00E038FA"/>
    <w:rsid w:val="00E03922"/>
    <w:rsid w:val="00E03C45"/>
    <w:rsid w:val="00E044DF"/>
    <w:rsid w:val="00E04936"/>
    <w:rsid w:val="00E04967"/>
    <w:rsid w:val="00E04A61"/>
    <w:rsid w:val="00E04C90"/>
    <w:rsid w:val="00E05541"/>
    <w:rsid w:val="00E05639"/>
    <w:rsid w:val="00E0574F"/>
    <w:rsid w:val="00E05994"/>
    <w:rsid w:val="00E05AFD"/>
    <w:rsid w:val="00E05BE1"/>
    <w:rsid w:val="00E05C57"/>
    <w:rsid w:val="00E05CA4"/>
    <w:rsid w:val="00E05D46"/>
    <w:rsid w:val="00E0611D"/>
    <w:rsid w:val="00E061D1"/>
    <w:rsid w:val="00E064E4"/>
    <w:rsid w:val="00E067C1"/>
    <w:rsid w:val="00E06903"/>
    <w:rsid w:val="00E0724A"/>
    <w:rsid w:val="00E07AF3"/>
    <w:rsid w:val="00E07E47"/>
    <w:rsid w:val="00E10C74"/>
    <w:rsid w:val="00E11838"/>
    <w:rsid w:val="00E11C0F"/>
    <w:rsid w:val="00E11DDC"/>
    <w:rsid w:val="00E12AD3"/>
    <w:rsid w:val="00E12B2F"/>
    <w:rsid w:val="00E12C43"/>
    <w:rsid w:val="00E13355"/>
    <w:rsid w:val="00E1369D"/>
    <w:rsid w:val="00E13C69"/>
    <w:rsid w:val="00E13DA0"/>
    <w:rsid w:val="00E1449F"/>
    <w:rsid w:val="00E14672"/>
    <w:rsid w:val="00E14A8D"/>
    <w:rsid w:val="00E14B2C"/>
    <w:rsid w:val="00E14E8D"/>
    <w:rsid w:val="00E14EC8"/>
    <w:rsid w:val="00E15275"/>
    <w:rsid w:val="00E15692"/>
    <w:rsid w:val="00E15856"/>
    <w:rsid w:val="00E15864"/>
    <w:rsid w:val="00E15D83"/>
    <w:rsid w:val="00E15DE3"/>
    <w:rsid w:val="00E15EDA"/>
    <w:rsid w:val="00E16336"/>
    <w:rsid w:val="00E16747"/>
    <w:rsid w:val="00E1676B"/>
    <w:rsid w:val="00E16AF7"/>
    <w:rsid w:val="00E16DCD"/>
    <w:rsid w:val="00E16FED"/>
    <w:rsid w:val="00E1710D"/>
    <w:rsid w:val="00E175FD"/>
    <w:rsid w:val="00E17DAB"/>
    <w:rsid w:val="00E17FF4"/>
    <w:rsid w:val="00E20AC5"/>
    <w:rsid w:val="00E20D5E"/>
    <w:rsid w:val="00E20DD1"/>
    <w:rsid w:val="00E21A0C"/>
    <w:rsid w:val="00E21D59"/>
    <w:rsid w:val="00E21ED4"/>
    <w:rsid w:val="00E2204A"/>
    <w:rsid w:val="00E22342"/>
    <w:rsid w:val="00E22D78"/>
    <w:rsid w:val="00E22EA6"/>
    <w:rsid w:val="00E2344E"/>
    <w:rsid w:val="00E23481"/>
    <w:rsid w:val="00E23982"/>
    <w:rsid w:val="00E24666"/>
    <w:rsid w:val="00E24A8A"/>
    <w:rsid w:val="00E24B8B"/>
    <w:rsid w:val="00E24CAF"/>
    <w:rsid w:val="00E25129"/>
    <w:rsid w:val="00E254F6"/>
    <w:rsid w:val="00E25758"/>
    <w:rsid w:val="00E2581E"/>
    <w:rsid w:val="00E25BBD"/>
    <w:rsid w:val="00E25BDC"/>
    <w:rsid w:val="00E264E2"/>
    <w:rsid w:val="00E26714"/>
    <w:rsid w:val="00E26A62"/>
    <w:rsid w:val="00E26B24"/>
    <w:rsid w:val="00E26F76"/>
    <w:rsid w:val="00E27006"/>
    <w:rsid w:val="00E27177"/>
    <w:rsid w:val="00E27331"/>
    <w:rsid w:val="00E27780"/>
    <w:rsid w:val="00E3011A"/>
    <w:rsid w:val="00E30297"/>
    <w:rsid w:val="00E30A15"/>
    <w:rsid w:val="00E30B48"/>
    <w:rsid w:val="00E3106F"/>
    <w:rsid w:val="00E31372"/>
    <w:rsid w:val="00E3162C"/>
    <w:rsid w:val="00E31828"/>
    <w:rsid w:val="00E31F8C"/>
    <w:rsid w:val="00E32000"/>
    <w:rsid w:val="00E3236B"/>
    <w:rsid w:val="00E325E6"/>
    <w:rsid w:val="00E32A40"/>
    <w:rsid w:val="00E32E25"/>
    <w:rsid w:val="00E3337A"/>
    <w:rsid w:val="00E3338D"/>
    <w:rsid w:val="00E33447"/>
    <w:rsid w:val="00E33716"/>
    <w:rsid w:val="00E3376B"/>
    <w:rsid w:val="00E34991"/>
    <w:rsid w:val="00E35526"/>
    <w:rsid w:val="00E36923"/>
    <w:rsid w:val="00E36CBC"/>
    <w:rsid w:val="00E36D22"/>
    <w:rsid w:val="00E374A8"/>
    <w:rsid w:val="00E37751"/>
    <w:rsid w:val="00E37798"/>
    <w:rsid w:val="00E37A0D"/>
    <w:rsid w:val="00E37AFD"/>
    <w:rsid w:val="00E37FAB"/>
    <w:rsid w:val="00E4003E"/>
    <w:rsid w:val="00E402FF"/>
    <w:rsid w:val="00E409A0"/>
    <w:rsid w:val="00E40C7E"/>
    <w:rsid w:val="00E40F4F"/>
    <w:rsid w:val="00E410CB"/>
    <w:rsid w:val="00E412D5"/>
    <w:rsid w:val="00E41628"/>
    <w:rsid w:val="00E418C5"/>
    <w:rsid w:val="00E41AE8"/>
    <w:rsid w:val="00E41E05"/>
    <w:rsid w:val="00E41EA0"/>
    <w:rsid w:val="00E4219F"/>
    <w:rsid w:val="00E4234F"/>
    <w:rsid w:val="00E42A0D"/>
    <w:rsid w:val="00E42B1E"/>
    <w:rsid w:val="00E42D47"/>
    <w:rsid w:val="00E4308F"/>
    <w:rsid w:val="00E4330F"/>
    <w:rsid w:val="00E436C0"/>
    <w:rsid w:val="00E43994"/>
    <w:rsid w:val="00E43AC7"/>
    <w:rsid w:val="00E4406B"/>
    <w:rsid w:val="00E4477A"/>
    <w:rsid w:val="00E44F51"/>
    <w:rsid w:val="00E45067"/>
    <w:rsid w:val="00E45321"/>
    <w:rsid w:val="00E453DB"/>
    <w:rsid w:val="00E454C0"/>
    <w:rsid w:val="00E4590E"/>
    <w:rsid w:val="00E45982"/>
    <w:rsid w:val="00E45CCB"/>
    <w:rsid w:val="00E45E94"/>
    <w:rsid w:val="00E460BB"/>
    <w:rsid w:val="00E46104"/>
    <w:rsid w:val="00E46176"/>
    <w:rsid w:val="00E46590"/>
    <w:rsid w:val="00E465A6"/>
    <w:rsid w:val="00E468A1"/>
    <w:rsid w:val="00E46A2B"/>
    <w:rsid w:val="00E4744D"/>
    <w:rsid w:val="00E4745D"/>
    <w:rsid w:val="00E47C35"/>
    <w:rsid w:val="00E500CC"/>
    <w:rsid w:val="00E5032F"/>
    <w:rsid w:val="00E50362"/>
    <w:rsid w:val="00E5047D"/>
    <w:rsid w:val="00E5087F"/>
    <w:rsid w:val="00E50A9E"/>
    <w:rsid w:val="00E50BDF"/>
    <w:rsid w:val="00E50DC7"/>
    <w:rsid w:val="00E50F7C"/>
    <w:rsid w:val="00E51145"/>
    <w:rsid w:val="00E51669"/>
    <w:rsid w:val="00E518D5"/>
    <w:rsid w:val="00E53248"/>
    <w:rsid w:val="00E53E1E"/>
    <w:rsid w:val="00E53F34"/>
    <w:rsid w:val="00E53F7A"/>
    <w:rsid w:val="00E54255"/>
    <w:rsid w:val="00E545CD"/>
    <w:rsid w:val="00E54F21"/>
    <w:rsid w:val="00E54F28"/>
    <w:rsid w:val="00E54F7B"/>
    <w:rsid w:val="00E54F87"/>
    <w:rsid w:val="00E567CB"/>
    <w:rsid w:val="00E567DC"/>
    <w:rsid w:val="00E5698D"/>
    <w:rsid w:val="00E56DF2"/>
    <w:rsid w:val="00E56F6F"/>
    <w:rsid w:val="00E57198"/>
    <w:rsid w:val="00E574E2"/>
    <w:rsid w:val="00E603E5"/>
    <w:rsid w:val="00E607DB"/>
    <w:rsid w:val="00E60A08"/>
    <w:rsid w:val="00E60BA9"/>
    <w:rsid w:val="00E61253"/>
    <w:rsid w:val="00E61674"/>
    <w:rsid w:val="00E61DD7"/>
    <w:rsid w:val="00E61F44"/>
    <w:rsid w:val="00E622F5"/>
    <w:rsid w:val="00E623F4"/>
    <w:rsid w:val="00E62669"/>
    <w:rsid w:val="00E6274A"/>
    <w:rsid w:val="00E628C8"/>
    <w:rsid w:val="00E62CFD"/>
    <w:rsid w:val="00E63119"/>
    <w:rsid w:val="00E631CE"/>
    <w:rsid w:val="00E639B3"/>
    <w:rsid w:val="00E63E61"/>
    <w:rsid w:val="00E64148"/>
    <w:rsid w:val="00E64533"/>
    <w:rsid w:val="00E64722"/>
    <w:rsid w:val="00E647DC"/>
    <w:rsid w:val="00E64881"/>
    <w:rsid w:val="00E64C27"/>
    <w:rsid w:val="00E658A0"/>
    <w:rsid w:val="00E65C7F"/>
    <w:rsid w:val="00E661BC"/>
    <w:rsid w:val="00E66C2D"/>
    <w:rsid w:val="00E6770D"/>
    <w:rsid w:val="00E67C61"/>
    <w:rsid w:val="00E7029D"/>
    <w:rsid w:val="00E70AD3"/>
    <w:rsid w:val="00E70DF2"/>
    <w:rsid w:val="00E71417"/>
    <w:rsid w:val="00E71487"/>
    <w:rsid w:val="00E7157E"/>
    <w:rsid w:val="00E716AB"/>
    <w:rsid w:val="00E718F3"/>
    <w:rsid w:val="00E7191A"/>
    <w:rsid w:val="00E71DA2"/>
    <w:rsid w:val="00E720BA"/>
    <w:rsid w:val="00E72A5A"/>
    <w:rsid w:val="00E72FB7"/>
    <w:rsid w:val="00E73426"/>
    <w:rsid w:val="00E74164"/>
    <w:rsid w:val="00E74292"/>
    <w:rsid w:val="00E746D0"/>
    <w:rsid w:val="00E74B70"/>
    <w:rsid w:val="00E74DAF"/>
    <w:rsid w:val="00E74F6B"/>
    <w:rsid w:val="00E751FA"/>
    <w:rsid w:val="00E7539B"/>
    <w:rsid w:val="00E757F7"/>
    <w:rsid w:val="00E75A75"/>
    <w:rsid w:val="00E76EF3"/>
    <w:rsid w:val="00E80513"/>
    <w:rsid w:val="00E8058D"/>
    <w:rsid w:val="00E8091E"/>
    <w:rsid w:val="00E80A08"/>
    <w:rsid w:val="00E80A2F"/>
    <w:rsid w:val="00E80A5F"/>
    <w:rsid w:val="00E80FC6"/>
    <w:rsid w:val="00E80FDC"/>
    <w:rsid w:val="00E8253F"/>
    <w:rsid w:val="00E826C8"/>
    <w:rsid w:val="00E82C75"/>
    <w:rsid w:val="00E82E45"/>
    <w:rsid w:val="00E834C5"/>
    <w:rsid w:val="00E838FD"/>
    <w:rsid w:val="00E83C87"/>
    <w:rsid w:val="00E83E73"/>
    <w:rsid w:val="00E8418C"/>
    <w:rsid w:val="00E84504"/>
    <w:rsid w:val="00E84A7D"/>
    <w:rsid w:val="00E84B18"/>
    <w:rsid w:val="00E85D07"/>
    <w:rsid w:val="00E86006"/>
    <w:rsid w:val="00E8613B"/>
    <w:rsid w:val="00E86289"/>
    <w:rsid w:val="00E862D3"/>
    <w:rsid w:val="00E8640E"/>
    <w:rsid w:val="00E868E4"/>
    <w:rsid w:val="00E86971"/>
    <w:rsid w:val="00E86D49"/>
    <w:rsid w:val="00E870E2"/>
    <w:rsid w:val="00E874EA"/>
    <w:rsid w:val="00E87BF9"/>
    <w:rsid w:val="00E87E11"/>
    <w:rsid w:val="00E90301"/>
    <w:rsid w:val="00E904DA"/>
    <w:rsid w:val="00E909E3"/>
    <w:rsid w:val="00E90B56"/>
    <w:rsid w:val="00E90DB8"/>
    <w:rsid w:val="00E91081"/>
    <w:rsid w:val="00E91117"/>
    <w:rsid w:val="00E91380"/>
    <w:rsid w:val="00E913B8"/>
    <w:rsid w:val="00E91402"/>
    <w:rsid w:val="00E91E1B"/>
    <w:rsid w:val="00E9236F"/>
    <w:rsid w:val="00E92464"/>
    <w:rsid w:val="00E928EE"/>
    <w:rsid w:val="00E92D4D"/>
    <w:rsid w:val="00E930A7"/>
    <w:rsid w:val="00E933B4"/>
    <w:rsid w:val="00E93956"/>
    <w:rsid w:val="00E9411B"/>
    <w:rsid w:val="00E9455A"/>
    <w:rsid w:val="00E94C0A"/>
    <w:rsid w:val="00E94FD9"/>
    <w:rsid w:val="00E950FC"/>
    <w:rsid w:val="00E95AA2"/>
    <w:rsid w:val="00E95CBF"/>
    <w:rsid w:val="00E95D7B"/>
    <w:rsid w:val="00E96128"/>
    <w:rsid w:val="00E968AD"/>
    <w:rsid w:val="00E96D42"/>
    <w:rsid w:val="00E97104"/>
    <w:rsid w:val="00E97472"/>
    <w:rsid w:val="00E97905"/>
    <w:rsid w:val="00E97D3F"/>
    <w:rsid w:val="00E97E26"/>
    <w:rsid w:val="00E97EB4"/>
    <w:rsid w:val="00EA00C2"/>
    <w:rsid w:val="00EA0214"/>
    <w:rsid w:val="00EA03A1"/>
    <w:rsid w:val="00EA1314"/>
    <w:rsid w:val="00EA168E"/>
    <w:rsid w:val="00EA18A2"/>
    <w:rsid w:val="00EA1B25"/>
    <w:rsid w:val="00EA1C0E"/>
    <w:rsid w:val="00EA20AF"/>
    <w:rsid w:val="00EA26B7"/>
    <w:rsid w:val="00EA297C"/>
    <w:rsid w:val="00EA2D02"/>
    <w:rsid w:val="00EA2E76"/>
    <w:rsid w:val="00EA2EB2"/>
    <w:rsid w:val="00EA302E"/>
    <w:rsid w:val="00EA3189"/>
    <w:rsid w:val="00EA3298"/>
    <w:rsid w:val="00EA32AA"/>
    <w:rsid w:val="00EA37A5"/>
    <w:rsid w:val="00EA3ACE"/>
    <w:rsid w:val="00EA3B20"/>
    <w:rsid w:val="00EA3C9A"/>
    <w:rsid w:val="00EA42BE"/>
    <w:rsid w:val="00EA4511"/>
    <w:rsid w:val="00EA454D"/>
    <w:rsid w:val="00EA4646"/>
    <w:rsid w:val="00EA4712"/>
    <w:rsid w:val="00EA476F"/>
    <w:rsid w:val="00EA4770"/>
    <w:rsid w:val="00EA49A9"/>
    <w:rsid w:val="00EA4EF4"/>
    <w:rsid w:val="00EA52CF"/>
    <w:rsid w:val="00EA53A4"/>
    <w:rsid w:val="00EA54D6"/>
    <w:rsid w:val="00EA56D1"/>
    <w:rsid w:val="00EA58D2"/>
    <w:rsid w:val="00EA5D04"/>
    <w:rsid w:val="00EA63E2"/>
    <w:rsid w:val="00EA69D9"/>
    <w:rsid w:val="00EA6A0C"/>
    <w:rsid w:val="00EA6C98"/>
    <w:rsid w:val="00EA741F"/>
    <w:rsid w:val="00EA7565"/>
    <w:rsid w:val="00EA783A"/>
    <w:rsid w:val="00EA79D9"/>
    <w:rsid w:val="00EB00A1"/>
    <w:rsid w:val="00EB00F4"/>
    <w:rsid w:val="00EB086C"/>
    <w:rsid w:val="00EB0A45"/>
    <w:rsid w:val="00EB1143"/>
    <w:rsid w:val="00EB1890"/>
    <w:rsid w:val="00EB21E9"/>
    <w:rsid w:val="00EB2525"/>
    <w:rsid w:val="00EB2587"/>
    <w:rsid w:val="00EB25C1"/>
    <w:rsid w:val="00EB285F"/>
    <w:rsid w:val="00EB32DC"/>
    <w:rsid w:val="00EB37B5"/>
    <w:rsid w:val="00EB38E3"/>
    <w:rsid w:val="00EB3D71"/>
    <w:rsid w:val="00EB4044"/>
    <w:rsid w:val="00EB409C"/>
    <w:rsid w:val="00EB473B"/>
    <w:rsid w:val="00EB4A39"/>
    <w:rsid w:val="00EB4BA8"/>
    <w:rsid w:val="00EB4F22"/>
    <w:rsid w:val="00EB5394"/>
    <w:rsid w:val="00EB5CE6"/>
    <w:rsid w:val="00EB5E69"/>
    <w:rsid w:val="00EB6235"/>
    <w:rsid w:val="00EB6A83"/>
    <w:rsid w:val="00EB6AB0"/>
    <w:rsid w:val="00EB6BC7"/>
    <w:rsid w:val="00EB6CB9"/>
    <w:rsid w:val="00EB6CFC"/>
    <w:rsid w:val="00EB6EE9"/>
    <w:rsid w:val="00EB6F4C"/>
    <w:rsid w:val="00EB6F68"/>
    <w:rsid w:val="00EB6FA7"/>
    <w:rsid w:val="00EB793C"/>
    <w:rsid w:val="00EB7B77"/>
    <w:rsid w:val="00EB7CF7"/>
    <w:rsid w:val="00EB7DA6"/>
    <w:rsid w:val="00EB7E3D"/>
    <w:rsid w:val="00EB7EAD"/>
    <w:rsid w:val="00EB7F30"/>
    <w:rsid w:val="00EC00CD"/>
    <w:rsid w:val="00EC029E"/>
    <w:rsid w:val="00EC0DBB"/>
    <w:rsid w:val="00EC0F26"/>
    <w:rsid w:val="00EC1845"/>
    <w:rsid w:val="00EC1D1E"/>
    <w:rsid w:val="00EC1E64"/>
    <w:rsid w:val="00EC1FF6"/>
    <w:rsid w:val="00EC21B3"/>
    <w:rsid w:val="00EC21D9"/>
    <w:rsid w:val="00EC229F"/>
    <w:rsid w:val="00EC23E6"/>
    <w:rsid w:val="00EC26F0"/>
    <w:rsid w:val="00EC2CA4"/>
    <w:rsid w:val="00EC2E37"/>
    <w:rsid w:val="00EC2EA4"/>
    <w:rsid w:val="00EC30C0"/>
    <w:rsid w:val="00EC311C"/>
    <w:rsid w:val="00EC312E"/>
    <w:rsid w:val="00EC3BA1"/>
    <w:rsid w:val="00EC3C51"/>
    <w:rsid w:val="00EC3CA5"/>
    <w:rsid w:val="00EC3CC0"/>
    <w:rsid w:val="00EC3DA8"/>
    <w:rsid w:val="00EC447B"/>
    <w:rsid w:val="00EC4887"/>
    <w:rsid w:val="00EC4CCB"/>
    <w:rsid w:val="00EC501E"/>
    <w:rsid w:val="00EC53A3"/>
    <w:rsid w:val="00EC5469"/>
    <w:rsid w:val="00EC548D"/>
    <w:rsid w:val="00EC5523"/>
    <w:rsid w:val="00EC556F"/>
    <w:rsid w:val="00EC5B15"/>
    <w:rsid w:val="00EC5CD2"/>
    <w:rsid w:val="00EC5DEC"/>
    <w:rsid w:val="00EC6208"/>
    <w:rsid w:val="00EC67EB"/>
    <w:rsid w:val="00EC6901"/>
    <w:rsid w:val="00EC6939"/>
    <w:rsid w:val="00EC6F4E"/>
    <w:rsid w:val="00EC6FBA"/>
    <w:rsid w:val="00EC717F"/>
    <w:rsid w:val="00EC725F"/>
    <w:rsid w:val="00EC7870"/>
    <w:rsid w:val="00EC788F"/>
    <w:rsid w:val="00EC7C05"/>
    <w:rsid w:val="00ED00CB"/>
    <w:rsid w:val="00ED01CC"/>
    <w:rsid w:val="00ED044A"/>
    <w:rsid w:val="00ED04B3"/>
    <w:rsid w:val="00ED0919"/>
    <w:rsid w:val="00ED0A79"/>
    <w:rsid w:val="00ED0ED7"/>
    <w:rsid w:val="00ED1062"/>
    <w:rsid w:val="00ED112F"/>
    <w:rsid w:val="00ED14BB"/>
    <w:rsid w:val="00ED2934"/>
    <w:rsid w:val="00ED2A21"/>
    <w:rsid w:val="00ED2F2E"/>
    <w:rsid w:val="00ED2F7E"/>
    <w:rsid w:val="00ED2FA0"/>
    <w:rsid w:val="00ED331E"/>
    <w:rsid w:val="00ED35B5"/>
    <w:rsid w:val="00ED3909"/>
    <w:rsid w:val="00ED3BE1"/>
    <w:rsid w:val="00ED4310"/>
    <w:rsid w:val="00ED47E4"/>
    <w:rsid w:val="00ED4C13"/>
    <w:rsid w:val="00ED4F9F"/>
    <w:rsid w:val="00ED542C"/>
    <w:rsid w:val="00ED5B58"/>
    <w:rsid w:val="00ED5E8E"/>
    <w:rsid w:val="00ED6038"/>
    <w:rsid w:val="00ED6100"/>
    <w:rsid w:val="00ED6179"/>
    <w:rsid w:val="00ED61A0"/>
    <w:rsid w:val="00ED676C"/>
    <w:rsid w:val="00ED6815"/>
    <w:rsid w:val="00ED6D99"/>
    <w:rsid w:val="00ED7393"/>
    <w:rsid w:val="00ED73D3"/>
    <w:rsid w:val="00ED7684"/>
    <w:rsid w:val="00ED797B"/>
    <w:rsid w:val="00EE0C1B"/>
    <w:rsid w:val="00EE1047"/>
    <w:rsid w:val="00EE11FB"/>
    <w:rsid w:val="00EE12A0"/>
    <w:rsid w:val="00EE13CC"/>
    <w:rsid w:val="00EE1762"/>
    <w:rsid w:val="00EE17D3"/>
    <w:rsid w:val="00EE18E6"/>
    <w:rsid w:val="00EE1DD1"/>
    <w:rsid w:val="00EE21CA"/>
    <w:rsid w:val="00EE2505"/>
    <w:rsid w:val="00EE2AB8"/>
    <w:rsid w:val="00EE2C83"/>
    <w:rsid w:val="00EE2CF6"/>
    <w:rsid w:val="00EE2E44"/>
    <w:rsid w:val="00EE2FFA"/>
    <w:rsid w:val="00EE3123"/>
    <w:rsid w:val="00EE34EE"/>
    <w:rsid w:val="00EE3FA4"/>
    <w:rsid w:val="00EE410B"/>
    <w:rsid w:val="00EE436F"/>
    <w:rsid w:val="00EE4500"/>
    <w:rsid w:val="00EE4666"/>
    <w:rsid w:val="00EE4832"/>
    <w:rsid w:val="00EE4BD0"/>
    <w:rsid w:val="00EE4F2A"/>
    <w:rsid w:val="00EE53D7"/>
    <w:rsid w:val="00EE5817"/>
    <w:rsid w:val="00EE5F17"/>
    <w:rsid w:val="00EE62C6"/>
    <w:rsid w:val="00EE62CA"/>
    <w:rsid w:val="00EE63AC"/>
    <w:rsid w:val="00EE6A4E"/>
    <w:rsid w:val="00EE6A57"/>
    <w:rsid w:val="00EE739E"/>
    <w:rsid w:val="00EE7581"/>
    <w:rsid w:val="00EE7C28"/>
    <w:rsid w:val="00EE7E9E"/>
    <w:rsid w:val="00EF028E"/>
    <w:rsid w:val="00EF0ADF"/>
    <w:rsid w:val="00EF0C03"/>
    <w:rsid w:val="00EF0E98"/>
    <w:rsid w:val="00EF0EB6"/>
    <w:rsid w:val="00EF100D"/>
    <w:rsid w:val="00EF1957"/>
    <w:rsid w:val="00EF1C3C"/>
    <w:rsid w:val="00EF1FE8"/>
    <w:rsid w:val="00EF226F"/>
    <w:rsid w:val="00EF2A7B"/>
    <w:rsid w:val="00EF2B77"/>
    <w:rsid w:val="00EF30A0"/>
    <w:rsid w:val="00EF371E"/>
    <w:rsid w:val="00EF389C"/>
    <w:rsid w:val="00EF3E30"/>
    <w:rsid w:val="00EF4689"/>
    <w:rsid w:val="00EF4775"/>
    <w:rsid w:val="00EF4CE4"/>
    <w:rsid w:val="00EF524A"/>
    <w:rsid w:val="00EF581D"/>
    <w:rsid w:val="00EF5D6B"/>
    <w:rsid w:val="00EF5E4A"/>
    <w:rsid w:val="00EF6335"/>
    <w:rsid w:val="00EF637F"/>
    <w:rsid w:val="00EF65CD"/>
    <w:rsid w:val="00EF663D"/>
    <w:rsid w:val="00EF6CE5"/>
    <w:rsid w:val="00EF6E63"/>
    <w:rsid w:val="00EF6EE7"/>
    <w:rsid w:val="00EF704F"/>
    <w:rsid w:val="00EF731D"/>
    <w:rsid w:val="00EF763A"/>
    <w:rsid w:val="00EF7912"/>
    <w:rsid w:val="00F00196"/>
    <w:rsid w:val="00F004FC"/>
    <w:rsid w:val="00F00524"/>
    <w:rsid w:val="00F00A12"/>
    <w:rsid w:val="00F013B1"/>
    <w:rsid w:val="00F0146F"/>
    <w:rsid w:val="00F01762"/>
    <w:rsid w:val="00F01D20"/>
    <w:rsid w:val="00F01E8B"/>
    <w:rsid w:val="00F01EC1"/>
    <w:rsid w:val="00F01F7A"/>
    <w:rsid w:val="00F0214C"/>
    <w:rsid w:val="00F023B3"/>
    <w:rsid w:val="00F02659"/>
    <w:rsid w:val="00F02BF6"/>
    <w:rsid w:val="00F02E0F"/>
    <w:rsid w:val="00F02FA7"/>
    <w:rsid w:val="00F03FE9"/>
    <w:rsid w:val="00F045C1"/>
    <w:rsid w:val="00F0497A"/>
    <w:rsid w:val="00F04AE2"/>
    <w:rsid w:val="00F04AF8"/>
    <w:rsid w:val="00F04B57"/>
    <w:rsid w:val="00F04B8B"/>
    <w:rsid w:val="00F04FCF"/>
    <w:rsid w:val="00F0502E"/>
    <w:rsid w:val="00F05177"/>
    <w:rsid w:val="00F05219"/>
    <w:rsid w:val="00F054A4"/>
    <w:rsid w:val="00F056E6"/>
    <w:rsid w:val="00F05BFA"/>
    <w:rsid w:val="00F06009"/>
    <w:rsid w:val="00F0666D"/>
    <w:rsid w:val="00F06673"/>
    <w:rsid w:val="00F0692B"/>
    <w:rsid w:val="00F06C96"/>
    <w:rsid w:val="00F07486"/>
    <w:rsid w:val="00F07586"/>
    <w:rsid w:val="00F07A3F"/>
    <w:rsid w:val="00F07AD6"/>
    <w:rsid w:val="00F105C7"/>
    <w:rsid w:val="00F1069D"/>
    <w:rsid w:val="00F10BD1"/>
    <w:rsid w:val="00F10EB5"/>
    <w:rsid w:val="00F10EC4"/>
    <w:rsid w:val="00F11318"/>
    <w:rsid w:val="00F11708"/>
    <w:rsid w:val="00F11CFB"/>
    <w:rsid w:val="00F11E4C"/>
    <w:rsid w:val="00F120E3"/>
    <w:rsid w:val="00F12A7D"/>
    <w:rsid w:val="00F12A8E"/>
    <w:rsid w:val="00F12C74"/>
    <w:rsid w:val="00F12CFE"/>
    <w:rsid w:val="00F13052"/>
    <w:rsid w:val="00F1391A"/>
    <w:rsid w:val="00F13C82"/>
    <w:rsid w:val="00F14232"/>
    <w:rsid w:val="00F14613"/>
    <w:rsid w:val="00F1484D"/>
    <w:rsid w:val="00F15159"/>
    <w:rsid w:val="00F15241"/>
    <w:rsid w:val="00F15432"/>
    <w:rsid w:val="00F158F6"/>
    <w:rsid w:val="00F15E21"/>
    <w:rsid w:val="00F15F52"/>
    <w:rsid w:val="00F16A06"/>
    <w:rsid w:val="00F16DA2"/>
    <w:rsid w:val="00F16DB5"/>
    <w:rsid w:val="00F17698"/>
    <w:rsid w:val="00F17F28"/>
    <w:rsid w:val="00F20416"/>
    <w:rsid w:val="00F20655"/>
    <w:rsid w:val="00F20A0A"/>
    <w:rsid w:val="00F20B8F"/>
    <w:rsid w:val="00F21958"/>
    <w:rsid w:val="00F21A55"/>
    <w:rsid w:val="00F21C25"/>
    <w:rsid w:val="00F22258"/>
    <w:rsid w:val="00F223D9"/>
    <w:rsid w:val="00F228E7"/>
    <w:rsid w:val="00F236AB"/>
    <w:rsid w:val="00F23D8C"/>
    <w:rsid w:val="00F243DF"/>
    <w:rsid w:val="00F249AD"/>
    <w:rsid w:val="00F24C4C"/>
    <w:rsid w:val="00F25974"/>
    <w:rsid w:val="00F25C80"/>
    <w:rsid w:val="00F26541"/>
    <w:rsid w:val="00F26B64"/>
    <w:rsid w:val="00F26BF4"/>
    <w:rsid w:val="00F26C0D"/>
    <w:rsid w:val="00F26DED"/>
    <w:rsid w:val="00F26E49"/>
    <w:rsid w:val="00F27354"/>
    <w:rsid w:val="00F27593"/>
    <w:rsid w:val="00F276EB"/>
    <w:rsid w:val="00F27AC5"/>
    <w:rsid w:val="00F27B6E"/>
    <w:rsid w:val="00F27E17"/>
    <w:rsid w:val="00F30473"/>
    <w:rsid w:val="00F30659"/>
    <w:rsid w:val="00F30C74"/>
    <w:rsid w:val="00F30CCD"/>
    <w:rsid w:val="00F3103E"/>
    <w:rsid w:val="00F3139C"/>
    <w:rsid w:val="00F31764"/>
    <w:rsid w:val="00F31A3A"/>
    <w:rsid w:val="00F32115"/>
    <w:rsid w:val="00F32285"/>
    <w:rsid w:val="00F323E1"/>
    <w:rsid w:val="00F32495"/>
    <w:rsid w:val="00F329E6"/>
    <w:rsid w:val="00F32FF3"/>
    <w:rsid w:val="00F33230"/>
    <w:rsid w:val="00F33255"/>
    <w:rsid w:val="00F33503"/>
    <w:rsid w:val="00F33A66"/>
    <w:rsid w:val="00F33E85"/>
    <w:rsid w:val="00F34040"/>
    <w:rsid w:val="00F34087"/>
    <w:rsid w:val="00F3458A"/>
    <w:rsid w:val="00F34DC1"/>
    <w:rsid w:val="00F35D22"/>
    <w:rsid w:val="00F3630F"/>
    <w:rsid w:val="00F36410"/>
    <w:rsid w:val="00F366C1"/>
    <w:rsid w:val="00F36924"/>
    <w:rsid w:val="00F36953"/>
    <w:rsid w:val="00F36BE8"/>
    <w:rsid w:val="00F36E43"/>
    <w:rsid w:val="00F36E94"/>
    <w:rsid w:val="00F37352"/>
    <w:rsid w:val="00F37568"/>
    <w:rsid w:val="00F37A51"/>
    <w:rsid w:val="00F37AC5"/>
    <w:rsid w:val="00F37D07"/>
    <w:rsid w:val="00F37ED1"/>
    <w:rsid w:val="00F37FBC"/>
    <w:rsid w:val="00F40313"/>
    <w:rsid w:val="00F40382"/>
    <w:rsid w:val="00F40886"/>
    <w:rsid w:val="00F41BD7"/>
    <w:rsid w:val="00F421B6"/>
    <w:rsid w:val="00F424A0"/>
    <w:rsid w:val="00F425E7"/>
    <w:rsid w:val="00F4283B"/>
    <w:rsid w:val="00F42DD3"/>
    <w:rsid w:val="00F432ED"/>
    <w:rsid w:val="00F434C9"/>
    <w:rsid w:val="00F43903"/>
    <w:rsid w:val="00F43959"/>
    <w:rsid w:val="00F441C5"/>
    <w:rsid w:val="00F44C0F"/>
    <w:rsid w:val="00F44C1A"/>
    <w:rsid w:val="00F44E23"/>
    <w:rsid w:val="00F44F2C"/>
    <w:rsid w:val="00F4574F"/>
    <w:rsid w:val="00F4587C"/>
    <w:rsid w:val="00F45BDB"/>
    <w:rsid w:val="00F45BE5"/>
    <w:rsid w:val="00F46346"/>
    <w:rsid w:val="00F46634"/>
    <w:rsid w:val="00F466DC"/>
    <w:rsid w:val="00F468D4"/>
    <w:rsid w:val="00F46A4D"/>
    <w:rsid w:val="00F46AF6"/>
    <w:rsid w:val="00F477AF"/>
    <w:rsid w:val="00F47B42"/>
    <w:rsid w:val="00F47BE9"/>
    <w:rsid w:val="00F47D6F"/>
    <w:rsid w:val="00F5048E"/>
    <w:rsid w:val="00F507C3"/>
    <w:rsid w:val="00F50F3D"/>
    <w:rsid w:val="00F51382"/>
    <w:rsid w:val="00F517D7"/>
    <w:rsid w:val="00F51A58"/>
    <w:rsid w:val="00F51DD2"/>
    <w:rsid w:val="00F523E9"/>
    <w:rsid w:val="00F52759"/>
    <w:rsid w:val="00F5299C"/>
    <w:rsid w:val="00F52F4E"/>
    <w:rsid w:val="00F53021"/>
    <w:rsid w:val="00F537EB"/>
    <w:rsid w:val="00F53ED4"/>
    <w:rsid w:val="00F54074"/>
    <w:rsid w:val="00F547F6"/>
    <w:rsid w:val="00F54865"/>
    <w:rsid w:val="00F54B47"/>
    <w:rsid w:val="00F54BE0"/>
    <w:rsid w:val="00F54D2E"/>
    <w:rsid w:val="00F54E31"/>
    <w:rsid w:val="00F55230"/>
    <w:rsid w:val="00F557E2"/>
    <w:rsid w:val="00F56158"/>
    <w:rsid w:val="00F563FF"/>
    <w:rsid w:val="00F5644B"/>
    <w:rsid w:val="00F565EE"/>
    <w:rsid w:val="00F56BDF"/>
    <w:rsid w:val="00F56E89"/>
    <w:rsid w:val="00F571D4"/>
    <w:rsid w:val="00F571F7"/>
    <w:rsid w:val="00F57A94"/>
    <w:rsid w:val="00F57DCB"/>
    <w:rsid w:val="00F60438"/>
    <w:rsid w:val="00F60C57"/>
    <w:rsid w:val="00F6108D"/>
    <w:rsid w:val="00F61172"/>
    <w:rsid w:val="00F6117B"/>
    <w:rsid w:val="00F6126C"/>
    <w:rsid w:val="00F6131A"/>
    <w:rsid w:val="00F615B7"/>
    <w:rsid w:val="00F619B0"/>
    <w:rsid w:val="00F61C9E"/>
    <w:rsid w:val="00F61F9B"/>
    <w:rsid w:val="00F62673"/>
    <w:rsid w:val="00F62E57"/>
    <w:rsid w:val="00F62E94"/>
    <w:rsid w:val="00F63130"/>
    <w:rsid w:val="00F63385"/>
    <w:rsid w:val="00F63FF0"/>
    <w:rsid w:val="00F640DC"/>
    <w:rsid w:val="00F64B68"/>
    <w:rsid w:val="00F64FC5"/>
    <w:rsid w:val="00F65135"/>
    <w:rsid w:val="00F6519E"/>
    <w:rsid w:val="00F6520F"/>
    <w:rsid w:val="00F654B8"/>
    <w:rsid w:val="00F65A21"/>
    <w:rsid w:val="00F66146"/>
    <w:rsid w:val="00F66A54"/>
    <w:rsid w:val="00F66A66"/>
    <w:rsid w:val="00F66C75"/>
    <w:rsid w:val="00F66F91"/>
    <w:rsid w:val="00F674FF"/>
    <w:rsid w:val="00F67588"/>
    <w:rsid w:val="00F6760F"/>
    <w:rsid w:val="00F676DD"/>
    <w:rsid w:val="00F677BF"/>
    <w:rsid w:val="00F6789B"/>
    <w:rsid w:val="00F67B78"/>
    <w:rsid w:val="00F67DA4"/>
    <w:rsid w:val="00F67E4E"/>
    <w:rsid w:val="00F67F53"/>
    <w:rsid w:val="00F700AD"/>
    <w:rsid w:val="00F7018C"/>
    <w:rsid w:val="00F7038A"/>
    <w:rsid w:val="00F70C70"/>
    <w:rsid w:val="00F711BE"/>
    <w:rsid w:val="00F711F6"/>
    <w:rsid w:val="00F7159A"/>
    <w:rsid w:val="00F716E5"/>
    <w:rsid w:val="00F71964"/>
    <w:rsid w:val="00F71C77"/>
    <w:rsid w:val="00F71EAC"/>
    <w:rsid w:val="00F72999"/>
    <w:rsid w:val="00F72E7C"/>
    <w:rsid w:val="00F73656"/>
    <w:rsid w:val="00F74601"/>
    <w:rsid w:val="00F7481E"/>
    <w:rsid w:val="00F74BA9"/>
    <w:rsid w:val="00F74BAB"/>
    <w:rsid w:val="00F74FD1"/>
    <w:rsid w:val="00F75128"/>
    <w:rsid w:val="00F7579E"/>
    <w:rsid w:val="00F75F6F"/>
    <w:rsid w:val="00F760FF"/>
    <w:rsid w:val="00F76307"/>
    <w:rsid w:val="00F76924"/>
    <w:rsid w:val="00F770B2"/>
    <w:rsid w:val="00F771CF"/>
    <w:rsid w:val="00F776DE"/>
    <w:rsid w:val="00F77F30"/>
    <w:rsid w:val="00F80176"/>
    <w:rsid w:val="00F80B6D"/>
    <w:rsid w:val="00F80CAF"/>
    <w:rsid w:val="00F80DC8"/>
    <w:rsid w:val="00F80E2F"/>
    <w:rsid w:val="00F8107E"/>
    <w:rsid w:val="00F81084"/>
    <w:rsid w:val="00F811FF"/>
    <w:rsid w:val="00F823B1"/>
    <w:rsid w:val="00F8248A"/>
    <w:rsid w:val="00F824D0"/>
    <w:rsid w:val="00F82732"/>
    <w:rsid w:val="00F827B5"/>
    <w:rsid w:val="00F82937"/>
    <w:rsid w:val="00F82BA2"/>
    <w:rsid w:val="00F82FE9"/>
    <w:rsid w:val="00F82FF5"/>
    <w:rsid w:val="00F831A5"/>
    <w:rsid w:val="00F832A8"/>
    <w:rsid w:val="00F83947"/>
    <w:rsid w:val="00F83A6E"/>
    <w:rsid w:val="00F83D49"/>
    <w:rsid w:val="00F83DC0"/>
    <w:rsid w:val="00F83EA5"/>
    <w:rsid w:val="00F84193"/>
    <w:rsid w:val="00F8429E"/>
    <w:rsid w:val="00F842ED"/>
    <w:rsid w:val="00F844DE"/>
    <w:rsid w:val="00F847FF"/>
    <w:rsid w:val="00F848FF"/>
    <w:rsid w:val="00F849A5"/>
    <w:rsid w:val="00F84A8A"/>
    <w:rsid w:val="00F84F04"/>
    <w:rsid w:val="00F850D3"/>
    <w:rsid w:val="00F851A6"/>
    <w:rsid w:val="00F8525C"/>
    <w:rsid w:val="00F85387"/>
    <w:rsid w:val="00F85A76"/>
    <w:rsid w:val="00F85ADF"/>
    <w:rsid w:val="00F85C57"/>
    <w:rsid w:val="00F861EC"/>
    <w:rsid w:val="00F867F2"/>
    <w:rsid w:val="00F8690D"/>
    <w:rsid w:val="00F87231"/>
    <w:rsid w:val="00F873EF"/>
    <w:rsid w:val="00F8776E"/>
    <w:rsid w:val="00F903AC"/>
    <w:rsid w:val="00F90825"/>
    <w:rsid w:val="00F90E5F"/>
    <w:rsid w:val="00F91A48"/>
    <w:rsid w:val="00F91C25"/>
    <w:rsid w:val="00F92057"/>
    <w:rsid w:val="00F93397"/>
    <w:rsid w:val="00F933DC"/>
    <w:rsid w:val="00F936D0"/>
    <w:rsid w:val="00F93C34"/>
    <w:rsid w:val="00F93CD8"/>
    <w:rsid w:val="00F94030"/>
    <w:rsid w:val="00F95142"/>
    <w:rsid w:val="00F951DA"/>
    <w:rsid w:val="00F954DB"/>
    <w:rsid w:val="00F95523"/>
    <w:rsid w:val="00F957B7"/>
    <w:rsid w:val="00F95C31"/>
    <w:rsid w:val="00F9655D"/>
    <w:rsid w:val="00F967BC"/>
    <w:rsid w:val="00F968AC"/>
    <w:rsid w:val="00F9698F"/>
    <w:rsid w:val="00F96F1E"/>
    <w:rsid w:val="00F973F0"/>
    <w:rsid w:val="00F975D6"/>
    <w:rsid w:val="00F9767D"/>
    <w:rsid w:val="00F979B8"/>
    <w:rsid w:val="00F979D6"/>
    <w:rsid w:val="00F97A95"/>
    <w:rsid w:val="00F97E8F"/>
    <w:rsid w:val="00FA00E5"/>
    <w:rsid w:val="00FA03BF"/>
    <w:rsid w:val="00FA09BE"/>
    <w:rsid w:val="00FA0FF0"/>
    <w:rsid w:val="00FA1315"/>
    <w:rsid w:val="00FA169C"/>
    <w:rsid w:val="00FA176E"/>
    <w:rsid w:val="00FA17B9"/>
    <w:rsid w:val="00FA17FD"/>
    <w:rsid w:val="00FA1AF1"/>
    <w:rsid w:val="00FA1F5C"/>
    <w:rsid w:val="00FA20C2"/>
    <w:rsid w:val="00FA21BD"/>
    <w:rsid w:val="00FA2351"/>
    <w:rsid w:val="00FA238B"/>
    <w:rsid w:val="00FA2410"/>
    <w:rsid w:val="00FA26A2"/>
    <w:rsid w:val="00FA2861"/>
    <w:rsid w:val="00FA2CC6"/>
    <w:rsid w:val="00FA2D0A"/>
    <w:rsid w:val="00FA2D13"/>
    <w:rsid w:val="00FA2E72"/>
    <w:rsid w:val="00FA39BF"/>
    <w:rsid w:val="00FA3C64"/>
    <w:rsid w:val="00FA40BC"/>
    <w:rsid w:val="00FA4658"/>
    <w:rsid w:val="00FA48C1"/>
    <w:rsid w:val="00FA4918"/>
    <w:rsid w:val="00FA4CA5"/>
    <w:rsid w:val="00FA4E98"/>
    <w:rsid w:val="00FA4FE9"/>
    <w:rsid w:val="00FA51AB"/>
    <w:rsid w:val="00FA545F"/>
    <w:rsid w:val="00FA5542"/>
    <w:rsid w:val="00FA5B62"/>
    <w:rsid w:val="00FA5E0B"/>
    <w:rsid w:val="00FA63E7"/>
    <w:rsid w:val="00FA65B1"/>
    <w:rsid w:val="00FA6A42"/>
    <w:rsid w:val="00FA6BC6"/>
    <w:rsid w:val="00FA6BF4"/>
    <w:rsid w:val="00FA6F01"/>
    <w:rsid w:val="00FA754F"/>
    <w:rsid w:val="00FA7735"/>
    <w:rsid w:val="00FA7B17"/>
    <w:rsid w:val="00FA7E13"/>
    <w:rsid w:val="00FB0761"/>
    <w:rsid w:val="00FB0876"/>
    <w:rsid w:val="00FB0F2A"/>
    <w:rsid w:val="00FB1163"/>
    <w:rsid w:val="00FB1BE7"/>
    <w:rsid w:val="00FB1CE4"/>
    <w:rsid w:val="00FB1F4E"/>
    <w:rsid w:val="00FB208C"/>
    <w:rsid w:val="00FB20B4"/>
    <w:rsid w:val="00FB2211"/>
    <w:rsid w:val="00FB24D3"/>
    <w:rsid w:val="00FB2680"/>
    <w:rsid w:val="00FB2921"/>
    <w:rsid w:val="00FB2932"/>
    <w:rsid w:val="00FB3372"/>
    <w:rsid w:val="00FB3F66"/>
    <w:rsid w:val="00FB43D1"/>
    <w:rsid w:val="00FB50B6"/>
    <w:rsid w:val="00FB50D2"/>
    <w:rsid w:val="00FB5426"/>
    <w:rsid w:val="00FB57D6"/>
    <w:rsid w:val="00FB5928"/>
    <w:rsid w:val="00FB631D"/>
    <w:rsid w:val="00FB6AC6"/>
    <w:rsid w:val="00FB73D8"/>
    <w:rsid w:val="00FC039B"/>
    <w:rsid w:val="00FC061D"/>
    <w:rsid w:val="00FC10FC"/>
    <w:rsid w:val="00FC17A1"/>
    <w:rsid w:val="00FC1919"/>
    <w:rsid w:val="00FC1B22"/>
    <w:rsid w:val="00FC1B7A"/>
    <w:rsid w:val="00FC1FCB"/>
    <w:rsid w:val="00FC2432"/>
    <w:rsid w:val="00FC2AC7"/>
    <w:rsid w:val="00FC3B67"/>
    <w:rsid w:val="00FC3D55"/>
    <w:rsid w:val="00FC4157"/>
    <w:rsid w:val="00FC4278"/>
    <w:rsid w:val="00FC4851"/>
    <w:rsid w:val="00FC48B9"/>
    <w:rsid w:val="00FC52FC"/>
    <w:rsid w:val="00FC54D3"/>
    <w:rsid w:val="00FC558A"/>
    <w:rsid w:val="00FC5A16"/>
    <w:rsid w:val="00FC6B48"/>
    <w:rsid w:val="00FC7293"/>
    <w:rsid w:val="00FC76B4"/>
    <w:rsid w:val="00FC77E4"/>
    <w:rsid w:val="00FC798D"/>
    <w:rsid w:val="00FC79B4"/>
    <w:rsid w:val="00FC7D2C"/>
    <w:rsid w:val="00FD057F"/>
    <w:rsid w:val="00FD0AF6"/>
    <w:rsid w:val="00FD0DC9"/>
    <w:rsid w:val="00FD0E5E"/>
    <w:rsid w:val="00FD1617"/>
    <w:rsid w:val="00FD17A2"/>
    <w:rsid w:val="00FD1E7D"/>
    <w:rsid w:val="00FD1E8E"/>
    <w:rsid w:val="00FD1EE5"/>
    <w:rsid w:val="00FD22DA"/>
    <w:rsid w:val="00FD2604"/>
    <w:rsid w:val="00FD27B2"/>
    <w:rsid w:val="00FD2C4E"/>
    <w:rsid w:val="00FD2E75"/>
    <w:rsid w:val="00FD2F74"/>
    <w:rsid w:val="00FD32B4"/>
    <w:rsid w:val="00FD333E"/>
    <w:rsid w:val="00FD37AD"/>
    <w:rsid w:val="00FD3ADE"/>
    <w:rsid w:val="00FD3E5A"/>
    <w:rsid w:val="00FD3EC9"/>
    <w:rsid w:val="00FD4274"/>
    <w:rsid w:val="00FD44D8"/>
    <w:rsid w:val="00FD47B3"/>
    <w:rsid w:val="00FD47C2"/>
    <w:rsid w:val="00FD4808"/>
    <w:rsid w:val="00FD4C0F"/>
    <w:rsid w:val="00FD4D72"/>
    <w:rsid w:val="00FD4E01"/>
    <w:rsid w:val="00FD4F18"/>
    <w:rsid w:val="00FD4F73"/>
    <w:rsid w:val="00FD50CC"/>
    <w:rsid w:val="00FD51DF"/>
    <w:rsid w:val="00FD55F5"/>
    <w:rsid w:val="00FD5603"/>
    <w:rsid w:val="00FD5980"/>
    <w:rsid w:val="00FD5B31"/>
    <w:rsid w:val="00FD5B6A"/>
    <w:rsid w:val="00FD655F"/>
    <w:rsid w:val="00FD6D19"/>
    <w:rsid w:val="00FD7194"/>
    <w:rsid w:val="00FD793C"/>
    <w:rsid w:val="00FE03E9"/>
    <w:rsid w:val="00FE0EFC"/>
    <w:rsid w:val="00FE0EFF"/>
    <w:rsid w:val="00FE1019"/>
    <w:rsid w:val="00FE16CB"/>
    <w:rsid w:val="00FE16E4"/>
    <w:rsid w:val="00FE18B2"/>
    <w:rsid w:val="00FE2897"/>
    <w:rsid w:val="00FE28DB"/>
    <w:rsid w:val="00FE2983"/>
    <w:rsid w:val="00FE2B13"/>
    <w:rsid w:val="00FE2B3A"/>
    <w:rsid w:val="00FE2D82"/>
    <w:rsid w:val="00FE38E2"/>
    <w:rsid w:val="00FE3DE1"/>
    <w:rsid w:val="00FE3EE2"/>
    <w:rsid w:val="00FE3F9D"/>
    <w:rsid w:val="00FE465E"/>
    <w:rsid w:val="00FE4C3D"/>
    <w:rsid w:val="00FE4ED2"/>
    <w:rsid w:val="00FE532C"/>
    <w:rsid w:val="00FE561F"/>
    <w:rsid w:val="00FE5686"/>
    <w:rsid w:val="00FE56CA"/>
    <w:rsid w:val="00FE59F7"/>
    <w:rsid w:val="00FE5B27"/>
    <w:rsid w:val="00FE5EAE"/>
    <w:rsid w:val="00FE6077"/>
    <w:rsid w:val="00FE6170"/>
    <w:rsid w:val="00FE6482"/>
    <w:rsid w:val="00FE6D54"/>
    <w:rsid w:val="00FE6E55"/>
    <w:rsid w:val="00FE713F"/>
    <w:rsid w:val="00FE79B9"/>
    <w:rsid w:val="00FE7A6A"/>
    <w:rsid w:val="00FE7BEC"/>
    <w:rsid w:val="00FF004C"/>
    <w:rsid w:val="00FF01F2"/>
    <w:rsid w:val="00FF0254"/>
    <w:rsid w:val="00FF093A"/>
    <w:rsid w:val="00FF0DF6"/>
    <w:rsid w:val="00FF10DD"/>
    <w:rsid w:val="00FF11F4"/>
    <w:rsid w:val="00FF143B"/>
    <w:rsid w:val="00FF14D5"/>
    <w:rsid w:val="00FF154A"/>
    <w:rsid w:val="00FF1CC9"/>
    <w:rsid w:val="00FF1F36"/>
    <w:rsid w:val="00FF233D"/>
    <w:rsid w:val="00FF26AD"/>
    <w:rsid w:val="00FF2744"/>
    <w:rsid w:val="00FF276F"/>
    <w:rsid w:val="00FF278A"/>
    <w:rsid w:val="00FF2D3E"/>
    <w:rsid w:val="00FF309A"/>
    <w:rsid w:val="00FF3481"/>
    <w:rsid w:val="00FF35A1"/>
    <w:rsid w:val="00FF3AF3"/>
    <w:rsid w:val="00FF3C5E"/>
    <w:rsid w:val="00FF3F01"/>
    <w:rsid w:val="00FF4650"/>
    <w:rsid w:val="00FF465B"/>
    <w:rsid w:val="00FF469A"/>
    <w:rsid w:val="00FF4B17"/>
    <w:rsid w:val="00FF5208"/>
    <w:rsid w:val="00FF57C7"/>
    <w:rsid w:val="00FF5951"/>
    <w:rsid w:val="00FF60AB"/>
    <w:rsid w:val="00FF625F"/>
    <w:rsid w:val="00FF6674"/>
    <w:rsid w:val="00FF69B0"/>
    <w:rsid w:val="00FF6D05"/>
    <w:rsid w:val="00FF73BD"/>
    <w:rsid w:val="00FF7A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15127"/>
  <w15:chartTrackingRefBased/>
  <w15:docId w15:val="{4026E215-6B8C-7C4F-BAEC-AE24DFD1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F7D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7D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7DA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7DA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7DA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7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92"/>
    <w:pPr>
      <w:ind w:left="720"/>
      <w:contextualSpacing/>
    </w:pPr>
  </w:style>
  <w:style w:type="character" w:customStyle="1" w:styleId="FootnoteTextChar">
    <w:name w:val="Footnote Text Char"/>
    <w:basedOn w:val="DefaultParagraphFont"/>
    <w:link w:val="FootnoteText"/>
    <w:uiPriority w:val="99"/>
    <w:semiHidden/>
    <w:rsid w:val="009F0B42"/>
    <w:rPr>
      <w:sz w:val="18"/>
      <w:szCs w:val="18"/>
      <w:lang w:val="en-US"/>
    </w:rPr>
  </w:style>
  <w:style w:type="paragraph" w:styleId="FootnoteText">
    <w:name w:val="footnote text"/>
    <w:basedOn w:val="Normal"/>
    <w:link w:val="FootnoteTextChar"/>
    <w:uiPriority w:val="99"/>
    <w:semiHidden/>
    <w:unhideWhenUsed/>
    <w:rsid w:val="009F0B42"/>
    <w:pPr>
      <w:widowControl w:val="0"/>
      <w:snapToGrid w:val="0"/>
      <w:spacing w:after="0" w:line="240" w:lineRule="auto"/>
    </w:pPr>
    <w:rPr>
      <w:sz w:val="18"/>
      <w:szCs w:val="18"/>
    </w:rPr>
  </w:style>
  <w:style w:type="character" w:customStyle="1" w:styleId="FootnoteTextChar1">
    <w:name w:val="Footnote Text Char1"/>
    <w:basedOn w:val="DefaultParagraphFont"/>
    <w:uiPriority w:val="99"/>
    <w:semiHidden/>
    <w:rsid w:val="009F0B42"/>
    <w:rPr>
      <w:sz w:val="20"/>
      <w:szCs w:val="20"/>
    </w:rPr>
  </w:style>
  <w:style w:type="character" w:styleId="FootnoteReference">
    <w:name w:val="footnote reference"/>
    <w:basedOn w:val="DefaultParagraphFont"/>
    <w:uiPriority w:val="99"/>
    <w:semiHidden/>
    <w:unhideWhenUsed/>
    <w:rsid w:val="009F0B42"/>
    <w:rPr>
      <w:vertAlign w:val="superscript"/>
    </w:rPr>
  </w:style>
  <w:style w:type="character" w:styleId="Hyperlink">
    <w:name w:val="Hyperlink"/>
    <w:basedOn w:val="DefaultParagraphFont"/>
    <w:uiPriority w:val="99"/>
    <w:unhideWhenUsed/>
    <w:rsid w:val="009F0B42"/>
    <w:rPr>
      <w:color w:val="0563C1" w:themeColor="hyperlink"/>
      <w:u w:val="single"/>
    </w:rPr>
  </w:style>
  <w:style w:type="paragraph" w:styleId="Footer">
    <w:name w:val="footer"/>
    <w:basedOn w:val="Normal"/>
    <w:link w:val="FooterChar"/>
    <w:uiPriority w:val="99"/>
    <w:unhideWhenUsed/>
    <w:rsid w:val="00C60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A8"/>
  </w:style>
  <w:style w:type="character" w:styleId="PageNumber">
    <w:name w:val="page number"/>
    <w:basedOn w:val="DefaultParagraphFont"/>
    <w:uiPriority w:val="99"/>
    <w:semiHidden/>
    <w:unhideWhenUsed/>
    <w:rsid w:val="00C607A8"/>
  </w:style>
  <w:style w:type="character" w:styleId="CommentReference">
    <w:name w:val="annotation reference"/>
    <w:basedOn w:val="DefaultParagraphFont"/>
    <w:uiPriority w:val="99"/>
    <w:semiHidden/>
    <w:unhideWhenUsed/>
    <w:rsid w:val="00FE28DB"/>
    <w:rPr>
      <w:sz w:val="16"/>
      <w:szCs w:val="16"/>
    </w:rPr>
  </w:style>
  <w:style w:type="paragraph" w:styleId="CommentText">
    <w:name w:val="annotation text"/>
    <w:basedOn w:val="Normal"/>
    <w:link w:val="CommentTextChar"/>
    <w:uiPriority w:val="99"/>
    <w:unhideWhenUsed/>
    <w:rsid w:val="00FE28DB"/>
    <w:pPr>
      <w:widowControl w:val="0"/>
      <w:spacing w:line="240" w:lineRule="auto"/>
      <w:jc w:val="both"/>
    </w:pPr>
    <w:rPr>
      <w:kern w:val="2"/>
      <w:sz w:val="20"/>
      <w:szCs w:val="20"/>
      <w14:ligatures w14:val="standardContextual"/>
    </w:rPr>
  </w:style>
  <w:style w:type="character" w:customStyle="1" w:styleId="CommentTextChar">
    <w:name w:val="Comment Text Char"/>
    <w:basedOn w:val="DefaultParagraphFont"/>
    <w:link w:val="CommentText"/>
    <w:uiPriority w:val="99"/>
    <w:rsid w:val="00FE28DB"/>
    <w:rPr>
      <w:kern w:val="2"/>
      <w:sz w:val="20"/>
      <w:szCs w:val="20"/>
      <w14:ligatures w14:val="standardContextual"/>
    </w:rPr>
  </w:style>
  <w:style w:type="paragraph" w:styleId="BalloonText">
    <w:name w:val="Balloon Text"/>
    <w:basedOn w:val="Normal"/>
    <w:link w:val="BalloonTextChar"/>
    <w:uiPriority w:val="99"/>
    <w:semiHidden/>
    <w:unhideWhenUsed/>
    <w:rsid w:val="00FE28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28D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45231"/>
    <w:rPr>
      <w:color w:val="954F72" w:themeColor="followedHyperlink"/>
      <w:u w:val="single"/>
    </w:rPr>
  </w:style>
  <w:style w:type="character" w:styleId="UnresolvedMention">
    <w:name w:val="Unresolved Mention"/>
    <w:basedOn w:val="DefaultParagraphFont"/>
    <w:uiPriority w:val="99"/>
    <w:semiHidden/>
    <w:unhideWhenUsed/>
    <w:rsid w:val="002D5FFD"/>
    <w:rPr>
      <w:color w:val="605E5C"/>
      <w:shd w:val="clear" w:color="auto" w:fill="E1DFDD"/>
    </w:rPr>
  </w:style>
  <w:style w:type="paragraph" w:styleId="EndnoteText">
    <w:name w:val="endnote text"/>
    <w:basedOn w:val="Normal"/>
    <w:link w:val="EndnoteTextChar"/>
    <w:uiPriority w:val="99"/>
    <w:semiHidden/>
    <w:unhideWhenUsed/>
    <w:rsid w:val="00B908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885"/>
    <w:rPr>
      <w:sz w:val="20"/>
      <w:szCs w:val="20"/>
    </w:rPr>
  </w:style>
  <w:style w:type="character" w:styleId="EndnoteReference">
    <w:name w:val="endnote reference"/>
    <w:basedOn w:val="DefaultParagraphFont"/>
    <w:uiPriority w:val="99"/>
    <w:semiHidden/>
    <w:unhideWhenUsed/>
    <w:rsid w:val="00B90885"/>
    <w:rPr>
      <w:vertAlign w:val="superscript"/>
    </w:rPr>
  </w:style>
  <w:style w:type="table" w:styleId="TableGrid">
    <w:name w:val="Table Grid"/>
    <w:basedOn w:val="TableNormal"/>
    <w:uiPriority w:val="59"/>
    <w:rsid w:val="00B07192"/>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5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3EE"/>
  </w:style>
  <w:style w:type="paragraph" w:styleId="Revision">
    <w:name w:val="Revision"/>
    <w:hidden/>
    <w:uiPriority w:val="99"/>
    <w:semiHidden/>
    <w:rsid w:val="007053EE"/>
    <w:pPr>
      <w:spacing w:after="0" w:line="240" w:lineRule="auto"/>
    </w:pPr>
  </w:style>
  <w:style w:type="character" w:styleId="PlaceholderText">
    <w:name w:val="Placeholder Text"/>
    <w:basedOn w:val="DefaultParagraphFont"/>
    <w:uiPriority w:val="99"/>
    <w:semiHidden/>
    <w:rsid w:val="0081770D"/>
    <w:rPr>
      <w:color w:val="666666"/>
    </w:rPr>
  </w:style>
  <w:style w:type="table" w:customStyle="1" w:styleId="TableGrid1">
    <w:name w:val="Table Grid1"/>
    <w:basedOn w:val="TableNormal"/>
    <w:next w:val="TableGrid"/>
    <w:uiPriority w:val="59"/>
    <w:rsid w:val="00290053"/>
    <w:pPr>
      <w:spacing w:after="0" w:line="240" w:lineRule="auto"/>
    </w:pPr>
    <w:rPr>
      <w:rFonts w:ascii="Calibri" w:eastAsia="SimSun" w:hAnsi="Calibri" w:cs="SimSu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1835A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35AD"/>
    <w:rPr>
      <w:rFonts w:ascii="Calibri" w:hAnsi="Calibri" w:cs="Calibri"/>
      <w:noProof/>
      <w:lang w:val="en-GB"/>
    </w:rPr>
  </w:style>
  <w:style w:type="paragraph" w:customStyle="1" w:styleId="EndNoteBibliography">
    <w:name w:val="EndNote Bibliography"/>
    <w:basedOn w:val="Normal"/>
    <w:link w:val="EndNoteBibliographyChar"/>
    <w:rsid w:val="001835A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835AD"/>
    <w:rPr>
      <w:rFonts w:ascii="Calibri" w:hAnsi="Calibri" w:cs="Calibri"/>
      <w:noProof/>
      <w:lang w:val="en-GB"/>
    </w:rPr>
  </w:style>
  <w:style w:type="paragraph" w:styleId="CommentSubject">
    <w:name w:val="annotation subject"/>
    <w:basedOn w:val="CommentText"/>
    <w:next w:val="CommentText"/>
    <w:link w:val="CommentSubjectChar"/>
    <w:uiPriority w:val="99"/>
    <w:semiHidden/>
    <w:unhideWhenUsed/>
    <w:rsid w:val="00113145"/>
    <w:pPr>
      <w:widowControl/>
      <w:jc w:val="left"/>
    </w:pPr>
    <w:rPr>
      <w:b/>
      <w:bCs/>
      <w:kern w:val="0"/>
      <w14:ligatures w14:val="none"/>
    </w:rPr>
  </w:style>
  <w:style w:type="character" w:customStyle="1" w:styleId="CommentSubjectChar">
    <w:name w:val="Comment Subject Char"/>
    <w:basedOn w:val="CommentTextChar"/>
    <w:link w:val="CommentSubject"/>
    <w:uiPriority w:val="99"/>
    <w:semiHidden/>
    <w:rsid w:val="00113145"/>
    <w:rPr>
      <w:b/>
      <w:bCs/>
      <w:kern w:val="2"/>
      <w:sz w:val="20"/>
      <w:szCs w:val="20"/>
      <w14:ligatures w14:val="standardContextual"/>
    </w:rPr>
  </w:style>
  <w:style w:type="character" w:customStyle="1" w:styleId="Heading1Char">
    <w:name w:val="Heading 1 Char"/>
    <w:basedOn w:val="DefaultParagraphFont"/>
    <w:link w:val="Heading1"/>
    <w:uiPriority w:val="9"/>
    <w:rsid w:val="000F7DAA"/>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0F7DAA"/>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0F7DAA"/>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0F7DAA"/>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0F7DAA"/>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0F7DA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F7DA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F7DA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F7DA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F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DA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F7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DA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F7DAA"/>
    <w:pPr>
      <w:spacing w:before="160"/>
      <w:jc w:val="center"/>
    </w:pPr>
    <w:rPr>
      <w:i/>
      <w:iCs/>
      <w:color w:val="404040" w:themeColor="text1" w:themeTint="BF"/>
    </w:rPr>
  </w:style>
  <w:style w:type="character" w:customStyle="1" w:styleId="QuoteChar">
    <w:name w:val="Quote Char"/>
    <w:basedOn w:val="DefaultParagraphFont"/>
    <w:link w:val="Quote"/>
    <w:uiPriority w:val="29"/>
    <w:rsid w:val="000F7DAA"/>
    <w:rPr>
      <w:i/>
      <w:iCs/>
      <w:color w:val="404040" w:themeColor="text1" w:themeTint="BF"/>
      <w:lang w:val="en-GB"/>
    </w:rPr>
  </w:style>
  <w:style w:type="character" w:styleId="IntenseEmphasis">
    <w:name w:val="Intense Emphasis"/>
    <w:basedOn w:val="DefaultParagraphFont"/>
    <w:uiPriority w:val="21"/>
    <w:qFormat/>
    <w:rsid w:val="000F7DAA"/>
    <w:rPr>
      <w:i/>
      <w:iCs/>
      <w:color w:val="2E74B5" w:themeColor="accent1" w:themeShade="BF"/>
    </w:rPr>
  </w:style>
  <w:style w:type="paragraph" w:styleId="IntenseQuote">
    <w:name w:val="Intense Quote"/>
    <w:basedOn w:val="Normal"/>
    <w:next w:val="Normal"/>
    <w:link w:val="IntenseQuoteChar"/>
    <w:uiPriority w:val="30"/>
    <w:qFormat/>
    <w:rsid w:val="000F7D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7DAA"/>
    <w:rPr>
      <w:i/>
      <w:iCs/>
      <w:color w:val="2E74B5" w:themeColor="accent1" w:themeShade="BF"/>
      <w:lang w:val="en-GB"/>
    </w:rPr>
  </w:style>
  <w:style w:type="character" w:styleId="IntenseReference">
    <w:name w:val="Intense Reference"/>
    <w:basedOn w:val="DefaultParagraphFont"/>
    <w:uiPriority w:val="32"/>
    <w:qFormat/>
    <w:rsid w:val="000F7DAA"/>
    <w:rPr>
      <w:b/>
      <w:bCs/>
      <w:smallCaps/>
      <w:color w:val="2E74B5" w:themeColor="accent1" w:themeShade="BF"/>
      <w:spacing w:val="5"/>
    </w:rPr>
  </w:style>
  <w:style w:type="paragraph" w:styleId="Date">
    <w:name w:val="Date"/>
    <w:basedOn w:val="Normal"/>
    <w:next w:val="Normal"/>
    <w:link w:val="DateChar"/>
    <w:uiPriority w:val="99"/>
    <w:semiHidden/>
    <w:unhideWhenUsed/>
    <w:rsid w:val="00300298"/>
  </w:style>
  <w:style w:type="character" w:customStyle="1" w:styleId="DateChar">
    <w:name w:val="Date Char"/>
    <w:basedOn w:val="DefaultParagraphFont"/>
    <w:link w:val="Date"/>
    <w:uiPriority w:val="99"/>
    <w:semiHidden/>
    <w:rsid w:val="003002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rl.2022.103550" TargetMode="External"/><Relationship Id="rId117" Type="http://schemas.openxmlformats.org/officeDocument/2006/relationships/hyperlink" Target="https://doi.org/10.1002/smj.3193" TargetMode="External"/><Relationship Id="rId21" Type="http://schemas.openxmlformats.org/officeDocument/2006/relationships/hyperlink" Target="https://doi.org/10.1111/1475-679x.12542" TargetMode="External"/><Relationship Id="rId42" Type="http://schemas.openxmlformats.org/officeDocument/2006/relationships/hyperlink" Target="https://www.jstor.org/stable/256040" TargetMode="External"/><Relationship Id="rId47" Type="http://schemas.openxmlformats.org/officeDocument/2006/relationships/hyperlink" Target="https://doi.org/10.1177/0963662512460953" TargetMode="External"/><Relationship Id="rId63" Type="http://schemas.openxmlformats.org/officeDocument/2006/relationships/hyperlink" Target="https://doi.org/10.2307/1251942" TargetMode="External"/><Relationship Id="rId68" Type="http://schemas.openxmlformats.org/officeDocument/2006/relationships/hyperlink" Target="https://doi.org/10.1111/1467-8551.12821" TargetMode="External"/><Relationship Id="rId84" Type="http://schemas.openxmlformats.org/officeDocument/2006/relationships/hyperlink" Target="https://doi.org/10.1111/1467-8551.12846" TargetMode="External"/><Relationship Id="rId89" Type="http://schemas.openxmlformats.org/officeDocument/2006/relationships/hyperlink" Target="https://doi.org/10.1177/0149206315610635" TargetMode="External"/><Relationship Id="rId112" Type="http://schemas.openxmlformats.org/officeDocument/2006/relationships/hyperlink" Target="https://doi.org/10.1016/j.eneco.2017.12.012" TargetMode="External"/><Relationship Id="rId16" Type="http://schemas.openxmlformats.org/officeDocument/2006/relationships/hyperlink" Target="https://doi.org/10.2308/tar-2018-0144" TargetMode="External"/><Relationship Id="rId107" Type="http://schemas.openxmlformats.org/officeDocument/2006/relationships/hyperlink" Target="https://doi.org/10.1016/j.eneco.2023.106856" TargetMode="External"/><Relationship Id="rId11" Type="http://schemas.openxmlformats.org/officeDocument/2006/relationships/footer" Target="footer1.xml"/><Relationship Id="rId32" Type="http://schemas.openxmlformats.org/officeDocument/2006/relationships/hyperlink" Target="https://doi.org/10.1016/j.eneco.2025.108312" TargetMode="External"/><Relationship Id="rId37" Type="http://schemas.openxmlformats.org/officeDocument/2006/relationships/hyperlink" Target="https://doi.org/10.1111/j.1467-6486.2009.00912.x" TargetMode="External"/><Relationship Id="rId53" Type="http://schemas.openxmlformats.org/officeDocument/2006/relationships/hyperlink" Target="https://doi.org/10.1108/sampj-07-2023-0496" TargetMode="External"/><Relationship Id="rId58" Type="http://schemas.openxmlformats.org/officeDocument/2006/relationships/hyperlink" Target="https://doi.org/10.2307/2393253" TargetMode="External"/><Relationship Id="rId74" Type="http://schemas.openxmlformats.org/officeDocument/2006/relationships/hyperlink" Target="https://doi.org/10.1002/smj.845" TargetMode="External"/><Relationship Id="rId79" Type="http://schemas.openxmlformats.org/officeDocument/2006/relationships/hyperlink" Target="https://doi.org/10.1016/j.irfa.2025.104162" TargetMode="External"/><Relationship Id="rId102" Type="http://schemas.openxmlformats.org/officeDocument/2006/relationships/hyperlink" Target="https://doi.org/10.1111/j.1540-6520.2008.00283.x" TargetMode="External"/><Relationship Id="rId123" Type="http://schemas.openxmlformats.org/officeDocument/2006/relationships/image" Target="media/image2.png"/><Relationship Id="rId5" Type="http://schemas.openxmlformats.org/officeDocument/2006/relationships/numbering" Target="numbering.xml"/><Relationship Id="rId90" Type="http://schemas.openxmlformats.org/officeDocument/2006/relationships/hyperlink" Target="https://doi.org/.1080/07350015.2016.1227711" TargetMode="External"/><Relationship Id="rId95" Type="http://schemas.openxmlformats.org/officeDocument/2006/relationships/hyperlink" Target="https://www.jstor.org/stable/2138392" TargetMode="External"/><Relationship Id="rId22" Type="http://schemas.openxmlformats.org/officeDocument/2006/relationships/hyperlink" Target="https://doi.org/10.1177/014920639101700108" TargetMode="External"/><Relationship Id="rId27" Type="http://schemas.openxmlformats.org/officeDocument/2006/relationships/hyperlink" Target="https://www.jstor.org/stable/1812183" TargetMode="External"/><Relationship Id="rId43" Type="http://schemas.openxmlformats.org/officeDocument/2006/relationships/hyperlink" Target="https://doi.org/10.1016/j.jom.2004.03.001" TargetMode="External"/><Relationship Id="rId48" Type="http://schemas.openxmlformats.org/officeDocument/2006/relationships/hyperlink" Target="https://doi.org/10.1111/j.1467-8551.2008.00606.x" TargetMode="External"/><Relationship Id="rId64" Type="http://schemas.openxmlformats.org/officeDocument/2006/relationships/hyperlink" Target="https://doi.org/10.1016/j.eneco.2021.105134" TargetMode="External"/><Relationship Id="rId69" Type="http://schemas.openxmlformats.org/officeDocument/2006/relationships/hyperlink" Target="https://doi.org/10.1016/j.lrp.2019.05.005" TargetMode="External"/><Relationship Id="rId113" Type="http://schemas.openxmlformats.org/officeDocument/2006/relationships/hyperlink" Target="https://doi.org/10.1016/j.jbusres.2019.11.043" TargetMode="External"/><Relationship Id="rId118" Type="http://schemas.openxmlformats.org/officeDocument/2006/relationships/hyperlink" Target="https://doi.org/10.1017/mor.2023.32" TargetMode="External"/><Relationship Id="rId80" Type="http://schemas.openxmlformats.org/officeDocument/2006/relationships/hyperlink" Target="https://doi.org/10.1002/1097-0266(200101)22:2" TargetMode="External"/><Relationship Id="rId85" Type="http://schemas.openxmlformats.org/officeDocument/2006/relationships/hyperlink" Target="https://doi.org/10.1177/0149206315617241" TargetMode="External"/><Relationship Id="rId12" Type="http://schemas.openxmlformats.org/officeDocument/2006/relationships/footer" Target="footer2.xml"/><Relationship Id="rId17" Type="http://schemas.openxmlformats.org/officeDocument/2006/relationships/hyperlink" Target="https://doi.org/10.1016/j.enpol.2018.09.005" TargetMode="External"/><Relationship Id="rId33" Type="http://schemas.openxmlformats.org/officeDocument/2006/relationships/hyperlink" Target="https://doi.org/10.1016/j.jebo.2025.106929" TargetMode="External"/><Relationship Id="rId38" Type="http://schemas.openxmlformats.org/officeDocument/2006/relationships/hyperlink" Target="https://doi.org/10.1016/j.eneco.2023.106966" TargetMode="External"/><Relationship Id="rId59" Type="http://schemas.openxmlformats.org/officeDocument/2006/relationships/hyperlink" Target="https://www.jstor.org/stable/1912352" TargetMode="External"/><Relationship Id="rId103" Type="http://schemas.openxmlformats.org/officeDocument/2006/relationships/hyperlink" Target="https://doi.org/10.1111/joms.13002" TargetMode="External"/><Relationship Id="rId108" Type="http://schemas.openxmlformats.org/officeDocument/2006/relationships/hyperlink" Target="https://doi.org/10.1016/j.eneco.2023.106775" TargetMode="External"/><Relationship Id="rId124" Type="http://schemas.openxmlformats.org/officeDocument/2006/relationships/fontTable" Target="fontTable.xml"/><Relationship Id="rId54" Type="http://schemas.openxmlformats.org/officeDocument/2006/relationships/hyperlink" Target="https://doi.org/10.1016/S0883-9026(99)00059-2" TargetMode="External"/><Relationship Id="rId70" Type="http://schemas.openxmlformats.org/officeDocument/2006/relationships/hyperlink" Target="https://doi.org/10.1016/j.jacceco.2020.101381" TargetMode="External"/><Relationship Id="rId75" Type="http://schemas.openxmlformats.org/officeDocument/2006/relationships/hyperlink" Target="https://doi.org/10.1007/s10551-016-3187-6" TargetMode="External"/><Relationship Id="rId91" Type="http://schemas.openxmlformats.org/officeDocument/2006/relationships/hyperlink" Target="https://doi.org/10.5465/19416520.2010.495581" TargetMode="External"/><Relationship Id="rId96" Type="http://schemas.openxmlformats.org/officeDocument/2006/relationships/hyperlink" Target="https://www.pwc.com/gx/en/world-2050/assets/pwc-the-world-in-2050-full-report-feb-2017.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177/01492063211014276" TargetMode="External"/><Relationship Id="rId28" Type="http://schemas.openxmlformats.org/officeDocument/2006/relationships/hyperlink" Target="https://doi.org/10.1111/1467-8551.12590" TargetMode="External"/><Relationship Id="rId49" Type="http://schemas.openxmlformats.org/officeDocument/2006/relationships/hyperlink" Target="https://doi.org/10.1002/smj.3018" TargetMode="External"/><Relationship Id="rId114" Type="http://schemas.openxmlformats.org/officeDocument/2006/relationships/hyperlink" Target="https://doi.org/10.1111/jifm.12153" TargetMode="External"/><Relationship Id="rId119" Type="http://schemas.openxmlformats.org/officeDocument/2006/relationships/hyperlink" Target="https://doi.org/10.1017/mor.2024.66" TargetMode="External"/><Relationship Id="rId44" Type="http://schemas.openxmlformats.org/officeDocument/2006/relationships/hyperlink" Target="https://doi.org/10.1002/smj.322" TargetMode="External"/><Relationship Id="rId60" Type="http://schemas.openxmlformats.org/officeDocument/2006/relationships/hyperlink" Target="https://doi.org/10.2307/2971733" TargetMode="External"/><Relationship Id="rId65" Type="http://schemas.openxmlformats.org/officeDocument/2006/relationships/hyperlink" Target="https://doi.org/10.1111/1467-8551.12104" TargetMode="External"/><Relationship Id="rId81" Type="http://schemas.openxmlformats.org/officeDocument/2006/relationships/hyperlink" Target="https://www.jstor.org/stable/1805767" TargetMode="External"/><Relationship Id="rId86" Type="http://schemas.openxmlformats.org/officeDocument/2006/relationships/hyperlink" Target="https://doi.org/10.1002/smj.424" TargetMode="External"/><Relationship Id="rId13" Type="http://schemas.openxmlformats.org/officeDocument/2006/relationships/hyperlink" Target="https://doi.org/10.1111/1467-8551.12595" TargetMode="External"/><Relationship Id="rId18" Type="http://schemas.openxmlformats.org/officeDocument/2006/relationships/hyperlink" Target="https://doi.org/10.1002/bse.2448" TargetMode="External"/><Relationship Id="rId39" Type="http://schemas.openxmlformats.org/officeDocument/2006/relationships/hyperlink" Target="https://doi.org/10.1111/1475-679x.12073" TargetMode="External"/><Relationship Id="rId109" Type="http://schemas.openxmlformats.org/officeDocument/2006/relationships/hyperlink" Target="https://www.jstor.org/stable/2486175" TargetMode="External"/><Relationship Id="rId34" Type="http://schemas.openxmlformats.org/officeDocument/2006/relationships/hyperlink" Target="https://doi.org/10.1002/smj.2475" TargetMode="External"/><Relationship Id="rId50" Type="http://schemas.openxmlformats.org/officeDocument/2006/relationships/hyperlink" Target="https://doi.org/10.2307/256324" TargetMode="External"/><Relationship Id="rId55" Type="http://schemas.openxmlformats.org/officeDocument/2006/relationships/hyperlink" Target="https://doi.org/10.1016/j.jbusres.2025.115489" TargetMode="External"/><Relationship Id="rId76" Type="http://schemas.openxmlformats.org/officeDocument/2006/relationships/hyperlink" Target="https://doi.org/10.1007/s10551-015-2807-x" TargetMode="External"/><Relationship Id="rId97" Type="http://schemas.openxmlformats.org/officeDocument/2006/relationships/hyperlink" Target="https://doi.org/10.1002/bse.2530" TargetMode="External"/><Relationship Id="rId104" Type="http://schemas.openxmlformats.org/officeDocument/2006/relationships/hyperlink" Target="https://doi.org/10.1016/j.jfineco.2016.11.002" TargetMode="External"/><Relationship Id="rId120" Type="http://schemas.openxmlformats.org/officeDocument/2006/relationships/image" Target="media/image1.png"/><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oi.org/10.1086/727370" TargetMode="External"/><Relationship Id="rId92" Type="http://schemas.openxmlformats.org/officeDocument/2006/relationships/hyperlink" Target="https://doi.org/10.1002/smj.4250140303" TargetMode="External"/><Relationship Id="rId2" Type="http://schemas.openxmlformats.org/officeDocument/2006/relationships/customXml" Target="../customXml/item2.xml"/><Relationship Id="rId29" Type="http://schemas.openxmlformats.org/officeDocument/2006/relationships/hyperlink" Target="https://doi.org/10.1111/1467-8551.00147" TargetMode="External"/><Relationship Id="rId24" Type="http://schemas.openxmlformats.org/officeDocument/2006/relationships/hyperlink" Target="https://doi.org/10.1177/01492063211021655" TargetMode="External"/><Relationship Id="rId40" Type="http://schemas.openxmlformats.org/officeDocument/2006/relationships/hyperlink" Target="https://doi.org/10.1016/j.jbusvent.2008.04.003" TargetMode="External"/><Relationship Id="rId45" Type="http://schemas.openxmlformats.org/officeDocument/2006/relationships/hyperlink" Target="https://doi.org/10.1177/0001839216687743" TargetMode="External"/><Relationship Id="rId66" Type="http://schemas.openxmlformats.org/officeDocument/2006/relationships/hyperlink" Target="https://doi.org/10.1007/s11187-025-01049-8" TargetMode="External"/><Relationship Id="rId87" Type="http://schemas.openxmlformats.org/officeDocument/2006/relationships/hyperlink" Target="https://doi.org/10.1016/j.jbusres.2021.05.038" TargetMode="External"/><Relationship Id="rId110" Type="http://schemas.openxmlformats.org/officeDocument/2006/relationships/hyperlink" Target="https://doi.org/10.2308/accr-51661" TargetMode="External"/><Relationship Id="rId115" Type="http://schemas.openxmlformats.org/officeDocument/2006/relationships/hyperlink" Target="https://doi.org/10.1111/1467-8551.12877" TargetMode="External"/><Relationship Id="rId61" Type="http://schemas.openxmlformats.org/officeDocument/2006/relationships/hyperlink" Target="https://doi.org/10.1016/j.emj.2017.05.007" TargetMode="External"/><Relationship Id="rId82" Type="http://schemas.openxmlformats.org/officeDocument/2006/relationships/hyperlink" Target="https://www.jstor.org/stable/3088208" TargetMode="External"/><Relationship Id="rId19" Type="http://schemas.openxmlformats.org/officeDocument/2006/relationships/hyperlink" Target="https://doi.org/10.1002/bse.3696" TargetMode="External"/><Relationship Id="rId14" Type="http://schemas.openxmlformats.org/officeDocument/2006/relationships/hyperlink" Target="https://doi.org/10.1002/bse.3665" TargetMode="External"/><Relationship Id="rId30" Type="http://schemas.openxmlformats.org/officeDocument/2006/relationships/hyperlink" Target="https://www.jstor.org/stable/20159679" TargetMode="External"/><Relationship Id="rId35" Type="http://schemas.openxmlformats.org/officeDocument/2006/relationships/hyperlink" Target="https://doi.org/10.1016/j.eneco.2023.107292" TargetMode="External"/><Relationship Id="rId56" Type="http://schemas.openxmlformats.org/officeDocument/2006/relationships/hyperlink" Target="https://www.jstor.org/stable/23606869" TargetMode="External"/><Relationship Id="rId77" Type="http://schemas.openxmlformats.org/officeDocument/2006/relationships/hyperlink" Target="https://doi.org/10.1002/smj.2656" TargetMode="External"/><Relationship Id="rId100" Type="http://schemas.openxmlformats.org/officeDocument/2006/relationships/hyperlink" Target="https://doi.org/10.1002/smj.3042" TargetMode="External"/><Relationship Id="rId105" Type="http://schemas.openxmlformats.org/officeDocument/2006/relationships/hyperlink" Target="https://www.jstor.org/stable/3088148" TargetMode="External"/><Relationship Id="rId8" Type="http://schemas.openxmlformats.org/officeDocument/2006/relationships/webSettings" Target="webSettings.xml"/><Relationship Id="rId51" Type="http://schemas.openxmlformats.org/officeDocument/2006/relationships/hyperlink" Target="https://doi.org/10.4119727/016439201639291939535776" TargetMode="External"/><Relationship Id="rId72" Type="http://schemas.openxmlformats.org/officeDocument/2006/relationships/hyperlink" Target="https://doi.org/10.1111/1467-8551.12861" TargetMode="External"/><Relationship Id="rId93" Type="http://schemas.openxmlformats.org/officeDocument/2006/relationships/hyperlink" Target="https://doi.org/10.1016/j.jbusres.2021.09.057" TargetMode="External"/><Relationship Id="rId98" Type="http://schemas.openxmlformats.org/officeDocument/2006/relationships/hyperlink" Target="https://doi.org/10.1002/(sici)1097-0266(199711)18:10" TargetMode="External"/><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s://doi.org/10.1002/smj.2949" TargetMode="External"/><Relationship Id="rId46" Type="http://schemas.openxmlformats.org/officeDocument/2006/relationships/hyperlink" Target="https://doi.org/10.1111/j.1540-6261.2008.01353.x" TargetMode="External"/><Relationship Id="rId67" Type="http://schemas.openxmlformats.org/officeDocument/2006/relationships/hyperlink" Target="https://doi.org/10.1016/j.frl.2024.105029" TargetMode="External"/><Relationship Id="rId116" Type="http://schemas.openxmlformats.org/officeDocument/2006/relationships/hyperlink" Target="https://doi.org/10.1509/jmkg.69.2.42.60" TargetMode="External"/><Relationship Id="rId20" Type="http://schemas.openxmlformats.org/officeDocument/2006/relationships/hyperlink" Target="https://doi.org/10.2308/tar-2022-0251" TargetMode="External"/><Relationship Id="rId41" Type="http://schemas.openxmlformats.org/officeDocument/2006/relationships/hyperlink" Target="https://doi.org/10.1007/s10551-015-2976-7" TargetMode="External"/><Relationship Id="rId62" Type="http://schemas.openxmlformats.org/officeDocument/2006/relationships/hyperlink" Target="https://doi.org/10.1111/joms.12863" TargetMode="External"/><Relationship Id="rId83" Type="http://schemas.openxmlformats.org/officeDocument/2006/relationships/hyperlink" Target="https://doi.org/10.1016/j.jcorpfin.2016.11.001" TargetMode="External"/><Relationship Id="rId88" Type="http://schemas.openxmlformats.org/officeDocument/2006/relationships/hyperlink" Target="https://www.jstor.org/stable/1809766" TargetMode="External"/><Relationship Id="rId111" Type="http://schemas.openxmlformats.org/officeDocument/2006/relationships/hyperlink" Target="https://www.climatewatchdata.org/ghg-emissions" TargetMode="External"/><Relationship Id="rId15" Type="http://schemas.openxmlformats.org/officeDocument/2006/relationships/hyperlink" Target="https://doi.org/10.1016/j.jeem.2015.11.003" TargetMode="External"/><Relationship Id="rId36" Type="http://schemas.openxmlformats.org/officeDocument/2006/relationships/hyperlink" Target="https://doi.org/10.1111/0022-1082.00121" TargetMode="External"/><Relationship Id="rId57" Type="http://schemas.openxmlformats.org/officeDocument/2006/relationships/hyperlink" Target="https://doi.org/10.2307/258963" TargetMode="External"/><Relationship Id="rId106" Type="http://schemas.openxmlformats.org/officeDocument/2006/relationships/hyperlink" Target="https://doi.org/10.1016/j.frl.2023.104478" TargetMode="External"/><Relationship Id="rId10" Type="http://schemas.openxmlformats.org/officeDocument/2006/relationships/endnotes" Target="endnotes.xml"/><Relationship Id="rId31" Type="http://schemas.openxmlformats.org/officeDocument/2006/relationships/hyperlink" Target="https://doi.org/10.2308/JIAR-2024-025" TargetMode="External"/><Relationship Id="rId52" Type="http://schemas.openxmlformats.org/officeDocument/2006/relationships/hyperlink" Target="https://www.lseg.com/en/ftse-russell/research/investing-in-global-green-economy" TargetMode="External"/><Relationship Id="rId73" Type="http://schemas.openxmlformats.org/officeDocument/2006/relationships/hyperlink" Target="https://doi.org/10.2307/2491270" TargetMode="External"/><Relationship Id="rId78" Type="http://schemas.openxmlformats.org/officeDocument/2006/relationships/hyperlink" Target="https://doi.org/10.1111/j.1540-6261.2010.01625.x" TargetMode="External"/><Relationship Id="rId94" Type="http://schemas.openxmlformats.org/officeDocument/2006/relationships/hyperlink" Target="https://doi.org/10.1002/smj.4250121008" TargetMode="External"/><Relationship Id="rId99" Type="http://schemas.openxmlformats.org/officeDocument/2006/relationships/hyperlink" Target="https://doi.org/10.1007/s10551-015-2854-3" TargetMode="External"/><Relationship Id="rId101" Type="http://schemas.openxmlformats.org/officeDocument/2006/relationships/hyperlink" Target="https://doi.org/10.1111/1467-8551.12841" TargetMode="External"/><Relationship Id="rId12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hanghai.gov.cn/cmsres/32/32688250a2a04d0199748a1cd1387fc0/dc4d0ae4b8416dd07607a68791ba89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d516a2-77e0-46ea-93b6-559fd19dd2d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93EF5CF3E9D4488B26659E2EF28B5" ma:contentTypeVersion="14" ma:contentTypeDescription="Create a new document." ma:contentTypeScope="" ma:versionID="29cbbb0fba66960f28e5585108be36cc">
  <xsd:schema xmlns:xsd="http://www.w3.org/2001/XMLSchema" xmlns:xs="http://www.w3.org/2001/XMLSchema" xmlns:p="http://schemas.microsoft.com/office/2006/metadata/properties" xmlns:ns1="http://schemas.microsoft.com/sharepoint/v3" xmlns:ns3="46d516a2-77e0-46ea-93b6-559fd19dd2d7" targetNamespace="http://schemas.microsoft.com/office/2006/metadata/properties" ma:root="true" ma:fieldsID="a1b9acc00156edff69d845b7518495b9" ns1:_="" ns3:_="">
    <xsd:import namespace="http://schemas.microsoft.com/sharepoint/v3"/>
    <xsd:import namespace="46d516a2-77e0-46ea-93b6-559fd19dd2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element ref="ns3:MediaServiceLocation"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16a2-77e0-46ea-93b6-559fd19dd2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B39A-87E6-4E94-ADD8-ED00D02F8C04}">
  <ds:schemaRefs>
    <ds:schemaRef ds:uri="http://schemas.microsoft.com/office/2006/metadata/properties"/>
    <ds:schemaRef ds:uri="http://schemas.microsoft.com/office/infopath/2007/PartnerControls"/>
    <ds:schemaRef ds:uri="46d516a2-77e0-46ea-93b6-559fd19dd2d7"/>
    <ds:schemaRef ds:uri="http://schemas.microsoft.com/sharepoint/v3"/>
  </ds:schemaRefs>
</ds:datastoreItem>
</file>

<file path=customXml/itemProps2.xml><?xml version="1.0" encoding="utf-8"?>
<ds:datastoreItem xmlns:ds="http://schemas.openxmlformats.org/officeDocument/2006/customXml" ds:itemID="{A9EB0033-9751-4AAB-9A21-7DFA08638598}">
  <ds:schemaRefs>
    <ds:schemaRef ds:uri="http://schemas.microsoft.com/sharepoint/v3/contenttype/forms"/>
  </ds:schemaRefs>
</ds:datastoreItem>
</file>

<file path=customXml/itemProps3.xml><?xml version="1.0" encoding="utf-8"?>
<ds:datastoreItem xmlns:ds="http://schemas.openxmlformats.org/officeDocument/2006/customXml" ds:itemID="{B51E8A04-49BD-4B73-BFDE-A1612F80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d516a2-77e0-46ea-93b6-559fd19d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AB8AA-C21B-A545-90B3-578E1A07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49</Pages>
  <Words>15629</Words>
  <Characters>99048</Characters>
  <Application>Microsoft Office Word</Application>
  <DocSecurity>0</DocSecurity>
  <Lines>3060</Lines>
  <Paragraphs>1743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Zijie Huang</dc:creator>
  <cp:keywords/>
  <dc:description/>
  <cp:lastModifiedBy>June Cao</cp:lastModifiedBy>
  <cp:revision>163</cp:revision>
  <dcterms:created xsi:type="dcterms:W3CDTF">2025-12-03T14:07:00Z</dcterms:created>
  <dcterms:modified xsi:type="dcterms:W3CDTF">2026-03-06T14:56:00Z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0x01010030D93EF5CF3E9D4488B26659E2EF28B5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GrammarlyDocumentId">
    <vt:lpwstr>76d5f94deadf46d660b64aea4b6c029c6d7a3d42dd247f321ed2eeec16d1407b</vt:lpwstr>
  </property>
</Properties>
</file>